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489130" w14:textId="77777777" w:rsidR="002D19C7" w:rsidRDefault="002D19C7" w:rsidP="002D19C7">
      <w:pPr>
        <w:spacing w:line="276" w:lineRule="auto"/>
        <w:jc w:val="both"/>
        <w:rPr>
          <w:b/>
          <w:bCs/>
        </w:rPr>
      </w:pPr>
      <w:r>
        <w:rPr>
          <w:b/>
          <w:bCs/>
        </w:rPr>
        <w:t>Lūguma par liecinieka izsaukšanu noraidīšanas pamatojums</w:t>
      </w:r>
    </w:p>
    <w:p w14:paraId="04F6AAB8" w14:textId="77777777" w:rsidR="002D19C7" w:rsidRPr="00F42789" w:rsidRDefault="002D19C7" w:rsidP="002D19C7">
      <w:pPr>
        <w:spacing w:line="276" w:lineRule="auto"/>
        <w:jc w:val="both"/>
        <w:rPr>
          <w:color w:val="0000FF"/>
        </w:rPr>
      </w:pPr>
      <w:r>
        <w:t>Ja lietā ir tādi pārliecinoši pierādījumi, kurus ar liecinieka liecībām nav iespējams atspēkot, tad šādā gadījumā, noraidot lūgumu nopratināt liecinieku, tiesības uz taisnīgu tiesu pārkāptas netiek. Tomēr tiesai, gadījumā, ja lūgums par liecinieka izsaukšanu tiek noraidīts, savā lēmumā  ir jāsniedz pietiekams pamatojums, lai varētu pārliecināties, ka lūguma noraidīšana nav bijusi patvaļīga.</w:t>
      </w:r>
    </w:p>
    <w:p w14:paraId="11011FE1" w14:textId="77777777" w:rsidR="002D19C7" w:rsidRDefault="002D19C7" w:rsidP="007B6E2C">
      <w:pPr>
        <w:spacing w:line="276" w:lineRule="auto"/>
        <w:jc w:val="center"/>
      </w:pPr>
    </w:p>
    <w:p w14:paraId="472D4879" w14:textId="1BA34976" w:rsidR="007B6E2C" w:rsidRDefault="007B6E2C" w:rsidP="007B6E2C">
      <w:pPr>
        <w:spacing w:line="276" w:lineRule="auto"/>
        <w:jc w:val="center"/>
        <w:rPr>
          <w:b/>
        </w:rPr>
      </w:pPr>
      <w:r w:rsidRPr="002D19C7">
        <w:rPr>
          <w:b/>
        </w:rPr>
        <w:t>Latvijas Repu</w:t>
      </w:r>
      <w:bookmarkStart w:id="0" w:name="_GoBack"/>
      <w:bookmarkEnd w:id="0"/>
      <w:r w:rsidRPr="002D19C7">
        <w:rPr>
          <w:b/>
        </w:rPr>
        <w:t>blikas Senāt</w:t>
      </w:r>
      <w:r w:rsidR="002D19C7">
        <w:rPr>
          <w:b/>
        </w:rPr>
        <w:t>a</w:t>
      </w:r>
    </w:p>
    <w:p w14:paraId="15ABB043" w14:textId="1F765A4C" w:rsidR="002D19C7" w:rsidRDefault="002D19C7" w:rsidP="007B6E2C">
      <w:pPr>
        <w:spacing w:line="276" w:lineRule="auto"/>
        <w:jc w:val="center"/>
        <w:rPr>
          <w:b/>
        </w:rPr>
      </w:pPr>
      <w:r>
        <w:rPr>
          <w:b/>
        </w:rPr>
        <w:t>Administratīvo lietu departamenta</w:t>
      </w:r>
    </w:p>
    <w:p w14:paraId="1A72E51C" w14:textId="1BF24DD9" w:rsidR="002D19C7" w:rsidRPr="002D19C7" w:rsidRDefault="002D19C7" w:rsidP="007B6E2C">
      <w:pPr>
        <w:spacing w:line="276" w:lineRule="auto"/>
        <w:jc w:val="center"/>
        <w:rPr>
          <w:b/>
        </w:rPr>
      </w:pPr>
      <w:r>
        <w:rPr>
          <w:b/>
        </w:rPr>
        <w:t>2019.gada 31.oktobra</w:t>
      </w:r>
    </w:p>
    <w:p w14:paraId="2F421BB5" w14:textId="55F6A724" w:rsidR="007B6E2C" w:rsidRDefault="007B6E2C" w:rsidP="007B6E2C">
      <w:pPr>
        <w:spacing w:line="276" w:lineRule="auto"/>
        <w:jc w:val="center"/>
        <w:rPr>
          <w:b/>
        </w:rPr>
      </w:pPr>
      <w:r w:rsidRPr="002D19C7">
        <w:rPr>
          <w:b/>
        </w:rPr>
        <w:t>SPRIEDUMS</w:t>
      </w:r>
    </w:p>
    <w:p w14:paraId="7276E0FF" w14:textId="799CB337" w:rsidR="002D19C7" w:rsidRDefault="002D19C7" w:rsidP="007B6E2C">
      <w:pPr>
        <w:spacing w:line="276" w:lineRule="auto"/>
        <w:jc w:val="center"/>
        <w:rPr>
          <w:b/>
        </w:rPr>
      </w:pPr>
      <w:r>
        <w:rPr>
          <w:b/>
        </w:rPr>
        <w:t>Lieta Nr. A420352914, SKA-290/2019</w:t>
      </w:r>
    </w:p>
    <w:p w14:paraId="0B943BE5" w14:textId="2F5EC382" w:rsidR="002D19C7" w:rsidRPr="002D19C7" w:rsidRDefault="002C28C4" w:rsidP="007B6E2C">
      <w:pPr>
        <w:spacing w:line="276" w:lineRule="auto"/>
        <w:jc w:val="center"/>
        <w:rPr>
          <w:b/>
          <w:color w:val="0000FF"/>
        </w:rPr>
      </w:pPr>
      <w:hyperlink r:id="rId8" w:history="1">
        <w:r w:rsidR="002D19C7" w:rsidRPr="002D19C7">
          <w:rPr>
            <w:rStyle w:val="Hyperlink"/>
            <w:color w:val="0000FF"/>
          </w:rPr>
          <w:t>ECLI:LV:AT:2019:1031.A420352914.3.S</w:t>
        </w:r>
      </w:hyperlink>
    </w:p>
    <w:p w14:paraId="70AF97DA" w14:textId="77777777" w:rsidR="007B6E2C" w:rsidRDefault="007B6E2C" w:rsidP="007B6E2C">
      <w:pPr>
        <w:spacing w:line="276" w:lineRule="auto"/>
        <w:ind w:firstLine="567"/>
        <w:jc w:val="both"/>
      </w:pPr>
    </w:p>
    <w:p w14:paraId="3194AAB5" w14:textId="1BBCA5B6" w:rsidR="00941626" w:rsidRPr="0082381C" w:rsidRDefault="007B6E2C" w:rsidP="007B6E2C">
      <w:pPr>
        <w:spacing w:line="276" w:lineRule="auto"/>
        <w:ind w:firstLine="567"/>
        <w:jc w:val="both"/>
      </w:pPr>
      <w:r w:rsidRPr="0019136E">
        <w:t>Tiesa šādā</w:t>
      </w:r>
      <w:r w:rsidRPr="0015480A">
        <w:t xml:space="preserve"> sastāvā: senat</w:t>
      </w:r>
      <w:r w:rsidRPr="0019136E">
        <w:t>ori</w:t>
      </w:r>
      <w:r w:rsidRPr="0015480A">
        <w:t xml:space="preserve"> </w:t>
      </w:r>
      <w:r w:rsidR="002605C0">
        <w:t>Anita Kovaļevska</w:t>
      </w:r>
      <w:r w:rsidR="00941626" w:rsidRPr="0082381C">
        <w:t>,</w:t>
      </w:r>
      <w:r>
        <w:t xml:space="preserve"> </w:t>
      </w:r>
      <w:r w:rsidR="002605C0">
        <w:t>Andris Guļāns</w:t>
      </w:r>
      <w:r w:rsidR="0019136E">
        <w:t>,</w:t>
      </w:r>
      <w:r w:rsidR="000C4BC2">
        <w:t xml:space="preserve"> </w:t>
      </w:r>
      <w:r w:rsidR="002605C0">
        <w:t>Veronika Krūmiņa</w:t>
      </w:r>
    </w:p>
    <w:p w14:paraId="2F65B586" w14:textId="77777777" w:rsidR="003047F5" w:rsidRPr="0082381C" w:rsidRDefault="003047F5" w:rsidP="000B0A3A">
      <w:pPr>
        <w:spacing w:line="276" w:lineRule="auto"/>
        <w:ind w:firstLine="567"/>
        <w:jc w:val="both"/>
      </w:pPr>
    </w:p>
    <w:p w14:paraId="6F1B97CB" w14:textId="74C655FD" w:rsidR="00722401" w:rsidRDefault="00941626" w:rsidP="000B0A3A">
      <w:pPr>
        <w:spacing w:line="276" w:lineRule="auto"/>
        <w:ind w:firstLine="567"/>
        <w:jc w:val="both"/>
      </w:pPr>
      <w:r w:rsidRPr="0082381C">
        <w:t xml:space="preserve">rakstveida procesā izskatīja administratīvo lietu, kas ierosināta, pamatojoties uz </w:t>
      </w:r>
      <w:r w:rsidR="003567C6">
        <w:t>[pers. A]</w:t>
      </w:r>
      <w:r w:rsidR="00722401">
        <w:t xml:space="preserve"> pieteikumu par Jelgavas cietuma faktiskās rīcības atzīšanu par prettiesisku un </w:t>
      </w:r>
      <w:r w:rsidR="00926AB2">
        <w:t>nemantiskā (</w:t>
      </w:r>
      <w:r w:rsidR="00722401">
        <w:t>morālā</w:t>
      </w:r>
      <w:r w:rsidR="00926AB2">
        <w:t>)</w:t>
      </w:r>
      <w:r w:rsidR="00722401">
        <w:t xml:space="preserve"> kaitējuma atlīdzināšanu, sakarā ar </w:t>
      </w:r>
      <w:r w:rsidR="003567C6">
        <w:t>[pers. A]</w:t>
      </w:r>
      <w:r w:rsidR="00722401">
        <w:t xml:space="preserve"> kasācijas sūdzību par Administratīvās apgabaltiesas 2017.gada 1.jūnija spriedumu. </w:t>
      </w:r>
    </w:p>
    <w:p w14:paraId="32548E13" w14:textId="77777777" w:rsidR="00A6596A" w:rsidRPr="0082381C" w:rsidRDefault="00A6596A" w:rsidP="000B0A3A">
      <w:pPr>
        <w:spacing w:line="276" w:lineRule="auto"/>
        <w:ind w:firstLine="567"/>
        <w:jc w:val="both"/>
      </w:pPr>
    </w:p>
    <w:p w14:paraId="70DB4524" w14:textId="77777777" w:rsidR="003047F5" w:rsidRPr="0082381C" w:rsidRDefault="003047F5" w:rsidP="00833668">
      <w:pPr>
        <w:pStyle w:val="ATvirsraksts"/>
      </w:pPr>
      <w:r w:rsidRPr="0082381C">
        <w:t>Aprakstošā daļa</w:t>
      </w:r>
    </w:p>
    <w:p w14:paraId="26F878E8" w14:textId="77777777" w:rsidR="003047F5" w:rsidRPr="0082381C" w:rsidRDefault="003047F5" w:rsidP="000B0A3A">
      <w:pPr>
        <w:spacing w:line="276" w:lineRule="auto"/>
        <w:ind w:firstLine="567"/>
        <w:jc w:val="both"/>
      </w:pPr>
    </w:p>
    <w:p w14:paraId="2AB72BC3" w14:textId="5AFE4357" w:rsidR="00722401" w:rsidRDefault="003047F5" w:rsidP="00B73B71">
      <w:pPr>
        <w:spacing w:line="276" w:lineRule="auto"/>
        <w:ind w:firstLine="567"/>
        <w:jc w:val="both"/>
      </w:pPr>
      <w:r w:rsidRPr="0082381C">
        <w:t>[1</w:t>
      </w:r>
      <w:r w:rsidRPr="002605C0">
        <w:t>] </w:t>
      </w:r>
      <w:r w:rsidR="002605C0" w:rsidRPr="002605C0">
        <w:t xml:space="preserve">Pieteicējs </w:t>
      </w:r>
      <w:r w:rsidR="003567C6">
        <w:t>[pers. A]</w:t>
      </w:r>
      <w:r w:rsidR="00722401" w:rsidRPr="00722401">
        <w:t xml:space="preserve"> </w:t>
      </w:r>
      <w:r w:rsidR="002605C0" w:rsidRPr="002605C0">
        <w:t>vērsās Ieslodzījuma vietu pārvaldē</w:t>
      </w:r>
      <w:r w:rsidR="000B59A8">
        <w:t xml:space="preserve"> </w:t>
      </w:r>
      <w:r w:rsidR="00722401">
        <w:t>ar iesniegumu</w:t>
      </w:r>
      <w:r w:rsidR="006400DD">
        <w:t xml:space="preserve">, kurā sūdzējās </w:t>
      </w:r>
      <w:proofErr w:type="spellStart"/>
      <w:r w:rsidR="006400DD">
        <w:t>citstarp</w:t>
      </w:r>
      <w:proofErr w:type="spellEnd"/>
      <w:r w:rsidR="00722401">
        <w:t xml:space="preserve"> par apstākļiem dušas telpās laikā no 2013.gada 24.marta līdz 2014.gada 24.martam. Pieteicējs </w:t>
      </w:r>
      <w:r w:rsidR="0085418F">
        <w:t xml:space="preserve">iesniegumā arī </w:t>
      </w:r>
      <w:r w:rsidR="00722401">
        <w:t>lūdza atlī</w:t>
      </w:r>
      <w:r w:rsidR="005B7D06">
        <w:t xml:space="preserve">dzināt </w:t>
      </w:r>
      <w:r w:rsidR="00926AB2">
        <w:t>nemantisko (</w:t>
      </w:r>
      <w:r w:rsidR="005B7D06">
        <w:t>morālo</w:t>
      </w:r>
      <w:r w:rsidR="00926AB2">
        <w:t>)</w:t>
      </w:r>
      <w:r w:rsidR="005B7D06">
        <w:t xml:space="preserve"> kaitējumu 7114,36 </w:t>
      </w:r>
      <w:proofErr w:type="spellStart"/>
      <w:r w:rsidR="00722401" w:rsidRPr="006A0744">
        <w:rPr>
          <w:i/>
        </w:rPr>
        <w:t>euro</w:t>
      </w:r>
      <w:proofErr w:type="spellEnd"/>
      <w:r w:rsidR="00722401">
        <w:t xml:space="preserve">. </w:t>
      </w:r>
    </w:p>
    <w:p w14:paraId="0F668C03" w14:textId="7D839268" w:rsidR="00722401" w:rsidRDefault="006A0744" w:rsidP="00B73B71">
      <w:pPr>
        <w:spacing w:line="276" w:lineRule="auto"/>
        <w:ind w:firstLine="567"/>
        <w:jc w:val="both"/>
      </w:pPr>
      <w:r>
        <w:t xml:space="preserve">Ar Ieslodzījumu vietu pārvaldes 2014.gada 17.jūnija lēmumu apstrīdētā Jelgavas cietuma administrācijas rīcība atzīta par tiesisku, kā arī noraidīts pieteicēja lūgums par </w:t>
      </w:r>
      <w:r w:rsidR="00926AB2">
        <w:t>nemantiskā (morālā)</w:t>
      </w:r>
      <w:r>
        <w:t xml:space="preserve"> kaitējuma atlīdzinā</w:t>
      </w:r>
      <w:r w:rsidR="00926AB2">
        <w:t>šanu</w:t>
      </w:r>
      <w:r>
        <w:t xml:space="preserve">. </w:t>
      </w:r>
    </w:p>
    <w:p w14:paraId="62C395E2" w14:textId="77777777" w:rsidR="002605C0" w:rsidRPr="0082381C" w:rsidRDefault="002605C0" w:rsidP="000B0A3A">
      <w:pPr>
        <w:spacing w:line="276" w:lineRule="auto"/>
        <w:ind w:firstLine="567"/>
        <w:jc w:val="both"/>
      </w:pPr>
    </w:p>
    <w:p w14:paraId="4E76CD8A" w14:textId="11E7F62F" w:rsidR="006A0744" w:rsidRDefault="003047F5" w:rsidP="000B0A3A">
      <w:pPr>
        <w:spacing w:line="276" w:lineRule="auto"/>
        <w:ind w:firstLine="567"/>
        <w:jc w:val="both"/>
      </w:pPr>
      <w:r w:rsidRPr="0082381C">
        <w:t>[2] </w:t>
      </w:r>
      <w:r w:rsidR="00A96752">
        <w:t>Pieteicējs vērsās Administratīvajā rajona tiesā, lūdzot atzīt Jelgavas cietuma administrācijas faktisko rīc</w:t>
      </w:r>
      <w:r w:rsidR="00AD494A">
        <w:t>ību par</w:t>
      </w:r>
      <w:r w:rsidR="00A96752">
        <w:t xml:space="preserve"> </w:t>
      </w:r>
      <w:r w:rsidR="00AD494A">
        <w:t xml:space="preserve">prettiesisku, kā arī atlīdzināt </w:t>
      </w:r>
      <w:r w:rsidR="00926AB2">
        <w:t>nemantisko (morālo)</w:t>
      </w:r>
      <w:r w:rsidR="00AD494A">
        <w:t xml:space="preserve"> kaitējumu. </w:t>
      </w:r>
    </w:p>
    <w:p w14:paraId="22394715" w14:textId="301768EE" w:rsidR="00AD494A" w:rsidRDefault="00AD494A" w:rsidP="000B0A3A">
      <w:pPr>
        <w:spacing w:line="276" w:lineRule="auto"/>
        <w:ind w:firstLine="567"/>
        <w:jc w:val="both"/>
      </w:pPr>
      <w:r>
        <w:t>Ar Administratīvās rajona tiesas 201</w:t>
      </w:r>
      <w:r w:rsidR="00062FEF">
        <w:t>6</w:t>
      </w:r>
      <w:r>
        <w:t xml:space="preserve">.gada </w:t>
      </w:r>
      <w:r w:rsidR="00062FEF">
        <w:t>26.jūlija</w:t>
      </w:r>
      <w:r>
        <w:t xml:space="preserve"> spriedumu</w:t>
      </w:r>
      <w:r w:rsidR="00FF61DF">
        <w:t xml:space="preserve"> pieteikums noraidīts. </w:t>
      </w:r>
    </w:p>
    <w:p w14:paraId="1B4F73DC" w14:textId="77777777" w:rsidR="00062FEF" w:rsidRDefault="00062FEF" w:rsidP="000B0A3A">
      <w:pPr>
        <w:spacing w:line="276" w:lineRule="auto"/>
        <w:ind w:firstLine="567"/>
        <w:jc w:val="both"/>
      </w:pPr>
    </w:p>
    <w:p w14:paraId="33DBCF95" w14:textId="59723A94" w:rsidR="00E617BF" w:rsidRDefault="00062FEF" w:rsidP="009741EE">
      <w:pPr>
        <w:spacing w:line="276" w:lineRule="auto"/>
        <w:ind w:firstLine="567"/>
        <w:jc w:val="both"/>
      </w:pPr>
      <w:r>
        <w:t xml:space="preserve">[3] Arī Administratīvā apgabaltiesa ar 2017.gada 1.jūnija spriedumu pieteikumu noraidīja. </w:t>
      </w:r>
      <w:r w:rsidR="006400DD">
        <w:t xml:space="preserve">Apgabaltiesa </w:t>
      </w:r>
      <w:r w:rsidR="00E617BF">
        <w:t>atzina</w:t>
      </w:r>
      <w:r w:rsidR="006400DD">
        <w:t xml:space="preserve">, ka </w:t>
      </w:r>
      <w:r w:rsidR="00056388">
        <w:t>dušas telp</w:t>
      </w:r>
      <w:r w:rsidR="006400DD">
        <w:t>as tiek</w:t>
      </w:r>
      <w:r w:rsidR="00056388">
        <w:t xml:space="preserve"> uzkop</w:t>
      </w:r>
      <w:r w:rsidR="006400DD">
        <w:t>tas</w:t>
      </w:r>
      <w:r w:rsidR="00056388">
        <w:t xml:space="preserve"> </w:t>
      </w:r>
      <w:r w:rsidR="006400DD">
        <w:t>regulāri</w:t>
      </w:r>
      <w:r w:rsidR="00E617BF">
        <w:t xml:space="preserve"> </w:t>
      </w:r>
      <w:r w:rsidR="006400DD">
        <w:t xml:space="preserve">– </w:t>
      </w:r>
      <w:r w:rsidR="00056388">
        <w:t>vismaz vienu reizi nedēļā</w:t>
      </w:r>
      <w:r w:rsidR="00E617BF">
        <w:t xml:space="preserve"> un </w:t>
      </w:r>
      <w:r w:rsidR="006400DD">
        <w:t>mazgāšanas līdzekļi tiek iepirkti lielos apjomos</w:t>
      </w:r>
      <w:r w:rsidR="00E617BF">
        <w:t>. Līdz ar to apgabaltiesa secināja: l</w:t>
      </w:r>
      <w:r w:rsidR="004270D4">
        <w:t>ai gan pastāv iespējamība, ka dušas telpas nav izmazgātas katru reizi pēc to lietošanas</w:t>
      </w:r>
      <w:r w:rsidR="00E617BF" w:rsidRPr="00E617BF">
        <w:t xml:space="preserve"> </w:t>
      </w:r>
      <w:r w:rsidR="00E617BF">
        <w:t>un dušas ne vienmēr ir ideāli tīras</w:t>
      </w:r>
      <w:r w:rsidR="004270D4">
        <w:t xml:space="preserve">, tomēr </w:t>
      </w:r>
      <w:r w:rsidR="00E617BF">
        <w:t>tas neapdraud pieteicēja veselību.</w:t>
      </w:r>
    </w:p>
    <w:p w14:paraId="08842F0A" w14:textId="77777777" w:rsidR="006400DD" w:rsidRPr="00163AB8" w:rsidRDefault="006400DD" w:rsidP="005919D5">
      <w:pPr>
        <w:spacing w:line="276" w:lineRule="auto"/>
        <w:jc w:val="both"/>
      </w:pPr>
    </w:p>
    <w:p w14:paraId="481FFD7C" w14:textId="611DFA08" w:rsidR="00B73B71" w:rsidRDefault="00FA2C6B" w:rsidP="008C2EFC">
      <w:pPr>
        <w:spacing w:line="276" w:lineRule="auto"/>
        <w:ind w:firstLine="567"/>
        <w:jc w:val="both"/>
      </w:pPr>
      <w:r w:rsidRPr="00163AB8">
        <w:t>[4] </w:t>
      </w:r>
      <w:r w:rsidR="00B73B71" w:rsidRPr="00B73B71">
        <w:t xml:space="preserve">Pieteicējs ir iesniedzis kasācijas sūdzību, norādot </w:t>
      </w:r>
      <w:r w:rsidR="0085418F">
        <w:t>turpmāk minētos</w:t>
      </w:r>
      <w:r w:rsidR="0085418F" w:rsidRPr="00B73B71">
        <w:t xml:space="preserve"> </w:t>
      </w:r>
      <w:r w:rsidR="00B73B71" w:rsidRPr="00B73B71">
        <w:t>iebildumus.</w:t>
      </w:r>
    </w:p>
    <w:p w14:paraId="40C9014C" w14:textId="11D7E7E9" w:rsidR="0059669C" w:rsidRDefault="00FE7B0C" w:rsidP="0059669C">
      <w:pPr>
        <w:spacing w:line="276" w:lineRule="auto"/>
        <w:ind w:firstLine="567"/>
        <w:jc w:val="both"/>
      </w:pPr>
      <w:r>
        <w:t xml:space="preserve">[4.1] Nav pamatots apgabaltiesas apgalvojums, ka lietā esošie pierādījumi ir pietiekami, lai konstatētu nepieciešamos faktus par telpu uzkopšanas biežumu. </w:t>
      </w:r>
      <w:r w:rsidR="00B825D2">
        <w:t>Lietā ir pierādījumi, piemēram, fotouzņēmumi, kas apstiprina, ka duš</w:t>
      </w:r>
      <w:r w:rsidR="00D016F9">
        <w:t>as</w:t>
      </w:r>
      <w:r w:rsidR="00B825D2">
        <w:t xml:space="preserve"> telpas netika pienācīgi uzkoptas. </w:t>
      </w:r>
      <w:r w:rsidR="003B21D4">
        <w:t>Šādos apstākļos t</w:t>
      </w:r>
      <w:r w:rsidR="0059669C">
        <w:t xml:space="preserve">iesa, neapmierinot pieteicēja lūgumu par liecinieku nopratināšanu, ir pārkāpusi Administratīvā procesa likuma </w:t>
      </w:r>
      <w:r w:rsidR="00275EA2">
        <w:t>5., 14.</w:t>
      </w:r>
      <w:r w:rsidR="00275EA2" w:rsidRPr="00275EA2">
        <w:rPr>
          <w:vertAlign w:val="superscript"/>
        </w:rPr>
        <w:t>1</w:t>
      </w:r>
      <w:r w:rsidR="00275EA2">
        <w:t xml:space="preserve"> un </w:t>
      </w:r>
      <w:r w:rsidR="0059669C">
        <w:t xml:space="preserve">154.pantu. </w:t>
      </w:r>
    </w:p>
    <w:p w14:paraId="7152E8AB" w14:textId="09524B3A" w:rsidR="00455C5D" w:rsidRDefault="00D55540" w:rsidP="0059669C">
      <w:pPr>
        <w:spacing w:line="276" w:lineRule="auto"/>
        <w:ind w:firstLine="567"/>
        <w:jc w:val="both"/>
      </w:pPr>
      <w:r>
        <w:lastRenderedPageBreak/>
        <w:t>[4.</w:t>
      </w:r>
      <w:r w:rsidR="00BA0606">
        <w:t>2</w:t>
      </w:r>
      <w:r>
        <w:t xml:space="preserve">] </w:t>
      </w:r>
      <w:r w:rsidR="00455C5D" w:rsidRPr="00455C5D">
        <w:t>Veselības inspekcija pārbaudi veikusi</w:t>
      </w:r>
      <w:r w:rsidR="00455C5D">
        <w:t xml:space="preserve"> ārpus izskatāmā laika perioda un ir vērtējusi tādus apstākļus kā ūdens kvalitāte, nevis grīdas antisanitāro stāvokli. </w:t>
      </w:r>
    </w:p>
    <w:p w14:paraId="7B09E64B" w14:textId="2F2E0199" w:rsidR="00455C5D" w:rsidRDefault="00455C5D" w:rsidP="00455C5D">
      <w:pPr>
        <w:spacing w:line="276" w:lineRule="auto"/>
        <w:ind w:firstLine="567"/>
        <w:jc w:val="both"/>
      </w:pPr>
      <w:r>
        <w:t>[4.</w:t>
      </w:r>
      <w:r w:rsidR="00BA0606">
        <w:t>3</w:t>
      </w:r>
      <w:r>
        <w:t xml:space="preserve">] Apgabaltiesa ignorējusi fotouzņēmumos redzamās rūsas un kaļķa nogulsnes uz sienām un grīdas, kas pierāda, ka dušas telpu uzkopšanai nav izmantoti </w:t>
      </w:r>
      <w:r w:rsidR="00BA0606">
        <w:t xml:space="preserve">nekādi tīrīšanas </w:t>
      </w:r>
      <w:r>
        <w:t xml:space="preserve">līdzekļi. Lietā nav </w:t>
      </w:r>
      <w:r w:rsidR="00BA0606">
        <w:t xml:space="preserve">arī </w:t>
      </w:r>
      <w:r>
        <w:t xml:space="preserve">neviena atskaites dokumenta par </w:t>
      </w:r>
      <w:r w:rsidR="00754EAF">
        <w:t>dušas telpu uzkopšanai izsniegto līdzekļu daudzumu, kā arī pierādījumi, kas apliecinā</w:t>
      </w:r>
      <w:r w:rsidR="00E617BF">
        <w:t>tu uzkopšanas darbu paveikšanu.</w:t>
      </w:r>
    </w:p>
    <w:p w14:paraId="64ECA68A" w14:textId="13001331" w:rsidR="00754EAF" w:rsidRDefault="002F37DD" w:rsidP="00D57024">
      <w:pPr>
        <w:spacing w:line="276" w:lineRule="auto"/>
        <w:ind w:firstLine="567"/>
        <w:jc w:val="both"/>
      </w:pPr>
      <w:r>
        <w:t>[</w:t>
      </w:r>
      <w:r w:rsidR="00042B03">
        <w:t>4.</w:t>
      </w:r>
      <w:r w:rsidR="00BA0606">
        <w:t>4</w:t>
      </w:r>
      <w:r>
        <w:t xml:space="preserve">] </w:t>
      </w:r>
      <w:r w:rsidR="005F1A10">
        <w:t xml:space="preserve">Apgabaltiesa </w:t>
      </w:r>
      <w:r w:rsidR="002C6AA6">
        <w:t>nav ņēmusi vērā</w:t>
      </w:r>
      <w:r w:rsidR="005F1A10">
        <w:t xml:space="preserve"> </w:t>
      </w:r>
      <w:r w:rsidRPr="002F37DD">
        <w:t xml:space="preserve">Administratīvās </w:t>
      </w:r>
      <w:r w:rsidR="00DC7B1C">
        <w:t>rajona tiesas</w:t>
      </w:r>
      <w:r>
        <w:t xml:space="preserve"> </w:t>
      </w:r>
      <w:r w:rsidR="00DC7B1C">
        <w:t>2016</w:t>
      </w:r>
      <w:r w:rsidRPr="002F37DD">
        <w:t xml:space="preserve">.gada </w:t>
      </w:r>
      <w:r w:rsidR="00DC7B1C">
        <w:t>30</w:t>
      </w:r>
      <w:r w:rsidRPr="002F37DD">
        <w:t>.</w:t>
      </w:r>
      <w:r w:rsidR="00DC7B1C">
        <w:t>marta</w:t>
      </w:r>
      <w:r>
        <w:t xml:space="preserve"> spriedum</w:t>
      </w:r>
      <w:r w:rsidR="002C6AA6">
        <w:t>u</w:t>
      </w:r>
      <w:r w:rsidRPr="002F37DD">
        <w:t xml:space="preserve"> lietā Nr.</w:t>
      </w:r>
      <w:r w:rsidR="007A723D">
        <w:t> </w:t>
      </w:r>
      <w:r w:rsidRPr="002F37DD">
        <w:t>A420214715</w:t>
      </w:r>
      <w:r w:rsidR="00D57024">
        <w:t xml:space="preserve"> par apstākļiem </w:t>
      </w:r>
      <w:r w:rsidR="00BA0606">
        <w:t xml:space="preserve">tajās pašās </w:t>
      </w:r>
      <w:r w:rsidR="00D57024">
        <w:t>Jelgavas cietuma dušas telpās</w:t>
      </w:r>
      <w:r w:rsidR="00BA0606" w:rsidRPr="00BA0606">
        <w:t xml:space="preserve"> laikā no 2013.gada 15.novembra līdz 2014.gada 11.novembrim</w:t>
      </w:r>
      <w:r w:rsidR="00BA0606">
        <w:t>. Šajā spriedumā</w:t>
      </w:r>
      <w:r w:rsidR="002C6AA6">
        <w:t xml:space="preserve"> norādīts, ka</w:t>
      </w:r>
      <w:r w:rsidR="00E617BF">
        <w:t xml:space="preserve"> </w:t>
      </w:r>
      <w:r w:rsidR="001E14FD">
        <w:t>apstāklis, ka reizi mēnesī tiek izsniegti telpu uzkopšanas piederumi un līdzekļi, pats par sevi ne</w:t>
      </w:r>
      <w:r w:rsidR="00BA0606">
        <w:t>pierāda, ka</w:t>
      </w:r>
      <w:r w:rsidR="001E14FD">
        <w:t xml:space="preserve"> dušas telp</w:t>
      </w:r>
      <w:r w:rsidR="001A38D9">
        <w:t>ās</w:t>
      </w:r>
      <w:r w:rsidR="001E14FD">
        <w:t xml:space="preserve"> </w:t>
      </w:r>
      <w:r w:rsidR="00BA0606">
        <w:t xml:space="preserve">ir </w:t>
      </w:r>
      <w:r w:rsidR="001E14FD">
        <w:t>higiēn</w:t>
      </w:r>
      <w:r w:rsidR="001A38D9">
        <w:t>a</w:t>
      </w:r>
      <w:r w:rsidR="001E14FD">
        <w:t>s</w:t>
      </w:r>
      <w:r w:rsidR="001A38D9">
        <w:t xml:space="preserve"> prasībām atbilstoši apstākļi</w:t>
      </w:r>
      <w:r w:rsidR="0085418F">
        <w:t>. Ar šo spriedumu</w:t>
      </w:r>
      <w:r w:rsidR="002C6AA6">
        <w:t xml:space="preserve"> Jelgavas cietuma duš</w:t>
      </w:r>
      <w:r w:rsidR="00D016F9">
        <w:t>as</w:t>
      </w:r>
      <w:r w:rsidR="002C6AA6">
        <w:t xml:space="preserve"> telpu tehniskais stāvoklis tika atzīts par bīstamu</w:t>
      </w:r>
      <w:r w:rsidR="00D57024">
        <w:t xml:space="preserve">. </w:t>
      </w:r>
    </w:p>
    <w:p w14:paraId="0E169FE1" w14:textId="59B7DAE7" w:rsidR="00DB2BE8" w:rsidRDefault="002F37DD" w:rsidP="00455C5D">
      <w:pPr>
        <w:spacing w:line="276" w:lineRule="auto"/>
        <w:ind w:firstLine="567"/>
        <w:jc w:val="both"/>
      </w:pPr>
      <w:r>
        <w:t>[</w:t>
      </w:r>
      <w:r w:rsidR="00042B03">
        <w:t>4.</w:t>
      </w:r>
      <w:r w:rsidR="00BA0606">
        <w:t>5</w:t>
      </w:r>
      <w:r>
        <w:t xml:space="preserve">] </w:t>
      </w:r>
      <w:r w:rsidR="00DB2BE8">
        <w:t xml:space="preserve">Nav vērtēts </w:t>
      </w:r>
      <w:r w:rsidR="00BA0606">
        <w:t xml:space="preserve">viss pieteikumā minētais </w:t>
      </w:r>
      <w:r w:rsidR="00DB2BE8">
        <w:t xml:space="preserve">apstākļu kopums. </w:t>
      </w:r>
      <w:r w:rsidR="00BA0606">
        <w:t>Tāpat nav ņemts vērā, ka p</w:t>
      </w:r>
      <w:r w:rsidR="00DB2BE8">
        <w:t xml:space="preserve">ieteicējs </w:t>
      </w:r>
      <w:r w:rsidR="00BA0606">
        <w:t xml:space="preserve">2015.gada 3.augustā </w:t>
      </w:r>
      <w:r w:rsidR="00DB2BE8">
        <w:t xml:space="preserve">dušas telpās </w:t>
      </w:r>
      <w:r w:rsidR="00BA0606">
        <w:t>guva miesas bojājumus</w:t>
      </w:r>
      <w:r w:rsidR="00C57057">
        <w:t>. Miesas bojājumus ir guvuši arī divi citi ieslodz</w:t>
      </w:r>
      <w:r w:rsidR="00E617BF">
        <w:t>ī</w:t>
      </w:r>
      <w:r w:rsidR="00C57057">
        <w:t>tie</w:t>
      </w:r>
      <w:r w:rsidR="00E617BF">
        <w:t>.</w:t>
      </w:r>
    </w:p>
    <w:p w14:paraId="2BB5A930" w14:textId="401B69C5" w:rsidR="00DE6B1F" w:rsidRDefault="00DC7B1C" w:rsidP="00455C5D">
      <w:pPr>
        <w:spacing w:line="276" w:lineRule="auto"/>
        <w:ind w:firstLine="567"/>
        <w:jc w:val="both"/>
      </w:pPr>
      <w:r>
        <w:t>[</w:t>
      </w:r>
      <w:r w:rsidR="00042B03">
        <w:t>4.</w:t>
      </w:r>
      <w:r w:rsidR="00C57057">
        <w:t>6</w:t>
      </w:r>
      <w:r>
        <w:t xml:space="preserve">] </w:t>
      </w:r>
      <w:r w:rsidR="00BB0EE5">
        <w:t xml:space="preserve">Pieteicējam tika liegtas tiesības </w:t>
      </w:r>
      <w:r w:rsidR="00C57057">
        <w:t>apstiprināt savus paskaidrojumus ar</w:t>
      </w:r>
      <w:r w:rsidR="00E617BF">
        <w:t xml:space="preserve"> zvērestu.</w:t>
      </w:r>
    </w:p>
    <w:p w14:paraId="4EAA4A89" w14:textId="76B57EC8" w:rsidR="004E6F0E" w:rsidRDefault="006F1648" w:rsidP="00263AA3">
      <w:pPr>
        <w:spacing w:line="276" w:lineRule="auto"/>
        <w:ind w:firstLine="567"/>
        <w:jc w:val="both"/>
      </w:pPr>
      <w:r>
        <w:t>[</w:t>
      </w:r>
      <w:r w:rsidR="00042B03">
        <w:t>4.</w:t>
      </w:r>
      <w:r w:rsidR="00C57057">
        <w:t>7</w:t>
      </w:r>
      <w:r>
        <w:t>] Nav saprotams, kādēļ konkrētā lieta netika apvienota ar lietu Nr.</w:t>
      </w:r>
      <w:r w:rsidR="00C57057">
        <w:t> </w:t>
      </w:r>
      <w:r>
        <w:t>A420175516</w:t>
      </w:r>
      <w:r w:rsidR="001A38D9">
        <w:t>, kurā arī tiek vērtēts jautājums</w:t>
      </w:r>
      <w:r w:rsidR="00E617BF">
        <w:t xml:space="preserve"> </w:t>
      </w:r>
      <w:r>
        <w:t xml:space="preserve">par </w:t>
      </w:r>
      <w:r w:rsidR="001A38D9">
        <w:t xml:space="preserve">higiēnas prasībām atbilstošu apstākļu nodrošināšanu tajās pašās </w:t>
      </w:r>
      <w:r>
        <w:t>dušas telp</w:t>
      </w:r>
      <w:r w:rsidR="001A38D9">
        <w:t>ās</w:t>
      </w:r>
      <w:r>
        <w:t xml:space="preserve"> un </w:t>
      </w:r>
      <w:r w:rsidR="001A38D9">
        <w:t xml:space="preserve">to </w:t>
      </w:r>
      <w:r>
        <w:t xml:space="preserve">tehnisko stāvokli </w:t>
      </w:r>
      <w:r w:rsidR="00C57057">
        <w:t xml:space="preserve">laikā </w:t>
      </w:r>
      <w:r>
        <w:t xml:space="preserve">no 2014.gada 3.augusta līdz 2015.gada 3.augustam. </w:t>
      </w:r>
    </w:p>
    <w:p w14:paraId="76147F3E" w14:textId="0189724C" w:rsidR="00263AA3" w:rsidRDefault="00263AA3" w:rsidP="00263AA3">
      <w:pPr>
        <w:spacing w:line="276" w:lineRule="auto"/>
        <w:ind w:firstLine="567"/>
        <w:jc w:val="both"/>
      </w:pPr>
      <w:r>
        <w:t>[</w:t>
      </w:r>
      <w:r w:rsidR="00042B03">
        <w:t>4.</w:t>
      </w:r>
      <w:r w:rsidR="00C57057">
        <w:t>8</w:t>
      </w:r>
      <w:r>
        <w:t xml:space="preserve">] Ieslodzījuma vietu pārvalde </w:t>
      </w:r>
      <w:r w:rsidR="00C57057">
        <w:t xml:space="preserve">2016.gada 19.jūlijā ir </w:t>
      </w:r>
      <w:r>
        <w:t xml:space="preserve">atzinusi </w:t>
      </w:r>
      <w:r w:rsidR="00C57057">
        <w:t xml:space="preserve">par prettiesisku </w:t>
      </w:r>
      <w:r>
        <w:t>Jelgavas cietuma rīcību, nenodrošinot atbilstošus apstākļus dušas telpās</w:t>
      </w:r>
      <w:r w:rsidR="00C57057">
        <w:t>, un rakstveidā par to atvainojusies</w:t>
      </w:r>
      <w:r w:rsidR="00E617BF">
        <w:t>.</w:t>
      </w:r>
    </w:p>
    <w:p w14:paraId="54349717" w14:textId="2B775DF8" w:rsidR="00A65D61" w:rsidRDefault="00042B03" w:rsidP="00AE1EAF">
      <w:pPr>
        <w:spacing w:line="276" w:lineRule="auto"/>
        <w:ind w:firstLine="567"/>
        <w:jc w:val="both"/>
      </w:pPr>
      <w:r>
        <w:t>[4.</w:t>
      </w:r>
      <w:r w:rsidR="00C57057">
        <w:t>9</w:t>
      </w:r>
      <w:r>
        <w:t xml:space="preserve">] </w:t>
      </w:r>
      <w:r w:rsidR="00E617BF">
        <w:t>Iestādes</w:t>
      </w:r>
      <w:r>
        <w:t xml:space="preserve"> mērķi</w:t>
      </w:r>
      <w:r w:rsidR="00E617BF">
        <w:t>s bija</w:t>
      </w:r>
      <w:r>
        <w:t xml:space="preserve"> pazemot</w:t>
      </w:r>
      <w:r w:rsidR="00E617BF">
        <w:t xml:space="preserve"> pieteicēju</w:t>
      </w:r>
      <w:r>
        <w:t xml:space="preserve"> un pakļaut </w:t>
      </w:r>
      <w:r w:rsidR="00E617BF">
        <w:t xml:space="preserve">viņu </w:t>
      </w:r>
      <w:r>
        <w:t xml:space="preserve">spīdzināšanai. </w:t>
      </w:r>
      <w:r w:rsidR="00C57057">
        <w:t xml:space="preserve">Ņemot vērā minēto, kā arī visus pārējos apstākļus, pieteicējam nosakāms atlīdzinājums 7114,36 </w:t>
      </w:r>
      <w:proofErr w:type="spellStart"/>
      <w:r w:rsidR="00C57057" w:rsidRPr="006400DD">
        <w:rPr>
          <w:i/>
        </w:rPr>
        <w:t>euro</w:t>
      </w:r>
      <w:proofErr w:type="spellEnd"/>
      <w:r w:rsidR="00C57057">
        <w:t>.</w:t>
      </w:r>
    </w:p>
    <w:p w14:paraId="4D881CB9" w14:textId="77777777" w:rsidR="00AE1EAF" w:rsidRPr="0019136E" w:rsidRDefault="00AE1EAF" w:rsidP="00AE1EAF">
      <w:pPr>
        <w:spacing w:line="276" w:lineRule="auto"/>
        <w:ind w:firstLine="567"/>
        <w:jc w:val="both"/>
      </w:pPr>
    </w:p>
    <w:p w14:paraId="26899612" w14:textId="77777777" w:rsidR="003047F5" w:rsidRPr="0019136E" w:rsidRDefault="003047F5" w:rsidP="000B0A3A">
      <w:pPr>
        <w:spacing w:line="276" w:lineRule="auto"/>
        <w:jc w:val="center"/>
        <w:rPr>
          <w:b/>
        </w:rPr>
      </w:pPr>
      <w:r w:rsidRPr="0019136E">
        <w:rPr>
          <w:b/>
        </w:rPr>
        <w:t>Motīvu daļa</w:t>
      </w:r>
    </w:p>
    <w:p w14:paraId="520C5B4B" w14:textId="77777777" w:rsidR="000C56EA" w:rsidRDefault="000C56EA" w:rsidP="000C56EA">
      <w:pPr>
        <w:spacing w:line="276" w:lineRule="auto"/>
        <w:jc w:val="both"/>
      </w:pPr>
    </w:p>
    <w:p w14:paraId="064F45F8" w14:textId="505AD65C" w:rsidR="001470C6" w:rsidRDefault="000C56EA" w:rsidP="00AE1EAF">
      <w:pPr>
        <w:spacing w:line="276" w:lineRule="auto"/>
        <w:ind w:firstLine="567"/>
        <w:jc w:val="both"/>
      </w:pPr>
      <w:r>
        <w:t>[</w:t>
      </w:r>
      <w:r w:rsidR="005B7D06">
        <w:t>5</w:t>
      </w:r>
      <w:r>
        <w:t>]</w:t>
      </w:r>
      <w:r w:rsidR="00A65D61">
        <w:t xml:space="preserve"> </w:t>
      </w:r>
      <w:r w:rsidR="00AE1EAF">
        <w:t xml:space="preserve">Pieteicējs lūdzis apvienot </w:t>
      </w:r>
      <w:r w:rsidR="0085418F">
        <w:t xml:space="preserve">izskatāmo </w:t>
      </w:r>
      <w:r w:rsidR="00AE1EAF">
        <w:t xml:space="preserve">lietu </w:t>
      </w:r>
      <w:r w:rsidR="0085418F">
        <w:t>ar</w:t>
      </w:r>
      <w:r w:rsidR="00AE1EAF">
        <w:t xml:space="preserve"> lietu Nr.</w:t>
      </w:r>
      <w:r w:rsidR="007A723D">
        <w:t> </w:t>
      </w:r>
      <w:r w:rsidR="00AE1EAF">
        <w:t>A420175516</w:t>
      </w:r>
      <w:r w:rsidR="0085418F">
        <w:t xml:space="preserve">, kurā </w:t>
      </w:r>
      <w:proofErr w:type="spellStart"/>
      <w:r w:rsidR="0085418F">
        <w:t>citstarp</w:t>
      </w:r>
      <w:proofErr w:type="spellEnd"/>
      <w:r w:rsidR="0085418F">
        <w:t xml:space="preserve"> arī ir strīds </w:t>
      </w:r>
      <w:r w:rsidR="001A38D9" w:rsidRPr="001A38D9">
        <w:t>par higiēnas prasībām atbilstošu apstākļu nodrošināšanu tajās pašās dušas telpās</w:t>
      </w:r>
      <w:r w:rsidR="001A38D9">
        <w:t xml:space="preserve"> </w:t>
      </w:r>
      <w:r w:rsidR="00556083">
        <w:t>vēlākā laika periodā</w:t>
      </w:r>
      <w:r w:rsidR="00AE1EAF">
        <w:t>.</w:t>
      </w:r>
    </w:p>
    <w:p w14:paraId="44445CBE" w14:textId="309CB16C" w:rsidR="00F61351" w:rsidRDefault="001470C6" w:rsidP="00F5535A">
      <w:pPr>
        <w:spacing w:line="276" w:lineRule="auto"/>
        <w:ind w:firstLine="567"/>
        <w:jc w:val="both"/>
      </w:pPr>
      <w:r w:rsidRPr="001470C6">
        <w:t>Saskaņā ar Administratīvā procesa likuma 193.panta otro daļu, ja tiesas tiesvedībā ir vairākas vienveidīgas lietas, kurās piedalās vieni un tie paši administratīvā procesa dalībnieki, vai arī lietas viena pieteicēja pieteikumos pret vairākiem atbildētājiem vai vairāku pieteicēju pieteikumos pret vienu un to pašu atbildētāju, tiesa var apvienot šīs lietas vienā tiesvedībā, ja šāda apvienošana sekmē administratīvo lietu ātrāku un pareizāku izskatīšanu.</w:t>
      </w:r>
    </w:p>
    <w:p w14:paraId="05337597" w14:textId="47DE5832" w:rsidR="00A9422F" w:rsidRDefault="00E764B8" w:rsidP="00A9422F">
      <w:pPr>
        <w:spacing w:line="276" w:lineRule="auto"/>
        <w:ind w:firstLine="567"/>
        <w:jc w:val="both"/>
      </w:pPr>
      <w:r>
        <w:t xml:space="preserve">Tomēr jānorāda, </w:t>
      </w:r>
      <w:r w:rsidR="007A723D">
        <w:t xml:space="preserve">ka </w:t>
      </w:r>
      <w:r w:rsidR="00AE1EAF">
        <w:t xml:space="preserve">lietas izskatīšana pēc būtības nav Senāta kompetencē. </w:t>
      </w:r>
      <w:r w:rsidR="00A9422F" w:rsidRPr="00A9422F">
        <w:t>Kasācijas instances tiesa neveic pierādījumu pārbaudi un nepārskata zemākas instances tiesas secinājumus par lietas faktiskajiem apstākļiem, bet pārbauda, vai tiesa nav pārkāpusi konkrētas tiesību normas vai pārsniegusi savas kompetences robežas (</w:t>
      </w:r>
      <w:r w:rsidR="00A9422F" w:rsidRPr="005B7D06">
        <w:rPr>
          <w:i/>
        </w:rPr>
        <w:t>Administratīvā procesa likuma 325.pants</w:t>
      </w:r>
      <w:r w:rsidR="00A9422F" w:rsidRPr="00A9422F">
        <w:t>)</w:t>
      </w:r>
      <w:r w:rsidR="00A9422F">
        <w:t xml:space="preserve">. </w:t>
      </w:r>
      <w:r w:rsidR="00172481">
        <w:t xml:space="preserve">Līdz ar to lietu apvienošana nevar </w:t>
      </w:r>
      <w:r w:rsidR="00172481" w:rsidRPr="00172481">
        <w:t>sekmē</w:t>
      </w:r>
      <w:r w:rsidR="00172481">
        <w:t>t</w:t>
      </w:r>
      <w:r w:rsidR="00172481" w:rsidRPr="00172481">
        <w:t xml:space="preserve"> </w:t>
      </w:r>
      <w:r w:rsidR="00172481">
        <w:t xml:space="preserve">to </w:t>
      </w:r>
      <w:r w:rsidR="00172481" w:rsidRPr="00172481">
        <w:t>ātrāku un pareizāku izskatīšanu</w:t>
      </w:r>
      <w:r w:rsidR="00172481">
        <w:t xml:space="preserve"> kasācijas instancē. Ievērojot minēto, pieteicēja lūgums par lietu apvienošanu ir noraidāms.</w:t>
      </w:r>
    </w:p>
    <w:p w14:paraId="6D4C57A2" w14:textId="19B19DF8" w:rsidR="009937F0" w:rsidRDefault="009937F0" w:rsidP="009937F0">
      <w:pPr>
        <w:spacing w:line="276" w:lineRule="auto"/>
        <w:ind w:firstLine="567"/>
        <w:jc w:val="both"/>
      </w:pPr>
    </w:p>
    <w:p w14:paraId="528CA74D" w14:textId="04ECF2A8" w:rsidR="005110F8" w:rsidRDefault="00AE1EAF" w:rsidP="00926AB2">
      <w:pPr>
        <w:spacing w:line="276" w:lineRule="auto"/>
        <w:ind w:firstLine="567"/>
        <w:jc w:val="both"/>
      </w:pPr>
      <w:r>
        <w:t>[</w:t>
      </w:r>
      <w:r w:rsidR="005B7D06">
        <w:t>6</w:t>
      </w:r>
      <w:r>
        <w:t xml:space="preserve">] </w:t>
      </w:r>
      <w:r w:rsidR="00926AB2">
        <w:t xml:space="preserve">Pieteicējs kasācijas sūdzībā iebilst pret to, ka apgabaltiesa nav izvērtējusi visus pieteikumā norādītos apstākļus. Apgabaltiesa ir pareizi norādījusi, ka attiecībā uz pārējiem apstākļiem (nepietiekamu mazgāšanās biežumu un ilgumu, privātuma nenodrošināšanu dušu priekštelpā, jo durvīs ierīkota novērošanas actiņa, un dušas telpu kritiskā tehniskā stāvokļa (no </w:t>
      </w:r>
      <w:r w:rsidR="00926AB2">
        <w:lastRenderedPageBreak/>
        <w:t>griestiem krīt apmetums) nenovēršanu) ir spēkā stājies Administratīvās rajona tiesas 2015.gada 7.septembra lēmums par tiesvedības izbeigšanu lietā un līdz ar to tā nevarēja izskatīt pieteicēja pieteikum</w:t>
      </w:r>
      <w:r w:rsidR="007A723D">
        <w:t>u</w:t>
      </w:r>
      <w:r w:rsidR="00926AB2">
        <w:t xml:space="preserve"> daļā par šiem apstākļiem. Tā kā ar Augstākās tiesas 2015.gada 14.decembra lēmumu Administratīvās rajona tiesas 2015.gada 7.septembra lēmums par tiesvedības izbeigšanu tika atcelts tikai daļā par Jelgavas cietuma administrācijas rīcību, </w:t>
      </w:r>
      <w:r w:rsidR="005110F8" w:rsidRPr="005110F8">
        <w:t xml:space="preserve">laikā no 2013.gada 24.marta līdz 2014.gada 24.martam </w:t>
      </w:r>
      <w:r w:rsidR="00926AB2">
        <w:t>nenodrošinot higiēnas prasībām atbilstošus apstākļus Jelgavas cietuma 4.korpusa dušas telpās, un ar to saistīto morālā kaitējuma</w:t>
      </w:r>
      <w:r w:rsidR="005110F8">
        <w:t xml:space="preserve"> </w:t>
      </w:r>
      <w:r w:rsidR="00926AB2">
        <w:t>atlīdzinājumu</w:t>
      </w:r>
      <w:r w:rsidR="005110F8">
        <w:t>, tad apgabaltiesa pamatoti vērtēja tikai šo pieteikuma daļu.</w:t>
      </w:r>
    </w:p>
    <w:p w14:paraId="1405D6F3" w14:textId="77777777" w:rsidR="00926AB2" w:rsidRDefault="00926AB2" w:rsidP="00B67DA8">
      <w:pPr>
        <w:spacing w:line="276" w:lineRule="auto"/>
        <w:ind w:firstLine="567"/>
        <w:jc w:val="both"/>
      </w:pPr>
    </w:p>
    <w:p w14:paraId="08D5229D" w14:textId="3EFAC3E0" w:rsidR="005110F8" w:rsidRDefault="00B67DA8" w:rsidP="005110F8">
      <w:pPr>
        <w:spacing w:line="276" w:lineRule="auto"/>
        <w:ind w:firstLine="567"/>
        <w:jc w:val="both"/>
      </w:pPr>
      <w:r>
        <w:t xml:space="preserve">[7] </w:t>
      </w:r>
      <w:r w:rsidR="005110F8">
        <w:t xml:space="preserve">Pieteicējs kasācijas sūdzībā ir norādījis, ka apgabaltiesa, noraidot viņa lūgumu par liecinieka </w:t>
      </w:r>
      <w:r w:rsidR="005110F8" w:rsidRPr="005110F8">
        <w:t xml:space="preserve">– </w:t>
      </w:r>
      <w:r w:rsidR="005110F8">
        <w:t xml:space="preserve">personas, kas attiecīgajā laika periodā uzkopa dušas telpas, </w:t>
      </w:r>
      <w:r w:rsidR="005110F8" w:rsidRPr="005110F8">
        <w:t xml:space="preserve">– </w:t>
      </w:r>
      <w:r w:rsidR="008270C9">
        <w:t xml:space="preserve">nopratināšanu, </w:t>
      </w:r>
      <w:r w:rsidR="005110F8">
        <w:t>ir pārkāpusi Administratīvā procesa likuma 154.pantu.</w:t>
      </w:r>
    </w:p>
    <w:p w14:paraId="582E3C2F" w14:textId="1125BED2" w:rsidR="00757471" w:rsidRDefault="00757471" w:rsidP="005110F8">
      <w:pPr>
        <w:spacing w:line="276" w:lineRule="auto"/>
        <w:ind w:firstLine="567"/>
        <w:jc w:val="both"/>
      </w:pPr>
      <w:r>
        <w:t xml:space="preserve">Administratīvā procesa likuma 154.panta pirmā daļa noteic, ka tiesa novērtē pierādījumus pēc savas iekšējās pārliecības, kas pamatojas uz vispusīgi, pilnīgi un objektīvi pārbaudītiem pierādījumiem, kā arī vadoties no tiesiskās apziņas, kas balstīta uz loģikas likumiem, zinātnes atziņām un taisnības principiem. Šā panta otrā daļa paredz, ka nekādiem pierādījumiem nav iepriekš noteikta spēka, kas saistītu tiesu. Savukārt atbilstoši šā panta trešajai daļai tiesa spriedumā norāda, kādēļ tā vienam pierādījumam devusi priekšroku salīdzinājumā ar citu pierādījumu un atzinusi vienu faktu par pierādītu, bet citu </w:t>
      </w:r>
      <w:r w:rsidR="00D5672F">
        <w:t>–</w:t>
      </w:r>
      <w:r>
        <w:t xml:space="preserve"> par nepierādītu.</w:t>
      </w:r>
    </w:p>
    <w:p w14:paraId="7BA59CCA" w14:textId="7E79D543" w:rsidR="004F0631" w:rsidRDefault="00757471" w:rsidP="00FD6805">
      <w:pPr>
        <w:spacing w:line="276" w:lineRule="auto"/>
        <w:ind w:firstLine="567"/>
        <w:jc w:val="both"/>
      </w:pPr>
      <w:r>
        <w:t xml:space="preserve">Senāts ir norādījis, ka no </w:t>
      </w:r>
      <w:r w:rsidRPr="00757471">
        <w:t xml:space="preserve">Administratīvā procesa likuma 154.panta izriet, ka tiesa pati izlemj par pierādījumu ticamību un pietiekamību. Vienīgi tiesa var noteikt, kuri pierādījumi ir nozīmīgi lietā būtisku faktu vai apstākļu noskaidrošanai. Tiesa var ņemt vērā arī, vai pierādījumi lietā ir pietiekami, kā arī vai citi pierādījumi nav lieki un nevajadzīgi </w:t>
      </w:r>
      <w:r w:rsidR="00FD6805">
        <w:t>apgrūtinoši lietas izskatīšanai</w:t>
      </w:r>
      <w:r w:rsidRPr="00757471">
        <w:t xml:space="preserve"> (</w:t>
      </w:r>
      <w:r w:rsidRPr="00757471">
        <w:rPr>
          <w:i/>
        </w:rPr>
        <w:t xml:space="preserve">Senāta </w:t>
      </w:r>
      <w:r w:rsidR="000F33A2" w:rsidRPr="00757471">
        <w:rPr>
          <w:i/>
        </w:rPr>
        <w:t>2007.gada 24.maija sprieduma lietā Nr.</w:t>
      </w:r>
      <w:r w:rsidR="004774A8">
        <w:rPr>
          <w:i/>
        </w:rPr>
        <w:t> </w:t>
      </w:r>
      <w:r w:rsidR="000F33A2" w:rsidRPr="00757471">
        <w:rPr>
          <w:i/>
        </w:rPr>
        <w:t>SKA-219/</w:t>
      </w:r>
      <w:r w:rsidR="00D617DA">
        <w:rPr>
          <w:i/>
        </w:rPr>
        <w:t>2</w:t>
      </w:r>
      <w:r w:rsidR="000F33A2" w:rsidRPr="00757471">
        <w:rPr>
          <w:i/>
        </w:rPr>
        <w:t xml:space="preserve">007 </w:t>
      </w:r>
      <w:r w:rsidR="000F33A2">
        <w:rPr>
          <w:i/>
        </w:rPr>
        <w:t>(</w:t>
      </w:r>
      <w:r w:rsidR="000F33A2" w:rsidRPr="00757471">
        <w:rPr>
          <w:i/>
        </w:rPr>
        <w:t>A42326005</w:t>
      </w:r>
      <w:r w:rsidR="000F33A2">
        <w:rPr>
          <w:i/>
        </w:rPr>
        <w:t xml:space="preserve">) </w:t>
      </w:r>
      <w:r w:rsidR="000F33A2" w:rsidRPr="00757471">
        <w:rPr>
          <w:i/>
        </w:rPr>
        <w:t>11.punkt</w:t>
      </w:r>
      <w:r w:rsidR="000F33A2">
        <w:rPr>
          <w:i/>
        </w:rPr>
        <w:t>s,</w:t>
      </w:r>
      <w:r w:rsidR="000F33A2" w:rsidRPr="00757471">
        <w:rPr>
          <w:i/>
        </w:rPr>
        <w:t xml:space="preserve"> </w:t>
      </w:r>
      <w:r w:rsidRPr="00757471">
        <w:rPr>
          <w:i/>
        </w:rPr>
        <w:t>2007.gada 22.jūnija sprieduma lietā Nr.</w:t>
      </w:r>
      <w:r w:rsidR="004774A8">
        <w:rPr>
          <w:i/>
        </w:rPr>
        <w:t> </w:t>
      </w:r>
      <w:r w:rsidRPr="00757471">
        <w:rPr>
          <w:i/>
        </w:rPr>
        <w:t xml:space="preserve">SKA-305/2007 </w:t>
      </w:r>
      <w:r>
        <w:rPr>
          <w:i/>
        </w:rPr>
        <w:t>(</w:t>
      </w:r>
      <w:r w:rsidRPr="00757471">
        <w:rPr>
          <w:i/>
        </w:rPr>
        <w:t>A42313805</w:t>
      </w:r>
      <w:r>
        <w:rPr>
          <w:i/>
        </w:rPr>
        <w:t xml:space="preserve">) </w:t>
      </w:r>
      <w:r w:rsidRPr="00757471">
        <w:rPr>
          <w:i/>
        </w:rPr>
        <w:t>10.punkt</w:t>
      </w:r>
      <w:r>
        <w:rPr>
          <w:i/>
        </w:rPr>
        <w:t>s</w:t>
      </w:r>
      <w:r w:rsidRPr="00757471">
        <w:rPr>
          <w:i/>
        </w:rPr>
        <w:t>,</w:t>
      </w:r>
      <w:r w:rsidR="00FD6805">
        <w:rPr>
          <w:i/>
        </w:rPr>
        <w:t xml:space="preserve"> </w:t>
      </w:r>
      <w:r w:rsidR="00FD6805" w:rsidRPr="00FD6805">
        <w:rPr>
          <w:i/>
        </w:rPr>
        <w:t>2008.gada 2.oktobr</w:t>
      </w:r>
      <w:r w:rsidR="00FD6805">
        <w:rPr>
          <w:i/>
        </w:rPr>
        <w:t>a sprieduma l</w:t>
      </w:r>
      <w:r w:rsidR="00FD6805" w:rsidRPr="00FD6805">
        <w:rPr>
          <w:i/>
        </w:rPr>
        <w:t>iet</w:t>
      </w:r>
      <w:r w:rsidR="00FD6805">
        <w:rPr>
          <w:i/>
        </w:rPr>
        <w:t>ā</w:t>
      </w:r>
      <w:r w:rsidR="00FD6805" w:rsidRPr="00FD6805">
        <w:rPr>
          <w:i/>
        </w:rPr>
        <w:t xml:space="preserve"> Nr.</w:t>
      </w:r>
      <w:r w:rsidR="00FD6805">
        <w:rPr>
          <w:i/>
        </w:rPr>
        <w:t> </w:t>
      </w:r>
      <w:r w:rsidR="00FD6805" w:rsidRPr="00FD6805">
        <w:rPr>
          <w:i/>
        </w:rPr>
        <w:t>SKA</w:t>
      </w:r>
      <w:r w:rsidR="004774A8" w:rsidRPr="00757471">
        <w:rPr>
          <w:i/>
        </w:rPr>
        <w:t>-</w:t>
      </w:r>
      <w:r w:rsidR="00FD6805" w:rsidRPr="00FD6805">
        <w:rPr>
          <w:i/>
        </w:rPr>
        <w:t>378/2008</w:t>
      </w:r>
      <w:r w:rsidR="00FD6805">
        <w:rPr>
          <w:i/>
        </w:rPr>
        <w:t xml:space="preserve"> (</w:t>
      </w:r>
      <w:r w:rsidR="00667865" w:rsidRPr="00667865">
        <w:rPr>
          <w:i/>
          <w:iCs/>
        </w:rPr>
        <w:t>A42330805</w:t>
      </w:r>
      <w:r w:rsidR="00FD6805">
        <w:rPr>
          <w:i/>
        </w:rPr>
        <w:t>) 11.punkts</w:t>
      </w:r>
      <w:r w:rsidRPr="00757471">
        <w:t>)</w:t>
      </w:r>
      <w:r w:rsidR="00FD6805">
        <w:t>.</w:t>
      </w:r>
    </w:p>
    <w:p w14:paraId="183E4A6A" w14:textId="6D7603F7" w:rsidR="00FD6805" w:rsidRDefault="00FD6805" w:rsidP="00FD6805">
      <w:pPr>
        <w:spacing w:line="276" w:lineRule="auto"/>
        <w:ind w:firstLine="567"/>
        <w:jc w:val="both"/>
      </w:pPr>
      <w:r>
        <w:t>Tātad tiesa nav saistīta ar procesa dalībnieku viedokli par kāda konkrēta pierādījuma nepieciešamību lietā.</w:t>
      </w:r>
      <w:r w:rsidR="004F0631">
        <w:t xml:space="preserve"> </w:t>
      </w:r>
      <w:r>
        <w:t>Tom</w:t>
      </w:r>
      <w:r w:rsidR="009F07D1">
        <w:t>ēr</w:t>
      </w:r>
      <w:r>
        <w:t xml:space="preserve"> tiesai</w:t>
      </w:r>
      <w:r w:rsidR="009F07D1">
        <w:t>,</w:t>
      </w:r>
      <w:r>
        <w:t xml:space="preserve"> lemjot par procesa dalībnieka lūgumu par pierādījuma iegūšanu, ir jānodrošina, lai tiktu ievērotas tiesības uz taisnīgu tiesu.</w:t>
      </w:r>
    </w:p>
    <w:p w14:paraId="21BB6401" w14:textId="77777777" w:rsidR="0044547A" w:rsidRDefault="0044547A" w:rsidP="00194FF9">
      <w:pPr>
        <w:spacing w:line="276" w:lineRule="auto"/>
        <w:ind w:firstLine="567"/>
        <w:jc w:val="both"/>
      </w:pPr>
    </w:p>
    <w:p w14:paraId="4F26F528" w14:textId="30C4E095" w:rsidR="00960D85" w:rsidRPr="00960D85" w:rsidRDefault="0044547A" w:rsidP="00960D85">
      <w:pPr>
        <w:spacing w:line="276" w:lineRule="auto"/>
        <w:ind w:firstLine="567"/>
        <w:jc w:val="both"/>
      </w:pPr>
      <w:r w:rsidRPr="00960D85">
        <w:t>[</w:t>
      </w:r>
      <w:r w:rsidR="00B67DA8">
        <w:t>8</w:t>
      </w:r>
      <w:r w:rsidRPr="00960D85">
        <w:t>]</w:t>
      </w:r>
      <w:r w:rsidR="00960D85" w:rsidRPr="00960D85">
        <w:t xml:space="preserve"> </w:t>
      </w:r>
      <w:r w:rsidR="00960D85">
        <w:t>Eiropas Cilvēktiesību tiesa ir norād</w:t>
      </w:r>
      <w:r w:rsidR="00084132">
        <w:t>ījusi, ka Eiropas Cilvēktiesību un pamatbrīvību aizsardzības konvencijas (turpmāk – Konvencija) 6.pants negarantē neierobežotas tiesības izsaukt lieciniekus</w:t>
      </w:r>
      <w:r w:rsidR="00DC5EF7">
        <w:t>. T</w:t>
      </w:r>
      <w:r w:rsidR="00084132">
        <w:t xml:space="preserve">omēr </w:t>
      </w:r>
      <w:r w:rsidR="00DC5EF7">
        <w:t>ikvienam ierobežoj</w:t>
      </w:r>
      <w:r w:rsidR="00D5672F">
        <w:t>um</w:t>
      </w:r>
      <w:r w:rsidR="00DC5EF7">
        <w:t>am izsaukt lieciniekus vai pievienot lietas materiāliem kādus pierādījumus, kuri pamato lietas dalībnieka pozīciju, ir jāatbilst</w:t>
      </w:r>
      <w:r w:rsidR="00084132">
        <w:t xml:space="preserve"> taisnīga</w:t>
      </w:r>
      <w:r w:rsidR="00DC5EF7">
        <w:t>s tiesas prasībām</w:t>
      </w:r>
      <w:r w:rsidR="00084132">
        <w:t xml:space="preserve"> Konvencijas 6.panta </w:t>
      </w:r>
      <w:r w:rsidR="00DC5EF7">
        <w:t>pirmās daļas</w:t>
      </w:r>
      <w:r w:rsidR="00084132">
        <w:t xml:space="preserve"> izpratnē</w:t>
      </w:r>
      <w:r w:rsidR="00DC5EF7">
        <w:t>, tostarp prasībai nodrošināt pušu līdztiesību. No pušu līdzties</w:t>
      </w:r>
      <w:r w:rsidR="001C106A">
        <w:t>ības principa izriet, ka katram procesa dalībniekam ir jānodrošina saprātīga iespēja pamatot savu pozīciju, tostarp ar pierādījumiem, nenostādot viņu būtiski neizdevīgākā pozīcijā nekā viņa oponentu</w:t>
      </w:r>
      <w:r w:rsidR="00084132">
        <w:t xml:space="preserve"> (</w:t>
      </w:r>
      <w:r w:rsidR="00084132" w:rsidRPr="0095570A">
        <w:rPr>
          <w:i/>
        </w:rPr>
        <w:t>Eiropas Cilvēktiesību tiesas 1993.gada 27.oktobra spriedum</w:t>
      </w:r>
      <w:r w:rsidR="00D5672F">
        <w:rPr>
          <w:i/>
        </w:rPr>
        <w:t>a</w:t>
      </w:r>
      <w:r w:rsidR="00084132" w:rsidRPr="0095570A">
        <w:rPr>
          <w:i/>
        </w:rPr>
        <w:t xml:space="preserve"> lietā „</w:t>
      </w:r>
      <w:proofErr w:type="spellStart"/>
      <w:r w:rsidR="00084132" w:rsidRPr="0095570A">
        <w:rPr>
          <w:i/>
        </w:rPr>
        <w:t>Dombo</w:t>
      </w:r>
      <w:proofErr w:type="spellEnd"/>
      <w:r w:rsidR="00084132" w:rsidRPr="0095570A">
        <w:rPr>
          <w:i/>
        </w:rPr>
        <w:t xml:space="preserve"> </w:t>
      </w:r>
      <w:proofErr w:type="spellStart"/>
      <w:r w:rsidR="00084132" w:rsidRPr="0095570A">
        <w:rPr>
          <w:i/>
        </w:rPr>
        <w:t>Beheer</w:t>
      </w:r>
      <w:proofErr w:type="spellEnd"/>
      <w:r w:rsidR="00084132" w:rsidRPr="0095570A">
        <w:rPr>
          <w:i/>
        </w:rPr>
        <w:t xml:space="preserve"> B.V. v. </w:t>
      </w:r>
      <w:proofErr w:type="spellStart"/>
      <w:r w:rsidR="00084132" w:rsidRPr="0095570A">
        <w:rPr>
          <w:i/>
        </w:rPr>
        <w:t>the</w:t>
      </w:r>
      <w:proofErr w:type="spellEnd"/>
      <w:r w:rsidR="00084132" w:rsidRPr="0095570A">
        <w:rPr>
          <w:i/>
        </w:rPr>
        <w:t xml:space="preserve"> </w:t>
      </w:r>
      <w:proofErr w:type="spellStart"/>
      <w:r w:rsidR="00084132" w:rsidRPr="0095570A">
        <w:rPr>
          <w:i/>
        </w:rPr>
        <w:t>Netherlands</w:t>
      </w:r>
      <w:proofErr w:type="spellEnd"/>
      <w:r w:rsidR="00084132" w:rsidRPr="0095570A">
        <w:rPr>
          <w:i/>
        </w:rPr>
        <w:t>”, iesnieguma Nr.</w:t>
      </w:r>
      <w:r w:rsidR="004774A8">
        <w:rPr>
          <w:i/>
        </w:rPr>
        <w:t> </w:t>
      </w:r>
      <w:r w:rsidR="00084132" w:rsidRPr="0095570A">
        <w:rPr>
          <w:i/>
        </w:rPr>
        <w:t>14448/88, 31.punkts</w:t>
      </w:r>
      <w:r w:rsidR="001C106A">
        <w:rPr>
          <w:i/>
        </w:rPr>
        <w:t xml:space="preserve">; </w:t>
      </w:r>
      <w:r w:rsidR="001C106A" w:rsidRPr="0095570A">
        <w:rPr>
          <w:i/>
        </w:rPr>
        <w:t>2002.gada 18.jūnija spriedum</w:t>
      </w:r>
      <w:r w:rsidR="00D5672F">
        <w:rPr>
          <w:i/>
        </w:rPr>
        <w:t>a</w:t>
      </w:r>
      <w:r w:rsidR="001C106A" w:rsidRPr="0095570A">
        <w:rPr>
          <w:i/>
        </w:rPr>
        <w:t xml:space="preserve"> lietā „</w:t>
      </w:r>
      <w:proofErr w:type="spellStart"/>
      <w:r w:rsidR="001C106A" w:rsidRPr="0095570A">
        <w:rPr>
          <w:i/>
        </w:rPr>
        <w:t>Wierzbicki</w:t>
      </w:r>
      <w:proofErr w:type="spellEnd"/>
      <w:r w:rsidR="001C106A" w:rsidRPr="0095570A">
        <w:rPr>
          <w:i/>
        </w:rPr>
        <w:t xml:space="preserve"> v. </w:t>
      </w:r>
      <w:proofErr w:type="spellStart"/>
      <w:r w:rsidR="001C106A" w:rsidRPr="0095570A">
        <w:rPr>
          <w:i/>
        </w:rPr>
        <w:t>Poland</w:t>
      </w:r>
      <w:proofErr w:type="spellEnd"/>
      <w:r w:rsidR="001C106A" w:rsidRPr="0095570A">
        <w:rPr>
          <w:i/>
        </w:rPr>
        <w:t>”, iesnieguma Nr.</w:t>
      </w:r>
      <w:r w:rsidR="004774A8">
        <w:rPr>
          <w:i/>
        </w:rPr>
        <w:t> </w:t>
      </w:r>
      <w:r w:rsidR="001C106A" w:rsidRPr="0095570A">
        <w:rPr>
          <w:i/>
        </w:rPr>
        <w:t xml:space="preserve">24541/94, </w:t>
      </w:r>
      <w:r w:rsidR="001C106A">
        <w:rPr>
          <w:i/>
        </w:rPr>
        <w:t>39</w:t>
      </w:r>
      <w:r w:rsidR="001C106A" w:rsidRPr="0095570A">
        <w:rPr>
          <w:i/>
        </w:rPr>
        <w:t>.punkts</w:t>
      </w:r>
      <w:r w:rsidR="00084132">
        <w:t xml:space="preserve">). </w:t>
      </w:r>
      <w:r w:rsidR="00EC3306">
        <w:t xml:space="preserve">Gadījumā, ja lūgums par liecinieka izsaukšanu tiek noraidīts, tad tiesai ir jāsniedz pietiekams pamatojums, </w:t>
      </w:r>
      <w:r w:rsidR="009F07D1">
        <w:t xml:space="preserve">lai varētu pārliecināties, ka lūguma noraidīšana nav bijusi </w:t>
      </w:r>
      <w:r w:rsidR="008270C9">
        <w:t>patvaļīga</w:t>
      </w:r>
      <w:r w:rsidR="009F07D1">
        <w:t xml:space="preserve"> </w:t>
      </w:r>
      <w:r w:rsidR="0095570A">
        <w:t>(</w:t>
      </w:r>
      <w:r w:rsidR="0095570A" w:rsidRPr="0095570A">
        <w:rPr>
          <w:i/>
        </w:rPr>
        <w:t>Eiropas Cilvēktiesību tiesas 2002.gada 18.jūnija spriedum</w:t>
      </w:r>
      <w:r w:rsidR="00D5672F">
        <w:rPr>
          <w:i/>
        </w:rPr>
        <w:t>a</w:t>
      </w:r>
      <w:r w:rsidR="0095570A" w:rsidRPr="0095570A">
        <w:rPr>
          <w:i/>
        </w:rPr>
        <w:t xml:space="preserve"> lietā „</w:t>
      </w:r>
      <w:proofErr w:type="spellStart"/>
      <w:r w:rsidR="0095570A" w:rsidRPr="0095570A">
        <w:rPr>
          <w:i/>
        </w:rPr>
        <w:t>Wierzbicki</w:t>
      </w:r>
      <w:proofErr w:type="spellEnd"/>
      <w:r w:rsidR="0095570A" w:rsidRPr="0095570A">
        <w:rPr>
          <w:i/>
        </w:rPr>
        <w:t xml:space="preserve"> v. </w:t>
      </w:r>
      <w:proofErr w:type="spellStart"/>
      <w:r w:rsidR="0095570A" w:rsidRPr="0095570A">
        <w:rPr>
          <w:i/>
        </w:rPr>
        <w:t>Poland</w:t>
      </w:r>
      <w:proofErr w:type="spellEnd"/>
      <w:r w:rsidR="0095570A" w:rsidRPr="0095570A">
        <w:rPr>
          <w:i/>
        </w:rPr>
        <w:t>”, iesnieguma Nr.</w:t>
      </w:r>
      <w:r w:rsidR="004774A8">
        <w:rPr>
          <w:i/>
        </w:rPr>
        <w:t> </w:t>
      </w:r>
      <w:r w:rsidR="0095570A" w:rsidRPr="0095570A">
        <w:rPr>
          <w:i/>
        </w:rPr>
        <w:t>24541/94, 45.punkts</w:t>
      </w:r>
      <w:r w:rsidR="0095570A">
        <w:t>).</w:t>
      </w:r>
    </w:p>
    <w:p w14:paraId="33399975" w14:textId="0BE89324" w:rsidR="0044547A" w:rsidRDefault="004D1AC8" w:rsidP="005B7D06">
      <w:pPr>
        <w:spacing w:line="276" w:lineRule="auto"/>
        <w:ind w:firstLine="567"/>
        <w:jc w:val="both"/>
      </w:pPr>
      <w:r>
        <w:t>Līdz ar to ir jāpārbauda, vai</w:t>
      </w:r>
      <w:r w:rsidR="00D5672F">
        <w:t>,</w:t>
      </w:r>
      <w:r>
        <w:t xml:space="preserve"> noraidot pieteicēja lūgumu par liecinieka </w:t>
      </w:r>
      <w:r w:rsidR="00172481">
        <w:t>noprati</w:t>
      </w:r>
      <w:r>
        <w:t xml:space="preserve">nāšanu, pieteicējam </w:t>
      </w:r>
      <w:r w:rsidR="004E29A7">
        <w:t>tika</w:t>
      </w:r>
      <w:r>
        <w:t xml:space="preserve"> nodrošinātas tiesības uz taisnīgu tiesu.</w:t>
      </w:r>
    </w:p>
    <w:p w14:paraId="7CEF6595" w14:textId="77777777" w:rsidR="005110F8" w:rsidRDefault="005110F8" w:rsidP="00C57057">
      <w:pPr>
        <w:spacing w:line="276" w:lineRule="auto"/>
        <w:ind w:firstLine="567"/>
        <w:jc w:val="both"/>
      </w:pPr>
    </w:p>
    <w:p w14:paraId="6B0E107F" w14:textId="77777777" w:rsidR="001A1212" w:rsidRDefault="00EB7448" w:rsidP="005110F8">
      <w:pPr>
        <w:spacing w:line="276" w:lineRule="auto"/>
        <w:ind w:firstLine="567"/>
        <w:jc w:val="both"/>
      </w:pPr>
      <w:r>
        <w:t>[</w:t>
      </w:r>
      <w:r w:rsidR="00B67DA8">
        <w:t>9</w:t>
      </w:r>
      <w:r>
        <w:t xml:space="preserve">] </w:t>
      </w:r>
      <w:r w:rsidR="008270C9">
        <w:t>Pieteicēja pozīcija šajā lietā ir tāda, ka dušas telpās laikā no 2013.gada 24.marta līdz 2014.gada 24.martam netika nodrošināti</w:t>
      </w:r>
      <w:r w:rsidR="005110F8">
        <w:t xml:space="preserve"> higiēnas prasībām atbilstoš</w:t>
      </w:r>
      <w:r w:rsidR="008270C9">
        <w:t>i</w:t>
      </w:r>
      <w:r w:rsidR="005110F8">
        <w:t xml:space="preserve"> apstākļ</w:t>
      </w:r>
      <w:r w:rsidR="008270C9">
        <w:t xml:space="preserve">i, jo dušas telpas netiek tīrītas pietiekami bieži un </w:t>
      </w:r>
      <w:r w:rsidR="005110F8">
        <w:t>personai, kas uzkopj dušas telpas, netiek izsniegts pietiekams daudzums tīrīšanas līdzekļu</w:t>
      </w:r>
      <w:r w:rsidR="008270C9">
        <w:t xml:space="preserve">. Lai pierādītu savu pozīciju, pieteicējs lūdza nopratināt kā liecinieku </w:t>
      </w:r>
      <w:r w:rsidR="008270C9" w:rsidRPr="008270C9">
        <w:t>person</w:t>
      </w:r>
      <w:r w:rsidR="008270C9">
        <w:t>u</w:t>
      </w:r>
      <w:r w:rsidR="008270C9" w:rsidRPr="008270C9">
        <w:t>, kas attiecīgajā la</w:t>
      </w:r>
      <w:r w:rsidR="008270C9">
        <w:t>ika periodā uzkopa dušas telpas.</w:t>
      </w:r>
      <w:r w:rsidR="001A1212">
        <w:t xml:space="preserve"> </w:t>
      </w:r>
      <w:r w:rsidR="00626C5A">
        <w:t>Apgabaltiesa pieteicēja lūgumu noraidīja, norādot, ka lietā esošie pierādījumi ir pietiekami, lai konstatētu nepieciešamos faktus par telpu uzkopšanas biežumu.</w:t>
      </w:r>
    </w:p>
    <w:p w14:paraId="0E0CB955" w14:textId="51B1FEC6" w:rsidR="001A1212" w:rsidRDefault="001A1212" w:rsidP="001A1212">
      <w:pPr>
        <w:spacing w:line="276" w:lineRule="auto"/>
        <w:ind w:firstLine="567"/>
        <w:jc w:val="both"/>
      </w:pPr>
      <w:r>
        <w:t xml:space="preserve">Senāts atzīst, ka apgabaltiesas tieši norādītais pamatojums var radīt iespaidu, ka lūgums noraidīts patvaļīgi. No apelācijas sūdzības bija saprotams, ka pieteicējs lūdza nopratināt liecinieku galvenokārt tāpēc, lai noskaidrotu, vai lieciniekam tika izsniegts </w:t>
      </w:r>
      <w:r w:rsidRPr="001A1212">
        <w:t>pietiekams daudzums tīrīšanas līdzekļu</w:t>
      </w:r>
      <w:r>
        <w:t xml:space="preserve"> dušas telpu uzkopšanai. Taču apgabaltiesas norādītais, ka ir iegūti pietiekami pierādījumi par dušas telpu uzkopšanas biežumu, neļauj izdarīt nekādus secinājumus par pierādījumiem saistībā ar tiem apstākļiem, kuru dēļ pieteicējs lūdza nopratināt liecinieku, un līdz ar to nevar uzskatīt, ka tādējādi būtu sniegt</w:t>
      </w:r>
      <w:r w:rsidR="00D5672F">
        <w:t>s</w:t>
      </w:r>
      <w:r>
        <w:t xml:space="preserve"> loģisks un saprotams pamatojums lūguma noraidīšanai.</w:t>
      </w:r>
    </w:p>
    <w:p w14:paraId="32F77998" w14:textId="77777777" w:rsidR="0071406E" w:rsidRDefault="0071406E" w:rsidP="0071406E">
      <w:pPr>
        <w:spacing w:line="276" w:lineRule="auto"/>
        <w:ind w:firstLine="567"/>
        <w:jc w:val="both"/>
      </w:pPr>
    </w:p>
    <w:p w14:paraId="559218C8" w14:textId="5B909D49" w:rsidR="0071406E" w:rsidRDefault="0071406E" w:rsidP="005110F8">
      <w:pPr>
        <w:spacing w:line="276" w:lineRule="auto"/>
        <w:ind w:firstLine="567"/>
        <w:jc w:val="both"/>
      </w:pPr>
      <w:r>
        <w:t xml:space="preserve">[10] </w:t>
      </w:r>
      <w:r w:rsidR="006D49DB">
        <w:t>Izvērtējot to, kā kopumā apgabaltiesa ir motivējusi spriedumu, Senāts konstatē, ka apgabaltiesa, balstoties uz</w:t>
      </w:r>
      <w:r w:rsidR="00AA1722">
        <w:t xml:space="preserve"> </w:t>
      </w:r>
      <w:r w:rsidR="006D49DB">
        <w:t xml:space="preserve">lietas materiāliem, atzina, </w:t>
      </w:r>
      <w:r w:rsidR="00626C5A" w:rsidRPr="00E617BF">
        <w:t xml:space="preserve">ka dušas telpas tika izmantotas divas reizes nedēļā. </w:t>
      </w:r>
      <w:r w:rsidR="006D49DB">
        <w:t>Pieteicējs šo faktu nav apstrīd</w:t>
      </w:r>
      <w:r>
        <w:t>ējis.</w:t>
      </w:r>
    </w:p>
    <w:p w14:paraId="568378A6" w14:textId="160A4C6B" w:rsidR="0071406E" w:rsidRDefault="00626C5A" w:rsidP="005110F8">
      <w:pPr>
        <w:spacing w:line="276" w:lineRule="auto"/>
        <w:ind w:firstLine="567"/>
        <w:jc w:val="both"/>
      </w:pPr>
      <w:r w:rsidRPr="00E617BF">
        <w:t xml:space="preserve">Apgabaltiesa </w:t>
      </w:r>
      <w:r w:rsidR="006D49DB">
        <w:t xml:space="preserve">spriedumā </w:t>
      </w:r>
      <w:r w:rsidRPr="00E617BF">
        <w:t>piešķīra ticamību iestādes paskaidrojumiem, ka dušas telpas tiek uzkoptas regulāri – vismaz vienu reizi nedēļā</w:t>
      </w:r>
      <w:r w:rsidR="006D49DB">
        <w:t>. Apgabaltiesas ieskatā</w:t>
      </w:r>
      <w:r w:rsidR="0071406E">
        <w:t>,</w:t>
      </w:r>
      <w:r w:rsidR="006D49DB">
        <w:t xml:space="preserve"> to</w:t>
      </w:r>
      <w:r w:rsidRPr="00E617BF">
        <w:t xml:space="preserve"> apstiprina Veselības inspekcijas 2014.gada 5.s</w:t>
      </w:r>
      <w:r w:rsidR="0071406E">
        <w:t>eptembrī pārbaudē konstatētais.</w:t>
      </w:r>
      <w:r w:rsidR="00AA1722" w:rsidRPr="00AA1722">
        <w:t xml:space="preserve"> Apgabaltiesa </w:t>
      </w:r>
      <w:r w:rsidR="00AA1722">
        <w:t>arī</w:t>
      </w:r>
      <w:r w:rsidR="00AA1722" w:rsidRPr="00AA1722">
        <w:t xml:space="preserve"> norādīj</w:t>
      </w:r>
      <w:r w:rsidR="00AA1722">
        <w:t>a</w:t>
      </w:r>
      <w:r w:rsidR="00AA1722" w:rsidRPr="00AA1722">
        <w:t xml:space="preserve">, ka </w:t>
      </w:r>
      <w:r w:rsidR="000F33A2">
        <w:t xml:space="preserve">Veselības inspekcijas </w:t>
      </w:r>
      <w:r w:rsidR="00AA1722" w:rsidRPr="00AA1722">
        <w:t>vēstulē ir teikts, ka dušas telpu uzko</w:t>
      </w:r>
      <w:r w:rsidR="00D5672F">
        <w:t>p</w:t>
      </w:r>
      <w:r w:rsidR="00AA1722" w:rsidRPr="00AA1722">
        <w:t>šana</w:t>
      </w:r>
      <w:r w:rsidR="000F33A2">
        <w:t>i tiek izmantoti</w:t>
      </w:r>
      <w:r w:rsidR="00AA1722" w:rsidRPr="00AA1722">
        <w:t xml:space="preserve"> līdzekļi „</w:t>
      </w:r>
      <w:proofErr w:type="spellStart"/>
      <w:r w:rsidR="00AA1722" w:rsidRPr="00AA1722">
        <w:t>Tyran</w:t>
      </w:r>
      <w:proofErr w:type="spellEnd"/>
      <w:r w:rsidR="00AA1722" w:rsidRPr="00AA1722">
        <w:t xml:space="preserve">” un „AGD EWOL </w:t>
      </w:r>
      <w:proofErr w:type="spellStart"/>
      <w:r w:rsidR="00AA1722" w:rsidRPr="00AA1722">
        <w:t>profes</w:t>
      </w:r>
      <w:r w:rsidR="00302E4E">
        <w:t>s</w:t>
      </w:r>
      <w:r w:rsidR="00AA1722" w:rsidRPr="00AA1722">
        <w:t>ional</w:t>
      </w:r>
      <w:proofErr w:type="spellEnd"/>
      <w:r w:rsidR="00AA1722" w:rsidRPr="00AA1722">
        <w:t>”</w:t>
      </w:r>
      <w:r w:rsidR="000F33A2">
        <w:t>.</w:t>
      </w:r>
    </w:p>
    <w:p w14:paraId="637D1F32" w14:textId="2B0FA6A7" w:rsidR="0071406E" w:rsidRDefault="00626C5A" w:rsidP="005110F8">
      <w:pPr>
        <w:spacing w:line="276" w:lineRule="auto"/>
        <w:ind w:firstLine="567"/>
        <w:jc w:val="both"/>
      </w:pPr>
      <w:r w:rsidRPr="00E617BF">
        <w:t>Apgabaltiesa</w:t>
      </w:r>
      <w:r w:rsidR="006D49DB">
        <w:t>, balstoties uz</w:t>
      </w:r>
      <w:r w:rsidRPr="00E617BF">
        <w:t xml:space="preserve"> lietā esoš</w:t>
      </w:r>
      <w:r w:rsidR="006D49DB">
        <w:t>o</w:t>
      </w:r>
      <w:r w:rsidRPr="00E617BF">
        <w:t xml:space="preserve"> cietuma izziņ</w:t>
      </w:r>
      <w:r w:rsidR="006D49DB">
        <w:t>u</w:t>
      </w:r>
      <w:r w:rsidRPr="00E617BF">
        <w:t xml:space="preserve"> par </w:t>
      </w:r>
      <w:r w:rsidR="006D49DB">
        <w:t>tīrīšanas</w:t>
      </w:r>
      <w:r w:rsidRPr="00E617BF">
        <w:t xml:space="preserve"> līdzekļu izsniegšanu laikā no 2013.gada 24.marta līdz 2014.gada 24.martam un tai pievienot</w:t>
      </w:r>
      <w:r w:rsidR="006D49DB">
        <w:t>ajām</w:t>
      </w:r>
      <w:r w:rsidRPr="00E617BF">
        <w:t xml:space="preserve"> preču pavadzīm</w:t>
      </w:r>
      <w:r w:rsidR="00581BAE">
        <w:t>ēm</w:t>
      </w:r>
      <w:r w:rsidRPr="00E617BF">
        <w:t xml:space="preserve"> par mazgāšanas līdzekļu pirkšanu</w:t>
      </w:r>
      <w:r w:rsidR="006D49DB">
        <w:t xml:space="preserve"> 7. un 8.vienības kameru un dušas telpu uzkopšanai, secināja, ka nav pamata uzskatīt, ka uzkopšanas līdzekļu apjoms nebija pietiekams </w:t>
      </w:r>
      <w:r w:rsidR="00581BAE">
        <w:t xml:space="preserve">higiēnas prasībām atbilstošu apstākļu nodrošināšanai </w:t>
      </w:r>
      <w:r w:rsidR="006D49DB">
        <w:t>dušas telp</w:t>
      </w:r>
      <w:r w:rsidR="00581BAE">
        <w:t>ās</w:t>
      </w:r>
      <w:r w:rsidR="006D49DB">
        <w:t>. Balstoties uz šiem dokumentiem, apgabaltiesa arī secināja, ka mazgāšanas līdzekļus iestāde pērk lielos</w:t>
      </w:r>
      <w:r w:rsidR="0071406E">
        <w:t xml:space="preserve"> </w:t>
      </w:r>
      <w:r w:rsidR="006D49DB">
        <w:t>apjomos, kas</w:t>
      </w:r>
      <w:r w:rsidR="0071406E">
        <w:t>, apgabaltiesas ieskatā,</w:t>
      </w:r>
      <w:r w:rsidR="006D49DB">
        <w:t xml:space="preserve"> pārliecinoši norāda, ka </w:t>
      </w:r>
      <w:r w:rsidR="00581BAE">
        <w:t>dušas</w:t>
      </w:r>
      <w:r w:rsidR="0071406E">
        <w:t xml:space="preserve"> telpas tiek regulāri uzkoptas.</w:t>
      </w:r>
    </w:p>
    <w:p w14:paraId="1927E3F5" w14:textId="77777777" w:rsidR="0071406E" w:rsidRDefault="0071406E" w:rsidP="005110F8">
      <w:pPr>
        <w:spacing w:line="276" w:lineRule="auto"/>
        <w:ind w:firstLine="567"/>
        <w:jc w:val="both"/>
      </w:pPr>
      <w:r>
        <w:t>Ņemot vērā minēto, var secināt, ka apgabaltiesa nav piešķīrusi ticamību pieteicēja paskaidrojumiem, bet ir piešķīrusi ticamību iestādes paskaidrojumiem, jo tos apstiprina pierādījumi. Līdz ar to var pieņemt, ka apgabaltiesa ir uzskatījusi, ka iestādes paskaidrojumus apstiprinošie pierādījumi ir tik pārliecinoši, ka tos nevarētu atspēkot ar liecinieka liecību.</w:t>
      </w:r>
    </w:p>
    <w:p w14:paraId="4C1FFE31" w14:textId="74618BD7" w:rsidR="0071406E" w:rsidRDefault="0071406E" w:rsidP="005110F8">
      <w:pPr>
        <w:spacing w:line="276" w:lineRule="auto"/>
        <w:ind w:firstLine="567"/>
        <w:jc w:val="both"/>
      </w:pPr>
      <w:r>
        <w:t>Senāts atzīst</w:t>
      </w:r>
      <w:r w:rsidR="00302E4E">
        <w:t>:</w:t>
      </w:r>
      <w:r>
        <w:t xml:space="preserve"> ja lietā ir tādi pārliecinoši pierādījumi, kurus ar liecinieka liecībām nav iespējams atspēkot, tad šādā gadījumā, noraidot lūgumu nopratināt liecinieku, tiesības uz taisnīgu tiesu pārkāptas netiek (sal.: </w:t>
      </w:r>
      <w:r w:rsidRPr="0095570A">
        <w:rPr>
          <w:i/>
        </w:rPr>
        <w:t>Eiropas Cilvēktiesību tiesas 2002.gada 18.jūnija spriedum</w:t>
      </w:r>
      <w:r w:rsidR="00302E4E">
        <w:rPr>
          <w:i/>
        </w:rPr>
        <w:t>a</w:t>
      </w:r>
      <w:r w:rsidRPr="0095570A">
        <w:rPr>
          <w:i/>
        </w:rPr>
        <w:t xml:space="preserve"> lietā „</w:t>
      </w:r>
      <w:proofErr w:type="spellStart"/>
      <w:r w:rsidRPr="0095570A">
        <w:rPr>
          <w:i/>
        </w:rPr>
        <w:t>Wierzb</w:t>
      </w:r>
      <w:r w:rsidR="000F33A2">
        <w:rPr>
          <w:i/>
        </w:rPr>
        <w:t>icki</w:t>
      </w:r>
      <w:proofErr w:type="spellEnd"/>
      <w:r w:rsidR="000F33A2">
        <w:rPr>
          <w:i/>
        </w:rPr>
        <w:t xml:space="preserve"> v. </w:t>
      </w:r>
      <w:proofErr w:type="spellStart"/>
      <w:r w:rsidR="000F33A2">
        <w:rPr>
          <w:i/>
        </w:rPr>
        <w:t>Poland</w:t>
      </w:r>
      <w:proofErr w:type="spellEnd"/>
      <w:r w:rsidR="000F33A2">
        <w:rPr>
          <w:i/>
        </w:rPr>
        <w:t>”, iesnieguma Nr. </w:t>
      </w:r>
      <w:r w:rsidRPr="0095570A">
        <w:rPr>
          <w:i/>
        </w:rPr>
        <w:t>24541/94, 4</w:t>
      </w:r>
      <w:r>
        <w:rPr>
          <w:i/>
        </w:rPr>
        <w:t>4.</w:t>
      </w:r>
      <w:r w:rsidR="004774A8" w:rsidRPr="004774A8">
        <w:rPr>
          <w:i/>
          <w:iCs/>
        </w:rPr>
        <w:t>–</w:t>
      </w:r>
      <w:r>
        <w:rPr>
          <w:i/>
        </w:rPr>
        <w:t>4</w:t>
      </w:r>
      <w:r w:rsidRPr="0095570A">
        <w:rPr>
          <w:i/>
        </w:rPr>
        <w:t>5.punkts</w:t>
      </w:r>
      <w:r>
        <w:t>). Līdz ar to ir nepieciešams izvērtēt, vai pierādījumi, uz kuriem atsaucās apgabaltiesa</w:t>
      </w:r>
      <w:r w:rsidR="000F33A2">
        <w:t>,</w:t>
      </w:r>
      <w:r>
        <w:t xml:space="preserve"> bija tik pārliecinoši, ka ar liecinieka liecībām</w:t>
      </w:r>
      <w:r w:rsidR="00540D1F">
        <w:t xml:space="preserve"> tos atspēkot nebūtu iespējams.</w:t>
      </w:r>
    </w:p>
    <w:p w14:paraId="02676FC7" w14:textId="77777777" w:rsidR="0071406E" w:rsidRDefault="0071406E" w:rsidP="005110F8">
      <w:pPr>
        <w:spacing w:line="276" w:lineRule="auto"/>
        <w:ind w:firstLine="567"/>
        <w:jc w:val="both"/>
      </w:pPr>
    </w:p>
    <w:p w14:paraId="14EF6509" w14:textId="24226CBB" w:rsidR="00540D1F" w:rsidRDefault="00540D1F" w:rsidP="00540D1F">
      <w:pPr>
        <w:spacing w:line="276" w:lineRule="auto"/>
        <w:ind w:firstLine="567"/>
        <w:jc w:val="both"/>
      </w:pPr>
      <w:r>
        <w:t xml:space="preserve">[11] Apgabaltiesa spriedumā atsaucās uz </w:t>
      </w:r>
      <w:r w:rsidR="00EB7448">
        <w:t>Veselības inspekcijas 2016.gada 17.februāra v</w:t>
      </w:r>
      <w:r w:rsidR="00327D60">
        <w:t>ēstuli</w:t>
      </w:r>
      <w:r>
        <w:t xml:space="preserve">, kurā sniegta informācija par </w:t>
      </w:r>
      <w:r w:rsidR="00327D60">
        <w:t>2014.gada 5.septembr</w:t>
      </w:r>
      <w:r>
        <w:t xml:space="preserve">a pārbaudē konstatēto. Apgabaltiesa ir norādījusi, ka vēstulē ir teikts, ka pārbaudē tika konstatēts, ka dušas telpas ir tīras, ka dušas </w:t>
      </w:r>
      <w:r>
        <w:lastRenderedPageBreak/>
        <w:t>telpas tiek uzkoptas pēc dušas apmeklējuma, izmantotie telpu uzko</w:t>
      </w:r>
      <w:r w:rsidR="00302E4E">
        <w:t>p</w:t>
      </w:r>
      <w:r>
        <w:t>šanas līdzekļi „</w:t>
      </w:r>
      <w:proofErr w:type="spellStart"/>
      <w:r>
        <w:t>Tyran</w:t>
      </w:r>
      <w:proofErr w:type="spellEnd"/>
      <w:r>
        <w:t xml:space="preserve">” un „AGD EWOL </w:t>
      </w:r>
      <w:proofErr w:type="spellStart"/>
      <w:r>
        <w:t>profes</w:t>
      </w:r>
      <w:r w:rsidR="00302E4E">
        <w:t>s</w:t>
      </w:r>
      <w:r>
        <w:t>ional</w:t>
      </w:r>
      <w:proofErr w:type="spellEnd"/>
      <w:r>
        <w:t>”, kuri tika izmantoti dušas telpu uzkopšanā, ir ar antibakteriālām īpašībām.</w:t>
      </w:r>
    </w:p>
    <w:p w14:paraId="1F6E92B8" w14:textId="35BC8B9B" w:rsidR="000F33A2" w:rsidRDefault="00540D1F" w:rsidP="00EC2F4D">
      <w:pPr>
        <w:spacing w:line="276" w:lineRule="auto"/>
        <w:ind w:firstLine="567"/>
        <w:jc w:val="both"/>
      </w:pPr>
      <w:r>
        <w:t>Senāts atzīst, ka Veselības inspekcijas konstatētajam parasti ir piešķirama liela ticamība, ņemot vērā to, kā tā ir lietas iznākumā neieinteresēta iestāde</w:t>
      </w:r>
      <w:r w:rsidR="00917D61">
        <w:t xml:space="preserve">. Taču izskatāmajā gadījumā jāņem vērā tas, ka Veselības inspekcija pārbaudi nav veikusi strīdus periodā, bet gan vairāk </w:t>
      </w:r>
      <w:r w:rsidR="00302E4E">
        <w:t>ne</w:t>
      </w:r>
      <w:r w:rsidR="00917D61">
        <w:t xml:space="preserve">kā piecus mēnešus vēlāk. Lai arī tas pats par sevi nav šķērslis Veselības inspekcijas kontroles aktu vai citu sastādīto dokumentu kā pierādījumu izmantošanai, tomēr šādā gadījumā tas </w:t>
      </w:r>
      <w:r w:rsidR="000F33A2">
        <w:t xml:space="preserve">nozīmē, ka Veselības inspekcijas konstatētais </w:t>
      </w:r>
      <w:r w:rsidR="00917D61">
        <w:t>ir tikai netiešs pierādījums</w:t>
      </w:r>
      <w:r w:rsidR="00581BAE">
        <w:t>, kura pārliecinošais spēks ir mazāks nekā tiešam pierādījumam</w:t>
      </w:r>
      <w:r w:rsidR="000F33A2">
        <w:t>.</w:t>
      </w:r>
    </w:p>
    <w:p w14:paraId="62F5BD8D" w14:textId="57B1FCD3" w:rsidR="00917D61" w:rsidRDefault="00917D61" w:rsidP="00EC2F4D">
      <w:pPr>
        <w:spacing w:line="276" w:lineRule="auto"/>
        <w:ind w:firstLine="567"/>
        <w:jc w:val="both"/>
      </w:pPr>
      <w:r>
        <w:t xml:space="preserve">Tāpat ir nepieciešams pievērst uzmanību tam, ko tieši Veselības inspekcija ir konstatējusi. Izskatāmajā gadījumā Veselības inspekcijas vēstulē ir norādīts, ka </w:t>
      </w:r>
      <w:r w:rsidR="00D97EF5">
        <w:t>„</w:t>
      </w:r>
      <w:r>
        <w:t xml:space="preserve">pārbaudes laikā Jelgavas cietuma administrācija sniedz informāciju, ka dušu telpas tiek uzkoptas dienas beigās pēc mazgāšanās, pielietojot līdzekļus </w:t>
      </w:r>
      <w:r w:rsidRPr="00917D61">
        <w:t>–</w:t>
      </w:r>
      <w:r>
        <w:t xml:space="preserve"> Skudra,</w:t>
      </w:r>
      <w:r w:rsidRPr="00917D61">
        <w:t xml:space="preserve"> </w:t>
      </w:r>
      <w:proofErr w:type="spellStart"/>
      <w:r w:rsidRPr="00917D61">
        <w:t>Tyran</w:t>
      </w:r>
      <w:proofErr w:type="spellEnd"/>
      <w:r>
        <w:t xml:space="preserve">, </w:t>
      </w:r>
      <w:r w:rsidRPr="00917D61">
        <w:t xml:space="preserve">AGD EWOL </w:t>
      </w:r>
      <w:proofErr w:type="spellStart"/>
      <w:r w:rsidRPr="00917D61">
        <w:t>profes</w:t>
      </w:r>
      <w:r w:rsidR="00302E4E">
        <w:t>s</w:t>
      </w:r>
      <w:r w:rsidRPr="00917D61">
        <w:t>ional</w:t>
      </w:r>
      <w:proofErr w:type="spellEnd"/>
      <w:r w:rsidRPr="00917D61">
        <w:t>”</w:t>
      </w:r>
      <w:r>
        <w:t>. Tātad no vēstules izriet, ka Veselības inspekcija</w:t>
      </w:r>
      <w:r w:rsidR="00581BAE">
        <w:t>i informāciju par</w:t>
      </w:r>
      <w:r>
        <w:t xml:space="preserve"> tīrīšanas līdzekļu izmantošanu</w:t>
      </w:r>
      <w:r w:rsidR="00581BAE">
        <w:t xml:space="preserve"> dušas telpu uzkopšanā ir sniegusi Jelgavas cietuma administrācija, nevis inspekcija to pati ir konstatējusi pārbaudē. Līdz ar to šādos apstākļos nav pamata uzskatīt, ka Veselības inspekcijas vēstule ir pārliecinošs pierādījums par tīrīšanas līdzekļu </w:t>
      </w:r>
      <w:r w:rsidR="00FB73FF">
        <w:t xml:space="preserve">regulāru </w:t>
      </w:r>
      <w:r w:rsidR="00581BAE">
        <w:t>izmantošanu.</w:t>
      </w:r>
    </w:p>
    <w:p w14:paraId="2506E145" w14:textId="77777777" w:rsidR="00917D61" w:rsidRDefault="00917D61" w:rsidP="00EC2F4D">
      <w:pPr>
        <w:spacing w:line="276" w:lineRule="auto"/>
        <w:ind w:firstLine="567"/>
        <w:jc w:val="both"/>
      </w:pPr>
    </w:p>
    <w:p w14:paraId="7FCBA727" w14:textId="60BE1DA4" w:rsidR="00581BAE" w:rsidRDefault="00700535" w:rsidP="00581BAE">
      <w:pPr>
        <w:spacing w:line="276" w:lineRule="auto"/>
        <w:ind w:firstLine="567"/>
        <w:jc w:val="both"/>
      </w:pPr>
      <w:r w:rsidRPr="00700535">
        <w:t>[</w:t>
      </w:r>
      <w:r w:rsidR="00581BAE">
        <w:t>12</w:t>
      </w:r>
      <w:r w:rsidRPr="00700535">
        <w:t xml:space="preserve">] </w:t>
      </w:r>
      <w:r w:rsidR="00581BAE" w:rsidRPr="00581BAE">
        <w:t>Apgabaltiesa</w:t>
      </w:r>
      <w:r w:rsidR="00581BAE">
        <w:t xml:space="preserve"> spriedumā atsaucās arī uz </w:t>
      </w:r>
      <w:r w:rsidR="00581BAE" w:rsidRPr="00581BAE">
        <w:t>lietā esošo cietuma izziņu par tīrīšanas līdzekļu izsniegšanu laikā no 2013.gada 24.marta līdz 2014.gada 24.martam un tai pievienotajām preču pavadzīm</w:t>
      </w:r>
      <w:r w:rsidR="00581BAE">
        <w:t>ēm</w:t>
      </w:r>
      <w:r w:rsidR="00581BAE" w:rsidRPr="00581BAE">
        <w:t xml:space="preserve"> par mazgāšanas līdzekļu pirkšanu 7. un 8.vienības kameru un dušas telpu uzkopšanai</w:t>
      </w:r>
      <w:r w:rsidR="00581BAE">
        <w:t xml:space="preserve">. Taču apgabaltiesa spriedumā nav analizējusi šo dokumentu saturu. Spriedumā ir </w:t>
      </w:r>
      <w:r w:rsidR="00380734">
        <w:t xml:space="preserve">vien </w:t>
      </w:r>
      <w:r w:rsidR="00581BAE">
        <w:t>apgalvots, ka šie dokumenti pierāda, ka tīrīšanas līdzekļu apjoms bija pietiekams un</w:t>
      </w:r>
      <w:r w:rsidR="00581BAE" w:rsidRPr="00581BAE">
        <w:t xml:space="preserve"> </w:t>
      </w:r>
      <w:r w:rsidR="001A1F25">
        <w:t xml:space="preserve">dušas </w:t>
      </w:r>
      <w:r w:rsidR="00581BAE" w:rsidRPr="00581BAE">
        <w:t>telpas tiek regulāri uzkoptas.</w:t>
      </w:r>
      <w:r w:rsidR="001A1F25">
        <w:t xml:space="preserve"> Ņemot vērā, ka šajos dokumentos minētie tīrīšanas līdzekļi tika izmantoti 48 dzīvojamo kameru un četru dušas telpu uzkopšanai, bija nepieciešama plašāka dokumentos norādītās informācijas analīze, lai izdarītu apgabaltiesas spriedumā izdarītos secinājumus.</w:t>
      </w:r>
    </w:p>
    <w:p w14:paraId="7E346B9E" w14:textId="31E03741" w:rsidR="001A1F25" w:rsidRDefault="001A1F25" w:rsidP="00581BAE">
      <w:pPr>
        <w:spacing w:line="276" w:lineRule="auto"/>
        <w:ind w:firstLine="567"/>
        <w:jc w:val="both"/>
      </w:pPr>
      <w:r>
        <w:t>Turklāt jāņem vērā, ka arī šajos dokumentos ietvertā informācija ir netiešs pierādījums dušas telpu uzkopšanas biežumam un regulārai tīrīšanas līdzekļu izmantošanai dušas telpu uzkopšanā.</w:t>
      </w:r>
    </w:p>
    <w:p w14:paraId="432AD9C0" w14:textId="77777777" w:rsidR="001A1F25" w:rsidRDefault="001A1F25" w:rsidP="00581BAE">
      <w:pPr>
        <w:spacing w:line="276" w:lineRule="auto"/>
        <w:ind w:firstLine="567"/>
        <w:jc w:val="both"/>
      </w:pPr>
    </w:p>
    <w:p w14:paraId="53DB2871" w14:textId="78840B18" w:rsidR="002315DD" w:rsidRDefault="001A1F25" w:rsidP="00581BAE">
      <w:pPr>
        <w:spacing w:line="276" w:lineRule="auto"/>
        <w:ind w:firstLine="567"/>
        <w:jc w:val="both"/>
      </w:pPr>
      <w:r>
        <w:t>[13] Ņemot vērā minēto, Senāts secina, ka pierādījumi, uz kuriem apgabaltiesa atsaucās, bija netieši un arī pēc savas būtības</w:t>
      </w:r>
      <w:r w:rsidR="000F33A2">
        <w:t xml:space="preserve"> ne atsevišķi, ne arī kopsakarā </w:t>
      </w:r>
      <w:r>
        <w:t>nebija tik pārliecinoši, lai tos nebūtu iespējams atspēkot ar citiem pierādījumiem, tostarp liecinieka liecībām.</w:t>
      </w:r>
      <w:r w:rsidR="002315DD">
        <w:t xml:space="preserve"> Turklāt šie pierādījumi nebija </w:t>
      </w:r>
      <w:r w:rsidR="00AD57BF">
        <w:t xml:space="preserve">arī </w:t>
      </w:r>
      <w:r w:rsidR="002315DD">
        <w:t>novērtēti vispusīgi un pilnīgi, kā to prasa Administratīvā procesa likuma 154.panta pirmā daļa.</w:t>
      </w:r>
    </w:p>
    <w:p w14:paraId="01B48B90" w14:textId="19AB62BA" w:rsidR="001A1F25" w:rsidRDefault="002315DD" w:rsidP="00581BAE">
      <w:pPr>
        <w:spacing w:line="276" w:lineRule="auto"/>
        <w:ind w:firstLine="567"/>
        <w:jc w:val="both"/>
      </w:pPr>
      <w:r>
        <w:t>Pieteicējs bija lūdzis uzaicināt kā liecinieku personu, kas attiecīgajā laika periodā uzkopa dušas telpas, proti, personu, kas tieši varētu liecināt par to, cik bieži dušas telpas tika uzkoptas un vai regulāri dušas telpu uzkopšanai tika izmantoti tīrīšanas līdzekļi. Turklāt jāņem vērā, ka pieteicēja kā ieslodzītās personas iespējas pašam iegūt pierādījumus, kas apstiprina viņa pozīciju, ir ierobežotas. Līdz ar to liecinieka liecība varēja būt vienīgā pieteicēja iespēja pierādīt savu apgalvojumu patiesumu.</w:t>
      </w:r>
    </w:p>
    <w:p w14:paraId="49549706" w14:textId="3C81ED01" w:rsidR="00AA1722" w:rsidRDefault="00AA1722" w:rsidP="00581BAE">
      <w:pPr>
        <w:spacing w:line="276" w:lineRule="auto"/>
        <w:ind w:firstLine="567"/>
        <w:jc w:val="both"/>
      </w:pPr>
      <w:r>
        <w:t>Senāts arī konstatē, ka apgabaltiesa nav norādījusi nekādus citus argumentus, kāpēc liecinieka liecība nav nepieciešama lietas izskatīšanai.</w:t>
      </w:r>
    </w:p>
    <w:p w14:paraId="065AC9B7" w14:textId="479B5F96" w:rsidR="001A1F25" w:rsidRPr="00700535" w:rsidRDefault="002315DD" w:rsidP="00581BAE">
      <w:pPr>
        <w:spacing w:line="276" w:lineRule="auto"/>
        <w:ind w:firstLine="567"/>
        <w:jc w:val="both"/>
      </w:pPr>
      <w:r>
        <w:lastRenderedPageBreak/>
        <w:t>Šādos apstākļos</w:t>
      </w:r>
      <w:r w:rsidRPr="002315DD">
        <w:t xml:space="preserve"> </w:t>
      </w:r>
      <w:r w:rsidR="00AA1722">
        <w:t xml:space="preserve">nevar konstatēt, ka </w:t>
      </w:r>
      <w:r w:rsidRPr="002315DD">
        <w:t xml:space="preserve">apgabaltiesa, noraidot </w:t>
      </w:r>
      <w:r>
        <w:t>pieteicēja lūgumu par liecinieka</w:t>
      </w:r>
      <w:r w:rsidRPr="002315DD">
        <w:t xml:space="preserve"> nopratināšanu</w:t>
      </w:r>
      <w:r>
        <w:t xml:space="preserve">, </w:t>
      </w:r>
      <w:r w:rsidR="00AA1722">
        <w:t xml:space="preserve">būtu </w:t>
      </w:r>
      <w:r>
        <w:t>nodrošināj</w:t>
      </w:r>
      <w:r w:rsidR="00AA1722">
        <w:t>usi</w:t>
      </w:r>
      <w:r>
        <w:t xml:space="preserve"> pieteicējam</w:t>
      </w:r>
      <w:r w:rsidRPr="002315DD">
        <w:t xml:space="preserve"> saprātīg</w:t>
      </w:r>
      <w:r>
        <w:t>u</w:t>
      </w:r>
      <w:r w:rsidRPr="002315DD">
        <w:t xml:space="preserve"> iespēj</w:t>
      </w:r>
      <w:r>
        <w:t>u</w:t>
      </w:r>
      <w:r w:rsidR="00AA1722">
        <w:t xml:space="preserve"> pamatot savu pozīciju un līdz ar to arī tiesas procesa taisnīgumu</w:t>
      </w:r>
      <w:r w:rsidR="000F33A2">
        <w:t xml:space="preserve"> (sal.: </w:t>
      </w:r>
      <w:r w:rsidR="000F33A2" w:rsidRPr="0095570A">
        <w:rPr>
          <w:i/>
        </w:rPr>
        <w:t xml:space="preserve">Eiropas Cilvēktiesību tiesas </w:t>
      </w:r>
      <w:r w:rsidR="000F33A2">
        <w:rPr>
          <w:i/>
        </w:rPr>
        <w:t>2012.gada 12</w:t>
      </w:r>
      <w:r w:rsidR="000F33A2" w:rsidRPr="0095570A">
        <w:rPr>
          <w:i/>
        </w:rPr>
        <w:t>.jūnija spriedum</w:t>
      </w:r>
      <w:r w:rsidR="00302E4E">
        <w:rPr>
          <w:i/>
        </w:rPr>
        <w:t>a</w:t>
      </w:r>
      <w:r w:rsidR="000F33A2" w:rsidRPr="0095570A">
        <w:rPr>
          <w:i/>
        </w:rPr>
        <w:t xml:space="preserve"> lietā „</w:t>
      </w:r>
      <w:proofErr w:type="spellStart"/>
      <w:r w:rsidR="000F33A2">
        <w:rPr>
          <w:i/>
        </w:rPr>
        <w:t>Gryaznov</w:t>
      </w:r>
      <w:proofErr w:type="spellEnd"/>
      <w:r w:rsidR="000F33A2" w:rsidRPr="0095570A">
        <w:rPr>
          <w:i/>
        </w:rPr>
        <w:t xml:space="preserve"> v. </w:t>
      </w:r>
      <w:proofErr w:type="spellStart"/>
      <w:r w:rsidR="000F33A2">
        <w:rPr>
          <w:i/>
        </w:rPr>
        <w:t>Russia</w:t>
      </w:r>
      <w:proofErr w:type="spellEnd"/>
      <w:r w:rsidR="000F33A2" w:rsidRPr="0095570A">
        <w:rPr>
          <w:i/>
        </w:rPr>
        <w:t>”, iesnieguma Nr.</w:t>
      </w:r>
      <w:r w:rsidR="000F33A2">
        <w:rPr>
          <w:i/>
        </w:rPr>
        <w:t> 19673/03</w:t>
      </w:r>
      <w:r w:rsidR="000F33A2" w:rsidRPr="0095570A">
        <w:rPr>
          <w:i/>
        </w:rPr>
        <w:t>,</w:t>
      </w:r>
      <w:r w:rsidR="000F33A2">
        <w:rPr>
          <w:i/>
        </w:rPr>
        <w:t xml:space="preserve"> 58.</w:t>
      </w:r>
      <w:r w:rsidR="00AD57BF" w:rsidRPr="004774A8">
        <w:rPr>
          <w:i/>
          <w:iCs/>
        </w:rPr>
        <w:t>–</w:t>
      </w:r>
      <w:r w:rsidR="000F33A2">
        <w:rPr>
          <w:i/>
        </w:rPr>
        <w:t>61</w:t>
      </w:r>
      <w:r w:rsidR="000F33A2" w:rsidRPr="0095570A">
        <w:rPr>
          <w:i/>
        </w:rPr>
        <w:t>.punkts</w:t>
      </w:r>
      <w:r w:rsidR="000F33A2">
        <w:rPr>
          <w:i/>
        </w:rPr>
        <w:t>; 2012.gada 2.oktobra spriedum</w:t>
      </w:r>
      <w:r w:rsidR="00302E4E">
        <w:rPr>
          <w:i/>
        </w:rPr>
        <w:t>a</w:t>
      </w:r>
      <w:r w:rsidR="000F33A2">
        <w:rPr>
          <w:i/>
        </w:rPr>
        <w:t xml:space="preserve"> lietā </w:t>
      </w:r>
      <w:r w:rsidR="000F33A2" w:rsidRPr="0095570A">
        <w:rPr>
          <w:i/>
        </w:rPr>
        <w:t>„</w:t>
      </w:r>
      <w:proofErr w:type="spellStart"/>
      <w:r w:rsidR="000F33A2">
        <w:rPr>
          <w:i/>
        </w:rPr>
        <w:t>Khrabrova</w:t>
      </w:r>
      <w:proofErr w:type="spellEnd"/>
      <w:r w:rsidR="000F33A2" w:rsidRPr="0095570A">
        <w:rPr>
          <w:i/>
        </w:rPr>
        <w:t xml:space="preserve"> v. </w:t>
      </w:r>
      <w:proofErr w:type="spellStart"/>
      <w:r w:rsidR="000F33A2">
        <w:rPr>
          <w:i/>
        </w:rPr>
        <w:t>Russia</w:t>
      </w:r>
      <w:proofErr w:type="spellEnd"/>
      <w:r w:rsidR="000F33A2" w:rsidRPr="0095570A">
        <w:rPr>
          <w:i/>
        </w:rPr>
        <w:t>”, iesnieguma Nr.</w:t>
      </w:r>
      <w:r w:rsidR="000F33A2">
        <w:rPr>
          <w:i/>
        </w:rPr>
        <w:t> 18498/04</w:t>
      </w:r>
      <w:r w:rsidR="000F33A2" w:rsidRPr="0095570A">
        <w:rPr>
          <w:i/>
        </w:rPr>
        <w:t>,</w:t>
      </w:r>
      <w:r w:rsidR="000F33A2">
        <w:rPr>
          <w:i/>
        </w:rPr>
        <w:t xml:space="preserve"> 39.</w:t>
      </w:r>
      <w:r w:rsidR="00AD57BF" w:rsidRPr="004774A8">
        <w:rPr>
          <w:i/>
          <w:iCs/>
        </w:rPr>
        <w:t>–</w:t>
      </w:r>
      <w:r w:rsidR="000F33A2">
        <w:rPr>
          <w:i/>
        </w:rPr>
        <w:t>45</w:t>
      </w:r>
      <w:r w:rsidR="000F33A2" w:rsidRPr="0095570A">
        <w:rPr>
          <w:i/>
        </w:rPr>
        <w:t>.punkts</w:t>
      </w:r>
      <w:r w:rsidR="000F33A2">
        <w:t>).</w:t>
      </w:r>
    </w:p>
    <w:p w14:paraId="73513253" w14:textId="77777777" w:rsidR="00700535" w:rsidRDefault="00700535" w:rsidP="0000294B">
      <w:pPr>
        <w:spacing w:line="276" w:lineRule="auto"/>
        <w:jc w:val="both"/>
      </w:pPr>
    </w:p>
    <w:p w14:paraId="44523B94" w14:textId="153785D9" w:rsidR="00AA1722" w:rsidRDefault="00AA1722" w:rsidP="00AA1722">
      <w:pPr>
        <w:spacing w:line="276" w:lineRule="auto"/>
        <w:ind w:firstLine="567"/>
        <w:jc w:val="both"/>
      </w:pPr>
      <w:r>
        <w:t xml:space="preserve">[14] Ņemot vērā minēto, </w:t>
      </w:r>
      <w:r w:rsidRPr="00EC2F4D">
        <w:t>Administratīvās apgabaltiesas spriedums ir atceļams un lieta nododama jaunai izskatīšanai apelācijas instances tiesai.</w:t>
      </w:r>
    </w:p>
    <w:p w14:paraId="21C4770E" w14:textId="79F0E216" w:rsidR="00AA1722" w:rsidRDefault="00AA1722" w:rsidP="00AA1722">
      <w:pPr>
        <w:spacing w:line="276" w:lineRule="auto"/>
        <w:ind w:firstLine="567"/>
        <w:jc w:val="both"/>
      </w:pPr>
      <w:r>
        <w:t>Tā kā Senāts jau secināja, ka ir pamats apgabaltiesas tiesas sprieduma atcelšanai, tad procesuālās ekonomijas dēļ Senāts nevērtēs pārējos kasācijas sūdzības argumentus.</w:t>
      </w:r>
    </w:p>
    <w:p w14:paraId="121CE7AF" w14:textId="77777777" w:rsidR="00AA1722" w:rsidRDefault="00AA1722" w:rsidP="00AA1722">
      <w:pPr>
        <w:spacing w:line="276" w:lineRule="auto"/>
        <w:ind w:firstLine="567"/>
        <w:jc w:val="both"/>
      </w:pPr>
    </w:p>
    <w:p w14:paraId="2B365AB3" w14:textId="77777777" w:rsidR="007B6E2C" w:rsidRPr="0082381C" w:rsidRDefault="007B6E2C" w:rsidP="007B6E2C">
      <w:pPr>
        <w:spacing w:line="276" w:lineRule="auto"/>
        <w:jc w:val="center"/>
        <w:rPr>
          <w:b/>
        </w:rPr>
      </w:pPr>
      <w:r w:rsidRPr="0082381C">
        <w:rPr>
          <w:b/>
        </w:rPr>
        <w:t>Rezolutīvā daļa</w:t>
      </w:r>
    </w:p>
    <w:p w14:paraId="5F42537A" w14:textId="77777777" w:rsidR="007B6E2C" w:rsidRPr="0082381C" w:rsidRDefault="007B6E2C" w:rsidP="007B6E2C">
      <w:pPr>
        <w:spacing w:line="276" w:lineRule="auto"/>
        <w:ind w:firstLine="567"/>
        <w:jc w:val="both"/>
        <w:rPr>
          <w:bCs/>
          <w:spacing w:val="70"/>
        </w:rPr>
      </w:pPr>
    </w:p>
    <w:p w14:paraId="0E894FFB" w14:textId="0372E502" w:rsidR="007B6E2C" w:rsidRPr="0082381C" w:rsidRDefault="007B6E2C" w:rsidP="007B6E2C">
      <w:pPr>
        <w:spacing w:line="276" w:lineRule="auto"/>
        <w:ind w:firstLine="567"/>
        <w:jc w:val="both"/>
        <w:rPr>
          <w:strike/>
        </w:rPr>
      </w:pPr>
      <w:r w:rsidRPr="0082381C">
        <w:t xml:space="preserve">Pamatojoties uz </w:t>
      </w:r>
      <w:r w:rsidRPr="0082381C">
        <w:rPr>
          <w:rFonts w:eastAsiaTheme="minorHAnsi"/>
          <w:lang w:eastAsia="en-US"/>
        </w:rPr>
        <w:t xml:space="preserve">Administratīvā procesa likuma </w:t>
      </w:r>
      <w:r w:rsidRPr="00E63EC7">
        <w:rPr>
          <w:rFonts w:eastAsiaTheme="minorHAnsi"/>
          <w:lang w:eastAsia="en-US"/>
        </w:rPr>
        <w:t>129.</w:t>
      </w:r>
      <w:r w:rsidRPr="00E63EC7">
        <w:rPr>
          <w:rFonts w:eastAsiaTheme="minorHAnsi"/>
          <w:vertAlign w:val="superscript"/>
          <w:lang w:eastAsia="en-US"/>
        </w:rPr>
        <w:t>1</w:t>
      </w:r>
      <w:r w:rsidRPr="00E63EC7">
        <w:rPr>
          <w:rFonts w:eastAsiaTheme="minorHAnsi"/>
          <w:lang w:eastAsia="en-US"/>
        </w:rPr>
        <w:t xml:space="preserve">panta </w:t>
      </w:r>
      <w:r w:rsidRPr="00F11FC6">
        <w:rPr>
          <w:rFonts w:eastAsiaTheme="minorHAnsi"/>
          <w:lang w:eastAsia="en-US"/>
        </w:rPr>
        <w:t>pirmās daļas 1.punktu,</w:t>
      </w:r>
      <w:r w:rsidRPr="00E63EC7">
        <w:rPr>
          <w:rFonts w:eastAsiaTheme="minorHAnsi"/>
          <w:lang w:eastAsia="en-US"/>
        </w:rPr>
        <w:t xml:space="preserve"> 348.panta </w:t>
      </w:r>
      <w:r>
        <w:rPr>
          <w:rFonts w:eastAsiaTheme="minorHAnsi"/>
          <w:lang w:eastAsia="en-US"/>
        </w:rPr>
        <w:t xml:space="preserve">pirmās daļas </w:t>
      </w:r>
      <w:r w:rsidR="005025EF">
        <w:rPr>
          <w:rFonts w:eastAsiaTheme="minorHAnsi"/>
          <w:lang w:eastAsia="en-US"/>
        </w:rPr>
        <w:t>2.punktu</w:t>
      </w:r>
      <w:r w:rsidRPr="00E63EC7">
        <w:rPr>
          <w:rFonts w:eastAsiaTheme="minorHAnsi"/>
          <w:lang w:eastAsia="en-US"/>
        </w:rPr>
        <w:t xml:space="preserve"> un 351.pantu</w:t>
      </w:r>
      <w:r w:rsidRPr="0082381C">
        <w:t xml:space="preserve">, </w:t>
      </w:r>
      <w:r w:rsidRPr="007B6E2C">
        <w:t>Senāts</w:t>
      </w:r>
    </w:p>
    <w:p w14:paraId="44CE0FCC" w14:textId="77777777" w:rsidR="007B6E2C" w:rsidRPr="0082381C" w:rsidRDefault="007B6E2C" w:rsidP="007B6E2C">
      <w:pPr>
        <w:spacing w:line="276" w:lineRule="auto"/>
        <w:ind w:firstLine="567"/>
        <w:jc w:val="both"/>
      </w:pPr>
    </w:p>
    <w:p w14:paraId="3040E71E" w14:textId="2EAECA5F" w:rsidR="007B6E2C" w:rsidRPr="0082381C" w:rsidRDefault="007B6E2C" w:rsidP="007B6E2C">
      <w:pPr>
        <w:spacing w:line="276" w:lineRule="auto"/>
        <w:jc w:val="center"/>
        <w:rPr>
          <w:b/>
        </w:rPr>
      </w:pPr>
      <w:r w:rsidRPr="0082381C">
        <w:rPr>
          <w:b/>
        </w:rPr>
        <w:t>nosprieda</w:t>
      </w:r>
    </w:p>
    <w:p w14:paraId="44EF33DA" w14:textId="77777777" w:rsidR="007B6E2C" w:rsidRPr="0082381C" w:rsidRDefault="007B6E2C" w:rsidP="007B6E2C">
      <w:pPr>
        <w:spacing w:line="276" w:lineRule="auto"/>
        <w:jc w:val="center"/>
        <w:rPr>
          <w:b/>
        </w:rPr>
      </w:pPr>
    </w:p>
    <w:p w14:paraId="6D03F83C" w14:textId="79A6B8ED" w:rsidR="00380734" w:rsidRDefault="00380734" w:rsidP="007B6E2C">
      <w:pPr>
        <w:spacing w:line="276" w:lineRule="auto"/>
        <w:ind w:firstLine="567"/>
        <w:jc w:val="both"/>
      </w:pPr>
      <w:r>
        <w:t xml:space="preserve">noraidīt </w:t>
      </w:r>
      <w:r w:rsidR="003567C6">
        <w:t>[pers. A]</w:t>
      </w:r>
      <w:r>
        <w:t xml:space="preserve"> lūgumu par lietas </w:t>
      </w:r>
      <w:r w:rsidR="00302E4E">
        <w:t>Nr. </w:t>
      </w:r>
      <w:r w:rsidRPr="007F423D">
        <w:rPr>
          <w:color w:val="000000"/>
          <w:lang w:eastAsia="lv-LV"/>
        </w:rPr>
        <w:t>A4</w:t>
      </w:r>
      <w:r>
        <w:rPr>
          <w:color w:val="000000"/>
          <w:lang w:eastAsia="lv-LV"/>
        </w:rPr>
        <w:t xml:space="preserve">20352914 </w:t>
      </w:r>
      <w:r>
        <w:t>apvienošanu ar lietu Nr.</w:t>
      </w:r>
      <w:r w:rsidR="00302E4E">
        <w:t> </w:t>
      </w:r>
      <w:r>
        <w:t>A420175516;</w:t>
      </w:r>
    </w:p>
    <w:p w14:paraId="27A516C0" w14:textId="4C570AFC" w:rsidR="007B6E2C" w:rsidRPr="0082381C" w:rsidRDefault="005025EF" w:rsidP="007B6E2C">
      <w:pPr>
        <w:spacing w:line="276" w:lineRule="auto"/>
        <w:ind w:firstLine="567"/>
        <w:jc w:val="both"/>
      </w:pPr>
      <w:r>
        <w:t xml:space="preserve">atcelt Administratīvās apgabaltiesas 2017.gada </w:t>
      </w:r>
      <w:r w:rsidR="00110B60">
        <w:t>1.jūnija</w:t>
      </w:r>
      <w:r>
        <w:t xml:space="preserve"> </w:t>
      </w:r>
      <w:r w:rsidRPr="0082381C">
        <w:t>spriedumu</w:t>
      </w:r>
      <w:r w:rsidR="00B62A25">
        <w:t xml:space="preserve"> </w:t>
      </w:r>
      <w:r w:rsidR="00B62A25" w:rsidRPr="00B62A25">
        <w:t>un nosūtīt lietu jaunai izskatīšanai</w:t>
      </w:r>
      <w:r w:rsidR="00B62A25">
        <w:t xml:space="preserve"> Administratīvajai apgabaltiesai</w:t>
      </w:r>
      <w:r w:rsidR="007B6E2C" w:rsidRPr="0082381C">
        <w:t>;</w:t>
      </w:r>
    </w:p>
    <w:p w14:paraId="03669474" w14:textId="4EB1BFC8" w:rsidR="007B6E2C" w:rsidRPr="005025EF" w:rsidRDefault="005025EF" w:rsidP="007B6E2C">
      <w:pPr>
        <w:spacing w:line="276" w:lineRule="auto"/>
        <w:ind w:firstLine="567"/>
        <w:jc w:val="both"/>
      </w:pPr>
      <w:r>
        <w:t>a</w:t>
      </w:r>
      <w:r w:rsidR="0013367B" w:rsidRPr="005025EF">
        <w:t xml:space="preserve">tmaksāt </w:t>
      </w:r>
      <w:r w:rsidR="003567C6">
        <w:t>[pers. A]</w:t>
      </w:r>
      <w:r w:rsidR="00F67DE0">
        <w:t xml:space="preserve"> </w:t>
      </w:r>
      <w:r w:rsidR="004774A8">
        <w:t>ie</w:t>
      </w:r>
      <w:r w:rsidR="00F67DE0">
        <w:t xml:space="preserve">maksāto drošības naudu </w:t>
      </w:r>
      <w:r w:rsidR="00EC2F4D">
        <w:t>5 </w:t>
      </w:r>
      <w:proofErr w:type="spellStart"/>
      <w:r w:rsidRPr="005025EF">
        <w:rPr>
          <w:i/>
        </w:rPr>
        <w:t>euro</w:t>
      </w:r>
      <w:proofErr w:type="spellEnd"/>
      <w:r w:rsidR="007B6E2C" w:rsidRPr="005025EF">
        <w:t>.</w:t>
      </w:r>
    </w:p>
    <w:p w14:paraId="22582F92" w14:textId="3CC523C1" w:rsidR="00F43FAD" w:rsidRPr="002D19C7" w:rsidRDefault="007B6E2C" w:rsidP="002D19C7">
      <w:pPr>
        <w:spacing w:line="276" w:lineRule="auto"/>
        <w:ind w:firstLine="567"/>
        <w:jc w:val="both"/>
      </w:pPr>
      <w:r w:rsidRPr="005025EF">
        <w:t>Spriedums nav pārsūdzams.</w:t>
      </w:r>
    </w:p>
    <w:sectPr w:rsidR="00F43FAD" w:rsidRPr="002D19C7" w:rsidSect="00A6596A">
      <w:footerReference w:type="default" r:id="rId9"/>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40E4C9" w14:textId="77777777" w:rsidR="002C28C4" w:rsidRDefault="002C28C4" w:rsidP="003047F5">
      <w:r>
        <w:separator/>
      </w:r>
    </w:p>
  </w:endnote>
  <w:endnote w:type="continuationSeparator" w:id="0">
    <w:p w14:paraId="0B4F25BE" w14:textId="77777777" w:rsidR="002C28C4" w:rsidRDefault="002C28C4" w:rsidP="0030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C1C46C" w14:textId="0AB1ABD5" w:rsidR="00917D61" w:rsidRDefault="00917D61" w:rsidP="00F43FAD">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900CFD">
      <w:rPr>
        <w:rStyle w:val="PageNumber"/>
        <w:noProof/>
      </w:rPr>
      <w:t>6</w:t>
    </w:r>
    <w:r w:rsidRPr="009F0E55">
      <w:rPr>
        <w:rStyle w:val="PageNumber"/>
      </w:rPr>
      <w:fldChar w:fldCharType="end"/>
    </w:r>
    <w:r w:rsidRPr="009F0E5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670BBD">
      <w:rPr>
        <w:rStyle w:val="PageNumber"/>
        <w:noProof/>
      </w:rPr>
      <w:t>6</w:t>
    </w:r>
    <w:r>
      <w:rPr>
        <w:rStyle w:val="PageNumbe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EA2C65" w14:textId="77777777" w:rsidR="002C28C4" w:rsidRDefault="002C28C4" w:rsidP="003047F5">
      <w:r>
        <w:separator/>
      </w:r>
    </w:p>
  </w:footnote>
  <w:footnote w:type="continuationSeparator" w:id="0">
    <w:p w14:paraId="4D4EEAA2" w14:textId="77777777" w:rsidR="002C28C4" w:rsidRDefault="002C28C4" w:rsidP="003047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6A5251"/>
    <w:multiLevelType w:val="hybridMultilevel"/>
    <w:tmpl w:val="9FCA73C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7F5"/>
    <w:rsid w:val="0000294B"/>
    <w:rsid w:val="00022554"/>
    <w:rsid w:val="00026F82"/>
    <w:rsid w:val="000335F9"/>
    <w:rsid w:val="000360E6"/>
    <w:rsid w:val="0004112F"/>
    <w:rsid w:val="00042B03"/>
    <w:rsid w:val="00056388"/>
    <w:rsid w:val="00062FEF"/>
    <w:rsid w:val="00067381"/>
    <w:rsid w:val="000708AF"/>
    <w:rsid w:val="0007182D"/>
    <w:rsid w:val="00083A45"/>
    <w:rsid w:val="00084132"/>
    <w:rsid w:val="00085F61"/>
    <w:rsid w:val="000B0A3A"/>
    <w:rsid w:val="000B59A8"/>
    <w:rsid w:val="000B712D"/>
    <w:rsid w:val="000C154F"/>
    <w:rsid w:val="000C4211"/>
    <w:rsid w:val="000C4BC2"/>
    <w:rsid w:val="000C56EA"/>
    <w:rsid w:val="000F0CD8"/>
    <w:rsid w:val="000F33A2"/>
    <w:rsid w:val="001108D8"/>
    <w:rsid w:val="00110B60"/>
    <w:rsid w:val="0013147F"/>
    <w:rsid w:val="0013367B"/>
    <w:rsid w:val="00136A04"/>
    <w:rsid w:val="00136B74"/>
    <w:rsid w:val="001470C6"/>
    <w:rsid w:val="00152355"/>
    <w:rsid w:val="00163AB8"/>
    <w:rsid w:val="001646E9"/>
    <w:rsid w:val="00172481"/>
    <w:rsid w:val="0019136E"/>
    <w:rsid w:val="0019238A"/>
    <w:rsid w:val="00194FF9"/>
    <w:rsid w:val="001A0495"/>
    <w:rsid w:val="001A1212"/>
    <w:rsid w:val="001A1F25"/>
    <w:rsid w:val="001A38D9"/>
    <w:rsid w:val="001B2C52"/>
    <w:rsid w:val="001C106A"/>
    <w:rsid w:val="001D4286"/>
    <w:rsid w:val="001E13A0"/>
    <w:rsid w:val="001E14FD"/>
    <w:rsid w:val="001E3A09"/>
    <w:rsid w:val="001E7955"/>
    <w:rsid w:val="001F12A2"/>
    <w:rsid w:val="001F45EA"/>
    <w:rsid w:val="00210A6B"/>
    <w:rsid w:val="00210F77"/>
    <w:rsid w:val="002315DD"/>
    <w:rsid w:val="00232CD5"/>
    <w:rsid w:val="00232DBC"/>
    <w:rsid w:val="00236E52"/>
    <w:rsid w:val="00237F92"/>
    <w:rsid w:val="002605C0"/>
    <w:rsid w:val="002638BA"/>
    <w:rsid w:val="00263AA3"/>
    <w:rsid w:val="002666C8"/>
    <w:rsid w:val="0027469B"/>
    <w:rsid w:val="00275EA2"/>
    <w:rsid w:val="002903CF"/>
    <w:rsid w:val="00293462"/>
    <w:rsid w:val="002A550A"/>
    <w:rsid w:val="002A58DC"/>
    <w:rsid w:val="002A6615"/>
    <w:rsid w:val="002B2FF2"/>
    <w:rsid w:val="002B30FD"/>
    <w:rsid w:val="002C28C4"/>
    <w:rsid w:val="002C6AA6"/>
    <w:rsid w:val="002C6ADC"/>
    <w:rsid w:val="002D19C7"/>
    <w:rsid w:val="002D38E1"/>
    <w:rsid w:val="002F37DD"/>
    <w:rsid w:val="002F3AD6"/>
    <w:rsid w:val="00301A51"/>
    <w:rsid w:val="00302E4E"/>
    <w:rsid w:val="003047F5"/>
    <w:rsid w:val="00320E01"/>
    <w:rsid w:val="00327D60"/>
    <w:rsid w:val="0035346E"/>
    <w:rsid w:val="003567C6"/>
    <w:rsid w:val="0037486B"/>
    <w:rsid w:val="00380734"/>
    <w:rsid w:val="00391E68"/>
    <w:rsid w:val="003A66CB"/>
    <w:rsid w:val="003B21D4"/>
    <w:rsid w:val="003D30E6"/>
    <w:rsid w:val="003E73F4"/>
    <w:rsid w:val="00403FF6"/>
    <w:rsid w:val="004157E8"/>
    <w:rsid w:val="00424B84"/>
    <w:rsid w:val="004263DA"/>
    <w:rsid w:val="004270D4"/>
    <w:rsid w:val="0043182C"/>
    <w:rsid w:val="00432476"/>
    <w:rsid w:val="00432CB2"/>
    <w:rsid w:val="004369BB"/>
    <w:rsid w:val="00442095"/>
    <w:rsid w:val="0044547A"/>
    <w:rsid w:val="00446FA6"/>
    <w:rsid w:val="004550A0"/>
    <w:rsid w:val="00455C5D"/>
    <w:rsid w:val="00460C23"/>
    <w:rsid w:val="00471D8C"/>
    <w:rsid w:val="004774A8"/>
    <w:rsid w:val="004857C7"/>
    <w:rsid w:val="00491DEC"/>
    <w:rsid w:val="00497B22"/>
    <w:rsid w:val="004A2499"/>
    <w:rsid w:val="004A4903"/>
    <w:rsid w:val="004B26FE"/>
    <w:rsid w:val="004B2BB5"/>
    <w:rsid w:val="004B2EA3"/>
    <w:rsid w:val="004D1AC8"/>
    <w:rsid w:val="004E1D8A"/>
    <w:rsid w:val="004E29A7"/>
    <w:rsid w:val="004E6F0E"/>
    <w:rsid w:val="004F0631"/>
    <w:rsid w:val="005025EF"/>
    <w:rsid w:val="005110F8"/>
    <w:rsid w:val="00521A02"/>
    <w:rsid w:val="00535E7A"/>
    <w:rsid w:val="00540D1F"/>
    <w:rsid w:val="00543E46"/>
    <w:rsid w:val="00556083"/>
    <w:rsid w:val="00574871"/>
    <w:rsid w:val="00581BAE"/>
    <w:rsid w:val="005919D5"/>
    <w:rsid w:val="0059669C"/>
    <w:rsid w:val="005B7D06"/>
    <w:rsid w:val="005D01B8"/>
    <w:rsid w:val="005E4C76"/>
    <w:rsid w:val="005F1A10"/>
    <w:rsid w:val="00603AA2"/>
    <w:rsid w:val="00626C5A"/>
    <w:rsid w:val="006400DD"/>
    <w:rsid w:val="00652AAD"/>
    <w:rsid w:val="006576E6"/>
    <w:rsid w:val="00667865"/>
    <w:rsid w:val="00670BBD"/>
    <w:rsid w:val="00671921"/>
    <w:rsid w:val="0068177C"/>
    <w:rsid w:val="006A0744"/>
    <w:rsid w:val="006C2116"/>
    <w:rsid w:val="006D49DB"/>
    <w:rsid w:val="006E4AAC"/>
    <w:rsid w:val="006F1648"/>
    <w:rsid w:val="006F5D3B"/>
    <w:rsid w:val="00700535"/>
    <w:rsid w:val="00707574"/>
    <w:rsid w:val="0071354C"/>
    <w:rsid w:val="0071406E"/>
    <w:rsid w:val="007160FE"/>
    <w:rsid w:val="00722401"/>
    <w:rsid w:val="007234EA"/>
    <w:rsid w:val="00731333"/>
    <w:rsid w:val="007348B7"/>
    <w:rsid w:val="00735EE0"/>
    <w:rsid w:val="007400CF"/>
    <w:rsid w:val="00741D52"/>
    <w:rsid w:val="007547F9"/>
    <w:rsid w:val="00754EAF"/>
    <w:rsid w:val="00755C68"/>
    <w:rsid w:val="00757471"/>
    <w:rsid w:val="007709C7"/>
    <w:rsid w:val="007A723D"/>
    <w:rsid w:val="007B4BEB"/>
    <w:rsid w:val="007B6E2C"/>
    <w:rsid w:val="007D719E"/>
    <w:rsid w:val="007E16AE"/>
    <w:rsid w:val="00805040"/>
    <w:rsid w:val="0080620F"/>
    <w:rsid w:val="0082381C"/>
    <w:rsid w:val="008270C9"/>
    <w:rsid w:val="008312E0"/>
    <w:rsid w:val="00833668"/>
    <w:rsid w:val="00833746"/>
    <w:rsid w:val="0083759C"/>
    <w:rsid w:val="0085418F"/>
    <w:rsid w:val="008570F8"/>
    <w:rsid w:val="00864699"/>
    <w:rsid w:val="00864B6A"/>
    <w:rsid w:val="0087032B"/>
    <w:rsid w:val="008707EF"/>
    <w:rsid w:val="00876759"/>
    <w:rsid w:val="00897FF2"/>
    <w:rsid w:val="008B1876"/>
    <w:rsid w:val="008B35D0"/>
    <w:rsid w:val="008B6F94"/>
    <w:rsid w:val="008C2EFC"/>
    <w:rsid w:val="008D3390"/>
    <w:rsid w:val="008E7BAE"/>
    <w:rsid w:val="00900CFD"/>
    <w:rsid w:val="00902022"/>
    <w:rsid w:val="009076E2"/>
    <w:rsid w:val="00917D61"/>
    <w:rsid w:val="009229FE"/>
    <w:rsid w:val="00926AB2"/>
    <w:rsid w:val="00927767"/>
    <w:rsid w:val="00941626"/>
    <w:rsid w:val="00944BAC"/>
    <w:rsid w:val="0095570A"/>
    <w:rsid w:val="009572D0"/>
    <w:rsid w:val="0095743E"/>
    <w:rsid w:val="00960D85"/>
    <w:rsid w:val="009639F7"/>
    <w:rsid w:val="00964AD5"/>
    <w:rsid w:val="009741EE"/>
    <w:rsid w:val="009876DF"/>
    <w:rsid w:val="009937F0"/>
    <w:rsid w:val="009A4DFB"/>
    <w:rsid w:val="009C72F7"/>
    <w:rsid w:val="009C7F24"/>
    <w:rsid w:val="009D241E"/>
    <w:rsid w:val="009E3EF2"/>
    <w:rsid w:val="009F07D1"/>
    <w:rsid w:val="009F4544"/>
    <w:rsid w:val="009F667E"/>
    <w:rsid w:val="009F74A8"/>
    <w:rsid w:val="00A00062"/>
    <w:rsid w:val="00A0393B"/>
    <w:rsid w:val="00A2375F"/>
    <w:rsid w:val="00A3196A"/>
    <w:rsid w:val="00A4515D"/>
    <w:rsid w:val="00A523E7"/>
    <w:rsid w:val="00A55F30"/>
    <w:rsid w:val="00A6596A"/>
    <w:rsid w:val="00A65D61"/>
    <w:rsid w:val="00A831F1"/>
    <w:rsid w:val="00A9422F"/>
    <w:rsid w:val="00A96752"/>
    <w:rsid w:val="00AA1722"/>
    <w:rsid w:val="00AC0793"/>
    <w:rsid w:val="00AC4250"/>
    <w:rsid w:val="00AD287F"/>
    <w:rsid w:val="00AD494A"/>
    <w:rsid w:val="00AD57BF"/>
    <w:rsid w:val="00AE0F87"/>
    <w:rsid w:val="00AE1EAF"/>
    <w:rsid w:val="00AF1C3C"/>
    <w:rsid w:val="00AF2237"/>
    <w:rsid w:val="00B31EB0"/>
    <w:rsid w:val="00B42D23"/>
    <w:rsid w:val="00B5742A"/>
    <w:rsid w:val="00B62A25"/>
    <w:rsid w:val="00B63EC2"/>
    <w:rsid w:val="00B67CF2"/>
    <w:rsid w:val="00B67DA8"/>
    <w:rsid w:val="00B73B71"/>
    <w:rsid w:val="00B825D2"/>
    <w:rsid w:val="00BA0606"/>
    <w:rsid w:val="00BB0EE5"/>
    <w:rsid w:val="00BB2ADC"/>
    <w:rsid w:val="00BB4182"/>
    <w:rsid w:val="00BB5382"/>
    <w:rsid w:val="00BD347C"/>
    <w:rsid w:val="00BF5947"/>
    <w:rsid w:val="00C30A08"/>
    <w:rsid w:val="00C46B88"/>
    <w:rsid w:val="00C53D6D"/>
    <w:rsid w:val="00C57057"/>
    <w:rsid w:val="00C61433"/>
    <w:rsid w:val="00C80504"/>
    <w:rsid w:val="00CC47D7"/>
    <w:rsid w:val="00CD58B0"/>
    <w:rsid w:val="00CE2548"/>
    <w:rsid w:val="00CE7591"/>
    <w:rsid w:val="00CF2E6A"/>
    <w:rsid w:val="00CF3D0B"/>
    <w:rsid w:val="00D016F9"/>
    <w:rsid w:val="00D3210B"/>
    <w:rsid w:val="00D344E5"/>
    <w:rsid w:val="00D55540"/>
    <w:rsid w:val="00D5672F"/>
    <w:rsid w:val="00D57024"/>
    <w:rsid w:val="00D617DA"/>
    <w:rsid w:val="00D644E0"/>
    <w:rsid w:val="00D7028E"/>
    <w:rsid w:val="00D77928"/>
    <w:rsid w:val="00D86497"/>
    <w:rsid w:val="00D9335B"/>
    <w:rsid w:val="00D97EF5"/>
    <w:rsid w:val="00DB2BE8"/>
    <w:rsid w:val="00DB7875"/>
    <w:rsid w:val="00DC5484"/>
    <w:rsid w:val="00DC5EF7"/>
    <w:rsid w:val="00DC6030"/>
    <w:rsid w:val="00DC7B1C"/>
    <w:rsid w:val="00DD2AFE"/>
    <w:rsid w:val="00DE6B1F"/>
    <w:rsid w:val="00E0463E"/>
    <w:rsid w:val="00E061CB"/>
    <w:rsid w:val="00E27763"/>
    <w:rsid w:val="00E30D13"/>
    <w:rsid w:val="00E5207C"/>
    <w:rsid w:val="00E617BF"/>
    <w:rsid w:val="00E64A9D"/>
    <w:rsid w:val="00E764B8"/>
    <w:rsid w:val="00E80AA2"/>
    <w:rsid w:val="00E93387"/>
    <w:rsid w:val="00E95473"/>
    <w:rsid w:val="00EB7448"/>
    <w:rsid w:val="00EC2F4D"/>
    <w:rsid w:val="00EC3306"/>
    <w:rsid w:val="00ED2896"/>
    <w:rsid w:val="00EE683F"/>
    <w:rsid w:val="00EE7500"/>
    <w:rsid w:val="00F16190"/>
    <w:rsid w:val="00F24E82"/>
    <w:rsid w:val="00F27BD7"/>
    <w:rsid w:val="00F43FAD"/>
    <w:rsid w:val="00F5535A"/>
    <w:rsid w:val="00F61351"/>
    <w:rsid w:val="00F67DE0"/>
    <w:rsid w:val="00F725E6"/>
    <w:rsid w:val="00F846D5"/>
    <w:rsid w:val="00FA0E5C"/>
    <w:rsid w:val="00FA2C6B"/>
    <w:rsid w:val="00FB73FF"/>
    <w:rsid w:val="00FC5AE2"/>
    <w:rsid w:val="00FC67AE"/>
    <w:rsid w:val="00FC7176"/>
    <w:rsid w:val="00FD25E0"/>
    <w:rsid w:val="00FD6805"/>
    <w:rsid w:val="00FE7B0C"/>
    <w:rsid w:val="00FF2D51"/>
    <w:rsid w:val="00FF61DF"/>
    <w:rsid w:val="00FF6A5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30F63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7F5"/>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7F5"/>
    <w:pPr>
      <w:tabs>
        <w:tab w:val="center" w:pos="4320"/>
        <w:tab w:val="right" w:pos="8640"/>
      </w:tabs>
    </w:pPr>
    <w:rPr>
      <w:lang w:val="x-none"/>
    </w:rPr>
  </w:style>
  <w:style w:type="character" w:customStyle="1" w:styleId="HeaderChar">
    <w:name w:val="Header Char"/>
    <w:basedOn w:val="DefaultParagraphFont"/>
    <w:link w:val="Header"/>
    <w:rsid w:val="003047F5"/>
    <w:rPr>
      <w:rFonts w:eastAsia="Times New Roman" w:cs="Times New Roman"/>
      <w:szCs w:val="24"/>
      <w:lang w:val="x-none" w:eastAsia="ru-RU"/>
    </w:rPr>
  </w:style>
  <w:style w:type="paragraph" w:styleId="BodyText2">
    <w:name w:val="Body Text 2"/>
    <w:basedOn w:val="Normal"/>
    <w:link w:val="BodyText2Char"/>
    <w:rsid w:val="003047F5"/>
    <w:pPr>
      <w:spacing w:after="120" w:line="480" w:lineRule="auto"/>
    </w:pPr>
    <w:rPr>
      <w:lang w:val="x-none"/>
    </w:rPr>
  </w:style>
  <w:style w:type="character" w:customStyle="1" w:styleId="BodyText2Char">
    <w:name w:val="Body Text 2 Char"/>
    <w:basedOn w:val="DefaultParagraphFont"/>
    <w:link w:val="BodyText2"/>
    <w:rsid w:val="003047F5"/>
    <w:rPr>
      <w:rFonts w:eastAsia="Times New Roman" w:cs="Times New Roman"/>
      <w:szCs w:val="24"/>
      <w:lang w:val="x-none" w:eastAsia="ru-RU"/>
    </w:rPr>
  </w:style>
  <w:style w:type="paragraph" w:styleId="Footer">
    <w:name w:val="footer"/>
    <w:basedOn w:val="Normal"/>
    <w:link w:val="FooterChar"/>
    <w:unhideWhenUsed/>
    <w:rsid w:val="003047F5"/>
    <w:pPr>
      <w:tabs>
        <w:tab w:val="center" w:pos="4153"/>
        <w:tab w:val="right" w:pos="8306"/>
      </w:tabs>
    </w:pPr>
  </w:style>
  <w:style w:type="character" w:customStyle="1" w:styleId="FooterChar">
    <w:name w:val="Footer Char"/>
    <w:basedOn w:val="DefaultParagraphFont"/>
    <w:link w:val="Footer"/>
    <w:rsid w:val="003047F5"/>
    <w:rPr>
      <w:rFonts w:eastAsia="Times New Roman" w:cs="Times New Roman"/>
      <w:szCs w:val="24"/>
      <w:lang w:eastAsia="ru-RU"/>
    </w:rPr>
  </w:style>
  <w:style w:type="character" w:styleId="CommentReference">
    <w:name w:val="annotation reference"/>
    <w:basedOn w:val="DefaultParagraphFont"/>
    <w:uiPriority w:val="99"/>
    <w:semiHidden/>
    <w:unhideWhenUsed/>
    <w:rsid w:val="00A6596A"/>
    <w:rPr>
      <w:sz w:val="16"/>
      <w:szCs w:val="16"/>
    </w:rPr>
  </w:style>
  <w:style w:type="paragraph" w:styleId="CommentText">
    <w:name w:val="annotation text"/>
    <w:basedOn w:val="Normal"/>
    <w:link w:val="CommentTextChar"/>
    <w:uiPriority w:val="99"/>
    <w:semiHidden/>
    <w:unhideWhenUsed/>
    <w:rsid w:val="00A6596A"/>
    <w:rPr>
      <w:sz w:val="20"/>
      <w:szCs w:val="20"/>
    </w:rPr>
  </w:style>
  <w:style w:type="character" w:customStyle="1" w:styleId="CommentTextChar">
    <w:name w:val="Comment Text Char"/>
    <w:basedOn w:val="DefaultParagraphFont"/>
    <w:link w:val="CommentText"/>
    <w:uiPriority w:val="99"/>
    <w:semiHidden/>
    <w:rsid w:val="00A6596A"/>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A6596A"/>
    <w:rPr>
      <w:b/>
      <w:bCs/>
    </w:rPr>
  </w:style>
  <w:style w:type="character" w:customStyle="1" w:styleId="CommentSubjectChar">
    <w:name w:val="Comment Subject Char"/>
    <w:basedOn w:val="CommentTextChar"/>
    <w:link w:val="CommentSubject"/>
    <w:uiPriority w:val="99"/>
    <w:semiHidden/>
    <w:rsid w:val="00A6596A"/>
    <w:rPr>
      <w:rFonts w:eastAsia="Times New Roman" w:cs="Times New Roman"/>
      <w:b/>
      <w:bCs/>
      <w:sz w:val="20"/>
      <w:szCs w:val="20"/>
      <w:lang w:eastAsia="ru-RU"/>
    </w:rPr>
  </w:style>
  <w:style w:type="paragraph" w:styleId="BalloonText">
    <w:name w:val="Balloon Text"/>
    <w:basedOn w:val="Normal"/>
    <w:link w:val="BalloonTextChar"/>
    <w:uiPriority w:val="99"/>
    <w:semiHidden/>
    <w:unhideWhenUsed/>
    <w:rsid w:val="00A659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96A"/>
    <w:rPr>
      <w:rFonts w:ascii="Segoe UI" w:eastAsia="Times New Roman" w:hAnsi="Segoe UI" w:cs="Segoe UI"/>
      <w:sz w:val="18"/>
      <w:szCs w:val="18"/>
      <w:lang w:eastAsia="ru-RU"/>
    </w:rPr>
  </w:style>
  <w:style w:type="character" w:styleId="PageNumber">
    <w:name w:val="page number"/>
    <w:basedOn w:val="DefaultParagraphFont"/>
    <w:rsid w:val="00F43FAD"/>
  </w:style>
  <w:style w:type="paragraph" w:customStyle="1" w:styleId="ATpamattesksts">
    <w:name w:val="AT pamattesksts"/>
    <w:basedOn w:val="BodyText2"/>
    <w:link w:val="ATpamatteskstsChar"/>
    <w:qFormat/>
    <w:rsid w:val="00236E52"/>
    <w:pPr>
      <w:spacing w:after="0" w:line="276" w:lineRule="auto"/>
      <w:ind w:firstLine="567"/>
      <w:jc w:val="both"/>
    </w:pPr>
    <w:rPr>
      <w:lang w:val="lv-LV"/>
    </w:rPr>
  </w:style>
  <w:style w:type="character" w:customStyle="1" w:styleId="ATpamatteskstsChar">
    <w:name w:val="AT pamattesksts Char"/>
    <w:basedOn w:val="BodyText2Char"/>
    <w:link w:val="ATpamattesksts"/>
    <w:rsid w:val="00236E52"/>
    <w:rPr>
      <w:rFonts w:eastAsia="Times New Roman" w:cs="Times New Roman"/>
      <w:szCs w:val="24"/>
      <w:lang w:val="x-none" w:eastAsia="ru-RU"/>
    </w:rPr>
  </w:style>
  <w:style w:type="paragraph" w:customStyle="1" w:styleId="ATvirsraksts">
    <w:name w:val="AT virsraksts"/>
    <w:basedOn w:val="Normal"/>
    <w:link w:val="ATvirsrakstsChar"/>
    <w:qFormat/>
    <w:rsid w:val="00833668"/>
    <w:pPr>
      <w:spacing w:line="276" w:lineRule="auto"/>
      <w:jc w:val="center"/>
      <w:outlineLvl w:val="0"/>
    </w:pPr>
    <w:rPr>
      <w:b/>
    </w:rPr>
  </w:style>
  <w:style w:type="character" w:customStyle="1" w:styleId="ATvirsrakstsChar">
    <w:name w:val="AT virsraksts Char"/>
    <w:basedOn w:val="DefaultParagraphFont"/>
    <w:link w:val="ATvirsraksts"/>
    <w:rsid w:val="00833668"/>
    <w:rPr>
      <w:rFonts w:eastAsia="Times New Roman" w:cs="Times New Roman"/>
      <w:b/>
      <w:szCs w:val="24"/>
      <w:lang w:eastAsia="ru-RU"/>
    </w:rPr>
  </w:style>
  <w:style w:type="character" w:styleId="Hyperlink">
    <w:name w:val="Hyperlink"/>
    <w:basedOn w:val="DefaultParagraphFont"/>
    <w:uiPriority w:val="99"/>
    <w:unhideWhenUsed/>
    <w:rsid w:val="00432CB2"/>
    <w:rPr>
      <w:color w:val="0563C1" w:themeColor="hyperlink"/>
      <w:u w:val="single"/>
    </w:rPr>
  </w:style>
  <w:style w:type="table" w:styleId="TableGrid">
    <w:name w:val="Table Grid"/>
    <w:basedOn w:val="TableNormal"/>
    <w:uiPriority w:val="39"/>
    <w:rsid w:val="007B6E2C"/>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03FF6"/>
    <w:rPr>
      <w:color w:val="954F72" w:themeColor="followedHyperlink"/>
      <w:u w:val="single"/>
    </w:rPr>
  </w:style>
  <w:style w:type="paragraph" w:styleId="EndnoteText">
    <w:name w:val="endnote text"/>
    <w:basedOn w:val="Normal"/>
    <w:link w:val="EndnoteTextChar"/>
    <w:uiPriority w:val="99"/>
    <w:semiHidden/>
    <w:unhideWhenUsed/>
    <w:rsid w:val="00DD2AFE"/>
    <w:rPr>
      <w:sz w:val="20"/>
      <w:szCs w:val="20"/>
    </w:rPr>
  </w:style>
  <w:style w:type="character" w:customStyle="1" w:styleId="EndnoteTextChar">
    <w:name w:val="Endnote Text Char"/>
    <w:basedOn w:val="DefaultParagraphFont"/>
    <w:link w:val="EndnoteText"/>
    <w:uiPriority w:val="99"/>
    <w:semiHidden/>
    <w:rsid w:val="00DD2AFE"/>
    <w:rPr>
      <w:rFonts w:eastAsia="Times New Roman" w:cs="Times New Roman"/>
      <w:sz w:val="20"/>
      <w:szCs w:val="20"/>
      <w:lang w:eastAsia="ru-RU"/>
    </w:rPr>
  </w:style>
  <w:style w:type="character" w:styleId="EndnoteReference">
    <w:name w:val="endnote reference"/>
    <w:basedOn w:val="DefaultParagraphFont"/>
    <w:uiPriority w:val="99"/>
    <w:semiHidden/>
    <w:unhideWhenUsed/>
    <w:rsid w:val="00DD2AFE"/>
    <w:rPr>
      <w:vertAlign w:val="superscript"/>
    </w:rPr>
  </w:style>
  <w:style w:type="paragraph" w:styleId="ListParagraph">
    <w:name w:val="List Paragraph"/>
    <w:basedOn w:val="Normal"/>
    <w:uiPriority w:val="34"/>
    <w:qFormat/>
    <w:rsid w:val="00A523E7"/>
    <w:pPr>
      <w:ind w:left="720"/>
      <w:contextualSpacing/>
    </w:pPr>
  </w:style>
  <w:style w:type="character" w:styleId="UnresolvedMention">
    <w:name w:val="Unresolved Mention"/>
    <w:basedOn w:val="DefaultParagraphFont"/>
    <w:uiPriority w:val="99"/>
    <w:semiHidden/>
    <w:unhideWhenUsed/>
    <w:rsid w:val="002D19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731241">
      <w:bodyDiv w:val="1"/>
      <w:marLeft w:val="0"/>
      <w:marRight w:val="0"/>
      <w:marTop w:val="0"/>
      <w:marBottom w:val="0"/>
      <w:divBdr>
        <w:top w:val="none" w:sz="0" w:space="0" w:color="auto"/>
        <w:left w:val="none" w:sz="0" w:space="0" w:color="auto"/>
        <w:bottom w:val="none" w:sz="0" w:space="0" w:color="auto"/>
        <w:right w:val="none" w:sz="0" w:space="0" w:color="auto"/>
      </w:divBdr>
    </w:div>
    <w:div w:id="1079253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eclinolemumi/ECLI:LV:AT:2019:1031.A420352914.3.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E6D69D-01EB-4127-AA07-B9F07992B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11825</Words>
  <Characters>6741</Characters>
  <Application>Microsoft Office Word</Application>
  <DocSecurity>0</DocSecurity>
  <Lines>56</Lines>
  <Paragraphs>37</Paragraphs>
  <ScaleCrop>false</ScaleCrop>
  <Company/>
  <LinksUpToDate>false</LinksUpToDate>
  <CharactersWithSpaces>18529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2019-11-07T13:39:00Z</dcterms:created>
  <dcterms:modified xsi:type="dcterms:W3CDTF">2019-11-29T12:13:00Z</dcterms:modified>
</cp:coreProperties>
</file>