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7AC5" w:rsidRPr="00912D5F" w:rsidRDefault="003D7AC5" w:rsidP="003D7AC5">
      <w:pPr>
        <w:spacing w:line="276" w:lineRule="auto"/>
        <w:jc w:val="both"/>
        <w:rPr>
          <w:b/>
          <w:bCs/>
        </w:rPr>
      </w:pPr>
      <w:r w:rsidRPr="00912D5F">
        <w:rPr>
          <w:b/>
          <w:bCs/>
        </w:rPr>
        <w:t>Ziedojuma filantropiskais raksturs kā priekšnoteikums uzņēmumu ienākuma nodokļa atlaides piemērošanai; pretpienākuma apjoma noteikšana</w:t>
      </w:r>
    </w:p>
    <w:p w:rsidR="003D7AC5" w:rsidRDefault="003D7AC5" w:rsidP="003D7AC5">
      <w:pPr>
        <w:spacing w:line="276" w:lineRule="auto"/>
        <w:jc w:val="both"/>
      </w:pPr>
      <w:r>
        <w:t>Likuma „Par uzņēmumu ienākuma nodokli” 20.</w:t>
      </w:r>
      <w:r>
        <w:rPr>
          <w:vertAlign w:val="superscript"/>
        </w:rPr>
        <w:t>1</w:t>
      </w:r>
      <w:r>
        <w:t>panta norma, kas liek un ļauj nodalīt pretpienākumu no ziedojuma, kas veikts ar filantropisku mērķi, nav izprotama tādējādi, ka katrreiz, kad pastāv pretpienākums, kopējā nodotā summa būtu katrā ziņā jādala daļās. Ja ir pamats konstatēt, ka pretpienākums ir saistāms ar visu nodoto finanšu līdzekļu apjomu, vai arī nav iespējams nodalīt kādu summu, kas būtu nodota tikai un vienīgi ar filantropisku mērķi, tas ir pamats atzīt, ka nodotie finanšu līdzekļi visā apjomā ir aptverti ar pretpienākumu un nav uzskatāmi par ziedojumu nekādā daļā.</w:t>
      </w:r>
    </w:p>
    <w:p w:rsidR="003D7AC5" w:rsidRDefault="003D7AC5" w:rsidP="00836285">
      <w:pPr>
        <w:spacing w:line="276" w:lineRule="auto"/>
        <w:jc w:val="center"/>
      </w:pPr>
    </w:p>
    <w:p w:rsidR="00836285" w:rsidRDefault="00836285" w:rsidP="00836285">
      <w:pPr>
        <w:spacing w:line="276" w:lineRule="auto"/>
        <w:jc w:val="center"/>
        <w:rPr>
          <w:b/>
        </w:rPr>
      </w:pPr>
      <w:r w:rsidRPr="003D7AC5">
        <w:rPr>
          <w:b/>
        </w:rPr>
        <w:t>Latvijas Republikas Senāt</w:t>
      </w:r>
      <w:r w:rsidR="003D7AC5">
        <w:rPr>
          <w:b/>
        </w:rPr>
        <w:t>a</w:t>
      </w:r>
    </w:p>
    <w:p w:rsidR="003D7AC5" w:rsidRDefault="003D7AC5" w:rsidP="00836285">
      <w:pPr>
        <w:spacing w:line="276" w:lineRule="auto"/>
        <w:jc w:val="center"/>
        <w:rPr>
          <w:b/>
        </w:rPr>
      </w:pPr>
      <w:r>
        <w:rPr>
          <w:b/>
        </w:rPr>
        <w:t>Administratīvo lietu departamenta</w:t>
      </w:r>
    </w:p>
    <w:p w:rsidR="003D7AC5" w:rsidRPr="003D7AC5" w:rsidRDefault="003D7AC5" w:rsidP="00836285">
      <w:pPr>
        <w:spacing w:line="276" w:lineRule="auto"/>
        <w:jc w:val="center"/>
        <w:rPr>
          <w:b/>
        </w:rPr>
      </w:pPr>
      <w:r>
        <w:rPr>
          <w:b/>
        </w:rPr>
        <w:t>2019.gada 22.novembra</w:t>
      </w:r>
    </w:p>
    <w:p w:rsidR="00836285" w:rsidRDefault="00836285" w:rsidP="00836285">
      <w:pPr>
        <w:spacing w:line="276" w:lineRule="auto"/>
        <w:jc w:val="center"/>
        <w:rPr>
          <w:b/>
        </w:rPr>
      </w:pPr>
      <w:r w:rsidRPr="003D7AC5">
        <w:rPr>
          <w:b/>
        </w:rPr>
        <w:t>SPRIEDUMS</w:t>
      </w:r>
    </w:p>
    <w:p w:rsidR="003D7AC5" w:rsidRDefault="003D7AC5" w:rsidP="00836285">
      <w:pPr>
        <w:spacing w:line="276" w:lineRule="auto"/>
        <w:jc w:val="center"/>
        <w:rPr>
          <w:b/>
        </w:rPr>
      </w:pPr>
      <w:r>
        <w:rPr>
          <w:b/>
        </w:rPr>
        <w:t>Lieta Nr. A420159215, SKA-382/2019</w:t>
      </w:r>
    </w:p>
    <w:p w:rsidR="003D7AC5" w:rsidRPr="003D7AC5" w:rsidRDefault="003D7AC5" w:rsidP="00836285">
      <w:pPr>
        <w:spacing w:line="276" w:lineRule="auto"/>
        <w:jc w:val="center"/>
        <w:rPr>
          <w:b/>
          <w:color w:val="0000FF"/>
        </w:rPr>
      </w:pPr>
      <w:hyperlink r:id="rId7" w:history="1">
        <w:r w:rsidRPr="003D7AC5">
          <w:rPr>
            <w:rStyle w:val="Hyperlink"/>
            <w:color w:val="0000FF"/>
          </w:rPr>
          <w:t>ECLI:LV:AT:2019:1122.A420159215.7.S</w:t>
        </w:r>
      </w:hyperlink>
    </w:p>
    <w:p w:rsidR="00836285" w:rsidRPr="00650F87" w:rsidRDefault="00836285" w:rsidP="00836285">
      <w:pPr>
        <w:spacing w:line="276" w:lineRule="auto"/>
        <w:ind w:firstLine="567"/>
        <w:jc w:val="both"/>
      </w:pPr>
    </w:p>
    <w:p w:rsidR="00836285" w:rsidRPr="00650F87" w:rsidRDefault="00184C2A" w:rsidP="00836285">
      <w:pPr>
        <w:spacing w:line="276" w:lineRule="auto"/>
        <w:ind w:firstLine="567"/>
        <w:jc w:val="both"/>
      </w:pPr>
      <w:r w:rsidRPr="00650F87">
        <w:t xml:space="preserve">Administratīvo lietu departaments kopsēdē </w:t>
      </w:r>
      <w:r w:rsidR="00836285" w:rsidRPr="00650F87">
        <w:t xml:space="preserve">šādā sastāvā: </w:t>
      </w:r>
      <w:r w:rsidRPr="00650F87">
        <w:t xml:space="preserve">kopsēdes priekšsēdētāja senatore Veronika Krūmiņa, </w:t>
      </w:r>
      <w:r w:rsidR="00836285" w:rsidRPr="00650F87">
        <w:t xml:space="preserve">senatori </w:t>
      </w:r>
      <w:r w:rsidRPr="00650F87">
        <w:t xml:space="preserve">Dzintra Amerika, Jautrīte Briede, Andris Guļāns, Vēsma Kakste, Anita Kovaļevska, Dace Mita, Valters Poķis, Līvija Slica, Ieva Višķere, </w:t>
      </w:r>
      <w:r w:rsidR="00F802FD" w:rsidRPr="00650F87">
        <w:t>R</w:t>
      </w:r>
      <w:r w:rsidRPr="00650F87">
        <w:t>udīte Vīduša</w:t>
      </w:r>
      <w:r w:rsidR="00147791" w:rsidRPr="00650F87">
        <w:t>,</w:t>
      </w:r>
    </w:p>
    <w:p w:rsidR="00836285" w:rsidRPr="00650F87" w:rsidRDefault="00836285" w:rsidP="00836285">
      <w:pPr>
        <w:tabs>
          <w:tab w:val="left" w:pos="2700"/>
        </w:tabs>
        <w:spacing w:line="276" w:lineRule="auto"/>
        <w:ind w:firstLine="567"/>
        <w:jc w:val="both"/>
      </w:pPr>
    </w:p>
    <w:p w:rsidR="00184C2A" w:rsidRPr="00650F87" w:rsidRDefault="00184C2A" w:rsidP="00836285">
      <w:pPr>
        <w:tabs>
          <w:tab w:val="left" w:pos="2700"/>
        </w:tabs>
        <w:spacing w:line="276" w:lineRule="auto"/>
        <w:ind w:firstLine="567"/>
        <w:jc w:val="both"/>
      </w:pPr>
      <w:r w:rsidRPr="00650F87">
        <w:t>piedaloties AS „4finance” pārstāv</w:t>
      </w:r>
      <w:r w:rsidR="00D83331" w:rsidRPr="00650F87">
        <w:t xml:space="preserve">ēm </w:t>
      </w:r>
      <w:r w:rsidR="00782F49">
        <w:t>[pers. A]</w:t>
      </w:r>
      <w:r w:rsidR="00D83331" w:rsidRPr="00650F87">
        <w:t xml:space="preserve"> un </w:t>
      </w:r>
      <w:r w:rsidR="00782F49">
        <w:t>[pers. B]</w:t>
      </w:r>
      <w:r w:rsidRPr="00650F87">
        <w:t xml:space="preserve"> un atbildētājas Latvijas Republikas pusē pieaicinātās iestādes Valsts</w:t>
      </w:r>
      <w:r w:rsidR="00D83331" w:rsidRPr="00650F87">
        <w:t xml:space="preserve"> ieņēmumu dienesta pārstāvēm </w:t>
      </w:r>
      <w:r w:rsidR="00782F49">
        <w:t>[pers. C]</w:t>
      </w:r>
      <w:r w:rsidR="00D83331" w:rsidRPr="00650F87">
        <w:t xml:space="preserve"> un </w:t>
      </w:r>
      <w:r w:rsidR="00782F49">
        <w:t>[pers. </w:t>
      </w:r>
      <w:bookmarkStart w:id="0" w:name="_GoBack"/>
      <w:bookmarkEnd w:id="0"/>
      <w:r w:rsidR="00782F49">
        <w:t>D]</w:t>
      </w:r>
      <w:r w:rsidR="00D83331" w:rsidRPr="00650F87">
        <w:t>,</w:t>
      </w:r>
    </w:p>
    <w:p w:rsidR="00184C2A" w:rsidRPr="00650F87" w:rsidRDefault="00184C2A" w:rsidP="00184C2A">
      <w:pPr>
        <w:spacing w:line="276" w:lineRule="auto"/>
        <w:ind w:firstLine="567"/>
        <w:jc w:val="both"/>
      </w:pPr>
    </w:p>
    <w:p w:rsidR="00836285" w:rsidRPr="00650F87" w:rsidRDefault="00184C2A" w:rsidP="00184C2A">
      <w:pPr>
        <w:spacing w:line="276" w:lineRule="auto"/>
        <w:ind w:firstLine="567"/>
        <w:jc w:val="both"/>
      </w:pPr>
      <w:r w:rsidRPr="00650F87">
        <w:t xml:space="preserve">atklātā tiesas sēdē </w:t>
      </w:r>
      <w:r w:rsidR="00836285" w:rsidRPr="00650F87">
        <w:t>izskatīja administratīvo lietu, kas ierosināta, pamatojoties uz AS</w:t>
      </w:r>
      <w:r w:rsidR="00CA55AC" w:rsidRPr="00650F87">
        <w:t> „</w:t>
      </w:r>
      <w:r w:rsidR="00836285" w:rsidRPr="00650F87">
        <w:t>4finance” pieteikumu par Valsts ieņēmum</w:t>
      </w:r>
      <w:r w:rsidR="00B200A6" w:rsidRPr="00650F87">
        <w:t>u</w:t>
      </w:r>
      <w:r w:rsidR="00836285" w:rsidRPr="00650F87">
        <w:t xml:space="preserve"> dienesta 2015.gada 14.janvāra lēmuma Nr.</w:t>
      </w:r>
      <w:r w:rsidR="008619C4" w:rsidRPr="00650F87">
        <w:t> </w:t>
      </w:r>
      <w:r w:rsidR="00836285" w:rsidRPr="00650F87">
        <w:t>22.13/L-1299 atce</w:t>
      </w:r>
      <w:r w:rsidR="00B200A6" w:rsidRPr="00650F87">
        <w:t>lšanu, sakarā ar Valsts ieņēmumu</w:t>
      </w:r>
      <w:r w:rsidR="00836285" w:rsidRPr="00650F87">
        <w:t xml:space="preserve"> dienesta kasācijas sūdzību par Administratīvās apgabaltiesas 2017.gada 19.septembra spriedumu.</w:t>
      </w:r>
    </w:p>
    <w:p w:rsidR="00836285" w:rsidRPr="00650F87" w:rsidRDefault="00836285" w:rsidP="00836285">
      <w:pPr>
        <w:spacing w:line="276" w:lineRule="auto"/>
        <w:ind w:firstLine="567"/>
        <w:jc w:val="both"/>
      </w:pPr>
    </w:p>
    <w:p w:rsidR="00836285" w:rsidRPr="00650F87" w:rsidRDefault="00836285" w:rsidP="00836285">
      <w:pPr>
        <w:spacing w:line="276" w:lineRule="auto"/>
        <w:jc w:val="center"/>
        <w:rPr>
          <w:b/>
        </w:rPr>
      </w:pPr>
      <w:r w:rsidRPr="00650F87">
        <w:rPr>
          <w:b/>
        </w:rPr>
        <w:t>Aprakstošā daļa</w:t>
      </w:r>
    </w:p>
    <w:p w:rsidR="00836285" w:rsidRPr="00650F87" w:rsidRDefault="00836285" w:rsidP="00836285">
      <w:pPr>
        <w:spacing w:line="276" w:lineRule="auto"/>
        <w:ind w:firstLine="567"/>
        <w:jc w:val="both"/>
        <w:rPr>
          <w:shd w:val="clear" w:color="auto" w:fill="FFFF00"/>
        </w:rPr>
      </w:pPr>
    </w:p>
    <w:p w:rsidR="00836285" w:rsidRPr="00650F87" w:rsidRDefault="00836285" w:rsidP="001C4654">
      <w:pPr>
        <w:spacing w:line="276" w:lineRule="auto"/>
        <w:ind w:firstLine="567"/>
        <w:jc w:val="both"/>
        <w:rPr>
          <w:rFonts w:eastAsiaTheme="minorHAnsi"/>
        </w:rPr>
      </w:pPr>
      <w:r w:rsidRPr="00650F87">
        <w:t xml:space="preserve">[1] </w:t>
      </w:r>
      <w:r w:rsidRPr="00650F87">
        <w:rPr>
          <w:rFonts w:eastAsiaTheme="minorHAnsi"/>
        </w:rPr>
        <w:t>Valsts ieņēmumu dienest</w:t>
      </w:r>
      <w:r w:rsidR="00D83331" w:rsidRPr="00650F87">
        <w:rPr>
          <w:rFonts w:eastAsiaTheme="minorHAnsi"/>
        </w:rPr>
        <w:t>s</w:t>
      </w:r>
      <w:r w:rsidRPr="00650F87">
        <w:rPr>
          <w:rFonts w:eastAsiaTheme="minorHAnsi"/>
        </w:rPr>
        <w:t xml:space="preserve"> </w:t>
      </w:r>
      <w:r w:rsidR="005C4911" w:rsidRPr="00650F87">
        <w:rPr>
          <w:rFonts w:eastAsiaTheme="minorHAnsi"/>
        </w:rPr>
        <w:t>pieteicējai AS</w:t>
      </w:r>
      <w:r w:rsidRPr="00650F87">
        <w:rPr>
          <w:rFonts w:eastAsiaTheme="minorHAnsi"/>
        </w:rPr>
        <w:t> „4finance</w:t>
      </w:r>
      <w:r w:rsidR="000B7118" w:rsidRPr="00650F87">
        <w:rPr>
          <w:rFonts w:eastAsiaTheme="minorHAnsi"/>
        </w:rPr>
        <w:t>”</w:t>
      </w:r>
      <w:r w:rsidR="001C4654" w:rsidRPr="00650F87">
        <w:t xml:space="preserve"> veica uzņēmumu ienākuma nodokļa auditu par 2012.gadu</w:t>
      </w:r>
      <w:r w:rsidR="00AA67F4" w:rsidRPr="00650F87">
        <w:t>.</w:t>
      </w:r>
    </w:p>
    <w:p w:rsidR="00D83331" w:rsidRPr="00650F87" w:rsidRDefault="00836285" w:rsidP="001C4654">
      <w:pPr>
        <w:spacing w:line="276" w:lineRule="auto"/>
        <w:ind w:firstLine="567"/>
        <w:jc w:val="both"/>
        <w:rPr>
          <w:rFonts w:eastAsiaTheme="minorHAnsi"/>
        </w:rPr>
      </w:pPr>
      <w:r w:rsidRPr="00650F87">
        <w:rPr>
          <w:rFonts w:eastAsiaTheme="minorHAnsi"/>
        </w:rPr>
        <w:t xml:space="preserve">Administratīvais process iestādē noslēdzās ar </w:t>
      </w:r>
      <w:r w:rsidR="00184C2A" w:rsidRPr="00650F87">
        <w:rPr>
          <w:rFonts w:eastAsiaTheme="minorHAnsi"/>
        </w:rPr>
        <w:t xml:space="preserve">Valsts ieņēmumu </w:t>
      </w:r>
      <w:r w:rsidRPr="00650F87">
        <w:rPr>
          <w:rFonts w:eastAsiaTheme="minorHAnsi"/>
        </w:rPr>
        <w:t xml:space="preserve">dienesta </w:t>
      </w:r>
      <w:r w:rsidR="001C4654" w:rsidRPr="00650F87">
        <w:rPr>
          <w:rFonts w:eastAsiaTheme="minorHAnsi"/>
        </w:rPr>
        <w:t>2015.gada 1</w:t>
      </w:r>
      <w:r w:rsidRPr="00650F87">
        <w:rPr>
          <w:rFonts w:eastAsiaTheme="minorHAnsi"/>
        </w:rPr>
        <w:t>4.</w:t>
      </w:r>
      <w:r w:rsidR="001C4654" w:rsidRPr="00650F87">
        <w:rPr>
          <w:rFonts w:eastAsiaTheme="minorHAnsi"/>
        </w:rPr>
        <w:t>janvāra lēmumu Nr.</w:t>
      </w:r>
      <w:r w:rsidR="008619C4" w:rsidRPr="00650F87">
        <w:rPr>
          <w:rFonts w:eastAsiaTheme="minorHAnsi"/>
        </w:rPr>
        <w:t> 22.13/L-1299</w:t>
      </w:r>
      <w:r w:rsidRPr="00650F87">
        <w:rPr>
          <w:rFonts w:eastAsiaTheme="minorHAnsi"/>
        </w:rPr>
        <w:t>, ar kuru pieteicējai papildu</w:t>
      </w:r>
      <w:r w:rsidR="002D63D7" w:rsidRPr="00650F87">
        <w:rPr>
          <w:rFonts w:eastAsiaTheme="minorHAnsi"/>
        </w:rPr>
        <w:t>s</w:t>
      </w:r>
      <w:r w:rsidRPr="00650F87">
        <w:rPr>
          <w:rFonts w:eastAsiaTheme="minorHAnsi"/>
        </w:rPr>
        <w:t xml:space="preserve"> aprēķināts</w:t>
      </w:r>
      <w:r w:rsidR="001C4654" w:rsidRPr="00650F87">
        <w:rPr>
          <w:rFonts w:eastAsiaTheme="minorHAnsi"/>
        </w:rPr>
        <w:t xml:space="preserve"> </w:t>
      </w:r>
      <w:r w:rsidR="0041653C" w:rsidRPr="00650F87">
        <w:t>uzņēmumu ienākuma nodoklis</w:t>
      </w:r>
      <w:r w:rsidR="001C4654" w:rsidRPr="00650F87">
        <w:rPr>
          <w:rFonts w:eastAsiaTheme="minorHAnsi"/>
        </w:rPr>
        <w:t xml:space="preserve">, </w:t>
      </w:r>
      <w:r w:rsidRPr="00650F87">
        <w:rPr>
          <w:rFonts w:eastAsiaTheme="minorHAnsi"/>
        </w:rPr>
        <w:t xml:space="preserve">nokavējuma nauda un soda nauda. </w:t>
      </w:r>
    </w:p>
    <w:p w:rsidR="00836285" w:rsidRPr="00650F87" w:rsidRDefault="00836285" w:rsidP="001C4654">
      <w:pPr>
        <w:spacing w:line="276" w:lineRule="auto"/>
        <w:ind w:firstLine="567"/>
        <w:jc w:val="both"/>
        <w:rPr>
          <w:rFonts w:eastAsiaTheme="minorHAnsi"/>
        </w:rPr>
      </w:pPr>
      <w:r w:rsidRPr="00650F87">
        <w:rPr>
          <w:rFonts w:eastAsiaTheme="minorHAnsi"/>
        </w:rPr>
        <w:t>Lēmumā</w:t>
      </w:r>
      <w:r w:rsidR="00D83331" w:rsidRPr="00650F87">
        <w:rPr>
          <w:rFonts w:eastAsiaTheme="minorHAnsi"/>
        </w:rPr>
        <w:t xml:space="preserve"> </w:t>
      </w:r>
      <w:proofErr w:type="spellStart"/>
      <w:r w:rsidR="00D83331" w:rsidRPr="00650F87">
        <w:rPr>
          <w:rFonts w:eastAsiaTheme="minorHAnsi"/>
        </w:rPr>
        <w:t>citstarp</w:t>
      </w:r>
      <w:proofErr w:type="spellEnd"/>
      <w:r w:rsidRPr="00650F87">
        <w:rPr>
          <w:rFonts w:eastAsiaTheme="minorHAnsi"/>
        </w:rPr>
        <w:t xml:space="preserve"> </w:t>
      </w:r>
      <w:r w:rsidR="00D83331" w:rsidRPr="00650F87">
        <w:rPr>
          <w:rFonts w:eastAsiaTheme="minorHAnsi"/>
        </w:rPr>
        <w:t>vērtēts</w:t>
      </w:r>
      <w:r w:rsidR="002D63D7" w:rsidRPr="00650F87">
        <w:rPr>
          <w:rFonts w:eastAsiaTheme="minorHAnsi"/>
        </w:rPr>
        <w:t>, vai pieteicēja pamatoti piemērojusi nodokļa atlaidi atbilstoši likuma „Par uzņēmumu ienākuma nodokli” 20.</w:t>
      </w:r>
      <w:r w:rsidR="002D63D7" w:rsidRPr="00650F87">
        <w:rPr>
          <w:rFonts w:eastAsiaTheme="minorHAnsi"/>
          <w:vertAlign w:val="superscript"/>
        </w:rPr>
        <w:t>1</w:t>
      </w:r>
      <w:r w:rsidR="002D63D7" w:rsidRPr="00650F87">
        <w:rPr>
          <w:rFonts w:eastAsiaTheme="minorHAnsi"/>
        </w:rPr>
        <w:t xml:space="preserve">panta pirmajai daļai. Minētā norma paredz iespēju samazināt uzņēmumu ienākuma nodokli par 85 procentiem no summām, kas ziedotas Latvijas Republikā reģistrētām biedrībām, kurām piešķirts sabiedriskā labuma organizācijas statuss. Lēmumā </w:t>
      </w:r>
      <w:r w:rsidRPr="00650F87">
        <w:rPr>
          <w:rFonts w:eastAsiaTheme="minorHAnsi"/>
        </w:rPr>
        <w:t>konstatēts, ka pieteicēja</w:t>
      </w:r>
      <w:r w:rsidR="001C4654" w:rsidRPr="00650F87">
        <w:rPr>
          <w:rFonts w:eastAsiaTheme="minorHAnsi"/>
        </w:rPr>
        <w:t xml:space="preserve">s ziedoto summu biedrībai </w:t>
      </w:r>
      <w:r w:rsidR="000B7118" w:rsidRPr="00650F87">
        <w:rPr>
          <w:rFonts w:eastAsiaTheme="minorHAnsi"/>
        </w:rPr>
        <w:t>„</w:t>
      </w:r>
      <w:r w:rsidR="001C4654" w:rsidRPr="00650F87">
        <w:rPr>
          <w:rFonts w:eastAsiaTheme="minorHAnsi"/>
        </w:rPr>
        <w:t>Labie darbi”</w:t>
      </w:r>
      <w:r w:rsidRPr="00650F87">
        <w:rPr>
          <w:rFonts w:eastAsiaTheme="minorHAnsi"/>
        </w:rPr>
        <w:t xml:space="preserve"> n</w:t>
      </w:r>
      <w:r w:rsidR="001C4654" w:rsidRPr="00650F87">
        <w:rPr>
          <w:rFonts w:eastAsiaTheme="minorHAnsi"/>
        </w:rPr>
        <w:t>evar uzskatīt par ziedojumiem. K</w:t>
      </w:r>
      <w:r w:rsidR="001C4654" w:rsidRPr="00650F87">
        <w:t xml:space="preserve">onstatētie apstākļi liecina par netiešu pieteicējas </w:t>
      </w:r>
      <w:r w:rsidR="000B7118" w:rsidRPr="00650F87">
        <w:t xml:space="preserve">kā aizdevēja </w:t>
      </w:r>
      <w:r w:rsidR="001C4654" w:rsidRPr="00650F87">
        <w:t xml:space="preserve">reklamēšanu un popularizēšanu un </w:t>
      </w:r>
      <w:r w:rsidR="000B7118" w:rsidRPr="00650F87">
        <w:t xml:space="preserve">tās </w:t>
      </w:r>
      <w:r w:rsidR="001C4654" w:rsidRPr="00650F87">
        <w:t xml:space="preserve">reputācijas celšanu kā ziedotājam, kas atbalsta ziedojumu saņēmēja – biedrības </w:t>
      </w:r>
      <w:r w:rsidR="000B7118" w:rsidRPr="00650F87">
        <w:t>„</w:t>
      </w:r>
      <w:r w:rsidR="001C4654" w:rsidRPr="00650F87">
        <w:t>Labie darbi”</w:t>
      </w:r>
      <w:r w:rsidR="000B7118" w:rsidRPr="00650F87">
        <w:t xml:space="preserve"> –</w:t>
      </w:r>
      <w:r w:rsidR="001C4654" w:rsidRPr="00650F87">
        <w:t xml:space="preserve"> projektus, pretī par to saņemot </w:t>
      </w:r>
      <w:r w:rsidR="0041653C" w:rsidRPr="00650F87">
        <w:t>atlīdzību, kas savukārt garantē uzņēmumu ienākuma nodokļa</w:t>
      </w:r>
      <w:r w:rsidR="001C4654" w:rsidRPr="00650F87">
        <w:t xml:space="preserve"> atlaides pieteicējai. </w:t>
      </w:r>
      <w:r w:rsidR="000B7118" w:rsidRPr="00650F87">
        <w:t>A</w:t>
      </w:r>
      <w:r w:rsidR="001C4654" w:rsidRPr="00650F87">
        <w:t xml:space="preserve">rī pieteicējai izteiktās </w:t>
      </w:r>
      <w:r w:rsidR="001C4654" w:rsidRPr="00650F87">
        <w:lastRenderedPageBreak/>
        <w:t xml:space="preserve">pateicības publiski pieejamos resursos uzskatāmas par atlīdzības rakstura darbībām, kas nodrošina pieteicējas </w:t>
      </w:r>
      <w:r w:rsidR="00147791" w:rsidRPr="00650F87">
        <w:t xml:space="preserve">ar filantropiju nesaistītas </w:t>
      </w:r>
      <w:r w:rsidR="001C4654" w:rsidRPr="00650F87">
        <w:t>intereses. Tādējādi šī situācija atbilst</w:t>
      </w:r>
      <w:r w:rsidR="000B7118" w:rsidRPr="00650F87">
        <w:t xml:space="preserve"> </w:t>
      </w:r>
      <w:r w:rsidR="001C4654" w:rsidRPr="00650F87">
        <w:t>likuma „Par</w:t>
      </w:r>
      <w:r w:rsidR="00AA67F4" w:rsidRPr="00650F87">
        <w:t xml:space="preserve"> uzņēmumu ienākuma nodokli” 20.</w:t>
      </w:r>
      <w:r w:rsidR="001C4654" w:rsidRPr="00650F87">
        <w:rPr>
          <w:vertAlign w:val="superscript"/>
        </w:rPr>
        <w:t>1</w:t>
      </w:r>
      <w:r w:rsidR="001C4654" w:rsidRPr="00650F87">
        <w:t>panta sest</w:t>
      </w:r>
      <w:r w:rsidR="000B7118" w:rsidRPr="00650F87">
        <w:t xml:space="preserve">ajai </w:t>
      </w:r>
      <w:r w:rsidR="001C4654" w:rsidRPr="00650F87">
        <w:t>daļa</w:t>
      </w:r>
      <w:r w:rsidR="000B7118" w:rsidRPr="00650F87">
        <w:t>i</w:t>
      </w:r>
      <w:r w:rsidR="001C4654" w:rsidRPr="00650F87">
        <w:t xml:space="preserve"> un septītās daļas 1. un 2.punkta</w:t>
      </w:r>
      <w:r w:rsidR="00F104BC" w:rsidRPr="00650F87">
        <w:t>m, kas no</w:t>
      </w:r>
      <w:r w:rsidR="00184C2A" w:rsidRPr="00650F87">
        <w:t>teic</w:t>
      </w:r>
      <w:r w:rsidR="00F104BC" w:rsidRPr="00650F87">
        <w:t>,</w:t>
      </w:r>
      <w:r w:rsidR="001C4654" w:rsidRPr="00650F87">
        <w:t xml:space="preserve"> ka attiecībā uz ziedotāju ir pietiekami konstatēt, ka</w:t>
      </w:r>
      <w:r w:rsidR="00F104BC" w:rsidRPr="00650F87">
        <w:t xml:space="preserve"> </w:t>
      </w:r>
      <w:r w:rsidR="001C4654" w:rsidRPr="00650F87">
        <w:t>ziedojuma nodošanā</w:t>
      </w:r>
      <w:r w:rsidR="00F104BC" w:rsidRPr="00650F87">
        <w:t xml:space="preserve"> </w:t>
      </w:r>
      <w:r w:rsidR="001C4654" w:rsidRPr="00650F87">
        <w:t>ir noteikts</w:t>
      </w:r>
      <w:r w:rsidR="00F104BC" w:rsidRPr="00650F87">
        <w:t xml:space="preserve"> </w:t>
      </w:r>
      <w:r w:rsidR="001C4654" w:rsidRPr="00650F87">
        <w:t>atlīdzības pretpienākums, lai</w:t>
      </w:r>
      <w:r w:rsidR="00F104BC" w:rsidRPr="00650F87">
        <w:t xml:space="preserve"> </w:t>
      </w:r>
      <w:r w:rsidR="001C4654" w:rsidRPr="00650F87">
        <w:t>atzītu, ka nodotās summas nav uzskatāmas par</w:t>
      </w:r>
      <w:r w:rsidR="00F104BC" w:rsidRPr="00650F87">
        <w:t xml:space="preserve"> </w:t>
      </w:r>
      <w:r w:rsidR="001C4654" w:rsidRPr="00650F87">
        <w:t>ziedojumu</w:t>
      </w:r>
      <w:r w:rsidR="00F104BC" w:rsidRPr="00650F87">
        <w:t>.</w:t>
      </w:r>
    </w:p>
    <w:p w:rsidR="005962F9" w:rsidRPr="00650F87" w:rsidRDefault="00836285" w:rsidP="005962F9">
      <w:pPr>
        <w:spacing w:line="276" w:lineRule="auto"/>
        <w:ind w:firstLine="567"/>
        <w:jc w:val="both"/>
        <w:rPr>
          <w:rFonts w:eastAsiaTheme="minorHAnsi"/>
        </w:rPr>
      </w:pPr>
      <w:r w:rsidRPr="00650F87">
        <w:rPr>
          <w:rFonts w:eastAsiaTheme="minorHAnsi"/>
        </w:rPr>
        <w:t xml:space="preserve">Pieteicēja vērsās tiesā ar pieteikumu par </w:t>
      </w:r>
      <w:r w:rsidR="00D83331" w:rsidRPr="00650F87">
        <w:rPr>
          <w:rFonts w:eastAsiaTheme="minorHAnsi"/>
        </w:rPr>
        <w:t xml:space="preserve">Valsts ieņēmumu </w:t>
      </w:r>
      <w:r w:rsidRPr="00650F87">
        <w:rPr>
          <w:rFonts w:eastAsiaTheme="minorHAnsi"/>
        </w:rPr>
        <w:t>dienesta lēmuma atcelšanu</w:t>
      </w:r>
      <w:r w:rsidR="00F104BC" w:rsidRPr="00650F87">
        <w:rPr>
          <w:rFonts w:eastAsiaTheme="minorHAnsi"/>
        </w:rPr>
        <w:t>.</w:t>
      </w:r>
    </w:p>
    <w:p w:rsidR="005962F9" w:rsidRPr="00650F87" w:rsidRDefault="005962F9" w:rsidP="005962F9">
      <w:pPr>
        <w:spacing w:line="276" w:lineRule="auto"/>
        <w:ind w:firstLine="567"/>
        <w:jc w:val="both"/>
        <w:rPr>
          <w:rFonts w:eastAsiaTheme="minorHAnsi"/>
        </w:rPr>
      </w:pPr>
    </w:p>
    <w:p w:rsidR="002D63D7" w:rsidRPr="00650F87" w:rsidRDefault="00836285" w:rsidP="00836285">
      <w:pPr>
        <w:spacing w:line="276" w:lineRule="auto"/>
        <w:ind w:firstLine="567"/>
        <w:jc w:val="both"/>
      </w:pPr>
      <w:r w:rsidRPr="00650F87">
        <w:t>[</w:t>
      </w:r>
      <w:r w:rsidR="002D63D7" w:rsidRPr="00650F87">
        <w:t>2</w:t>
      </w:r>
      <w:r w:rsidRPr="00650F87">
        <w:t>] Izskatījusi lie</w:t>
      </w:r>
      <w:r w:rsidR="00E25645" w:rsidRPr="00650F87">
        <w:t xml:space="preserve">tu apelācijas kārtībā </w:t>
      </w:r>
      <w:r w:rsidR="002D63D7" w:rsidRPr="00650F87">
        <w:t xml:space="preserve">daļā </w:t>
      </w:r>
      <w:r w:rsidR="00D83331" w:rsidRPr="00650F87">
        <w:t>p</w:t>
      </w:r>
      <w:r w:rsidR="002D63D7" w:rsidRPr="00650F87">
        <w:t>ar ziedojumiem biedrībai „Labie darbi”</w:t>
      </w:r>
      <w:r w:rsidR="00D83331" w:rsidRPr="00650F87">
        <w:t>, ciktāl pieteikums pirmās instances tiesā bija apmierināts</w:t>
      </w:r>
      <w:r w:rsidR="0041653C" w:rsidRPr="00650F87">
        <w:t xml:space="preserve">, </w:t>
      </w:r>
      <w:r w:rsidRPr="00650F87">
        <w:t>Administrat</w:t>
      </w:r>
      <w:r w:rsidR="0041653C" w:rsidRPr="00650F87">
        <w:t>īvā apgabaltiesa ar 2017.gada 19</w:t>
      </w:r>
      <w:r w:rsidRPr="00650F87">
        <w:t>.</w:t>
      </w:r>
      <w:r w:rsidR="0041653C" w:rsidRPr="00650F87">
        <w:t>septembra</w:t>
      </w:r>
      <w:r w:rsidRPr="00650F87">
        <w:t xml:space="preserve"> spriedumu</w:t>
      </w:r>
      <w:r w:rsidR="00B200A6" w:rsidRPr="00650F87">
        <w:t xml:space="preserve"> pieteikum</w:t>
      </w:r>
      <w:r w:rsidR="002D63D7" w:rsidRPr="00650F87">
        <w:t>u</w:t>
      </w:r>
      <w:r w:rsidR="00B200A6" w:rsidRPr="00650F87">
        <w:t xml:space="preserve"> </w:t>
      </w:r>
      <w:r w:rsidR="002D63D7" w:rsidRPr="00650F87">
        <w:t>šajā</w:t>
      </w:r>
      <w:r w:rsidR="00B200A6" w:rsidRPr="00650F87">
        <w:t xml:space="preserve"> daļā apmierinā</w:t>
      </w:r>
      <w:r w:rsidR="008F75F7" w:rsidRPr="00650F87">
        <w:t>ja</w:t>
      </w:r>
      <w:r w:rsidR="00B200A6" w:rsidRPr="00650F87">
        <w:t xml:space="preserve">. </w:t>
      </w:r>
      <w:r w:rsidR="00FE707A" w:rsidRPr="00650F87">
        <w:t>Spriedums pamatots ar turpmāk minētajiem argumentiem.</w:t>
      </w:r>
    </w:p>
    <w:p w:rsidR="00EE2596" w:rsidRPr="00650F87" w:rsidRDefault="00AF5183" w:rsidP="00836285">
      <w:pPr>
        <w:spacing w:line="276" w:lineRule="auto"/>
        <w:ind w:firstLine="567"/>
        <w:jc w:val="both"/>
      </w:pPr>
      <w:r w:rsidRPr="00650F87">
        <w:t xml:space="preserve">[2.1] </w:t>
      </w:r>
      <w:r w:rsidR="00FE707A" w:rsidRPr="00650F87">
        <w:t xml:space="preserve">Ir noraidāms </w:t>
      </w:r>
      <w:r w:rsidRPr="00650F87">
        <w:t>Valsts ieņēmumu dienesta argument</w:t>
      </w:r>
      <w:r w:rsidR="00FE707A" w:rsidRPr="00650F87">
        <w:t>s</w:t>
      </w:r>
      <w:r w:rsidRPr="00650F87">
        <w:t>, ka,</w:t>
      </w:r>
      <w:r w:rsidR="00EE2596" w:rsidRPr="00650F87">
        <w:t xml:space="preserve"> tā kā biedrība veikusi atlīdzības rakstura darbības, kas vērstas uz labuma gūšanu pieteicējai, visa summa, ko pieteicēja nodevusi biedrībai, ir uzskatāma par tādu, kas likuma „Par iedzīvotāju ienākuma nodokli” 20.</w:t>
      </w:r>
      <w:r w:rsidR="00EE2596" w:rsidRPr="00650F87">
        <w:rPr>
          <w:vertAlign w:val="superscript"/>
        </w:rPr>
        <w:t>1</w:t>
      </w:r>
      <w:r w:rsidR="00EE2596" w:rsidRPr="00650F87">
        <w:t xml:space="preserve">panta septītās daļas 2.punkta izpratnē liedz saņemt nodokļu atlaides. </w:t>
      </w:r>
    </w:p>
    <w:p w:rsidR="006A5A69" w:rsidRPr="00650F87" w:rsidRDefault="00FE707A" w:rsidP="001B30AD">
      <w:pPr>
        <w:spacing w:line="276" w:lineRule="auto"/>
        <w:ind w:firstLine="567"/>
        <w:jc w:val="both"/>
      </w:pPr>
      <w:r w:rsidRPr="00650F87">
        <w:t>P</w:t>
      </w:r>
      <w:r w:rsidR="00AF5183" w:rsidRPr="00650F87">
        <w:t>i</w:t>
      </w:r>
      <w:r w:rsidR="001B30AD" w:rsidRPr="00650F87">
        <w:t>eteicēja</w:t>
      </w:r>
      <w:r w:rsidR="0065694E" w:rsidRPr="00650F87">
        <w:t xml:space="preserve"> </w:t>
      </w:r>
      <w:r w:rsidR="001B30AD" w:rsidRPr="00650F87">
        <w:t xml:space="preserve">(tās struktūrā ietilpstoša vienība) ir biedrības „Labie darbi” dibinātāja, kā arī vienīgā persona, kas ziedojusi līdzekļus biedrībai, </w:t>
      </w:r>
      <w:r w:rsidR="00D83331" w:rsidRPr="00650F87">
        <w:t>turklāt</w:t>
      </w:r>
      <w:r w:rsidR="001B30AD" w:rsidRPr="00650F87">
        <w:t xml:space="preserve"> biedrības valdē darbojas un tās vārdā tiesiskus darījumus veic personas, kuras darbojas arī pieteicējas valdē un slēdz darījumus pieteicējas vārdā</w:t>
      </w:r>
      <w:r w:rsidR="006A5A69" w:rsidRPr="00650F87">
        <w:t xml:space="preserve">. Ir konstatējama biedrības darbības tieša atkarība (finanšu līdzekļi) tikai no pieteicējas. Šāda struktūra vieš </w:t>
      </w:r>
      <w:r w:rsidR="00281DF2" w:rsidRPr="00650F87">
        <w:t>š</w:t>
      </w:r>
      <w:r w:rsidR="006A5A69" w:rsidRPr="00650F87">
        <w:t xml:space="preserve">aubas par to, vai biedrības lēmumi par pieteicējas piedāvātā pakalpojuma preču zīmes atainošanu, atsauču sniegšanu, blogu un rakstu publicēšana nav jau pašas pieteicējas vēlme un pašas pieteicējas sevis, caur pašas dibinātu un sponsorētu subjektu, popularizēšana. Tomēr, neskatoties uz visu iepriekšminēto, </w:t>
      </w:r>
      <w:r w:rsidRPr="00650F87">
        <w:t>nav</w:t>
      </w:r>
      <w:r w:rsidR="006A5A69" w:rsidRPr="00650F87">
        <w:t xml:space="preserve"> pretargumentu Sabiedriskā labuma organizāciju likuma 9.panta otrās daļas normas interpretācijai, ka ziedotie finanšu līdzekļi jāatzīst par ziedojumu tādā apmērā, kādā nav noteikts pretpienākums.</w:t>
      </w:r>
      <w:r w:rsidR="001B30AD" w:rsidRPr="00650F87">
        <w:t xml:space="preserve"> </w:t>
      </w:r>
      <w:r w:rsidR="006A5A69" w:rsidRPr="00650F87">
        <w:t xml:space="preserve">No tiesiskā regulējuma neizriet, ka nodotie finanšu līdzekļi nevar tikt uzskatīti par ziedojumu, ja ziedotājs ir ziedojumu saņēmēja idejas autors un dibinātājs. </w:t>
      </w:r>
    </w:p>
    <w:p w:rsidR="006A5A69" w:rsidRPr="00650F87" w:rsidRDefault="006A5A69" w:rsidP="001B30AD">
      <w:pPr>
        <w:spacing w:line="276" w:lineRule="auto"/>
        <w:ind w:firstLine="567"/>
        <w:jc w:val="both"/>
      </w:pPr>
      <w:r w:rsidRPr="00650F87">
        <w:t>[</w:t>
      </w:r>
      <w:r w:rsidR="00AF5183" w:rsidRPr="00650F87">
        <w:t>2.2</w:t>
      </w:r>
      <w:r w:rsidRPr="00650F87">
        <w:t xml:space="preserve">] </w:t>
      </w:r>
      <w:r w:rsidR="00C221A3" w:rsidRPr="00650F87">
        <w:t xml:space="preserve">Lai noteiktu </w:t>
      </w:r>
      <w:r w:rsidRPr="00650F87">
        <w:t>pretpie</w:t>
      </w:r>
      <w:r w:rsidR="001F6CAF" w:rsidRPr="00650F87">
        <w:t>nākuma apjomu naudas izteiksmē</w:t>
      </w:r>
      <w:r w:rsidR="00C221A3" w:rsidRPr="00650F87">
        <w:t>,</w:t>
      </w:r>
      <w:r w:rsidR="001F6CAF" w:rsidRPr="00650F87">
        <w:t xml:space="preserve"> </w:t>
      </w:r>
      <w:r w:rsidR="00AF5183" w:rsidRPr="00650F87">
        <w:t xml:space="preserve">ir izmantojams pieteicējas iesniegtais mediju aģentūras </w:t>
      </w:r>
      <w:r w:rsidRPr="00650F87">
        <w:t xml:space="preserve">SIA „PHD </w:t>
      </w:r>
      <w:proofErr w:type="spellStart"/>
      <w:r w:rsidRPr="00650F87">
        <w:t>Latvia</w:t>
      </w:r>
      <w:proofErr w:type="spellEnd"/>
      <w:r w:rsidRPr="00650F87">
        <w:t>” atzinum</w:t>
      </w:r>
      <w:r w:rsidR="00AF5183" w:rsidRPr="00650F87">
        <w:t>s</w:t>
      </w:r>
      <w:r w:rsidR="00F547B8" w:rsidRPr="00650F87">
        <w:t xml:space="preserve">. Tajā aprēķināts, ka pretpienākums sniegts 15 875,68 </w:t>
      </w:r>
      <w:proofErr w:type="spellStart"/>
      <w:r w:rsidR="00F547B8" w:rsidRPr="00650F87">
        <w:rPr>
          <w:i/>
        </w:rPr>
        <w:t>euro</w:t>
      </w:r>
      <w:proofErr w:type="spellEnd"/>
      <w:r w:rsidR="00F547B8" w:rsidRPr="00650F87">
        <w:rPr>
          <w:i/>
        </w:rPr>
        <w:t xml:space="preserve"> </w:t>
      </w:r>
      <w:r w:rsidR="00F547B8" w:rsidRPr="00650F87">
        <w:t>vērtībā. Šis aprēķins ietver visas pozīcijas (darbības), kurām auditā konstatēts atlīdzības raksturs</w:t>
      </w:r>
      <w:r w:rsidRPr="00650F87">
        <w:t xml:space="preserve">. </w:t>
      </w:r>
    </w:p>
    <w:p w:rsidR="00836285" w:rsidRPr="00650F87" w:rsidRDefault="00F547B8" w:rsidP="00836285">
      <w:pPr>
        <w:spacing w:line="276" w:lineRule="auto"/>
        <w:ind w:firstLine="567"/>
        <w:jc w:val="both"/>
      </w:pPr>
      <w:r w:rsidRPr="00650F87">
        <w:t xml:space="preserve">Tādējādi </w:t>
      </w:r>
      <w:r w:rsidR="004C33E3" w:rsidRPr="00650F87">
        <w:t xml:space="preserve">Valsts ieņēmumu </w:t>
      </w:r>
      <w:r w:rsidR="00C93508" w:rsidRPr="00650F87">
        <w:t xml:space="preserve">dienesta lēmums </w:t>
      </w:r>
      <w:r w:rsidR="004C33E3" w:rsidRPr="00650F87">
        <w:t xml:space="preserve">daļā, ar kuru pieteicējai aprēķināts uzņēmumu ienākuma nodoklis par ziedojumiem </w:t>
      </w:r>
      <w:r w:rsidRPr="00650F87">
        <w:t xml:space="preserve">pārējā daļā, t.i., </w:t>
      </w:r>
      <w:r w:rsidR="004C33E3" w:rsidRPr="00650F87">
        <w:t xml:space="preserve">228 146,84 </w:t>
      </w:r>
      <w:proofErr w:type="spellStart"/>
      <w:r w:rsidR="004C33E3" w:rsidRPr="00650F87">
        <w:rPr>
          <w:i/>
        </w:rPr>
        <w:t>euro</w:t>
      </w:r>
      <w:proofErr w:type="spellEnd"/>
      <w:r w:rsidR="004C33E3" w:rsidRPr="00650F87">
        <w:t xml:space="preserve"> apmērā, </w:t>
      </w:r>
      <w:r w:rsidR="00C93508" w:rsidRPr="00650F87">
        <w:t>ir atceļams.</w:t>
      </w:r>
    </w:p>
    <w:p w:rsidR="00836285" w:rsidRPr="00650F87" w:rsidRDefault="00836285" w:rsidP="00836285">
      <w:pPr>
        <w:spacing w:line="276" w:lineRule="auto"/>
        <w:ind w:firstLine="567"/>
        <w:jc w:val="both"/>
        <w:rPr>
          <w:lang w:eastAsia="en-US"/>
        </w:rPr>
      </w:pPr>
    </w:p>
    <w:p w:rsidR="00836285" w:rsidRPr="00650F87" w:rsidRDefault="006B7A3D" w:rsidP="00836285">
      <w:pPr>
        <w:spacing w:line="276" w:lineRule="auto"/>
        <w:ind w:firstLine="567"/>
        <w:jc w:val="both"/>
      </w:pPr>
      <w:r w:rsidRPr="00650F87">
        <w:t>[</w:t>
      </w:r>
      <w:r w:rsidR="00F547B8" w:rsidRPr="00650F87">
        <w:t>3</w:t>
      </w:r>
      <w:r w:rsidRPr="00650F87">
        <w:t>] V</w:t>
      </w:r>
      <w:r w:rsidR="00836285" w:rsidRPr="00650F87">
        <w:t>a</w:t>
      </w:r>
      <w:r w:rsidRPr="00650F87">
        <w:t>lsts ieņēmumu dienests iesniedzis</w:t>
      </w:r>
      <w:r w:rsidR="00836285" w:rsidRPr="00650F87">
        <w:t xml:space="preserve"> kasācijas sūdzību par apgabaltiesas spriedumu, norādot turpmāk minētos argumentus.</w:t>
      </w:r>
    </w:p>
    <w:p w:rsidR="00F547B8" w:rsidRPr="00650F87" w:rsidRDefault="00836285" w:rsidP="00F547B8">
      <w:pPr>
        <w:spacing w:line="276" w:lineRule="auto"/>
        <w:ind w:firstLine="567"/>
        <w:jc w:val="both"/>
      </w:pPr>
      <w:r w:rsidRPr="00650F87">
        <w:t>[</w:t>
      </w:r>
      <w:r w:rsidR="00F547B8" w:rsidRPr="00650F87">
        <w:t>3</w:t>
      </w:r>
      <w:r w:rsidRPr="00650F87">
        <w:t>.1] </w:t>
      </w:r>
      <w:r w:rsidR="00F547B8" w:rsidRPr="00650F87">
        <w:t>Tiesa nepamatoti ir paplašinājusi likuma „Par uzņēmumu ienākuma nodokli” 20.</w:t>
      </w:r>
      <w:r w:rsidR="00F547B8" w:rsidRPr="00650F87">
        <w:rPr>
          <w:vertAlign w:val="superscript"/>
        </w:rPr>
        <w:t>1</w:t>
      </w:r>
      <w:r w:rsidR="00F547B8" w:rsidRPr="00650F87">
        <w:t>pantu, jo konkrētajā situācijā nodotie finanšu līdzekļi visā apjomā ir tādi, kas nav atzīstami par ziedojumiem, un Sabiedriskā labuma organizāciju likuma 9.panta piemērošana konkrētajā situācijā nav bijusi pareiza.</w:t>
      </w:r>
    </w:p>
    <w:p w:rsidR="00F547B8" w:rsidRPr="00650F87" w:rsidRDefault="006B7A3D" w:rsidP="006B7A3D">
      <w:pPr>
        <w:spacing w:line="276" w:lineRule="auto"/>
        <w:ind w:firstLine="567"/>
        <w:jc w:val="both"/>
      </w:pPr>
      <w:r w:rsidRPr="00650F87">
        <w:t xml:space="preserve">Sabiedriskā labuma organizāciju likuma 9.panta otrā </w:t>
      </w:r>
      <w:r w:rsidR="00677643" w:rsidRPr="00650F87">
        <w:t>daļa</w:t>
      </w:r>
      <w:r w:rsidRPr="00650F87">
        <w:t xml:space="preserve"> uzliek pienākumu no summām, kas saņemtas kā ziedojumi, nošķirt tās summas, attiecībā uz kurām noteikts pretpienākums</w:t>
      </w:r>
      <w:r w:rsidR="004C33E3" w:rsidRPr="00650F87">
        <w:t>. N</w:t>
      </w:r>
      <w:r w:rsidRPr="00650F87">
        <w:t>ormas mērķis ir noregulēt gadījumu, kad starp personu, kura veic ziedojumu</w:t>
      </w:r>
      <w:r w:rsidR="004C33E3" w:rsidRPr="00650F87">
        <w:t>,</w:t>
      </w:r>
      <w:r w:rsidRPr="00650F87">
        <w:t xml:space="preserve"> un sabiedriskā labuma organizāciju pastāv arī līgumiskas attiecības, kas nav saistītas ar ziedojumu</w:t>
      </w:r>
      <w:r w:rsidR="00F547B8" w:rsidRPr="00650F87">
        <w:t xml:space="preserve">. </w:t>
      </w:r>
      <w:r w:rsidR="00BB0224" w:rsidRPr="00650F87">
        <w:t xml:space="preserve">Tā kā pirms </w:t>
      </w:r>
      <w:r w:rsidR="00BB0224" w:rsidRPr="00650F87">
        <w:lastRenderedPageBreak/>
        <w:t>finanšu līdzekļu piešķiršanas pieteicēja un biedrība nenošķīra pretpienākumu</w:t>
      </w:r>
      <w:r w:rsidR="00F5326C" w:rsidRPr="00650F87">
        <w:t xml:space="preserve">, </w:t>
      </w:r>
      <w:r w:rsidR="00F547B8" w:rsidRPr="00650F87">
        <w:t xml:space="preserve">tad pretpienākums vispār nav jānodala. </w:t>
      </w:r>
    </w:p>
    <w:p w:rsidR="00F56B6A" w:rsidRPr="00650F87" w:rsidRDefault="00F547B8" w:rsidP="006B7A3D">
      <w:pPr>
        <w:spacing w:line="276" w:lineRule="auto"/>
        <w:ind w:firstLine="567"/>
        <w:jc w:val="both"/>
      </w:pPr>
      <w:r w:rsidRPr="00650F87">
        <w:t>L</w:t>
      </w:r>
      <w:r w:rsidR="00BB0224" w:rsidRPr="00650F87">
        <w:t>ietas Nr.</w:t>
      </w:r>
      <w:r w:rsidR="00463FD0" w:rsidRPr="00650F87">
        <w:t> </w:t>
      </w:r>
      <w:r w:rsidR="00BB0224" w:rsidRPr="00650F87">
        <w:t xml:space="preserve">SKA-119/2015 </w:t>
      </w:r>
      <w:r w:rsidR="00814614" w:rsidRPr="00650F87">
        <w:t xml:space="preserve">(A421021209) </w:t>
      </w:r>
      <w:r w:rsidR="00BB0224" w:rsidRPr="00650F87">
        <w:t>atziņas attiecībā uz izskatāmo lietu</w:t>
      </w:r>
      <w:r w:rsidRPr="00650F87">
        <w:t xml:space="preserve"> nav piemērojams</w:t>
      </w:r>
      <w:r w:rsidR="00BB0224" w:rsidRPr="00650F87">
        <w:t>, jo abu lietu faktiskie apstākļi ir atšķirīgi.</w:t>
      </w:r>
      <w:r w:rsidR="008C5F58" w:rsidRPr="00650F87">
        <w:t xml:space="preserve"> Izskatāmajā lietā pieteicēja pati ir dibinājusi biedrību, biedrības darbīb</w:t>
      </w:r>
      <w:r w:rsidR="008619C4" w:rsidRPr="00650F87">
        <w:t>u</w:t>
      </w:r>
      <w:r w:rsidR="008C5F58" w:rsidRPr="00650F87">
        <w:t xml:space="preserve"> finansē vienīgi </w:t>
      </w:r>
      <w:r w:rsidR="008619C4" w:rsidRPr="00650F87">
        <w:t>pieteicēja</w:t>
      </w:r>
      <w:r w:rsidR="008C5F58" w:rsidRPr="00650F87">
        <w:t>.</w:t>
      </w:r>
      <w:r w:rsidR="00BB0224" w:rsidRPr="00650F87">
        <w:t xml:space="preserve"> </w:t>
      </w:r>
      <w:r w:rsidR="008C5F58" w:rsidRPr="00650F87">
        <w:t xml:space="preserve">Tāpat </w:t>
      </w:r>
      <w:r w:rsidR="00BB0224" w:rsidRPr="00650F87">
        <w:t>bij</w:t>
      </w:r>
      <w:r w:rsidRPr="00650F87">
        <w:t>a</w:t>
      </w:r>
      <w:r w:rsidR="00BB0224" w:rsidRPr="00650F87">
        <w:t xml:space="preserve"> jāņem vērā, ka starp pieteicēju un biedrību ir organizēta finanšu līdzekļu nodošana biedrībai ar mērķi, kas nav saistīts ar labdarību kā tādu, bet gan skaidri izteiktu labuma gūšanu</w:t>
      </w:r>
      <w:r w:rsidR="00677643" w:rsidRPr="00650F87">
        <w:t xml:space="preserve">, </w:t>
      </w:r>
      <w:r w:rsidR="00BB0224" w:rsidRPr="00650F87">
        <w:t>vairojot pieteicējas popularitāti sabiedrībā, reklamējot pieteic</w:t>
      </w:r>
      <w:r w:rsidR="00F56B6A" w:rsidRPr="00650F87">
        <w:t>ējas pakalpojumus, tomēr tiesa to nav ņēmusi vērā.</w:t>
      </w:r>
      <w:r w:rsidR="008C5F58" w:rsidRPr="00650F87">
        <w:t xml:space="preserve"> </w:t>
      </w:r>
    </w:p>
    <w:p w:rsidR="00836285" w:rsidRPr="00650F87" w:rsidRDefault="00F56B6A" w:rsidP="00923958">
      <w:pPr>
        <w:spacing w:line="276" w:lineRule="auto"/>
        <w:ind w:firstLine="567"/>
        <w:jc w:val="both"/>
      </w:pPr>
      <w:r w:rsidRPr="00650F87">
        <w:t>[</w:t>
      </w:r>
      <w:r w:rsidR="00F547B8" w:rsidRPr="00650F87">
        <w:t>3</w:t>
      </w:r>
      <w:r w:rsidRPr="00650F87">
        <w:t>.2</w:t>
      </w:r>
      <w:r w:rsidR="00836285" w:rsidRPr="00650F87">
        <w:t>] Tiesa, pieņemot spriedumu, ir pi</w:t>
      </w:r>
      <w:r w:rsidRPr="00650F87">
        <w:t>eļāvusi procesuālo tiesību normas pārkāpumu, neievērojot Administratīvā procesa likuma 154.panta pirmajā daļā noteiktās prasības</w:t>
      </w:r>
      <w:r w:rsidR="00AC2349" w:rsidRPr="00650F87">
        <w:t xml:space="preserve"> </w:t>
      </w:r>
      <w:r w:rsidRPr="00650F87">
        <w:t>pierādījumu novērtēšana</w:t>
      </w:r>
      <w:r w:rsidR="00AC2349" w:rsidRPr="00650F87">
        <w:t>i</w:t>
      </w:r>
      <w:r w:rsidRPr="00650F87">
        <w:t xml:space="preserve">. </w:t>
      </w:r>
      <w:r w:rsidR="00AC2349" w:rsidRPr="00650F87">
        <w:t>T</w:t>
      </w:r>
      <w:r w:rsidRPr="00650F87">
        <w:t>ieši pieteicējai bij</w:t>
      </w:r>
      <w:r w:rsidR="00BA5009" w:rsidRPr="00650F87">
        <w:t>a</w:t>
      </w:r>
      <w:r w:rsidRPr="00650F87">
        <w:t xml:space="preserve"> jābūt informētai par faktisko pretpienākumu vērtību, kā arī saskaņā ar likuma </w:t>
      </w:r>
      <w:r w:rsidR="00BA5009" w:rsidRPr="00650F87">
        <w:t>„</w:t>
      </w:r>
      <w:r w:rsidRPr="00650F87">
        <w:t>Par nodokļiem un nodevām” 38.pantu nodokļu maksātājam</w:t>
      </w:r>
      <w:r w:rsidR="00677643" w:rsidRPr="00650F87">
        <w:t xml:space="preserve">, </w:t>
      </w:r>
      <w:r w:rsidRPr="00650F87">
        <w:t xml:space="preserve">ja tas nepiekrīt nodokļu administrācijas aprēķinātajam nodokļu maksājuma lielumam, ir pienākums pašam aprēķināt pretpienākuma apjomu. </w:t>
      </w:r>
      <w:r w:rsidR="002413B5" w:rsidRPr="00650F87">
        <w:t>Tādējādi tiesa ir kļū</w:t>
      </w:r>
      <w:r w:rsidR="00805AFF" w:rsidRPr="00650F87">
        <w:t>dījusies</w:t>
      </w:r>
      <w:r w:rsidR="00BA5009" w:rsidRPr="00650F87">
        <w:t>,</w:t>
      </w:r>
      <w:r w:rsidR="00805AFF" w:rsidRPr="00650F87">
        <w:t xml:space="preserve"> </w:t>
      </w:r>
      <w:r w:rsidR="00BA5009" w:rsidRPr="00650F87">
        <w:t>pieņemot pierādījumus no mediju aģentūrām</w:t>
      </w:r>
      <w:r w:rsidR="008619C4" w:rsidRPr="00650F87">
        <w:t>. T</w:t>
      </w:r>
      <w:r w:rsidR="00F5326C" w:rsidRPr="00650F87">
        <w:t xml:space="preserve">urklāt </w:t>
      </w:r>
      <w:r w:rsidR="00805AFF" w:rsidRPr="00650F87">
        <w:t xml:space="preserve">šie atzinumi </w:t>
      </w:r>
      <w:r w:rsidR="00F5326C" w:rsidRPr="00650F87">
        <w:t xml:space="preserve">ir vispārīgi un </w:t>
      </w:r>
      <w:r w:rsidR="00805AFF" w:rsidRPr="00650F87">
        <w:t xml:space="preserve">neapliecina biedrības pretpienākumu </w:t>
      </w:r>
      <w:r w:rsidR="00F5326C" w:rsidRPr="00650F87">
        <w:t>patieso apmēru</w:t>
      </w:r>
      <w:r w:rsidR="00805AFF" w:rsidRPr="00650F87">
        <w:t>.</w:t>
      </w:r>
    </w:p>
    <w:p w:rsidR="00BA5009" w:rsidRPr="00650F87" w:rsidRDefault="00BA5009" w:rsidP="00923958">
      <w:pPr>
        <w:spacing w:line="276" w:lineRule="auto"/>
        <w:ind w:firstLine="567"/>
        <w:jc w:val="both"/>
        <w:rPr>
          <w:color w:val="FF0000"/>
        </w:rPr>
      </w:pPr>
    </w:p>
    <w:p w:rsidR="00AA67F4" w:rsidRPr="00650F87" w:rsidRDefault="00AA67F4" w:rsidP="00923958">
      <w:pPr>
        <w:spacing w:line="276" w:lineRule="auto"/>
        <w:ind w:firstLine="567"/>
        <w:jc w:val="both"/>
      </w:pPr>
      <w:r w:rsidRPr="00650F87">
        <w:t>[</w:t>
      </w:r>
      <w:r w:rsidR="008C373B" w:rsidRPr="00650F87">
        <w:t>4</w:t>
      </w:r>
      <w:r w:rsidRPr="00650F87">
        <w:t xml:space="preserve">] Paskaidrojumos par kasācijas sūdzību </w:t>
      </w:r>
      <w:r w:rsidR="00BA5009" w:rsidRPr="00650F87">
        <w:t xml:space="preserve">pieteicēja </w:t>
      </w:r>
      <w:r w:rsidRPr="00650F87">
        <w:t xml:space="preserve">norāda, </w:t>
      </w:r>
      <w:r w:rsidR="00FE707A" w:rsidRPr="00650F87">
        <w:t xml:space="preserve">ka </w:t>
      </w:r>
      <w:r w:rsidR="008C373B" w:rsidRPr="00650F87">
        <w:t xml:space="preserve">apgabaltiesas spriedums ir tiesisks un pamatots, bet kasācijas sūdzība ir nepamatota. </w:t>
      </w:r>
    </w:p>
    <w:p w:rsidR="00B23ACF" w:rsidRPr="00650F87" w:rsidRDefault="00B23ACF" w:rsidP="00923958">
      <w:pPr>
        <w:spacing w:line="276" w:lineRule="auto"/>
        <w:ind w:firstLine="567"/>
        <w:jc w:val="both"/>
      </w:pPr>
    </w:p>
    <w:p w:rsidR="00B23ACF" w:rsidRPr="00650F87" w:rsidRDefault="00B23ACF" w:rsidP="00923958">
      <w:pPr>
        <w:spacing w:line="276" w:lineRule="auto"/>
        <w:ind w:firstLine="567"/>
        <w:jc w:val="both"/>
      </w:pPr>
      <w:r w:rsidRPr="00650F87">
        <w:t>[5] Tiesas sēdē Valsts ieņēmumu dienesta pārstāves uzturēja kasācijas sūdzību saskaņā ar tajā ietvertajiem argumentiem, kā arī pauda viedokli, ka nav pareiza lietā Nr. SKA-119/2015 ietvertā Senāta atziņa, ka Sabiedriskā labuma organizāciju likuma 9.panta otrā daļa paredz no ziedojuma kā pretpienākumu nodalīt kādu daļu, ko nodokļu maksātājs pats iepriekš ar līgumu nav nodalījis. Dienesta ieskatā, minētajā normā ir jānošķir jēdzieni „finanšu līdzekļi” un „ziedojums”. Ja pieteicēja ir nodalījusi kādu finanšu līdzekļu daļu kā ziedojumu, tad Valsts ieņēmumu dienestam ir jāpārbauda tikai tas, vai š</w:t>
      </w:r>
      <w:r w:rsidR="008619C4" w:rsidRPr="00650F87">
        <w:t xml:space="preserve">īs par ziedojumu apzīmētās naudas nodošanai </w:t>
      </w:r>
      <w:r w:rsidRPr="00650F87">
        <w:t>ir filantropisks raksturs. Ja ziedojuma saņēmējam pastāv pretpienākums, tad visa</w:t>
      </w:r>
      <w:r w:rsidR="008619C4" w:rsidRPr="00650F87">
        <w:t>s</w:t>
      </w:r>
      <w:r w:rsidRPr="00650F87">
        <w:t xml:space="preserve"> it kā ziedotā</w:t>
      </w:r>
      <w:r w:rsidR="008619C4" w:rsidRPr="00650F87">
        <w:t>s</w:t>
      </w:r>
      <w:r w:rsidRPr="00650F87">
        <w:t xml:space="preserve"> summa</w:t>
      </w:r>
      <w:r w:rsidR="008619C4" w:rsidRPr="00650F87">
        <w:t xml:space="preserve">s nodošanai trūkst </w:t>
      </w:r>
      <w:r w:rsidRPr="00650F87">
        <w:t>filantropiska rakstura. Turklāt izskatāmajā gadījumā pieteicējas un biedrības „Labie darbi” attiecības un ar naudas nodošanu saistītie apstākļi ir tādi, ka</w:t>
      </w:r>
      <w:r w:rsidR="00076CD4" w:rsidRPr="00650F87">
        <w:t>s</w:t>
      </w:r>
      <w:r w:rsidRPr="00650F87">
        <w:t xml:space="preserve"> vispār izslēdz finanšu līdzekļu nodošanas filantropisko raksturu. Dienesta ieskatā, ziedojuma būtība ir tāda, ka ziedotājs neprasa sevi reklamēt, bet lietā konstatētie apstākļi ir atšķirīgi.</w:t>
      </w:r>
    </w:p>
    <w:p w:rsidR="00B23ACF" w:rsidRPr="00650F87" w:rsidRDefault="00B23ACF" w:rsidP="00923958">
      <w:pPr>
        <w:spacing w:line="276" w:lineRule="auto"/>
        <w:ind w:firstLine="567"/>
        <w:jc w:val="both"/>
      </w:pPr>
      <w:r w:rsidRPr="00650F87">
        <w:t xml:space="preserve">Pieteicējas pārstāves tiesas sēdē neatzina kasācijas sūdzību. Norādīja, ka, pat ja pastāv </w:t>
      </w:r>
      <w:r w:rsidR="0005643A" w:rsidRPr="00650F87">
        <w:t>pamats pēc būtības domāt, ka sponsorēšanas elementi ietekmē iespēju nodotos finanšu līdzekļus pilnībā uzskatīt par ziedojumu, tomēr šāda izpratne 2012.gadā nebija radusies. Tikai no 2018.gada spēkā ir pietiekami skaidrs regulējums. Tas, ka jābūt atsevišķiem līgumiem, kuros skaidri nodalīts ziedojuma un pretpienākuma apjoms, nebija noteikts tiesību normās. Šāda izpratne, arī spriežot pēc paša Valsts ieņēmumu dienesta rīcības un citai personai sniegtas uzziņas, veidojās tikai pakāpeniski, iespējams, arī izskatāmās lietas dēļ.</w:t>
      </w:r>
    </w:p>
    <w:p w:rsidR="00836285" w:rsidRPr="00650F87" w:rsidRDefault="00836285" w:rsidP="00923958">
      <w:pPr>
        <w:spacing w:line="276" w:lineRule="auto"/>
        <w:ind w:firstLine="567"/>
        <w:jc w:val="both"/>
      </w:pPr>
    </w:p>
    <w:p w:rsidR="00836285" w:rsidRPr="00650F87" w:rsidRDefault="00836285" w:rsidP="00923958">
      <w:pPr>
        <w:spacing w:line="276" w:lineRule="auto"/>
        <w:jc w:val="center"/>
        <w:rPr>
          <w:b/>
        </w:rPr>
      </w:pPr>
      <w:r w:rsidRPr="00650F87">
        <w:rPr>
          <w:b/>
        </w:rPr>
        <w:t>Motīvu daļa</w:t>
      </w:r>
    </w:p>
    <w:p w:rsidR="00836285" w:rsidRPr="00650F87" w:rsidRDefault="00836285" w:rsidP="00923958">
      <w:pPr>
        <w:spacing w:line="276" w:lineRule="auto"/>
        <w:ind w:firstLine="567"/>
        <w:jc w:val="both"/>
        <w:rPr>
          <w:lang w:eastAsia="en-US"/>
        </w:rPr>
      </w:pPr>
    </w:p>
    <w:p w:rsidR="00EB31FD" w:rsidRPr="00650F87" w:rsidRDefault="00AA67F4" w:rsidP="00EB31FD">
      <w:pPr>
        <w:autoSpaceDE w:val="0"/>
        <w:spacing w:line="276" w:lineRule="auto"/>
        <w:ind w:firstLine="567"/>
        <w:jc w:val="both"/>
        <w:rPr>
          <w:lang w:eastAsia="en-US"/>
        </w:rPr>
      </w:pPr>
      <w:r w:rsidRPr="00650F87">
        <w:t>[6</w:t>
      </w:r>
      <w:r w:rsidR="00836285" w:rsidRPr="00650F87">
        <w:t>]</w:t>
      </w:r>
      <w:r w:rsidR="00836285" w:rsidRPr="00650F87">
        <w:rPr>
          <w:lang w:eastAsia="en-US"/>
        </w:rPr>
        <w:t> </w:t>
      </w:r>
      <w:r w:rsidR="00EB31FD" w:rsidRPr="00650F87">
        <w:rPr>
          <w:lang w:eastAsia="en-US"/>
        </w:rPr>
        <w:t xml:space="preserve"> Valsts ieņēmumu dienests norāda to, ka Sabiedriskā labuma organizāciju likuma 9.panta otrā daļa (ar pretpienākumu saistītas finanšu līdzekļu daļas nodalīšana no ziedojuma) ir piemērojama tikai situācijās, kad šādu nodalīšanu ziedotājs un ziedojuma saņēmējs ir veikuši </w:t>
      </w:r>
      <w:r w:rsidR="00EB31FD" w:rsidRPr="00650F87">
        <w:rPr>
          <w:lang w:eastAsia="en-US"/>
        </w:rPr>
        <w:lastRenderedPageBreak/>
        <w:t xml:space="preserve">paši ar konkrētiem līgumiem. </w:t>
      </w:r>
      <w:r w:rsidR="00814614" w:rsidRPr="00650F87">
        <w:rPr>
          <w:lang w:eastAsia="en-US"/>
        </w:rPr>
        <w:t>Šajā ziņā Valsts ieņēmumu dienests kritiski attiecas pret Senāta atziņām 2015.gada 11.decembra spriedumā lietā Nr. SKA-119/2015.</w:t>
      </w:r>
    </w:p>
    <w:p w:rsidR="00C7634F" w:rsidRPr="00650F87" w:rsidRDefault="00C7634F" w:rsidP="00923958">
      <w:pPr>
        <w:autoSpaceDE w:val="0"/>
        <w:spacing w:line="276" w:lineRule="auto"/>
        <w:ind w:firstLine="567"/>
        <w:jc w:val="both"/>
        <w:rPr>
          <w:lang w:eastAsia="en-US"/>
        </w:rPr>
      </w:pPr>
    </w:p>
    <w:p w:rsidR="00C7634F" w:rsidRPr="00650F87" w:rsidRDefault="00C7634F" w:rsidP="00C7634F">
      <w:pPr>
        <w:autoSpaceDE w:val="0"/>
        <w:spacing w:line="276" w:lineRule="auto"/>
        <w:ind w:firstLine="567"/>
        <w:jc w:val="both"/>
        <w:rPr>
          <w:lang w:eastAsia="en-US"/>
        </w:rPr>
      </w:pPr>
      <w:r w:rsidRPr="00650F87">
        <w:rPr>
          <w:lang w:eastAsia="en-US"/>
        </w:rPr>
        <w:t>[7] Sabiedriskā labuma organizāciju likuma 9.panta pirmā daļa noteic, ka ziedojums šā likuma izpratnē ir manta vai finanšu līdzekļi, kurus persona (ziedotājs) bez atlīdzības, pamatojoties uz savstarpēju vienošanos, nodod sabiedriskā labuma organizācijai tās statūtos, satversmē vai nolikumā norādīto mērķu sasniegšanai un kuriem var piemērot nodokļu atvieglojumus. 9.panta otrā daļa noteic, ka sabiedriskā labuma organizācijai nodotā manta vai finanšu līdzekļi nav uzskatāmi par ziedojumu tādā apjomā, kādā sabiedriskā labuma organizācijai ir noteikts pretpienākums veikt darbības, kurām ir atlīdzības raksturs.</w:t>
      </w:r>
    </w:p>
    <w:p w:rsidR="00C7634F" w:rsidRPr="00650F87" w:rsidRDefault="00C7634F" w:rsidP="00C7634F">
      <w:pPr>
        <w:autoSpaceDE w:val="0"/>
        <w:spacing w:line="276" w:lineRule="auto"/>
        <w:ind w:firstLine="567"/>
        <w:jc w:val="both"/>
        <w:rPr>
          <w:lang w:eastAsia="en-US"/>
        </w:rPr>
      </w:pPr>
      <w:r w:rsidRPr="00650F87">
        <w:rPr>
          <w:lang w:eastAsia="en-US"/>
        </w:rPr>
        <w:t>Senāts nepiekrīt Valsts ieņēmumu dienesta viedoklim, ka no 9.panta otrās daļas formulējuma noteikti izriet, ka būtu izslēgta pretpienākuma apmēra novērtēšana arī tajā finanšu līdzekļu apjomā, ko nodokļu maksātājs un ziedojuma saņēmējs uzskaitījuši kā ziedojumu. Normas jēga tieši ir uzsvērt, ka ir jāvērtē finanšu līdzekļu nodošanas būtība un ka tad, ja ir kāda daļa, kam korespondē pretpienākums, šī daļa nav ziedojums. Ja vienmēr viss būtu skaidri nodalīts ar līgumiem, tad vispār nepastāvētu vajadzība pēc normas, kas norāda uz to, ka kaut kādā nodoto finanšu līdzekļu apjomā ir jānovērtē pretpienākuma apjoms.</w:t>
      </w:r>
      <w:r w:rsidR="004C4041" w:rsidRPr="00650F87">
        <w:rPr>
          <w:lang w:eastAsia="en-US"/>
        </w:rPr>
        <w:t xml:space="preserve"> Konkrētu apzīmējumu lietojums 9.panta otrajā daļā ļauj izvairīties no formulējuma, kurā „ziedojums” kaut kādā pretpienākuma apjomā vairs nebūtu „ziedojums”, tādēļ normas sākumā tiek lietots plašāks jēdziens „nodotā manta un finanšu līdzekļi”, tālāk norādot uz to, ka jāvērtē šīs nodotās mantas un finanšu līdzekļu nodošanas būtība un pretpienākuma</w:t>
      </w:r>
      <w:r w:rsidR="00CE33F4" w:rsidRPr="00650F87">
        <w:rPr>
          <w:lang w:eastAsia="en-US"/>
        </w:rPr>
        <w:t>m atbilstošs</w:t>
      </w:r>
      <w:r w:rsidR="004C4041" w:rsidRPr="00650F87">
        <w:rPr>
          <w:lang w:eastAsia="en-US"/>
        </w:rPr>
        <w:t xml:space="preserve"> apjoms katrā ziņā no tās jāatskaita kā tāds, kas tomēr nav ziedojums.</w:t>
      </w:r>
    </w:p>
    <w:p w:rsidR="0006438F" w:rsidRPr="00650F87" w:rsidRDefault="00C7634F" w:rsidP="0006438F">
      <w:pPr>
        <w:autoSpaceDE w:val="0"/>
        <w:spacing w:line="276" w:lineRule="auto"/>
        <w:ind w:firstLine="567"/>
        <w:jc w:val="both"/>
        <w:rPr>
          <w:lang w:eastAsia="en-US"/>
        </w:rPr>
      </w:pPr>
      <w:r w:rsidRPr="00650F87">
        <w:rPr>
          <w:lang w:eastAsia="en-US"/>
        </w:rPr>
        <w:t xml:space="preserve">Saskanīgi tulkojot normas, tās sasaucas ar likuma „Par uzņēmumu ienākuma nodokli” </w:t>
      </w:r>
      <w:r w:rsidR="004C4041" w:rsidRPr="00650F87">
        <w:rPr>
          <w:lang w:eastAsia="en-US"/>
        </w:rPr>
        <w:t>21.</w:t>
      </w:r>
      <w:r w:rsidR="004C4041" w:rsidRPr="00650F87">
        <w:rPr>
          <w:vertAlign w:val="superscript"/>
          <w:lang w:eastAsia="en-US"/>
        </w:rPr>
        <w:t>1</w:t>
      </w:r>
      <w:r w:rsidR="004C4041" w:rsidRPr="00650F87">
        <w:rPr>
          <w:lang w:eastAsia="en-US"/>
        </w:rPr>
        <w:t xml:space="preserve">panta </w:t>
      </w:r>
      <w:r w:rsidR="0006438F" w:rsidRPr="00650F87">
        <w:rPr>
          <w:lang w:eastAsia="en-US"/>
        </w:rPr>
        <w:t>normām. 21.</w:t>
      </w:r>
      <w:r w:rsidR="0006438F" w:rsidRPr="00650F87">
        <w:rPr>
          <w:vertAlign w:val="superscript"/>
          <w:lang w:eastAsia="en-US"/>
        </w:rPr>
        <w:t>1</w:t>
      </w:r>
      <w:r w:rsidR="0006438F" w:rsidRPr="00650F87">
        <w:rPr>
          <w:lang w:eastAsia="en-US"/>
        </w:rPr>
        <w:t>panta pirmā daļa noteic, ka nodokli samazina par 85 procentiem no summām, kas ziedotas biedrībām, kurām piešķirts sabiedriskā labuma organizācijas statuss. Atbilstoši 21.</w:t>
      </w:r>
      <w:r w:rsidR="0006438F" w:rsidRPr="00650F87">
        <w:rPr>
          <w:vertAlign w:val="superscript"/>
          <w:lang w:eastAsia="en-US"/>
        </w:rPr>
        <w:t>1</w:t>
      </w:r>
      <w:r w:rsidR="0006438F" w:rsidRPr="00650F87">
        <w:rPr>
          <w:lang w:eastAsia="en-US"/>
        </w:rPr>
        <w:t>panta sestajai daļai manta vai finanšu līdzekļi, kurus maksātājs, pamatojoties uz līgumu, bez atlīdzības nodod sabiedriskā labuma organizācijai tās statūtos, satversmē vai nolikumā noteikto mērķu sasniegšanai, ir uzskatāmi par ziedojumu šā panta izpratnē, ja saņēmējam nav noteikts pretpienākums veikt darbības, kuras uzskatāmas par atlīdzību. Savukārt septītā daļa paredz, ka nodokļa atlaidi atbilstoši šā panta pirmajai daļai nepiemēro, ja – un to noteic septītās daļas 2.punkts – ziedojuma saņēmējs veic atlīdzības rakstura darbības, kas vērstas uz labuma gūšanu ziedotājam, ar ziedotāju saistītam uzņēmumam, saistītai personai vai ziedotāja radiniekam līdz trešajai pakāpei vai laulātajam vai nodrošina ziedotāja intereses, kas nav saistītas ar filantropiju.</w:t>
      </w:r>
    </w:p>
    <w:p w:rsidR="0006438F" w:rsidRPr="00650F87" w:rsidRDefault="0006438F" w:rsidP="0006438F">
      <w:pPr>
        <w:autoSpaceDE w:val="0"/>
        <w:spacing w:line="276" w:lineRule="auto"/>
        <w:ind w:firstLine="567"/>
        <w:jc w:val="both"/>
        <w:rPr>
          <w:lang w:eastAsia="en-US"/>
        </w:rPr>
      </w:pPr>
      <w:r w:rsidRPr="00650F87">
        <w:rPr>
          <w:lang w:eastAsia="en-US"/>
        </w:rPr>
        <w:t>Visas minētās normas runā tieši par to, ka ir jānošķir nodotās mantas un finanšu līdzekļu nodošanas mērķis – vai tas ir saistīts ar filantropiju vai, pretēji, ar citām interesēm, kas nav filantropija, tostarp, ir saistīts ar pretpienākumu. Normā nav uzsvērts formālais elements, proti, vai un ar kādu līgumu kāda manta vai finanšu līdzekļi tiek nodoti.</w:t>
      </w:r>
    </w:p>
    <w:p w:rsidR="0006438F" w:rsidRPr="00650F87" w:rsidRDefault="0006438F" w:rsidP="0006438F">
      <w:pPr>
        <w:autoSpaceDE w:val="0"/>
        <w:spacing w:line="276" w:lineRule="auto"/>
        <w:ind w:firstLine="567"/>
        <w:jc w:val="both"/>
        <w:rPr>
          <w:lang w:eastAsia="en-US"/>
        </w:rPr>
      </w:pPr>
      <w:r w:rsidRPr="00650F87">
        <w:rPr>
          <w:lang w:eastAsia="en-US"/>
        </w:rPr>
        <w:t xml:space="preserve">Līdz ar to Senāts nesaskata pamatu atkāpties no 2015.gada 11.decembra spriedumā </w:t>
      </w:r>
      <w:r w:rsidR="00F61597" w:rsidRPr="00650F87">
        <w:rPr>
          <w:lang w:eastAsia="en-US"/>
        </w:rPr>
        <w:t xml:space="preserve">lietā Nr. SKA-119/2015 </w:t>
      </w:r>
      <w:r w:rsidRPr="00650F87">
        <w:rPr>
          <w:lang w:eastAsia="en-US"/>
        </w:rPr>
        <w:t xml:space="preserve">ietvertās atziņas, ka </w:t>
      </w:r>
      <w:r w:rsidR="00F61597" w:rsidRPr="00650F87">
        <w:rPr>
          <w:lang w:eastAsia="en-US"/>
        </w:rPr>
        <w:t>gadījumā, ja ziedojuma saņēmējam ir noteikts pretpienākums attiecībā uz ziedotāju, tad nodotā manta un finanšu līdzekļi pretpienākuma apjomā nav uzskatāmi par ziedojumu. Savukārt pārējā daļā saglabājas ziedojuma raksturs un iespēja piemērot nodokļa atvieglojumu (</w:t>
      </w:r>
      <w:r w:rsidR="00F61597" w:rsidRPr="00650F87">
        <w:rPr>
          <w:i/>
          <w:lang w:eastAsia="en-US"/>
        </w:rPr>
        <w:t>sprieduma 11.punkts</w:t>
      </w:r>
      <w:r w:rsidR="00F61597" w:rsidRPr="00650F87">
        <w:rPr>
          <w:lang w:eastAsia="en-US"/>
        </w:rPr>
        <w:t>).</w:t>
      </w:r>
    </w:p>
    <w:p w:rsidR="002B4D10" w:rsidRPr="00650F87" w:rsidRDefault="002B4D10" w:rsidP="0006438F">
      <w:pPr>
        <w:autoSpaceDE w:val="0"/>
        <w:spacing w:line="276" w:lineRule="auto"/>
        <w:ind w:firstLine="567"/>
        <w:jc w:val="both"/>
        <w:rPr>
          <w:lang w:eastAsia="en-US"/>
        </w:rPr>
      </w:pPr>
    </w:p>
    <w:p w:rsidR="002B4D10" w:rsidRPr="00650F87" w:rsidRDefault="002B4D10" w:rsidP="0006438F">
      <w:pPr>
        <w:autoSpaceDE w:val="0"/>
        <w:spacing w:line="276" w:lineRule="auto"/>
        <w:ind w:firstLine="567"/>
        <w:jc w:val="both"/>
        <w:rPr>
          <w:lang w:eastAsia="en-US"/>
        </w:rPr>
      </w:pPr>
      <w:r w:rsidRPr="00650F87">
        <w:rPr>
          <w:lang w:eastAsia="en-US"/>
        </w:rPr>
        <w:t>[</w:t>
      </w:r>
      <w:r w:rsidR="00471C6B" w:rsidRPr="00650F87">
        <w:rPr>
          <w:lang w:eastAsia="en-US"/>
        </w:rPr>
        <w:t>8</w:t>
      </w:r>
      <w:r w:rsidRPr="00650F87">
        <w:rPr>
          <w:lang w:eastAsia="en-US"/>
        </w:rPr>
        <w:t xml:space="preserve">] Nav pamatota Valsts ieņēmumu dienesta atsaukšanās uz </w:t>
      </w:r>
      <w:r w:rsidR="00187B00" w:rsidRPr="00650F87">
        <w:rPr>
          <w:lang w:eastAsia="en-US"/>
        </w:rPr>
        <w:t>Senāta</w:t>
      </w:r>
      <w:r w:rsidRPr="00650F87">
        <w:rPr>
          <w:lang w:eastAsia="en-US"/>
        </w:rPr>
        <w:t xml:space="preserve"> 2014.gada 16.maija spriedumā lietā Nr. SKA-58/2014 izteikto atziņu, ka pretpienākuma nodalīšana nav jāveic, ja </w:t>
      </w:r>
      <w:r w:rsidRPr="00650F87">
        <w:rPr>
          <w:lang w:eastAsia="en-US"/>
        </w:rPr>
        <w:lastRenderedPageBreak/>
        <w:t>nav atbilstošas metodikas. Šajā jautājumā ir notikusi judikatūras maiņa, tāpēc nav pamata atsaukties uz vecāku nolēmumu, kurā izteiktā atziņa mainīta ar jaunākā judikatūrā izteiktajām atziņām. Tā kā Sabiedriskā labuma organizāciju likuma 9.panta otrā daļa paredz nodalīt pretpienākuma apjomu no ziedojuma daļas, ka</w:t>
      </w:r>
      <w:r w:rsidR="00CE33F4" w:rsidRPr="00650F87">
        <w:rPr>
          <w:lang w:eastAsia="en-US"/>
        </w:rPr>
        <w:t>s nodota filantropisk</w:t>
      </w:r>
      <w:r w:rsidR="00533CC8" w:rsidRPr="00650F87">
        <w:rPr>
          <w:lang w:eastAsia="en-US"/>
        </w:rPr>
        <w:t>am</w:t>
      </w:r>
      <w:r w:rsidR="00CE33F4" w:rsidRPr="00650F87">
        <w:rPr>
          <w:lang w:eastAsia="en-US"/>
        </w:rPr>
        <w:t xml:space="preserve"> </w:t>
      </w:r>
      <w:r w:rsidR="00533CC8" w:rsidRPr="00650F87">
        <w:rPr>
          <w:lang w:eastAsia="en-US"/>
        </w:rPr>
        <w:t>mērķim</w:t>
      </w:r>
      <w:r w:rsidRPr="00650F87">
        <w:rPr>
          <w:lang w:eastAsia="en-US"/>
        </w:rPr>
        <w:t>, Valsts ieņēmumu dienestam un tiesai šī norma ir jāpiemēro.</w:t>
      </w:r>
    </w:p>
    <w:p w:rsidR="00F61597" w:rsidRPr="00650F87" w:rsidRDefault="00F61597" w:rsidP="0006438F">
      <w:pPr>
        <w:autoSpaceDE w:val="0"/>
        <w:spacing w:line="276" w:lineRule="auto"/>
        <w:ind w:firstLine="567"/>
        <w:jc w:val="both"/>
        <w:rPr>
          <w:lang w:eastAsia="en-US"/>
        </w:rPr>
      </w:pPr>
    </w:p>
    <w:p w:rsidR="00E926D1" w:rsidRPr="00650F87" w:rsidRDefault="00A05ED7" w:rsidP="00923958">
      <w:pPr>
        <w:shd w:val="clear" w:color="auto" w:fill="FFFFFF"/>
        <w:spacing w:line="276" w:lineRule="auto"/>
        <w:ind w:right="6" w:firstLine="567"/>
        <w:jc w:val="both"/>
      </w:pPr>
      <w:r w:rsidRPr="00650F87">
        <w:t>[</w:t>
      </w:r>
      <w:r w:rsidR="00471C6B" w:rsidRPr="00650F87">
        <w:t>9</w:t>
      </w:r>
      <w:r w:rsidRPr="00650F87">
        <w:t xml:space="preserve">] </w:t>
      </w:r>
      <w:r w:rsidR="008D2B9A" w:rsidRPr="00650F87">
        <w:t>Valsts ieņēmumu dienest</w:t>
      </w:r>
      <w:r w:rsidR="00E926D1" w:rsidRPr="00650F87">
        <w:t xml:space="preserve">s nepamatoti norāda, </w:t>
      </w:r>
      <w:r w:rsidR="008D2B9A" w:rsidRPr="00650F87">
        <w:t>ka pieteicēja neesot izpildījusi savu pien</w:t>
      </w:r>
      <w:r w:rsidR="00974A27" w:rsidRPr="00650F87">
        <w:t xml:space="preserve">ākumu, kas ir paredzēts likuma </w:t>
      </w:r>
      <w:r w:rsidR="0001097D" w:rsidRPr="00650F87">
        <w:t>„</w:t>
      </w:r>
      <w:r w:rsidR="00974A27" w:rsidRPr="00650F87">
        <w:t xml:space="preserve">Par nodokļiem un nodevām” 38.pantā, kā arī </w:t>
      </w:r>
      <w:r w:rsidR="00187B00" w:rsidRPr="00650F87">
        <w:t>Senāta</w:t>
      </w:r>
      <w:r w:rsidR="00974A27" w:rsidRPr="00650F87">
        <w:t xml:space="preserve"> 2015.gada 11.decembra sprieduma lietā Nr.</w:t>
      </w:r>
      <w:r w:rsidR="0001097D" w:rsidRPr="00650F87">
        <w:t> </w:t>
      </w:r>
      <w:r w:rsidR="00974A27" w:rsidRPr="00650F87">
        <w:t xml:space="preserve">SKA-119/2015 16.punktā, </w:t>
      </w:r>
      <w:r w:rsidR="00966F5D" w:rsidRPr="00650F87">
        <w:t xml:space="preserve">t.i., </w:t>
      </w:r>
      <w:r w:rsidR="008D2B9A" w:rsidRPr="00650F87">
        <w:t xml:space="preserve">pašai aprēķināt </w:t>
      </w:r>
      <w:r w:rsidR="00371FE3" w:rsidRPr="00650F87">
        <w:t xml:space="preserve">atlīdzības par pretpienākumu </w:t>
      </w:r>
      <w:r w:rsidR="00974A27" w:rsidRPr="00650F87">
        <w:t xml:space="preserve">apmēru. </w:t>
      </w:r>
    </w:p>
    <w:p w:rsidR="008D2B9A" w:rsidRPr="00650F87" w:rsidRDefault="0001097D" w:rsidP="00923958">
      <w:pPr>
        <w:shd w:val="clear" w:color="auto" w:fill="FFFFFF"/>
        <w:spacing w:line="276" w:lineRule="auto"/>
        <w:ind w:right="6" w:firstLine="567"/>
        <w:jc w:val="both"/>
      </w:pPr>
      <w:r w:rsidRPr="00650F87">
        <w:t>Procesa dalībnieka pienākums pierādīt kādu lietā būtisku faktu (iesniegt attiecīgus pierādījumus) nav saprotams kā pienākums pašam šos pierādījumus radīt, šajā gadījumā pašai pieteicējai personīgi veicot aprēķinus. P</w:t>
      </w:r>
      <w:r w:rsidR="00974A27" w:rsidRPr="00650F87">
        <w:t xml:space="preserve">ieteicēja </w:t>
      </w:r>
      <w:r w:rsidRPr="00650F87">
        <w:t xml:space="preserve">pati </w:t>
      </w:r>
      <w:r w:rsidR="00974A27" w:rsidRPr="00650F87">
        <w:t>vērsās pie m</w:t>
      </w:r>
      <w:r w:rsidRPr="00650F87">
        <w:t>e</w:t>
      </w:r>
      <w:r w:rsidR="00974A27" w:rsidRPr="00650F87">
        <w:t>diju aģentūrām, lai tās sagatavotu prasītos atzinumus</w:t>
      </w:r>
      <w:r w:rsidRPr="00650F87">
        <w:t>, k</w:t>
      </w:r>
      <w:r w:rsidR="00E926D1" w:rsidRPr="00650F87">
        <w:t>urus</w:t>
      </w:r>
      <w:r w:rsidRPr="00650F87">
        <w:t xml:space="preserve"> apgabaltiesa </w:t>
      </w:r>
      <w:r w:rsidR="00E926D1" w:rsidRPr="00650F87">
        <w:t>vērtēja, pieņemot kā</w:t>
      </w:r>
      <w:r w:rsidRPr="00650F87">
        <w:t xml:space="preserve"> pieļaujamu</w:t>
      </w:r>
      <w:r w:rsidR="00E926D1" w:rsidRPr="00650F87">
        <w:t>s</w:t>
      </w:r>
      <w:r w:rsidRPr="00650F87">
        <w:t xml:space="preserve"> un uz lietu attiecināmu</w:t>
      </w:r>
      <w:r w:rsidR="00E926D1" w:rsidRPr="00650F87">
        <w:t>s</w:t>
      </w:r>
      <w:r w:rsidRPr="00650F87">
        <w:t xml:space="preserve"> pierādījumu</w:t>
      </w:r>
      <w:r w:rsidR="00E926D1" w:rsidRPr="00650F87">
        <w:t>s</w:t>
      </w:r>
      <w:r w:rsidRPr="00650F87">
        <w:t>. Senāts nesaskata, kas tas kaut kādā ziņā nonāktu pretrunā ar likuma „Par nodokļiem un nodevām” 38.pantu un pierādīšanas procesu regulējošām normām Administratīvā procesa likumā.</w:t>
      </w:r>
    </w:p>
    <w:p w:rsidR="00E678CA" w:rsidRPr="00650F87" w:rsidRDefault="00E678CA" w:rsidP="00923958">
      <w:pPr>
        <w:shd w:val="clear" w:color="auto" w:fill="FFFFFF"/>
        <w:spacing w:line="276" w:lineRule="auto"/>
        <w:ind w:right="6" w:firstLine="567"/>
        <w:jc w:val="both"/>
      </w:pPr>
    </w:p>
    <w:p w:rsidR="00E678CA" w:rsidRPr="00650F87" w:rsidRDefault="00016A61" w:rsidP="00923958">
      <w:pPr>
        <w:shd w:val="clear" w:color="auto" w:fill="FFFFFF"/>
        <w:spacing w:line="276" w:lineRule="auto"/>
        <w:ind w:right="6" w:firstLine="567"/>
        <w:jc w:val="both"/>
      </w:pPr>
      <w:r w:rsidRPr="00650F87">
        <w:t>[1</w:t>
      </w:r>
      <w:r w:rsidR="00471C6B" w:rsidRPr="00650F87">
        <w:t>0</w:t>
      </w:r>
      <w:r w:rsidRPr="00650F87">
        <w:t xml:space="preserve">] </w:t>
      </w:r>
      <w:r w:rsidR="00E678CA" w:rsidRPr="00650F87">
        <w:t xml:space="preserve">Tomēr Senāts piekrīt </w:t>
      </w:r>
      <w:r w:rsidR="0001097D" w:rsidRPr="00650F87">
        <w:t xml:space="preserve">tiem </w:t>
      </w:r>
      <w:r w:rsidR="00E678CA" w:rsidRPr="00650F87">
        <w:t xml:space="preserve">kasācijas sūdzības apsvērumiem, </w:t>
      </w:r>
      <w:r w:rsidR="0001097D" w:rsidRPr="00650F87">
        <w:t>ar kuriem Valsts ieņēmumu dienests vērš uzmanību, ka</w:t>
      </w:r>
      <w:r w:rsidR="001D2E53" w:rsidRPr="00650F87">
        <w:t xml:space="preserve"> lietā ir</w:t>
      </w:r>
      <w:r w:rsidR="0001097D" w:rsidRPr="00650F87">
        <w:t xml:space="preserve"> jānovērtē </w:t>
      </w:r>
      <w:r w:rsidR="00E678CA" w:rsidRPr="00650F87">
        <w:t>īpašā saikne starp pieteicēju un biedrību un īpašā sadarbības forma</w:t>
      </w:r>
      <w:r w:rsidR="0001097D" w:rsidRPr="00650F87">
        <w:t>.</w:t>
      </w:r>
      <w:r w:rsidR="00E678CA" w:rsidRPr="00650F87">
        <w:t xml:space="preserve"> </w:t>
      </w:r>
      <w:r w:rsidR="00966F5D" w:rsidRPr="00650F87">
        <w:t>Š</w:t>
      </w:r>
      <w:r w:rsidR="00FE707A" w:rsidRPr="00650F87">
        <w:t xml:space="preserve">ie apstākļi ir būtiski, vērtējot finanšu līdzekļu nodošanas mērķi </w:t>
      </w:r>
      <w:r w:rsidR="00076CD4" w:rsidRPr="00650F87">
        <w:t>(filantropisks vai cits), kā arī</w:t>
      </w:r>
      <w:r w:rsidR="00FE707A" w:rsidRPr="00650F87">
        <w:t xml:space="preserve"> iespējamā pretpienākuma pastāvēšanu un apjomu.</w:t>
      </w:r>
    </w:p>
    <w:p w:rsidR="002B4D10" w:rsidRPr="00650F87" w:rsidRDefault="002B4D10" w:rsidP="002B4D10">
      <w:pPr>
        <w:shd w:val="clear" w:color="auto" w:fill="FFFFFF"/>
        <w:spacing w:line="276" w:lineRule="auto"/>
        <w:ind w:right="6" w:firstLine="567"/>
        <w:jc w:val="both"/>
      </w:pPr>
      <w:r w:rsidRPr="00650F87">
        <w:t>Apgabaltiesas spriedumā šie apstākļi ir apsvērti, tomēr tiesa nav tos novērtējusi kā tādus, kas liegtu atzīt nodotos finanšu līdzekļus par ziedojumu. Tiesas ieskatā, no Senāta iepriekš jau apskatītajām atziņām izriet, ka pretpienākums ir jānodala. Tiesa tāpat arī uzsvērusi, ka biedrības dibināšana no pieteicējas puses pati par sevi nav aizliegta.</w:t>
      </w:r>
    </w:p>
    <w:p w:rsidR="002B4D10" w:rsidRPr="00650F87" w:rsidRDefault="002B4D10" w:rsidP="002B4D10">
      <w:pPr>
        <w:shd w:val="clear" w:color="auto" w:fill="FFFFFF"/>
        <w:spacing w:line="276" w:lineRule="auto"/>
        <w:ind w:right="6" w:firstLine="567"/>
        <w:jc w:val="both"/>
      </w:pPr>
      <w:r w:rsidRPr="00650F87">
        <w:t>Senāts šajā ziņā uzsver, ka iepriekš apskatītā Senāta atziņa</w:t>
      </w:r>
      <w:r w:rsidR="00B35EB6" w:rsidRPr="00650F87">
        <w:t xml:space="preserve"> par likuma normām</w:t>
      </w:r>
      <w:r w:rsidRPr="00650F87">
        <w:t xml:space="preserve">, kas liek un ļauj nodalīt pretpienākumu no ziedojuma, kas </w:t>
      </w:r>
      <w:r w:rsidR="00CE33F4" w:rsidRPr="00650F87">
        <w:t>veikts</w:t>
      </w:r>
      <w:r w:rsidRPr="00650F87">
        <w:t xml:space="preserve"> ar filantropisku mērķi, nav izprotama tādējādi, ka katrreiz, kad pastāv pretpienākums, kopējā nodotā summa būtu katrā ziņā jādala daļās. Ja ir pamats konstatēt, ka pretpienākums ir saistāms ar visu nodoto finanšu līdzekļu apjomu, vai arī nav iespējams nodalīt kādu summu, kas būtu nodota tikai un vienīgi ar filantropisku mērķi, tas ir pamats atzīt, ka nodotie finanšu līdzekļi visā apjomā ir aptverti ar pretpienākumu un nav uzskatāmi par ziedojumu nekādā daļā.</w:t>
      </w:r>
    </w:p>
    <w:p w:rsidR="00381E49" w:rsidRPr="00650F87" w:rsidRDefault="00381E49" w:rsidP="002B4D10">
      <w:pPr>
        <w:shd w:val="clear" w:color="auto" w:fill="FFFFFF"/>
        <w:spacing w:line="276" w:lineRule="auto"/>
        <w:ind w:right="6" w:firstLine="567"/>
        <w:jc w:val="both"/>
      </w:pPr>
    </w:p>
    <w:p w:rsidR="00543B7B" w:rsidRPr="00650F87" w:rsidRDefault="00381E49" w:rsidP="00543B7B">
      <w:pPr>
        <w:shd w:val="clear" w:color="auto" w:fill="FFFFFF"/>
        <w:spacing w:line="276" w:lineRule="auto"/>
        <w:ind w:right="6" w:firstLine="567"/>
        <w:jc w:val="both"/>
      </w:pPr>
      <w:r w:rsidRPr="00650F87">
        <w:t>[</w:t>
      </w:r>
      <w:r w:rsidR="00BF0378" w:rsidRPr="00650F87">
        <w:t>1</w:t>
      </w:r>
      <w:r w:rsidR="00471C6B" w:rsidRPr="00650F87">
        <w:t>1</w:t>
      </w:r>
      <w:r w:rsidR="001D2E53" w:rsidRPr="00650F87">
        <w:t xml:space="preserve">] </w:t>
      </w:r>
      <w:r w:rsidR="00543B7B" w:rsidRPr="00650F87">
        <w:t>Reklāmas likuma 1.pants noteic, ka reklāma ir ar saimniecisko vai profesionālo darbību saistīts jebkuras formas vai jebkura veida paziņojums vai pasākums, kura nolūks ir veicināt preču vai pakalpojumu (arī nekustamā īpašuma, tiesību un saistību) popularitāti vai pieprasījumu pēc tiem.</w:t>
      </w:r>
    </w:p>
    <w:p w:rsidR="00543B7B" w:rsidRPr="00650F87" w:rsidRDefault="00543B7B" w:rsidP="00543B7B">
      <w:pPr>
        <w:shd w:val="clear" w:color="auto" w:fill="FFFFFF"/>
        <w:spacing w:line="276" w:lineRule="auto"/>
        <w:ind w:right="6" w:firstLine="567"/>
        <w:jc w:val="both"/>
      </w:pPr>
      <w:r w:rsidRPr="00650F87">
        <w:t>Reklāmas paziņojumu un pasākumu veids un saturs var būt ļoti dažāds, tādēļ kāda paziņojuma un pasākuma atbilstība reklāmas jēdzienam, kā redzams no šā panta teksta, ir jāvērtē pēc tā nolūka.</w:t>
      </w:r>
    </w:p>
    <w:p w:rsidR="00543B7B" w:rsidRPr="00650F87" w:rsidRDefault="00543B7B" w:rsidP="00543B7B">
      <w:pPr>
        <w:shd w:val="clear" w:color="auto" w:fill="FFFFFF"/>
        <w:spacing w:line="276" w:lineRule="auto"/>
        <w:ind w:right="6" w:firstLine="567"/>
        <w:jc w:val="both"/>
      </w:pPr>
    </w:p>
    <w:p w:rsidR="001D2E53" w:rsidRPr="00650F87" w:rsidRDefault="00543B7B" w:rsidP="001D2E53">
      <w:pPr>
        <w:shd w:val="clear" w:color="auto" w:fill="FFFFFF"/>
        <w:spacing w:line="276" w:lineRule="auto"/>
        <w:ind w:right="6" w:firstLine="567"/>
        <w:jc w:val="both"/>
      </w:pPr>
      <w:r w:rsidRPr="00650F87">
        <w:t>[</w:t>
      </w:r>
      <w:r w:rsidR="00BF0378" w:rsidRPr="00650F87">
        <w:t>1</w:t>
      </w:r>
      <w:r w:rsidR="00471C6B" w:rsidRPr="00650F87">
        <w:t>2</w:t>
      </w:r>
      <w:r w:rsidRPr="00650F87">
        <w:t>] Administratīvās rajona tiesas sprieduma 9.5.</w:t>
      </w:r>
      <w:r w:rsidR="00966F5D" w:rsidRPr="00650F87">
        <w:t xml:space="preserve"> un 9.6.</w:t>
      </w:r>
      <w:r w:rsidRPr="00650F87">
        <w:t xml:space="preserve">punktā, kam apgabaltiesa pievienojusies, tiesa ir izvērsti </w:t>
      </w:r>
      <w:r w:rsidR="001D2E53" w:rsidRPr="00650F87">
        <w:t xml:space="preserve">raksturojusi </w:t>
      </w:r>
      <w:r w:rsidRPr="00650F87">
        <w:t xml:space="preserve">pieteicējas un biedrības „Labie darbi” </w:t>
      </w:r>
      <w:r w:rsidR="001D2E53" w:rsidRPr="00650F87">
        <w:t>savstarpējo attiecību kopējo tvērumu.</w:t>
      </w:r>
    </w:p>
    <w:p w:rsidR="001D2E53" w:rsidRPr="00650F87" w:rsidRDefault="001D2E53" w:rsidP="00AB6D77">
      <w:pPr>
        <w:shd w:val="clear" w:color="auto" w:fill="FFFFFF"/>
        <w:spacing w:line="276" w:lineRule="auto"/>
        <w:ind w:right="6" w:firstLine="567"/>
        <w:jc w:val="both"/>
      </w:pPr>
      <w:r w:rsidRPr="00650F87">
        <w:lastRenderedPageBreak/>
        <w:t>Tiesa konstatējusi, ka pieteicēja (tās struktūrā ietilpstošas vienības) ir biedrības „Labie darbi” idejas autore un dibinātāja. Pieteicēja 2012. un 2013.gadā bijusi vienīgā persona, kas ziedojusi līdzekļus biedrībai. Biedrības valdē darbojas un tās vārdā tiesiskus darījumus slēdz personas, kuras darbojas arī pieteicējas valdē un slēdz darījumus pieteicējas vārdā. Tiesa konstatēj</w:t>
      </w:r>
      <w:r w:rsidR="00966F5D" w:rsidRPr="00650F87">
        <w:t>a</w:t>
      </w:r>
      <w:r w:rsidRPr="00650F87">
        <w:t xml:space="preserve"> </w:t>
      </w:r>
      <w:r w:rsidR="00106FF9" w:rsidRPr="00650F87">
        <w:t xml:space="preserve">arī </w:t>
      </w:r>
      <w:r w:rsidRPr="00650F87">
        <w:t>vienu un to pašu personu nodarbināšanu. T</w:t>
      </w:r>
      <w:r w:rsidR="00106FF9" w:rsidRPr="00650F87">
        <w:t xml:space="preserve">āpat konstatēts, ka </w:t>
      </w:r>
      <w:r w:rsidRPr="00650F87">
        <w:t>biedrība</w:t>
      </w:r>
      <w:r w:rsidR="00106FF9" w:rsidRPr="00650F87">
        <w:t xml:space="preserve">s </w:t>
      </w:r>
      <w:r w:rsidRPr="00650F87">
        <w:t>darbība</w:t>
      </w:r>
      <w:r w:rsidR="00106FF9" w:rsidRPr="00650F87">
        <w:t xml:space="preserve"> ir</w:t>
      </w:r>
      <w:r w:rsidRPr="00650F87">
        <w:t xml:space="preserve"> tieš</w:t>
      </w:r>
      <w:r w:rsidR="00106FF9" w:rsidRPr="00650F87">
        <w:t>i</w:t>
      </w:r>
      <w:r w:rsidRPr="00650F87">
        <w:t xml:space="preserve"> </w:t>
      </w:r>
      <w:r w:rsidR="00106FF9" w:rsidRPr="00650F87">
        <w:t xml:space="preserve">finansiāli </w:t>
      </w:r>
      <w:r w:rsidRPr="00650F87">
        <w:t>atkarī</w:t>
      </w:r>
      <w:r w:rsidR="00106FF9" w:rsidRPr="00650F87">
        <w:t>ga</w:t>
      </w:r>
      <w:r w:rsidRPr="00650F87">
        <w:t xml:space="preserve"> tikai no pieteicējas. Tiesa norādīja, ka šāda attiecību struktūra vieš ļoti lielas šaubas par to, vai biedrības lēmumi par pieteicējas piedāvātā pakalpojuma preču zīmes atainošanu, atsauču sniegšanu, blogu un rakstu publicēšana nav jau pašas pieteicējas vēlme un pašas</w:t>
      </w:r>
      <w:r w:rsidR="00187B00" w:rsidRPr="00650F87">
        <w:t xml:space="preserve"> pieteicējas veikta s</w:t>
      </w:r>
      <w:r w:rsidRPr="00650F87">
        <w:t>evis</w:t>
      </w:r>
      <w:r w:rsidR="00187B00" w:rsidRPr="00650F87">
        <w:t xml:space="preserve"> popularizēšana</w:t>
      </w:r>
      <w:r w:rsidRPr="00650F87">
        <w:t xml:space="preserve"> caur pašas dibinātu un sponsorētu subjektu. Tiesa nav konstatējusi nekādas darbības, kas norādītu uz biedrības centieniem piesaistīt citus ziedotājus. </w:t>
      </w:r>
    </w:p>
    <w:p w:rsidR="001D2E53" w:rsidRPr="00650F87" w:rsidRDefault="00AB6D77" w:rsidP="001D2E53">
      <w:pPr>
        <w:shd w:val="clear" w:color="auto" w:fill="FFFFFF"/>
        <w:spacing w:line="276" w:lineRule="auto"/>
        <w:ind w:right="6" w:firstLine="567"/>
        <w:jc w:val="both"/>
      </w:pPr>
      <w:r w:rsidRPr="00650F87">
        <w:t>Tiesa arī secinājusi, ka p</w:t>
      </w:r>
      <w:r w:rsidR="001D2E53" w:rsidRPr="00650F87">
        <w:t>ieteicēja savus pakalpojumus reklamējošajos materiālos iekļ</w:t>
      </w:r>
      <w:r w:rsidRPr="00650F87">
        <w:t xml:space="preserve">āvusi </w:t>
      </w:r>
      <w:r w:rsidR="001D2E53" w:rsidRPr="00650F87">
        <w:t>atsauces uz biedrības „Labie darbi” aktivitātēm, kuras savukārt iekļauj atgriezenisku</w:t>
      </w:r>
      <w:r w:rsidRPr="00650F87">
        <w:t xml:space="preserve"> </w:t>
      </w:r>
      <w:r w:rsidR="001D2E53" w:rsidRPr="00650F87">
        <w:t xml:space="preserve">atsauci uz pieteicēju kā ziedotāju, </w:t>
      </w:r>
      <w:r w:rsidRPr="00650F87">
        <w:t>un ka tas ir vērtējam</w:t>
      </w:r>
      <w:r w:rsidR="001D2E53" w:rsidRPr="00650F87">
        <w:t>s kā centieni veidot savu tēlu,</w:t>
      </w:r>
      <w:r w:rsidRPr="00650F87">
        <w:t xml:space="preserve"> </w:t>
      </w:r>
      <w:r w:rsidR="001D2E53" w:rsidRPr="00650F87">
        <w:t>atpazīstamību un reputāciju, kas komersantam ir nepieciešams veiksmīgas darbības</w:t>
      </w:r>
      <w:r w:rsidRPr="00650F87">
        <w:t xml:space="preserve"> </w:t>
      </w:r>
      <w:r w:rsidR="001D2E53" w:rsidRPr="00650F87">
        <w:t>nodrošināšanai.</w:t>
      </w:r>
    </w:p>
    <w:p w:rsidR="00CE33F4" w:rsidRPr="00650F87" w:rsidRDefault="00AB6D77" w:rsidP="001D2E53">
      <w:pPr>
        <w:shd w:val="clear" w:color="auto" w:fill="FFFFFF"/>
        <w:spacing w:line="276" w:lineRule="auto"/>
        <w:ind w:right="6" w:firstLine="567"/>
        <w:jc w:val="both"/>
      </w:pPr>
      <w:r w:rsidRPr="00650F87">
        <w:t>Rezultātā tiesa secinājusi, ka</w:t>
      </w:r>
      <w:r w:rsidR="001D2E53" w:rsidRPr="00650F87">
        <w:t xml:space="preserve"> biedrības veiktās aktivitātes, vērtējot tās gan savstarpējā</w:t>
      </w:r>
      <w:r w:rsidRPr="00650F87">
        <w:t xml:space="preserve"> </w:t>
      </w:r>
      <w:r w:rsidR="001D2E53" w:rsidRPr="00650F87">
        <w:t>kopsakarībā, gan biedrības un pieteicējas savstarpējo attiecību gaismā, norāda uz to,</w:t>
      </w:r>
      <w:r w:rsidRPr="00650F87">
        <w:t xml:space="preserve"> </w:t>
      </w:r>
      <w:r w:rsidR="001D2E53" w:rsidRPr="00650F87">
        <w:t>ka tās apzināti ir veiktas ar mērķi, lai popularizētu pieteicēju, veidotu pieteicējas tēlu</w:t>
      </w:r>
      <w:r w:rsidRPr="00650F87">
        <w:t xml:space="preserve"> </w:t>
      </w:r>
      <w:r w:rsidR="001D2E53" w:rsidRPr="00650F87">
        <w:t xml:space="preserve">un atpazīstamību. </w:t>
      </w:r>
    </w:p>
    <w:p w:rsidR="001D2E53" w:rsidRPr="00650F87" w:rsidRDefault="00E8561A" w:rsidP="001D2E53">
      <w:pPr>
        <w:shd w:val="clear" w:color="auto" w:fill="FFFFFF"/>
        <w:spacing w:line="276" w:lineRule="auto"/>
        <w:ind w:right="6" w:firstLine="567"/>
        <w:jc w:val="both"/>
      </w:pPr>
      <w:r w:rsidRPr="00650F87">
        <w:t xml:space="preserve">Senāta ieskatā, tiesa pamatoti norāda, ka </w:t>
      </w:r>
      <w:r w:rsidR="00AB6D77" w:rsidRPr="00650F87">
        <w:t>ti</w:t>
      </w:r>
      <w:r w:rsidR="001D2E53" w:rsidRPr="00650F87">
        <w:t>ek veicināta un ietekmēta patērētāju izvēle par labu tieši</w:t>
      </w:r>
      <w:r w:rsidR="00AB6D77" w:rsidRPr="00650F87">
        <w:t xml:space="preserve"> </w:t>
      </w:r>
      <w:r w:rsidR="001D2E53" w:rsidRPr="00650F87">
        <w:t>pieteicējas piedāvātajam pakalpojumam, jo tiek apelēts pie sabiedrībā esošās vērtību</w:t>
      </w:r>
      <w:r w:rsidR="00AB6D77" w:rsidRPr="00650F87">
        <w:t xml:space="preserve"> </w:t>
      </w:r>
      <w:r w:rsidR="001D2E53" w:rsidRPr="00650F87">
        <w:t>sistēmas un izpratnes pa labo, akcentējot, ka šāda personas izvēle veicina labdarības</w:t>
      </w:r>
      <w:r w:rsidR="00AB6D77" w:rsidRPr="00650F87">
        <w:t xml:space="preserve"> </w:t>
      </w:r>
      <w:r w:rsidR="001D2E53" w:rsidRPr="00650F87">
        <w:t>mērķu sasniegšanu, tātad ir saistāma ar cēlu un pozitīvi vērtējamu rīcību.</w:t>
      </w:r>
      <w:r w:rsidRPr="00650F87">
        <w:t xml:space="preserve"> Turklāt šāds vērtējums, Senāta ieskatā, attiecināms gan uz biedrības izplatīto ziņu par labdarības projektu finansējuma fonda veidošanos no pieteicējas regulāriem ziedojumiem par katru izsniegto kredītu</w:t>
      </w:r>
      <w:r w:rsidR="00106FF9" w:rsidRPr="00650F87">
        <w:t>, par ko tiesa izdarījusi minēto secinājumu</w:t>
      </w:r>
      <w:r w:rsidRPr="00650F87">
        <w:t xml:space="preserve">, </w:t>
      </w:r>
      <w:r w:rsidR="00CE33F4" w:rsidRPr="00650F87">
        <w:t>gan</w:t>
      </w:r>
      <w:r w:rsidRPr="00650F87">
        <w:t xml:space="preserve"> uz jebkādā formā un apjomā sniegtajām ziņām par pieteicējas atbalstu biedrība</w:t>
      </w:r>
      <w:r w:rsidR="00106FF9" w:rsidRPr="00650F87">
        <w:t>s darbībai vispār</w:t>
      </w:r>
      <w:r w:rsidRPr="00650F87">
        <w:t>.</w:t>
      </w:r>
    </w:p>
    <w:p w:rsidR="00543B7B" w:rsidRPr="00650F87" w:rsidRDefault="00AB6D77" w:rsidP="00923958">
      <w:pPr>
        <w:shd w:val="clear" w:color="auto" w:fill="FFFFFF"/>
        <w:spacing w:line="276" w:lineRule="auto"/>
        <w:ind w:right="6" w:firstLine="567"/>
        <w:jc w:val="both"/>
      </w:pPr>
      <w:r w:rsidRPr="00650F87">
        <w:t xml:space="preserve">Pēc šīs analīzes </w:t>
      </w:r>
      <w:r w:rsidR="00106FF9" w:rsidRPr="00650F87">
        <w:t xml:space="preserve">tiesas spriedumā </w:t>
      </w:r>
      <w:r w:rsidRPr="00650F87">
        <w:t>tomēr nav sekojis tāds biedrības veikto aktivitāšu novērtējums, kurā šis uz pieteicējas popularizēšan</w:t>
      </w:r>
      <w:r w:rsidR="00187B00" w:rsidRPr="00650F87">
        <w:t>u vērstais</w:t>
      </w:r>
      <w:r w:rsidRPr="00650F87">
        <w:t xml:space="preserve"> aspekts (veicinot atpazīstamību tieši caur pieteicējas pozitīva tēla veidošanu, pieteicējas sasaistīšanu ar sabiedrības izpratni par labo) būtu novērtēts arī ekonomiski</w:t>
      </w:r>
      <w:r w:rsidR="004319D7" w:rsidRPr="00650F87">
        <w:t xml:space="preserve"> un tiesiski</w:t>
      </w:r>
      <w:r w:rsidRPr="00650F87">
        <w:t>, proti, ņemts vērā</w:t>
      </w:r>
      <w:r w:rsidR="00187B00" w:rsidRPr="00650F87">
        <w:t>, nosakot</w:t>
      </w:r>
      <w:r w:rsidRPr="00650F87">
        <w:t xml:space="preserve"> </w:t>
      </w:r>
      <w:r w:rsidR="00B35EB6" w:rsidRPr="00650F87">
        <w:t xml:space="preserve">finanšu līdzekļu </w:t>
      </w:r>
      <w:r w:rsidR="00CE33F4" w:rsidRPr="00650F87">
        <w:t>nodošanas mērķ</w:t>
      </w:r>
      <w:r w:rsidR="00187B00" w:rsidRPr="00650F87">
        <w:t>i</w:t>
      </w:r>
      <w:r w:rsidR="00B35EB6" w:rsidRPr="00650F87">
        <w:t xml:space="preserve"> un </w:t>
      </w:r>
      <w:r w:rsidR="00CE33F4" w:rsidRPr="00650F87">
        <w:t>iespējam</w:t>
      </w:r>
      <w:r w:rsidR="00187B00" w:rsidRPr="00650F87">
        <w:t>o</w:t>
      </w:r>
      <w:r w:rsidR="00CE33F4" w:rsidRPr="00650F87">
        <w:t xml:space="preserve"> pretpienākum</w:t>
      </w:r>
      <w:r w:rsidR="00187B00" w:rsidRPr="00650F87">
        <w:t>u</w:t>
      </w:r>
      <w:r w:rsidRPr="00650F87">
        <w:t xml:space="preserve">. </w:t>
      </w:r>
    </w:p>
    <w:p w:rsidR="00B35EB6" w:rsidRPr="00650F87" w:rsidRDefault="00B35EB6" w:rsidP="00923958">
      <w:pPr>
        <w:shd w:val="clear" w:color="auto" w:fill="FFFFFF"/>
        <w:spacing w:line="276" w:lineRule="auto"/>
        <w:ind w:right="6" w:firstLine="567"/>
        <w:jc w:val="both"/>
      </w:pPr>
    </w:p>
    <w:p w:rsidR="0086785A" w:rsidRPr="00650F87" w:rsidRDefault="00B35EB6" w:rsidP="00923958">
      <w:pPr>
        <w:shd w:val="clear" w:color="auto" w:fill="FFFFFF"/>
        <w:spacing w:line="276" w:lineRule="auto"/>
        <w:ind w:right="6" w:firstLine="567"/>
        <w:jc w:val="both"/>
      </w:pPr>
      <w:r w:rsidRPr="00650F87">
        <w:t>[</w:t>
      </w:r>
      <w:r w:rsidR="00471C6B" w:rsidRPr="00650F87">
        <w:t>13</w:t>
      </w:r>
      <w:r w:rsidRPr="00650F87">
        <w:t xml:space="preserve">] </w:t>
      </w:r>
      <w:r w:rsidR="0092254F" w:rsidRPr="00650F87">
        <w:t xml:space="preserve">Senāta ieskatā, jomā, kurā darbojas pieteicēja, informācijai </w:t>
      </w:r>
      <w:r w:rsidR="00577698" w:rsidRPr="00650F87">
        <w:t xml:space="preserve">par pieteicējas pastāvīgu iesaisti filantropisku mērķu sasniegšanā </w:t>
      </w:r>
      <w:r w:rsidR="0092254F" w:rsidRPr="00650F87">
        <w:t xml:space="preserve">var būt būtiska ietekme ne tikvien uz pieteicējas pakalpojumu </w:t>
      </w:r>
      <w:r w:rsidR="00AB6D77" w:rsidRPr="00650F87">
        <w:t xml:space="preserve">kā tādu </w:t>
      </w:r>
      <w:r w:rsidR="0092254F" w:rsidRPr="00650F87">
        <w:t>popularizēšanu, bet arī uz sabiedrisko viedokli par attiecīgo biznesa jomu</w:t>
      </w:r>
      <w:r w:rsidR="00577698" w:rsidRPr="00650F87">
        <w:t xml:space="preserve"> un </w:t>
      </w:r>
      <w:r w:rsidR="007466E6" w:rsidRPr="00650F87">
        <w:t xml:space="preserve">– tā rezultātā – uz </w:t>
      </w:r>
      <w:r w:rsidR="00577698" w:rsidRPr="00650F87">
        <w:t xml:space="preserve">pieteicējas </w:t>
      </w:r>
      <w:r w:rsidR="007466E6" w:rsidRPr="00650F87">
        <w:t xml:space="preserve">saimniecisko </w:t>
      </w:r>
      <w:r w:rsidR="00577698" w:rsidRPr="00650F87">
        <w:t>darbību</w:t>
      </w:r>
      <w:r w:rsidR="004319D7" w:rsidRPr="00650F87">
        <w:t xml:space="preserve"> kopumā</w:t>
      </w:r>
      <w:r w:rsidR="0092254F" w:rsidRPr="00650F87">
        <w:t xml:space="preserve">. </w:t>
      </w:r>
      <w:r w:rsidR="00AB6D77" w:rsidRPr="00650F87">
        <w:t>Pieteicējas saimnieciskajai darbībai labumu var dot arī tas, ka mainās sabiedrības gatavība akceptēt tādu</w:t>
      </w:r>
      <w:r w:rsidR="00106FF9" w:rsidRPr="00650F87">
        <w:t>s</w:t>
      </w:r>
      <w:r w:rsidR="00AB6D77" w:rsidRPr="00650F87">
        <w:t xml:space="preserve"> pakalpojumu</w:t>
      </w:r>
      <w:r w:rsidR="00106FF9" w:rsidRPr="00650F87">
        <w:t>s</w:t>
      </w:r>
      <w:r w:rsidR="00AB6D77" w:rsidRPr="00650F87">
        <w:t>, ko sniedz pieteicēja, mazinā</w:t>
      </w:r>
      <w:r w:rsidR="004319D7" w:rsidRPr="00650F87">
        <w:t>s</w:t>
      </w:r>
      <w:r w:rsidR="00AB6D77" w:rsidRPr="00650F87">
        <w:t xml:space="preserve"> iespējami negatīv</w:t>
      </w:r>
      <w:r w:rsidR="004319D7" w:rsidRPr="00650F87">
        <w:t>a</w:t>
      </w:r>
      <w:r w:rsidR="00AB6D77" w:rsidRPr="00650F87">
        <w:t xml:space="preserve"> attieksm</w:t>
      </w:r>
      <w:r w:rsidR="004319D7" w:rsidRPr="00650F87">
        <w:t>e</w:t>
      </w:r>
      <w:r w:rsidR="00AB6D77" w:rsidRPr="00650F87">
        <w:t xml:space="preserve"> </w:t>
      </w:r>
      <w:r w:rsidR="004319D7" w:rsidRPr="00650F87">
        <w:t>pret</w:t>
      </w:r>
      <w:r w:rsidR="00AB6D77" w:rsidRPr="00650F87">
        <w:t xml:space="preserve"> </w:t>
      </w:r>
      <w:r w:rsidR="00E8561A" w:rsidRPr="00650F87">
        <w:t>kredītu izsniegšanas</w:t>
      </w:r>
      <w:r w:rsidR="00AB6D77" w:rsidRPr="00650F87">
        <w:t xml:space="preserve"> p</w:t>
      </w:r>
      <w:r w:rsidR="00E8561A" w:rsidRPr="00650F87">
        <w:t>akalpojum</w:t>
      </w:r>
      <w:r w:rsidR="004319D7" w:rsidRPr="00650F87">
        <w:t>iem un</w:t>
      </w:r>
      <w:r w:rsidR="00E8561A" w:rsidRPr="00650F87">
        <w:t xml:space="preserve"> pelnīšanu no kredītu izsniegšanas.</w:t>
      </w:r>
    </w:p>
    <w:p w:rsidR="0086785A" w:rsidRPr="00650F87" w:rsidRDefault="00E8561A" w:rsidP="00923958">
      <w:pPr>
        <w:shd w:val="clear" w:color="auto" w:fill="FFFFFF"/>
        <w:spacing w:line="276" w:lineRule="auto"/>
        <w:ind w:right="6" w:firstLine="567"/>
        <w:jc w:val="both"/>
      </w:pPr>
      <w:r w:rsidRPr="00650F87">
        <w:t>Tādējādi, n</w:t>
      </w:r>
      <w:r w:rsidR="00AB6D77" w:rsidRPr="00650F87">
        <w:t xml:space="preserve">ovērtējot </w:t>
      </w:r>
      <w:r w:rsidR="0086785A" w:rsidRPr="00650F87">
        <w:t xml:space="preserve">finanšu līdzekļu </w:t>
      </w:r>
      <w:r w:rsidR="00CE33F4" w:rsidRPr="00650F87">
        <w:t xml:space="preserve">nodošanas mērķi un </w:t>
      </w:r>
      <w:r w:rsidR="004319D7" w:rsidRPr="00650F87">
        <w:t>iespējamo</w:t>
      </w:r>
      <w:r w:rsidR="00AB6D77" w:rsidRPr="00650F87">
        <w:t xml:space="preserve"> pretpienākumu, būtu </w:t>
      </w:r>
      <w:r w:rsidR="0086785A" w:rsidRPr="00650F87">
        <w:t>jānovērtē ne tikvien publiskoto ziņu izmaksu jautājums, salīdzinot tās ar līdzīga apjoma ziņu publiskošanu</w:t>
      </w:r>
      <w:r w:rsidR="00E33C8A" w:rsidRPr="00650F87">
        <w:t xml:space="preserve"> līdzīgos informācijas kanālos</w:t>
      </w:r>
      <w:r w:rsidR="0086785A" w:rsidRPr="00650F87">
        <w:t>, bet kompleksi jānovērtē arī visi iepriekš minētie apstākļi par pieteicējas iesaisti biedrības dibināšanā, pastāvēšanā</w:t>
      </w:r>
      <w:r w:rsidR="00E33C8A" w:rsidRPr="00650F87">
        <w:t xml:space="preserve"> un</w:t>
      </w:r>
      <w:r w:rsidR="0086785A" w:rsidRPr="00650F87">
        <w:t xml:space="preserve"> finansēšanā un mērķtiecīgām darbībām pieteicējas filantropisko mērķu popularizēšanā, tostarp vienlaikus un </w:t>
      </w:r>
      <w:r w:rsidR="0086785A" w:rsidRPr="00650F87">
        <w:lastRenderedPageBreak/>
        <w:t xml:space="preserve">vienviet ar ziņām par </w:t>
      </w:r>
      <w:r w:rsidR="00E33C8A" w:rsidRPr="00650F87">
        <w:t>pieteicējas</w:t>
      </w:r>
      <w:r w:rsidR="0086785A" w:rsidRPr="00650F87">
        <w:t xml:space="preserve"> sniegtajiem pakalpojumiem.</w:t>
      </w:r>
      <w:r w:rsidR="004319D7" w:rsidRPr="00650F87">
        <w:t xml:space="preserve"> Turklāt, kā jau norādīts iepriekš, ja ir pamats konstatēt, ka būtībā visai finanšu līdzekļu nodošanai kopumā ir saimniecisks, nevis filantropisks mērķis (nav iespējams nodalīt tādu finanšu līdzekļu daļu, kam būtu vienīgi filantropisks mērķis), tas ir pamats atzīt, ka nodotie finanšu līdzekļi nav uzskatāmi par ziedojumu nekādā daļā. </w:t>
      </w:r>
    </w:p>
    <w:p w:rsidR="0086785A" w:rsidRPr="00650F87" w:rsidRDefault="0086785A" w:rsidP="00923958">
      <w:pPr>
        <w:shd w:val="clear" w:color="auto" w:fill="FFFFFF"/>
        <w:spacing w:line="276" w:lineRule="auto"/>
        <w:ind w:right="6" w:firstLine="567"/>
        <w:jc w:val="both"/>
      </w:pPr>
    </w:p>
    <w:p w:rsidR="00E33C8A" w:rsidRPr="00650F87" w:rsidRDefault="00577698" w:rsidP="00923958">
      <w:pPr>
        <w:autoSpaceDE w:val="0"/>
        <w:spacing w:line="276" w:lineRule="auto"/>
        <w:ind w:firstLine="567"/>
        <w:jc w:val="both"/>
        <w:rPr>
          <w:lang w:eastAsia="en-US"/>
        </w:rPr>
      </w:pPr>
      <w:r w:rsidRPr="00650F87">
        <w:t>[</w:t>
      </w:r>
      <w:r w:rsidR="00BF0378" w:rsidRPr="00650F87">
        <w:t>14</w:t>
      </w:r>
      <w:r w:rsidRPr="00650F87">
        <w:t>]</w:t>
      </w:r>
      <w:r w:rsidR="00B77E83" w:rsidRPr="00650F87">
        <w:rPr>
          <w:lang w:eastAsia="en-US"/>
        </w:rPr>
        <w:t xml:space="preserve"> </w:t>
      </w:r>
      <w:r w:rsidR="00E33C8A" w:rsidRPr="00650F87">
        <w:rPr>
          <w:lang w:eastAsia="en-US"/>
        </w:rPr>
        <w:t xml:space="preserve">Tā kā apgabaltiesa finanšu līdzekļu </w:t>
      </w:r>
      <w:r w:rsidR="00CE33F4" w:rsidRPr="00650F87">
        <w:rPr>
          <w:lang w:eastAsia="en-US"/>
        </w:rPr>
        <w:t xml:space="preserve">nodošanas </w:t>
      </w:r>
      <w:r w:rsidR="00187B00" w:rsidRPr="00650F87">
        <w:rPr>
          <w:lang w:eastAsia="en-US"/>
        </w:rPr>
        <w:t xml:space="preserve">mērķa </w:t>
      </w:r>
      <w:r w:rsidR="00E33C8A" w:rsidRPr="00650F87">
        <w:rPr>
          <w:lang w:eastAsia="en-US"/>
        </w:rPr>
        <w:t xml:space="preserve">un pretpienākuma </w:t>
      </w:r>
      <w:r w:rsidR="00187B00" w:rsidRPr="00650F87">
        <w:rPr>
          <w:lang w:eastAsia="en-US"/>
        </w:rPr>
        <w:t>novērtēšanā</w:t>
      </w:r>
      <w:r w:rsidR="00E33C8A" w:rsidRPr="00650F87">
        <w:rPr>
          <w:lang w:eastAsia="en-US"/>
        </w:rPr>
        <w:t xml:space="preserve"> ir atturējusies vērtēt pieteicējas un biedrības darbības būtību kopumā, lai gan tā, ņemot vērā arī pašas apgabaltiesas apsvērumus, liecina par finanšu līdzekļu nodošanas plašāku saistību ar pieteicējas </w:t>
      </w:r>
      <w:r w:rsidR="007466E6" w:rsidRPr="00650F87">
        <w:rPr>
          <w:lang w:eastAsia="en-US"/>
        </w:rPr>
        <w:t>saimniecisko</w:t>
      </w:r>
      <w:r w:rsidR="00E33C8A" w:rsidRPr="00650F87">
        <w:rPr>
          <w:lang w:eastAsia="en-US"/>
        </w:rPr>
        <w:t xml:space="preserve"> darbību, </w:t>
      </w:r>
      <w:r w:rsidR="007466E6" w:rsidRPr="00650F87">
        <w:rPr>
          <w:lang w:eastAsia="en-US"/>
        </w:rPr>
        <w:t>spriedums ir balstīts uz lietas faktisko apstākļu nepilnīgu noskaidrošanu un novērtēšanu</w:t>
      </w:r>
      <w:r w:rsidR="00E33C8A" w:rsidRPr="00650F87">
        <w:rPr>
          <w:lang w:eastAsia="en-US"/>
        </w:rPr>
        <w:t>.</w:t>
      </w:r>
      <w:r w:rsidR="007466E6" w:rsidRPr="00650F87">
        <w:rPr>
          <w:lang w:eastAsia="en-US"/>
        </w:rPr>
        <w:t xml:space="preserve"> Tas varēja novest pie nepareizas materiālo tiesību normu piemērošanas un kļūdaina lietas izskatīšanas rezultāta, tādēļ spriedums ir atceļams un lieta nosūtāma jaunai izskatīšanai.</w:t>
      </w:r>
      <w:r w:rsidR="00187B00" w:rsidRPr="00650F87">
        <w:rPr>
          <w:lang w:eastAsia="en-US"/>
        </w:rPr>
        <w:t xml:space="preserve"> </w:t>
      </w:r>
    </w:p>
    <w:p w:rsidR="007466E6" w:rsidRPr="00650F87" w:rsidRDefault="007466E6" w:rsidP="00836285">
      <w:pPr>
        <w:spacing w:line="276" w:lineRule="auto"/>
        <w:jc w:val="center"/>
        <w:rPr>
          <w:b/>
        </w:rPr>
      </w:pPr>
    </w:p>
    <w:p w:rsidR="00836285" w:rsidRPr="00650F87" w:rsidRDefault="00836285" w:rsidP="00836285">
      <w:pPr>
        <w:spacing w:line="276" w:lineRule="auto"/>
        <w:jc w:val="center"/>
        <w:rPr>
          <w:b/>
        </w:rPr>
      </w:pPr>
      <w:r w:rsidRPr="00650F87">
        <w:rPr>
          <w:b/>
        </w:rPr>
        <w:t>Rezolutīvā daļa</w:t>
      </w:r>
    </w:p>
    <w:p w:rsidR="00B77E83" w:rsidRPr="00650F87" w:rsidRDefault="00B77E83" w:rsidP="00836285">
      <w:pPr>
        <w:spacing w:line="276" w:lineRule="auto"/>
        <w:jc w:val="center"/>
        <w:rPr>
          <w:b/>
        </w:rPr>
      </w:pPr>
    </w:p>
    <w:p w:rsidR="00B77E83" w:rsidRPr="00650F87" w:rsidRDefault="00B77E83" w:rsidP="00B77E83">
      <w:pPr>
        <w:ind w:firstLine="567"/>
        <w:jc w:val="both"/>
      </w:pPr>
      <w:r w:rsidRPr="00650F87">
        <w:t>Pamatojoties uz Administratīvā procesa likuma 129.</w:t>
      </w:r>
      <w:r w:rsidRPr="00650F87">
        <w:rPr>
          <w:vertAlign w:val="superscript"/>
        </w:rPr>
        <w:t>1</w:t>
      </w:r>
      <w:r w:rsidRPr="00650F87">
        <w:t>panta pirmās daļas 1.punktu, 348.panta pirmās daļas 2.punktu un 351.pantu, Augstākā tiesa</w:t>
      </w:r>
    </w:p>
    <w:p w:rsidR="00836285" w:rsidRPr="00650F87" w:rsidRDefault="00836285" w:rsidP="00836285">
      <w:pPr>
        <w:spacing w:line="276" w:lineRule="auto"/>
        <w:ind w:firstLine="567"/>
        <w:jc w:val="both"/>
      </w:pPr>
    </w:p>
    <w:p w:rsidR="00836285" w:rsidRPr="00650F87" w:rsidRDefault="00B77E83" w:rsidP="00836285">
      <w:pPr>
        <w:tabs>
          <w:tab w:val="left" w:pos="2700"/>
          <w:tab w:val="left" w:pos="6660"/>
        </w:tabs>
        <w:spacing w:line="276" w:lineRule="auto"/>
        <w:jc w:val="center"/>
        <w:rPr>
          <w:b/>
        </w:rPr>
      </w:pPr>
      <w:bookmarkStart w:id="1" w:name="Dropdown14"/>
      <w:r w:rsidRPr="00650F87">
        <w:rPr>
          <w:b/>
        </w:rPr>
        <w:t>n</w:t>
      </w:r>
      <w:r w:rsidR="00836285" w:rsidRPr="00650F87">
        <w:rPr>
          <w:b/>
        </w:rPr>
        <w:t>osprieda</w:t>
      </w:r>
      <w:bookmarkEnd w:id="1"/>
      <w:r w:rsidR="00281DF2" w:rsidRPr="00650F87">
        <w:rPr>
          <w:b/>
        </w:rPr>
        <w:t>:</w:t>
      </w:r>
    </w:p>
    <w:p w:rsidR="00B77E83" w:rsidRPr="00650F87" w:rsidRDefault="00B77E83" w:rsidP="00836285">
      <w:pPr>
        <w:tabs>
          <w:tab w:val="left" w:pos="2700"/>
          <w:tab w:val="left" w:pos="6660"/>
        </w:tabs>
        <w:spacing w:line="276" w:lineRule="auto"/>
        <w:jc w:val="center"/>
        <w:rPr>
          <w:b/>
        </w:rPr>
      </w:pPr>
    </w:p>
    <w:p w:rsidR="00B77E83" w:rsidRPr="00650F87" w:rsidRDefault="00B77E83" w:rsidP="00B77E83">
      <w:pPr>
        <w:tabs>
          <w:tab w:val="left" w:pos="2700"/>
          <w:tab w:val="left" w:pos="6660"/>
        </w:tabs>
        <w:ind w:firstLine="567"/>
        <w:jc w:val="both"/>
      </w:pPr>
      <w:r w:rsidRPr="00650F87">
        <w:t>atcelt Administratīvās apgabaltiesas 2017.gada 19.septembra spriedumu un nosūtīt lietu Administratīvajai apgabaltiesai jaunai izskatīšanai;</w:t>
      </w:r>
    </w:p>
    <w:p w:rsidR="00B77E83" w:rsidRPr="00650F87" w:rsidRDefault="00B77E83" w:rsidP="00B77E83">
      <w:pPr>
        <w:tabs>
          <w:tab w:val="left" w:pos="2700"/>
          <w:tab w:val="left" w:pos="6660"/>
        </w:tabs>
        <w:ind w:firstLine="567"/>
        <w:jc w:val="both"/>
      </w:pPr>
      <w:r w:rsidRPr="00650F87">
        <w:t xml:space="preserve">atmaksāt Valsts ieņēmumu dienestam drošības naudu 70 </w:t>
      </w:r>
      <w:proofErr w:type="spellStart"/>
      <w:r w:rsidRPr="00650F87">
        <w:rPr>
          <w:i/>
        </w:rPr>
        <w:t>euro</w:t>
      </w:r>
      <w:proofErr w:type="spellEnd"/>
      <w:r w:rsidRPr="00650F87">
        <w:t>.</w:t>
      </w:r>
    </w:p>
    <w:p w:rsidR="00B77E83" w:rsidRPr="00650F87" w:rsidRDefault="00B77E83" w:rsidP="00B77E83">
      <w:pPr>
        <w:ind w:firstLine="567"/>
        <w:jc w:val="both"/>
      </w:pPr>
      <w:r w:rsidRPr="00650F87">
        <w:t>Spriedums nav pārsūdzams.</w:t>
      </w:r>
    </w:p>
    <w:sectPr w:rsidR="00B77E83" w:rsidRPr="00650F87">
      <w:footerReference w:type="default" r:id="rId8"/>
      <w:pgSz w:w="11906" w:h="16838"/>
      <w:pgMar w:top="1134" w:right="1134"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78B9" w:rsidRDefault="00E878B9">
      <w:r>
        <w:separator/>
      </w:r>
    </w:p>
  </w:endnote>
  <w:endnote w:type="continuationSeparator" w:id="0">
    <w:p w:rsidR="00E878B9" w:rsidRDefault="00E87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E53" w:rsidRDefault="001D2E53">
    <w:pPr>
      <w:pStyle w:val="Footer"/>
    </w:pPr>
    <w:r>
      <w:rPr>
        <w:noProof/>
      </w:rPr>
      <mc:AlternateContent>
        <mc:Choice Requires="wps">
          <w:drawing>
            <wp:anchor distT="0" distB="0" distL="114300" distR="114300" simplePos="0" relativeHeight="251659264" behindDoc="0" locked="0" layoutInCell="1" allowOverlap="1" wp14:anchorId="5319CFE8" wp14:editId="2049CA01">
              <wp:simplePos x="0" y="0"/>
              <wp:positionH relativeFrom="margin">
                <wp:align>center</wp:align>
              </wp:positionH>
              <wp:positionV relativeFrom="paragraph">
                <wp:posOffset>548</wp:posOffset>
              </wp:positionV>
              <wp:extent cx="0" cy="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1D2E53" w:rsidRDefault="001D2E53">
                          <w:pPr>
                            <w:pStyle w:val="Footer"/>
                          </w:pPr>
                          <w:r>
                            <w:rPr>
                              <w:rStyle w:val="PageNumber"/>
                            </w:rPr>
                            <w:fldChar w:fldCharType="begin"/>
                          </w:r>
                          <w:r>
                            <w:rPr>
                              <w:rStyle w:val="PageNumber"/>
                            </w:rPr>
                            <w:instrText xml:space="preserve"> PAGE </w:instrText>
                          </w:r>
                          <w:r>
                            <w:rPr>
                              <w:rStyle w:val="PageNumber"/>
                            </w:rPr>
                            <w:fldChar w:fldCharType="separate"/>
                          </w:r>
                          <w:r w:rsidR="00B611B3">
                            <w:rPr>
                              <w:rStyle w:val="PageNumber"/>
                              <w:noProof/>
                            </w:rPr>
                            <w:t>4</w:t>
                          </w:r>
                          <w:r>
                            <w:rPr>
                              <w:rStyle w:val="PageNumber"/>
                            </w:rPr>
                            <w:fldChar w:fldCharType="end"/>
                          </w:r>
                          <w:r>
                            <w:rPr>
                              <w:rStyle w:val="PageNumber"/>
                            </w:rPr>
                            <w:t xml:space="preserve"> no </w:t>
                          </w:r>
                          <w:r>
                            <w:rPr>
                              <w:rStyle w:val="PageNumber"/>
                            </w:rPr>
                            <w:fldChar w:fldCharType="begin"/>
                          </w:r>
                          <w:r>
                            <w:rPr>
                              <w:rStyle w:val="PageNumber"/>
                            </w:rPr>
                            <w:instrText xml:space="preserve"> NUMPAGES </w:instrText>
                          </w:r>
                          <w:r>
                            <w:rPr>
                              <w:rStyle w:val="PageNumber"/>
                            </w:rPr>
                            <w:fldChar w:fldCharType="separate"/>
                          </w:r>
                          <w:r w:rsidR="00B611B3">
                            <w:rPr>
                              <w:rStyle w:val="PageNumber"/>
                              <w:noProof/>
                            </w:rPr>
                            <w:t>7</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5319CFE8" id="_x0000_t202" coordsize="21600,21600" o:spt="202" path="m,l,21600r21600,l21600,xe">
              <v:stroke joinstyle="miter"/>
              <v:path gradientshapeok="t" o:connecttype="rect"/>
            </v:shapetype>
            <v:shape id="Text Box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" filled="f" stroked="f">
              <v:textbox style="mso-fit-shape-to-text:t" inset="0,0,0,0">
                <w:txbxContent>
                  <w:p w:rsidR="001D2E53" w:rsidRDefault="001D2E53">
                    <w:pPr>
                      <w:pStyle w:val="Footer"/>
                    </w:pPr>
                    <w:r>
                      <w:rPr>
                        <w:rStyle w:val="PageNumber"/>
                      </w:rPr>
                      <w:fldChar w:fldCharType="begin"/>
                    </w:r>
                    <w:r>
                      <w:rPr>
                        <w:rStyle w:val="PageNumber"/>
                      </w:rPr>
                      <w:instrText xml:space="preserve"> PAGE </w:instrText>
                    </w:r>
                    <w:r>
                      <w:rPr>
                        <w:rStyle w:val="PageNumber"/>
                      </w:rPr>
                      <w:fldChar w:fldCharType="separate"/>
                    </w:r>
                    <w:r w:rsidR="00B611B3">
                      <w:rPr>
                        <w:rStyle w:val="PageNumber"/>
                        <w:noProof/>
                      </w:rPr>
                      <w:t>4</w:t>
                    </w:r>
                    <w:r>
                      <w:rPr>
                        <w:rStyle w:val="PageNumber"/>
                      </w:rPr>
                      <w:fldChar w:fldCharType="end"/>
                    </w:r>
                    <w:r>
                      <w:rPr>
                        <w:rStyle w:val="PageNumber"/>
                      </w:rPr>
                      <w:t xml:space="preserve"> no </w:t>
                    </w:r>
                    <w:r>
                      <w:rPr>
                        <w:rStyle w:val="PageNumber"/>
                      </w:rPr>
                      <w:fldChar w:fldCharType="begin"/>
                    </w:r>
                    <w:r>
                      <w:rPr>
                        <w:rStyle w:val="PageNumber"/>
                      </w:rPr>
                      <w:instrText xml:space="preserve"> NUMPAGES </w:instrText>
                    </w:r>
                    <w:r>
                      <w:rPr>
                        <w:rStyle w:val="PageNumber"/>
                      </w:rPr>
                      <w:fldChar w:fldCharType="separate"/>
                    </w:r>
                    <w:r w:rsidR="00B611B3">
                      <w:rPr>
                        <w:rStyle w:val="PageNumber"/>
                        <w:noProof/>
                      </w:rPr>
                      <w:t>7</w:t>
                    </w:r>
                    <w:r>
                      <w:rPr>
                        <w:rStyle w:val="PageNumber"/>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78B9" w:rsidRDefault="00E878B9">
      <w:r>
        <w:separator/>
      </w:r>
    </w:p>
  </w:footnote>
  <w:footnote w:type="continuationSeparator" w:id="0">
    <w:p w:rsidR="00E878B9" w:rsidRDefault="00E878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A826DE"/>
    <w:multiLevelType w:val="multilevel"/>
    <w:tmpl w:val="9A2E7066"/>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85"/>
    <w:rsid w:val="0001097D"/>
    <w:rsid w:val="000139AB"/>
    <w:rsid w:val="00016A61"/>
    <w:rsid w:val="000344D7"/>
    <w:rsid w:val="0005643A"/>
    <w:rsid w:val="0006438F"/>
    <w:rsid w:val="00071032"/>
    <w:rsid w:val="00076CD4"/>
    <w:rsid w:val="000B7118"/>
    <w:rsid w:val="000E3E8A"/>
    <w:rsid w:val="00106FF9"/>
    <w:rsid w:val="0012402F"/>
    <w:rsid w:val="001315A8"/>
    <w:rsid w:val="00147791"/>
    <w:rsid w:val="0017035C"/>
    <w:rsid w:val="00184C2A"/>
    <w:rsid w:val="00187B00"/>
    <w:rsid w:val="0019641C"/>
    <w:rsid w:val="001B30AD"/>
    <w:rsid w:val="001B5865"/>
    <w:rsid w:val="001C37F1"/>
    <w:rsid w:val="001C4654"/>
    <w:rsid w:val="001D2E53"/>
    <w:rsid w:val="001F6CAF"/>
    <w:rsid w:val="00216E54"/>
    <w:rsid w:val="002413B5"/>
    <w:rsid w:val="00247969"/>
    <w:rsid w:val="00281DF2"/>
    <w:rsid w:val="002B4D10"/>
    <w:rsid w:val="002D63D7"/>
    <w:rsid w:val="002F614E"/>
    <w:rsid w:val="00300A31"/>
    <w:rsid w:val="00371FE3"/>
    <w:rsid w:val="00381E49"/>
    <w:rsid w:val="003D7AC5"/>
    <w:rsid w:val="0041653C"/>
    <w:rsid w:val="004319D7"/>
    <w:rsid w:val="00442A74"/>
    <w:rsid w:val="00463FD0"/>
    <w:rsid w:val="00464561"/>
    <w:rsid w:val="00471C6B"/>
    <w:rsid w:val="004861EF"/>
    <w:rsid w:val="004955BE"/>
    <w:rsid w:val="004C33E3"/>
    <w:rsid w:val="004C4041"/>
    <w:rsid w:val="004F6C32"/>
    <w:rsid w:val="00520A71"/>
    <w:rsid w:val="0052509B"/>
    <w:rsid w:val="00533CC8"/>
    <w:rsid w:val="00543B7B"/>
    <w:rsid w:val="00553851"/>
    <w:rsid w:val="005557F3"/>
    <w:rsid w:val="00567628"/>
    <w:rsid w:val="00577698"/>
    <w:rsid w:val="00586F34"/>
    <w:rsid w:val="005961C9"/>
    <w:rsid w:val="005962F9"/>
    <w:rsid w:val="005C4911"/>
    <w:rsid w:val="0061743D"/>
    <w:rsid w:val="006345BD"/>
    <w:rsid w:val="00634A64"/>
    <w:rsid w:val="00650F87"/>
    <w:rsid w:val="0065694E"/>
    <w:rsid w:val="00677643"/>
    <w:rsid w:val="00682C25"/>
    <w:rsid w:val="006A5A69"/>
    <w:rsid w:val="006B7A3D"/>
    <w:rsid w:val="006D38FE"/>
    <w:rsid w:val="007466E6"/>
    <w:rsid w:val="007744C0"/>
    <w:rsid w:val="00782F49"/>
    <w:rsid w:val="00792257"/>
    <w:rsid w:val="007A1B5D"/>
    <w:rsid w:val="00805AFF"/>
    <w:rsid w:val="0081315F"/>
    <w:rsid w:val="00814614"/>
    <w:rsid w:val="00836285"/>
    <w:rsid w:val="00851245"/>
    <w:rsid w:val="008619C4"/>
    <w:rsid w:val="0086785A"/>
    <w:rsid w:val="008C373B"/>
    <w:rsid w:val="008C5F58"/>
    <w:rsid w:val="008D2B9A"/>
    <w:rsid w:val="008F75F7"/>
    <w:rsid w:val="0090795A"/>
    <w:rsid w:val="0092254F"/>
    <w:rsid w:val="00923958"/>
    <w:rsid w:val="0094742E"/>
    <w:rsid w:val="00966F5D"/>
    <w:rsid w:val="00974A27"/>
    <w:rsid w:val="0099246F"/>
    <w:rsid w:val="009D1BFE"/>
    <w:rsid w:val="00A05ED7"/>
    <w:rsid w:val="00A25CF1"/>
    <w:rsid w:val="00A42BFF"/>
    <w:rsid w:val="00A5297C"/>
    <w:rsid w:val="00AA67F4"/>
    <w:rsid w:val="00AA7C55"/>
    <w:rsid w:val="00AB6D77"/>
    <w:rsid w:val="00AB7AF9"/>
    <w:rsid w:val="00AC2349"/>
    <w:rsid w:val="00AD5F74"/>
    <w:rsid w:val="00AF5183"/>
    <w:rsid w:val="00B17DA2"/>
    <w:rsid w:val="00B200A6"/>
    <w:rsid w:val="00B23ACF"/>
    <w:rsid w:val="00B35EB6"/>
    <w:rsid w:val="00B611B3"/>
    <w:rsid w:val="00B64D7A"/>
    <w:rsid w:val="00B77E83"/>
    <w:rsid w:val="00BA5009"/>
    <w:rsid w:val="00BB0224"/>
    <w:rsid w:val="00BF0378"/>
    <w:rsid w:val="00C221A3"/>
    <w:rsid w:val="00C26BA6"/>
    <w:rsid w:val="00C7634F"/>
    <w:rsid w:val="00C93508"/>
    <w:rsid w:val="00CA55AC"/>
    <w:rsid w:val="00CE33F4"/>
    <w:rsid w:val="00CE5796"/>
    <w:rsid w:val="00D10FDD"/>
    <w:rsid w:val="00D57F1B"/>
    <w:rsid w:val="00D83331"/>
    <w:rsid w:val="00DD0E1A"/>
    <w:rsid w:val="00E22149"/>
    <w:rsid w:val="00E239C2"/>
    <w:rsid w:val="00E25645"/>
    <w:rsid w:val="00E33C8A"/>
    <w:rsid w:val="00E678CA"/>
    <w:rsid w:val="00E8561A"/>
    <w:rsid w:val="00E878B9"/>
    <w:rsid w:val="00E926D1"/>
    <w:rsid w:val="00EA3754"/>
    <w:rsid w:val="00EB31FD"/>
    <w:rsid w:val="00EE2596"/>
    <w:rsid w:val="00F10161"/>
    <w:rsid w:val="00F104BC"/>
    <w:rsid w:val="00F417C7"/>
    <w:rsid w:val="00F464EF"/>
    <w:rsid w:val="00F46DE1"/>
    <w:rsid w:val="00F50306"/>
    <w:rsid w:val="00F5326C"/>
    <w:rsid w:val="00F547B8"/>
    <w:rsid w:val="00F56B6A"/>
    <w:rsid w:val="00F61597"/>
    <w:rsid w:val="00F7510F"/>
    <w:rsid w:val="00F802FD"/>
    <w:rsid w:val="00FE1B25"/>
    <w:rsid w:val="00FE70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56F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36285"/>
    <w:pPr>
      <w:suppressAutoHyphens/>
      <w:autoSpaceDN w:val="0"/>
      <w:spacing w:after="0" w:line="240" w:lineRule="auto"/>
      <w:textAlignment w:val="baseline"/>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36285"/>
    <w:pPr>
      <w:tabs>
        <w:tab w:val="center" w:pos="4153"/>
        <w:tab w:val="right" w:pos="8306"/>
      </w:tabs>
    </w:pPr>
  </w:style>
  <w:style w:type="character" w:customStyle="1" w:styleId="FooterChar">
    <w:name w:val="Footer Char"/>
    <w:basedOn w:val="DefaultParagraphFont"/>
    <w:link w:val="Footer"/>
    <w:rsid w:val="00836285"/>
    <w:rPr>
      <w:rFonts w:eastAsia="Times New Roman" w:cs="Times New Roman"/>
      <w:szCs w:val="24"/>
      <w:lang w:eastAsia="lv-LV"/>
    </w:rPr>
  </w:style>
  <w:style w:type="character" w:styleId="PageNumber">
    <w:name w:val="page number"/>
    <w:basedOn w:val="DefaultParagraphFont"/>
    <w:rsid w:val="00836285"/>
  </w:style>
  <w:style w:type="character" w:styleId="Emphasis">
    <w:name w:val="Emphasis"/>
    <w:basedOn w:val="DefaultParagraphFont"/>
    <w:uiPriority w:val="20"/>
    <w:qFormat/>
    <w:rsid w:val="00EA3754"/>
    <w:rPr>
      <w:i/>
      <w:iCs/>
    </w:rPr>
  </w:style>
  <w:style w:type="table" w:styleId="TableGrid">
    <w:name w:val="Table Grid"/>
    <w:basedOn w:val="TableNormal"/>
    <w:uiPriority w:val="39"/>
    <w:rsid w:val="00281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4C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C2A"/>
    <w:rPr>
      <w:rFonts w:ascii="Segoe UI" w:eastAsia="Times New Roman" w:hAnsi="Segoe UI" w:cs="Segoe UI"/>
      <w:sz w:val="18"/>
      <w:szCs w:val="18"/>
      <w:lang w:eastAsia="lv-LV"/>
    </w:rPr>
  </w:style>
  <w:style w:type="character" w:styleId="Hyperlink">
    <w:name w:val="Hyperlink"/>
    <w:basedOn w:val="DefaultParagraphFont"/>
    <w:uiPriority w:val="99"/>
    <w:unhideWhenUsed/>
    <w:rsid w:val="003D7AC5"/>
    <w:rPr>
      <w:color w:val="0563C1" w:themeColor="hyperlink"/>
      <w:u w:val="single"/>
    </w:rPr>
  </w:style>
  <w:style w:type="character" w:styleId="UnresolvedMention">
    <w:name w:val="Unresolved Mention"/>
    <w:basedOn w:val="DefaultParagraphFont"/>
    <w:uiPriority w:val="99"/>
    <w:semiHidden/>
    <w:unhideWhenUsed/>
    <w:rsid w:val="003D7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1122.A420159215.7.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14092</Words>
  <Characters>8033</Characters>
  <Application>Microsoft Office Word</Application>
  <DocSecurity>0</DocSecurity>
  <Lines>66</Lines>
  <Paragraphs>44</Paragraphs>
  <ScaleCrop>false</ScaleCrop>
  <Company/>
  <LinksUpToDate>false</LinksUpToDate>
  <CharactersWithSpaces>22081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2019-12-10T09:56:00Z</dcterms:created>
  <dcterms:modified xsi:type="dcterms:W3CDTF">2019-12-10T09:56:00Z</dcterms:modified>
</cp:coreProperties>
</file>