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7A3AC" w14:textId="77777777" w:rsidR="00F53370" w:rsidRPr="00F53370" w:rsidRDefault="00F53370" w:rsidP="00F53370">
      <w:pPr>
        <w:spacing w:after="0" w:line="276" w:lineRule="auto"/>
        <w:jc w:val="both"/>
        <w:rPr>
          <w:rFonts w:ascii="Times New Roman" w:hAnsi="Times New Roman" w:cs="Times New Roman"/>
          <w:b/>
          <w:bCs/>
          <w:sz w:val="24"/>
          <w:szCs w:val="24"/>
        </w:rPr>
      </w:pPr>
      <w:r w:rsidRPr="00F53370">
        <w:rPr>
          <w:rFonts w:ascii="Times New Roman" w:hAnsi="Times New Roman" w:cs="Times New Roman"/>
          <w:b/>
          <w:bCs/>
          <w:sz w:val="24"/>
          <w:szCs w:val="24"/>
        </w:rPr>
        <w:t>Nodokļa maksātāja pienākuma pārbaudīt darījuma partneri robežas saistībā ar pievienotās vērtības nodokļa priekšnodokļa atskaitīšanas tiesību liegšanu</w:t>
      </w:r>
    </w:p>
    <w:p w14:paraId="176EB695" w14:textId="77777777" w:rsidR="00F53370" w:rsidRPr="00F53370" w:rsidRDefault="00F53370" w:rsidP="00F53370">
      <w:pPr>
        <w:spacing w:after="0" w:line="276" w:lineRule="auto"/>
        <w:jc w:val="both"/>
        <w:rPr>
          <w:rFonts w:ascii="Times New Roman" w:hAnsi="Times New Roman" w:cs="Times New Roman"/>
          <w:sz w:val="24"/>
          <w:szCs w:val="24"/>
        </w:rPr>
      </w:pPr>
      <w:r w:rsidRPr="00F53370">
        <w:rPr>
          <w:rFonts w:ascii="Times New Roman" w:hAnsi="Times New Roman" w:cs="Times New Roman"/>
          <w:sz w:val="24"/>
          <w:szCs w:val="24"/>
        </w:rPr>
        <w:t>1. Prasīt no nodokļu maksātāja, lai tas veic papildu pārbaudes, var tad, ja konkrētajos apstākļos nodokļu maksātājam vajadzēja rasties objektīvām šaubām par savu darījumu partneri un ja tādēļ bija pamatoti sagaidāms, ka nodokļu maksātājs noskaidros attiecīgo informāciju, lai šīs šaubas novērstu.</w:t>
      </w:r>
    </w:p>
    <w:p w14:paraId="0D5F3558" w14:textId="77777777" w:rsidR="00F53370" w:rsidRPr="00F53370" w:rsidRDefault="00F53370" w:rsidP="00F53370">
      <w:pPr>
        <w:spacing w:after="0" w:line="276" w:lineRule="auto"/>
        <w:jc w:val="both"/>
        <w:rPr>
          <w:rFonts w:ascii="Times New Roman" w:hAnsi="Times New Roman" w:cs="Times New Roman"/>
          <w:sz w:val="24"/>
          <w:szCs w:val="24"/>
        </w:rPr>
      </w:pPr>
      <w:r w:rsidRPr="00F53370">
        <w:rPr>
          <w:rFonts w:ascii="Times New Roman" w:hAnsi="Times New Roman" w:cs="Times New Roman"/>
          <w:sz w:val="24"/>
          <w:szCs w:val="24"/>
        </w:rPr>
        <w:t xml:space="preserve">Apstākļos, kad darījumus ir iespējams nokārtot bez savstarpējas saskarsmes un papildu informācijas apmaiņas, būtu īpaši jāpamato, kāpēc nodokļu maksātājam būtu jāizrāda lielāka interese par darījumu partneri, kas arī </w:t>
      </w:r>
      <w:bookmarkStart w:id="0" w:name="_GoBack"/>
      <w:bookmarkEnd w:id="0"/>
      <w:r w:rsidRPr="00F53370">
        <w:rPr>
          <w:rFonts w:ascii="Times New Roman" w:hAnsi="Times New Roman" w:cs="Times New Roman"/>
          <w:sz w:val="24"/>
          <w:szCs w:val="24"/>
        </w:rPr>
        <w:t>būtu pamats pieteicējai pārmest apzinātu iesaisti nelikumīgos darījumos.</w:t>
      </w:r>
    </w:p>
    <w:p w14:paraId="0B8ABB3D" w14:textId="30636EC2" w:rsidR="00F9097D" w:rsidRPr="00F53370" w:rsidRDefault="00F53370" w:rsidP="00F53370">
      <w:pPr>
        <w:spacing w:after="0" w:line="276" w:lineRule="auto"/>
        <w:jc w:val="both"/>
        <w:rPr>
          <w:rFonts w:ascii="Times New Roman" w:hAnsi="Times New Roman" w:cs="Times New Roman"/>
          <w:sz w:val="24"/>
          <w:szCs w:val="24"/>
        </w:rPr>
      </w:pPr>
      <w:r w:rsidRPr="00F53370">
        <w:rPr>
          <w:rFonts w:ascii="Times New Roman" w:hAnsi="Times New Roman" w:cs="Times New Roman"/>
          <w:sz w:val="24"/>
          <w:szCs w:val="24"/>
        </w:rPr>
        <w:t>2. Lai arī 2002.gada 28.janvāra Eiropas Parlamenta un Padomes regulas (EK) Nr. 178/2002, ar ko paredz vispārīgus pārtikas aprites tiesību aktu principus un prasības, izveido Eiropas Pārtikas nekaitīguma iestādi un paredz procedūras saistībā ar pārtikas nekaitīgumu 18.pants kopumā ir vērsts uz pārtikas izsekojamības mērķa sasniegšanu, tomēr uzņēmēja pienākums šā mērķa ietvaros ir vienīgi identificēt piegādātāju – tā nosaukumu un adresi. Uzņēmējam šā mērķa īstenošanai nav patstāvīgi jānoskaidro pārtikas izcelsme. Turklāt, ja arī piegādātāja identificēšanas pienākums netiek izpildīts, tas pats par sevi nevar būt pamats priekšnodokļa atskaitīšanas tiesību liegšanai.</w:t>
      </w:r>
    </w:p>
    <w:p w14:paraId="3FAE68CC" w14:textId="77777777" w:rsidR="00F9097D" w:rsidRPr="00F9097D" w:rsidRDefault="00F9097D" w:rsidP="00F9097D">
      <w:pPr>
        <w:spacing w:after="0" w:line="276" w:lineRule="auto"/>
        <w:jc w:val="right"/>
        <w:rPr>
          <w:rFonts w:ascii="Times New Roman" w:eastAsia="Times New Roman" w:hAnsi="Times New Roman" w:cs="Times New Roman"/>
          <w:sz w:val="24"/>
          <w:szCs w:val="24"/>
        </w:rPr>
      </w:pPr>
    </w:p>
    <w:p w14:paraId="21F5F587" w14:textId="45DB5CFA" w:rsidR="00773250" w:rsidRPr="00F9097D" w:rsidRDefault="00773250" w:rsidP="00F9097D">
      <w:pPr>
        <w:spacing w:after="0" w:line="276" w:lineRule="auto"/>
        <w:jc w:val="center"/>
        <w:rPr>
          <w:rFonts w:ascii="Times New Roman" w:eastAsia="Times New Roman" w:hAnsi="Times New Roman" w:cs="Times New Roman"/>
          <w:b/>
          <w:sz w:val="24"/>
          <w:szCs w:val="24"/>
        </w:rPr>
      </w:pPr>
      <w:r w:rsidRPr="00F9097D">
        <w:rPr>
          <w:rFonts w:ascii="Times New Roman" w:eastAsia="Times New Roman" w:hAnsi="Times New Roman" w:cs="Times New Roman"/>
          <w:b/>
          <w:sz w:val="24"/>
          <w:szCs w:val="24"/>
        </w:rPr>
        <w:t>Latvijas Republikas Senāt</w:t>
      </w:r>
      <w:r w:rsidR="00F9097D" w:rsidRPr="00F9097D">
        <w:rPr>
          <w:rFonts w:ascii="Times New Roman" w:eastAsia="Times New Roman" w:hAnsi="Times New Roman" w:cs="Times New Roman"/>
          <w:b/>
          <w:sz w:val="24"/>
          <w:szCs w:val="24"/>
        </w:rPr>
        <w:t>a</w:t>
      </w:r>
    </w:p>
    <w:p w14:paraId="7E2DD287" w14:textId="00BF253C" w:rsidR="00F9097D" w:rsidRDefault="00F9097D" w:rsidP="0077325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Administratīvo lietu departamenta</w:t>
      </w:r>
    </w:p>
    <w:p w14:paraId="400430A9" w14:textId="0BB486D5" w:rsidR="00F9097D" w:rsidRPr="00F9097D" w:rsidRDefault="00F9097D" w:rsidP="0077325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2019.gada 22.novembra</w:t>
      </w:r>
    </w:p>
    <w:p w14:paraId="73D91309" w14:textId="66544C09" w:rsidR="00773250" w:rsidRDefault="00773250" w:rsidP="00773250">
      <w:pPr>
        <w:spacing w:after="0" w:line="276" w:lineRule="auto"/>
        <w:jc w:val="center"/>
        <w:rPr>
          <w:rFonts w:ascii="Times New Roman" w:eastAsia="Times New Roman" w:hAnsi="Times New Roman" w:cs="Times New Roman"/>
          <w:b/>
          <w:sz w:val="24"/>
          <w:szCs w:val="24"/>
        </w:rPr>
      </w:pPr>
      <w:r w:rsidRPr="00F9097D">
        <w:rPr>
          <w:rFonts w:ascii="Times New Roman" w:eastAsia="Times New Roman" w:hAnsi="Times New Roman" w:cs="Times New Roman"/>
          <w:b/>
          <w:sz w:val="24"/>
          <w:szCs w:val="24"/>
        </w:rPr>
        <w:t>SPRIEDUMS</w:t>
      </w:r>
    </w:p>
    <w:p w14:paraId="4AF5F579" w14:textId="240D6AE6" w:rsidR="00F9097D" w:rsidRDefault="00F9097D" w:rsidP="0077325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Lieta Nr. A420549912, SKA-5/2019</w:t>
      </w:r>
    </w:p>
    <w:p w14:paraId="31CACFF3" w14:textId="33233250" w:rsidR="00F9097D" w:rsidRPr="00215852" w:rsidRDefault="005309AF" w:rsidP="00F9097D">
      <w:pPr>
        <w:spacing w:after="0" w:line="276" w:lineRule="auto"/>
        <w:jc w:val="center"/>
        <w:rPr>
          <w:rFonts w:ascii="Times New Roman" w:hAnsi="Times New Roman" w:cs="Times New Roman"/>
          <w:color w:val="0000FF"/>
          <w:sz w:val="24"/>
          <w:szCs w:val="24"/>
        </w:rPr>
      </w:pPr>
      <w:hyperlink r:id="rId6" w:history="1">
        <w:r w:rsidR="00F9097D" w:rsidRPr="00215852">
          <w:rPr>
            <w:rStyle w:val="Hyperlink"/>
            <w:rFonts w:ascii="Times New Roman" w:hAnsi="Times New Roman" w:cs="Times New Roman"/>
            <w:color w:val="0000FF"/>
            <w:sz w:val="24"/>
            <w:szCs w:val="24"/>
          </w:rPr>
          <w:t>ECLI:LV:AT:2019:1122.A420549912.4.S</w:t>
        </w:r>
      </w:hyperlink>
    </w:p>
    <w:p w14:paraId="71C0C4A4" w14:textId="77777777" w:rsidR="00773250" w:rsidRPr="00BA543E" w:rsidRDefault="00773250" w:rsidP="00773250">
      <w:pPr>
        <w:spacing w:after="0" w:line="276" w:lineRule="auto"/>
        <w:jc w:val="center"/>
        <w:rPr>
          <w:rFonts w:ascii="Times New Roman" w:eastAsia="Times New Roman" w:hAnsi="Times New Roman" w:cs="Times New Roman"/>
          <w:sz w:val="24"/>
        </w:rPr>
      </w:pPr>
    </w:p>
    <w:p w14:paraId="0B44BC52" w14:textId="77777777" w:rsidR="00773250" w:rsidRPr="00BA543E" w:rsidRDefault="00773250" w:rsidP="00773250">
      <w:pPr>
        <w:spacing w:after="0" w:line="276" w:lineRule="auto"/>
        <w:ind w:firstLine="567"/>
        <w:jc w:val="both"/>
        <w:rPr>
          <w:rFonts w:ascii="Times New Roman" w:eastAsia="Times New Roman" w:hAnsi="Times New Roman" w:cs="Times New Roman"/>
          <w:color w:val="000000"/>
          <w:sz w:val="24"/>
        </w:rPr>
      </w:pPr>
      <w:r w:rsidRPr="00BA543E">
        <w:rPr>
          <w:rFonts w:ascii="Times New Roman" w:eastAsia="Times New Roman" w:hAnsi="Times New Roman" w:cs="Times New Roman"/>
          <w:sz w:val="24"/>
        </w:rPr>
        <w:t xml:space="preserve">Tiesa šādā sastāvā: senatori </w:t>
      </w:r>
      <w:r w:rsidRPr="00BA543E">
        <w:rPr>
          <w:rFonts w:ascii="Times New Roman" w:eastAsia="Times New Roman" w:hAnsi="Times New Roman" w:cs="Times New Roman"/>
          <w:color w:val="000000"/>
          <w:sz w:val="24"/>
        </w:rPr>
        <w:t>Dzintra Amerika, Andris Guļāns, Vēsma Kakste</w:t>
      </w:r>
    </w:p>
    <w:p w14:paraId="66F94943" w14:textId="77777777" w:rsidR="00773250" w:rsidRPr="00BA543E" w:rsidRDefault="00773250" w:rsidP="00773250">
      <w:pPr>
        <w:spacing w:after="0" w:line="276" w:lineRule="auto"/>
        <w:jc w:val="both"/>
        <w:rPr>
          <w:rFonts w:ascii="Times New Roman" w:eastAsia="Times New Roman" w:hAnsi="Times New Roman" w:cs="Times New Roman"/>
          <w:sz w:val="24"/>
        </w:rPr>
      </w:pPr>
    </w:p>
    <w:p w14:paraId="047C8761"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rakstveida procesā izskatīja administratīvo lietu, kas ierosināta</w:t>
      </w:r>
      <w:r>
        <w:rPr>
          <w:rFonts w:ascii="Times New Roman" w:eastAsia="Times New Roman" w:hAnsi="Times New Roman" w:cs="Times New Roman"/>
          <w:sz w:val="24"/>
        </w:rPr>
        <w:t>, pamatojoties uz</w:t>
      </w:r>
      <w:r w:rsidRPr="00BA543E">
        <w:rPr>
          <w:rFonts w:ascii="Times New Roman" w:eastAsia="Times New Roman" w:hAnsi="Times New Roman" w:cs="Times New Roman"/>
          <w:sz w:val="24"/>
        </w:rPr>
        <w:t xml:space="preserve"> SIA</w:t>
      </w:r>
      <w:r>
        <w:rPr>
          <w:rFonts w:ascii="Times New Roman" w:eastAsia="Times New Roman" w:hAnsi="Times New Roman" w:cs="Times New Roman"/>
          <w:sz w:val="24"/>
        </w:rPr>
        <w:t> „</w:t>
      </w:r>
      <w:proofErr w:type="spellStart"/>
      <w:r>
        <w:rPr>
          <w:rFonts w:ascii="Times New Roman" w:eastAsia="Times New Roman" w:hAnsi="Times New Roman" w:cs="Times New Roman"/>
          <w:sz w:val="24"/>
        </w:rPr>
        <w:t>Altic</w:t>
      </w:r>
      <w:proofErr w:type="spellEnd"/>
      <w:r>
        <w:rPr>
          <w:rFonts w:ascii="Times New Roman" w:eastAsia="Times New Roman" w:hAnsi="Times New Roman" w:cs="Times New Roman"/>
          <w:sz w:val="24"/>
        </w:rPr>
        <w:t>” pieteikumu</w:t>
      </w:r>
      <w:r w:rsidRPr="00BA543E">
        <w:rPr>
          <w:rFonts w:ascii="Times New Roman" w:eastAsia="Times New Roman" w:hAnsi="Times New Roman" w:cs="Times New Roman"/>
          <w:sz w:val="24"/>
        </w:rPr>
        <w:t xml:space="preserve"> par </w:t>
      </w:r>
      <w:r w:rsidRPr="00BA543E">
        <w:rPr>
          <w:rFonts w:ascii="Times New Roman" w:eastAsia="Times New Roman" w:hAnsi="Times New Roman" w:cs="Times New Roman"/>
          <w:color w:val="000000"/>
          <w:sz w:val="24"/>
        </w:rPr>
        <w:t>Valsts ieņēmumu dienesta 2012.gada 14.septembra lēmuma Nr. 22.4.6/73132 atcelšanu</w:t>
      </w:r>
      <w:r w:rsidRPr="00BA543E">
        <w:rPr>
          <w:rFonts w:ascii="Times New Roman" w:eastAsia="Times New Roman" w:hAnsi="Times New Roman" w:cs="Times New Roman"/>
          <w:sz w:val="24"/>
        </w:rPr>
        <w:t xml:space="preserve">, sakarā ar Valsts ieņēmumu dienesta kasācijas sūdzību par Administratīvās apgabaltiesas 2015.gada </w:t>
      </w:r>
      <w:r w:rsidRPr="00BA543E">
        <w:rPr>
          <w:rFonts w:ascii="Times New Roman" w:eastAsia="Times New Roman" w:hAnsi="Times New Roman" w:cs="Times New Roman"/>
          <w:color w:val="000000"/>
          <w:sz w:val="24"/>
        </w:rPr>
        <w:t>21.oktobra</w:t>
      </w:r>
      <w:r w:rsidRPr="00BA543E">
        <w:rPr>
          <w:rFonts w:ascii="Times New Roman" w:eastAsia="Times New Roman" w:hAnsi="Times New Roman" w:cs="Times New Roman"/>
          <w:sz w:val="24"/>
        </w:rPr>
        <w:t xml:space="preserve"> spriedumu.</w:t>
      </w:r>
    </w:p>
    <w:p w14:paraId="38624744"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p>
    <w:p w14:paraId="2D54C9EE" w14:textId="77777777" w:rsidR="00773250" w:rsidRPr="00BA543E" w:rsidRDefault="00773250" w:rsidP="00773250">
      <w:pPr>
        <w:spacing w:after="0" w:line="276" w:lineRule="auto"/>
        <w:jc w:val="center"/>
        <w:rPr>
          <w:rFonts w:ascii="Times New Roman" w:eastAsia="Times New Roman" w:hAnsi="Times New Roman" w:cs="Times New Roman"/>
          <w:b/>
          <w:sz w:val="24"/>
        </w:rPr>
      </w:pPr>
      <w:r w:rsidRPr="00BA543E">
        <w:rPr>
          <w:rFonts w:ascii="Times New Roman" w:eastAsia="Times New Roman" w:hAnsi="Times New Roman" w:cs="Times New Roman"/>
          <w:b/>
          <w:sz w:val="24"/>
        </w:rPr>
        <w:t>Aprakstošā daļa</w:t>
      </w:r>
    </w:p>
    <w:p w14:paraId="28D37B37"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 xml:space="preserve"> </w:t>
      </w:r>
    </w:p>
    <w:p w14:paraId="542AB8F5"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color w:val="000000"/>
          <w:sz w:val="24"/>
        </w:rPr>
        <w:t xml:space="preserve">[1] Pieteicēja </w:t>
      </w:r>
      <w:r w:rsidRPr="00BA543E">
        <w:rPr>
          <w:rFonts w:ascii="Times New Roman" w:eastAsia="Times New Roman" w:hAnsi="Times New Roman" w:cs="Times New Roman"/>
          <w:sz w:val="24"/>
        </w:rPr>
        <w:t>SIA „</w:t>
      </w:r>
      <w:proofErr w:type="spellStart"/>
      <w:r w:rsidRPr="00BA543E">
        <w:rPr>
          <w:rFonts w:ascii="Times New Roman" w:eastAsia="Times New Roman" w:hAnsi="Times New Roman" w:cs="Times New Roman"/>
          <w:sz w:val="24"/>
        </w:rPr>
        <w:t>Altic</w:t>
      </w:r>
      <w:proofErr w:type="spellEnd"/>
      <w:r w:rsidRPr="00BA543E">
        <w:rPr>
          <w:rFonts w:ascii="Times New Roman" w:eastAsia="Times New Roman" w:hAnsi="Times New Roman" w:cs="Times New Roman"/>
          <w:sz w:val="24"/>
        </w:rPr>
        <w:t xml:space="preserve">” </w:t>
      </w:r>
      <w:r w:rsidRPr="00BA543E">
        <w:rPr>
          <w:rFonts w:ascii="Times New Roman" w:eastAsia="Times New Roman" w:hAnsi="Times New Roman" w:cs="Times New Roman"/>
          <w:color w:val="000000"/>
          <w:sz w:val="24"/>
        </w:rPr>
        <w:t xml:space="preserve">2011.gada jūlijā – augustā </w:t>
      </w:r>
      <w:r w:rsidRPr="00BA543E">
        <w:rPr>
          <w:rFonts w:ascii="Times New Roman" w:eastAsia="Times New Roman" w:hAnsi="Times New Roman" w:cs="Times New Roman"/>
          <w:sz w:val="24"/>
        </w:rPr>
        <w:t xml:space="preserve">no </w:t>
      </w:r>
      <w:r w:rsidRPr="00BA543E">
        <w:rPr>
          <w:rFonts w:ascii="Times New Roman" w:eastAsia="Times New Roman" w:hAnsi="Times New Roman" w:cs="Times New Roman"/>
          <w:color w:val="000000"/>
          <w:sz w:val="24"/>
        </w:rPr>
        <w:t>SIA „</w:t>
      </w:r>
      <w:proofErr w:type="spellStart"/>
      <w:r w:rsidRPr="00BA543E">
        <w:rPr>
          <w:rFonts w:ascii="Times New Roman" w:eastAsia="Times New Roman" w:hAnsi="Times New Roman" w:cs="Times New Roman"/>
          <w:color w:val="000000"/>
          <w:sz w:val="24"/>
        </w:rPr>
        <w:t>Sakorex</w:t>
      </w:r>
      <w:proofErr w:type="spellEnd"/>
      <w:r w:rsidRPr="00BA543E">
        <w:rPr>
          <w:rFonts w:ascii="Times New Roman" w:eastAsia="Times New Roman" w:hAnsi="Times New Roman" w:cs="Times New Roman"/>
          <w:color w:val="000000"/>
          <w:sz w:val="24"/>
        </w:rPr>
        <w:t>” un 2011.gada oktobrī no SIA „</w:t>
      </w:r>
      <w:proofErr w:type="spellStart"/>
      <w:r w:rsidRPr="00BA543E">
        <w:rPr>
          <w:rFonts w:ascii="Times New Roman" w:eastAsia="Times New Roman" w:hAnsi="Times New Roman" w:cs="Times New Roman"/>
          <w:color w:val="000000"/>
          <w:sz w:val="24"/>
        </w:rPr>
        <w:t>Ulmar</w:t>
      </w:r>
      <w:proofErr w:type="spellEnd"/>
      <w:r w:rsidRPr="00BA543E">
        <w:rPr>
          <w:rFonts w:ascii="Times New Roman" w:eastAsia="Times New Roman" w:hAnsi="Times New Roman" w:cs="Times New Roman"/>
          <w:color w:val="000000"/>
          <w:sz w:val="24"/>
        </w:rPr>
        <w:t xml:space="preserve">” </w:t>
      </w:r>
      <w:r w:rsidRPr="00BA543E">
        <w:rPr>
          <w:rFonts w:ascii="Times New Roman" w:eastAsia="Times New Roman" w:hAnsi="Times New Roman" w:cs="Times New Roman"/>
          <w:sz w:val="24"/>
        </w:rPr>
        <w:t xml:space="preserve">iegādājās </w:t>
      </w:r>
      <w:r w:rsidRPr="00BA543E">
        <w:rPr>
          <w:rFonts w:ascii="Times New Roman" w:eastAsia="Times New Roman" w:hAnsi="Times New Roman" w:cs="Times New Roman"/>
          <w:color w:val="000000"/>
          <w:sz w:val="24"/>
        </w:rPr>
        <w:t>rapša sēklu, to pieņemot un uzglabājot SIA „</w:t>
      </w:r>
      <w:proofErr w:type="spellStart"/>
      <w:r w:rsidRPr="00BA543E">
        <w:rPr>
          <w:rFonts w:ascii="Times New Roman" w:eastAsia="Times New Roman" w:hAnsi="Times New Roman" w:cs="Times New Roman"/>
          <w:color w:val="000000"/>
          <w:sz w:val="24"/>
        </w:rPr>
        <w:t>Vendo</w:t>
      </w:r>
      <w:proofErr w:type="spellEnd"/>
      <w:r w:rsidRPr="00BA543E">
        <w:rPr>
          <w:rFonts w:ascii="Times New Roman" w:eastAsia="Times New Roman" w:hAnsi="Times New Roman" w:cs="Times New Roman"/>
          <w:color w:val="000000"/>
          <w:sz w:val="24"/>
        </w:rPr>
        <w:t xml:space="preserve">” noliktavā (elevatorā). Par minētajiem darījumiem pieteicēja atskaitīja priekšnodokli. </w:t>
      </w:r>
    </w:p>
    <w:p w14:paraId="06066FE4"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p>
    <w:p w14:paraId="3FFF2BFC"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 xml:space="preserve">[2] Valsts ieņēmumu dienests veica pieteicējai pievienotās vērtības nodokļa auditu. Dienests konstatēja, ka pieteicējas darījumi ar </w:t>
      </w:r>
      <w:r w:rsidRPr="00BA543E">
        <w:rPr>
          <w:rFonts w:ascii="Times New Roman" w:eastAsia="Times New Roman" w:hAnsi="Times New Roman" w:cs="Times New Roman"/>
          <w:color w:val="000000"/>
          <w:sz w:val="24"/>
        </w:rPr>
        <w:t>SIA „</w:t>
      </w:r>
      <w:proofErr w:type="spellStart"/>
      <w:r w:rsidRPr="00BA543E">
        <w:rPr>
          <w:rFonts w:ascii="Times New Roman" w:eastAsia="Times New Roman" w:hAnsi="Times New Roman" w:cs="Times New Roman"/>
          <w:color w:val="000000"/>
          <w:sz w:val="24"/>
        </w:rPr>
        <w:t>Sakorex</w:t>
      </w:r>
      <w:proofErr w:type="spellEnd"/>
      <w:r w:rsidRPr="00BA543E">
        <w:rPr>
          <w:rFonts w:ascii="Times New Roman" w:eastAsia="Times New Roman" w:hAnsi="Times New Roman" w:cs="Times New Roman"/>
          <w:color w:val="000000"/>
          <w:sz w:val="24"/>
        </w:rPr>
        <w:t>” un SIA „</w:t>
      </w:r>
      <w:proofErr w:type="spellStart"/>
      <w:r w:rsidRPr="00BA543E">
        <w:rPr>
          <w:rFonts w:ascii="Times New Roman" w:eastAsia="Times New Roman" w:hAnsi="Times New Roman" w:cs="Times New Roman"/>
          <w:color w:val="000000"/>
          <w:sz w:val="24"/>
        </w:rPr>
        <w:t>Ulmar</w:t>
      </w:r>
      <w:proofErr w:type="spellEnd"/>
      <w:r w:rsidRPr="00BA543E">
        <w:rPr>
          <w:rFonts w:ascii="Times New Roman" w:eastAsia="Times New Roman" w:hAnsi="Times New Roman" w:cs="Times New Roman"/>
          <w:color w:val="000000"/>
          <w:sz w:val="24"/>
        </w:rPr>
        <w:t xml:space="preserve">” nav notikuši. </w:t>
      </w:r>
      <w:r w:rsidRPr="00BA543E">
        <w:rPr>
          <w:rFonts w:ascii="Times New Roman" w:eastAsia="Times New Roman" w:hAnsi="Times New Roman" w:cs="Times New Roman"/>
          <w:sz w:val="24"/>
        </w:rPr>
        <w:t xml:space="preserve">Dienests ar </w:t>
      </w:r>
      <w:r w:rsidRPr="00BA543E">
        <w:rPr>
          <w:rFonts w:ascii="Times New Roman" w:eastAsia="Times New Roman" w:hAnsi="Times New Roman" w:cs="Times New Roman"/>
          <w:color w:val="000000"/>
          <w:sz w:val="24"/>
        </w:rPr>
        <w:t>2012.gada 14.septembra lēmumu Nr. 22.4.6/73132 uzlika pienākumu pieteicējai samaksāt pievienotās vērtības nodokli, soda naudu un nokavējuma naudu.</w:t>
      </w:r>
    </w:p>
    <w:p w14:paraId="3B473831"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Pieteicēja iesniedza pieteikumu tiesā par minētā Valsts ieņēmumu dienesta lēmuma atcelšanu.</w:t>
      </w:r>
    </w:p>
    <w:p w14:paraId="36437AE1"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p>
    <w:p w14:paraId="55CDE3BA"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lastRenderedPageBreak/>
        <w:t>[</w:t>
      </w:r>
      <w:r>
        <w:rPr>
          <w:rFonts w:ascii="Times New Roman" w:eastAsia="Times New Roman" w:hAnsi="Times New Roman" w:cs="Times New Roman"/>
          <w:sz w:val="24"/>
        </w:rPr>
        <w:t>3</w:t>
      </w:r>
      <w:r w:rsidRPr="00BA543E">
        <w:rPr>
          <w:rFonts w:ascii="Times New Roman" w:eastAsia="Times New Roman" w:hAnsi="Times New Roman" w:cs="Times New Roman"/>
          <w:sz w:val="24"/>
        </w:rPr>
        <w:t xml:space="preserve">] Izskatot lietu apelācijas kārtībā, ar Administratīvās apgabaltiesas 2015.gada </w:t>
      </w:r>
      <w:r w:rsidRPr="00BA543E">
        <w:rPr>
          <w:rFonts w:ascii="Times New Roman" w:eastAsia="Times New Roman" w:hAnsi="Times New Roman" w:cs="Times New Roman"/>
          <w:color w:val="000000"/>
          <w:sz w:val="24"/>
        </w:rPr>
        <w:t>21.oktobra</w:t>
      </w:r>
      <w:r w:rsidRPr="00BA543E">
        <w:rPr>
          <w:rFonts w:ascii="Times New Roman" w:eastAsia="Times New Roman" w:hAnsi="Times New Roman" w:cs="Times New Roman"/>
          <w:sz w:val="24"/>
        </w:rPr>
        <w:t xml:space="preserve"> spriedumu pieteikums apmierināts</w:t>
      </w:r>
      <w:r w:rsidRPr="00BA543E">
        <w:rPr>
          <w:rFonts w:ascii="Times New Roman" w:eastAsia="Times New Roman" w:hAnsi="Times New Roman" w:cs="Times New Roman"/>
          <w:color w:val="000000"/>
          <w:sz w:val="24"/>
        </w:rPr>
        <w:t xml:space="preserve">. Apgabaltiesas spriedums, </w:t>
      </w:r>
      <w:proofErr w:type="spellStart"/>
      <w:r>
        <w:rPr>
          <w:rFonts w:ascii="Times New Roman" w:eastAsia="Times New Roman" w:hAnsi="Times New Roman" w:cs="Times New Roman"/>
          <w:color w:val="000000"/>
          <w:sz w:val="24"/>
        </w:rPr>
        <w:t>citstarp</w:t>
      </w:r>
      <w:proofErr w:type="spellEnd"/>
      <w:r w:rsidRPr="00BA543E">
        <w:rPr>
          <w:rFonts w:ascii="Times New Roman" w:eastAsia="Times New Roman" w:hAnsi="Times New Roman" w:cs="Times New Roman"/>
          <w:color w:val="000000"/>
          <w:sz w:val="24"/>
        </w:rPr>
        <w:t xml:space="preserve"> pievienojoties pirmās instances tiesas sprieduma motivācijai, pamatots ar šādiem argumentiem</w:t>
      </w:r>
      <w:r w:rsidRPr="00BA543E">
        <w:rPr>
          <w:rFonts w:ascii="Times New Roman" w:eastAsia="Times New Roman" w:hAnsi="Times New Roman" w:cs="Times New Roman"/>
          <w:sz w:val="24"/>
        </w:rPr>
        <w:t>.</w:t>
      </w:r>
    </w:p>
    <w:p w14:paraId="56A6362E"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NewRomanPSMT" w:hAnsi="Times New Roman" w:cs="Times New Roman"/>
          <w:sz w:val="24"/>
        </w:rPr>
        <w:t>[</w:t>
      </w:r>
      <w:r>
        <w:rPr>
          <w:rFonts w:ascii="Times New Roman" w:eastAsia="TimesNewRomanPSMT" w:hAnsi="Times New Roman" w:cs="Times New Roman"/>
          <w:sz w:val="24"/>
        </w:rPr>
        <w:t>3</w:t>
      </w:r>
      <w:r w:rsidRPr="00BA543E">
        <w:rPr>
          <w:rFonts w:ascii="Times New Roman" w:eastAsia="TimesNewRomanPSMT" w:hAnsi="Times New Roman" w:cs="Times New Roman"/>
          <w:sz w:val="24"/>
        </w:rPr>
        <w:t>.1] Valsts ie</w:t>
      </w:r>
      <w:r w:rsidRPr="00BA543E">
        <w:rPr>
          <w:rFonts w:ascii="Times New Roman" w:eastAsia="Arial" w:hAnsi="Times New Roman" w:cs="Times New Roman"/>
          <w:sz w:val="24"/>
        </w:rPr>
        <w:t>ņē</w:t>
      </w:r>
      <w:r w:rsidRPr="00BA543E">
        <w:rPr>
          <w:rFonts w:ascii="Times New Roman" w:eastAsia="TimesNewRomanPSMT" w:hAnsi="Times New Roman" w:cs="Times New Roman"/>
          <w:sz w:val="24"/>
        </w:rPr>
        <w:t>mumu dienests ne audita p</w:t>
      </w:r>
      <w:r w:rsidRPr="00BA543E">
        <w:rPr>
          <w:rFonts w:ascii="Times New Roman" w:eastAsia="Arial" w:hAnsi="Times New Roman" w:cs="Times New Roman"/>
          <w:sz w:val="24"/>
        </w:rPr>
        <w:t>ā</w:t>
      </w:r>
      <w:r w:rsidRPr="00BA543E">
        <w:rPr>
          <w:rFonts w:ascii="Times New Roman" w:eastAsia="TimesNewRomanPSMT" w:hAnsi="Times New Roman" w:cs="Times New Roman"/>
          <w:sz w:val="24"/>
        </w:rPr>
        <w:t>rskat</w:t>
      </w:r>
      <w:r w:rsidRPr="00BA543E">
        <w:rPr>
          <w:rFonts w:ascii="Times New Roman" w:eastAsia="Times New Roman" w:hAnsi="Times New Roman" w:cs="Times New Roman"/>
          <w:sz w:val="24"/>
        </w:rPr>
        <w:t>ā, ne arī lēmumā nav norādījis, ka apšauba faktu, ka prece (rapsis) SIA „</w:t>
      </w:r>
      <w:proofErr w:type="spellStart"/>
      <w:r w:rsidRPr="00BA543E">
        <w:rPr>
          <w:rFonts w:ascii="Times New Roman" w:eastAsia="Times New Roman" w:hAnsi="Times New Roman" w:cs="Times New Roman"/>
          <w:sz w:val="24"/>
        </w:rPr>
        <w:t>Vendo</w:t>
      </w:r>
      <w:proofErr w:type="spellEnd"/>
      <w:r w:rsidRPr="00BA543E">
        <w:rPr>
          <w:rFonts w:ascii="Times New Roman" w:eastAsia="Times New Roman" w:hAnsi="Times New Roman" w:cs="Times New Roman"/>
          <w:sz w:val="24"/>
        </w:rPr>
        <w:t xml:space="preserve">” elevatorā tika saņemta, kā arī nav norādījis uz pierādījumiem, kas apliecinātu preces faktisko neesību, t.i., ka darījumi būtu noformēti tikai dokumentāri. </w:t>
      </w:r>
    </w:p>
    <w:p w14:paraId="417953DC" w14:textId="77777777" w:rsidR="00773250" w:rsidRPr="00BA543E" w:rsidRDefault="00773250" w:rsidP="00773250">
      <w:pPr>
        <w:spacing w:after="0" w:line="276" w:lineRule="auto"/>
        <w:ind w:firstLine="567"/>
        <w:jc w:val="both"/>
        <w:rPr>
          <w:rFonts w:ascii="Times New Roman" w:eastAsia="Calibri" w:hAnsi="Times New Roman" w:cs="Times New Roman"/>
          <w:sz w:val="24"/>
        </w:rPr>
      </w:pPr>
      <w:r w:rsidRPr="00BA543E">
        <w:rPr>
          <w:rFonts w:ascii="Times New Roman" w:eastAsia="Calibri" w:hAnsi="Times New Roman" w:cs="Times New Roman"/>
          <w:sz w:val="24"/>
        </w:rPr>
        <w:t>Šajā gadījumā nerodas šaubas, ka prece SIA „</w:t>
      </w:r>
      <w:proofErr w:type="spellStart"/>
      <w:r w:rsidRPr="00BA543E">
        <w:rPr>
          <w:rFonts w:ascii="Times New Roman" w:eastAsia="Calibri" w:hAnsi="Times New Roman" w:cs="Times New Roman"/>
          <w:sz w:val="24"/>
        </w:rPr>
        <w:t>Vendo</w:t>
      </w:r>
      <w:proofErr w:type="spellEnd"/>
      <w:r w:rsidRPr="00BA543E">
        <w:rPr>
          <w:rFonts w:ascii="Times New Roman" w:eastAsia="Calibri" w:hAnsi="Times New Roman" w:cs="Times New Roman"/>
          <w:sz w:val="24"/>
        </w:rPr>
        <w:t>” elevatorā, Kapsēdes ielā 3, Liepājā</w:t>
      </w:r>
      <w:r>
        <w:rPr>
          <w:rFonts w:ascii="Times New Roman" w:eastAsia="Calibri" w:hAnsi="Times New Roman" w:cs="Times New Roman"/>
          <w:sz w:val="24"/>
        </w:rPr>
        <w:t>,</w:t>
      </w:r>
      <w:r w:rsidRPr="00BA543E">
        <w:rPr>
          <w:rFonts w:ascii="Times New Roman" w:eastAsia="Calibri" w:hAnsi="Times New Roman" w:cs="Times New Roman"/>
          <w:sz w:val="24"/>
        </w:rPr>
        <w:t xml:space="preserve"> faktiski tika piegādāta pavaddokumentos norādītajos datumos un daudzumā. </w:t>
      </w:r>
    </w:p>
    <w:p w14:paraId="6692EDE5" w14:textId="77777777" w:rsidR="00773250" w:rsidRPr="00EF733E" w:rsidRDefault="00773250" w:rsidP="00773250">
      <w:pPr>
        <w:spacing w:after="0" w:line="276" w:lineRule="auto"/>
        <w:ind w:firstLine="567"/>
        <w:jc w:val="both"/>
        <w:rPr>
          <w:rFonts w:ascii="Times New Roman" w:eastAsia="Calibri" w:hAnsi="Times New Roman" w:cs="Times New Roman"/>
          <w:sz w:val="24"/>
        </w:rPr>
      </w:pPr>
      <w:r w:rsidRPr="00BA543E">
        <w:rPr>
          <w:rFonts w:ascii="Times New Roman" w:eastAsia="TimesNewRomanPSMT" w:hAnsi="Times New Roman" w:cs="Times New Roman"/>
          <w:sz w:val="24"/>
        </w:rPr>
        <w:t>[</w:t>
      </w:r>
      <w:r>
        <w:rPr>
          <w:rFonts w:ascii="Times New Roman" w:eastAsia="TimesNewRomanPSMT" w:hAnsi="Times New Roman" w:cs="Times New Roman"/>
          <w:sz w:val="24"/>
        </w:rPr>
        <w:t>3</w:t>
      </w:r>
      <w:r w:rsidRPr="00BA543E">
        <w:rPr>
          <w:rFonts w:ascii="Times New Roman" w:eastAsia="TimesNewRomanPSMT" w:hAnsi="Times New Roman" w:cs="Times New Roman"/>
          <w:sz w:val="24"/>
        </w:rPr>
        <w:t>.2]</w:t>
      </w:r>
      <w:r>
        <w:rPr>
          <w:rFonts w:ascii="Times New Roman" w:eastAsia="TimesNewRomanPSMT" w:hAnsi="Times New Roman" w:cs="Times New Roman"/>
          <w:sz w:val="24"/>
        </w:rPr>
        <w:t> </w:t>
      </w:r>
      <w:r w:rsidRPr="00BA543E">
        <w:rPr>
          <w:rFonts w:ascii="Times New Roman" w:eastAsia="TimesNewRomanPSMT" w:hAnsi="Times New Roman" w:cs="Times New Roman"/>
          <w:sz w:val="24"/>
        </w:rPr>
        <w:t>Apst</w:t>
      </w:r>
      <w:r w:rsidRPr="00BA543E">
        <w:rPr>
          <w:rFonts w:ascii="Times New Roman" w:eastAsia="Arial" w:hAnsi="Times New Roman" w:cs="Times New Roman"/>
          <w:sz w:val="24"/>
        </w:rPr>
        <w:t>ā</w:t>
      </w:r>
      <w:r w:rsidRPr="00BA543E">
        <w:rPr>
          <w:rFonts w:ascii="Times New Roman" w:eastAsia="TimesNewRomanPSMT" w:hAnsi="Times New Roman" w:cs="Times New Roman"/>
          <w:sz w:val="24"/>
        </w:rPr>
        <w:t>klim, ka pavadz</w:t>
      </w:r>
      <w:r w:rsidRPr="00BA543E">
        <w:rPr>
          <w:rFonts w:ascii="Times New Roman" w:eastAsia="Calibri" w:hAnsi="Times New Roman" w:cs="Times New Roman"/>
          <w:sz w:val="24"/>
        </w:rPr>
        <w:t xml:space="preserve">īmēs nav norādīta preču piegādes vieta, nav izšķirošas nozīmes, jo tā ir norādīta piegādes līgumos un </w:t>
      </w:r>
      <w:r>
        <w:rPr>
          <w:rFonts w:ascii="Times New Roman" w:eastAsia="Calibri" w:hAnsi="Times New Roman" w:cs="Times New Roman"/>
          <w:sz w:val="24"/>
        </w:rPr>
        <w:t>starptautiskajās pavadzīmēs (</w:t>
      </w:r>
      <w:r w:rsidRPr="00BA543E">
        <w:rPr>
          <w:rFonts w:ascii="Times New Roman" w:eastAsia="Calibri" w:hAnsi="Times New Roman" w:cs="Times New Roman"/>
          <w:sz w:val="24"/>
        </w:rPr>
        <w:t>CMR</w:t>
      </w:r>
      <w:r>
        <w:rPr>
          <w:rFonts w:ascii="Times New Roman" w:eastAsia="Calibri" w:hAnsi="Times New Roman" w:cs="Times New Roman"/>
          <w:sz w:val="24"/>
        </w:rPr>
        <w:t>)</w:t>
      </w:r>
      <w:r w:rsidRPr="00BA543E">
        <w:rPr>
          <w:rFonts w:ascii="Times New Roman" w:eastAsia="Calibri" w:hAnsi="Times New Roman" w:cs="Times New Roman"/>
          <w:sz w:val="24"/>
        </w:rPr>
        <w:t xml:space="preserve">. Savukārt preču piegādes rēķinos kā grāmatvedības attaisnojuma dokumentos preču saņemšanas vieta ir norādīta pareizi. </w:t>
      </w:r>
    </w:p>
    <w:p w14:paraId="2DBD5544" w14:textId="77777777" w:rsidR="00773250" w:rsidRPr="00BA543E" w:rsidRDefault="00773250" w:rsidP="00773250">
      <w:pPr>
        <w:spacing w:after="0" w:line="276" w:lineRule="auto"/>
        <w:ind w:firstLine="567"/>
        <w:jc w:val="both"/>
        <w:rPr>
          <w:rFonts w:ascii="Times New Roman" w:eastAsia="Calibri" w:hAnsi="Times New Roman" w:cs="Times New Roman"/>
          <w:sz w:val="24"/>
        </w:rPr>
      </w:pPr>
      <w:r>
        <w:rPr>
          <w:rFonts w:ascii="Times New Roman" w:eastAsia="TimesNewRomanPSMT" w:hAnsi="Times New Roman" w:cs="Times New Roman"/>
          <w:sz w:val="24"/>
        </w:rPr>
        <w:t>[3.3] </w:t>
      </w:r>
      <w:r w:rsidRPr="00BA543E">
        <w:rPr>
          <w:rFonts w:ascii="Times New Roman" w:eastAsia="TimesNewRomanPSMT" w:hAnsi="Times New Roman" w:cs="Times New Roman"/>
          <w:sz w:val="24"/>
        </w:rPr>
        <w:t>SIA „</w:t>
      </w:r>
      <w:proofErr w:type="spellStart"/>
      <w:r w:rsidRPr="00BA543E">
        <w:rPr>
          <w:rFonts w:ascii="Times New Roman" w:eastAsia="TimesNewRomanPSMT" w:hAnsi="Times New Roman" w:cs="Times New Roman"/>
          <w:sz w:val="24"/>
        </w:rPr>
        <w:t>Sakorex</w:t>
      </w:r>
      <w:proofErr w:type="spellEnd"/>
      <w:r w:rsidRPr="00BA543E">
        <w:rPr>
          <w:rFonts w:ascii="Times New Roman" w:eastAsia="TimesNewRomanPSMT" w:hAnsi="Times New Roman" w:cs="Times New Roman"/>
          <w:sz w:val="24"/>
        </w:rPr>
        <w:t>” un SIA „</w:t>
      </w:r>
      <w:proofErr w:type="spellStart"/>
      <w:r w:rsidRPr="00BA543E">
        <w:rPr>
          <w:rFonts w:ascii="Times New Roman" w:eastAsia="TimesNewRomanPSMT" w:hAnsi="Times New Roman" w:cs="Times New Roman"/>
          <w:sz w:val="24"/>
        </w:rPr>
        <w:t>Ulmar</w:t>
      </w:r>
      <w:proofErr w:type="spellEnd"/>
      <w:r w:rsidRPr="00BA543E">
        <w:rPr>
          <w:rFonts w:ascii="Times New Roman" w:eastAsia="TimesNewRomanPSMT" w:hAnsi="Times New Roman" w:cs="Times New Roman"/>
          <w:sz w:val="24"/>
        </w:rPr>
        <w:t>” amatpersonas noliedz tie</w:t>
      </w:r>
      <w:r w:rsidRPr="00BA543E">
        <w:rPr>
          <w:rFonts w:ascii="Times New Roman" w:eastAsia="Arial" w:hAnsi="Times New Roman" w:cs="Times New Roman"/>
          <w:sz w:val="24"/>
        </w:rPr>
        <w:t>š</w:t>
      </w:r>
      <w:r w:rsidRPr="00BA543E">
        <w:rPr>
          <w:rFonts w:ascii="Times New Roman" w:eastAsia="TimesNewRomanPSMT" w:hAnsi="Times New Roman" w:cs="Times New Roman"/>
          <w:sz w:val="24"/>
        </w:rPr>
        <w:t>u dal</w:t>
      </w:r>
      <w:r w:rsidRPr="00BA543E">
        <w:rPr>
          <w:rFonts w:ascii="Times New Roman" w:eastAsia="Calibri" w:hAnsi="Times New Roman" w:cs="Times New Roman"/>
          <w:sz w:val="24"/>
        </w:rPr>
        <w:t>ību darījumos ar pieteicēju, tomēr neizslēdz iespēju, ka komercsabiedrības darījumus faktiski veikušas.</w:t>
      </w:r>
    </w:p>
    <w:p w14:paraId="537CDAD5" w14:textId="77777777" w:rsidR="00773250" w:rsidRPr="00BA543E" w:rsidRDefault="00773250" w:rsidP="00773250">
      <w:pPr>
        <w:spacing w:after="0" w:line="276" w:lineRule="auto"/>
        <w:ind w:firstLine="567"/>
        <w:jc w:val="both"/>
        <w:rPr>
          <w:rFonts w:ascii="Times New Roman" w:eastAsia="Calibri" w:hAnsi="Times New Roman" w:cs="Times New Roman"/>
          <w:sz w:val="24"/>
        </w:rPr>
      </w:pPr>
      <w:r w:rsidRPr="00BA543E">
        <w:rPr>
          <w:rFonts w:ascii="Times New Roman" w:eastAsia="TimesNewRomanPSMT" w:hAnsi="Times New Roman" w:cs="Times New Roman"/>
          <w:sz w:val="24"/>
        </w:rPr>
        <w:t>[</w:t>
      </w:r>
      <w:r>
        <w:rPr>
          <w:rFonts w:ascii="Times New Roman" w:eastAsia="TimesNewRomanPSMT" w:hAnsi="Times New Roman" w:cs="Times New Roman"/>
          <w:sz w:val="24"/>
        </w:rPr>
        <w:t>3</w:t>
      </w:r>
      <w:r w:rsidRPr="00BA543E">
        <w:rPr>
          <w:rFonts w:ascii="Times New Roman" w:eastAsia="TimesNewRomanPSMT" w:hAnsi="Times New Roman" w:cs="Times New Roman"/>
          <w:sz w:val="24"/>
        </w:rPr>
        <w:t>.</w:t>
      </w:r>
      <w:r>
        <w:rPr>
          <w:rFonts w:ascii="Times New Roman" w:eastAsia="TimesNewRomanPSMT" w:hAnsi="Times New Roman" w:cs="Times New Roman"/>
          <w:sz w:val="24"/>
        </w:rPr>
        <w:t>4</w:t>
      </w:r>
      <w:r w:rsidRPr="00BA543E">
        <w:rPr>
          <w:rFonts w:ascii="Times New Roman" w:eastAsia="TimesNewRomanPSMT" w:hAnsi="Times New Roman" w:cs="Times New Roman"/>
          <w:sz w:val="24"/>
        </w:rPr>
        <w:t>] </w:t>
      </w:r>
      <w:r w:rsidRPr="00BA543E">
        <w:rPr>
          <w:rFonts w:ascii="Times New Roman" w:eastAsia="Arial" w:hAnsi="Times New Roman" w:cs="Times New Roman"/>
          <w:sz w:val="24"/>
        </w:rPr>
        <w:t>Š</w:t>
      </w:r>
      <w:r w:rsidRPr="00BA543E">
        <w:rPr>
          <w:rFonts w:ascii="Times New Roman" w:eastAsia="TimesNewRomanPSMT" w:hAnsi="Times New Roman" w:cs="Times New Roman"/>
          <w:sz w:val="24"/>
        </w:rPr>
        <w:t>aj</w:t>
      </w:r>
      <w:r w:rsidRPr="00BA543E">
        <w:rPr>
          <w:rFonts w:ascii="Times New Roman" w:eastAsia="Calibri" w:hAnsi="Times New Roman" w:cs="Times New Roman"/>
          <w:sz w:val="24"/>
        </w:rPr>
        <w:t>ā gadījumā darījumu raksturs nepra</w:t>
      </w:r>
      <w:r>
        <w:rPr>
          <w:rFonts w:ascii="Times New Roman" w:eastAsia="Calibri" w:hAnsi="Times New Roman" w:cs="Times New Roman"/>
          <w:sz w:val="24"/>
        </w:rPr>
        <w:t>sīja pārliecināties par darījumu</w:t>
      </w:r>
      <w:r w:rsidRPr="00BA543E">
        <w:rPr>
          <w:rFonts w:ascii="Times New Roman" w:eastAsia="Calibri" w:hAnsi="Times New Roman" w:cs="Times New Roman"/>
          <w:sz w:val="24"/>
        </w:rPr>
        <w:t xml:space="preserve"> partneru spēju sniegt pakalpojumus, jo preču piegādi veica pārdevējs uz līgumā norādīto preču piegādes vietu. Preču piegādes veicējs – pārvadātājs – nenoliedz pārvadājumu veikšanu, un lietā ir dokumenti par pārvadājumu norisi. Turklāt, kā izriet no noslēgtā līguma starp pieteicēju un SIA „</w:t>
      </w:r>
      <w:proofErr w:type="spellStart"/>
      <w:r w:rsidRPr="00BA543E">
        <w:rPr>
          <w:rFonts w:ascii="Times New Roman" w:eastAsia="Calibri" w:hAnsi="Times New Roman" w:cs="Times New Roman"/>
          <w:sz w:val="24"/>
        </w:rPr>
        <w:t>Vendo</w:t>
      </w:r>
      <w:proofErr w:type="spellEnd"/>
      <w:r w:rsidRPr="00BA543E">
        <w:rPr>
          <w:rFonts w:ascii="Times New Roman" w:eastAsia="Calibri" w:hAnsi="Times New Roman" w:cs="Times New Roman"/>
          <w:sz w:val="24"/>
        </w:rPr>
        <w:t>”, atbildību par pavadzīmē (aktā) norādītās informācijas patiesumu un no tā izrietošajām sekām uzņēmusies SIA „</w:t>
      </w:r>
      <w:proofErr w:type="spellStart"/>
      <w:r w:rsidRPr="00BA543E">
        <w:rPr>
          <w:rFonts w:ascii="Times New Roman" w:eastAsia="Calibri" w:hAnsi="Times New Roman" w:cs="Times New Roman"/>
          <w:sz w:val="24"/>
        </w:rPr>
        <w:t>Vendo</w:t>
      </w:r>
      <w:proofErr w:type="spellEnd"/>
      <w:r w:rsidRPr="00BA543E">
        <w:rPr>
          <w:rFonts w:ascii="Times New Roman" w:eastAsia="Calibri" w:hAnsi="Times New Roman" w:cs="Times New Roman"/>
          <w:sz w:val="24"/>
        </w:rPr>
        <w:t xml:space="preserve">”. </w:t>
      </w:r>
    </w:p>
    <w:p w14:paraId="77E40201" w14:textId="77777777" w:rsidR="00773250" w:rsidRDefault="00773250" w:rsidP="00773250">
      <w:pPr>
        <w:spacing w:after="0" w:line="276" w:lineRule="auto"/>
        <w:ind w:firstLine="567"/>
        <w:jc w:val="both"/>
        <w:rPr>
          <w:rFonts w:ascii="Times New Roman" w:eastAsia="Calibri" w:hAnsi="Times New Roman" w:cs="Times New Roman"/>
          <w:sz w:val="24"/>
        </w:rPr>
      </w:pPr>
      <w:r w:rsidRPr="00BA543E">
        <w:rPr>
          <w:rFonts w:ascii="Times New Roman" w:eastAsia="TimesNewRomanPSMT" w:hAnsi="Times New Roman" w:cs="Times New Roman"/>
          <w:sz w:val="24"/>
        </w:rPr>
        <w:t>[</w:t>
      </w:r>
      <w:r>
        <w:rPr>
          <w:rFonts w:ascii="Times New Roman" w:eastAsia="TimesNewRomanPSMT" w:hAnsi="Times New Roman" w:cs="Times New Roman"/>
          <w:sz w:val="24"/>
        </w:rPr>
        <w:t>3</w:t>
      </w:r>
      <w:r w:rsidRPr="00BA543E">
        <w:rPr>
          <w:rFonts w:ascii="Times New Roman" w:eastAsia="TimesNewRomanPSMT" w:hAnsi="Times New Roman" w:cs="Times New Roman"/>
          <w:sz w:val="24"/>
        </w:rPr>
        <w:t>.5] Pieteic</w:t>
      </w:r>
      <w:r w:rsidRPr="00BA543E">
        <w:rPr>
          <w:rFonts w:ascii="Times New Roman" w:eastAsia="Arial" w:hAnsi="Times New Roman" w:cs="Times New Roman"/>
          <w:sz w:val="24"/>
        </w:rPr>
        <w:t>ē</w:t>
      </w:r>
      <w:r w:rsidRPr="00BA543E">
        <w:rPr>
          <w:rFonts w:ascii="Times New Roman" w:eastAsia="TimesNewRomanPSMT" w:hAnsi="Times New Roman" w:cs="Times New Roman"/>
          <w:sz w:val="24"/>
        </w:rPr>
        <w:t>ja iesniedza dokumentus, kas apliecina, ka pieteic</w:t>
      </w:r>
      <w:r w:rsidRPr="00BA543E">
        <w:rPr>
          <w:rFonts w:ascii="Times New Roman" w:eastAsia="Calibri" w:hAnsi="Times New Roman" w:cs="Times New Roman"/>
          <w:sz w:val="24"/>
        </w:rPr>
        <w:t>ēja plašsaziņas līdzekļos un internetā atkārtoti bija ievietojusi reklāmu par savu saimniecisko darbību. Minētie dokumenti apstiprina pieteicējas apgalvojumu, ka pieteicēja nenodarbojās ar darījumu partneru meklēšanu</w:t>
      </w:r>
      <w:r>
        <w:rPr>
          <w:rFonts w:ascii="Times New Roman" w:eastAsia="Calibri" w:hAnsi="Times New Roman" w:cs="Times New Roman"/>
          <w:sz w:val="24"/>
        </w:rPr>
        <w:t xml:space="preserve">, bet </w:t>
      </w:r>
      <w:r w:rsidRPr="00BA543E">
        <w:rPr>
          <w:rFonts w:ascii="Times New Roman" w:eastAsia="Calibri" w:hAnsi="Times New Roman" w:cs="Times New Roman"/>
          <w:sz w:val="24"/>
        </w:rPr>
        <w:t xml:space="preserve">tie sameklēja pieteicēju paši. No minētā savukārt ir secināms, ka lietā neapstiprinās iespējama pieteicējas iepriekšēja noruna darījumu partneru izvēlē. No preču piegādes dokumentiem ir secināms, ka preces faktiski ir piegādājušas identificējamas personas – pārvadātāji – un šīs personas ir uzrādītas transportlīdzekļu pavaddokumentos. </w:t>
      </w:r>
    </w:p>
    <w:p w14:paraId="012DDE66" w14:textId="77777777" w:rsidR="00773250" w:rsidRPr="00BA543E" w:rsidRDefault="00773250" w:rsidP="00773250">
      <w:pPr>
        <w:spacing w:after="0" w:line="276" w:lineRule="auto"/>
        <w:ind w:firstLine="567"/>
        <w:jc w:val="both"/>
        <w:rPr>
          <w:rFonts w:ascii="Times New Roman" w:eastAsia="Calibri" w:hAnsi="Times New Roman" w:cs="Times New Roman"/>
          <w:sz w:val="24"/>
        </w:rPr>
      </w:pPr>
      <w:r>
        <w:rPr>
          <w:rFonts w:ascii="Times New Roman" w:eastAsia="TimesNewRomanPSMT" w:hAnsi="Times New Roman" w:cs="Times New Roman"/>
          <w:sz w:val="24"/>
        </w:rPr>
        <w:t>[3.6] </w:t>
      </w:r>
      <w:r w:rsidRPr="00BA543E">
        <w:rPr>
          <w:rFonts w:ascii="Times New Roman" w:eastAsia="TimesNewRomanPSMT" w:hAnsi="Times New Roman" w:cs="Times New Roman"/>
          <w:sz w:val="24"/>
        </w:rPr>
        <w:t>No lietas materi</w:t>
      </w:r>
      <w:r w:rsidRPr="00BA543E">
        <w:rPr>
          <w:rFonts w:ascii="Times New Roman" w:eastAsia="Calibri" w:hAnsi="Times New Roman" w:cs="Times New Roman"/>
          <w:sz w:val="24"/>
        </w:rPr>
        <w:t>āliem un pieteicējas sniegtajiem paskaidrojumiem ir gūta pārliecība, ka pieteicēja ir rīkojusies labticīgi un pilnībā paļāvusies uz SIA „</w:t>
      </w:r>
      <w:proofErr w:type="spellStart"/>
      <w:r w:rsidRPr="00BA543E">
        <w:rPr>
          <w:rFonts w:ascii="Times New Roman" w:eastAsia="Calibri" w:hAnsi="Times New Roman" w:cs="Times New Roman"/>
          <w:sz w:val="24"/>
        </w:rPr>
        <w:t>Sakorex</w:t>
      </w:r>
      <w:proofErr w:type="spellEnd"/>
      <w:r w:rsidRPr="00BA543E">
        <w:rPr>
          <w:rFonts w:ascii="Times New Roman" w:eastAsia="Calibri" w:hAnsi="Times New Roman" w:cs="Times New Roman"/>
          <w:sz w:val="24"/>
        </w:rPr>
        <w:t>” un SIA</w:t>
      </w:r>
      <w:r>
        <w:rPr>
          <w:rFonts w:ascii="Times New Roman" w:eastAsia="Calibri" w:hAnsi="Times New Roman" w:cs="Times New Roman"/>
          <w:sz w:val="24"/>
        </w:rPr>
        <w:t> </w:t>
      </w:r>
      <w:r w:rsidRPr="00BA543E">
        <w:rPr>
          <w:rFonts w:ascii="Times New Roman" w:eastAsia="Calibri" w:hAnsi="Times New Roman" w:cs="Times New Roman"/>
          <w:sz w:val="24"/>
        </w:rPr>
        <w:t>„</w:t>
      </w:r>
      <w:proofErr w:type="spellStart"/>
      <w:r w:rsidRPr="00BA543E">
        <w:rPr>
          <w:rFonts w:ascii="Times New Roman" w:eastAsia="Calibri" w:hAnsi="Times New Roman" w:cs="Times New Roman"/>
          <w:sz w:val="24"/>
        </w:rPr>
        <w:t>Ulmar</w:t>
      </w:r>
      <w:proofErr w:type="spellEnd"/>
      <w:r w:rsidRPr="00BA543E">
        <w:rPr>
          <w:rFonts w:ascii="Times New Roman" w:eastAsia="Calibri" w:hAnsi="Times New Roman" w:cs="Times New Roman"/>
          <w:sz w:val="24"/>
        </w:rPr>
        <w:t xml:space="preserve">” iespējām piegādāt līgumā noteikto preci. </w:t>
      </w:r>
    </w:p>
    <w:p w14:paraId="57B9903F" w14:textId="77777777" w:rsidR="00773250" w:rsidRPr="00BA543E" w:rsidRDefault="00773250" w:rsidP="00773250">
      <w:pPr>
        <w:spacing w:after="0" w:line="276" w:lineRule="auto"/>
        <w:ind w:firstLine="567"/>
        <w:jc w:val="both"/>
        <w:rPr>
          <w:rFonts w:ascii="Times New Roman" w:eastAsia="Calibri" w:hAnsi="Times New Roman" w:cs="Times New Roman"/>
          <w:sz w:val="24"/>
        </w:rPr>
      </w:pPr>
      <w:r w:rsidRPr="00BA543E">
        <w:rPr>
          <w:rFonts w:ascii="Times New Roman" w:eastAsia="TimesNewRomanPSMT" w:hAnsi="Times New Roman" w:cs="Times New Roman"/>
          <w:sz w:val="24"/>
        </w:rPr>
        <w:t>Valsts ie</w:t>
      </w:r>
      <w:r w:rsidRPr="00BA543E">
        <w:rPr>
          <w:rFonts w:ascii="Times New Roman" w:eastAsia="Calibri" w:hAnsi="Times New Roman" w:cs="Times New Roman"/>
          <w:sz w:val="24"/>
        </w:rPr>
        <w:t>ņēmumu dienests ir norādījis uz tādiem pierādījumiem un informāciju, kuru pārbaudi pieteicējai nebija pienākuma veikt. Savukārt pierādījumi, ka pieteicēja zināja vai tai bija jāzina, ka SIA „</w:t>
      </w:r>
      <w:proofErr w:type="spellStart"/>
      <w:r w:rsidRPr="00BA543E">
        <w:rPr>
          <w:rFonts w:ascii="Times New Roman" w:eastAsia="Calibri" w:hAnsi="Times New Roman" w:cs="Times New Roman"/>
          <w:sz w:val="24"/>
        </w:rPr>
        <w:t>Sakorex</w:t>
      </w:r>
      <w:proofErr w:type="spellEnd"/>
      <w:r w:rsidRPr="00BA543E">
        <w:rPr>
          <w:rFonts w:ascii="Times New Roman" w:eastAsia="Calibri" w:hAnsi="Times New Roman" w:cs="Times New Roman"/>
          <w:sz w:val="24"/>
        </w:rPr>
        <w:t>” un SIA „</w:t>
      </w:r>
      <w:proofErr w:type="spellStart"/>
      <w:r w:rsidRPr="00BA543E">
        <w:rPr>
          <w:rFonts w:ascii="Times New Roman" w:eastAsia="Calibri" w:hAnsi="Times New Roman" w:cs="Times New Roman"/>
          <w:sz w:val="24"/>
        </w:rPr>
        <w:t>Ulmar</w:t>
      </w:r>
      <w:proofErr w:type="spellEnd"/>
      <w:r w:rsidRPr="00BA543E">
        <w:rPr>
          <w:rFonts w:ascii="Times New Roman" w:eastAsia="Calibri" w:hAnsi="Times New Roman" w:cs="Times New Roman"/>
          <w:sz w:val="24"/>
        </w:rPr>
        <w:t>” darījumi ir iesaistīti krāpšanas shēmās pievienotās vērtības nodokļa jomā, lietā nav gūti.</w:t>
      </w:r>
    </w:p>
    <w:p w14:paraId="04DFACA4"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p>
    <w:p w14:paraId="13EEAFCD"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w:t>
      </w:r>
      <w:r>
        <w:rPr>
          <w:rFonts w:ascii="Times New Roman" w:eastAsia="Times New Roman" w:hAnsi="Times New Roman" w:cs="Times New Roman"/>
          <w:sz w:val="24"/>
        </w:rPr>
        <w:t>4</w:t>
      </w:r>
      <w:r w:rsidRPr="00BA543E">
        <w:rPr>
          <w:rFonts w:ascii="Times New Roman" w:eastAsia="Times New Roman" w:hAnsi="Times New Roman" w:cs="Times New Roman"/>
          <w:sz w:val="24"/>
        </w:rPr>
        <w:t>] </w:t>
      </w:r>
      <w:r>
        <w:rPr>
          <w:rFonts w:ascii="Times New Roman" w:eastAsia="Times New Roman" w:hAnsi="Times New Roman" w:cs="Times New Roman"/>
          <w:sz w:val="24"/>
        </w:rPr>
        <w:t>Valsts ieņēmumu d</w:t>
      </w:r>
      <w:r w:rsidRPr="00BA543E">
        <w:rPr>
          <w:rFonts w:ascii="Times New Roman" w:eastAsia="Times New Roman" w:hAnsi="Times New Roman" w:cs="Times New Roman"/>
          <w:sz w:val="24"/>
        </w:rPr>
        <w:t>ienests iesniedza kasācijas sūdzību par apgabaltiesas spriedumu, kas pamatota ar turpmāk minētajiem argumentiem.</w:t>
      </w:r>
    </w:p>
    <w:p w14:paraId="46DB02FF"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w:t>
      </w:r>
      <w:r>
        <w:rPr>
          <w:rFonts w:ascii="Times New Roman" w:eastAsia="Times New Roman" w:hAnsi="Times New Roman" w:cs="Times New Roman"/>
          <w:sz w:val="24"/>
        </w:rPr>
        <w:t>4</w:t>
      </w:r>
      <w:r w:rsidRPr="00BA543E">
        <w:rPr>
          <w:rFonts w:ascii="Times New Roman" w:eastAsia="Times New Roman" w:hAnsi="Times New Roman" w:cs="Times New Roman"/>
          <w:sz w:val="24"/>
        </w:rPr>
        <w:t xml:space="preserve">.1] Tiesa uzskatījusi par mazsvarīgu faktu, ka abas pieteicējas darījumu </w:t>
      </w:r>
      <w:r>
        <w:rPr>
          <w:rFonts w:ascii="Times New Roman" w:eastAsia="Times New Roman" w:hAnsi="Times New Roman" w:cs="Times New Roman"/>
          <w:sz w:val="24"/>
        </w:rPr>
        <w:t xml:space="preserve">partneru </w:t>
      </w:r>
      <w:r w:rsidRPr="00BA543E">
        <w:rPr>
          <w:rFonts w:ascii="Times New Roman" w:eastAsia="Times New Roman" w:hAnsi="Times New Roman" w:cs="Times New Roman"/>
          <w:sz w:val="24"/>
        </w:rPr>
        <w:t xml:space="preserve">amatpersonas noliedz saimnieciskās darbības veikšanu, pieļāvuma formā atzīstot, ka darījumu partneru vārdā rīkojušās kādas citas personas, lai gan lietā par to nav neviena pierādījuma. </w:t>
      </w:r>
    </w:p>
    <w:p w14:paraId="5B0EBAF7"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w:t>
      </w:r>
      <w:r>
        <w:rPr>
          <w:rFonts w:ascii="Times New Roman" w:eastAsia="Times New Roman" w:hAnsi="Times New Roman" w:cs="Times New Roman"/>
          <w:sz w:val="24"/>
        </w:rPr>
        <w:t>4</w:t>
      </w:r>
      <w:r w:rsidRPr="00BA543E">
        <w:rPr>
          <w:rFonts w:ascii="Times New Roman" w:eastAsia="Times New Roman" w:hAnsi="Times New Roman" w:cs="Times New Roman"/>
          <w:sz w:val="24"/>
        </w:rPr>
        <w:t xml:space="preserve">.2] Tiesa ir izdarījusi kļūdainu secinājumu, ka neviens normatīvais akts neuzliek pienākumu noskaidrot, kāda ir nopirktās preces izcelsme. Saskaņā ar 2002.gada 28.janvāra Eiropas Parlamenta un Padomes regulu (EK) Nr. 178/2002, ar ko paredz vispārīgus pārtikas aprites tiesību aktu principus un prasības, izveido Eiropas Pārtikas nekaitīguma iestādi un paredz procedūras saistībā ar pārtikas nekaitīgumu (turpmāk – regula Nr. 178/2002), noteikto, </w:t>
      </w:r>
      <w:r w:rsidRPr="00BA543E">
        <w:rPr>
          <w:rFonts w:ascii="Times New Roman" w:eastAsia="Times New Roman" w:hAnsi="Times New Roman" w:cs="Times New Roman"/>
          <w:sz w:val="24"/>
        </w:rPr>
        <w:lastRenderedPageBreak/>
        <w:t>uzņēmējiem, kas iesaistīti pārtikas un barības apritē</w:t>
      </w:r>
      <w:r>
        <w:rPr>
          <w:rFonts w:ascii="Times New Roman" w:eastAsia="Times New Roman" w:hAnsi="Times New Roman" w:cs="Times New Roman"/>
          <w:sz w:val="24"/>
        </w:rPr>
        <w:t>,</w:t>
      </w:r>
      <w:r w:rsidRPr="00BA543E">
        <w:rPr>
          <w:rFonts w:ascii="Times New Roman" w:eastAsia="Times New Roman" w:hAnsi="Times New Roman" w:cs="Times New Roman"/>
          <w:sz w:val="24"/>
        </w:rPr>
        <w:t xml:space="preserve"> jāspēj identificēt jebkuru vielu, ko paredzēts pievienot vai ko varētu pievienot pārtikai un barībai. Tādēļ minēto uzņēmēju rīcībā ir jābūt sistēmām un procedūrām, kas dod iespēju pēc pieprasījuma darīt attiecīgo informāciju zināmu kompetentajām iestādēm. Tādējādi pieteicēja, nepārbaudot darījuma partneru faktiski darbojošos personu identitāti, kā arī darījumu partneru reģistrāciju Pārtikas un veterinārajā dienestā, neveica pat minimālās darbības darījumu partneru pārbaudei.</w:t>
      </w:r>
    </w:p>
    <w:p w14:paraId="5F2776C3"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w:t>
      </w:r>
      <w:r>
        <w:rPr>
          <w:rFonts w:ascii="Times New Roman" w:eastAsia="Times New Roman" w:hAnsi="Times New Roman" w:cs="Times New Roman"/>
          <w:sz w:val="24"/>
        </w:rPr>
        <w:t>4</w:t>
      </w:r>
      <w:r w:rsidRPr="00BA543E">
        <w:rPr>
          <w:rFonts w:ascii="Times New Roman" w:eastAsia="Times New Roman" w:hAnsi="Times New Roman" w:cs="Times New Roman"/>
          <w:sz w:val="24"/>
        </w:rPr>
        <w:t>.3] Tas, ka dienesta lēmumā tiešā tekstā nav norādes uz faktu, ka pieteicēja zināja, ka iesaistās nelikumīgu darījumu ķēdē, nenozīmē, ka šādu secinājumu nevar izdarīt tiesa. Lietā esošie pierādījumi to kopsakarā (nepatiesu datu atspoguļošana pavadzīmēs – nepatiesa preču izsniegšanas vieta, transportlīdzekļi un pārvadātāji, SIA „</w:t>
      </w:r>
      <w:proofErr w:type="spellStart"/>
      <w:r w:rsidRPr="00BA543E">
        <w:rPr>
          <w:rFonts w:ascii="Times New Roman" w:eastAsia="Times New Roman" w:hAnsi="Times New Roman" w:cs="Times New Roman"/>
          <w:sz w:val="24"/>
        </w:rPr>
        <w:t>Ulmar</w:t>
      </w:r>
      <w:proofErr w:type="spellEnd"/>
      <w:r w:rsidRPr="00BA543E">
        <w:rPr>
          <w:rFonts w:ascii="Times New Roman" w:eastAsia="Times New Roman" w:hAnsi="Times New Roman" w:cs="Times New Roman"/>
          <w:sz w:val="24"/>
        </w:rPr>
        <w:t>” un SIA „</w:t>
      </w:r>
      <w:proofErr w:type="spellStart"/>
      <w:r w:rsidRPr="00BA543E">
        <w:rPr>
          <w:rFonts w:ascii="Times New Roman" w:eastAsia="Times New Roman" w:hAnsi="Times New Roman" w:cs="Times New Roman"/>
          <w:sz w:val="24"/>
        </w:rPr>
        <w:t>Sakorex</w:t>
      </w:r>
      <w:proofErr w:type="spellEnd"/>
      <w:r w:rsidRPr="00BA543E">
        <w:rPr>
          <w:rFonts w:ascii="Times New Roman" w:eastAsia="Times New Roman" w:hAnsi="Times New Roman" w:cs="Times New Roman"/>
          <w:sz w:val="24"/>
        </w:rPr>
        <w:t>” amatpersonu liecības, ka tās saimniecisko darbību faktiski nav veikušas, neizsekojama graudu izcelsme) apliecina faktu, ka pieteicēja nav iegādājusies preces no SIA „</w:t>
      </w:r>
      <w:proofErr w:type="spellStart"/>
      <w:r w:rsidRPr="00BA543E">
        <w:rPr>
          <w:rFonts w:ascii="Times New Roman" w:eastAsia="Times New Roman" w:hAnsi="Times New Roman" w:cs="Times New Roman"/>
          <w:sz w:val="24"/>
        </w:rPr>
        <w:t>Ulmar</w:t>
      </w:r>
      <w:proofErr w:type="spellEnd"/>
      <w:r w:rsidRPr="00BA543E">
        <w:rPr>
          <w:rFonts w:ascii="Times New Roman" w:eastAsia="Times New Roman" w:hAnsi="Times New Roman" w:cs="Times New Roman"/>
          <w:sz w:val="24"/>
        </w:rPr>
        <w:t>” un SIA „</w:t>
      </w:r>
      <w:proofErr w:type="spellStart"/>
      <w:r w:rsidRPr="00BA543E">
        <w:rPr>
          <w:rFonts w:ascii="Times New Roman" w:eastAsia="Times New Roman" w:hAnsi="Times New Roman" w:cs="Times New Roman"/>
          <w:sz w:val="24"/>
        </w:rPr>
        <w:t>Sakorex</w:t>
      </w:r>
      <w:proofErr w:type="spellEnd"/>
      <w:r w:rsidRPr="00BA543E">
        <w:rPr>
          <w:rFonts w:ascii="Times New Roman" w:eastAsia="Times New Roman" w:hAnsi="Times New Roman" w:cs="Times New Roman"/>
          <w:sz w:val="24"/>
        </w:rPr>
        <w:t>”, tādējādi grāmatvedībā norādot nepatiesus datus, kā arī zinājusi, ka iesaistās nodokļu krāpšanā.</w:t>
      </w:r>
    </w:p>
    <w:p w14:paraId="0803F94D"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w:t>
      </w:r>
      <w:r>
        <w:rPr>
          <w:rFonts w:ascii="Times New Roman" w:eastAsia="Times New Roman" w:hAnsi="Times New Roman" w:cs="Times New Roman"/>
          <w:sz w:val="24"/>
        </w:rPr>
        <w:t>4</w:t>
      </w:r>
      <w:r w:rsidRPr="00BA543E">
        <w:rPr>
          <w:rFonts w:ascii="Times New Roman" w:eastAsia="Times New Roman" w:hAnsi="Times New Roman" w:cs="Times New Roman"/>
          <w:sz w:val="24"/>
        </w:rPr>
        <w:t xml:space="preserve">.4] Fakts, ka preces ir bijušas, nepierāda, ka preču piegādi veikušas tās komercsabiedrības, kas norādītas nodokļa rēķinā. </w:t>
      </w:r>
    </w:p>
    <w:p w14:paraId="1B7FA603"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Nav ņemts vērā fakts, ka preču tālākās iegādes nav izsekojamas. Ne SIA „</w:t>
      </w:r>
      <w:proofErr w:type="spellStart"/>
      <w:r w:rsidRPr="00BA543E">
        <w:rPr>
          <w:rFonts w:ascii="Times New Roman" w:eastAsia="Times New Roman" w:hAnsi="Times New Roman" w:cs="Times New Roman"/>
          <w:sz w:val="24"/>
        </w:rPr>
        <w:t>Sakorex</w:t>
      </w:r>
      <w:proofErr w:type="spellEnd"/>
      <w:r w:rsidRPr="00BA543E">
        <w:rPr>
          <w:rFonts w:ascii="Times New Roman" w:eastAsia="Times New Roman" w:hAnsi="Times New Roman" w:cs="Times New Roman"/>
          <w:sz w:val="24"/>
        </w:rPr>
        <w:t>”, ne SIA „</w:t>
      </w:r>
      <w:proofErr w:type="spellStart"/>
      <w:r w:rsidRPr="00BA543E">
        <w:rPr>
          <w:rFonts w:ascii="Times New Roman" w:eastAsia="Times New Roman" w:hAnsi="Times New Roman" w:cs="Times New Roman"/>
          <w:sz w:val="24"/>
        </w:rPr>
        <w:t>Ulmar</w:t>
      </w:r>
      <w:proofErr w:type="spellEnd"/>
      <w:r w:rsidRPr="00BA543E">
        <w:rPr>
          <w:rFonts w:ascii="Times New Roman" w:eastAsia="Times New Roman" w:hAnsi="Times New Roman" w:cs="Times New Roman"/>
          <w:sz w:val="24"/>
        </w:rPr>
        <w:t>” preču iegādes Eiropas Savienībā nav deklarējušas, līdz ar to darījumi ir neizskaidrojami un nav konstatējama preču izcelsme. Tālākie darījumi ļauj izsecināt, vai tiešie darījumu partneri varēja piegādāt preces un sniegt pakalpojumus.</w:t>
      </w:r>
    </w:p>
    <w:p w14:paraId="0B108CEC" w14:textId="04ED20F5"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w:t>
      </w:r>
      <w:r>
        <w:rPr>
          <w:rFonts w:ascii="Times New Roman" w:eastAsia="Times New Roman" w:hAnsi="Times New Roman" w:cs="Times New Roman"/>
          <w:sz w:val="24"/>
        </w:rPr>
        <w:t>4</w:t>
      </w:r>
      <w:r w:rsidRPr="00BA543E">
        <w:rPr>
          <w:rFonts w:ascii="Times New Roman" w:eastAsia="Times New Roman" w:hAnsi="Times New Roman" w:cs="Times New Roman"/>
          <w:sz w:val="24"/>
        </w:rPr>
        <w:t>.5] Tiesa nav pievērsusi uzmanību konstatētajām neatbilstībām CMR, kā, piemēram, ZS „Nadziņi” norādei, ka tai nepieder automašīna ar valsts reģistrācijas Nr. </w:t>
      </w:r>
      <w:r w:rsidR="00215852">
        <w:rPr>
          <w:rFonts w:ascii="Times New Roman" w:eastAsia="Times New Roman" w:hAnsi="Times New Roman" w:cs="Times New Roman"/>
          <w:sz w:val="24"/>
        </w:rPr>
        <w:t>/numurs/</w:t>
      </w:r>
      <w:r w:rsidRPr="00BA543E">
        <w:rPr>
          <w:rFonts w:ascii="Times New Roman" w:eastAsia="Times New Roman" w:hAnsi="Times New Roman" w:cs="Times New Roman"/>
          <w:sz w:val="24"/>
        </w:rPr>
        <w:t xml:space="preserve"> un ka pavadzīmēs norādītajā laikā </w:t>
      </w:r>
      <w:r w:rsidR="00215852">
        <w:rPr>
          <w:rFonts w:ascii="Times New Roman" w:eastAsia="Times New Roman" w:hAnsi="Times New Roman" w:cs="Times New Roman"/>
          <w:sz w:val="24"/>
        </w:rPr>
        <w:t>[pers. A]</w:t>
      </w:r>
      <w:r w:rsidRPr="00BA543E">
        <w:rPr>
          <w:rFonts w:ascii="Times New Roman" w:eastAsia="Times New Roman" w:hAnsi="Times New Roman" w:cs="Times New Roman"/>
          <w:sz w:val="24"/>
        </w:rPr>
        <w:t xml:space="preserve"> nemaz nav bijis darba attiecībās ar ZS „Nadziņi”. Turklāt neviens pārvadātāja darbinieks nevarēja paskaidrot, kura komercsabiedrība preci nodeva pārvadājumam, līdz ar ko autovadītāju paskaidrojumi vērtējami kritiski, jo tie nesniedz priekšstatu par konkrēto partneru iesaisti darījumos. </w:t>
      </w:r>
    </w:p>
    <w:p w14:paraId="14FAE652"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p>
    <w:p w14:paraId="78628E2F"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w:t>
      </w:r>
      <w:r>
        <w:rPr>
          <w:rFonts w:ascii="Times New Roman" w:eastAsia="Times New Roman" w:hAnsi="Times New Roman" w:cs="Times New Roman"/>
          <w:sz w:val="24"/>
        </w:rPr>
        <w:t>5</w:t>
      </w:r>
      <w:r w:rsidRPr="00BA543E">
        <w:rPr>
          <w:rFonts w:ascii="Times New Roman" w:eastAsia="Times New Roman" w:hAnsi="Times New Roman" w:cs="Times New Roman"/>
          <w:sz w:val="24"/>
        </w:rPr>
        <w:t>]</w:t>
      </w:r>
      <w:r>
        <w:rPr>
          <w:rFonts w:ascii="Times New Roman" w:eastAsia="Times New Roman" w:hAnsi="Times New Roman" w:cs="Times New Roman"/>
          <w:sz w:val="24"/>
        </w:rPr>
        <w:t> </w:t>
      </w:r>
      <w:r w:rsidRPr="00BA543E">
        <w:rPr>
          <w:rFonts w:ascii="Times New Roman" w:eastAsia="Times New Roman" w:hAnsi="Times New Roman" w:cs="Times New Roman"/>
          <w:sz w:val="24"/>
        </w:rPr>
        <w:t>Pieteicēja paskaidrojusi, ka kasācijas sūdzību neatzīst. Noraidāms ir dienesta arguments, ka pieteicējas sadarbības partneriem bija jābūt reģistrētiem Pārtikas un veterinārajā dienestā, jo visi graudi, kuri tika iepirkti, bija paredzēti lietošanai degvielas ražošanā un nekādā ziņā nebija saistīti ar jebkāda veida pārtiku.</w:t>
      </w:r>
    </w:p>
    <w:p w14:paraId="77F59C54"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p>
    <w:p w14:paraId="247B3B14"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w:t>
      </w:r>
      <w:r>
        <w:rPr>
          <w:rFonts w:ascii="Times New Roman" w:eastAsia="Times New Roman" w:hAnsi="Times New Roman" w:cs="Times New Roman"/>
          <w:sz w:val="24"/>
        </w:rPr>
        <w:t>6</w:t>
      </w:r>
      <w:r w:rsidRPr="00BA543E">
        <w:rPr>
          <w:rFonts w:ascii="Times New Roman" w:eastAsia="Times New Roman" w:hAnsi="Times New Roman" w:cs="Times New Roman"/>
          <w:sz w:val="24"/>
        </w:rPr>
        <w:t xml:space="preserve">] Senāts Eiropas Savienības Tiesai uzdeva prejudiciālo jautājumu par Padomes 2006.gada 28.novembra Direktīvas 2006/112/EK par kopējo pievienotās vērtības nodokļa sistēmu (turpmāk – direktīva 2006/112/EK) 168.panta „a” punkta interpretāciju kopsakarā ar regulas Nr. 178/2002 mērķi un Eiropas Parlamenta un Padomes 2004.gada 29.aprīļa Regulas Nr. 852/2004 par pārtikas produktu higiēnu (turpmāk – </w:t>
      </w:r>
      <w:r>
        <w:rPr>
          <w:rFonts w:ascii="Times New Roman" w:eastAsia="Times New Roman" w:hAnsi="Times New Roman" w:cs="Times New Roman"/>
          <w:sz w:val="24"/>
        </w:rPr>
        <w:t>r</w:t>
      </w:r>
      <w:r w:rsidRPr="00BA543E">
        <w:rPr>
          <w:rFonts w:ascii="Times New Roman" w:eastAsia="Times New Roman" w:hAnsi="Times New Roman" w:cs="Times New Roman"/>
          <w:sz w:val="24"/>
        </w:rPr>
        <w:t>egula Nr. 852/2004) 31.pantu.</w:t>
      </w:r>
    </w:p>
    <w:p w14:paraId="26962BC9"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Eiropas Savienības Tiesa 2019.gada 3.oktobrī pieņēma spriedumu lietā C-329/18 (ECLI:EU:C:2019:831).</w:t>
      </w:r>
    </w:p>
    <w:p w14:paraId="6A1A765D" w14:textId="77777777" w:rsidR="00773250" w:rsidRPr="00BA543E" w:rsidRDefault="00773250" w:rsidP="00773250">
      <w:pPr>
        <w:spacing w:after="0" w:line="276" w:lineRule="auto"/>
        <w:jc w:val="both"/>
        <w:rPr>
          <w:rFonts w:ascii="Times New Roman" w:eastAsia="Times New Roman" w:hAnsi="Times New Roman" w:cs="Times New Roman"/>
          <w:sz w:val="24"/>
        </w:rPr>
      </w:pPr>
    </w:p>
    <w:p w14:paraId="143BBE68" w14:textId="77777777" w:rsidR="00773250" w:rsidRPr="00BA543E" w:rsidRDefault="00773250" w:rsidP="00773250">
      <w:pPr>
        <w:spacing w:after="0" w:line="276" w:lineRule="auto"/>
        <w:jc w:val="center"/>
        <w:rPr>
          <w:rFonts w:ascii="Times New Roman" w:eastAsia="Times New Roman" w:hAnsi="Times New Roman" w:cs="Times New Roman"/>
          <w:b/>
          <w:sz w:val="24"/>
        </w:rPr>
      </w:pPr>
      <w:r w:rsidRPr="00BA543E">
        <w:rPr>
          <w:rFonts w:ascii="Times New Roman" w:eastAsia="Times New Roman" w:hAnsi="Times New Roman" w:cs="Times New Roman"/>
          <w:b/>
          <w:sz w:val="24"/>
        </w:rPr>
        <w:t>Motīvu daļa</w:t>
      </w:r>
    </w:p>
    <w:p w14:paraId="53044F7B" w14:textId="77777777" w:rsidR="00773250" w:rsidRPr="00BA543E" w:rsidRDefault="00773250" w:rsidP="00773250">
      <w:pPr>
        <w:spacing w:after="0" w:line="276" w:lineRule="auto"/>
        <w:ind w:firstLine="567"/>
        <w:jc w:val="both"/>
        <w:rPr>
          <w:rFonts w:ascii="Times New Roman" w:eastAsia="Times New Roman" w:hAnsi="Times New Roman" w:cs="Times New Roman"/>
          <w:sz w:val="24"/>
          <w:shd w:val="clear" w:color="auto" w:fill="FFFF00"/>
        </w:rPr>
      </w:pPr>
    </w:p>
    <w:p w14:paraId="676A0842"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w:t>
      </w:r>
      <w:r>
        <w:rPr>
          <w:rFonts w:ascii="Times New Roman" w:eastAsia="Times New Roman" w:hAnsi="Times New Roman" w:cs="Times New Roman"/>
          <w:sz w:val="24"/>
        </w:rPr>
        <w:t>7</w:t>
      </w:r>
      <w:r w:rsidRPr="00BA543E">
        <w:rPr>
          <w:rFonts w:ascii="Times New Roman" w:eastAsia="Times New Roman" w:hAnsi="Times New Roman" w:cs="Times New Roman"/>
          <w:sz w:val="24"/>
        </w:rPr>
        <w:t xml:space="preserve">] Šajā lietā tiesa ir balstījusies uz virkni pierādījumiem, kas liek secināt, ka prece faktiski ir piegādāta, minēto neapšauba arī dienests. </w:t>
      </w:r>
    </w:p>
    <w:p w14:paraId="69CBBF5D"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Lielākā daļa dienesta kasācijas sūdzības argumentu ir vērsti uz pamatojumu, ka pieteicējas darījumu partneriem, proti, SIA „</w:t>
      </w:r>
      <w:proofErr w:type="spellStart"/>
      <w:r w:rsidRPr="00BA543E">
        <w:rPr>
          <w:rFonts w:ascii="Times New Roman" w:eastAsia="Times New Roman" w:hAnsi="Times New Roman" w:cs="Times New Roman"/>
          <w:sz w:val="24"/>
        </w:rPr>
        <w:t>Sakorex</w:t>
      </w:r>
      <w:proofErr w:type="spellEnd"/>
      <w:r w:rsidRPr="00BA543E">
        <w:rPr>
          <w:rFonts w:ascii="Times New Roman" w:eastAsia="Times New Roman" w:hAnsi="Times New Roman" w:cs="Times New Roman"/>
          <w:sz w:val="24"/>
        </w:rPr>
        <w:t>” un SIA „</w:t>
      </w:r>
      <w:proofErr w:type="spellStart"/>
      <w:r w:rsidRPr="00BA543E">
        <w:rPr>
          <w:rFonts w:ascii="Times New Roman" w:eastAsia="Times New Roman" w:hAnsi="Times New Roman" w:cs="Times New Roman"/>
          <w:sz w:val="24"/>
        </w:rPr>
        <w:t>Ulmar</w:t>
      </w:r>
      <w:proofErr w:type="spellEnd"/>
      <w:r w:rsidRPr="00BA543E">
        <w:rPr>
          <w:rFonts w:ascii="Times New Roman" w:eastAsia="Times New Roman" w:hAnsi="Times New Roman" w:cs="Times New Roman"/>
          <w:sz w:val="24"/>
        </w:rPr>
        <w:t xml:space="preserve">”, ir fiktīvu uzņēmumu </w:t>
      </w:r>
      <w:r w:rsidRPr="00BA543E">
        <w:rPr>
          <w:rFonts w:ascii="Times New Roman" w:eastAsia="Times New Roman" w:hAnsi="Times New Roman" w:cs="Times New Roman"/>
          <w:sz w:val="24"/>
        </w:rPr>
        <w:lastRenderedPageBreak/>
        <w:t>pazīmes un no lietas materiāliem nevar konstatēt reālo preču kustību un izcelsmi. No minētā, dienesta ieskatā, ir izsecināma nodokļu sistēmas ļaunprātīga izmantošana, tostarp pieteicējas ļaunprātība dokumentu noformēšanā, proti, pieteicēja apzināti saņēma preces ne no attaisnojuma dokumentos norādītajiem uzņēmumiem jeb citu neidentificētu personu piegādātās preces noformējusi kā saņemtas no rēķinā norādītā darījuma partnera.</w:t>
      </w:r>
    </w:p>
    <w:p w14:paraId="4879487F" w14:textId="77777777" w:rsidR="00773250" w:rsidRPr="00BA543E" w:rsidRDefault="00773250" w:rsidP="00773250">
      <w:pPr>
        <w:spacing w:after="0" w:line="276" w:lineRule="auto"/>
        <w:ind w:firstLine="567"/>
        <w:jc w:val="both"/>
        <w:rPr>
          <w:rFonts w:ascii="Times New Roman" w:eastAsia="Times New Roman" w:hAnsi="Times New Roman" w:cs="Times New Roman"/>
          <w:i/>
          <w:sz w:val="24"/>
        </w:rPr>
      </w:pPr>
      <w:r w:rsidRPr="00BA543E">
        <w:rPr>
          <w:rFonts w:ascii="Times New Roman" w:eastAsia="Times New Roman" w:hAnsi="Times New Roman" w:cs="Times New Roman"/>
          <w:sz w:val="24"/>
        </w:rPr>
        <w:t>Tomēr pretēji dienesta uzskatam minētais nepierāda pieteicējas iesaisti, vai vismaz informētību par šo nodokļu sistēmas ļaunprātīgu izmantošanu. Šeit ir vēlreiz jāatgādina gan Latvijas administratīvo tiesu, gan arī Eiropas Savienības Tiesas praksē jau vairākkārtīgi uzsvērtais, ka darījuma partnera fiktīvais raksturs vai tā resursu trūkums vien nevar būt par pamatu secinājumam, kas novestu pie priekšnodokļa atskaitīšanas tiesību ierobežošanas (</w:t>
      </w:r>
      <w:r>
        <w:rPr>
          <w:rFonts w:ascii="Times New Roman" w:eastAsia="Times New Roman" w:hAnsi="Times New Roman" w:cs="Times New Roman"/>
          <w:sz w:val="24"/>
        </w:rPr>
        <w:t xml:space="preserve">piemēram, </w:t>
      </w:r>
      <w:r>
        <w:rPr>
          <w:rFonts w:ascii="Times New Roman" w:eastAsia="Times New Roman" w:hAnsi="Times New Roman" w:cs="Times New Roman"/>
          <w:i/>
          <w:sz w:val="24"/>
        </w:rPr>
        <w:t>Senāta</w:t>
      </w:r>
      <w:r w:rsidRPr="00BA543E">
        <w:rPr>
          <w:rFonts w:ascii="Times New Roman" w:eastAsia="Times New Roman" w:hAnsi="Times New Roman" w:cs="Times New Roman"/>
          <w:i/>
          <w:sz w:val="24"/>
        </w:rPr>
        <w:t xml:space="preserve"> 2013.gada 7.maija sprieduma lietā Nr. SKA-14/2013</w:t>
      </w:r>
      <w:r>
        <w:rPr>
          <w:rFonts w:ascii="Times New Roman" w:eastAsia="Times New Roman" w:hAnsi="Times New Roman" w:cs="Times New Roman"/>
          <w:i/>
          <w:sz w:val="24"/>
        </w:rPr>
        <w:t xml:space="preserve"> (</w:t>
      </w:r>
      <w:r w:rsidRPr="00443AAF">
        <w:rPr>
          <w:rFonts w:ascii="Times New Roman" w:eastAsia="Times New Roman" w:hAnsi="Times New Roman" w:cs="Times New Roman"/>
          <w:i/>
          <w:sz w:val="24"/>
        </w:rPr>
        <w:t>A42559408</w:t>
      </w:r>
      <w:r>
        <w:rPr>
          <w:rFonts w:ascii="Times New Roman" w:eastAsia="Times New Roman" w:hAnsi="Times New Roman" w:cs="Times New Roman"/>
          <w:i/>
          <w:sz w:val="24"/>
        </w:rPr>
        <w:t>)</w:t>
      </w:r>
      <w:r w:rsidRPr="00BA543E">
        <w:rPr>
          <w:rFonts w:ascii="Times New Roman" w:eastAsia="Times New Roman" w:hAnsi="Times New Roman" w:cs="Times New Roman"/>
          <w:i/>
          <w:sz w:val="24"/>
        </w:rPr>
        <w:t xml:space="preserve"> 9.punkts, Eiropas Savienības Tiesas 2012.gada 21.jūnija sprieduma apvienotajā lietā </w:t>
      </w:r>
      <w:proofErr w:type="spellStart"/>
      <w:r w:rsidRPr="00BA543E">
        <w:rPr>
          <w:rFonts w:ascii="Times New Roman" w:eastAsia="Times New Roman" w:hAnsi="Times New Roman" w:cs="Times New Roman"/>
          <w:i/>
          <w:sz w:val="24"/>
        </w:rPr>
        <w:t>Mahageben</w:t>
      </w:r>
      <w:proofErr w:type="spellEnd"/>
      <w:r>
        <w:rPr>
          <w:rFonts w:ascii="Times New Roman" w:eastAsia="Times New Roman" w:hAnsi="Times New Roman" w:cs="Times New Roman"/>
          <w:i/>
          <w:sz w:val="24"/>
        </w:rPr>
        <w:t xml:space="preserve">, </w:t>
      </w:r>
      <w:r w:rsidRPr="00BA543E">
        <w:rPr>
          <w:rFonts w:ascii="Times New Roman" w:eastAsia="Times New Roman" w:hAnsi="Times New Roman" w:cs="Times New Roman"/>
          <w:i/>
          <w:sz w:val="24"/>
        </w:rPr>
        <w:t>Nr. C</w:t>
      </w:r>
      <w:r>
        <w:rPr>
          <w:rFonts w:ascii="Times New Roman" w:eastAsia="Times New Roman" w:hAnsi="Times New Roman" w:cs="Times New Roman"/>
          <w:i/>
          <w:sz w:val="24"/>
        </w:rPr>
        <w:noBreakHyphen/>
        <w:t xml:space="preserve">80/11 un C-142/11, </w:t>
      </w:r>
      <w:r w:rsidRPr="008318E9">
        <w:rPr>
          <w:rFonts w:ascii="Times New Roman" w:eastAsia="Times New Roman" w:hAnsi="Times New Roman" w:cs="Times New Roman"/>
          <w:i/>
          <w:sz w:val="24"/>
        </w:rPr>
        <w:t>ECLI:EU:C:2012:373</w:t>
      </w:r>
      <w:r>
        <w:rPr>
          <w:rFonts w:ascii="Times New Roman" w:eastAsia="Times New Roman" w:hAnsi="Times New Roman" w:cs="Times New Roman"/>
          <w:i/>
          <w:sz w:val="24"/>
        </w:rPr>
        <w:t xml:space="preserve">, </w:t>
      </w:r>
      <w:r w:rsidRPr="00BA543E">
        <w:rPr>
          <w:rFonts w:ascii="Times New Roman" w:eastAsia="Times New Roman" w:hAnsi="Times New Roman" w:cs="Times New Roman"/>
          <w:i/>
          <w:sz w:val="24"/>
        </w:rPr>
        <w:t>62.punkts</w:t>
      </w:r>
      <w:r w:rsidRPr="00BA543E">
        <w:rPr>
          <w:rFonts w:ascii="Times New Roman" w:eastAsia="Times New Roman" w:hAnsi="Times New Roman" w:cs="Times New Roman"/>
          <w:sz w:val="24"/>
        </w:rPr>
        <w:t>)</w:t>
      </w:r>
      <w:r w:rsidRPr="00BA543E">
        <w:rPr>
          <w:rFonts w:ascii="Times New Roman" w:eastAsia="Times New Roman" w:hAnsi="Times New Roman" w:cs="Times New Roman"/>
          <w:i/>
          <w:sz w:val="24"/>
        </w:rPr>
        <w:t>.</w:t>
      </w:r>
    </w:p>
    <w:p w14:paraId="6FDF17AF"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Ņemot vērā, ka šajā gadījumā netiek apstrīdēts, ka pieteicējas darījumu partneriem ir konstatējamas fiktīvu uzņēmumu pazīmes, kā arī nav nosakāma preces izcelsme, nav pamata vērtēt dienesta kasācijas sūdzības argumentus, kas vērsti uz šo apstākļu pamatošanu.</w:t>
      </w:r>
    </w:p>
    <w:p w14:paraId="5C9C95D3"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p>
    <w:p w14:paraId="7E2CA63A"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w:t>
      </w:r>
      <w:r>
        <w:rPr>
          <w:rFonts w:ascii="Times New Roman" w:eastAsia="Times New Roman" w:hAnsi="Times New Roman" w:cs="Times New Roman"/>
          <w:sz w:val="24"/>
        </w:rPr>
        <w:t>8</w:t>
      </w:r>
      <w:r w:rsidRPr="00BA543E">
        <w:rPr>
          <w:rFonts w:ascii="Times New Roman" w:eastAsia="Times New Roman" w:hAnsi="Times New Roman" w:cs="Times New Roman"/>
          <w:sz w:val="24"/>
        </w:rPr>
        <w:t>] Lai būtu pamats liegt pieteicējai tiesības atskaitīt priekšnodokli par strīdus darījumiem, šajā gadījumā ir jākonstatē, ka pieteicēja zināja vai tai bija jāzina, ka tā ir iesaistīta pievienotās vērtības nodokļa sistēmas ļaunprātīgā izmantošanā. Šeit liela nozīme ir darījumu raksturam un to faktiskajai norisei.</w:t>
      </w:r>
    </w:p>
    <w:p w14:paraId="11F1F277"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 xml:space="preserve">Eiropas Savienības </w:t>
      </w:r>
      <w:r>
        <w:rPr>
          <w:rFonts w:ascii="Times New Roman" w:eastAsia="Times New Roman" w:hAnsi="Times New Roman" w:cs="Times New Roman"/>
          <w:sz w:val="24"/>
        </w:rPr>
        <w:t>T</w:t>
      </w:r>
      <w:r w:rsidRPr="00BA543E">
        <w:rPr>
          <w:rFonts w:ascii="Times New Roman" w:eastAsia="Times New Roman" w:hAnsi="Times New Roman" w:cs="Times New Roman"/>
          <w:sz w:val="24"/>
        </w:rPr>
        <w:t xml:space="preserve">iesa </w:t>
      </w:r>
      <w:r>
        <w:rPr>
          <w:rFonts w:ascii="Times New Roman" w:eastAsia="Times New Roman" w:hAnsi="Times New Roman" w:cs="Times New Roman"/>
          <w:sz w:val="24"/>
        </w:rPr>
        <w:t xml:space="preserve">ir </w:t>
      </w:r>
      <w:r w:rsidRPr="00BA543E">
        <w:rPr>
          <w:rFonts w:ascii="Times New Roman" w:eastAsia="Times New Roman" w:hAnsi="Times New Roman" w:cs="Times New Roman"/>
          <w:sz w:val="24"/>
        </w:rPr>
        <w:t>atzinusi, ka valsts tiesai ir jānodrošina, lai pierādījumu vērtējums netieši neradītu rēķina saņēmējam pienākumu pārbaudīt savu darījuma partneri, kas tam principā nav jādara. Tomēr, ja apstrīdēto nodokļu rēķinu saņēmēja uzrādītajos dokumentos arī ir konstatēti pārkāpumi, tas ir jāņem vērā, valsts tiesai veicot visaptverošu novērtējumu (</w:t>
      </w:r>
      <w:r w:rsidRPr="00BA543E">
        <w:rPr>
          <w:rFonts w:ascii="Times New Roman" w:eastAsia="Times New Roman" w:hAnsi="Times New Roman" w:cs="Times New Roman"/>
          <w:i/>
          <w:sz w:val="24"/>
        </w:rPr>
        <w:t>Eiropas Savienības Tiesas 2013.gada 28.februāra rīkojuma lietā</w:t>
      </w:r>
      <w:r w:rsidRPr="00106C35">
        <w:rPr>
          <w:rFonts w:ascii="Times New Roman" w:eastAsia="Times New Roman" w:hAnsi="Times New Roman" w:cs="Times New Roman"/>
          <w:i/>
          <w:sz w:val="24"/>
        </w:rPr>
        <w:t xml:space="preserve"> </w:t>
      </w:r>
      <w:proofErr w:type="spellStart"/>
      <w:r w:rsidRPr="00BA543E">
        <w:rPr>
          <w:rFonts w:ascii="Times New Roman" w:eastAsia="Times New Roman" w:hAnsi="Times New Roman" w:cs="Times New Roman"/>
          <w:i/>
          <w:sz w:val="24"/>
        </w:rPr>
        <w:t>Forvards</w:t>
      </w:r>
      <w:proofErr w:type="spellEnd"/>
      <w:r w:rsidRPr="00BA543E">
        <w:rPr>
          <w:rFonts w:ascii="Times New Roman" w:eastAsia="Times New Roman" w:hAnsi="Times New Roman" w:cs="Times New Roman"/>
          <w:i/>
          <w:sz w:val="24"/>
        </w:rPr>
        <w:t xml:space="preserve"> V</w:t>
      </w:r>
      <w:r>
        <w:rPr>
          <w:rFonts w:ascii="Times New Roman" w:eastAsia="Times New Roman" w:hAnsi="Times New Roman" w:cs="Times New Roman"/>
          <w:i/>
          <w:sz w:val="24"/>
        </w:rPr>
        <w:t>,</w:t>
      </w:r>
      <w:r w:rsidRPr="00BA543E">
        <w:rPr>
          <w:rFonts w:ascii="Times New Roman" w:eastAsia="Times New Roman" w:hAnsi="Times New Roman" w:cs="Times New Roman"/>
          <w:i/>
          <w:sz w:val="24"/>
        </w:rPr>
        <w:t xml:space="preserve"> Nr. C-563/11</w:t>
      </w:r>
      <w:r>
        <w:rPr>
          <w:rFonts w:ascii="Times New Roman" w:eastAsia="Times New Roman" w:hAnsi="Times New Roman" w:cs="Times New Roman"/>
          <w:i/>
          <w:sz w:val="24"/>
        </w:rPr>
        <w:t xml:space="preserve">, </w:t>
      </w:r>
      <w:r w:rsidRPr="00106C35">
        <w:rPr>
          <w:rFonts w:ascii="Times New Roman" w:eastAsia="Times New Roman" w:hAnsi="Times New Roman" w:cs="Times New Roman"/>
          <w:i/>
          <w:sz w:val="24"/>
        </w:rPr>
        <w:t>ECLI:EU:C:2013:125,</w:t>
      </w:r>
      <w:r w:rsidRPr="00BA543E">
        <w:rPr>
          <w:rFonts w:ascii="Times New Roman" w:eastAsia="Times New Roman" w:hAnsi="Times New Roman" w:cs="Times New Roman"/>
          <w:i/>
          <w:sz w:val="24"/>
        </w:rPr>
        <w:t xml:space="preserve"> 42.-43.punkts</w:t>
      </w:r>
      <w:r w:rsidRPr="00BA543E">
        <w:rPr>
          <w:rFonts w:ascii="Times New Roman" w:eastAsia="Times New Roman" w:hAnsi="Times New Roman" w:cs="Times New Roman"/>
          <w:sz w:val="24"/>
        </w:rPr>
        <w:t>).</w:t>
      </w:r>
    </w:p>
    <w:p w14:paraId="09EF6838" w14:textId="77777777" w:rsidR="00773250"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Tas nozīmē, ka prasīt no nodokļu maksātāja, lai tas veic papildu pārbaudes, var tad, ja konkrētajos apstākļos nodokļu maksātājam vajadzēja rasties objektīvām šaubām par savu darījumu partneri un ja tādēļ bija pamatoti sagaidāms, ka nodokļu maksātājs noskaidros attiecīgo informāciju, lai šīs šaubas novērstu.</w:t>
      </w:r>
    </w:p>
    <w:p w14:paraId="407DED88"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 xml:space="preserve">Pārbaudot, vai pieteicēja zināja vai tai bija jāzina, ka tā ir iesaistīta pievienotās vērtības nodokļa sistēmas ļaunprātīgā izmantošanā, apgabaltiesa secināja, ka lietas materiāli un visu personu skaidrojumi par to, kā notiek graudu pieņemšana, kā tiek noteikta graudu kvalitāte un kā tiek sastādīti graudu pieņemšanas akti un rēķini, atbilst graudu iepirkšanas darījumu raksturam. </w:t>
      </w:r>
    </w:p>
    <w:p w14:paraId="3A0E554C" w14:textId="77777777" w:rsidR="00773250" w:rsidRPr="00BA543E" w:rsidRDefault="00773250" w:rsidP="00773250">
      <w:pPr>
        <w:spacing w:after="0" w:line="276" w:lineRule="auto"/>
        <w:ind w:firstLine="567"/>
        <w:jc w:val="both"/>
        <w:rPr>
          <w:rFonts w:ascii="Times New Roman" w:eastAsia="Calibri" w:hAnsi="Times New Roman" w:cs="Times New Roman"/>
          <w:sz w:val="24"/>
        </w:rPr>
      </w:pPr>
      <w:r w:rsidRPr="00BA543E">
        <w:rPr>
          <w:rFonts w:ascii="Times New Roman" w:eastAsia="TimesNewRomanPSMT" w:hAnsi="Times New Roman" w:cs="Times New Roman"/>
          <w:sz w:val="24"/>
        </w:rPr>
        <w:t>Liet</w:t>
      </w:r>
      <w:r w:rsidRPr="00BA543E">
        <w:rPr>
          <w:rFonts w:ascii="Times New Roman" w:eastAsia="Calibri" w:hAnsi="Times New Roman" w:cs="Times New Roman"/>
          <w:sz w:val="24"/>
        </w:rPr>
        <w:t>ā esoši</w:t>
      </w:r>
      <w:r>
        <w:rPr>
          <w:rFonts w:ascii="Times New Roman" w:eastAsia="Calibri" w:hAnsi="Times New Roman" w:cs="Times New Roman"/>
          <w:sz w:val="24"/>
        </w:rPr>
        <w:t>e</w:t>
      </w:r>
      <w:r w:rsidRPr="00BA543E">
        <w:rPr>
          <w:rFonts w:ascii="Times New Roman" w:eastAsia="Calibri" w:hAnsi="Times New Roman" w:cs="Times New Roman"/>
          <w:sz w:val="24"/>
        </w:rPr>
        <w:t xml:space="preserve"> dokumenti apliecina, ka pieteicēja nenodarbojās ar darījumu partneru meklēšanu, tie sameklē pieteicēju paši, atsaucoties uz plašsaziņas līdzekļos un internetā pieteicējas ievietotu reklāmu par tās saimniecisko darbību. Šajā gadījumā darījumu raksturs neprasīja pārliecināties par darījuma partneru spēju sniegt pakalpojumus, jo preču piegādi veica pārdevējs uz līgumā norādīto preču piegādes vietu. Preču piegādes veicējs – pārvadātājs – nenoliedz pārvadājumu veikšanu, un lietā ir dokumenti par pārvadājumu norisi. </w:t>
      </w:r>
    </w:p>
    <w:p w14:paraId="52EB04BF"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No minētā izriet, ka apgabaltiesa ir pievērsusi uzmanību pieteicējas un tās piegādātāja darbības modelim un darījumu raksturam un ir atzinusi par ticamu, ka pieteicēja nesaskatīja vajadzību veikt padziļinātu izpēti par darījumu partneri. Šādos apstākļos, kad darījumus ir iespējams nokārtot bez sav</w:t>
      </w:r>
      <w:r>
        <w:rPr>
          <w:rFonts w:ascii="Times New Roman" w:eastAsia="Times New Roman" w:hAnsi="Times New Roman" w:cs="Times New Roman"/>
          <w:sz w:val="24"/>
        </w:rPr>
        <w:t>starpējas saskarsmes un papildu</w:t>
      </w:r>
      <w:r w:rsidRPr="00BA543E">
        <w:rPr>
          <w:rFonts w:ascii="Times New Roman" w:eastAsia="Times New Roman" w:hAnsi="Times New Roman" w:cs="Times New Roman"/>
          <w:sz w:val="24"/>
        </w:rPr>
        <w:t xml:space="preserve"> informācijas apmaiņas, būtu īpaši </w:t>
      </w:r>
      <w:r w:rsidRPr="00BA543E">
        <w:rPr>
          <w:rFonts w:ascii="Times New Roman" w:eastAsia="Times New Roman" w:hAnsi="Times New Roman" w:cs="Times New Roman"/>
          <w:sz w:val="24"/>
        </w:rPr>
        <w:lastRenderedPageBreak/>
        <w:t>jāpamato, kāpēc pieteicējai būtu jāizrāda lielāka interese par darījumu partneri, kas arī būtu pamats pieteicējai pārmest apzinātu iesaisti nelikumīgos darījumos.</w:t>
      </w:r>
    </w:p>
    <w:p w14:paraId="1D21FFCF"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p>
    <w:p w14:paraId="3C5F7BAB"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w:t>
      </w:r>
      <w:r>
        <w:rPr>
          <w:rFonts w:ascii="Times New Roman" w:eastAsia="Times New Roman" w:hAnsi="Times New Roman" w:cs="Times New Roman"/>
          <w:sz w:val="24"/>
        </w:rPr>
        <w:t>9</w:t>
      </w:r>
      <w:r w:rsidRPr="00BA543E">
        <w:rPr>
          <w:rFonts w:ascii="Times New Roman" w:eastAsia="Times New Roman" w:hAnsi="Times New Roman" w:cs="Times New Roman"/>
          <w:sz w:val="24"/>
        </w:rPr>
        <w:t>] Vienīgais dienesta arguments, kas ir vērsts uz pamatojumu tam, ka pieteicēja zināja vai tai bija jāzina par nodokļu sistēmas ļaunprātīgu izmantošanu, pirmo reizi tika ietverts dienesta apelācijas sūdzībā un ir saistīts ar to, ka pieteicējai šajā gadījumā ir no tiesību normām izrietošs pienākums rūpīgi un detalizēti pārbaudīt darījumu partnerus un preču izcelsmi, kas šajā gadījumā netika veikts. Šādu nostāju dienests pamato ar regulu Nr. 178/2002, kas, dienesta ieskatā, uzliek uzņēmējiem, kas iesaistīti pārtikas apritē, pienākumu veikt padziļinātu darījumu partneru pārbaudi, tostarp to reģistrāciju Pārtikas un veterinārajā dienestā.</w:t>
      </w:r>
    </w:p>
    <w:p w14:paraId="3618364C"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Pieteicēja paskaidrojumos par kasācijas sūdzību norāda, ka visi iepirktie graudi tika paredzēti realizācijai degvielas ražošanā, tādējādi nav pamata attiecināt uz pieteicēju regulējumu, kas ir attiecināms uz pārtikas apritē iesaistītajiem uzņēmējiem. Taču lietā nav atrodams neviens pierādījums pieteicējas apgalvojumam, ka graudi tika izmantoti degvielas ražošanā. Pieteicējas un to darījumu partneru noslēgtajos graudu pirkuma līgumos ir ietverta prasība, ka precei jāatbilst Pārtikas un veterināra dienesta noteiktajām prasībām. Tāpat pieteicējas apgabaltiesas 2015.gada 25.februāra tiesas sēdē norādītie uzņēmumi, kam pieteicēja pamatā ir realizējusi iepirktos graudus, nav saistīti ar degvielas ražošanu.</w:t>
      </w:r>
    </w:p>
    <w:p w14:paraId="59E7E005"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 xml:space="preserve">Ņemot vērā minēto, šajā gadījumā nav rodams objektīvs apstiprinājums tam, ka iepirktie graudi tika paredzēti realizācijai degvielas ražošanā, vai vismaz, ka tie noteikti netika iesaistīti pārtikas apritē. </w:t>
      </w:r>
    </w:p>
    <w:p w14:paraId="2F89F490"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p>
    <w:p w14:paraId="5A77FC7F"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[1</w:t>
      </w:r>
      <w:r>
        <w:rPr>
          <w:rFonts w:ascii="Times New Roman" w:eastAsia="Times New Roman" w:hAnsi="Times New Roman" w:cs="Times New Roman"/>
          <w:sz w:val="24"/>
        </w:rPr>
        <w:t>0</w:t>
      </w:r>
      <w:r w:rsidRPr="00BA543E">
        <w:rPr>
          <w:rFonts w:ascii="Times New Roman" w:eastAsia="Times New Roman" w:hAnsi="Times New Roman" w:cs="Times New Roman"/>
          <w:sz w:val="24"/>
        </w:rPr>
        <w:t>]</w:t>
      </w:r>
      <w:r>
        <w:rPr>
          <w:rFonts w:ascii="Times New Roman" w:eastAsia="Times New Roman" w:hAnsi="Times New Roman" w:cs="Times New Roman"/>
          <w:sz w:val="24"/>
        </w:rPr>
        <w:t> </w:t>
      </w:r>
      <w:r w:rsidRPr="00BA543E">
        <w:rPr>
          <w:rFonts w:ascii="Times New Roman" w:eastAsia="Times New Roman" w:hAnsi="Times New Roman" w:cs="Times New Roman"/>
          <w:sz w:val="24"/>
        </w:rPr>
        <w:t>Regulas Nr. 178/2002 18.panta 1.punkts noteic, ka visos ražošanas, pārstrādes un izplatīšanas posmos ir nodrošināts, ka pārtiku, barību, produktīvos dzīvniekus un jebkuras citas vielas, ko paredzēts pievienot vai ko varētu pievienot pārtikai vai barībai, var izsekot. Panta 2.punkts paredz, ka uzņēmēji, kas iesaistīti pārtikas un barības apritē, spēj identificēt jebkuru personu, kas tām piegādājusi pārtiku, barību, produktīvu dzīvnieku vai jebkuru vielu, ko paredzēts pievienot vai ko varētu pievienot pārtikai vai barībai. Tādēļ minēto uzņēmēju rīcībā ir sistēmas un procedūras, kas dod iespēju pēc pieprasījuma darīt attiecīgo informāciju zināmu kompetentajām iestādēm.</w:t>
      </w:r>
    </w:p>
    <w:p w14:paraId="481E7937"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Izskatāmajā</w:t>
      </w:r>
      <w:r w:rsidRPr="00BA543E">
        <w:rPr>
          <w:rFonts w:ascii="Times New Roman" w:eastAsia="Times New Roman" w:hAnsi="Times New Roman" w:cs="Times New Roman"/>
          <w:sz w:val="24"/>
        </w:rPr>
        <w:t xml:space="preserve"> lietā Eiropas Savienības Tiesa, atbildot uz Senāta uzdoto jautājumu, atzina, ka šajā normā paredzētā ar pārtikas izsekojamību saistītā pienākuma mērķis atšķiras no krāpšanas pievienotās vērtības nodokļa jomā atklāšanas mērķa. No regulas Nr. 178/2002 28. un 29. apsvēruma izriet, ka pārtikas produktu piegādātāju identifikācijas pienākums ir vērsts uz to, lai būtu iespējams mērķtiecīgi un precīzi izņemt produktus no tirgus un sniegt informāciju patērētājiem vai amatpersonām, kas veic kontroli, lai izvairītos no vēl plašākiem nepamatotiem traucējumiem iekšējā tirgū.</w:t>
      </w:r>
    </w:p>
    <w:p w14:paraId="541D0E18" w14:textId="77777777" w:rsidR="00773250" w:rsidRPr="00BA543E" w:rsidRDefault="00773250" w:rsidP="00773250">
      <w:pPr>
        <w:tabs>
          <w:tab w:val="left" w:pos="1134"/>
        </w:tabs>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color w:val="000000"/>
          <w:sz w:val="24"/>
        </w:rPr>
        <w:t>Eiropas Savienības Tiesa tāpat norādīja, ka direktīvā 2006/112/EK nav rodams nekāds juridiskais pamats tiesību uz pievienotās vērtības nodokļa atskaitīšanu atteikumam gadījumā, ja nav izpildīti pienākumi, kas izriet no regulas Nr. 178/2002 tiesību normas. Regulā Nr. 178/2002 paredzētie pienākumi faktiski nav saistīti ar šajā direktīvā paredzētajām atskaitīšanas tiesību materiālajām un formālajām prasībām vai nosacījumiem (</w:t>
      </w:r>
      <w:r w:rsidRPr="00BA543E">
        <w:rPr>
          <w:rFonts w:ascii="Times New Roman" w:eastAsia="Times New Roman" w:hAnsi="Times New Roman" w:cs="Times New Roman"/>
          <w:i/>
          <w:color w:val="000000"/>
          <w:sz w:val="24"/>
        </w:rPr>
        <w:t>sprieduma 34.punkts</w:t>
      </w:r>
      <w:r w:rsidRPr="00BA543E">
        <w:rPr>
          <w:rFonts w:ascii="Times New Roman" w:eastAsia="Times New Roman" w:hAnsi="Times New Roman" w:cs="Times New Roman"/>
          <w:color w:val="000000"/>
          <w:sz w:val="24"/>
        </w:rPr>
        <w:t>).</w:t>
      </w:r>
    </w:p>
    <w:p w14:paraId="79B283C2" w14:textId="77777777" w:rsidR="00773250" w:rsidRPr="00BA543E" w:rsidRDefault="00773250" w:rsidP="00773250">
      <w:pPr>
        <w:tabs>
          <w:tab w:val="left" w:pos="1134"/>
        </w:tabs>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color w:val="000000"/>
          <w:sz w:val="24"/>
        </w:rPr>
        <w:t>No tā izriet, ka šāds pienākums kā tāds nevar tikt uzskatīts par pasākumu, kuru nodokļu maksātājam saprātīgi var pieprasīt veikt, lai pārliecinātos, ka tā darījumi nav iesaistīti krāpšanā kopējās pievienotās vērtības nodokļa sistēmas jomā. Tādējādi iespējama š</w:t>
      </w:r>
      <w:r>
        <w:rPr>
          <w:rFonts w:ascii="Times New Roman" w:eastAsia="Times New Roman" w:hAnsi="Times New Roman" w:cs="Times New Roman"/>
          <w:color w:val="000000"/>
          <w:sz w:val="24"/>
        </w:rPr>
        <w:t>ā</w:t>
      </w:r>
      <w:r w:rsidRPr="00BA543E">
        <w:rPr>
          <w:rFonts w:ascii="Times New Roman" w:eastAsia="Times New Roman" w:hAnsi="Times New Roman" w:cs="Times New Roman"/>
          <w:color w:val="000000"/>
          <w:sz w:val="24"/>
        </w:rPr>
        <w:t xml:space="preserve"> pienākuma </w:t>
      </w:r>
      <w:r w:rsidRPr="00BA543E">
        <w:rPr>
          <w:rFonts w:ascii="Times New Roman" w:eastAsia="Times New Roman" w:hAnsi="Times New Roman" w:cs="Times New Roman"/>
          <w:color w:val="000000"/>
          <w:sz w:val="24"/>
        </w:rPr>
        <w:lastRenderedPageBreak/>
        <w:t>neizpilde pati par sevi vien nevar būt pamats liegt šim nodokļu maksātājam atskaitīt pievienotās vērtības nodokli (</w:t>
      </w:r>
      <w:r w:rsidRPr="00BA543E">
        <w:rPr>
          <w:rFonts w:ascii="Times New Roman" w:eastAsia="Times New Roman" w:hAnsi="Times New Roman" w:cs="Times New Roman"/>
          <w:i/>
          <w:color w:val="000000"/>
          <w:sz w:val="24"/>
        </w:rPr>
        <w:t>sprieduma 36.punkts</w:t>
      </w:r>
      <w:r w:rsidRPr="00BA543E">
        <w:rPr>
          <w:rFonts w:ascii="Times New Roman" w:eastAsia="Times New Roman" w:hAnsi="Times New Roman" w:cs="Times New Roman"/>
          <w:color w:val="000000"/>
          <w:sz w:val="24"/>
        </w:rPr>
        <w:t>).</w:t>
      </w:r>
    </w:p>
    <w:p w14:paraId="5075AFE6" w14:textId="77777777" w:rsidR="00773250" w:rsidRPr="00BA543E" w:rsidRDefault="00773250" w:rsidP="00773250">
      <w:pPr>
        <w:tabs>
          <w:tab w:val="left" w:pos="1134"/>
        </w:tabs>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Turklāt regulas Nr. 178/2002 18.panta 2.punktā paredzētais pienākums atbilstoši šīs tiesību normas formulējumam ietver jebkura pārtikas piegādātāja identificēšanu, kā arī tādu sistēmu un procedūru ieviešanu, kas ļautu šādu informāciju darīt zināmu kompetentajām iestādēm pēc to pieprasījuma. Runājot par šai identificēšanai nepieciešamajiem datiem, ir jākonstatē, ka šiem datiem ir jāļauj sasniegt iepriekš minēto izsekojamības mērķi, un tādējādi principā pietiek ar to, ka tiek identificēts piegādātāju nosaukums un adrese. No tā izriet, ka arguments par to, ka šajā regulā vispārīgi ir prasīts veikt padziļinātu darījumu partnera izpēti, nevar tikt akceptēts</w:t>
      </w:r>
      <w:r w:rsidRPr="00BA543E">
        <w:rPr>
          <w:rFonts w:ascii="Times New Roman" w:eastAsia="Times New Roman" w:hAnsi="Times New Roman" w:cs="Times New Roman"/>
          <w:sz w:val="24"/>
          <w:shd w:val="clear" w:color="auto" w:fill="FFFFFF"/>
        </w:rPr>
        <w:t xml:space="preserve"> (</w:t>
      </w:r>
      <w:r w:rsidRPr="00BA543E">
        <w:rPr>
          <w:rFonts w:ascii="Times New Roman" w:eastAsia="Times New Roman" w:hAnsi="Times New Roman" w:cs="Times New Roman"/>
          <w:i/>
          <w:sz w:val="24"/>
        </w:rPr>
        <w:t>sprieduma 37. un 38.punkts</w:t>
      </w:r>
      <w:r w:rsidRPr="00BA543E">
        <w:rPr>
          <w:rFonts w:ascii="Times New Roman" w:eastAsia="Times New Roman" w:hAnsi="Times New Roman" w:cs="Times New Roman"/>
          <w:sz w:val="24"/>
        </w:rPr>
        <w:t>).</w:t>
      </w:r>
    </w:p>
    <w:p w14:paraId="4DE9DF4C" w14:textId="77777777" w:rsidR="00773250" w:rsidRPr="00BA543E" w:rsidRDefault="00773250" w:rsidP="00773250">
      <w:pPr>
        <w:tabs>
          <w:tab w:val="left" w:pos="1134"/>
        </w:tabs>
        <w:spacing w:after="0" w:line="276" w:lineRule="auto"/>
        <w:ind w:firstLine="567"/>
        <w:jc w:val="both"/>
        <w:rPr>
          <w:rFonts w:ascii="Times New Roman" w:eastAsia="Times New Roman" w:hAnsi="Times New Roman" w:cs="Times New Roman"/>
          <w:sz w:val="24"/>
        </w:rPr>
      </w:pPr>
      <w:r w:rsidRPr="00A15B37">
        <w:rPr>
          <w:rFonts w:ascii="Times New Roman" w:eastAsia="Times New Roman" w:hAnsi="Times New Roman" w:cs="Times New Roman"/>
          <w:sz w:val="24"/>
        </w:rPr>
        <w:t>Citādi būtu tikai tad, ja tiktu pienācīgi konstatēts, ka īpašu apstākļu dēļ attiecīgo produktu pircējam bija jārodas nopietnām šaubām par šo produktu piegādātāja faktisko esību vai patieso identitāti, kura tam atbilstoši regulai Nr. 178/2002 ir jākonstatē pārliecinošā veidā; tas attiecīgā</w:t>
      </w:r>
      <w:r w:rsidRPr="00BA543E">
        <w:rPr>
          <w:rFonts w:ascii="Times New Roman" w:eastAsia="Times New Roman" w:hAnsi="Times New Roman" w:cs="Times New Roman"/>
          <w:sz w:val="24"/>
        </w:rPr>
        <w:t xml:space="preserve"> gadījumā būs jāpārbauda iesniedzējtiesai. Šādā gadījumā šāds apstāklis varētu būt viena no norādēm, kas kopā konsekventi apliecina, ka šis nodokļu maksātājs zināja vai tam bija jāzina, ka tas piedalās ar krāpšanu pievienotās vērtības nodokļa jomā saistītā darījumā (</w:t>
      </w:r>
      <w:r w:rsidRPr="00BA543E">
        <w:rPr>
          <w:rFonts w:ascii="Times New Roman" w:eastAsia="Times New Roman" w:hAnsi="Times New Roman" w:cs="Times New Roman"/>
          <w:i/>
          <w:sz w:val="24"/>
        </w:rPr>
        <w:t>sprieduma 39. un 40.punkts</w:t>
      </w:r>
      <w:r w:rsidRPr="00BA543E">
        <w:rPr>
          <w:rFonts w:ascii="Times New Roman" w:eastAsia="Times New Roman" w:hAnsi="Times New Roman" w:cs="Times New Roman"/>
          <w:sz w:val="24"/>
        </w:rPr>
        <w:t>).</w:t>
      </w:r>
    </w:p>
    <w:p w14:paraId="20285129" w14:textId="77777777" w:rsidR="00773250" w:rsidRPr="00BA543E" w:rsidRDefault="00773250" w:rsidP="00773250">
      <w:pPr>
        <w:tabs>
          <w:tab w:val="left" w:pos="1134"/>
        </w:tabs>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Ņemot vērā iepriekš minēto, Senāts atzīst, ka, lai arī regulas Nr. 178/2002 18.pants kopumā ir vērsts uz pārtikas izsekojamības mērķa sasniegšanu, tomēr uzņēmēja pienākums šā mērķa ietvaros ir vienīgi identificēt piegādātāju – tā nosaukumu un adresi. Uzņēmējam šā mērķa īstenošanai nav patstāvīgi jānoskaidro pārtikas izcelsme. Turklāt, ja arī piegādātāja identificēšanas pienākums netiek izpildīts, tas pats par sevi nevar būt pamats priekšnodokļa atskaitīšanas tiesību liegšanai. Līdz ar to šādā ziņā dienesta arguments nav pamatots.</w:t>
      </w:r>
    </w:p>
    <w:p w14:paraId="45BE509C" w14:textId="77777777" w:rsidR="00773250" w:rsidRPr="00BA543E" w:rsidRDefault="00773250" w:rsidP="00773250">
      <w:pPr>
        <w:tabs>
          <w:tab w:val="left" w:pos="1134"/>
        </w:tabs>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Tajā pašā laikā, ja tiek konstatēts, ka priekšnodokļa atskaitīšanas tiesības izmantotas nepamatoti, tad tiesai, vērtējot, vai pieteicēja to zināja vai tai vajadzēja to zināt, būtu arī jāņem vērā apstāklis, ka pieteicēja piedalās pārtikas apritē, noskaidrojot, kāda būtu parastā darījumu prakse šādā situācijā, kāda rīcība būtu saprātīgi sagaidāma no pieteicējas darījumu partneru identificēšanā, kā arī attiecībā uz piegādāto preču kvalitātes garantijām u.c. Šajā vērtējumā arī fakts par to, ka nav izpildīts pienākums, kas izriet no pārtikas izsekojamības mērķiem, var kalpot par vienu no norādēm, kas kopā konsekventi apliecina, ka nodokļu maksātājs zināja vai tam bija jāzina, ka tas piedalās ar krāpšanu pievienotās vērtības nodokļa jomā saistītā darījumā (</w:t>
      </w:r>
      <w:r w:rsidRPr="00BA543E">
        <w:rPr>
          <w:rFonts w:ascii="Times New Roman" w:eastAsia="Times New Roman" w:hAnsi="Times New Roman" w:cs="Times New Roman"/>
          <w:i/>
          <w:sz w:val="24"/>
        </w:rPr>
        <w:t>sprieduma 41.punkts</w:t>
      </w:r>
      <w:r w:rsidRPr="00BA543E">
        <w:rPr>
          <w:rFonts w:ascii="Times New Roman" w:eastAsia="Times New Roman" w:hAnsi="Times New Roman" w:cs="Times New Roman"/>
          <w:sz w:val="24"/>
        </w:rPr>
        <w:t>).</w:t>
      </w:r>
    </w:p>
    <w:p w14:paraId="31274BC9" w14:textId="77777777" w:rsidR="00773250" w:rsidRDefault="00773250" w:rsidP="00773250">
      <w:pPr>
        <w:tabs>
          <w:tab w:val="left" w:pos="1134"/>
        </w:tabs>
        <w:spacing w:after="0" w:line="276" w:lineRule="auto"/>
        <w:ind w:firstLine="567"/>
        <w:jc w:val="both"/>
        <w:rPr>
          <w:rFonts w:ascii="Times New Roman" w:eastAsia="Times New Roman" w:hAnsi="Times New Roman" w:cs="Times New Roman"/>
          <w:sz w:val="24"/>
        </w:rPr>
      </w:pPr>
    </w:p>
    <w:p w14:paraId="4B933310" w14:textId="77777777" w:rsidR="00773250" w:rsidRDefault="00773250" w:rsidP="00773250">
      <w:pPr>
        <w:tabs>
          <w:tab w:val="left" w:pos="1134"/>
        </w:tabs>
        <w:spacing w:after="0" w:line="276"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[12] Šajā gadījumā nav šaubu, ka pieteicēja ir veikusi vispārīgu savu darījumu partneru </w:t>
      </w:r>
      <w:r w:rsidRPr="00BA543E">
        <w:rPr>
          <w:rFonts w:ascii="Times New Roman" w:eastAsia="Times New Roman" w:hAnsi="Times New Roman" w:cs="Times New Roman"/>
          <w:sz w:val="24"/>
        </w:rPr>
        <w:t>identificēšanu</w:t>
      </w:r>
      <w:r>
        <w:rPr>
          <w:rFonts w:ascii="Times New Roman" w:eastAsia="Times New Roman" w:hAnsi="Times New Roman" w:cs="Times New Roman"/>
          <w:sz w:val="24"/>
        </w:rPr>
        <w:t>, noskaidrojot to nosaukumu un adresi, kas principā ļauj identificēt attiecīgos pārtikas apritē iesaistītos dalībniekus un</w:t>
      </w:r>
      <w:r w:rsidRPr="00BA543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ir pietiekami regulas Nr. 178/2002 izsekojamības mērķa sasniegšanai. </w:t>
      </w:r>
    </w:p>
    <w:p w14:paraId="691ACCDE" w14:textId="77777777" w:rsidR="00773250" w:rsidRPr="00D81C66" w:rsidRDefault="00773250" w:rsidP="00773250">
      <w:pPr>
        <w:tabs>
          <w:tab w:val="left" w:pos="1134"/>
        </w:tabs>
        <w:spacing w:after="0" w:line="276" w:lineRule="auto"/>
        <w:ind w:firstLine="567"/>
        <w:jc w:val="both"/>
        <w:rPr>
          <w:rFonts w:ascii="Times New Roman" w:eastAsia="Arial" w:hAnsi="Times New Roman" w:cs="Times New Roman"/>
          <w:color w:val="000000"/>
          <w:sz w:val="18"/>
        </w:rPr>
      </w:pPr>
      <w:r>
        <w:rPr>
          <w:rFonts w:ascii="Times New Roman" w:eastAsia="Times New Roman" w:hAnsi="Times New Roman" w:cs="Times New Roman"/>
          <w:sz w:val="24"/>
        </w:rPr>
        <w:t>Vienlaikus,</w:t>
      </w:r>
      <w:r w:rsidRPr="00BA543E">
        <w:rPr>
          <w:rFonts w:ascii="Times New Roman" w:eastAsia="Times New Roman" w:hAnsi="Times New Roman" w:cs="Times New Roman"/>
          <w:sz w:val="24"/>
        </w:rPr>
        <w:t xml:space="preserve"> kā jau tas minēts iepriekš, </w:t>
      </w:r>
      <w:r>
        <w:rPr>
          <w:rFonts w:ascii="Times New Roman" w:eastAsia="Times New Roman" w:hAnsi="Times New Roman" w:cs="Times New Roman"/>
          <w:sz w:val="24"/>
        </w:rPr>
        <w:t xml:space="preserve">izvērtējot lietas apstākļus un pierādījumus, ir atzīts par ticamu, ka strīdus darījumu būtība un process neradīja tādus apstākļus, kas varēja būt par pamatu nepieciešamībai veikt padziļinātu darījumu partneru pārbaudi, proti, šajā gadījumā nav konstatēti kādi </w:t>
      </w:r>
      <w:r w:rsidRPr="00BA543E">
        <w:rPr>
          <w:rFonts w:ascii="Times New Roman" w:eastAsia="Times New Roman" w:hAnsi="Times New Roman" w:cs="Times New Roman"/>
          <w:sz w:val="24"/>
        </w:rPr>
        <w:t>īpaš</w:t>
      </w:r>
      <w:r>
        <w:rPr>
          <w:rFonts w:ascii="Times New Roman" w:eastAsia="Times New Roman" w:hAnsi="Times New Roman" w:cs="Times New Roman"/>
          <w:sz w:val="24"/>
        </w:rPr>
        <w:t>i</w:t>
      </w:r>
      <w:r w:rsidRPr="00BA543E">
        <w:rPr>
          <w:rFonts w:ascii="Times New Roman" w:eastAsia="Times New Roman" w:hAnsi="Times New Roman" w:cs="Times New Roman"/>
          <w:sz w:val="24"/>
        </w:rPr>
        <w:t xml:space="preserve"> apstākļ</w:t>
      </w:r>
      <w:r>
        <w:rPr>
          <w:rFonts w:ascii="Times New Roman" w:eastAsia="Times New Roman" w:hAnsi="Times New Roman" w:cs="Times New Roman"/>
          <w:sz w:val="24"/>
        </w:rPr>
        <w:t>i, kuru dēļ pieteicējai</w:t>
      </w:r>
      <w:r w:rsidRPr="00BA543E">
        <w:rPr>
          <w:rFonts w:ascii="Times New Roman" w:eastAsia="Times New Roman" w:hAnsi="Times New Roman" w:cs="Times New Roman"/>
          <w:sz w:val="24"/>
        </w:rPr>
        <w:t xml:space="preserve"> </w:t>
      </w:r>
      <w:r>
        <w:rPr>
          <w:rFonts w:ascii="Times New Roman" w:eastAsia="Times New Roman" w:hAnsi="Times New Roman" w:cs="Times New Roman"/>
          <w:sz w:val="24"/>
        </w:rPr>
        <w:t>varēja rastie</w:t>
      </w:r>
      <w:r w:rsidRPr="00BA543E">
        <w:rPr>
          <w:rFonts w:ascii="Times New Roman" w:eastAsia="Times New Roman" w:hAnsi="Times New Roman" w:cs="Times New Roman"/>
          <w:sz w:val="24"/>
        </w:rPr>
        <w:t>s nopietn</w:t>
      </w:r>
      <w:r>
        <w:rPr>
          <w:rFonts w:ascii="Times New Roman" w:eastAsia="Times New Roman" w:hAnsi="Times New Roman" w:cs="Times New Roman"/>
          <w:sz w:val="24"/>
        </w:rPr>
        <w:t>as</w:t>
      </w:r>
      <w:r w:rsidRPr="00BA543E">
        <w:rPr>
          <w:rFonts w:ascii="Times New Roman" w:eastAsia="Times New Roman" w:hAnsi="Times New Roman" w:cs="Times New Roman"/>
          <w:sz w:val="24"/>
        </w:rPr>
        <w:t xml:space="preserve"> šaub</w:t>
      </w:r>
      <w:r>
        <w:rPr>
          <w:rFonts w:ascii="Times New Roman" w:eastAsia="Times New Roman" w:hAnsi="Times New Roman" w:cs="Times New Roman"/>
          <w:sz w:val="24"/>
        </w:rPr>
        <w:t>as</w:t>
      </w:r>
      <w:r w:rsidRPr="00BA543E">
        <w:rPr>
          <w:rFonts w:ascii="Times New Roman" w:eastAsia="Times New Roman" w:hAnsi="Times New Roman" w:cs="Times New Roman"/>
          <w:sz w:val="24"/>
        </w:rPr>
        <w:t xml:space="preserve"> par </w:t>
      </w:r>
      <w:r>
        <w:rPr>
          <w:rFonts w:ascii="Times New Roman" w:eastAsia="Times New Roman" w:hAnsi="Times New Roman" w:cs="Times New Roman"/>
          <w:sz w:val="24"/>
        </w:rPr>
        <w:t>strīdus</w:t>
      </w:r>
      <w:r w:rsidRPr="00BA543E">
        <w:rPr>
          <w:rFonts w:ascii="Times New Roman" w:eastAsia="Times New Roman" w:hAnsi="Times New Roman" w:cs="Times New Roman"/>
          <w:sz w:val="24"/>
        </w:rPr>
        <w:t xml:space="preserve"> produktu piegādātāj</w:t>
      </w:r>
      <w:r>
        <w:rPr>
          <w:rFonts w:ascii="Times New Roman" w:eastAsia="Times New Roman" w:hAnsi="Times New Roman" w:cs="Times New Roman"/>
          <w:sz w:val="24"/>
        </w:rPr>
        <w:t>u</w:t>
      </w:r>
      <w:r w:rsidRPr="00BA543E">
        <w:rPr>
          <w:rFonts w:ascii="Times New Roman" w:eastAsia="Times New Roman" w:hAnsi="Times New Roman" w:cs="Times New Roman"/>
          <w:sz w:val="24"/>
        </w:rPr>
        <w:t xml:space="preserve"> faktisko esību vai patieso identitāti</w:t>
      </w:r>
      <w:r>
        <w:rPr>
          <w:rFonts w:ascii="Times New Roman" w:eastAsia="Times New Roman" w:hAnsi="Times New Roman" w:cs="Times New Roman"/>
          <w:sz w:val="24"/>
        </w:rPr>
        <w:t>. Minēto secinājumu pamato šajā lietā konstatētā graudu iepirkšanas darījumu specifika, proti, gan apstāklis, ka darījumu partneri paši sameklēja pieteicēju, atsaucoties uz sludinājumu internetā, gan arī tas, ka preču piegādi nodrošināja paši darījumu partneri</w:t>
      </w:r>
      <w:r>
        <w:rPr>
          <w:rFonts w:ascii="Times New Roman" w:eastAsia="Calibri" w:hAnsi="Times New Roman" w:cs="Times New Roman"/>
          <w:sz w:val="24"/>
        </w:rPr>
        <w:t>. Šādos apstākļos pieteicējai varēja rasties objektīva paļaušanās uz saviem darījumu partneriem</w:t>
      </w:r>
      <w:r w:rsidRPr="008417AA">
        <w:rPr>
          <w:rFonts w:ascii="Times New Roman" w:eastAsia="Times New Roman" w:hAnsi="Times New Roman" w:cs="Times New Roman"/>
          <w:sz w:val="24"/>
        </w:rPr>
        <w:t xml:space="preserve">, bez nepieciešamības izrādīt lielāku interesi par </w:t>
      </w:r>
      <w:r w:rsidRPr="008417AA">
        <w:rPr>
          <w:rFonts w:ascii="Times New Roman" w:eastAsia="Times New Roman" w:hAnsi="Times New Roman" w:cs="Times New Roman"/>
          <w:sz w:val="24"/>
        </w:rPr>
        <w:lastRenderedPageBreak/>
        <w:t>tiem.</w:t>
      </w:r>
      <w:r>
        <w:rPr>
          <w:rFonts w:ascii="Times New Roman" w:eastAsia="Calibri" w:hAnsi="Times New Roman" w:cs="Times New Roman"/>
          <w:sz w:val="24"/>
        </w:rPr>
        <w:t xml:space="preserve"> </w:t>
      </w:r>
      <w:r>
        <w:rPr>
          <w:rFonts w:ascii="Times New Roman" w:eastAsia="Times New Roman" w:hAnsi="Times New Roman" w:cs="Times New Roman"/>
          <w:sz w:val="24"/>
        </w:rPr>
        <w:t xml:space="preserve">Ņemot vērā minēto, Valsts ieņēmumu dienesta arguments, ka </w:t>
      </w:r>
      <w:r w:rsidRPr="00BA543E">
        <w:rPr>
          <w:rFonts w:ascii="Times New Roman" w:eastAsia="Times New Roman" w:hAnsi="Times New Roman" w:cs="Times New Roman"/>
          <w:sz w:val="24"/>
        </w:rPr>
        <w:t>pieteicēja</w:t>
      </w:r>
      <w:r>
        <w:rPr>
          <w:rFonts w:ascii="Times New Roman" w:eastAsia="Times New Roman" w:hAnsi="Times New Roman" w:cs="Times New Roman"/>
          <w:sz w:val="24"/>
        </w:rPr>
        <w:t xml:space="preserve">s nelabticīgumu </w:t>
      </w:r>
      <w:r w:rsidRPr="00BA543E">
        <w:rPr>
          <w:rFonts w:ascii="Times New Roman" w:eastAsia="Times New Roman" w:hAnsi="Times New Roman" w:cs="Times New Roman"/>
          <w:sz w:val="24"/>
        </w:rPr>
        <w:t xml:space="preserve">nodokļu sistēmas </w:t>
      </w:r>
      <w:r>
        <w:rPr>
          <w:rFonts w:ascii="Times New Roman" w:eastAsia="Times New Roman" w:hAnsi="Times New Roman" w:cs="Times New Roman"/>
          <w:sz w:val="24"/>
        </w:rPr>
        <w:t>izmantošanā pierāda tās darījumu partneru padziļinātas pārbaudes neveikšana, šajā gadījumā ir atzīstams par nepamatotu.</w:t>
      </w:r>
    </w:p>
    <w:p w14:paraId="44325B9B" w14:textId="77777777" w:rsidR="00773250" w:rsidRDefault="00773250" w:rsidP="00773250">
      <w:pPr>
        <w:spacing w:after="0" w:line="276" w:lineRule="auto"/>
        <w:ind w:firstLine="567"/>
        <w:jc w:val="both"/>
        <w:rPr>
          <w:rFonts w:ascii="Times New Roman" w:eastAsia="Times New Roman" w:hAnsi="Times New Roman" w:cs="Times New Roman"/>
          <w:sz w:val="24"/>
        </w:rPr>
      </w:pPr>
    </w:p>
    <w:p w14:paraId="5AF125EB" w14:textId="77777777" w:rsidR="00773250" w:rsidRPr="00BA543E" w:rsidRDefault="00773250" w:rsidP="00773250">
      <w:pPr>
        <w:tabs>
          <w:tab w:val="left" w:pos="1134"/>
        </w:tabs>
        <w:spacing w:after="0" w:line="276"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[13] </w:t>
      </w:r>
      <w:r w:rsidRPr="00BA543E">
        <w:rPr>
          <w:rFonts w:ascii="Times New Roman" w:eastAsia="Times New Roman" w:hAnsi="Times New Roman" w:cs="Times New Roman"/>
          <w:sz w:val="24"/>
        </w:rPr>
        <w:t>Eiropas Savienības Tiesa</w:t>
      </w:r>
      <w:r>
        <w:rPr>
          <w:rFonts w:ascii="Times New Roman" w:eastAsia="Times New Roman" w:hAnsi="Times New Roman" w:cs="Times New Roman"/>
          <w:sz w:val="24"/>
        </w:rPr>
        <w:t xml:space="preserve"> šajā lietā tāpat</w:t>
      </w:r>
      <w:r w:rsidRPr="00BA543E">
        <w:rPr>
          <w:rFonts w:ascii="Times New Roman" w:eastAsia="Times New Roman" w:hAnsi="Times New Roman" w:cs="Times New Roman"/>
          <w:sz w:val="24"/>
        </w:rPr>
        <w:t xml:space="preserve"> ir norādījusi, ka tam, ka nodokļu maksātājs, kas iesaistīts pārtikas apritē, nav pārliecinājies par savu piegādātāju reģistrāciju kompetentajās iestādēs, tostarp Pārtikas un veterinārajā dienestā, nav nozīmes, novērtējot to, vai nodokļu maksātājs zināja vai tam bija jāzina, ka tas piedalās ar krāpšanu pievienotās vērtības</w:t>
      </w:r>
      <w:r>
        <w:rPr>
          <w:rFonts w:ascii="Times New Roman" w:eastAsia="Times New Roman" w:hAnsi="Times New Roman" w:cs="Times New Roman"/>
          <w:sz w:val="24"/>
        </w:rPr>
        <w:t xml:space="preserve"> nodokļa jomā saistītā darījumā </w:t>
      </w:r>
      <w:r w:rsidRPr="00BA543E">
        <w:rPr>
          <w:rFonts w:ascii="Times New Roman" w:eastAsia="Times New Roman" w:hAnsi="Times New Roman" w:cs="Times New Roman"/>
          <w:sz w:val="24"/>
        </w:rPr>
        <w:t>(</w:t>
      </w:r>
      <w:r w:rsidRPr="00BA543E">
        <w:rPr>
          <w:rFonts w:ascii="Times New Roman" w:eastAsia="Times New Roman" w:hAnsi="Times New Roman" w:cs="Times New Roman"/>
          <w:i/>
          <w:sz w:val="24"/>
        </w:rPr>
        <w:t>sprieduma 4</w:t>
      </w:r>
      <w:r>
        <w:rPr>
          <w:rFonts w:ascii="Times New Roman" w:eastAsia="Times New Roman" w:hAnsi="Times New Roman" w:cs="Times New Roman"/>
          <w:i/>
          <w:sz w:val="24"/>
        </w:rPr>
        <w:t>8</w:t>
      </w:r>
      <w:r w:rsidRPr="00BA543E">
        <w:rPr>
          <w:rFonts w:ascii="Times New Roman" w:eastAsia="Times New Roman" w:hAnsi="Times New Roman" w:cs="Times New Roman"/>
          <w:i/>
          <w:sz w:val="24"/>
        </w:rPr>
        <w:t>.punkts</w:t>
      </w:r>
      <w:r w:rsidRPr="00BA543E">
        <w:rPr>
          <w:rFonts w:ascii="Times New Roman" w:eastAsia="Times New Roman" w:hAnsi="Times New Roman" w:cs="Times New Roman"/>
          <w:sz w:val="24"/>
        </w:rPr>
        <w:t>).</w:t>
      </w:r>
    </w:p>
    <w:p w14:paraId="704895B0" w14:textId="77777777" w:rsidR="00773250" w:rsidRDefault="00773250" w:rsidP="00773250">
      <w:pPr>
        <w:spacing w:after="0" w:line="276" w:lineRule="auto"/>
        <w:ind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sz w:val="24"/>
        </w:rPr>
        <w:t xml:space="preserve"> Tādējādi pretēji Valsts ieņēmumu dienesta argumentam </w:t>
      </w:r>
      <w:r w:rsidRPr="00ED5068">
        <w:rPr>
          <w:rFonts w:ascii="Times New Roman" w:eastAsia="Calibri" w:hAnsi="Times New Roman" w:cs="Times New Roman"/>
          <w:sz w:val="24"/>
          <w:szCs w:val="24"/>
          <w:lang w:eastAsia="en-US"/>
        </w:rPr>
        <w:t>darījuma partnera reģistrācijas Pārtikas un veterinārajā dienestā fakta pārbaudei nevar piešķirt nozīmi, novērtējot to, vai uzņēmums zināja vai tam vajadzēja zināt, ka tas iesaistās darījumā ar fiktīvu uzņēmumu.</w:t>
      </w:r>
    </w:p>
    <w:p w14:paraId="2BA381AA" w14:textId="77777777" w:rsidR="00773250" w:rsidRDefault="00773250" w:rsidP="00773250">
      <w:pPr>
        <w:spacing w:after="0" w:line="276" w:lineRule="auto"/>
        <w:ind w:firstLine="567"/>
        <w:jc w:val="both"/>
        <w:rPr>
          <w:rFonts w:ascii="Times New Roman" w:eastAsia="Calibri" w:hAnsi="Times New Roman" w:cs="Times New Roman"/>
          <w:sz w:val="24"/>
          <w:szCs w:val="24"/>
          <w:lang w:eastAsia="en-US"/>
        </w:rPr>
      </w:pPr>
    </w:p>
    <w:p w14:paraId="3AB232FF" w14:textId="77777777" w:rsidR="00773250" w:rsidRPr="00ED5068" w:rsidRDefault="00773250" w:rsidP="00773250">
      <w:pPr>
        <w:spacing w:after="0" w:line="276"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[14] Tādējādi </w:t>
      </w:r>
      <w:r w:rsidRPr="00484B96">
        <w:rPr>
          <w:rFonts w:ascii="Times New Roman" w:eastAsia="Calibri" w:hAnsi="Times New Roman" w:cs="Times New Roman"/>
          <w:sz w:val="24"/>
          <w:szCs w:val="24"/>
          <w:lang w:eastAsia="en-US"/>
        </w:rPr>
        <w:t>tiesas secinājums, ka pieteicējai, ievērojot darījumu raksturu, nebija pamata apšaubīt to, ka darījums notiek ar konkrēto darījuma partneri, un nav pamata liegt tai priekšnodokļa atskaitīšanas tiesības, ir atzīstams par pareizu</w:t>
      </w:r>
      <w:r>
        <w:rPr>
          <w:rFonts w:ascii="Times New Roman" w:eastAsia="Calibri" w:hAnsi="Times New Roman" w:cs="Times New Roman"/>
          <w:sz w:val="24"/>
          <w:szCs w:val="24"/>
          <w:lang w:eastAsia="en-US"/>
        </w:rPr>
        <w:t>.</w:t>
      </w:r>
    </w:p>
    <w:p w14:paraId="615B2B1D" w14:textId="77777777" w:rsidR="00773250" w:rsidRPr="00BA543E" w:rsidRDefault="00773250" w:rsidP="00773250">
      <w:pPr>
        <w:spacing w:after="0" w:line="276" w:lineRule="auto"/>
        <w:jc w:val="both"/>
        <w:rPr>
          <w:rFonts w:ascii="Times New Roman" w:eastAsia="Times New Roman" w:hAnsi="Times New Roman" w:cs="Times New Roman"/>
          <w:sz w:val="24"/>
        </w:rPr>
      </w:pPr>
    </w:p>
    <w:p w14:paraId="0191E682" w14:textId="77777777" w:rsidR="00773250" w:rsidRPr="00BA543E" w:rsidRDefault="00773250" w:rsidP="00773250">
      <w:pPr>
        <w:spacing w:after="0" w:line="276" w:lineRule="auto"/>
        <w:jc w:val="center"/>
        <w:rPr>
          <w:rFonts w:ascii="Times New Roman" w:eastAsia="Times New Roman" w:hAnsi="Times New Roman" w:cs="Times New Roman"/>
          <w:b/>
          <w:sz w:val="24"/>
        </w:rPr>
      </w:pPr>
      <w:r w:rsidRPr="00BA543E">
        <w:rPr>
          <w:rFonts w:ascii="Times New Roman" w:eastAsia="Times New Roman" w:hAnsi="Times New Roman" w:cs="Times New Roman"/>
          <w:b/>
          <w:sz w:val="24"/>
        </w:rPr>
        <w:t>Rezolutīvā daļa</w:t>
      </w:r>
    </w:p>
    <w:p w14:paraId="5544BD13" w14:textId="77777777" w:rsidR="00773250" w:rsidRPr="00BA543E" w:rsidRDefault="00773250" w:rsidP="00773250">
      <w:pPr>
        <w:spacing w:after="0" w:line="276" w:lineRule="auto"/>
        <w:ind w:firstLine="567"/>
        <w:jc w:val="both"/>
        <w:rPr>
          <w:rFonts w:ascii="Times New Roman" w:eastAsia="Times New Roman" w:hAnsi="Times New Roman" w:cs="Times New Roman"/>
          <w:spacing w:val="70"/>
          <w:sz w:val="24"/>
        </w:rPr>
      </w:pPr>
    </w:p>
    <w:p w14:paraId="4916766B" w14:textId="77777777" w:rsidR="00773250" w:rsidRPr="00BA543E" w:rsidRDefault="00773250" w:rsidP="00773250">
      <w:pPr>
        <w:spacing w:after="0" w:line="240"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Pamatojoties uz Administratīvā procesa likuma 348.panta pirmās daļas 1.punktu un 351.pantu, Senāts</w:t>
      </w:r>
    </w:p>
    <w:p w14:paraId="7DC9B71E" w14:textId="77777777" w:rsidR="00773250" w:rsidRPr="00BA543E" w:rsidRDefault="00773250" w:rsidP="00773250">
      <w:pPr>
        <w:spacing w:after="0" w:line="276" w:lineRule="auto"/>
        <w:ind w:firstLine="567"/>
        <w:jc w:val="both"/>
        <w:rPr>
          <w:rFonts w:ascii="Times New Roman" w:eastAsia="Times New Roman" w:hAnsi="Times New Roman" w:cs="Times New Roman"/>
          <w:sz w:val="20"/>
        </w:rPr>
      </w:pPr>
    </w:p>
    <w:p w14:paraId="3E82E858" w14:textId="77777777" w:rsidR="00773250" w:rsidRPr="00BA543E" w:rsidRDefault="00773250" w:rsidP="00773250">
      <w:pPr>
        <w:tabs>
          <w:tab w:val="left" w:pos="2700"/>
          <w:tab w:val="left" w:pos="6660"/>
        </w:tabs>
        <w:spacing w:after="0" w:line="240" w:lineRule="auto"/>
        <w:jc w:val="center"/>
        <w:rPr>
          <w:rFonts w:ascii="Times New Roman" w:eastAsia="Times New Roman" w:hAnsi="Times New Roman" w:cs="Times New Roman"/>
          <w:b/>
          <w:sz w:val="24"/>
        </w:rPr>
      </w:pPr>
      <w:r w:rsidRPr="00BA543E">
        <w:rPr>
          <w:rFonts w:ascii="Times New Roman" w:eastAsia="Times New Roman" w:hAnsi="Times New Roman" w:cs="Times New Roman"/>
          <w:b/>
          <w:sz w:val="24"/>
        </w:rPr>
        <w:t>nosprieda</w:t>
      </w:r>
    </w:p>
    <w:p w14:paraId="3F1847EB" w14:textId="77777777" w:rsidR="00773250" w:rsidRPr="00BA543E" w:rsidRDefault="00773250" w:rsidP="00773250">
      <w:pPr>
        <w:tabs>
          <w:tab w:val="left" w:pos="2700"/>
          <w:tab w:val="left" w:pos="6660"/>
        </w:tabs>
        <w:spacing w:after="0" w:line="240" w:lineRule="auto"/>
        <w:ind w:firstLine="567"/>
        <w:jc w:val="center"/>
        <w:rPr>
          <w:rFonts w:ascii="Times New Roman" w:eastAsia="Times New Roman" w:hAnsi="Times New Roman" w:cs="Times New Roman"/>
          <w:b/>
          <w:spacing w:val="70"/>
          <w:sz w:val="24"/>
        </w:rPr>
      </w:pPr>
    </w:p>
    <w:p w14:paraId="218BD4F2" w14:textId="77777777" w:rsidR="00773250" w:rsidRPr="00BA543E" w:rsidRDefault="00773250" w:rsidP="00773250">
      <w:pPr>
        <w:spacing w:after="0" w:line="240"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 xml:space="preserve">atstāt negrozītu Administratīvās apgabaltiesas 2015.gada </w:t>
      </w:r>
      <w:r w:rsidRPr="00BA543E">
        <w:rPr>
          <w:rFonts w:ascii="Times New Roman" w:eastAsia="Times New Roman" w:hAnsi="Times New Roman" w:cs="Times New Roman"/>
          <w:color w:val="000000"/>
          <w:sz w:val="24"/>
        </w:rPr>
        <w:t>21.oktobra</w:t>
      </w:r>
      <w:r w:rsidRPr="00BA543E">
        <w:rPr>
          <w:rFonts w:ascii="Times New Roman" w:eastAsia="Times New Roman" w:hAnsi="Times New Roman" w:cs="Times New Roman"/>
          <w:sz w:val="24"/>
        </w:rPr>
        <w:t xml:space="preserve"> spriedumu, bet </w:t>
      </w:r>
      <w:r w:rsidRPr="00BA543E">
        <w:rPr>
          <w:rFonts w:ascii="Times New Roman" w:eastAsia="Times New Roman" w:hAnsi="Times New Roman" w:cs="Times New Roman"/>
          <w:color w:val="000000"/>
          <w:sz w:val="24"/>
        </w:rPr>
        <w:t>Valsts ieņēmumu dienesta</w:t>
      </w:r>
      <w:r w:rsidRPr="00BA543E">
        <w:rPr>
          <w:rFonts w:ascii="Times New Roman" w:eastAsia="Times New Roman" w:hAnsi="Times New Roman" w:cs="Times New Roman"/>
          <w:sz w:val="24"/>
        </w:rPr>
        <w:t xml:space="preserve"> kasācijas sūdzību noraidīt.</w:t>
      </w:r>
    </w:p>
    <w:p w14:paraId="0C7501D6" w14:textId="77777777" w:rsidR="00773250" w:rsidRPr="00BA543E" w:rsidRDefault="00773250" w:rsidP="00773250">
      <w:pPr>
        <w:spacing w:after="0" w:line="276" w:lineRule="auto"/>
        <w:ind w:firstLine="567"/>
        <w:jc w:val="both"/>
        <w:rPr>
          <w:rFonts w:ascii="Times New Roman" w:eastAsia="Times New Roman" w:hAnsi="Times New Roman" w:cs="Times New Roman"/>
          <w:sz w:val="24"/>
        </w:rPr>
      </w:pPr>
      <w:r w:rsidRPr="00BA543E">
        <w:rPr>
          <w:rFonts w:ascii="Times New Roman" w:eastAsia="Times New Roman" w:hAnsi="Times New Roman" w:cs="Times New Roman"/>
          <w:sz w:val="24"/>
        </w:rPr>
        <w:t>Spriedums nav pārsūdzams.</w:t>
      </w:r>
    </w:p>
    <w:sectPr w:rsidR="00773250" w:rsidRPr="00BA543E" w:rsidSect="00D95DF9">
      <w:footerReference w:type="default" r:id="rId7"/>
      <w:pgSz w:w="11906" w:h="16838"/>
      <w:pgMar w:top="1134" w:right="1134"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1EB8E" w14:textId="77777777" w:rsidR="005309AF" w:rsidRDefault="005309AF" w:rsidP="004060D0">
      <w:pPr>
        <w:spacing w:after="0" w:line="240" w:lineRule="auto"/>
      </w:pPr>
      <w:r>
        <w:separator/>
      </w:r>
    </w:p>
  </w:endnote>
  <w:endnote w:type="continuationSeparator" w:id="0">
    <w:p w14:paraId="14747EDE" w14:textId="77777777" w:rsidR="005309AF" w:rsidRDefault="005309AF" w:rsidP="0040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F70F0" w14:textId="1E4ECD5A" w:rsidR="004060D0" w:rsidRPr="004060D0" w:rsidRDefault="004060D0" w:rsidP="00D95DF9">
    <w:pPr>
      <w:pStyle w:val="Footer"/>
      <w:framePr w:h="394" w:hRule="exact" w:wrap="notBeside" w:vAnchor="text" w:hAnchor="page" w:x="5396" w:y="-124"/>
      <w:ind w:left="284"/>
      <w:jc w:val="center"/>
      <w:rPr>
        <w:rStyle w:val="PageNumber"/>
        <w:rFonts w:ascii="Times New Roman" w:hAnsi="Times New Roman" w:cs="Times New Roman"/>
      </w:rPr>
    </w:pPr>
    <w:r w:rsidRPr="004060D0">
      <w:rPr>
        <w:rStyle w:val="PageNumber"/>
        <w:rFonts w:ascii="Times New Roman" w:hAnsi="Times New Roman" w:cs="Times New Roman"/>
      </w:rPr>
      <w:fldChar w:fldCharType="begin"/>
    </w:r>
    <w:r w:rsidRPr="004060D0">
      <w:rPr>
        <w:rStyle w:val="PageNumber"/>
        <w:rFonts w:ascii="Times New Roman" w:hAnsi="Times New Roman" w:cs="Times New Roman"/>
      </w:rPr>
      <w:instrText xml:space="preserve">PAGE  </w:instrText>
    </w:r>
    <w:r w:rsidRPr="004060D0">
      <w:rPr>
        <w:rStyle w:val="PageNumber"/>
        <w:rFonts w:ascii="Times New Roman" w:hAnsi="Times New Roman" w:cs="Times New Roman"/>
      </w:rPr>
      <w:fldChar w:fldCharType="separate"/>
    </w:r>
    <w:r w:rsidR="00D95DF9">
      <w:rPr>
        <w:rStyle w:val="PageNumber"/>
        <w:rFonts w:ascii="Times New Roman" w:hAnsi="Times New Roman" w:cs="Times New Roman"/>
        <w:noProof/>
      </w:rPr>
      <w:t>7</w:t>
    </w:r>
    <w:r w:rsidRPr="004060D0">
      <w:rPr>
        <w:rStyle w:val="PageNumber"/>
        <w:rFonts w:ascii="Times New Roman" w:hAnsi="Times New Roman" w:cs="Times New Roman"/>
      </w:rPr>
      <w:fldChar w:fldCharType="end"/>
    </w:r>
    <w:r w:rsidRPr="004060D0">
      <w:rPr>
        <w:rStyle w:val="PageNumber"/>
        <w:rFonts w:ascii="Times New Roman" w:hAnsi="Times New Roman" w:cs="Times New Roman"/>
      </w:rPr>
      <w:t xml:space="preserve"> no </w:t>
    </w:r>
    <w:r w:rsidRPr="004060D0">
      <w:rPr>
        <w:rStyle w:val="PageNumber"/>
        <w:rFonts w:ascii="Times New Roman" w:hAnsi="Times New Roman" w:cs="Times New Roman"/>
        <w:noProof/>
      </w:rPr>
      <w:fldChar w:fldCharType="begin"/>
    </w:r>
    <w:r w:rsidRPr="004060D0">
      <w:rPr>
        <w:rStyle w:val="PageNumber"/>
        <w:rFonts w:ascii="Times New Roman" w:hAnsi="Times New Roman" w:cs="Times New Roman"/>
        <w:noProof/>
      </w:rPr>
      <w:instrText xml:space="preserve"> SECTIONPAGES   \* MERGEFORMAT </w:instrText>
    </w:r>
    <w:r w:rsidRPr="004060D0">
      <w:rPr>
        <w:rStyle w:val="PageNumber"/>
        <w:rFonts w:ascii="Times New Roman" w:hAnsi="Times New Roman" w:cs="Times New Roman"/>
        <w:noProof/>
      </w:rPr>
      <w:fldChar w:fldCharType="separate"/>
    </w:r>
    <w:r w:rsidR="00F53370">
      <w:rPr>
        <w:rStyle w:val="PageNumber"/>
        <w:rFonts w:ascii="Times New Roman" w:hAnsi="Times New Roman" w:cs="Times New Roman"/>
        <w:noProof/>
      </w:rPr>
      <w:t>7</w:t>
    </w:r>
    <w:r w:rsidRPr="004060D0">
      <w:rPr>
        <w:rStyle w:val="PageNumber"/>
        <w:rFonts w:ascii="Times New Roman" w:hAnsi="Times New Roman" w:cs="Times New Roman"/>
        <w:noProof/>
      </w:rPr>
      <w:fldChar w:fldCharType="end"/>
    </w:r>
  </w:p>
  <w:p w14:paraId="5FBEEE9A" w14:textId="77777777" w:rsidR="004060D0" w:rsidRDefault="00406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BEF90" w14:textId="77777777" w:rsidR="005309AF" w:rsidRDefault="005309AF" w:rsidP="004060D0">
      <w:pPr>
        <w:spacing w:after="0" w:line="240" w:lineRule="auto"/>
      </w:pPr>
      <w:r>
        <w:separator/>
      </w:r>
    </w:p>
  </w:footnote>
  <w:footnote w:type="continuationSeparator" w:id="0">
    <w:p w14:paraId="5243B9DA" w14:textId="77777777" w:rsidR="005309AF" w:rsidRDefault="005309AF" w:rsidP="00406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37"/>
    <w:rsid w:val="00056531"/>
    <w:rsid w:val="000B3B49"/>
    <w:rsid w:val="000E23A4"/>
    <w:rsid w:val="00102F1F"/>
    <w:rsid w:val="00106C35"/>
    <w:rsid w:val="00107BDD"/>
    <w:rsid w:val="001A2024"/>
    <w:rsid w:val="001C79FA"/>
    <w:rsid w:val="00215852"/>
    <w:rsid w:val="00227889"/>
    <w:rsid w:val="00255C71"/>
    <w:rsid w:val="00276C8C"/>
    <w:rsid w:val="002775B4"/>
    <w:rsid w:val="002B6FA8"/>
    <w:rsid w:val="0033044E"/>
    <w:rsid w:val="004060D0"/>
    <w:rsid w:val="00443511"/>
    <w:rsid w:val="00443AAF"/>
    <w:rsid w:val="00484B96"/>
    <w:rsid w:val="004C0339"/>
    <w:rsid w:val="00517FBA"/>
    <w:rsid w:val="005309AF"/>
    <w:rsid w:val="00544C9B"/>
    <w:rsid w:val="005517CE"/>
    <w:rsid w:val="005626B6"/>
    <w:rsid w:val="005933CD"/>
    <w:rsid w:val="005966ED"/>
    <w:rsid w:val="005B1D31"/>
    <w:rsid w:val="005E748E"/>
    <w:rsid w:val="00636CF6"/>
    <w:rsid w:val="00673970"/>
    <w:rsid w:val="006F31A2"/>
    <w:rsid w:val="006F460A"/>
    <w:rsid w:val="0072106F"/>
    <w:rsid w:val="00752A33"/>
    <w:rsid w:val="00773250"/>
    <w:rsid w:val="007827B0"/>
    <w:rsid w:val="007B2710"/>
    <w:rsid w:val="007E79BC"/>
    <w:rsid w:val="00804A13"/>
    <w:rsid w:val="008318E9"/>
    <w:rsid w:val="008417AA"/>
    <w:rsid w:val="008C0023"/>
    <w:rsid w:val="00927795"/>
    <w:rsid w:val="00971BEB"/>
    <w:rsid w:val="009826DC"/>
    <w:rsid w:val="009841F4"/>
    <w:rsid w:val="00A15B37"/>
    <w:rsid w:val="00A7757C"/>
    <w:rsid w:val="00AA0424"/>
    <w:rsid w:val="00AE4808"/>
    <w:rsid w:val="00B41FCD"/>
    <w:rsid w:val="00B42169"/>
    <w:rsid w:val="00BA543E"/>
    <w:rsid w:val="00BB0BCF"/>
    <w:rsid w:val="00BB243A"/>
    <w:rsid w:val="00BD7F94"/>
    <w:rsid w:val="00BF48A6"/>
    <w:rsid w:val="00C00849"/>
    <w:rsid w:val="00C1069A"/>
    <w:rsid w:val="00C277D7"/>
    <w:rsid w:val="00C41C6F"/>
    <w:rsid w:val="00CD1066"/>
    <w:rsid w:val="00D206D1"/>
    <w:rsid w:val="00D558F6"/>
    <w:rsid w:val="00D81C66"/>
    <w:rsid w:val="00D95DF9"/>
    <w:rsid w:val="00DD62A2"/>
    <w:rsid w:val="00DE3ED1"/>
    <w:rsid w:val="00DF071C"/>
    <w:rsid w:val="00E44CDC"/>
    <w:rsid w:val="00E77093"/>
    <w:rsid w:val="00E91882"/>
    <w:rsid w:val="00ED5068"/>
    <w:rsid w:val="00EF733E"/>
    <w:rsid w:val="00F53370"/>
    <w:rsid w:val="00F75037"/>
    <w:rsid w:val="00F9097D"/>
    <w:rsid w:val="00FB6D5B"/>
    <w:rsid w:val="00FD51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0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60D0"/>
  </w:style>
  <w:style w:type="paragraph" w:styleId="Footer">
    <w:name w:val="footer"/>
    <w:basedOn w:val="Normal"/>
    <w:link w:val="FooterChar"/>
    <w:unhideWhenUsed/>
    <w:rsid w:val="004060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60D0"/>
  </w:style>
  <w:style w:type="character" w:styleId="PageNumber">
    <w:name w:val="page number"/>
    <w:basedOn w:val="DefaultParagraphFont"/>
    <w:rsid w:val="004060D0"/>
  </w:style>
  <w:style w:type="paragraph" w:styleId="BalloonText">
    <w:name w:val="Balloon Text"/>
    <w:basedOn w:val="Normal"/>
    <w:link w:val="BalloonTextChar"/>
    <w:uiPriority w:val="99"/>
    <w:semiHidden/>
    <w:unhideWhenUsed/>
    <w:rsid w:val="00D95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DF9"/>
    <w:rPr>
      <w:rFonts w:ascii="Segoe UI" w:hAnsi="Segoe UI" w:cs="Segoe UI"/>
      <w:sz w:val="18"/>
      <w:szCs w:val="18"/>
    </w:rPr>
  </w:style>
  <w:style w:type="character" w:styleId="Hyperlink">
    <w:name w:val="Hyperlink"/>
    <w:basedOn w:val="DefaultParagraphFont"/>
    <w:uiPriority w:val="99"/>
    <w:unhideWhenUsed/>
    <w:rsid w:val="00F9097D"/>
    <w:rPr>
      <w:color w:val="0563C1" w:themeColor="hyperlink"/>
      <w:u w:val="single"/>
    </w:rPr>
  </w:style>
  <w:style w:type="character" w:styleId="UnresolvedMention">
    <w:name w:val="Unresolved Mention"/>
    <w:basedOn w:val="DefaultParagraphFont"/>
    <w:uiPriority w:val="99"/>
    <w:semiHidden/>
    <w:unhideWhenUsed/>
    <w:rsid w:val="00F9097D"/>
    <w:rPr>
      <w:color w:val="605E5C"/>
      <w:shd w:val="clear" w:color="auto" w:fill="E1DFDD"/>
    </w:rPr>
  </w:style>
  <w:style w:type="character" w:styleId="FollowedHyperlink">
    <w:name w:val="FollowedHyperlink"/>
    <w:basedOn w:val="DefaultParagraphFont"/>
    <w:uiPriority w:val="99"/>
    <w:semiHidden/>
    <w:unhideWhenUsed/>
    <w:rsid w:val="00F909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45707">
      <w:bodyDiv w:val="1"/>
      <w:marLeft w:val="0"/>
      <w:marRight w:val="0"/>
      <w:marTop w:val="0"/>
      <w:marBottom w:val="0"/>
      <w:divBdr>
        <w:top w:val="none" w:sz="0" w:space="0" w:color="auto"/>
        <w:left w:val="none" w:sz="0" w:space="0" w:color="auto"/>
        <w:bottom w:val="none" w:sz="0" w:space="0" w:color="auto"/>
        <w:right w:val="none" w:sz="0" w:space="0" w:color="auto"/>
      </w:divBdr>
      <w:divsChild>
        <w:div w:id="3547726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1122.A420549912.4.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14353</Words>
  <Characters>8182</Characters>
  <Application>Microsoft Office Word</Application>
  <DocSecurity>0</DocSecurity>
  <Lines>68</Lines>
  <Paragraphs>44</Paragraphs>
  <ScaleCrop>false</ScaleCrop>
  <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2019-12-09T10:34:00Z</dcterms:created>
  <dcterms:modified xsi:type="dcterms:W3CDTF">2019-12-09T10:37:00Z</dcterms:modified>
</cp:coreProperties>
</file>