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54A0A" w14:textId="15672A80" w:rsidR="00174184" w:rsidRPr="00174184" w:rsidRDefault="00174184" w:rsidP="00174184">
      <w:pPr>
        <w:spacing w:after="0" w:line="276" w:lineRule="auto"/>
        <w:jc w:val="both"/>
        <w:rPr>
          <w:rFonts w:cs="Times New Roman"/>
          <w:b/>
          <w:bCs/>
        </w:rPr>
      </w:pPr>
      <w:r w:rsidRPr="00174184">
        <w:rPr>
          <w:rFonts w:cs="Times New Roman"/>
          <w:b/>
          <w:bCs/>
        </w:rPr>
        <w:t xml:space="preserve">Ierobežotas </w:t>
      </w:r>
      <w:r w:rsidR="0000369B">
        <w:rPr>
          <w:rFonts w:cs="Times New Roman"/>
          <w:b/>
          <w:bCs/>
        </w:rPr>
        <w:t xml:space="preserve">pieejamības </w:t>
      </w:r>
      <w:bookmarkStart w:id="0" w:name="_GoBack"/>
      <w:bookmarkEnd w:id="0"/>
      <w:r w:rsidRPr="00174184">
        <w:rPr>
          <w:rFonts w:cs="Times New Roman"/>
          <w:b/>
          <w:bCs/>
        </w:rPr>
        <w:t>informācijas izpaušana trešajai personai kā dienesta pārkāpums</w:t>
      </w:r>
    </w:p>
    <w:p w14:paraId="4E36067F" w14:textId="77777777" w:rsidR="00174184" w:rsidRPr="00174184" w:rsidRDefault="00174184" w:rsidP="00174184">
      <w:pPr>
        <w:autoSpaceDE w:val="0"/>
        <w:autoSpaceDN w:val="0"/>
        <w:spacing w:after="0" w:line="276" w:lineRule="auto"/>
        <w:jc w:val="both"/>
        <w:rPr>
          <w:rFonts w:cs="Times New Roman"/>
        </w:rPr>
      </w:pPr>
      <w:r w:rsidRPr="00174184">
        <w:rPr>
          <w:rFonts w:cs="Times New Roman"/>
          <w:szCs w:val="24"/>
          <w:lang w:eastAsia="lv-LV"/>
        </w:rPr>
        <w:t>Dienestā strādājošās personas ir pakļautas dienestā noteiktajai tiesiskajai kārtībai, tostarp noteikumiem par informācijas uzglabāšanu un apriti dienesta vajadzībām. Ierobežotas pieejamības informācijas nodošana personai, kas nav dienestā strādājoša un nav pakļauta šai dienesta tiesiskajai kārtībai, ir ierobežotas informācijas izpaušana citai jeb trešajai personai. Tas ir dienestā noteiktās tiesiskās kārtības pārkāpums.</w:t>
      </w:r>
    </w:p>
    <w:p w14:paraId="0C216B99" w14:textId="77777777" w:rsidR="004F141B" w:rsidRDefault="004F141B" w:rsidP="002E1A56">
      <w:pPr>
        <w:spacing w:after="0" w:line="276" w:lineRule="auto"/>
        <w:jc w:val="center"/>
        <w:rPr>
          <w:rFonts w:cs="Times New Roman"/>
          <w:b/>
          <w:szCs w:val="24"/>
        </w:rPr>
      </w:pPr>
    </w:p>
    <w:p w14:paraId="14B6D644" w14:textId="5F02531D" w:rsidR="002E1A56" w:rsidRDefault="002E1A56" w:rsidP="002E1A56">
      <w:pPr>
        <w:spacing w:after="0" w:line="276" w:lineRule="auto"/>
        <w:jc w:val="center"/>
        <w:rPr>
          <w:rFonts w:cs="Times New Roman"/>
          <w:b/>
          <w:szCs w:val="24"/>
        </w:rPr>
      </w:pPr>
      <w:r w:rsidRPr="003050BD">
        <w:rPr>
          <w:rFonts w:cs="Times New Roman"/>
          <w:b/>
          <w:szCs w:val="24"/>
        </w:rPr>
        <w:t>Latvijas Republikas Senāt</w:t>
      </w:r>
      <w:r w:rsidR="004F141B">
        <w:rPr>
          <w:rFonts w:cs="Times New Roman"/>
          <w:b/>
          <w:szCs w:val="24"/>
        </w:rPr>
        <w:t>a</w:t>
      </w:r>
    </w:p>
    <w:p w14:paraId="204C141F" w14:textId="602B1F80" w:rsidR="004F141B" w:rsidRDefault="004F141B" w:rsidP="002E1A56">
      <w:pPr>
        <w:spacing w:after="0" w:line="276" w:lineRule="auto"/>
        <w:jc w:val="center"/>
        <w:rPr>
          <w:rFonts w:cs="Times New Roman"/>
          <w:b/>
          <w:szCs w:val="24"/>
        </w:rPr>
      </w:pPr>
      <w:r>
        <w:rPr>
          <w:rFonts w:cs="Times New Roman"/>
          <w:b/>
          <w:szCs w:val="24"/>
        </w:rPr>
        <w:t>Administratīvo lietu departamenta</w:t>
      </w:r>
    </w:p>
    <w:p w14:paraId="71645E25" w14:textId="6CB9BFB2" w:rsidR="004F141B" w:rsidRPr="003050BD" w:rsidRDefault="004F141B" w:rsidP="002E1A56">
      <w:pPr>
        <w:spacing w:after="0" w:line="276" w:lineRule="auto"/>
        <w:jc w:val="center"/>
        <w:rPr>
          <w:rFonts w:cs="Times New Roman"/>
          <w:b/>
          <w:szCs w:val="24"/>
        </w:rPr>
      </w:pPr>
      <w:r>
        <w:rPr>
          <w:rFonts w:cs="Times New Roman"/>
          <w:b/>
          <w:szCs w:val="24"/>
        </w:rPr>
        <w:t>2019.gada 25.novembra</w:t>
      </w:r>
    </w:p>
    <w:p w14:paraId="4546A3FA" w14:textId="5F6643BA" w:rsidR="002E1A56" w:rsidRDefault="002E1A56" w:rsidP="002E1A56">
      <w:pPr>
        <w:spacing w:after="0" w:line="276" w:lineRule="auto"/>
        <w:jc w:val="center"/>
        <w:rPr>
          <w:rFonts w:cs="Times New Roman"/>
          <w:b/>
          <w:szCs w:val="24"/>
        </w:rPr>
      </w:pPr>
      <w:r w:rsidRPr="003050BD">
        <w:rPr>
          <w:rFonts w:cs="Times New Roman"/>
          <w:b/>
          <w:szCs w:val="24"/>
        </w:rPr>
        <w:t>SPRIEDUMS</w:t>
      </w:r>
    </w:p>
    <w:p w14:paraId="71412A7B" w14:textId="075B6179" w:rsidR="004F141B" w:rsidRDefault="004F141B" w:rsidP="002E1A56">
      <w:pPr>
        <w:spacing w:after="0" w:line="276" w:lineRule="auto"/>
        <w:jc w:val="center"/>
        <w:rPr>
          <w:rFonts w:cs="Times New Roman"/>
          <w:b/>
          <w:szCs w:val="24"/>
        </w:rPr>
      </w:pPr>
      <w:r>
        <w:rPr>
          <w:rFonts w:cs="Times New Roman"/>
          <w:b/>
          <w:szCs w:val="24"/>
        </w:rPr>
        <w:t>Lieta Nr. A420172916, SKA-332/2019</w:t>
      </w:r>
    </w:p>
    <w:p w14:paraId="57B704F2" w14:textId="486D9B68" w:rsidR="004F141B" w:rsidRPr="003050BD" w:rsidRDefault="006B663D" w:rsidP="002E1A56">
      <w:pPr>
        <w:spacing w:after="0" w:line="276" w:lineRule="auto"/>
        <w:jc w:val="center"/>
        <w:rPr>
          <w:rFonts w:cs="Times New Roman"/>
          <w:b/>
          <w:szCs w:val="24"/>
        </w:rPr>
      </w:pPr>
      <w:hyperlink r:id="rId6" w:history="1">
        <w:r w:rsidR="004F141B" w:rsidRPr="004F141B">
          <w:rPr>
            <w:rStyle w:val="Hyperlink"/>
          </w:rPr>
          <w:t>ECLI:LV:AT:2019:1125.A420172916.3.S</w:t>
        </w:r>
      </w:hyperlink>
    </w:p>
    <w:p w14:paraId="1CF1C65F" w14:textId="77777777" w:rsidR="002E1A56" w:rsidRPr="00D444C8" w:rsidRDefault="002E1A56" w:rsidP="002E1A56">
      <w:pPr>
        <w:pStyle w:val="NoSpacing"/>
        <w:spacing w:line="276" w:lineRule="auto"/>
        <w:jc w:val="center"/>
        <w:rPr>
          <w:rFonts w:cs="Times New Roman"/>
        </w:rPr>
      </w:pPr>
    </w:p>
    <w:p w14:paraId="0253DB5E" w14:textId="61A531FB" w:rsidR="002E1A56" w:rsidRPr="00D444C8" w:rsidRDefault="006A5F4E" w:rsidP="002E1A56">
      <w:pPr>
        <w:pStyle w:val="NoSpacing"/>
        <w:spacing w:line="276" w:lineRule="auto"/>
        <w:ind w:firstLine="567"/>
        <w:jc w:val="both"/>
        <w:rPr>
          <w:rFonts w:cs="Times New Roman"/>
        </w:rPr>
      </w:pPr>
      <w:r>
        <w:rPr>
          <w:rFonts w:cs="Times New Roman"/>
        </w:rPr>
        <w:t>Tiesa šādā sastāvā: senatores</w:t>
      </w:r>
      <w:r w:rsidR="002E1A56" w:rsidRPr="00D444C8">
        <w:rPr>
          <w:rFonts w:cs="Times New Roman"/>
        </w:rPr>
        <w:t xml:space="preserve"> </w:t>
      </w:r>
      <w:r w:rsidR="002E1A56">
        <w:rPr>
          <w:rFonts w:cs="Times New Roman"/>
        </w:rPr>
        <w:t>Veronika Krūmiņa</w:t>
      </w:r>
      <w:r w:rsidR="002E1A56" w:rsidRPr="00D444C8">
        <w:rPr>
          <w:rFonts w:cs="Times New Roman"/>
        </w:rPr>
        <w:t xml:space="preserve">, </w:t>
      </w:r>
      <w:r w:rsidR="002E1A56">
        <w:rPr>
          <w:rFonts w:cs="Times New Roman"/>
        </w:rPr>
        <w:t>Vēsma Kakste</w:t>
      </w:r>
      <w:r w:rsidR="002E1A56" w:rsidRPr="00D444C8">
        <w:rPr>
          <w:rFonts w:cs="Times New Roman"/>
        </w:rPr>
        <w:t xml:space="preserve">, </w:t>
      </w:r>
      <w:r w:rsidR="002E1A56">
        <w:rPr>
          <w:rFonts w:cs="Times New Roman"/>
        </w:rPr>
        <w:t>Iev</w:t>
      </w:r>
      <w:r w:rsidR="002E1A56" w:rsidRPr="00D444C8">
        <w:rPr>
          <w:rFonts w:cs="Times New Roman"/>
        </w:rPr>
        <w:t>a</w:t>
      </w:r>
      <w:r w:rsidR="002E1A56">
        <w:rPr>
          <w:rFonts w:cs="Times New Roman"/>
        </w:rPr>
        <w:t xml:space="preserve"> Višķere</w:t>
      </w:r>
    </w:p>
    <w:p w14:paraId="6613691B" w14:textId="77777777" w:rsidR="002E1A56" w:rsidRPr="00D444C8" w:rsidRDefault="002E1A56" w:rsidP="002E1A56">
      <w:pPr>
        <w:pStyle w:val="NoSpacing"/>
        <w:spacing w:line="276" w:lineRule="auto"/>
        <w:ind w:firstLine="567"/>
        <w:jc w:val="both"/>
        <w:rPr>
          <w:rFonts w:cs="Times New Roman"/>
        </w:rPr>
      </w:pPr>
    </w:p>
    <w:p w14:paraId="11B4275A" w14:textId="04096BA3" w:rsidR="002E1A56" w:rsidRPr="00D444C8" w:rsidRDefault="002E1A56" w:rsidP="00C50DA0">
      <w:pPr>
        <w:pStyle w:val="NoSpacing"/>
        <w:spacing w:line="276" w:lineRule="auto"/>
        <w:ind w:firstLine="567"/>
        <w:jc w:val="both"/>
        <w:rPr>
          <w:rFonts w:cs="Times New Roman"/>
        </w:rPr>
      </w:pPr>
      <w:r w:rsidRPr="00D444C8">
        <w:rPr>
          <w:rFonts w:cs="Times New Roman"/>
        </w:rPr>
        <w:t xml:space="preserve">rakstveida procesā </w:t>
      </w:r>
      <w:r w:rsidRPr="002E1A56">
        <w:rPr>
          <w:rFonts w:cs="Times New Roman"/>
          <w:szCs w:val="24"/>
        </w:rPr>
        <w:t xml:space="preserve">izskatīja administratīvo lietu, kas ierosināta, pamatojoties uz </w:t>
      </w:r>
      <w:r w:rsidRPr="002E1A56">
        <w:rPr>
          <w:rFonts w:ascii="TimesNewRomanPSMT" w:hAnsi="TimesNewRomanPSMT" w:cs="TimesNewRomanPSMT"/>
          <w:szCs w:val="24"/>
        </w:rPr>
        <w:t xml:space="preserve">Latvijas Iekšlietu darbinieku arodbiedrības </w:t>
      </w:r>
      <w:r w:rsidR="004F141B">
        <w:rPr>
          <w:rFonts w:cs="Times New Roman"/>
          <w:szCs w:val="24"/>
        </w:rPr>
        <w:t>[pers. A]</w:t>
      </w:r>
      <w:r w:rsidRPr="002E1A56">
        <w:rPr>
          <w:rFonts w:cs="Times New Roman"/>
          <w:szCs w:val="24"/>
        </w:rPr>
        <w:t xml:space="preserve"> vārdā iesniegto pieteikumu par </w:t>
      </w:r>
      <w:r w:rsidRPr="002E1A56">
        <w:rPr>
          <w:rFonts w:ascii="TimesNewRomanPSMT" w:hAnsi="TimesNewRomanPSMT" w:cs="TimesNewRomanPSMT"/>
          <w:szCs w:val="24"/>
        </w:rPr>
        <w:t xml:space="preserve">Valsts robežsardzes </w:t>
      </w:r>
      <w:r w:rsidRPr="002E1A56">
        <w:rPr>
          <w:rFonts w:cs="Times New Roman"/>
          <w:szCs w:val="24"/>
        </w:rPr>
        <w:t xml:space="preserve">2016.gada 11.februāra lēmuma Nr. 12 atcelšanu, sakarā ar </w:t>
      </w:r>
      <w:r w:rsidR="00D10E66">
        <w:rPr>
          <w:rFonts w:cs="Times New Roman"/>
          <w:szCs w:val="24"/>
        </w:rPr>
        <w:t>[pers. A]</w:t>
      </w:r>
      <w:r w:rsidRPr="002E1A56">
        <w:rPr>
          <w:rFonts w:cs="Times New Roman"/>
          <w:szCs w:val="24"/>
        </w:rPr>
        <w:t xml:space="preserve"> kasācijas sūdzību par Administratīvās apgabaltiesas</w:t>
      </w:r>
      <w:r w:rsidRPr="00D444C8">
        <w:rPr>
          <w:rFonts w:cs="Times New Roman"/>
        </w:rPr>
        <w:t xml:space="preserve"> 201</w:t>
      </w:r>
      <w:r w:rsidR="00AA2F09">
        <w:rPr>
          <w:rFonts w:cs="Times New Roman"/>
        </w:rPr>
        <w:t>7</w:t>
      </w:r>
      <w:r w:rsidRPr="00D444C8">
        <w:rPr>
          <w:rFonts w:cs="Times New Roman"/>
        </w:rPr>
        <w:t>.gada 30.j</w:t>
      </w:r>
      <w:r w:rsidR="00AA2F09">
        <w:rPr>
          <w:rFonts w:cs="Times New Roman"/>
        </w:rPr>
        <w:t>ūnij</w:t>
      </w:r>
      <w:r w:rsidRPr="00D444C8">
        <w:rPr>
          <w:rFonts w:cs="Times New Roman"/>
        </w:rPr>
        <w:t>a spriedumu.</w:t>
      </w:r>
    </w:p>
    <w:p w14:paraId="47565973" w14:textId="77777777" w:rsidR="002E1A56" w:rsidRPr="00D444C8" w:rsidRDefault="002E1A56" w:rsidP="00C50DA0">
      <w:pPr>
        <w:spacing w:after="0" w:line="276" w:lineRule="auto"/>
        <w:jc w:val="both"/>
        <w:rPr>
          <w:rFonts w:cs="Times New Roman"/>
        </w:rPr>
      </w:pPr>
    </w:p>
    <w:p w14:paraId="56B25BA1" w14:textId="77777777" w:rsidR="002E1A56" w:rsidRPr="00D444C8" w:rsidRDefault="002E1A56" w:rsidP="00C50DA0">
      <w:pPr>
        <w:pStyle w:val="ATvirsraksts"/>
      </w:pPr>
      <w:r w:rsidRPr="00D444C8">
        <w:t>Aprakstošā daļa</w:t>
      </w:r>
    </w:p>
    <w:p w14:paraId="13721AF0" w14:textId="77777777" w:rsidR="002E1A56" w:rsidRPr="00D444C8" w:rsidRDefault="002E1A56" w:rsidP="00C50DA0">
      <w:pPr>
        <w:spacing w:after="0" w:line="276" w:lineRule="auto"/>
        <w:rPr>
          <w:rFonts w:cs="Times New Roman"/>
        </w:rPr>
      </w:pPr>
    </w:p>
    <w:p w14:paraId="1B802ECC" w14:textId="7C3CFD2D" w:rsidR="008C72E4" w:rsidRDefault="002E1A56" w:rsidP="00C50DA0">
      <w:pPr>
        <w:autoSpaceDE w:val="0"/>
        <w:autoSpaceDN w:val="0"/>
        <w:adjustRightInd w:val="0"/>
        <w:spacing w:after="0" w:line="276" w:lineRule="auto"/>
        <w:ind w:firstLine="567"/>
        <w:jc w:val="both"/>
        <w:rPr>
          <w:rFonts w:cs="Times New Roman"/>
          <w:szCs w:val="24"/>
        </w:rPr>
      </w:pPr>
      <w:r w:rsidRPr="00D444C8">
        <w:rPr>
          <w:rFonts w:cs="Times New Roman"/>
        </w:rPr>
        <w:t>[1] </w:t>
      </w:r>
      <w:r w:rsidR="00D11804">
        <w:rPr>
          <w:rFonts w:cs="Times New Roman"/>
        </w:rPr>
        <w:t xml:space="preserve">Valsts robežsardze ar </w:t>
      </w:r>
      <w:r w:rsidR="00D11804" w:rsidRPr="002E1A56">
        <w:rPr>
          <w:rFonts w:cs="Times New Roman"/>
          <w:szCs w:val="24"/>
        </w:rPr>
        <w:t>2016.gada 11.februāra lēmum</w:t>
      </w:r>
      <w:r w:rsidR="00D11804">
        <w:rPr>
          <w:rFonts w:cs="Times New Roman"/>
          <w:szCs w:val="24"/>
        </w:rPr>
        <w:t>u</w:t>
      </w:r>
      <w:r w:rsidR="00D11804" w:rsidRPr="002E1A56">
        <w:rPr>
          <w:rFonts w:cs="Times New Roman"/>
          <w:szCs w:val="24"/>
        </w:rPr>
        <w:t xml:space="preserve"> Nr. </w:t>
      </w:r>
      <w:r w:rsidR="00D11804" w:rsidRPr="00D83185">
        <w:rPr>
          <w:rFonts w:cs="Times New Roman"/>
          <w:szCs w:val="24"/>
        </w:rPr>
        <w:t xml:space="preserve">12 </w:t>
      </w:r>
      <w:r w:rsidR="00D83185" w:rsidRPr="00D83185">
        <w:rPr>
          <w:rFonts w:cs="Times New Roman"/>
          <w:szCs w:val="24"/>
        </w:rPr>
        <w:t>par Iekšlietu ministrijas</w:t>
      </w:r>
      <w:r w:rsidR="00D83185">
        <w:rPr>
          <w:rFonts w:cs="Times New Roman"/>
          <w:szCs w:val="24"/>
        </w:rPr>
        <w:t xml:space="preserve"> </w:t>
      </w:r>
      <w:r w:rsidR="00D83185" w:rsidRPr="00D83185">
        <w:rPr>
          <w:rFonts w:cs="Times New Roman"/>
          <w:szCs w:val="24"/>
        </w:rPr>
        <w:t xml:space="preserve">sistēmas iestāžu un Ieslodzījuma vietu pārvaldes amatpersonu ar speciālajām dienesta pakāpēm dienesta gaitas likuma (turpmāk – Dienesta gaitas likums) 6.pantā </w:t>
      </w:r>
      <w:r w:rsidR="00D83185">
        <w:rPr>
          <w:rFonts w:cs="Times New Roman"/>
          <w:szCs w:val="24"/>
        </w:rPr>
        <w:t>un</w:t>
      </w:r>
      <w:r w:rsidR="00D83185" w:rsidRPr="00D83185">
        <w:rPr>
          <w:rFonts w:cs="Times New Roman"/>
          <w:szCs w:val="24"/>
        </w:rPr>
        <w:t xml:space="preserve"> Robežsardzes likuma 14.panta otrajā un trešajā daļā </w:t>
      </w:r>
      <w:r w:rsidR="00D83185">
        <w:rPr>
          <w:rFonts w:cs="Times New Roman"/>
          <w:szCs w:val="24"/>
        </w:rPr>
        <w:t xml:space="preserve">noteikto pienākumu pārkāpumu </w:t>
      </w:r>
      <w:r w:rsidR="00D11804" w:rsidRPr="00D83185">
        <w:rPr>
          <w:rFonts w:cs="Times New Roman"/>
          <w:szCs w:val="24"/>
        </w:rPr>
        <w:t xml:space="preserve">piemēroja Valsts robežsardzes inspektorei </w:t>
      </w:r>
      <w:r w:rsidR="004F141B">
        <w:rPr>
          <w:rFonts w:cs="Times New Roman"/>
          <w:szCs w:val="24"/>
        </w:rPr>
        <w:t>[pers. A]</w:t>
      </w:r>
      <w:r w:rsidR="00D11804" w:rsidRPr="00D83185">
        <w:rPr>
          <w:rFonts w:cs="Times New Roman"/>
          <w:szCs w:val="24"/>
        </w:rPr>
        <w:t xml:space="preserve"> disciplinārsodu – pazemināšana dienesta pakāpē</w:t>
      </w:r>
      <w:r w:rsidR="00DB0D43">
        <w:rPr>
          <w:rFonts w:cs="Times New Roman"/>
          <w:szCs w:val="24"/>
        </w:rPr>
        <w:t xml:space="preserve"> par vienu pakāpi</w:t>
      </w:r>
      <w:r w:rsidR="00D11804" w:rsidRPr="00D83185">
        <w:rPr>
          <w:rFonts w:cs="Times New Roman"/>
          <w:szCs w:val="24"/>
        </w:rPr>
        <w:t xml:space="preserve"> </w:t>
      </w:r>
      <w:r w:rsidR="00D11804">
        <w:rPr>
          <w:rFonts w:cs="Times New Roman"/>
          <w:szCs w:val="24"/>
        </w:rPr>
        <w:t>uz sešiem mēnešiem –</w:t>
      </w:r>
      <w:r w:rsidR="00D83185">
        <w:rPr>
          <w:rFonts w:cs="Times New Roman"/>
          <w:szCs w:val="24"/>
        </w:rPr>
        <w:t>,</w:t>
      </w:r>
      <w:r w:rsidR="00D11804">
        <w:rPr>
          <w:rFonts w:cs="Times New Roman"/>
          <w:szCs w:val="24"/>
        </w:rPr>
        <w:t xml:space="preserve"> </w:t>
      </w:r>
      <w:r w:rsidR="00D83185">
        <w:rPr>
          <w:rFonts w:cs="Times New Roman"/>
          <w:szCs w:val="24"/>
        </w:rPr>
        <w:t>jo</w:t>
      </w:r>
      <w:r w:rsidR="00EC570B">
        <w:rPr>
          <w:rFonts w:cs="Times New Roman"/>
          <w:szCs w:val="24"/>
        </w:rPr>
        <w:t xml:space="preserve">, nesaskaņojot ar vadītāju, no dienesta vietas </w:t>
      </w:r>
      <w:r w:rsidR="00DB0D43">
        <w:rPr>
          <w:rFonts w:cs="Times New Roman"/>
          <w:szCs w:val="24"/>
        </w:rPr>
        <w:t xml:space="preserve">tika iznesta </w:t>
      </w:r>
      <w:r w:rsidR="00EC570B">
        <w:rPr>
          <w:rFonts w:cs="Times New Roman"/>
          <w:szCs w:val="24"/>
        </w:rPr>
        <w:t>informācij</w:t>
      </w:r>
      <w:r w:rsidR="00DB0D43">
        <w:rPr>
          <w:rFonts w:cs="Times New Roman"/>
          <w:szCs w:val="24"/>
        </w:rPr>
        <w:t>a</w:t>
      </w:r>
      <w:r w:rsidR="00EC570B">
        <w:rPr>
          <w:rFonts w:cs="Times New Roman"/>
          <w:szCs w:val="24"/>
        </w:rPr>
        <w:t xml:space="preserve"> (</w:t>
      </w:r>
      <w:r w:rsidR="00377008">
        <w:rPr>
          <w:rFonts w:cs="Times New Roman"/>
          <w:szCs w:val="24"/>
        </w:rPr>
        <w:t xml:space="preserve">2014.gada 4.aprīļa </w:t>
      </w:r>
      <w:r w:rsidR="00EC570B">
        <w:rPr>
          <w:rFonts w:cs="Times New Roman"/>
          <w:szCs w:val="24"/>
        </w:rPr>
        <w:t>iekšēj</w:t>
      </w:r>
      <w:r w:rsidR="00DB0D43">
        <w:rPr>
          <w:rFonts w:cs="Times New Roman"/>
          <w:szCs w:val="24"/>
        </w:rPr>
        <w:t>ie</w:t>
      </w:r>
      <w:r w:rsidR="00EC570B">
        <w:rPr>
          <w:rFonts w:cs="Times New Roman"/>
          <w:szCs w:val="24"/>
        </w:rPr>
        <w:t xml:space="preserve"> no</w:t>
      </w:r>
      <w:r w:rsidR="00DB0D43">
        <w:rPr>
          <w:rFonts w:cs="Times New Roman"/>
          <w:szCs w:val="24"/>
        </w:rPr>
        <w:t>teikumi</w:t>
      </w:r>
      <w:r w:rsidR="007A727F">
        <w:rPr>
          <w:rFonts w:cs="Times New Roman"/>
          <w:szCs w:val="24"/>
        </w:rPr>
        <w:t xml:space="preserve"> Nr. 11</w:t>
      </w:r>
      <w:r w:rsidR="00EC570B">
        <w:rPr>
          <w:rFonts w:cs="Times New Roman"/>
          <w:szCs w:val="24"/>
        </w:rPr>
        <w:t>), kurai ir ierobežotas pieejamības statuss un nod</w:t>
      </w:r>
      <w:r w:rsidR="008578E5">
        <w:rPr>
          <w:rFonts w:cs="Times New Roman"/>
          <w:szCs w:val="24"/>
        </w:rPr>
        <w:t>ot</w:t>
      </w:r>
      <w:r w:rsidR="00EC570B">
        <w:rPr>
          <w:rFonts w:cs="Times New Roman"/>
          <w:szCs w:val="24"/>
        </w:rPr>
        <w:t xml:space="preserve">a trešajai personai. Tādējādi amatpersona pārkāpa tai noteikto pienākumu </w:t>
      </w:r>
      <w:r w:rsidR="00403C98">
        <w:rPr>
          <w:rFonts w:cs="Times New Roman"/>
          <w:szCs w:val="24"/>
        </w:rPr>
        <w:t xml:space="preserve">neizpaust </w:t>
      </w:r>
      <w:r w:rsidR="00EC570B">
        <w:rPr>
          <w:rFonts w:cs="Times New Roman"/>
          <w:szCs w:val="24"/>
        </w:rPr>
        <w:t>ierobežotas pieejamības informāciju</w:t>
      </w:r>
      <w:r w:rsidR="0073536A">
        <w:rPr>
          <w:rFonts w:cs="Times New Roman"/>
          <w:szCs w:val="24"/>
        </w:rPr>
        <w:t>.</w:t>
      </w:r>
      <w:r w:rsidR="00345AE7" w:rsidRPr="00345AE7">
        <w:rPr>
          <w:rFonts w:cs="Times New Roman"/>
          <w:szCs w:val="24"/>
        </w:rPr>
        <w:t xml:space="preserve"> </w:t>
      </w:r>
      <w:r w:rsidR="00345AE7">
        <w:rPr>
          <w:rFonts w:cs="Times New Roman"/>
          <w:szCs w:val="24"/>
        </w:rPr>
        <w:t xml:space="preserve">Informācijas nodošana savam pārstāvim savu tiesību aizsardzībai tiesas procesā </w:t>
      </w:r>
      <w:r w:rsidR="00ED43A7">
        <w:rPr>
          <w:rFonts w:cs="Times New Roman"/>
          <w:szCs w:val="24"/>
        </w:rPr>
        <w:t xml:space="preserve">lietā Nr. A420300615 </w:t>
      </w:r>
      <w:r w:rsidR="00345AE7">
        <w:rPr>
          <w:rFonts w:cs="Times New Roman"/>
          <w:szCs w:val="24"/>
        </w:rPr>
        <w:t>neattaisno pārkāpumu.</w:t>
      </w:r>
    </w:p>
    <w:p w14:paraId="1F901823" w14:textId="77777777" w:rsidR="00EC570B" w:rsidRDefault="00EC570B" w:rsidP="0035004F">
      <w:pPr>
        <w:spacing w:after="0" w:line="276" w:lineRule="auto"/>
        <w:ind w:firstLine="567"/>
        <w:jc w:val="both"/>
        <w:rPr>
          <w:rFonts w:cs="Times New Roman"/>
          <w:szCs w:val="24"/>
        </w:rPr>
      </w:pPr>
    </w:p>
    <w:p w14:paraId="75FAA9E3" w14:textId="369A3559" w:rsidR="00EC570B" w:rsidRDefault="00EC570B" w:rsidP="0035004F">
      <w:pPr>
        <w:spacing w:after="0"/>
        <w:ind w:firstLine="567"/>
        <w:jc w:val="both"/>
        <w:rPr>
          <w:rFonts w:cs="Times New Roman"/>
          <w:szCs w:val="24"/>
        </w:rPr>
      </w:pPr>
      <w:r>
        <w:rPr>
          <w:rFonts w:cs="Times New Roman"/>
          <w:szCs w:val="24"/>
        </w:rPr>
        <w:t>[2]</w:t>
      </w:r>
      <w:r w:rsidR="0035004F">
        <w:rPr>
          <w:rFonts w:cs="Times New Roman"/>
          <w:szCs w:val="24"/>
        </w:rPr>
        <w:t> </w:t>
      </w:r>
      <w:r>
        <w:rPr>
          <w:rFonts w:cs="Times New Roman"/>
          <w:szCs w:val="24"/>
        </w:rPr>
        <w:t>Par minētā lēmuma atcelšanu pieteicēja vērsās tiesā.</w:t>
      </w:r>
    </w:p>
    <w:p w14:paraId="2C546BFE" w14:textId="77777777" w:rsidR="00EC570B" w:rsidRDefault="00EC570B" w:rsidP="0035004F">
      <w:pPr>
        <w:spacing w:after="0"/>
        <w:ind w:firstLine="567"/>
        <w:jc w:val="both"/>
        <w:rPr>
          <w:rFonts w:cs="Times New Roman"/>
          <w:szCs w:val="24"/>
        </w:rPr>
      </w:pPr>
    </w:p>
    <w:p w14:paraId="3DBFB2EF" w14:textId="55BC7A88" w:rsidR="00ED43A7" w:rsidRDefault="00EC570B" w:rsidP="0035004F">
      <w:pPr>
        <w:spacing w:after="0"/>
        <w:ind w:firstLine="567"/>
        <w:jc w:val="both"/>
        <w:rPr>
          <w:rFonts w:cs="Times New Roman"/>
          <w:szCs w:val="24"/>
        </w:rPr>
      </w:pPr>
      <w:r w:rsidRPr="00741737">
        <w:rPr>
          <w:rFonts w:cs="Times New Roman"/>
          <w:szCs w:val="24"/>
        </w:rPr>
        <w:t>[3]</w:t>
      </w:r>
      <w:r w:rsidR="0035004F">
        <w:rPr>
          <w:rFonts w:cs="Times New Roman"/>
          <w:szCs w:val="24"/>
        </w:rPr>
        <w:t> </w:t>
      </w:r>
      <w:r w:rsidRPr="00741737">
        <w:rPr>
          <w:rFonts w:cs="Times New Roman"/>
          <w:szCs w:val="24"/>
        </w:rPr>
        <w:t xml:space="preserve">Administratīvā rajona tiesa </w:t>
      </w:r>
      <w:r w:rsidR="00741737" w:rsidRPr="00741737">
        <w:rPr>
          <w:rFonts w:cs="Times New Roman"/>
          <w:szCs w:val="24"/>
        </w:rPr>
        <w:t>ar 2016.gada 7.novembra spriedumu pieteikumu apmierināja.</w:t>
      </w:r>
    </w:p>
    <w:p w14:paraId="7E40557C" w14:textId="77777777" w:rsidR="00ED43A7" w:rsidRDefault="00ED43A7" w:rsidP="0035004F">
      <w:pPr>
        <w:spacing w:after="0"/>
        <w:ind w:firstLine="567"/>
        <w:jc w:val="both"/>
        <w:rPr>
          <w:rFonts w:cs="Times New Roman"/>
          <w:szCs w:val="24"/>
        </w:rPr>
      </w:pPr>
    </w:p>
    <w:p w14:paraId="051C6E03" w14:textId="7F966E3A" w:rsidR="00741737" w:rsidRDefault="00741737" w:rsidP="0035004F">
      <w:pPr>
        <w:spacing w:after="0" w:line="276" w:lineRule="auto"/>
        <w:ind w:firstLine="567"/>
        <w:jc w:val="both"/>
      </w:pPr>
      <w:r w:rsidRPr="00A56010">
        <w:rPr>
          <w:rFonts w:cs="Times New Roman"/>
        </w:rPr>
        <w:t>[4]</w:t>
      </w:r>
      <w:r w:rsidR="0035004F">
        <w:rPr>
          <w:rFonts w:cs="Times New Roman"/>
        </w:rPr>
        <w:t> </w:t>
      </w:r>
      <w:r w:rsidRPr="00A56010">
        <w:rPr>
          <w:rFonts w:cs="Times New Roman"/>
        </w:rPr>
        <w:t xml:space="preserve">Administratīvā apgabaltiesa ar 2017.gada 30.jūnija spriedumu pieteikumu noraidīja. Apgabaltiesa atzina, ka </w:t>
      </w:r>
      <w:r w:rsidR="00242422" w:rsidRPr="00A56010">
        <w:rPr>
          <w:rFonts w:cs="Times New Roman"/>
        </w:rPr>
        <w:t xml:space="preserve">pieteicējai ierobežotas pieejamības informācija atbilstoši </w:t>
      </w:r>
      <w:r w:rsidR="00242422" w:rsidRPr="00A56010">
        <w:t>Informācijas atklātības likuma 11.panta ceturtajai daļai bija jāpieprasa</w:t>
      </w:r>
      <w:r w:rsidR="00F825FE">
        <w:t xml:space="preserve"> vadītājam</w:t>
      </w:r>
      <w:r w:rsidR="00242422" w:rsidRPr="00A56010">
        <w:t>, ko pieteicēja nav darījusi, kā arī pieteicēja</w:t>
      </w:r>
      <w:r w:rsidR="00F27CD8" w:rsidRPr="00A56010">
        <w:t xml:space="preserve"> dienesta izpildes laikā</w:t>
      </w:r>
      <w:r w:rsidR="00242422" w:rsidRPr="00A56010">
        <w:t xml:space="preserve"> ir </w:t>
      </w:r>
      <w:r w:rsidR="00F27CD8" w:rsidRPr="00A56010">
        <w:t xml:space="preserve">parakstījusi apliecinājumu, </w:t>
      </w:r>
      <w:r w:rsidR="00242422" w:rsidRPr="00A56010">
        <w:t xml:space="preserve">ka </w:t>
      </w:r>
      <w:r w:rsidR="00F27CD8" w:rsidRPr="00A56010">
        <w:t xml:space="preserve">ierobežotas pieejamības informāciju glabās tikai dienesta vietā un neizpaudīs. Ar savu rīcību pieteicēja </w:t>
      </w:r>
      <w:r w:rsidR="00732F2B">
        <w:t>ir</w:t>
      </w:r>
      <w:r w:rsidR="00F27CD8" w:rsidRPr="00A56010">
        <w:t xml:space="preserve"> </w:t>
      </w:r>
      <w:r w:rsidR="00732F2B" w:rsidRPr="00A56010">
        <w:t xml:space="preserve">pārkāpusi </w:t>
      </w:r>
      <w:r w:rsidR="00F27CD8" w:rsidRPr="00A56010">
        <w:t xml:space="preserve">pienākumu </w:t>
      </w:r>
      <w:r w:rsidR="00732F2B">
        <w:t>neizpaust</w:t>
      </w:r>
      <w:r w:rsidR="00732F2B" w:rsidRPr="00732F2B">
        <w:t xml:space="preserve"> </w:t>
      </w:r>
      <w:r w:rsidR="00732F2B" w:rsidRPr="00A56010">
        <w:t>ierobežotas pieejamības informāciju</w:t>
      </w:r>
      <w:r w:rsidR="00F27CD8" w:rsidRPr="00A56010">
        <w:t>.</w:t>
      </w:r>
      <w:r w:rsidR="00A95533">
        <w:t xml:space="preserve"> </w:t>
      </w:r>
      <w:r w:rsidR="00A16F70">
        <w:t>D</w:t>
      </w:r>
      <w:r w:rsidR="00A95533">
        <w:t xml:space="preserve">isciplinārsods ir samērīgs, tā kā </w:t>
      </w:r>
      <w:r w:rsidR="00A95533">
        <w:lastRenderedPageBreak/>
        <w:t>pārkāpums izdarīts ar nodomu un iestādei daļēji zudusi ticība pieteicēja</w:t>
      </w:r>
      <w:r w:rsidR="00D551A4">
        <w:t>s</w:t>
      </w:r>
      <w:r w:rsidR="00A95533">
        <w:t xml:space="preserve"> godprātī</w:t>
      </w:r>
      <w:r w:rsidR="00D551A4">
        <w:t>b</w:t>
      </w:r>
      <w:r w:rsidR="00A95533">
        <w:t>ai</w:t>
      </w:r>
      <w:r w:rsidR="00C63B62">
        <w:t xml:space="preserve"> un kompetencei</w:t>
      </w:r>
      <w:r w:rsidR="001F7F0D">
        <w:t>, kā arī ar iekšējā normatīvā akta, kurš nosaka robežsardzes darba organizāciju, publiskošanu tiek apgrūtināt</w:t>
      </w:r>
      <w:r w:rsidR="00DC528C">
        <w:t>a</w:t>
      </w:r>
      <w:r w:rsidR="001F7F0D">
        <w:t xml:space="preserve"> robe</w:t>
      </w:r>
      <w:r w:rsidR="00DC528C">
        <w:t>žsardzes uzdevumu izpilde.</w:t>
      </w:r>
    </w:p>
    <w:p w14:paraId="2EB51539" w14:textId="77777777" w:rsidR="00E94183" w:rsidRDefault="00E94183" w:rsidP="0035004F">
      <w:pPr>
        <w:pStyle w:val="NoSpacing"/>
        <w:spacing w:line="276" w:lineRule="auto"/>
        <w:jc w:val="both"/>
      </w:pPr>
    </w:p>
    <w:p w14:paraId="73FC0505" w14:textId="196A8D82" w:rsidR="00B43093" w:rsidRDefault="00E94183" w:rsidP="0035004F">
      <w:pPr>
        <w:pStyle w:val="NoSpacing"/>
        <w:spacing w:line="276" w:lineRule="auto"/>
        <w:ind w:firstLine="567"/>
        <w:jc w:val="both"/>
      </w:pPr>
      <w:r>
        <w:t>[5]</w:t>
      </w:r>
      <w:r w:rsidR="0035004F">
        <w:t> </w:t>
      </w:r>
      <w:r>
        <w:t xml:space="preserve">Par apgabaltiesas spriedumu pieteicēja ir iesniegusi kasācijas sūdzību, kurā uzskata, ka </w:t>
      </w:r>
      <w:r w:rsidR="00B43093">
        <w:t>konkrētās informācijas nodošana pieteicējas pārstāvim, kas īsteno pieteicējas tiesību aizstāvību</w:t>
      </w:r>
      <w:r w:rsidR="00EF3046">
        <w:t xml:space="preserve"> un</w:t>
      </w:r>
      <w:r w:rsidR="00A1400A">
        <w:t xml:space="preserve"> pārstāvību</w:t>
      </w:r>
      <w:r w:rsidR="00B43093">
        <w:t xml:space="preserve"> citā administratīvajā lietā pret Valsts robežsardzi, </w:t>
      </w:r>
      <w:r w:rsidR="00A1400A">
        <w:t xml:space="preserve">pārstāvības rakstura dēļ </w:t>
      </w:r>
      <w:r w:rsidR="00B43093">
        <w:t>nav uzskatāma par informācijas nodošanu trešajai personai</w:t>
      </w:r>
      <w:r w:rsidR="00A1400A">
        <w:t xml:space="preserve">. </w:t>
      </w:r>
      <w:r w:rsidR="009065EA">
        <w:t xml:space="preserve">Tāpat informācija </w:t>
      </w:r>
      <w:r w:rsidR="00B766AD">
        <w:t xml:space="preserve">jau atradās </w:t>
      </w:r>
      <w:r w:rsidR="009065EA">
        <w:t>pieteicēja</w:t>
      </w:r>
      <w:r w:rsidR="00B766AD">
        <w:t>s rīcībā</w:t>
      </w:r>
      <w:r w:rsidR="009065EA">
        <w:t xml:space="preserve">, tāpēc pieteicējai nebija pamata lūgt šo informāciju iegūt. </w:t>
      </w:r>
      <w:r w:rsidR="00A1400A">
        <w:t>Tiesa nav</w:t>
      </w:r>
      <w:r w:rsidR="00181FFE">
        <w:t xml:space="preserve"> arī</w:t>
      </w:r>
      <w:r w:rsidR="00A1400A">
        <w:t xml:space="preserve"> izvērtējusi visus pieteikumā un apelācijas sūdzībā minētos būtiskos lietas apstākļus.</w:t>
      </w:r>
    </w:p>
    <w:p w14:paraId="26597E70" w14:textId="77777777" w:rsidR="00A1400A" w:rsidRDefault="00A1400A" w:rsidP="0035004F">
      <w:pPr>
        <w:pStyle w:val="NoSpacing"/>
        <w:spacing w:line="276" w:lineRule="auto"/>
        <w:ind w:firstLine="567"/>
        <w:jc w:val="both"/>
      </w:pPr>
    </w:p>
    <w:p w14:paraId="52545EA3" w14:textId="5701C5CC" w:rsidR="00A1400A" w:rsidRDefault="00A1400A" w:rsidP="0035004F">
      <w:pPr>
        <w:pStyle w:val="NoSpacing"/>
        <w:spacing w:line="276" w:lineRule="auto"/>
        <w:ind w:firstLine="567"/>
        <w:jc w:val="both"/>
      </w:pPr>
      <w:r>
        <w:t>[6]</w:t>
      </w:r>
      <w:r w:rsidR="0035004F">
        <w:t> </w:t>
      </w:r>
      <w:r>
        <w:t>Valsts robežsardze kasācijas sūdzībai nepiekr</w:t>
      </w:r>
      <w:r w:rsidR="00281558">
        <w:t>īt, uzskata apgabaltiesas spriedumu par pamatotu.</w:t>
      </w:r>
    </w:p>
    <w:p w14:paraId="09BF65CA" w14:textId="77777777" w:rsidR="00A1400A" w:rsidRDefault="00A1400A" w:rsidP="0035004F">
      <w:pPr>
        <w:pStyle w:val="NoSpacing"/>
        <w:spacing w:line="276" w:lineRule="auto"/>
        <w:ind w:firstLine="567"/>
        <w:jc w:val="both"/>
      </w:pPr>
    </w:p>
    <w:p w14:paraId="0EB0B04E" w14:textId="77777777" w:rsidR="00A1400A" w:rsidRPr="00A1400A" w:rsidRDefault="00A1400A" w:rsidP="0035004F">
      <w:pPr>
        <w:pStyle w:val="NoSpacing"/>
        <w:spacing w:line="276" w:lineRule="auto"/>
        <w:jc w:val="center"/>
        <w:rPr>
          <w:b/>
        </w:rPr>
      </w:pPr>
      <w:r w:rsidRPr="00A1400A">
        <w:rPr>
          <w:b/>
        </w:rPr>
        <w:t>Motīvu daļa</w:t>
      </w:r>
    </w:p>
    <w:p w14:paraId="2B686379" w14:textId="77777777" w:rsidR="00A1400A" w:rsidRDefault="00A1400A" w:rsidP="0035004F">
      <w:pPr>
        <w:pStyle w:val="NoSpacing"/>
        <w:spacing w:line="276" w:lineRule="auto"/>
        <w:ind w:firstLine="567"/>
        <w:jc w:val="both"/>
      </w:pPr>
    </w:p>
    <w:p w14:paraId="5EBCE934" w14:textId="3A2F8580" w:rsidR="000009AC" w:rsidRDefault="00A1400A" w:rsidP="0035004F">
      <w:pPr>
        <w:pStyle w:val="NoSpacing"/>
        <w:spacing w:line="276" w:lineRule="auto"/>
        <w:ind w:firstLine="567"/>
        <w:jc w:val="both"/>
      </w:pPr>
      <w:r>
        <w:t>[7]</w:t>
      </w:r>
      <w:r w:rsidR="0035004F">
        <w:t> </w:t>
      </w:r>
      <w:r w:rsidR="00246EB2">
        <w:t>Atbilstoši Informācijas atklātības likuma 5.panta pirmajai daļai ierobežotas pieejamības informācija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r w:rsidR="000009AC">
        <w:t xml:space="preserve"> Tādējādi, ja informācijai, konkrētajā gadījumā iekšējam normatīvajam aktam, iestāde ir noteikusi ierobežotas pieejamības statusu, tad šāda informācija ir pieejama tikai ierobežotam personu lokam, konkrētajā gadījumā Valsts robežsardzē strādājošajām personām dienesta pienākumu </w:t>
      </w:r>
      <w:r w:rsidR="0035004F">
        <w:t>pildīšanai</w:t>
      </w:r>
      <w:r w:rsidR="000009AC">
        <w:t xml:space="preserve">. Apgabaltiesa spriedumā konstatēja, ka iestāde ir sniegusi pamatojumu ierobežotas pieejamības statusa noteikšanai konkrētajai informācijai robežsardzes uzdevumu izpildes nodrošināšanai, kā arī apgabaltiesa konstatēja, ka pieteicēja ar parakstu ir apliecinājusi, ka apņemas ievērot ierobežotas pieejamības informācijas glabāšanas un izmantošanas noteikumus, tostarp to, ka konkrētā informācija ir glabājama dienesta vietā. </w:t>
      </w:r>
      <w:r w:rsidR="00941A67">
        <w:t>Tādējādi a</w:t>
      </w:r>
      <w:r w:rsidR="000009AC">
        <w:t>pgabaltiesa, konstatējot, ka pieteicēja šos ierobežojumus nav ievērojusi, iznesot informāciju ārpus dienesta vietas un nododot</w:t>
      </w:r>
      <w:r w:rsidR="0035004F">
        <w:t xml:space="preserve"> to</w:t>
      </w:r>
      <w:r w:rsidR="000009AC">
        <w:t xml:space="preserve"> </w:t>
      </w:r>
      <w:r w:rsidR="00941A67">
        <w:t>citai personai, ir pamatoti atzinusi, ka ir tikusi pārkāpta ierobežotas pieejamības informācijas uzglabāšanas un izmantošanas kārtība.</w:t>
      </w:r>
    </w:p>
    <w:p w14:paraId="104B5E57" w14:textId="4D1F9D2D" w:rsidR="00AF0B2A" w:rsidRDefault="003940D2" w:rsidP="0035004F">
      <w:pPr>
        <w:pStyle w:val="NoSpacing"/>
        <w:spacing w:line="276" w:lineRule="auto"/>
        <w:ind w:firstLine="567"/>
        <w:jc w:val="both"/>
      </w:pPr>
      <w:r>
        <w:t>Robežsardz</w:t>
      </w:r>
      <w:r w:rsidR="00D012FA">
        <w:t>es dienestā</w:t>
      </w:r>
      <w:r>
        <w:t xml:space="preserve"> strādājošās personas ir pakļautas dienestā noteiktajai </w:t>
      </w:r>
      <w:r w:rsidR="00D012FA">
        <w:t xml:space="preserve">tiesiskajai </w:t>
      </w:r>
      <w:r>
        <w:t>kārtībai</w:t>
      </w:r>
      <w:r w:rsidR="00D012FA">
        <w:t>. Tās ir tiesiskās attiecības starp iestādi un iestādē strādājošām person</w:t>
      </w:r>
      <w:r w:rsidR="007D230E">
        <w:t>ām</w:t>
      </w:r>
      <w:r w:rsidR="00D012FA">
        <w:t xml:space="preserve">, tostarp attiecībā uz informācijas uzglabāšanu un apriti dienesta vajadzībām. Tieši tāpēc </w:t>
      </w:r>
      <w:r w:rsidR="001C6190">
        <w:t>persona, kas nav dienestā strādājoša un nav pakļauta šai tiesiskajai dienesta kārtībai, ir uzskatāma par citu jeb trešo personu</w:t>
      </w:r>
      <w:r w:rsidR="00AF0B2A">
        <w:t>, un tādējādi ierobežotas pieejamības informācijas izpaušana šādai personai</w:t>
      </w:r>
      <w:r w:rsidR="007D230E">
        <w:t xml:space="preserve"> </w:t>
      </w:r>
      <w:r w:rsidR="00AF0B2A">
        <w:t>ir dienestā noteiktās kārtības pārkāpums. Tā kā ir runa par dienesta attiecību pārkāpumu, tad šajā kontekstā nav izšķirošas nozīmes tam, kurai tieši personai ārpus dienesta attiecībām ierobežotas piee</w:t>
      </w:r>
      <w:r w:rsidR="00713EAF">
        <w:t>jamības informācija ir izpausta</w:t>
      </w:r>
      <w:r w:rsidR="000D5DCD">
        <w:t>.</w:t>
      </w:r>
    </w:p>
    <w:p w14:paraId="366ED90B" w14:textId="7EF83C0E" w:rsidR="00227C83" w:rsidRDefault="00ED43A7" w:rsidP="0035004F">
      <w:pPr>
        <w:pStyle w:val="NoSpacing"/>
        <w:spacing w:line="276" w:lineRule="auto"/>
        <w:ind w:firstLine="567"/>
        <w:jc w:val="both"/>
      </w:pPr>
      <w:r>
        <w:t xml:space="preserve">Tādējādi apgabaltiesas secinājumi par pārkāpuma </w:t>
      </w:r>
      <w:r w:rsidR="0035004F">
        <w:t>sastāvu</w:t>
      </w:r>
      <w:r>
        <w:t xml:space="preserve"> ir pamatoti un tiesiski. </w:t>
      </w:r>
    </w:p>
    <w:p w14:paraId="2BB82D38" w14:textId="77777777" w:rsidR="0035004F" w:rsidRDefault="0035004F" w:rsidP="0035004F">
      <w:pPr>
        <w:pStyle w:val="NoSpacing"/>
        <w:spacing w:line="276" w:lineRule="auto"/>
        <w:ind w:firstLine="567"/>
        <w:jc w:val="both"/>
      </w:pPr>
    </w:p>
    <w:p w14:paraId="55893FA1" w14:textId="390F745E" w:rsidR="00227C83" w:rsidRDefault="00ED43A7" w:rsidP="0035004F">
      <w:pPr>
        <w:pStyle w:val="NoSpacing"/>
        <w:spacing w:line="276" w:lineRule="auto"/>
        <w:ind w:firstLine="567"/>
        <w:jc w:val="both"/>
      </w:pPr>
      <w:r>
        <w:t>[</w:t>
      </w:r>
      <w:r w:rsidR="00200519">
        <w:t>8</w:t>
      </w:r>
      <w:r>
        <w:t>]</w:t>
      </w:r>
      <w:r w:rsidR="0035004F">
        <w:t> </w:t>
      </w:r>
      <w:r>
        <w:t>Vienlaikus apgabaltiesa</w:t>
      </w:r>
      <w:r w:rsidR="00200519">
        <w:t>, vērtējot pārkāpumu,</w:t>
      </w:r>
      <w:r>
        <w:t xml:space="preserve"> spriedumā nav </w:t>
      </w:r>
      <w:r w:rsidR="00200519">
        <w:t>iz</w:t>
      </w:r>
      <w:r>
        <w:t xml:space="preserve">vērtējusi faktiskos apstākļus, </w:t>
      </w:r>
      <w:r w:rsidR="00200519">
        <w:t xml:space="preserve">uz kuriem </w:t>
      </w:r>
      <w:r>
        <w:t>norāda pieteic</w:t>
      </w:r>
      <w:r w:rsidR="00200519">
        <w:t>ēja, un kuriem var būt nozīme lietas pareizā izspriešanā.</w:t>
      </w:r>
    </w:p>
    <w:p w14:paraId="50D86BF2" w14:textId="05A4355E" w:rsidR="00093CD9" w:rsidRDefault="00200519" w:rsidP="0035004F">
      <w:pPr>
        <w:pStyle w:val="NoSpacing"/>
        <w:spacing w:line="276" w:lineRule="auto"/>
        <w:ind w:firstLine="567"/>
        <w:jc w:val="both"/>
      </w:pPr>
      <w:r>
        <w:t>P</w:t>
      </w:r>
      <w:r w:rsidR="00ED43A7">
        <w:t xml:space="preserve">ieteicēja </w:t>
      </w:r>
      <w:r>
        <w:t>p</w:t>
      </w:r>
      <w:r w:rsidR="00ED43A7">
        <w:t xml:space="preserve">ieteikumā tiesai ir </w:t>
      </w:r>
      <w:r>
        <w:t>norādījusi</w:t>
      </w:r>
      <w:r w:rsidR="00ED43A7">
        <w:t xml:space="preserve">, ka </w:t>
      </w:r>
      <w:r w:rsidR="007A727F">
        <w:t xml:space="preserve">pirms administratīvās lietas </w:t>
      </w:r>
      <w:r w:rsidR="007A727F">
        <w:rPr>
          <w:rFonts w:cs="Times New Roman"/>
          <w:szCs w:val="24"/>
        </w:rPr>
        <w:t>Nr. A420300615</w:t>
      </w:r>
      <w:r w:rsidR="00093CD9">
        <w:rPr>
          <w:rFonts w:cs="Times New Roman"/>
          <w:szCs w:val="24"/>
        </w:rPr>
        <w:t xml:space="preserve"> (turpmāk – 2.administratīvā lieta)</w:t>
      </w:r>
      <w:r w:rsidR="007A727F">
        <w:rPr>
          <w:rFonts w:cs="Times New Roman"/>
          <w:szCs w:val="24"/>
        </w:rPr>
        <w:t xml:space="preserve">, kurā tika iesniegti strīdus </w:t>
      </w:r>
      <w:r w:rsidR="007A727F">
        <w:t xml:space="preserve">iekšējie noteikumi Nr. 11, tika </w:t>
      </w:r>
      <w:r w:rsidR="007A727F">
        <w:lastRenderedPageBreak/>
        <w:t xml:space="preserve">ierosināta administratīvā lieta Nr. A420298215 </w:t>
      </w:r>
      <w:r w:rsidR="00093CD9">
        <w:t>(</w:t>
      </w:r>
      <w:r w:rsidR="00093CD9">
        <w:rPr>
          <w:rFonts w:cs="Times New Roman"/>
          <w:szCs w:val="24"/>
        </w:rPr>
        <w:t>turpmāk – 1.administratīvā lieta)</w:t>
      </w:r>
      <w:r w:rsidR="00093CD9">
        <w:t xml:space="preserve"> </w:t>
      </w:r>
      <w:r w:rsidR="007A727F">
        <w:t xml:space="preserve">par vēl </w:t>
      </w:r>
      <w:r w:rsidR="00093CD9">
        <w:t>citu</w:t>
      </w:r>
      <w:r w:rsidR="007A727F">
        <w:t xml:space="preserve"> pirms tam pieteicējai piemērotu disciplinārsodu</w:t>
      </w:r>
      <w:r w:rsidR="00093CD9">
        <w:t>.</w:t>
      </w:r>
      <w:r w:rsidR="007A727F">
        <w:t xml:space="preserve"> </w:t>
      </w:r>
      <w:r w:rsidR="00093CD9">
        <w:t>M</w:t>
      </w:r>
      <w:r w:rsidR="007A727F">
        <w:t xml:space="preserve">inētajā lietā Valsts robežsardze ir atsaukusies arī uz iekšējiem noteikumiem Nr. 11, </w:t>
      </w:r>
      <w:r w:rsidR="00093CD9">
        <w:t xml:space="preserve">kā </w:t>
      </w:r>
      <w:r w:rsidR="00D93CF7">
        <w:t>arī lūgusi tos</w:t>
      </w:r>
      <w:r w:rsidR="007A727F">
        <w:t xml:space="preserve"> pievienot lietas materiāliem. Kā norāda pieteicēja, abās administratīvajās lietās kā pieteicējas pārstāvis </w:t>
      </w:r>
      <w:r w:rsidR="00A63BC5">
        <w:t>piedalīj</w:t>
      </w:r>
      <w:r w:rsidR="00093CD9">
        <w:t>ā</w:t>
      </w:r>
      <w:r w:rsidR="00A63BC5">
        <w:t>s</w:t>
      </w:r>
      <w:r w:rsidR="007A727F">
        <w:t xml:space="preserve"> </w:t>
      </w:r>
      <w:r w:rsidR="004F141B">
        <w:t>[pers. B]</w:t>
      </w:r>
      <w:r w:rsidR="007A727F">
        <w:t xml:space="preserve">, proti, tā trešā persona, kurai pieteicēja </w:t>
      </w:r>
      <w:r w:rsidR="002D3914">
        <w:t xml:space="preserve">saistībā ar tiesvedību </w:t>
      </w:r>
      <w:r w:rsidR="00093CD9">
        <w:t>2.</w:t>
      </w:r>
      <w:r w:rsidR="002D3914">
        <w:t>administratīvajā lietā</w:t>
      </w:r>
      <w:r w:rsidR="002D3914" w:rsidRPr="002D3914">
        <w:rPr>
          <w:rFonts w:cs="Times New Roman"/>
          <w:szCs w:val="24"/>
        </w:rPr>
        <w:t xml:space="preserve"> </w:t>
      </w:r>
      <w:r w:rsidR="007A727F">
        <w:t xml:space="preserve">ir </w:t>
      </w:r>
      <w:r w:rsidR="002D3914">
        <w:t xml:space="preserve">uzrādījusi iekšējos noteikumus </w:t>
      </w:r>
      <w:r w:rsidR="00093CD9">
        <w:t xml:space="preserve">Nr.11, </w:t>
      </w:r>
      <w:r w:rsidR="007A727F">
        <w:t xml:space="preserve">par </w:t>
      </w:r>
      <w:r w:rsidR="00093CD9">
        <w:t>k</w:t>
      </w:r>
      <w:r w:rsidR="007A727F">
        <w:t xml:space="preserve">o Valsts robežsardze pieteicējai </w:t>
      </w:r>
      <w:r w:rsidR="00093CD9">
        <w:t xml:space="preserve">izskatāmajā </w:t>
      </w:r>
      <w:r w:rsidR="007A727F">
        <w:t xml:space="preserve">lietā ir piemērojusi disciplinārsodu. Pieteicēja norāda, ka iestāde </w:t>
      </w:r>
      <w:r w:rsidR="00093CD9">
        <w:t>1.</w:t>
      </w:r>
      <w:r w:rsidR="007A727F">
        <w:t xml:space="preserve">administratīvajā lietā nav iebildusi, ka pieteicēju pārstāv konkrētā persona </w:t>
      </w:r>
      <w:r w:rsidR="00026EFC">
        <w:t xml:space="preserve">un </w:t>
      </w:r>
      <w:r w:rsidR="00093CD9">
        <w:t xml:space="preserve">ka viņš </w:t>
      </w:r>
      <w:r w:rsidR="00026EFC">
        <w:t xml:space="preserve">kā procesa dalībnieks iepazīstas ar visiem lietas materiāliem, </w:t>
      </w:r>
      <w:r>
        <w:t>tostarp</w:t>
      </w:r>
      <w:r w:rsidR="00093CD9">
        <w:t xml:space="preserve"> tiem</w:t>
      </w:r>
      <w:r>
        <w:t xml:space="preserve">, kuriem iestāde ir </w:t>
      </w:r>
      <w:r w:rsidR="00093CD9">
        <w:t>noteikusi</w:t>
      </w:r>
      <w:r w:rsidR="00026EFC">
        <w:t xml:space="preserve"> ierobežota</w:t>
      </w:r>
      <w:r w:rsidR="00A63BC5">
        <w:t>s</w:t>
      </w:r>
      <w:r w:rsidR="00026EFC">
        <w:t xml:space="preserve"> pieejamība</w:t>
      </w:r>
      <w:r w:rsidR="00A63BC5">
        <w:t>s status</w:t>
      </w:r>
      <w:r>
        <w:t>u</w:t>
      </w:r>
      <w:r w:rsidR="00026EFC">
        <w:t>.</w:t>
      </w:r>
    </w:p>
    <w:p w14:paraId="0D5AEC04" w14:textId="5A92CF53" w:rsidR="000B2DC7" w:rsidRDefault="003C0B03" w:rsidP="0035004F">
      <w:pPr>
        <w:pStyle w:val="NoSpacing"/>
        <w:spacing w:line="276" w:lineRule="auto"/>
        <w:ind w:firstLine="567"/>
        <w:jc w:val="both"/>
      </w:pPr>
      <w:r>
        <w:t>N</w:t>
      </w:r>
      <w:r w:rsidR="00A63BC5" w:rsidRPr="00661D2D">
        <w:t xml:space="preserve">o Tiesu informācijas sistēmas datiem </w:t>
      </w:r>
      <w:r w:rsidR="00766E1E" w:rsidRPr="00661D2D">
        <w:t>Senāts</w:t>
      </w:r>
      <w:r w:rsidR="00A63BC5">
        <w:t xml:space="preserve"> konstatē, ka abās </w:t>
      </w:r>
      <w:r w:rsidR="00717975">
        <w:t xml:space="preserve">minētajās </w:t>
      </w:r>
      <w:r w:rsidR="00A63BC5">
        <w:t>administratīvajās lietās</w:t>
      </w:r>
      <w:r w:rsidR="00F342D6">
        <w:t>, kā pamatoti norāda pieteicēja,</w:t>
      </w:r>
      <w:r w:rsidR="00A63BC5">
        <w:t xml:space="preserve"> </w:t>
      </w:r>
      <w:r w:rsidR="0035004F">
        <w:t>viņas</w:t>
      </w:r>
      <w:r w:rsidR="00A63BC5">
        <w:t xml:space="preserve"> pārstāvis</w:t>
      </w:r>
      <w:r w:rsidR="009B5E89">
        <w:t xml:space="preserve"> </w:t>
      </w:r>
      <w:r w:rsidR="00F342D6">
        <w:t xml:space="preserve">ir </w:t>
      </w:r>
      <w:r w:rsidR="004F141B">
        <w:t>[pers. B]</w:t>
      </w:r>
      <w:r w:rsidR="009B5E89">
        <w:t>, kā arī</w:t>
      </w:r>
      <w:r w:rsidR="00A63BC5">
        <w:t xml:space="preserve"> no Administratīvās rajona tiesas 2016.gada 22.jūlija sprieduma </w:t>
      </w:r>
      <w:r w:rsidR="00CE00FB">
        <w:t>1</w:t>
      </w:r>
      <w:r w:rsidR="00591B60">
        <w:t>.administra</w:t>
      </w:r>
      <w:r w:rsidR="00093CD9">
        <w:t xml:space="preserve">tīvajā </w:t>
      </w:r>
      <w:r w:rsidR="00A63BC5">
        <w:t xml:space="preserve">lietā </w:t>
      </w:r>
      <w:r w:rsidR="00093CD9">
        <w:t>ir</w:t>
      </w:r>
      <w:r w:rsidR="00A63BC5">
        <w:t xml:space="preserve"> redzams, ka tiesa ir atsaukusies uz iekšējiem noteikumiem Nr. </w:t>
      </w:r>
      <w:r w:rsidR="009B5E89">
        <w:t>11.</w:t>
      </w:r>
      <w:r w:rsidR="00BA7023">
        <w:t xml:space="preserve"> Senātam nav pieejami </w:t>
      </w:r>
      <w:r w:rsidR="00093CD9">
        <w:t xml:space="preserve">šīs </w:t>
      </w:r>
      <w:r w:rsidR="00BA7023">
        <w:t>administratīvās lietas materiāli</w:t>
      </w:r>
      <w:r>
        <w:t>, tomēr iepriekš minēti</w:t>
      </w:r>
      <w:r w:rsidR="002D3914">
        <w:t>e dati</w:t>
      </w:r>
      <w:r>
        <w:t xml:space="preserve"> norāda uz to, ka </w:t>
      </w:r>
      <w:r w:rsidR="00866B17">
        <w:t>šajā lietā</w:t>
      </w:r>
      <w:r>
        <w:t xml:space="preserve"> pieteicējai ir bijis pārstāvis</w:t>
      </w:r>
      <w:r w:rsidR="002D3914" w:rsidRPr="002D3914">
        <w:t xml:space="preserve"> </w:t>
      </w:r>
      <w:r w:rsidR="004F141B">
        <w:t>[pers. B]</w:t>
      </w:r>
      <w:r w:rsidR="002D3914">
        <w:t xml:space="preserve"> </w:t>
      </w:r>
      <w:r>
        <w:t>un lietā ir tikuši apspriesti strīdus iekš</w:t>
      </w:r>
      <w:r w:rsidR="00717975">
        <w:t>ējie noteikumi, un, ja tiesa nav noteikusi pieteicējas pārstāvim ierobežojumu ar tiem iepazīties, tad visticamāk pieteicējas pārstāvis kā procesa dalībnieks ar šiem noteikumiem ir iepazinies.</w:t>
      </w:r>
      <w:r>
        <w:t xml:space="preserve"> K</w:t>
      </w:r>
      <w:r w:rsidR="00BA7023">
        <w:t>onkrēt</w:t>
      </w:r>
      <w:r>
        <w:t>o</w:t>
      </w:r>
      <w:r w:rsidR="00BA7023">
        <w:t xml:space="preserve"> apstākļu </w:t>
      </w:r>
      <w:r w:rsidR="00717975">
        <w:t xml:space="preserve">noskaidrošana un </w:t>
      </w:r>
      <w:r w:rsidR="00BA7023">
        <w:t>izvērtē</w:t>
      </w:r>
      <w:r w:rsidR="00717975">
        <w:t>šana</w:t>
      </w:r>
      <w:r w:rsidR="00BA7023">
        <w:t xml:space="preserve"> pēc būtības ir apelācijas instances tiesas kompetencē.</w:t>
      </w:r>
    </w:p>
    <w:p w14:paraId="741D17D6" w14:textId="7054F591" w:rsidR="00766E1E" w:rsidRDefault="006F583D" w:rsidP="0035004F">
      <w:pPr>
        <w:pStyle w:val="NoSpacing"/>
        <w:spacing w:line="276" w:lineRule="auto"/>
        <w:ind w:firstLine="567"/>
        <w:jc w:val="both"/>
      </w:pPr>
      <w:r>
        <w:t>J</w:t>
      </w:r>
      <w:r w:rsidR="00766E1E">
        <w:t xml:space="preserve">a </w:t>
      </w:r>
      <w:r w:rsidR="00BB2F28">
        <w:t>1</w:t>
      </w:r>
      <w:r w:rsidR="00866B17">
        <w:t>.</w:t>
      </w:r>
      <w:r w:rsidR="00766E1E">
        <w:t xml:space="preserve">administratīvajā lietā, kas </w:t>
      </w:r>
      <w:r w:rsidR="00866B17">
        <w:t xml:space="preserve">ir </w:t>
      </w:r>
      <w:r w:rsidR="00766E1E">
        <w:t xml:space="preserve">ierosināta pirms </w:t>
      </w:r>
      <w:r w:rsidR="00BB2F28">
        <w:t>2</w:t>
      </w:r>
      <w:r w:rsidR="00866B17">
        <w:t>.</w:t>
      </w:r>
      <w:r w:rsidR="00766E1E">
        <w:t>administratīvās lietas</w:t>
      </w:r>
      <w:r w:rsidR="00A95BEF">
        <w:t>, piedal</w:t>
      </w:r>
      <w:r w:rsidR="00632526">
        <w:t xml:space="preserve">ījās </w:t>
      </w:r>
      <w:r w:rsidR="004849AB">
        <w:t>vieni un ti</w:t>
      </w:r>
      <w:r w:rsidR="00632526">
        <w:t>e paši procesa dalībnieki, lietā</w:t>
      </w:r>
      <w:r w:rsidR="00A95BEF">
        <w:t xml:space="preserve"> atr</w:t>
      </w:r>
      <w:r w:rsidR="00632526">
        <w:t>a</w:t>
      </w:r>
      <w:r w:rsidR="00A95BEF">
        <w:t>d</w:t>
      </w:r>
      <w:r w:rsidR="00632526">
        <w:t>ā</w:t>
      </w:r>
      <w:r w:rsidR="00A95BEF">
        <w:t xml:space="preserve">s </w:t>
      </w:r>
      <w:r w:rsidR="00632526">
        <w:t>iekšējie noteikumi Nr. 11 un</w:t>
      </w:r>
      <w:r w:rsidR="00A95BEF">
        <w:t xml:space="preserve"> iestāde n</w:t>
      </w:r>
      <w:r w:rsidR="00632526">
        <w:t>ebija</w:t>
      </w:r>
      <w:r w:rsidR="00A95BEF">
        <w:t xml:space="preserve"> iebildusi pret šo noteikumu pievienošanu lietas materiāliem</w:t>
      </w:r>
      <w:r w:rsidR="00632526">
        <w:t>, kā arī</w:t>
      </w:r>
      <w:r w:rsidR="00A95BEF">
        <w:t xml:space="preserve"> tiesa n</w:t>
      </w:r>
      <w:r w:rsidR="00632526">
        <w:t>ebija</w:t>
      </w:r>
      <w:r w:rsidR="00A95BEF">
        <w:t xml:space="preserve"> noteikusi ierobežojumu pieteicējas pārstāvim iepazīties ar šiem noteikumiem, bet saistībā ar </w:t>
      </w:r>
      <w:r w:rsidR="00632526">
        <w:t xml:space="preserve">minētajai lietai </w:t>
      </w:r>
      <w:r w:rsidR="00A95BEF">
        <w:t xml:space="preserve">paralēli notiekošo administratīvo </w:t>
      </w:r>
      <w:r w:rsidR="003A038D">
        <w:t xml:space="preserve">tiesvedību </w:t>
      </w:r>
      <w:r w:rsidR="00866B17">
        <w:t xml:space="preserve">2.administratīvajā </w:t>
      </w:r>
      <w:r w:rsidR="00A95BEF">
        <w:t>liet</w:t>
      </w:r>
      <w:r w:rsidR="003A038D">
        <w:t>ā</w:t>
      </w:r>
      <w:r w:rsidR="00A95BEF">
        <w:rPr>
          <w:rFonts w:cs="Times New Roman"/>
          <w:szCs w:val="24"/>
        </w:rPr>
        <w:t xml:space="preserve"> </w:t>
      </w:r>
      <w:r w:rsidR="00632526">
        <w:rPr>
          <w:rFonts w:cs="Times New Roman"/>
          <w:szCs w:val="24"/>
        </w:rPr>
        <w:t>(</w:t>
      </w:r>
      <w:r w:rsidR="00A95BEF">
        <w:rPr>
          <w:rFonts w:cs="Times New Roman"/>
          <w:szCs w:val="24"/>
        </w:rPr>
        <w:t xml:space="preserve">kurā arī </w:t>
      </w:r>
      <w:r w:rsidR="0061233B">
        <w:rPr>
          <w:rFonts w:cs="Times New Roman"/>
          <w:szCs w:val="24"/>
        </w:rPr>
        <w:t xml:space="preserve">ir </w:t>
      </w:r>
      <w:r w:rsidR="00A95BEF">
        <w:rPr>
          <w:rFonts w:cs="Times New Roman"/>
          <w:szCs w:val="24"/>
        </w:rPr>
        <w:t>iesniegti tie paši iekšējie noteikumi un piedalās tie paši procesa dalībnieki</w:t>
      </w:r>
      <w:r w:rsidR="00632526">
        <w:rPr>
          <w:rFonts w:cs="Times New Roman"/>
          <w:szCs w:val="24"/>
        </w:rPr>
        <w:t>)</w:t>
      </w:r>
      <w:r w:rsidR="00A95BEF">
        <w:rPr>
          <w:rFonts w:cs="Times New Roman"/>
          <w:szCs w:val="24"/>
        </w:rPr>
        <w:t xml:space="preserve"> iestāde iebilst, ka </w:t>
      </w:r>
      <w:r w:rsidR="0081397E">
        <w:rPr>
          <w:rFonts w:cs="Times New Roman"/>
          <w:szCs w:val="24"/>
        </w:rPr>
        <w:t>ar pieteicējas rīcību</w:t>
      </w:r>
      <w:r w:rsidR="00665BFD">
        <w:rPr>
          <w:rFonts w:cs="Times New Roman"/>
          <w:szCs w:val="24"/>
        </w:rPr>
        <w:t xml:space="preserve">, iekšējos noteikumus nododot </w:t>
      </w:r>
      <w:r w:rsidR="00632526">
        <w:rPr>
          <w:rFonts w:cs="Times New Roman"/>
          <w:szCs w:val="24"/>
        </w:rPr>
        <w:t xml:space="preserve">savam </w:t>
      </w:r>
      <w:r w:rsidR="00665BFD">
        <w:rPr>
          <w:rFonts w:cs="Times New Roman"/>
          <w:szCs w:val="24"/>
        </w:rPr>
        <w:t>pārstāvim,</w:t>
      </w:r>
      <w:r w:rsidR="0081397E">
        <w:rPr>
          <w:rFonts w:cs="Times New Roman"/>
          <w:szCs w:val="24"/>
        </w:rPr>
        <w:t xml:space="preserve"> ir notikusi ierobežotas pieejamības informācijas izpaušana, tad iestādes rīcība nav konsekventa. Ja ierobežotas pieejamības informācijas </w:t>
      </w:r>
      <w:r w:rsidR="00766E1E">
        <w:t>aizsardzības mēr</w:t>
      </w:r>
      <w:r w:rsidR="0081397E">
        <w:t>ķis, kā minēts iepriekš, ir tās pieejamība tikai dienesta vajadzībām dienesta ietvaros</w:t>
      </w:r>
      <w:r w:rsidR="00A63BC5">
        <w:t xml:space="preserve"> un tā </w:t>
      </w:r>
      <w:r w:rsidR="00632526">
        <w:t xml:space="preserve">nav </w:t>
      </w:r>
      <w:r w:rsidR="00A63BC5">
        <w:t>izpau</w:t>
      </w:r>
      <w:r w:rsidR="00632526">
        <w:t>ž</w:t>
      </w:r>
      <w:r w:rsidR="00A63BC5">
        <w:t>a</w:t>
      </w:r>
      <w:r w:rsidR="00632526">
        <w:t>m</w:t>
      </w:r>
      <w:r w:rsidR="00A63BC5">
        <w:t>a trešajām personām</w:t>
      </w:r>
      <w:r w:rsidR="0081397E">
        <w:t xml:space="preserve">, tad apstākļos, </w:t>
      </w:r>
      <w:r w:rsidR="00A63BC5">
        <w:t>k</w:t>
      </w:r>
      <w:r w:rsidR="0081397E">
        <w:t>a</w:t>
      </w:r>
      <w:r w:rsidR="00A63BC5">
        <w:t>d</w:t>
      </w:r>
      <w:r w:rsidR="0081397E">
        <w:t xml:space="preserve"> </w:t>
      </w:r>
      <w:r w:rsidR="00632526">
        <w:t>vienlaikus</w:t>
      </w:r>
      <w:r w:rsidR="0081397E">
        <w:t xml:space="preserve"> konkrētā ierobežotas pieejamības informācija jau atrodas citā administratīvajā lietā un procesa dalībnieki</w:t>
      </w:r>
      <w:r w:rsidR="00A63BC5">
        <w:t>, tostarp konkrētā trešā persona</w:t>
      </w:r>
      <w:r w:rsidR="0081397E">
        <w:t xml:space="preserve"> ar to </w:t>
      </w:r>
      <w:r w:rsidR="00866B17">
        <w:t>i</w:t>
      </w:r>
      <w:r w:rsidR="00DB76C8">
        <w:t>r i</w:t>
      </w:r>
      <w:r w:rsidR="00866B17">
        <w:t>epaz</w:t>
      </w:r>
      <w:r w:rsidR="00DB76C8">
        <w:t>inusie</w:t>
      </w:r>
      <w:r w:rsidR="00866B17">
        <w:t>s</w:t>
      </w:r>
      <w:r w:rsidR="0081397E">
        <w:t xml:space="preserve">, ar pieteicējas sodīšanu par ierobežotas pieejamības informācijas izpaušanu </w:t>
      </w:r>
      <w:r w:rsidR="00C5196D">
        <w:t xml:space="preserve">saistībā ar paralēli notiekošu administratīvo lietu </w:t>
      </w:r>
      <w:r w:rsidR="0081397E">
        <w:t xml:space="preserve">netiek sasniegts </w:t>
      </w:r>
      <w:r w:rsidR="00A63BC5">
        <w:t xml:space="preserve">iepriekš minētais </w:t>
      </w:r>
      <w:r w:rsidR="00C5196D">
        <w:t xml:space="preserve">ar Informācijas atklātības likuma normām aizsargātais </w:t>
      </w:r>
      <w:r w:rsidR="0081397E">
        <w:t xml:space="preserve">mērķis. Citiem vārdiem, disciplinārsoda piemērošana šādos apstākļos </w:t>
      </w:r>
      <w:r w:rsidR="00452D05">
        <w:t>kļūst</w:t>
      </w:r>
      <w:r w:rsidR="0081397E">
        <w:t xml:space="preserve"> bezmērķīga</w:t>
      </w:r>
      <w:r w:rsidR="00EC4CDD">
        <w:t xml:space="preserve"> un uzskatāma par formālu tiesību normu piemērošanu</w:t>
      </w:r>
      <w:r w:rsidR="0081397E">
        <w:t xml:space="preserve">. </w:t>
      </w:r>
    </w:p>
    <w:p w14:paraId="1B286A66" w14:textId="77777777" w:rsidR="00A11C87" w:rsidRDefault="00A11C87" w:rsidP="0035004F">
      <w:pPr>
        <w:pStyle w:val="NoSpacing"/>
        <w:spacing w:line="276" w:lineRule="auto"/>
        <w:ind w:firstLine="567"/>
        <w:jc w:val="both"/>
      </w:pPr>
    </w:p>
    <w:p w14:paraId="471B5BF9" w14:textId="162344B5" w:rsidR="00173D28" w:rsidRDefault="00A11C87" w:rsidP="0035004F">
      <w:pPr>
        <w:pStyle w:val="NoSpacing"/>
        <w:spacing w:line="276" w:lineRule="auto"/>
        <w:ind w:firstLine="567"/>
        <w:jc w:val="both"/>
      </w:pPr>
      <w:r>
        <w:t>[</w:t>
      </w:r>
      <w:r w:rsidR="00200519">
        <w:t>9</w:t>
      </w:r>
      <w:r>
        <w:t>]</w:t>
      </w:r>
      <w:r w:rsidR="00866B17">
        <w:t> </w:t>
      </w:r>
      <w:r w:rsidR="004849AB">
        <w:t>P</w:t>
      </w:r>
      <w:r w:rsidR="004B437D">
        <w:t xml:space="preserve">ieteicēja </w:t>
      </w:r>
      <w:r w:rsidR="004849AB">
        <w:t xml:space="preserve">paskaidrojumos par apelācijas sūdzību ir norādījusi uz konkrētiem apstākļiem </w:t>
      </w:r>
      <w:r w:rsidR="00F40C6A">
        <w:t>dienest</w:t>
      </w:r>
      <w:r w:rsidR="004849AB">
        <w:t>ā</w:t>
      </w:r>
      <w:r w:rsidR="00F40C6A">
        <w:t>, kas</w:t>
      </w:r>
      <w:r w:rsidR="004849AB">
        <w:t>, pieteicējas</w:t>
      </w:r>
      <w:r w:rsidR="00866B17">
        <w:t xml:space="preserve"> ieskatā</w:t>
      </w:r>
      <w:r w:rsidR="004849AB">
        <w:t>,</w:t>
      </w:r>
      <w:r w:rsidR="00F40C6A">
        <w:t xml:space="preserve"> lieci</w:t>
      </w:r>
      <w:r w:rsidR="004849AB">
        <w:t>na</w:t>
      </w:r>
      <w:r w:rsidR="00F40C6A">
        <w:t xml:space="preserve"> par</w:t>
      </w:r>
      <w:r w:rsidR="004849AB">
        <w:t xml:space="preserve"> to, ka iestādes rīcības patiesais iemesls</w:t>
      </w:r>
      <w:r w:rsidR="00252937">
        <w:t>, sodot pieteicēju,</w:t>
      </w:r>
      <w:r w:rsidR="004849AB">
        <w:t xml:space="preserve"> ir</w:t>
      </w:r>
      <w:r w:rsidR="004B437D">
        <w:t xml:space="preserve"> </w:t>
      </w:r>
      <w:r w:rsidR="00F40C6A">
        <w:t>vēršan</w:t>
      </w:r>
      <w:r w:rsidR="004849AB">
        <w:t>ā</w:t>
      </w:r>
      <w:r w:rsidR="00F40C6A">
        <w:t xml:space="preserve">s pret </w:t>
      </w:r>
      <w:r w:rsidR="00866B17">
        <w:t>viņu</w:t>
      </w:r>
      <w:r w:rsidR="00F40C6A">
        <w:t>.</w:t>
      </w:r>
      <w:r w:rsidR="00173D28" w:rsidRPr="00173D28">
        <w:t xml:space="preserve"> </w:t>
      </w:r>
    </w:p>
    <w:p w14:paraId="144AE004" w14:textId="0F1DD15D" w:rsidR="00573BAD" w:rsidRDefault="00573BAD" w:rsidP="0035004F">
      <w:pPr>
        <w:pStyle w:val="NoSpacing"/>
        <w:spacing w:line="276" w:lineRule="auto"/>
        <w:ind w:firstLine="567"/>
        <w:jc w:val="both"/>
      </w:pPr>
      <w:r>
        <w:t xml:space="preserve">Atbilstoši Administratīvā procesa likuma 302.pantam apelācijas instances tiesa </w:t>
      </w:r>
      <w:r w:rsidR="00453307">
        <w:t xml:space="preserve">izskata lietu vēlreiz pēc būtības. Rajona tiesas spriedumu iestāde pārsūdzēja pilnībā, pieteicēja sniedza paskaidrojumus par iestādes apelācijas sūdzību. Tādējādi apelācijas instances tiesai bija jāizvērtē procesa dalībnieku norādītie apstākļi, kuriem ir būtiska nozīme lietas izskatīšanā. </w:t>
      </w:r>
    </w:p>
    <w:p w14:paraId="2F37192C" w14:textId="77777777" w:rsidR="000852B3" w:rsidRDefault="000852B3" w:rsidP="0035004F">
      <w:pPr>
        <w:pStyle w:val="NoSpacing"/>
        <w:spacing w:line="276" w:lineRule="auto"/>
        <w:ind w:firstLine="567"/>
        <w:jc w:val="both"/>
      </w:pPr>
    </w:p>
    <w:p w14:paraId="5BF9F05E" w14:textId="05F58420" w:rsidR="00FB7692" w:rsidRDefault="000852B3" w:rsidP="0035004F">
      <w:pPr>
        <w:pStyle w:val="NoSpacing"/>
        <w:spacing w:line="276" w:lineRule="auto"/>
        <w:ind w:firstLine="567"/>
        <w:jc w:val="both"/>
      </w:pPr>
      <w:r>
        <w:t>[10]</w:t>
      </w:r>
      <w:r w:rsidR="00866B17">
        <w:t> </w:t>
      </w:r>
      <w:r>
        <w:t>Senāts jau iepriekš ir atzinis, ka vēršanās pret konkrētu darbinieku nav viegli konstatējama, tā ir vērtējama ilgtermiņā un kopumā</w:t>
      </w:r>
      <w:r w:rsidR="004436B3">
        <w:t xml:space="preserve">. Arī </w:t>
      </w:r>
      <w:r>
        <w:t xml:space="preserve">attieksme pret ietekmējamo personu </w:t>
      </w:r>
      <w:r>
        <w:lastRenderedPageBreak/>
        <w:t xml:space="preserve">pati </w:t>
      </w:r>
      <w:r w:rsidR="004436B3">
        <w:t>par sevi var nebūt prettiesiska, bet</w:t>
      </w:r>
      <w:r>
        <w:t xml:space="preserve"> </w:t>
      </w:r>
      <w:r w:rsidR="004436B3">
        <w:t>p</w:t>
      </w:r>
      <w:r>
        <w:t>rettiesisks ir šo darbību mērķis padarīt personas atrašanos konkrētajā vietā par neciešamu</w:t>
      </w:r>
      <w:r w:rsidR="004436B3">
        <w:t>, līdz pat tam, ka dienesta attiecības ar konkrēto personu tiek izbeigtas vai nu iestādes rīcības rezultātā</w:t>
      </w:r>
      <w:r w:rsidR="003E79F5">
        <w:t>,</w:t>
      </w:r>
      <w:r w:rsidR="004436B3">
        <w:t xml:space="preserve"> vai pēc pašas personas iniciatīvas.</w:t>
      </w:r>
      <w:r w:rsidR="00EC20EB">
        <w:t xml:space="preserve"> Vērtējot iespējamās ietekmes atsevišķus faktus, nav iespējams izdarīt pareizus secinājumus par iestādes iespējamo īstenoto spiedienu pret personu, situācija ir jāvērtē visaptverošā veidā. Turklāt tiesas pieejai nav jābūt formālai no procesuālās vai materiāltiesiskās atbilstības viedokļa, jo tiesas mērķis šādā lietā ir ne tikai iestādes atsevišķu darbību tiesiskuma pārbaude, bet arī ietekmes identificējošo pazīmju kopuma pārbaude (</w:t>
      </w:r>
      <w:r w:rsidR="00EC20EB" w:rsidRPr="005E067C">
        <w:rPr>
          <w:i/>
        </w:rPr>
        <w:t>Senāta 2019.gada 3.jūlija sprieduma lietā Nr. SKA-474/2019</w:t>
      </w:r>
      <w:r w:rsidR="005E067C" w:rsidRPr="005E067C">
        <w:rPr>
          <w:i/>
        </w:rPr>
        <w:t xml:space="preserve"> </w:t>
      </w:r>
      <w:r w:rsidR="00DA0505">
        <w:rPr>
          <w:i/>
        </w:rPr>
        <w:t>(</w:t>
      </w:r>
      <w:hyperlink r:id="rId7" w:history="1">
        <w:r w:rsidR="005E067C" w:rsidRPr="005E067C">
          <w:rPr>
            <w:rStyle w:val="Hyperlink"/>
            <w:rFonts w:cs="Times New Roman"/>
            <w:bCs/>
            <w:i/>
            <w:color w:val="auto"/>
            <w:szCs w:val="24"/>
            <w:u w:val="none"/>
            <w:shd w:val="clear" w:color="auto" w:fill="FFFFFF"/>
          </w:rPr>
          <w:t>ECLI:LV:AT:2019:0703.A420287716.5.S</w:t>
        </w:r>
      </w:hyperlink>
      <w:r w:rsidR="00DA0505">
        <w:rPr>
          <w:rFonts w:cs="Times New Roman"/>
          <w:i/>
          <w:szCs w:val="24"/>
        </w:rPr>
        <w:t>)</w:t>
      </w:r>
      <w:r w:rsidR="00EC20EB" w:rsidRPr="005E067C">
        <w:rPr>
          <w:rFonts w:cs="Times New Roman"/>
          <w:i/>
          <w:szCs w:val="24"/>
        </w:rPr>
        <w:t xml:space="preserve"> 9.punk</w:t>
      </w:r>
      <w:r w:rsidR="00EC20EB" w:rsidRPr="005E067C">
        <w:rPr>
          <w:i/>
        </w:rPr>
        <w:t xml:space="preserve">ts, </w:t>
      </w:r>
      <w:r w:rsidR="00EC20EB" w:rsidRPr="003E79F5">
        <w:t>sal.</w:t>
      </w:r>
      <w:r w:rsidR="00EC20EB" w:rsidRPr="005E067C">
        <w:rPr>
          <w:i/>
        </w:rPr>
        <w:t xml:space="preserve"> arī Senāta 2012</w:t>
      </w:r>
      <w:r w:rsidR="00EC20EB" w:rsidRPr="00580A5C">
        <w:rPr>
          <w:i/>
        </w:rPr>
        <w:t xml:space="preserve">.gada 23.novembra sprieduma lietā Nr. SKA-150/2012 </w:t>
      </w:r>
      <w:r w:rsidR="00EC20EB">
        <w:rPr>
          <w:i/>
        </w:rPr>
        <w:t>(</w:t>
      </w:r>
      <w:r w:rsidR="00EC20EB" w:rsidRPr="00BD551D">
        <w:rPr>
          <w:i/>
        </w:rPr>
        <w:t>A42607608)</w:t>
      </w:r>
      <w:r w:rsidR="00EC20EB">
        <w:rPr>
          <w:i/>
        </w:rPr>
        <w:t xml:space="preserve"> </w:t>
      </w:r>
      <w:r w:rsidR="00EC20EB" w:rsidRPr="00580A5C">
        <w:rPr>
          <w:i/>
        </w:rPr>
        <w:t>10.punkts</w:t>
      </w:r>
      <w:r w:rsidR="00EC20EB" w:rsidRPr="005E067C">
        <w:t>).</w:t>
      </w:r>
    </w:p>
    <w:p w14:paraId="015E178B" w14:textId="4FBAA076" w:rsidR="00862C70" w:rsidRDefault="00976BFB" w:rsidP="0035004F">
      <w:pPr>
        <w:pStyle w:val="NoSpacing"/>
        <w:spacing w:line="276" w:lineRule="auto"/>
        <w:ind w:firstLine="567"/>
        <w:jc w:val="both"/>
      </w:pPr>
      <w:r>
        <w:t xml:space="preserve">Viens no apstākļiem, kas var liecināt par vēršanos pret konkrētu personu, var būt regulāra disciplinārsodu piemērošana salīdzinoši neilgā laikā, it īpaši, ja citas personas salīdzināmos apstākļos nav sodītas. Šāda rīcība varētu norādīt uz iestādes </w:t>
      </w:r>
      <w:r w:rsidR="00254306">
        <w:t>rīcību</w:t>
      </w:r>
      <w:r w:rsidR="00B9136F">
        <w:t xml:space="preserve"> </w:t>
      </w:r>
      <w:r>
        <w:t>ar mērķi apgrūtināt konkrētas personas atrašanos darbā vai pat atbrīvoties no šīs personas (</w:t>
      </w:r>
      <w:r w:rsidRPr="005E067C">
        <w:rPr>
          <w:i/>
        </w:rPr>
        <w:t xml:space="preserve">Senāta 2019.gada 3.jūlija sprieduma lietā Nr. SKA-474/2019 </w:t>
      </w:r>
      <w:r>
        <w:rPr>
          <w:i/>
        </w:rPr>
        <w:t>(</w:t>
      </w:r>
      <w:hyperlink r:id="rId8" w:history="1">
        <w:r w:rsidRPr="005E067C">
          <w:rPr>
            <w:rStyle w:val="Hyperlink"/>
            <w:rFonts w:cs="Times New Roman"/>
            <w:bCs/>
            <w:i/>
            <w:color w:val="auto"/>
            <w:szCs w:val="24"/>
            <w:u w:val="none"/>
            <w:shd w:val="clear" w:color="auto" w:fill="FFFFFF"/>
          </w:rPr>
          <w:t>ECLI:LV:AT:2019:0703.A420287716.5.S</w:t>
        </w:r>
      </w:hyperlink>
      <w:r>
        <w:rPr>
          <w:rFonts w:cs="Times New Roman"/>
          <w:i/>
          <w:szCs w:val="24"/>
        </w:rPr>
        <w:t>)</w:t>
      </w:r>
      <w:r w:rsidRPr="005E067C">
        <w:rPr>
          <w:rFonts w:cs="Times New Roman"/>
          <w:i/>
          <w:szCs w:val="24"/>
        </w:rPr>
        <w:t xml:space="preserve"> </w:t>
      </w:r>
      <w:r w:rsidR="000F778E">
        <w:rPr>
          <w:rFonts w:cs="Times New Roman"/>
          <w:i/>
          <w:szCs w:val="24"/>
        </w:rPr>
        <w:t>10</w:t>
      </w:r>
      <w:r w:rsidRPr="005E067C">
        <w:rPr>
          <w:rFonts w:cs="Times New Roman"/>
          <w:i/>
          <w:szCs w:val="24"/>
        </w:rPr>
        <w:t>.punk</w:t>
      </w:r>
      <w:r w:rsidRPr="005E067C">
        <w:rPr>
          <w:i/>
        </w:rPr>
        <w:t>ts</w:t>
      </w:r>
      <w:r w:rsidRPr="00976BFB">
        <w:t>)</w:t>
      </w:r>
      <w:r>
        <w:t>.</w:t>
      </w:r>
    </w:p>
    <w:p w14:paraId="433BC38E" w14:textId="77777777" w:rsidR="00FB7692" w:rsidRDefault="00FB7692" w:rsidP="0035004F">
      <w:pPr>
        <w:pStyle w:val="NoSpacing"/>
        <w:spacing w:line="276" w:lineRule="auto"/>
        <w:ind w:firstLine="567"/>
        <w:jc w:val="both"/>
      </w:pPr>
    </w:p>
    <w:p w14:paraId="614E3992" w14:textId="241DF5E3" w:rsidR="004F1D53" w:rsidRDefault="00FB7692" w:rsidP="0035004F">
      <w:pPr>
        <w:pStyle w:val="NoSpacing"/>
        <w:spacing w:line="276" w:lineRule="auto"/>
        <w:ind w:firstLine="567"/>
        <w:jc w:val="both"/>
      </w:pPr>
      <w:r>
        <w:t xml:space="preserve">[11] </w:t>
      </w:r>
      <w:r w:rsidR="004F1D53">
        <w:t xml:space="preserve">Pieteicēja </w:t>
      </w:r>
      <w:r w:rsidR="00862C70">
        <w:t xml:space="preserve">paskaidrojumos par apelācijas sūdzību </w:t>
      </w:r>
      <w:r w:rsidR="004F1D53">
        <w:t xml:space="preserve">norāda, ka iestādes rīcība, ierosinot un izskatot vairākas disciplinārlietas pret </w:t>
      </w:r>
      <w:r w:rsidR="00866B17">
        <w:t>viņu</w:t>
      </w:r>
      <w:r w:rsidR="004F1D53">
        <w:t xml:space="preserve"> un piemērojot disciplinārsodus, notika uzreiz pēc tam, kad 2014.gada 3.decembrī starp pieteicēju </w:t>
      </w:r>
      <w:r w:rsidR="00A3300D">
        <w:t>(</w:t>
      </w:r>
      <w:r w:rsidR="004F1D53">
        <w:t>robežkontroles punkta inspektori</w:t>
      </w:r>
      <w:r w:rsidR="00A3300D">
        <w:t>)</w:t>
      </w:r>
      <w:r w:rsidR="004F1D53">
        <w:t xml:space="preserve"> un robežkontroles punkta vadītāju notika starpgadījums, par kuru pieteicēja ziņoja Valsts robežsardzes priekšniekam un par starpgadījumu tika ierosināts kriminālprocess par robežkontroles punkta priekšnieka vardarbīgu rīcību pret pieteicēju.</w:t>
      </w:r>
      <w:r w:rsidR="004F1D53" w:rsidRPr="00173D28">
        <w:t xml:space="preserve"> </w:t>
      </w:r>
      <w:r w:rsidR="004F1D53">
        <w:t xml:space="preserve">Tostarp, pieteicēja norāda uz Administratīvās rajona tiesas 2016.gada 22.jūlija spriedumā lietā Nr. A420298215, kas ir stājies spēkā, konstatēto, ka Valsts robežsardzes amatpersonas, tostarp robežsardzes punkta priekšnieks uzsāka ziņošanu par pieteicējas darbībām, kas norisinājās 2014.gada septembrī, novembrī, </w:t>
      </w:r>
      <w:r w:rsidR="00BF1B92">
        <w:t xml:space="preserve">tikai </w:t>
      </w:r>
      <w:r w:rsidR="004F1D53">
        <w:t>pēc 2014.gada 3.decembra notikumiem. T</w:t>
      </w:r>
      <w:r w:rsidR="00862C70">
        <w:t>iesa, citastarp</w:t>
      </w:r>
      <w:r w:rsidR="004F1D53">
        <w:t xml:space="preserve"> atzina, ka minēto personu rīcība liecina par personisku vēršanos pret pieteicēju.</w:t>
      </w:r>
    </w:p>
    <w:p w14:paraId="26151E6C" w14:textId="1E0BDAC3" w:rsidR="008D56DA" w:rsidRDefault="004F1D53" w:rsidP="0035004F">
      <w:pPr>
        <w:pStyle w:val="NoSpacing"/>
        <w:spacing w:line="276" w:lineRule="auto"/>
        <w:ind w:firstLine="567"/>
        <w:jc w:val="both"/>
      </w:pPr>
      <w:r>
        <w:t>Senāts pieteicējas norādītos apstākļus uzskata par tādiem, kuriem var būt nozīme lietas izskatīšanā, jo tie var liecināt par mērķtiecīgu vēršanos pret pieteicēju.</w:t>
      </w:r>
      <w:r w:rsidR="008D56DA">
        <w:t xml:space="preserve"> Tādējādi apgabaltiesa, izskatot lietu, minētos apstākļus nevarēja atstāt bez ievērības.</w:t>
      </w:r>
      <w:r w:rsidR="00443ED6">
        <w:t xml:space="preserve"> </w:t>
      </w:r>
      <w:r w:rsidR="00B9136F">
        <w:t>T</w:t>
      </w:r>
      <w:r w:rsidR="00443ED6">
        <w:t xml:space="preserve">iesai </w:t>
      </w:r>
      <w:r w:rsidR="00B9136F">
        <w:t xml:space="preserve">tie </w:t>
      </w:r>
      <w:r w:rsidR="00443ED6">
        <w:t>bija jāpārbauda.</w:t>
      </w:r>
    </w:p>
    <w:p w14:paraId="016CBFE9" w14:textId="77777777" w:rsidR="00A8259F" w:rsidRDefault="00A8259F" w:rsidP="0035004F">
      <w:pPr>
        <w:pStyle w:val="NoSpacing"/>
        <w:spacing w:line="276" w:lineRule="auto"/>
        <w:ind w:firstLine="567"/>
        <w:jc w:val="both"/>
      </w:pPr>
    </w:p>
    <w:p w14:paraId="12D55ED2" w14:textId="478F4C62" w:rsidR="000852B3" w:rsidRDefault="00A8259F" w:rsidP="0035004F">
      <w:pPr>
        <w:pStyle w:val="NoSpacing"/>
        <w:spacing w:line="276" w:lineRule="auto"/>
        <w:ind w:firstLine="567"/>
        <w:jc w:val="both"/>
      </w:pPr>
      <w:r>
        <w:t>[12]</w:t>
      </w:r>
      <w:r w:rsidR="00866B17">
        <w:t> </w:t>
      </w:r>
      <w:r w:rsidR="006216C0">
        <w:t xml:space="preserve">No Tiesu informācijas sistēmas </w:t>
      </w:r>
      <w:r w:rsidR="00F62E18">
        <w:t>datiem izriet</w:t>
      </w:r>
      <w:r w:rsidR="006216C0">
        <w:t xml:space="preserve">, ka </w:t>
      </w:r>
      <w:r w:rsidR="00F62E18">
        <w:t>administratīvajās lietās Nr. A</w:t>
      </w:r>
      <w:r w:rsidR="00F62E18">
        <w:rPr>
          <w:rFonts w:cs="Times New Roman"/>
          <w:szCs w:val="24"/>
        </w:rPr>
        <w:t>420300615, Nr. </w:t>
      </w:r>
      <w:r w:rsidR="00F62E18">
        <w:t xml:space="preserve">A420298215 </w:t>
      </w:r>
      <w:r w:rsidR="00F62E18">
        <w:rPr>
          <w:rFonts w:cs="Times New Roman"/>
          <w:szCs w:val="24"/>
        </w:rPr>
        <w:t>un Nr. A420148917 (kas ir lietas Nr. </w:t>
      </w:r>
      <w:r w:rsidR="00F62E18">
        <w:t>A420298215 turpinājums)</w:t>
      </w:r>
      <w:r w:rsidR="00F62E18">
        <w:rPr>
          <w:rFonts w:cs="Times New Roman"/>
          <w:szCs w:val="24"/>
        </w:rPr>
        <w:t xml:space="preserve"> </w:t>
      </w:r>
      <w:r w:rsidR="00F62E18">
        <w:t>tiesa pieteicējai piemērotos disciplinārsodus ir atzinusi par prettiesiskiem.</w:t>
      </w:r>
      <w:r>
        <w:t xml:space="preserve"> Arī šiem faktiem var būt nozīme, </w:t>
      </w:r>
      <w:r w:rsidR="00B9136F">
        <w:t xml:space="preserve">jo </w:t>
      </w:r>
      <w:r w:rsidR="008E6439">
        <w:t>tas norāda, ka</w:t>
      </w:r>
      <w:r>
        <w:t xml:space="preserve"> tiesa pieteicējai </w:t>
      </w:r>
      <w:r w:rsidR="000041D5">
        <w:t xml:space="preserve">iestādes </w:t>
      </w:r>
      <w:r>
        <w:t>piemērotos</w:t>
      </w:r>
      <w:r w:rsidR="00DA2319">
        <w:t xml:space="preserve"> </w:t>
      </w:r>
      <w:r>
        <w:t>disciplinārsodus nav atzinusi par tiesiskiem.</w:t>
      </w:r>
    </w:p>
    <w:p w14:paraId="7DBFC074" w14:textId="17E0A684" w:rsidR="00F62E18" w:rsidRDefault="00A3300D" w:rsidP="0035004F">
      <w:pPr>
        <w:pStyle w:val="NoSpacing"/>
        <w:spacing w:line="276" w:lineRule="auto"/>
        <w:ind w:firstLine="567"/>
        <w:jc w:val="both"/>
      </w:pPr>
      <w:r>
        <w:t xml:space="preserve">Savukārt par </w:t>
      </w:r>
      <w:r w:rsidR="000041D5">
        <w:t xml:space="preserve">pieteicējas norādīto </w:t>
      </w:r>
      <w:r>
        <w:t>krimināllietu Nr. 11820000514, kas tika izskatīta saistībā ar robež</w:t>
      </w:r>
      <w:r w:rsidR="004174AD">
        <w:t xml:space="preserve">kontroles punkta vadītāja rīcību pret pieteicēju, </w:t>
      </w:r>
      <w:r w:rsidR="003A0DDD">
        <w:t xml:space="preserve">konstatējams, ka </w:t>
      </w:r>
      <w:r w:rsidR="004174AD">
        <w:t xml:space="preserve">pirmās instances tiesa </w:t>
      </w:r>
      <w:r w:rsidR="00AA641A">
        <w:t xml:space="preserve">ar spriedumu </w:t>
      </w:r>
      <w:r w:rsidR="004174AD">
        <w:t>sodīja robežkontroles punkta vadītāju</w:t>
      </w:r>
      <w:r w:rsidR="000041D5">
        <w:t xml:space="preserve"> par dienesta pilnvaru pārsniegšanu, ja tā saistīta ar vardarbību</w:t>
      </w:r>
      <w:r w:rsidR="004174AD">
        <w:t>. Apelācijas instances tiesa rajona tiesas spriedumu atcēla nepareizas noziedzīga nodarījuma kvalifikācijas dēļ. Senāts apelācijas instances tiesas spriedumu atstāja negrozītu. Vienlaikus apelācijas instances tiesa spriedum</w:t>
      </w:r>
      <w:r w:rsidR="00014B71">
        <w:t>ā</w:t>
      </w:r>
      <w:r w:rsidR="004174AD">
        <w:t xml:space="preserve"> secināja, ka </w:t>
      </w:r>
      <w:r w:rsidR="00502575">
        <w:t>nav konstatējams cits noziedzīga nodarījuma sastāvs, jo saskaņā ar pirmās instances tiesas spriedumā sniegto noziedzīgā noradījuma aprakstu, apsūdzētā darbību rezultātā cietušajai nodarīti maznozīmīgi miesas bojājumi, taču atbildība par to Krimināllikumā nav paredzēta</w:t>
      </w:r>
      <w:r w:rsidR="00ED4968">
        <w:t xml:space="preserve"> </w:t>
      </w:r>
      <w:r w:rsidR="00ED4968">
        <w:lastRenderedPageBreak/>
        <w:t>(</w:t>
      </w:r>
      <w:r w:rsidR="00ED4968" w:rsidRPr="00A83360">
        <w:rPr>
          <w:i/>
        </w:rPr>
        <w:t>Rīgas apgabaltiesas Krimināllietu tiesas kolēģijas 2018.gada 3.janvāra sprieduma motīvu daļa</w:t>
      </w:r>
      <w:r w:rsidR="00ED4968">
        <w:t>)</w:t>
      </w:r>
      <w:r w:rsidR="00502575">
        <w:t xml:space="preserve">. </w:t>
      </w:r>
      <w:r w:rsidR="00014B71">
        <w:t>Tādējādi, kaut arī p</w:t>
      </w:r>
      <w:r w:rsidR="00A24850">
        <w:t xml:space="preserve">ersona nav saukta pie kriminālatbildības ar notiesājošu tiesas spriedumu, </w:t>
      </w:r>
      <w:r w:rsidR="00996744">
        <w:t>apelācijas instances tiesas spriedumā, kas stājies spēkā, ir norādīts par robežkontroles punkta vadītāja darbībām pret pieteicēju</w:t>
      </w:r>
      <w:r w:rsidR="00866B17">
        <w:t>, nodarot</w:t>
      </w:r>
      <w:r w:rsidR="00996744">
        <w:t xml:space="preserve"> </w:t>
      </w:r>
      <w:r w:rsidR="00866B17">
        <w:t xml:space="preserve">viņai </w:t>
      </w:r>
      <w:r w:rsidR="00996744">
        <w:t xml:space="preserve">miesas bojājumu. </w:t>
      </w:r>
      <w:r w:rsidR="003A0DDD">
        <w:t>Minētais var norādīt uz darba vides apstākļiem pieteicējas dienesta viet</w:t>
      </w:r>
      <w:r w:rsidR="009D48EB">
        <w:t>ā un visdrīzāk var liecināt par pietiekami augstu saspīlējuma līmeni pieteicējas un vadītāja dienesta attiecībās.</w:t>
      </w:r>
      <w:r w:rsidR="003754D1">
        <w:t xml:space="preserve"> Tāpēc šie apstākļi būtu vērtējami kontekstā, vai iestāde ar konfliktam sekojošiem disciplinārsodiem ir vērsusies </w:t>
      </w:r>
      <w:r w:rsidR="00AE4F2F">
        <w:t xml:space="preserve">tieši </w:t>
      </w:r>
      <w:r w:rsidR="003754D1">
        <w:t>pret pieteic</w:t>
      </w:r>
      <w:r w:rsidR="00264EEC">
        <w:t>ēju.</w:t>
      </w:r>
    </w:p>
    <w:p w14:paraId="496333A2" w14:textId="77777777" w:rsidR="00A3300D" w:rsidRDefault="00A3300D" w:rsidP="0035004F">
      <w:pPr>
        <w:pStyle w:val="NoSpacing"/>
        <w:spacing w:line="276" w:lineRule="auto"/>
        <w:ind w:firstLine="567"/>
        <w:jc w:val="both"/>
      </w:pPr>
    </w:p>
    <w:p w14:paraId="795A53EC" w14:textId="7E4FE6E9" w:rsidR="00EC4CDD" w:rsidRDefault="00A11C87" w:rsidP="0035004F">
      <w:pPr>
        <w:pStyle w:val="NoSpacing"/>
        <w:spacing w:line="276" w:lineRule="auto"/>
        <w:ind w:firstLine="567"/>
        <w:jc w:val="both"/>
      </w:pPr>
      <w:r>
        <w:t>[</w:t>
      </w:r>
      <w:r w:rsidR="00FB7692">
        <w:t>1</w:t>
      </w:r>
      <w:r w:rsidR="00117AE6">
        <w:t>3</w:t>
      </w:r>
      <w:r>
        <w:t>]</w:t>
      </w:r>
      <w:r w:rsidR="00866B17">
        <w:t> </w:t>
      </w:r>
      <w:r w:rsidR="00EC4CDD">
        <w:t xml:space="preserve">Tā kā </w:t>
      </w:r>
      <w:r w:rsidR="004849AB">
        <w:t xml:space="preserve">iepriekš </w:t>
      </w:r>
      <w:r w:rsidR="00EC4CDD">
        <w:t xml:space="preserve">minētajiem apstākļiem ir nozīme </w:t>
      </w:r>
      <w:r w:rsidR="00D07F52">
        <w:t>lietas izskatīšanā</w:t>
      </w:r>
      <w:r w:rsidR="00EC4CDD">
        <w:t xml:space="preserve">, </w:t>
      </w:r>
      <w:r w:rsidR="00045180">
        <w:t>lieta ir nododama apgabaltiesai atkār</w:t>
      </w:r>
      <w:r w:rsidR="0031108B">
        <w:t>t</w:t>
      </w:r>
      <w:r w:rsidR="00045180">
        <w:t>otai izskatīšanai.</w:t>
      </w:r>
      <w:r w:rsidR="00285C5D">
        <w:t xml:space="preserve"> Vienlaikus apgabaltiesa nav ierobežota tikai ar iepriekš minēto apstākļu vērtējumu, bet, kā </w:t>
      </w:r>
      <w:r w:rsidR="00B9136F">
        <w:t xml:space="preserve">norādīts </w:t>
      </w:r>
      <w:r w:rsidR="00285C5D">
        <w:t>iepriekš, situācija ir jāvērtē visaptverošā veidā.</w:t>
      </w:r>
    </w:p>
    <w:p w14:paraId="23F26DD8" w14:textId="77777777" w:rsidR="00A5330C" w:rsidRDefault="00A5330C" w:rsidP="0035004F">
      <w:pPr>
        <w:pStyle w:val="NoSpacing"/>
        <w:spacing w:line="276" w:lineRule="auto"/>
        <w:ind w:firstLine="567"/>
        <w:jc w:val="both"/>
      </w:pPr>
    </w:p>
    <w:p w14:paraId="266CBB48" w14:textId="742696C0" w:rsidR="00A5330C" w:rsidRDefault="00A5330C" w:rsidP="0035004F">
      <w:pPr>
        <w:pStyle w:val="NoSpacing"/>
        <w:spacing w:line="276" w:lineRule="auto"/>
        <w:ind w:firstLine="567"/>
        <w:jc w:val="both"/>
      </w:pPr>
      <w:r>
        <w:t>[</w:t>
      </w:r>
      <w:r w:rsidR="00FB7692">
        <w:t>1</w:t>
      </w:r>
      <w:r w:rsidR="00117AE6">
        <w:t>4</w:t>
      </w:r>
      <w:r>
        <w:t>]</w:t>
      </w:r>
      <w:r w:rsidR="00866B17">
        <w:t> </w:t>
      </w:r>
      <w:r>
        <w:t xml:space="preserve">Atkārtoti izskatot lietu, tiesai ir arī jāvērtē, </w:t>
      </w:r>
      <w:r w:rsidR="007510B3">
        <w:t>vai iestāde, vērtējot konkrēt</w:t>
      </w:r>
      <w:r w:rsidR="0076147A">
        <w:t>ā</w:t>
      </w:r>
      <w:r w:rsidR="007510B3">
        <w:t xml:space="preserve"> disciplinārsoda </w:t>
      </w:r>
      <w:r w:rsidR="00E3710D">
        <w:t>–</w:t>
      </w:r>
      <w:r w:rsidR="0076147A">
        <w:t xml:space="preserve"> pazemināšana dienesta pakāpē</w:t>
      </w:r>
      <w:r w:rsidR="00E3710D">
        <w:t xml:space="preserve"> par vienu pakāpi uz sešiem mēnešiem </w:t>
      </w:r>
      <w:r w:rsidR="0076147A">
        <w:t xml:space="preserve">– </w:t>
      </w:r>
      <w:r w:rsidR="007510B3">
        <w:t xml:space="preserve">piemērošanu pieteicējai, </w:t>
      </w:r>
      <w:r w:rsidR="0076147A">
        <w:t xml:space="preserve">kas </w:t>
      </w:r>
      <w:r w:rsidR="00E3710D">
        <w:t xml:space="preserve">atbilstoši </w:t>
      </w:r>
      <w:r w:rsidR="00E3710D" w:rsidRPr="00E3710D">
        <w:rPr>
          <w:rFonts w:cs="Times New Roman"/>
          <w:bCs/>
          <w:szCs w:val="24"/>
          <w:shd w:val="clear" w:color="auto" w:fill="FFFFFF"/>
        </w:rPr>
        <w:t>Iekšlietu ministrijas sistēmas iestāžu un Ieslodzījuma vietu pārvaldes amatpersonu ar speciālajām dienesta pakāpēm disciplināratbildības likum</w:t>
      </w:r>
      <w:r w:rsidR="00E3710D">
        <w:rPr>
          <w:rFonts w:cs="Times New Roman"/>
          <w:bCs/>
          <w:szCs w:val="24"/>
          <w:shd w:val="clear" w:color="auto" w:fill="FFFFFF"/>
        </w:rPr>
        <w:t>a 13.panta otrajai daļai</w:t>
      </w:r>
      <w:r w:rsidR="00E3710D" w:rsidRPr="00E3710D">
        <w:rPr>
          <w:rFonts w:cs="Times New Roman"/>
          <w:szCs w:val="24"/>
        </w:rPr>
        <w:t xml:space="preserve"> </w:t>
      </w:r>
      <w:r w:rsidR="0076147A">
        <w:t xml:space="preserve">ir vidēji smags disciplinārsods, </w:t>
      </w:r>
      <w:r w:rsidR="007510B3">
        <w:t>ir izdarījusi lietderības apsvērumus tieši konkrētā soda izvēlē, un vai piemērotais disciplinārsods ir samērīgs ar izdarīto disciplinārpārkāpumu, ja tiesa tādu konstatēs.</w:t>
      </w:r>
    </w:p>
    <w:p w14:paraId="19527D99" w14:textId="77777777" w:rsidR="00766E1E" w:rsidRDefault="00766E1E" w:rsidP="0035004F">
      <w:pPr>
        <w:pStyle w:val="NoSpacing"/>
        <w:spacing w:line="276" w:lineRule="auto"/>
        <w:ind w:firstLine="567"/>
        <w:jc w:val="both"/>
      </w:pPr>
    </w:p>
    <w:p w14:paraId="0CA9099D" w14:textId="77777777" w:rsidR="00227C83" w:rsidRPr="00D444C8" w:rsidRDefault="00227C83" w:rsidP="0035004F">
      <w:pPr>
        <w:spacing w:after="0" w:line="276" w:lineRule="auto"/>
        <w:contextualSpacing/>
        <w:jc w:val="center"/>
        <w:rPr>
          <w:rFonts w:cs="Times New Roman"/>
          <w:b/>
          <w:szCs w:val="24"/>
        </w:rPr>
      </w:pPr>
      <w:r w:rsidRPr="00D444C8">
        <w:rPr>
          <w:rFonts w:cs="Times New Roman"/>
          <w:b/>
          <w:szCs w:val="24"/>
        </w:rPr>
        <w:t>Rezolutīvā daļa</w:t>
      </w:r>
    </w:p>
    <w:p w14:paraId="4BE273E6" w14:textId="77777777" w:rsidR="00227C83" w:rsidRPr="00D444C8" w:rsidRDefault="00227C83" w:rsidP="0035004F">
      <w:pPr>
        <w:spacing w:after="0" w:line="276" w:lineRule="auto"/>
        <w:ind w:firstLine="567"/>
        <w:contextualSpacing/>
        <w:jc w:val="both"/>
        <w:rPr>
          <w:rFonts w:cs="Times New Roman"/>
          <w:szCs w:val="24"/>
        </w:rPr>
      </w:pPr>
    </w:p>
    <w:p w14:paraId="49850A4F" w14:textId="77777777" w:rsidR="00227C83" w:rsidRPr="00D444C8" w:rsidRDefault="00227C83" w:rsidP="0035004F">
      <w:pPr>
        <w:spacing w:after="0" w:line="276" w:lineRule="auto"/>
        <w:ind w:firstLine="567"/>
        <w:contextualSpacing/>
        <w:jc w:val="both"/>
        <w:rPr>
          <w:rFonts w:cs="Times New Roman"/>
          <w:szCs w:val="24"/>
        </w:rPr>
      </w:pPr>
      <w:r w:rsidRPr="00D444C8">
        <w:rPr>
          <w:rFonts w:cs="Times New Roman"/>
          <w:szCs w:val="24"/>
        </w:rPr>
        <w:t>Pamatojoties uz Administratīvā procesa likuma 129.</w:t>
      </w:r>
      <w:r w:rsidRPr="00D444C8">
        <w:rPr>
          <w:rFonts w:cs="Times New Roman"/>
          <w:szCs w:val="24"/>
          <w:vertAlign w:val="superscript"/>
        </w:rPr>
        <w:t>1 </w:t>
      </w:r>
      <w:r w:rsidRPr="00D444C8">
        <w:rPr>
          <w:rFonts w:cs="Times New Roman"/>
          <w:szCs w:val="24"/>
        </w:rPr>
        <w:t xml:space="preserve">panta pirmās daļas 1.punktu, 348.panta pirmās daļas 2.punktu un 351.pantu, </w:t>
      </w:r>
      <w:r>
        <w:rPr>
          <w:rFonts w:cs="Times New Roman"/>
          <w:szCs w:val="24"/>
        </w:rPr>
        <w:t>Senāts</w:t>
      </w:r>
    </w:p>
    <w:p w14:paraId="0FE944AE" w14:textId="77777777" w:rsidR="00227C83" w:rsidRPr="00D444C8" w:rsidRDefault="00227C83" w:rsidP="0035004F">
      <w:pPr>
        <w:spacing w:after="0" w:line="276" w:lineRule="auto"/>
        <w:contextualSpacing/>
        <w:jc w:val="center"/>
        <w:rPr>
          <w:rFonts w:cs="Times New Roman"/>
          <w:szCs w:val="24"/>
        </w:rPr>
      </w:pPr>
    </w:p>
    <w:p w14:paraId="02FC81BC" w14:textId="77777777" w:rsidR="00227C83" w:rsidRPr="00D444C8" w:rsidRDefault="00227C83" w:rsidP="0035004F">
      <w:pPr>
        <w:spacing w:after="0" w:line="276" w:lineRule="auto"/>
        <w:contextualSpacing/>
        <w:jc w:val="center"/>
        <w:rPr>
          <w:rFonts w:cs="Times New Roman"/>
          <w:b/>
          <w:szCs w:val="24"/>
        </w:rPr>
      </w:pPr>
      <w:r w:rsidRPr="00D444C8">
        <w:rPr>
          <w:rFonts w:cs="Times New Roman"/>
          <w:b/>
          <w:szCs w:val="24"/>
        </w:rPr>
        <w:t>nosprieda</w:t>
      </w:r>
    </w:p>
    <w:p w14:paraId="2C09B774" w14:textId="77777777" w:rsidR="00227C83" w:rsidRPr="00D444C8" w:rsidRDefault="00227C83" w:rsidP="0035004F">
      <w:pPr>
        <w:spacing w:after="0" w:line="276" w:lineRule="auto"/>
        <w:ind w:firstLine="567"/>
        <w:contextualSpacing/>
        <w:jc w:val="both"/>
        <w:rPr>
          <w:rFonts w:cs="Times New Roman"/>
          <w:szCs w:val="24"/>
        </w:rPr>
      </w:pPr>
    </w:p>
    <w:p w14:paraId="0BCFB2CA" w14:textId="77777777" w:rsidR="00227C83" w:rsidRPr="00D444C8" w:rsidRDefault="00227C83" w:rsidP="0035004F">
      <w:pPr>
        <w:spacing w:after="0" w:line="276" w:lineRule="auto"/>
        <w:ind w:firstLine="567"/>
        <w:contextualSpacing/>
        <w:jc w:val="both"/>
        <w:rPr>
          <w:rFonts w:cs="Times New Roman"/>
          <w:szCs w:val="24"/>
        </w:rPr>
      </w:pPr>
      <w:r w:rsidRPr="00D444C8">
        <w:rPr>
          <w:rFonts w:cs="Times New Roman"/>
          <w:szCs w:val="24"/>
        </w:rPr>
        <w:t>Atcelt Administratīvās apgabaltiesas 201</w:t>
      </w:r>
      <w:r>
        <w:rPr>
          <w:rFonts w:cs="Times New Roman"/>
          <w:szCs w:val="24"/>
        </w:rPr>
        <w:t>7</w:t>
      </w:r>
      <w:r w:rsidRPr="00D444C8">
        <w:rPr>
          <w:rFonts w:cs="Times New Roman"/>
          <w:szCs w:val="24"/>
        </w:rPr>
        <w:t xml:space="preserve">.gada </w:t>
      </w:r>
      <w:r w:rsidRPr="00D444C8">
        <w:rPr>
          <w:rFonts w:cs="Times New Roman"/>
        </w:rPr>
        <w:t>30.j</w:t>
      </w:r>
      <w:r>
        <w:rPr>
          <w:rFonts w:cs="Times New Roman"/>
        </w:rPr>
        <w:t>ūnij</w:t>
      </w:r>
      <w:r w:rsidRPr="00D444C8">
        <w:rPr>
          <w:rFonts w:cs="Times New Roman"/>
        </w:rPr>
        <w:t xml:space="preserve">a </w:t>
      </w:r>
      <w:r w:rsidRPr="00D444C8">
        <w:rPr>
          <w:rFonts w:cs="Times New Roman"/>
          <w:szCs w:val="24"/>
        </w:rPr>
        <w:t>spriedumu un nosūtīt lietu Administratīvajai apgabaltiesai jaunai izskatīšanai.</w:t>
      </w:r>
    </w:p>
    <w:p w14:paraId="3A0AAB1A" w14:textId="2AEA552A" w:rsidR="00227C83" w:rsidRPr="00D444C8" w:rsidRDefault="00227C83" w:rsidP="0035004F">
      <w:pPr>
        <w:spacing w:after="0" w:line="276" w:lineRule="auto"/>
        <w:ind w:firstLine="567"/>
        <w:contextualSpacing/>
        <w:jc w:val="both"/>
        <w:rPr>
          <w:rFonts w:cs="Times New Roman"/>
          <w:szCs w:val="24"/>
        </w:rPr>
      </w:pPr>
      <w:r w:rsidRPr="00D444C8">
        <w:rPr>
          <w:rFonts w:cs="Times New Roman"/>
          <w:szCs w:val="24"/>
        </w:rPr>
        <w:t xml:space="preserve">Atmaksāt </w:t>
      </w:r>
      <w:r w:rsidR="004F141B">
        <w:rPr>
          <w:rFonts w:cs="Times New Roman"/>
          <w:szCs w:val="24"/>
        </w:rPr>
        <w:t>[pers. A]</w:t>
      </w:r>
      <w:r w:rsidRPr="00D444C8">
        <w:rPr>
          <w:rFonts w:cs="Times New Roman"/>
          <w:szCs w:val="24"/>
        </w:rPr>
        <w:t xml:space="preserve"> drošības naudu 70 </w:t>
      </w:r>
      <w:r w:rsidRPr="00D444C8">
        <w:rPr>
          <w:rFonts w:cs="Times New Roman"/>
          <w:i/>
          <w:szCs w:val="24"/>
        </w:rPr>
        <w:t>euro</w:t>
      </w:r>
      <w:r w:rsidRPr="00D444C8">
        <w:rPr>
          <w:rFonts w:cs="Times New Roman"/>
          <w:szCs w:val="24"/>
        </w:rPr>
        <w:t>.</w:t>
      </w:r>
    </w:p>
    <w:p w14:paraId="4652D55E" w14:textId="77777777" w:rsidR="00227C83" w:rsidRPr="00D444C8" w:rsidRDefault="00227C83" w:rsidP="0035004F">
      <w:pPr>
        <w:spacing w:after="0" w:line="276" w:lineRule="auto"/>
        <w:ind w:firstLine="567"/>
        <w:contextualSpacing/>
        <w:jc w:val="both"/>
        <w:rPr>
          <w:rFonts w:cs="Times New Roman"/>
          <w:szCs w:val="24"/>
        </w:rPr>
      </w:pPr>
      <w:r w:rsidRPr="00D444C8">
        <w:rPr>
          <w:rFonts w:cs="Times New Roman"/>
          <w:szCs w:val="24"/>
        </w:rPr>
        <w:t>Spriedums nav pārsūdzams.</w:t>
      </w:r>
    </w:p>
    <w:sectPr w:rsidR="00227C83" w:rsidRPr="00D444C8" w:rsidSect="00D7110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A7A5" w14:textId="77777777" w:rsidR="006B663D" w:rsidRDefault="006B663D" w:rsidP="008771E6">
      <w:pPr>
        <w:spacing w:after="0" w:line="240" w:lineRule="auto"/>
      </w:pPr>
      <w:r>
        <w:separator/>
      </w:r>
    </w:p>
  </w:endnote>
  <w:endnote w:type="continuationSeparator" w:id="0">
    <w:p w14:paraId="4DC2BE47" w14:textId="77777777" w:rsidR="006B663D" w:rsidRDefault="006B663D" w:rsidP="0087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691818"/>
      <w:docPartObj>
        <w:docPartGallery w:val="Page Numbers (Bottom of Page)"/>
        <w:docPartUnique/>
      </w:docPartObj>
    </w:sdtPr>
    <w:sdtEndPr>
      <w:rPr>
        <w:noProof/>
      </w:rPr>
    </w:sdtEndPr>
    <w:sdtContent>
      <w:p w14:paraId="5FC08F0E" w14:textId="2D17ECA6" w:rsidR="008771E6" w:rsidRDefault="008771E6" w:rsidP="008771E6">
        <w:pPr>
          <w:pStyle w:val="Footer"/>
          <w:jc w:val="center"/>
          <w:rPr>
            <w:noProof/>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71105">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0369B">
          <w:rPr>
            <w:rStyle w:val="PageNumber"/>
            <w:noProof/>
          </w:rPr>
          <w:t>5</w:t>
        </w:r>
        <w:r>
          <w:rPr>
            <w:rStyle w:val="PageNumber"/>
            <w:noProof/>
          </w:rPr>
          <w:fldChar w:fldCharType="end"/>
        </w:r>
      </w:p>
    </w:sdtContent>
  </w:sdt>
  <w:p w14:paraId="793CEA58" w14:textId="77777777" w:rsidR="008771E6" w:rsidRDefault="008771E6" w:rsidP="008771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E0B43" w14:textId="77777777" w:rsidR="006B663D" w:rsidRDefault="006B663D" w:rsidP="008771E6">
      <w:pPr>
        <w:spacing w:after="0" w:line="240" w:lineRule="auto"/>
      </w:pPr>
      <w:r>
        <w:separator/>
      </w:r>
    </w:p>
  </w:footnote>
  <w:footnote w:type="continuationSeparator" w:id="0">
    <w:p w14:paraId="6FA2E192" w14:textId="77777777" w:rsidR="006B663D" w:rsidRDefault="006B663D" w:rsidP="00877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A56"/>
    <w:rsid w:val="000009AC"/>
    <w:rsid w:val="0000369B"/>
    <w:rsid w:val="000041D5"/>
    <w:rsid w:val="00014B71"/>
    <w:rsid w:val="00026EFC"/>
    <w:rsid w:val="00045180"/>
    <w:rsid w:val="000741C2"/>
    <w:rsid w:val="00075336"/>
    <w:rsid w:val="00077859"/>
    <w:rsid w:val="000850ED"/>
    <w:rsid w:val="000852B3"/>
    <w:rsid w:val="00093CD9"/>
    <w:rsid w:val="000A1633"/>
    <w:rsid w:val="000A5CAB"/>
    <w:rsid w:val="000B2DC7"/>
    <w:rsid w:val="000D5DCD"/>
    <w:rsid w:val="000E4FAA"/>
    <w:rsid w:val="000F778E"/>
    <w:rsid w:val="00117AE6"/>
    <w:rsid w:val="00152343"/>
    <w:rsid w:val="00173D28"/>
    <w:rsid w:val="00174184"/>
    <w:rsid w:val="00181FFE"/>
    <w:rsid w:val="00192C24"/>
    <w:rsid w:val="001A3CCD"/>
    <w:rsid w:val="001C6190"/>
    <w:rsid w:val="001F7F0D"/>
    <w:rsid w:val="00200519"/>
    <w:rsid w:val="002248D4"/>
    <w:rsid w:val="00227C83"/>
    <w:rsid w:val="00242422"/>
    <w:rsid w:val="00246EB2"/>
    <w:rsid w:val="0024749A"/>
    <w:rsid w:val="00252937"/>
    <w:rsid w:val="00254306"/>
    <w:rsid w:val="00264EEC"/>
    <w:rsid w:val="00281558"/>
    <w:rsid w:val="00285C5D"/>
    <w:rsid w:val="002D3914"/>
    <w:rsid w:val="002E1A56"/>
    <w:rsid w:val="003050BD"/>
    <w:rsid w:val="0031108B"/>
    <w:rsid w:val="00326752"/>
    <w:rsid w:val="00345AE7"/>
    <w:rsid w:val="0035004F"/>
    <w:rsid w:val="003504A2"/>
    <w:rsid w:val="003754D1"/>
    <w:rsid w:val="00377008"/>
    <w:rsid w:val="003940D2"/>
    <w:rsid w:val="003A038D"/>
    <w:rsid w:val="003A0DDD"/>
    <w:rsid w:val="003C0B03"/>
    <w:rsid w:val="003E79F5"/>
    <w:rsid w:val="00403C98"/>
    <w:rsid w:val="00414A2D"/>
    <w:rsid w:val="004165EB"/>
    <w:rsid w:val="004174AD"/>
    <w:rsid w:val="004436B3"/>
    <w:rsid w:val="00443ED6"/>
    <w:rsid w:val="00452D05"/>
    <w:rsid w:val="00453307"/>
    <w:rsid w:val="004558D0"/>
    <w:rsid w:val="004849AB"/>
    <w:rsid w:val="004A2731"/>
    <w:rsid w:val="004B437D"/>
    <w:rsid w:val="004E54DA"/>
    <w:rsid w:val="004F141B"/>
    <w:rsid w:val="004F1D53"/>
    <w:rsid w:val="00502575"/>
    <w:rsid w:val="005359DE"/>
    <w:rsid w:val="00556448"/>
    <w:rsid w:val="00562898"/>
    <w:rsid w:val="00571E08"/>
    <w:rsid w:val="00573BAD"/>
    <w:rsid w:val="0059082D"/>
    <w:rsid w:val="00591B60"/>
    <w:rsid w:val="005B3E74"/>
    <w:rsid w:val="005E067C"/>
    <w:rsid w:val="005F3DC8"/>
    <w:rsid w:val="0061233B"/>
    <w:rsid w:val="00620681"/>
    <w:rsid w:val="006216C0"/>
    <w:rsid w:val="00632526"/>
    <w:rsid w:val="00661D2D"/>
    <w:rsid w:val="00665BFD"/>
    <w:rsid w:val="00672FCC"/>
    <w:rsid w:val="006A24BA"/>
    <w:rsid w:val="006A5F4E"/>
    <w:rsid w:val="006B663D"/>
    <w:rsid w:val="006F583D"/>
    <w:rsid w:val="007036E0"/>
    <w:rsid w:val="00713EAF"/>
    <w:rsid w:val="00715562"/>
    <w:rsid w:val="00717975"/>
    <w:rsid w:val="00727AD3"/>
    <w:rsid w:val="007309C1"/>
    <w:rsid w:val="00732F2B"/>
    <w:rsid w:val="0073536A"/>
    <w:rsid w:val="00741737"/>
    <w:rsid w:val="007510B3"/>
    <w:rsid w:val="0076147A"/>
    <w:rsid w:val="00766E1E"/>
    <w:rsid w:val="007978EE"/>
    <w:rsid w:val="007A727F"/>
    <w:rsid w:val="007D230E"/>
    <w:rsid w:val="007D3C3B"/>
    <w:rsid w:val="007D5165"/>
    <w:rsid w:val="00813589"/>
    <w:rsid w:val="0081397E"/>
    <w:rsid w:val="0082691D"/>
    <w:rsid w:val="008437D1"/>
    <w:rsid w:val="008439DD"/>
    <w:rsid w:val="008578E5"/>
    <w:rsid w:val="00862C70"/>
    <w:rsid w:val="00866B17"/>
    <w:rsid w:val="008771E6"/>
    <w:rsid w:val="008B56C4"/>
    <w:rsid w:val="008C72E4"/>
    <w:rsid w:val="008D56DA"/>
    <w:rsid w:val="008E6439"/>
    <w:rsid w:val="009065EA"/>
    <w:rsid w:val="00941A67"/>
    <w:rsid w:val="009526E9"/>
    <w:rsid w:val="00976BFB"/>
    <w:rsid w:val="009868EB"/>
    <w:rsid w:val="00996744"/>
    <w:rsid w:val="009A40F7"/>
    <w:rsid w:val="009B5E89"/>
    <w:rsid w:val="009D48EB"/>
    <w:rsid w:val="009F16B2"/>
    <w:rsid w:val="00A11C87"/>
    <w:rsid w:val="00A1400A"/>
    <w:rsid w:val="00A16F70"/>
    <w:rsid w:val="00A24850"/>
    <w:rsid w:val="00A3300D"/>
    <w:rsid w:val="00A427D5"/>
    <w:rsid w:val="00A5330C"/>
    <w:rsid w:val="00A56010"/>
    <w:rsid w:val="00A63BC5"/>
    <w:rsid w:val="00A8259F"/>
    <w:rsid w:val="00A83360"/>
    <w:rsid w:val="00A95533"/>
    <w:rsid w:val="00A95BEF"/>
    <w:rsid w:val="00AA2F09"/>
    <w:rsid w:val="00AA641A"/>
    <w:rsid w:val="00AB0C0D"/>
    <w:rsid w:val="00AC7617"/>
    <w:rsid w:val="00AE4F2F"/>
    <w:rsid w:val="00AF0B2A"/>
    <w:rsid w:val="00B00ABF"/>
    <w:rsid w:val="00B245C8"/>
    <w:rsid w:val="00B43093"/>
    <w:rsid w:val="00B766AD"/>
    <w:rsid w:val="00B82142"/>
    <w:rsid w:val="00B9136F"/>
    <w:rsid w:val="00BA7023"/>
    <w:rsid w:val="00BB2F28"/>
    <w:rsid w:val="00BE4CD0"/>
    <w:rsid w:val="00BF1B92"/>
    <w:rsid w:val="00C50DA0"/>
    <w:rsid w:val="00C5196D"/>
    <w:rsid w:val="00C63B62"/>
    <w:rsid w:val="00C75DED"/>
    <w:rsid w:val="00CE00FB"/>
    <w:rsid w:val="00D012FA"/>
    <w:rsid w:val="00D07F52"/>
    <w:rsid w:val="00D10E66"/>
    <w:rsid w:val="00D11804"/>
    <w:rsid w:val="00D47D06"/>
    <w:rsid w:val="00D551A4"/>
    <w:rsid w:val="00D71105"/>
    <w:rsid w:val="00D74EC4"/>
    <w:rsid w:val="00D83185"/>
    <w:rsid w:val="00D93CF7"/>
    <w:rsid w:val="00DA0505"/>
    <w:rsid w:val="00DA2319"/>
    <w:rsid w:val="00DB0D43"/>
    <w:rsid w:val="00DB76C8"/>
    <w:rsid w:val="00DC528C"/>
    <w:rsid w:val="00E3710D"/>
    <w:rsid w:val="00E525BB"/>
    <w:rsid w:val="00E70CCE"/>
    <w:rsid w:val="00E94183"/>
    <w:rsid w:val="00EC20EB"/>
    <w:rsid w:val="00EC4CDD"/>
    <w:rsid w:val="00EC570B"/>
    <w:rsid w:val="00ED18AB"/>
    <w:rsid w:val="00ED43A7"/>
    <w:rsid w:val="00ED4968"/>
    <w:rsid w:val="00EF3046"/>
    <w:rsid w:val="00F00BE1"/>
    <w:rsid w:val="00F25806"/>
    <w:rsid w:val="00F27CD8"/>
    <w:rsid w:val="00F342D6"/>
    <w:rsid w:val="00F40C6A"/>
    <w:rsid w:val="00F62E18"/>
    <w:rsid w:val="00F825FE"/>
    <w:rsid w:val="00FB7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9C0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A56"/>
    <w:pPr>
      <w:spacing w:after="0" w:line="240" w:lineRule="auto"/>
    </w:pPr>
  </w:style>
  <w:style w:type="paragraph" w:styleId="BodyText2">
    <w:name w:val="Body Text 2"/>
    <w:basedOn w:val="Normal"/>
    <w:link w:val="BodyText2Char"/>
    <w:rsid w:val="002E1A56"/>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2E1A56"/>
    <w:rPr>
      <w:rFonts w:eastAsia="Times New Roman" w:cs="Times New Roman"/>
      <w:szCs w:val="24"/>
      <w:lang w:val="x-none" w:eastAsia="ru-RU"/>
    </w:rPr>
  </w:style>
  <w:style w:type="paragraph" w:customStyle="1" w:styleId="ATpamattesksts">
    <w:name w:val="AT pamattesksts"/>
    <w:basedOn w:val="BodyText2"/>
    <w:link w:val="ATpamatteskstsChar"/>
    <w:qFormat/>
    <w:rsid w:val="002E1A56"/>
    <w:pPr>
      <w:spacing w:after="0" w:line="276" w:lineRule="auto"/>
      <w:ind w:firstLine="567"/>
      <w:jc w:val="both"/>
    </w:pPr>
  </w:style>
  <w:style w:type="character" w:customStyle="1" w:styleId="ATpamatteskstsChar">
    <w:name w:val="AT pamattesksts Char"/>
    <w:basedOn w:val="BodyText2Char"/>
    <w:link w:val="ATpamattesksts"/>
    <w:rsid w:val="002E1A56"/>
    <w:rPr>
      <w:rFonts w:eastAsia="Times New Roman" w:cs="Times New Roman"/>
      <w:szCs w:val="24"/>
      <w:lang w:val="x-none" w:eastAsia="ru-RU"/>
    </w:rPr>
  </w:style>
  <w:style w:type="paragraph" w:customStyle="1" w:styleId="ATvirsraksts">
    <w:name w:val="AT virsraksts"/>
    <w:basedOn w:val="Normal"/>
    <w:link w:val="ATvirsrakstsChar"/>
    <w:qFormat/>
    <w:rsid w:val="002E1A56"/>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2E1A56"/>
    <w:rPr>
      <w:rFonts w:eastAsia="Times New Roman" w:cs="Times New Roman"/>
      <w:b/>
      <w:szCs w:val="24"/>
      <w:lang w:eastAsia="ru-RU"/>
    </w:rPr>
  </w:style>
  <w:style w:type="paragraph" w:styleId="Header">
    <w:name w:val="header"/>
    <w:basedOn w:val="Normal"/>
    <w:link w:val="HeaderChar"/>
    <w:uiPriority w:val="99"/>
    <w:unhideWhenUsed/>
    <w:rsid w:val="008771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71E6"/>
  </w:style>
  <w:style w:type="paragraph" w:styleId="Footer">
    <w:name w:val="footer"/>
    <w:basedOn w:val="Normal"/>
    <w:link w:val="FooterChar"/>
    <w:unhideWhenUsed/>
    <w:rsid w:val="008771E6"/>
    <w:pPr>
      <w:tabs>
        <w:tab w:val="center" w:pos="4153"/>
        <w:tab w:val="right" w:pos="8306"/>
      </w:tabs>
      <w:spacing w:after="0" w:line="240" w:lineRule="auto"/>
    </w:pPr>
  </w:style>
  <w:style w:type="character" w:customStyle="1" w:styleId="FooterChar">
    <w:name w:val="Footer Char"/>
    <w:basedOn w:val="DefaultParagraphFont"/>
    <w:link w:val="Footer"/>
    <w:rsid w:val="008771E6"/>
  </w:style>
  <w:style w:type="character" w:styleId="PageNumber">
    <w:name w:val="page number"/>
    <w:basedOn w:val="DefaultParagraphFont"/>
    <w:rsid w:val="008771E6"/>
  </w:style>
  <w:style w:type="character" w:styleId="CommentReference">
    <w:name w:val="annotation reference"/>
    <w:basedOn w:val="DefaultParagraphFont"/>
    <w:uiPriority w:val="99"/>
    <w:semiHidden/>
    <w:unhideWhenUsed/>
    <w:rsid w:val="00077859"/>
    <w:rPr>
      <w:sz w:val="16"/>
      <w:szCs w:val="16"/>
    </w:rPr>
  </w:style>
  <w:style w:type="paragraph" w:styleId="CommentText">
    <w:name w:val="annotation text"/>
    <w:basedOn w:val="Normal"/>
    <w:link w:val="CommentTextChar"/>
    <w:uiPriority w:val="99"/>
    <w:semiHidden/>
    <w:unhideWhenUsed/>
    <w:rsid w:val="00077859"/>
    <w:pPr>
      <w:spacing w:line="240" w:lineRule="auto"/>
    </w:pPr>
    <w:rPr>
      <w:sz w:val="20"/>
      <w:szCs w:val="20"/>
    </w:rPr>
  </w:style>
  <w:style w:type="character" w:customStyle="1" w:styleId="CommentTextChar">
    <w:name w:val="Comment Text Char"/>
    <w:basedOn w:val="DefaultParagraphFont"/>
    <w:link w:val="CommentText"/>
    <w:uiPriority w:val="99"/>
    <w:semiHidden/>
    <w:rsid w:val="00077859"/>
    <w:rPr>
      <w:sz w:val="20"/>
      <w:szCs w:val="20"/>
    </w:rPr>
  </w:style>
  <w:style w:type="paragraph" w:styleId="CommentSubject">
    <w:name w:val="annotation subject"/>
    <w:basedOn w:val="CommentText"/>
    <w:next w:val="CommentText"/>
    <w:link w:val="CommentSubjectChar"/>
    <w:uiPriority w:val="99"/>
    <w:semiHidden/>
    <w:unhideWhenUsed/>
    <w:rsid w:val="00077859"/>
    <w:rPr>
      <w:b/>
      <w:bCs/>
    </w:rPr>
  </w:style>
  <w:style w:type="character" w:customStyle="1" w:styleId="CommentSubjectChar">
    <w:name w:val="Comment Subject Char"/>
    <w:basedOn w:val="CommentTextChar"/>
    <w:link w:val="CommentSubject"/>
    <w:uiPriority w:val="99"/>
    <w:semiHidden/>
    <w:rsid w:val="00077859"/>
    <w:rPr>
      <w:b/>
      <w:bCs/>
      <w:sz w:val="20"/>
      <w:szCs w:val="20"/>
    </w:rPr>
  </w:style>
  <w:style w:type="paragraph" w:styleId="BalloonText">
    <w:name w:val="Balloon Text"/>
    <w:basedOn w:val="Normal"/>
    <w:link w:val="BalloonTextChar"/>
    <w:uiPriority w:val="99"/>
    <w:semiHidden/>
    <w:unhideWhenUsed/>
    <w:rsid w:val="00077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59"/>
    <w:rPr>
      <w:rFonts w:ascii="Segoe UI" w:hAnsi="Segoe UI" w:cs="Segoe UI"/>
      <w:sz w:val="18"/>
      <w:szCs w:val="18"/>
    </w:rPr>
  </w:style>
  <w:style w:type="character" w:styleId="Hyperlink">
    <w:name w:val="Hyperlink"/>
    <w:basedOn w:val="DefaultParagraphFont"/>
    <w:uiPriority w:val="99"/>
    <w:unhideWhenUsed/>
    <w:rsid w:val="005E067C"/>
    <w:rPr>
      <w:color w:val="0000FF"/>
      <w:u w:val="single"/>
    </w:rPr>
  </w:style>
  <w:style w:type="character" w:styleId="UnresolvedMention">
    <w:name w:val="Unresolved Mention"/>
    <w:basedOn w:val="DefaultParagraphFont"/>
    <w:uiPriority w:val="99"/>
    <w:semiHidden/>
    <w:unhideWhenUsed/>
    <w:rsid w:val="004F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943341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474%26sort%3D1%26liststep%3D10%26%3DPar%25C4%2581d%25C4%25ABt%26plparam1%3Dlist%26pljmimetype%3D1%26%3DIzdruk%25C4%2581t" TargetMode="External"/><Relationship Id="rId3" Type="http://schemas.openxmlformats.org/officeDocument/2006/relationships/webSettings" Target="webSettings.xml"/><Relationship Id="rId7" Type="http://schemas.openxmlformats.org/officeDocument/2006/relationships/hyperlink" Target="https://tis.ta.gov.lv/tisreal?Form=STAT_PROC_ENTER&amp;task=edit&amp;procid=6943341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474%26sort%3D1%26liststep%3D10%26%3DPar%25C4%2581d%25C4%25ABt%26plparam1%3Dlist%26pljmimetype%3D1%26%3DIzdruk%25C4%2581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125.A420172916.3.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10866</Words>
  <Characters>6195</Characters>
  <Application>Microsoft Office Word</Application>
  <DocSecurity>0</DocSecurity>
  <Lines>51</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2019-12-10T10:34:00Z</dcterms:created>
  <dcterms:modified xsi:type="dcterms:W3CDTF">2019-12-18T06:44:00Z</dcterms:modified>
</cp:coreProperties>
</file>