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7828E" w14:textId="77777777" w:rsidR="00E576CC" w:rsidRPr="0082546E" w:rsidRDefault="0082546E" w:rsidP="0082546E">
      <w:pPr>
        <w:spacing w:line="276" w:lineRule="auto"/>
        <w:jc w:val="both"/>
        <w:rPr>
          <w:b/>
          <w:bCs/>
        </w:rPr>
      </w:pPr>
      <w:bookmarkStart w:id="0" w:name="_Hlk28955545"/>
      <w:bookmarkStart w:id="1" w:name="_GoBack"/>
      <w:bookmarkEnd w:id="1"/>
      <w:r w:rsidRPr="0082546E">
        <w:rPr>
          <w:b/>
          <w:bCs/>
        </w:rPr>
        <w:t>Vienošanās protokolā paredzētā soda precizēšanas apjoms</w:t>
      </w:r>
      <w:bookmarkEnd w:id="0"/>
    </w:p>
    <w:p w14:paraId="34884732" w14:textId="77777777" w:rsidR="0082546E" w:rsidRDefault="0082546E" w:rsidP="0082546E">
      <w:pPr>
        <w:spacing w:line="276" w:lineRule="auto"/>
        <w:jc w:val="both"/>
      </w:pPr>
    </w:p>
    <w:p w14:paraId="6B20192F" w14:textId="77777777" w:rsidR="0082546E" w:rsidRDefault="0082546E" w:rsidP="0082546E">
      <w:pPr>
        <w:spacing w:line="276" w:lineRule="auto"/>
        <w:jc w:val="both"/>
      </w:pPr>
      <w:r>
        <w:t xml:space="preserve">Konstatējot, ka prokuroram nebija tiesiska pamata vienoties ar apsūdzēto par galīgā soda noteikšanu saskaņā ar Krimināllikuma 52.panta pirmās daļas 2.punkta nosacījumiem, jo uz vienošanās noslēgšanas dienu ar </w:t>
      </w:r>
      <w:r w:rsidRPr="00D80D16">
        <w:t>iepriekšējo</w:t>
      </w:r>
      <w:r>
        <w:t xml:space="preserve"> spriedumu  </w:t>
      </w:r>
      <w:r w:rsidRPr="00BC0897">
        <w:t>piespriestās neizciestās piespiedu darba stundas nebija aizstātas ar brīvības atņemšanas sodu likumā noteiktajā kārtīb</w:t>
      </w:r>
      <w:r>
        <w:t>ā, tiesai jāpieņem lēmums par lietas nosūtīšanu prokuroram pārkāpumu novēršanai.</w:t>
      </w:r>
    </w:p>
    <w:p w14:paraId="49731FFA" w14:textId="77777777" w:rsidR="0082546E" w:rsidRDefault="0082546E" w:rsidP="0082546E">
      <w:pPr>
        <w:spacing w:line="276" w:lineRule="auto"/>
        <w:jc w:val="both"/>
      </w:pPr>
    </w:p>
    <w:p w14:paraId="609E960E" w14:textId="77777777" w:rsidR="00E576CC" w:rsidRPr="00157FEC" w:rsidRDefault="0082546E" w:rsidP="0082546E">
      <w:pPr>
        <w:spacing w:line="276" w:lineRule="auto"/>
        <w:jc w:val="both"/>
      </w:pPr>
      <w:r>
        <w:t>Cita soda veida noteikšana nav atzīstama par pieļautas kļūdas precizēšanu vai attiecināma uz laika tecējumu no vienošanās noslēgšanas dienas līdz iztiesāšanas dienai Kriminālprocesa likuma 543.panta ceturtās daļas izpratnē.</w:t>
      </w:r>
    </w:p>
    <w:p w14:paraId="3EEF87EE" w14:textId="77777777" w:rsidR="00E576CC" w:rsidRDefault="00E576CC" w:rsidP="00E576CC">
      <w:pPr>
        <w:pStyle w:val="BodyText2"/>
        <w:spacing w:line="276" w:lineRule="auto"/>
        <w:jc w:val="center"/>
        <w:rPr>
          <w:rFonts w:ascii="Times New Roman" w:hAnsi="Times New Roman"/>
          <w:color w:val="FFFFFF"/>
          <w:sz w:val="24"/>
          <w:szCs w:val="24"/>
        </w:rPr>
      </w:pPr>
    </w:p>
    <w:p w14:paraId="063E7E12" w14:textId="77777777" w:rsidR="000E57E1" w:rsidRPr="00BA5D63" w:rsidRDefault="000E57E1" w:rsidP="00E576CC">
      <w:pPr>
        <w:pStyle w:val="BodyText2"/>
        <w:spacing w:line="276" w:lineRule="auto"/>
        <w:jc w:val="center"/>
        <w:rPr>
          <w:rFonts w:ascii="Times New Roman" w:hAnsi="Times New Roman"/>
          <w:color w:val="FFFFFF"/>
          <w:sz w:val="24"/>
          <w:szCs w:val="24"/>
        </w:rPr>
      </w:pPr>
    </w:p>
    <w:p w14:paraId="26772C64" w14:textId="77777777" w:rsidR="0082546E" w:rsidRPr="0082546E" w:rsidRDefault="00E576CC" w:rsidP="00E576CC">
      <w:pPr>
        <w:spacing w:line="276" w:lineRule="auto"/>
        <w:jc w:val="center"/>
        <w:rPr>
          <w:b/>
        </w:rPr>
      </w:pPr>
      <w:r w:rsidRPr="0082546E">
        <w:rPr>
          <w:b/>
        </w:rPr>
        <w:t>Latvijas Republikas Senāt</w:t>
      </w:r>
      <w:r w:rsidR="0082546E" w:rsidRPr="0082546E">
        <w:rPr>
          <w:b/>
        </w:rPr>
        <w:t>a</w:t>
      </w:r>
      <w:r w:rsidRPr="0082546E">
        <w:rPr>
          <w:b/>
        </w:rPr>
        <w:t xml:space="preserve"> </w:t>
      </w:r>
    </w:p>
    <w:p w14:paraId="44EEC67A" w14:textId="77777777" w:rsidR="0082546E" w:rsidRPr="0082546E" w:rsidRDefault="0082546E" w:rsidP="00E576CC">
      <w:pPr>
        <w:spacing w:line="276" w:lineRule="auto"/>
        <w:jc w:val="center"/>
        <w:rPr>
          <w:b/>
        </w:rPr>
      </w:pPr>
      <w:r w:rsidRPr="0082546E">
        <w:rPr>
          <w:b/>
        </w:rPr>
        <w:t>Krimināllietu departamenta</w:t>
      </w:r>
    </w:p>
    <w:p w14:paraId="17412178" w14:textId="77777777" w:rsidR="00E576CC" w:rsidRPr="0082546E" w:rsidRDefault="0082546E" w:rsidP="00E576CC">
      <w:pPr>
        <w:spacing w:line="276" w:lineRule="auto"/>
        <w:jc w:val="center"/>
        <w:rPr>
          <w:b/>
        </w:rPr>
      </w:pPr>
      <w:r w:rsidRPr="0082546E">
        <w:rPr>
          <w:b/>
        </w:rPr>
        <w:t>2019.gada 26.novembra</w:t>
      </w:r>
    </w:p>
    <w:p w14:paraId="38ADC8B1" w14:textId="77777777" w:rsidR="0082546E" w:rsidRPr="0082546E" w:rsidRDefault="00E576CC" w:rsidP="00E576CC">
      <w:pPr>
        <w:spacing w:line="276" w:lineRule="auto"/>
        <w:jc w:val="center"/>
        <w:rPr>
          <w:b/>
        </w:rPr>
      </w:pPr>
      <w:r w:rsidRPr="0082546E">
        <w:rPr>
          <w:b/>
        </w:rPr>
        <w:t>LĒMUMS</w:t>
      </w:r>
      <w:r w:rsidR="0082546E" w:rsidRPr="0082546E">
        <w:rPr>
          <w:b/>
        </w:rPr>
        <w:t xml:space="preserve"> </w:t>
      </w:r>
    </w:p>
    <w:p w14:paraId="7DF90ECE" w14:textId="77777777" w:rsidR="00E576CC" w:rsidRDefault="0082546E" w:rsidP="00E576CC">
      <w:pPr>
        <w:spacing w:line="276" w:lineRule="auto"/>
        <w:jc w:val="center"/>
        <w:rPr>
          <w:b/>
        </w:rPr>
      </w:pPr>
      <w:r w:rsidRPr="0082546E">
        <w:rPr>
          <w:b/>
        </w:rPr>
        <w:t>Lieta Nr. 11130048719, SKK-748/2019</w:t>
      </w:r>
    </w:p>
    <w:p w14:paraId="56B9F33D" w14:textId="77777777" w:rsidR="0082546E" w:rsidRPr="0082546E" w:rsidRDefault="0065665F" w:rsidP="00E576CC">
      <w:pPr>
        <w:spacing w:line="276" w:lineRule="auto"/>
        <w:jc w:val="center"/>
        <w:rPr>
          <w:b/>
        </w:rPr>
      </w:pPr>
      <w:hyperlink r:id="rId6" w:history="1">
        <w:r w:rsidR="0082546E" w:rsidRPr="0082546E">
          <w:rPr>
            <w:rStyle w:val="Hyperlink"/>
            <w:shd w:val="clear" w:color="auto" w:fill="FFFFFF"/>
          </w:rPr>
          <w:t>ECLI:LV:AT:2019:1126.11130048719.3.L</w:t>
        </w:r>
      </w:hyperlink>
    </w:p>
    <w:p w14:paraId="36B5557C" w14:textId="77777777" w:rsidR="00E576CC" w:rsidRDefault="00E576CC" w:rsidP="00E576CC">
      <w:pPr>
        <w:spacing w:line="276" w:lineRule="auto"/>
        <w:jc w:val="center"/>
      </w:pPr>
    </w:p>
    <w:p w14:paraId="659D4638" w14:textId="77777777" w:rsidR="00E576CC" w:rsidRDefault="00E576CC" w:rsidP="00E576CC">
      <w:pPr>
        <w:spacing w:line="276" w:lineRule="auto"/>
        <w:jc w:val="both"/>
      </w:pPr>
    </w:p>
    <w:p w14:paraId="5D9BB9D1" w14:textId="77777777" w:rsidR="00E576CC" w:rsidRDefault="00E576CC" w:rsidP="00E576CC">
      <w:pPr>
        <w:spacing w:line="276" w:lineRule="auto"/>
        <w:ind w:firstLine="720"/>
        <w:contextualSpacing/>
        <w:jc w:val="both"/>
      </w:pPr>
      <w:r>
        <w:t>T</w:t>
      </w:r>
      <w:r w:rsidRPr="001E3A09">
        <w:t>iesa</w:t>
      </w:r>
      <w:r>
        <w:t xml:space="preserve"> </w:t>
      </w:r>
      <w:r w:rsidRPr="00F902DB">
        <w:t xml:space="preserve">šādā sastāvā: </w:t>
      </w:r>
      <w:r>
        <w:t>senatori</w:t>
      </w:r>
      <w:r w:rsidRPr="00244A0F">
        <w:t xml:space="preserve"> </w:t>
      </w:r>
      <w:r>
        <w:t>Aija Branta, Pēteris Opincāns, Aivars Uminskis</w:t>
      </w:r>
    </w:p>
    <w:p w14:paraId="3A348136" w14:textId="77777777" w:rsidR="00E576CC" w:rsidRDefault="00E576CC" w:rsidP="00E576CC">
      <w:pPr>
        <w:spacing w:line="276" w:lineRule="auto"/>
        <w:ind w:firstLine="720"/>
        <w:contextualSpacing/>
        <w:jc w:val="both"/>
        <w:rPr>
          <w:b/>
          <w:i/>
        </w:rPr>
      </w:pPr>
    </w:p>
    <w:p w14:paraId="0B4DB8E1" w14:textId="77777777" w:rsidR="00E576CC" w:rsidRDefault="00E576CC" w:rsidP="00E576CC">
      <w:pPr>
        <w:pStyle w:val="Heading2"/>
        <w:spacing w:before="0" w:after="0" w:line="276" w:lineRule="auto"/>
        <w:ind w:firstLine="720"/>
        <w:contextualSpacing/>
        <w:jc w:val="both"/>
        <w:rPr>
          <w:rFonts w:ascii="Times New Roman" w:hAnsi="Times New Roman" w:cs="Times New Roman"/>
          <w:b w:val="0"/>
          <w:i w:val="0"/>
          <w:sz w:val="24"/>
          <w:szCs w:val="24"/>
        </w:rPr>
      </w:pPr>
      <w:r w:rsidRPr="00E01E73">
        <w:rPr>
          <w:rFonts w:ascii="Times New Roman" w:hAnsi="Times New Roman" w:cs="Times New Roman"/>
          <w:b w:val="0"/>
          <w:i w:val="0"/>
          <w:sz w:val="24"/>
          <w:szCs w:val="24"/>
        </w:rPr>
        <w:t>izskatīja rakstveida procesā krimināllietu sakarā ar</w:t>
      </w:r>
      <w:r>
        <w:rPr>
          <w:rFonts w:ascii="Times New Roman" w:hAnsi="Times New Roman" w:cs="Times New Roman"/>
          <w:b w:val="0"/>
          <w:i w:val="0"/>
          <w:sz w:val="24"/>
          <w:szCs w:val="24"/>
        </w:rPr>
        <w:t xml:space="preserve"> Valmieras rajona prokuratūras prokurores Vinetas </w:t>
      </w:r>
      <w:proofErr w:type="spellStart"/>
      <w:r>
        <w:rPr>
          <w:rFonts w:ascii="Times New Roman" w:hAnsi="Times New Roman" w:cs="Times New Roman"/>
          <w:b w:val="0"/>
          <w:i w:val="0"/>
          <w:sz w:val="24"/>
          <w:szCs w:val="24"/>
        </w:rPr>
        <w:t>Žērbeles</w:t>
      </w:r>
      <w:proofErr w:type="spellEnd"/>
      <w:r>
        <w:rPr>
          <w:rFonts w:ascii="Times New Roman" w:hAnsi="Times New Roman" w:cs="Times New Roman"/>
          <w:b w:val="0"/>
          <w:i w:val="0"/>
          <w:sz w:val="24"/>
          <w:szCs w:val="24"/>
        </w:rPr>
        <w:t xml:space="preserve"> kasācijas protestu par Vidzemes rajona tiesas 2019.gada 13.septembra lēmumu.  </w:t>
      </w:r>
    </w:p>
    <w:p w14:paraId="3FBA556C" w14:textId="77777777" w:rsidR="00E576CC" w:rsidRPr="00043F13" w:rsidRDefault="00E576CC" w:rsidP="00E576CC">
      <w:pPr>
        <w:spacing w:line="276" w:lineRule="auto"/>
        <w:ind w:firstLine="720"/>
        <w:contextualSpacing/>
      </w:pPr>
    </w:p>
    <w:p w14:paraId="6A6BE739" w14:textId="77777777" w:rsidR="00E576CC" w:rsidRPr="00244A0F" w:rsidRDefault="00E576CC" w:rsidP="00E576CC">
      <w:pPr>
        <w:pStyle w:val="Heading2"/>
        <w:spacing w:before="0" w:after="0" w:line="276" w:lineRule="auto"/>
        <w:ind w:left="-360" w:firstLine="720"/>
        <w:contextualSpacing/>
        <w:jc w:val="center"/>
        <w:rPr>
          <w:rFonts w:ascii="Times New Roman" w:hAnsi="Times New Roman" w:cs="Times New Roman"/>
          <w:i w:val="0"/>
          <w:sz w:val="24"/>
          <w:szCs w:val="24"/>
        </w:rPr>
      </w:pPr>
      <w:r>
        <w:rPr>
          <w:rFonts w:ascii="Times New Roman" w:hAnsi="Times New Roman" w:cs="Times New Roman"/>
          <w:i w:val="0"/>
          <w:sz w:val="24"/>
          <w:szCs w:val="24"/>
        </w:rPr>
        <w:t>Aprakstošā daļa</w:t>
      </w:r>
    </w:p>
    <w:p w14:paraId="4892717D" w14:textId="77777777" w:rsidR="00E576CC" w:rsidRDefault="00E576CC" w:rsidP="00E576CC">
      <w:pPr>
        <w:spacing w:line="276" w:lineRule="auto"/>
        <w:ind w:firstLine="720"/>
        <w:contextualSpacing/>
      </w:pPr>
    </w:p>
    <w:p w14:paraId="3518A4F3" w14:textId="77777777" w:rsidR="006C7CC7" w:rsidRDefault="00E576CC" w:rsidP="006C7CC7">
      <w:pPr>
        <w:spacing w:line="276" w:lineRule="auto"/>
        <w:ind w:firstLine="567"/>
        <w:jc w:val="both"/>
        <w:rPr>
          <w:shd w:val="clear" w:color="auto" w:fill="FFFFFF"/>
        </w:rPr>
      </w:pPr>
      <w:r>
        <w:t>[</w:t>
      </w:r>
      <w:r w:rsidRPr="00453F92">
        <w:t>1]</w:t>
      </w:r>
      <w:r w:rsidRPr="00453F92">
        <w:rPr>
          <w:shd w:val="clear" w:color="auto" w:fill="FFFFFF"/>
        </w:rPr>
        <w:t xml:space="preserve"> </w:t>
      </w:r>
      <w:r>
        <w:rPr>
          <w:shd w:val="clear" w:color="auto" w:fill="FFFFFF"/>
        </w:rPr>
        <w:t xml:space="preserve">Starp apsūdzēto </w:t>
      </w:r>
      <w:r w:rsidR="000E57E1">
        <w:rPr>
          <w:shd w:val="clear" w:color="auto" w:fill="FFFFFF"/>
        </w:rPr>
        <w:t>[pers. A]</w:t>
      </w:r>
      <w:r>
        <w:rPr>
          <w:shd w:val="clear" w:color="auto" w:fill="FFFFFF"/>
        </w:rPr>
        <w:t xml:space="preserve">, personas kods </w:t>
      </w:r>
      <w:r w:rsidR="000E57E1">
        <w:rPr>
          <w:shd w:val="clear" w:color="auto" w:fill="FFFFFF"/>
        </w:rPr>
        <w:t>[..]</w:t>
      </w:r>
      <w:r>
        <w:rPr>
          <w:shd w:val="clear" w:color="auto" w:fill="FFFFFF"/>
        </w:rPr>
        <w:t xml:space="preserve">, un </w:t>
      </w:r>
      <w:r w:rsidRPr="00E576CC">
        <w:t xml:space="preserve">Valmieras rajona prokuratūras prokurori Vinetu </w:t>
      </w:r>
      <w:proofErr w:type="spellStart"/>
      <w:r w:rsidRPr="00E576CC">
        <w:t>Žērbeli</w:t>
      </w:r>
      <w:proofErr w:type="spellEnd"/>
      <w:r>
        <w:rPr>
          <w:b/>
          <w:i/>
        </w:rPr>
        <w:t xml:space="preserve"> </w:t>
      </w:r>
      <w:r w:rsidR="00C16E16">
        <w:t>2019.gada 7.augustā</w:t>
      </w:r>
      <w:r>
        <w:t xml:space="preserve"> noslēgta vienošanās par vainas atzīšanu un sodu.</w:t>
      </w:r>
    </w:p>
    <w:p w14:paraId="0D7CBE45" w14:textId="77777777" w:rsidR="006C7CC7" w:rsidRDefault="006C7CC7" w:rsidP="006C7CC7">
      <w:pPr>
        <w:spacing w:line="276" w:lineRule="auto"/>
        <w:ind w:firstLine="567"/>
        <w:jc w:val="both"/>
        <w:rPr>
          <w:shd w:val="clear" w:color="auto" w:fill="FFFFFF"/>
        </w:rPr>
      </w:pPr>
    </w:p>
    <w:p w14:paraId="059C1531" w14:textId="77777777" w:rsidR="00E576CC" w:rsidRPr="008A7AAB" w:rsidRDefault="00E576CC" w:rsidP="006C7CC7">
      <w:pPr>
        <w:spacing w:line="276" w:lineRule="auto"/>
        <w:ind w:firstLine="567"/>
        <w:jc w:val="both"/>
        <w:rPr>
          <w:shd w:val="clear" w:color="auto" w:fill="FFFFFF"/>
        </w:rPr>
      </w:pPr>
      <w:r>
        <w:t xml:space="preserve">[2] Atbilstoši Kriminālprocesa likuma 438.pantā noteiktajam krimināllieta </w:t>
      </w:r>
      <w:r w:rsidR="000E57E1">
        <w:t>[pers. A]</w:t>
      </w:r>
      <w:r>
        <w:t xml:space="preserve"> apsūdzībā pēc Krimināllikuma </w:t>
      </w:r>
      <w:r w:rsidR="00C16E16">
        <w:t>262.panta pirmās daļas un 312.panta otrās daļas</w:t>
      </w:r>
      <w:r>
        <w:t xml:space="preserve"> </w:t>
      </w:r>
      <w:r w:rsidR="00C16E16">
        <w:t>2019.gada 8.augustā</w:t>
      </w:r>
      <w:r>
        <w:t xml:space="preserve"> nosūtīta </w:t>
      </w:r>
      <w:r w:rsidR="00C16E16">
        <w:t>Vidzemes rajona</w:t>
      </w:r>
      <w:r>
        <w:t xml:space="preserve"> tiesai.</w:t>
      </w:r>
    </w:p>
    <w:p w14:paraId="4FE5AE26" w14:textId="77777777" w:rsidR="00E576CC" w:rsidRDefault="00E576CC" w:rsidP="00E576CC">
      <w:pPr>
        <w:spacing w:line="276" w:lineRule="auto"/>
        <w:ind w:firstLine="567"/>
        <w:jc w:val="both"/>
      </w:pPr>
    </w:p>
    <w:p w14:paraId="3956CE3B" w14:textId="77777777" w:rsidR="00E576CC" w:rsidRDefault="00E576CC" w:rsidP="00E576CC">
      <w:pPr>
        <w:spacing w:line="276" w:lineRule="auto"/>
        <w:ind w:firstLine="567"/>
        <w:jc w:val="both"/>
      </w:pPr>
      <w:r>
        <w:t xml:space="preserve">[3] Ar </w:t>
      </w:r>
      <w:r w:rsidR="00C16E16">
        <w:t>Vidzemes rajona tiesas tiesneses</w:t>
      </w:r>
      <w:r>
        <w:t xml:space="preserve"> </w:t>
      </w:r>
      <w:r w:rsidR="00C16E16">
        <w:t>2019.gada 13.augusta</w:t>
      </w:r>
      <w:r>
        <w:t xml:space="preserve"> lēmumu nolemts krimināllietu iztiesāt rakstveida procesā </w:t>
      </w:r>
      <w:r w:rsidR="00C16E16">
        <w:t>2019.gada 13.septembrī</w:t>
      </w:r>
      <w:r>
        <w:t>.</w:t>
      </w:r>
    </w:p>
    <w:p w14:paraId="523292E3" w14:textId="77777777" w:rsidR="00E576CC" w:rsidRDefault="00E576CC" w:rsidP="00E576CC">
      <w:pPr>
        <w:spacing w:line="276" w:lineRule="auto"/>
        <w:ind w:firstLine="567"/>
        <w:jc w:val="both"/>
      </w:pPr>
    </w:p>
    <w:p w14:paraId="7939E60E" w14:textId="77777777" w:rsidR="00C16E16" w:rsidRDefault="00E576CC" w:rsidP="00C16E16">
      <w:pPr>
        <w:spacing w:line="276" w:lineRule="auto"/>
        <w:ind w:firstLine="567"/>
        <w:jc w:val="both"/>
      </w:pPr>
      <w:r>
        <w:t xml:space="preserve">[4] </w:t>
      </w:r>
      <w:r w:rsidR="00C16E16">
        <w:t xml:space="preserve">Ar </w:t>
      </w:r>
      <w:r w:rsidR="00C16E16" w:rsidRPr="00C16E16">
        <w:t xml:space="preserve">Vidzemes rajona tiesas 2019.gada 13.septembra lēmumu </w:t>
      </w:r>
      <w:r w:rsidR="00C16E16">
        <w:t xml:space="preserve">nolemts krimināllietu </w:t>
      </w:r>
      <w:r>
        <w:t xml:space="preserve">nosūtīt </w:t>
      </w:r>
      <w:r w:rsidR="00C16E16">
        <w:t>Valmieras rajona</w:t>
      </w:r>
      <w:r w:rsidRPr="00085502">
        <w:t xml:space="preserve"> prokuratūras</w:t>
      </w:r>
      <w:r>
        <w:t xml:space="preserve"> prokurorei </w:t>
      </w:r>
      <w:r w:rsidR="00C16E16">
        <w:t>V. </w:t>
      </w:r>
      <w:proofErr w:type="spellStart"/>
      <w:r w:rsidR="00C16E16">
        <w:t>Žērbelei</w:t>
      </w:r>
      <w:proofErr w:type="spellEnd"/>
      <w:r>
        <w:t xml:space="preserve"> </w:t>
      </w:r>
      <w:r w:rsidR="00336573">
        <w:t>pārkāpuma</w:t>
      </w:r>
      <w:r>
        <w:t xml:space="preserve"> novēršanai.</w:t>
      </w:r>
    </w:p>
    <w:p w14:paraId="3D3B8DE3" w14:textId="77777777" w:rsidR="00C16E16" w:rsidRDefault="00C16E16" w:rsidP="00C16E16">
      <w:pPr>
        <w:spacing w:line="276" w:lineRule="auto"/>
        <w:ind w:firstLine="567"/>
        <w:jc w:val="both"/>
      </w:pPr>
    </w:p>
    <w:p w14:paraId="30BF1F66" w14:textId="77777777" w:rsidR="00C16E16" w:rsidRDefault="00E576CC" w:rsidP="00C16E16">
      <w:pPr>
        <w:spacing w:line="276" w:lineRule="auto"/>
        <w:ind w:firstLine="567"/>
        <w:jc w:val="both"/>
      </w:pPr>
      <w:r>
        <w:t xml:space="preserve">[5] </w:t>
      </w:r>
      <w:r w:rsidR="00F81C7B" w:rsidRPr="00F81C7B">
        <w:t>Valmieras rajona pr</w:t>
      </w:r>
      <w:r w:rsidR="006C7CC7">
        <w:t>okuratūras prokurore V. </w:t>
      </w:r>
      <w:proofErr w:type="spellStart"/>
      <w:r w:rsidR="006C7CC7">
        <w:t>Žērbele</w:t>
      </w:r>
      <w:proofErr w:type="spellEnd"/>
      <w:r w:rsidR="00F81C7B" w:rsidRPr="00F81C7B">
        <w:t xml:space="preserve"> </w:t>
      </w:r>
      <w:r w:rsidRPr="00F81C7B">
        <w:t xml:space="preserve">par </w:t>
      </w:r>
      <w:r w:rsidR="00F81C7B" w:rsidRPr="00F81C7B">
        <w:t>Vidzemes rajona tiesas 2019.gada 13.septembra lēmumu</w:t>
      </w:r>
      <w:r w:rsidRPr="00F81C7B">
        <w:t xml:space="preserve"> iesniedza kasācijas protestu, </w:t>
      </w:r>
      <w:r w:rsidR="00F81C7B" w:rsidRPr="00F81C7B">
        <w:t>kur</w:t>
      </w:r>
      <w:r w:rsidR="003356F9">
        <w:t xml:space="preserve">ā lūdz atcelt pirmās instances </w:t>
      </w:r>
      <w:r w:rsidR="003356F9">
        <w:lastRenderedPageBreak/>
        <w:t>tiesas lēmumu un nosūtīt lietu Vidzemes rajona tiesai vienošanās apstiprināšanai un soda noteikšanai.</w:t>
      </w:r>
    </w:p>
    <w:p w14:paraId="2F244F0B" w14:textId="77777777" w:rsidR="000114F9" w:rsidRDefault="00DB1CE3" w:rsidP="00D655D1">
      <w:pPr>
        <w:spacing w:line="276" w:lineRule="auto"/>
        <w:ind w:firstLine="720"/>
        <w:contextualSpacing/>
        <w:jc w:val="both"/>
      </w:pPr>
      <w:r>
        <w:t>Pirmās instances tiesas tiesnese konstatējusi, ka, slēdzot vienošanos, nav ievēroti Krimināllikuma 52.panta 2.</w:t>
      </w:r>
      <w:r w:rsidRPr="00DB1CE3">
        <w:rPr>
          <w:vertAlign w:val="superscript"/>
        </w:rPr>
        <w:t>1</w:t>
      </w:r>
      <w:r w:rsidR="008A670C">
        <w:t>daļas nosacījumi.</w:t>
      </w:r>
      <w:r w:rsidR="009F7C6C">
        <w:t xml:space="preserve"> </w:t>
      </w:r>
      <w:r w:rsidR="002257AC">
        <w:t xml:space="preserve">Minētais pants nosaka, ka, ja par vairākiem noziedzīgiem nodarījumiem vienā spriedumā vai pēc vairākiem spriedumiem ir piespriesti pamatsodi – piespiedu darbs un brīvības atņemšana, kuras termiņš kopā nepārsniedz trīs gadus, tad sodu – piespiedu darbs – izpilda patstāvīgi. Šādos gadījumos piespiedu darba izpildi uzsāk pēc brīvības atņemšanas soda izciešanas, bet nosacītas notiesāšanas gadījumā – uzreiz pēc sprieduma spēkā stāšanās. </w:t>
      </w:r>
    </w:p>
    <w:p w14:paraId="1EF91B4F" w14:textId="77777777" w:rsidR="000114F9" w:rsidRDefault="000114F9" w:rsidP="000114F9">
      <w:pPr>
        <w:spacing w:line="276" w:lineRule="auto"/>
        <w:ind w:firstLine="720"/>
        <w:contextualSpacing/>
        <w:jc w:val="both"/>
      </w:pPr>
      <w:r>
        <w:t>Prokurore norāda, ka, s</w:t>
      </w:r>
      <w:r w:rsidR="00D655D1">
        <w:t xml:space="preserve">lēdzot vienošanos ar apsūdzēto, noskaidrots, ka apsūdzētais ļaunprātīgi izvairās no viņam </w:t>
      </w:r>
      <w:r w:rsidR="00CF3492">
        <w:t>piespriestā</w:t>
      </w:r>
      <w:r w:rsidR="00D655D1">
        <w:t xml:space="preserve"> piespiedu darba veikšanas</w:t>
      </w:r>
      <w:r w:rsidR="00CF3492">
        <w:t>.</w:t>
      </w:r>
      <w:r w:rsidR="00D655D1">
        <w:t xml:space="preserve"> Konkrētajā krimināllietā vēl pirms vienošanās slēgšanas Valsts probācijas dienests vērsies ar iesniegumu Vidzemes r</w:t>
      </w:r>
      <w:r w:rsidR="008A670C">
        <w:t>ajona tiesā par piespiedu darb</w:t>
      </w:r>
      <w:r>
        <w:t>a</w:t>
      </w:r>
      <w:r w:rsidR="00A35CF1">
        <w:t xml:space="preserve">, kas </w:t>
      </w:r>
      <w:r w:rsidR="000E57E1">
        <w:t>[pers. A]</w:t>
      </w:r>
      <w:r w:rsidR="008A670C">
        <w:t xml:space="preserve"> piespriests ar Vidzemes rajona tiesas 2018.gada 30.novembra spriedumu, aizstāšanu ar īslaicīgu brīvības atņemšanu. </w:t>
      </w:r>
    </w:p>
    <w:p w14:paraId="55997605" w14:textId="77777777" w:rsidR="000114F9" w:rsidRDefault="00D655D1" w:rsidP="000114F9">
      <w:pPr>
        <w:spacing w:line="276" w:lineRule="auto"/>
        <w:ind w:firstLine="720"/>
        <w:contextualSpacing/>
        <w:jc w:val="both"/>
      </w:pPr>
      <w:r>
        <w:t xml:space="preserve">Prokurores ieskatā, nosakot </w:t>
      </w:r>
      <w:r w:rsidR="000E57E1">
        <w:t>[pers. A]</w:t>
      </w:r>
      <w:r>
        <w:t xml:space="preserve"> galīgo sodu, ir jāņem vērā Krimināllikuma 46.pantā paredzētie soda noteikšanas vispārējie principi</w:t>
      </w:r>
      <w:r w:rsidR="00CF3492">
        <w:t>, un</w:t>
      </w:r>
      <w:r>
        <w:t xml:space="preserve">, ievērojot </w:t>
      </w:r>
      <w:r w:rsidR="00CF3492">
        <w:t>Krimināllikuma 35.pantā noteikto soda</w:t>
      </w:r>
      <w:r>
        <w:t xml:space="preserve"> mērķi, galīgais sods </w:t>
      </w:r>
      <w:r w:rsidR="000E57E1">
        <w:t>[pers. A]</w:t>
      </w:r>
      <w:r>
        <w:t xml:space="preserve"> nosakāms saskaņā ar Krimināllikuma 52</w:t>
      </w:r>
      <w:r w:rsidR="000114F9">
        <w:t xml:space="preserve">.panta pirmās daļas </w:t>
      </w:r>
      <w:r w:rsidR="00B570A3">
        <w:t>2.</w:t>
      </w:r>
      <w:r w:rsidR="000114F9">
        <w:t>punktu, nevis</w:t>
      </w:r>
      <w:r w:rsidR="00CF3492">
        <w:t xml:space="preserve"> saskaņā ar</w:t>
      </w:r>
      <w:r w:rsidR="000114F9">
        <w:t xml:space="preserve"> Krimināllikuma 52.panta 2.</w:t>
      </w:r>
      <w:r w:rsidR="000114F9" w:rsidRPr="00DB1CE3">
        <w:rPr>
          <w:vertAlign w:val="superscript"/>
        </w:rPr>
        <w:t>1</w:t>
      </w:r>
      <w:r w:rsidR="000114F9">
        <w:t>daļas nosacījum</w:t>
      </w:r>
      <w:r w:rsidR="00CF3492">
        <w:t>iem.</w:t>
      </w:r>
    </w:p>
    <w:p w14:paraId="7B51933A" w14:textId="77777777" w:rsidR="000114F9" w:rsidRDefault="000114F9" w:rsidP="000114F9">
      <w:pPr>
        <w:spacing w:line="276" w:lineRule="auto"/>
        <w:ind w:firstLine="720"/>
        <w:contextualSpacing/>
        <w:jc w:val="both"/>
      </w:pPr>
      <w:r>
        <w:t xml:space="preserve">Tādējādi pirmās instances tiesa pieļāvusi Kriminālprocesa likuma 574.panta </w:t>
      </w:r>
      <w:r w:rsidR="00B570A3">
        <w:t>1.</w:t>
      </w:r>
      <w:r>
        <w:t>punkta pārkāpumu, kas izpaudies Krimināllikuma 52.panta 2.</w:t>
      </w:r>
      <w:r w:rsidRPr="00DB1CE3">
        <w:rPr>
          <w:vertAlign w:val="superscript"/>
        </w:rPr>
        <w:t>1</w:t>
      </w:r>
      <w:r>
        <w:t>daļas nepamatotā piemērošanā.</w:t>
      </w:r>
    </w:p>
    <w:p w14:paraId="038A0A1D" w14:textId="77777777" w:rsidR="00D655D1" w:rsidRDefault="00D655D1" w:rsidP="000114F9">
      <w:pPr>
        <w:spacing w:line="276" w:lineRule="auto"/>
        <w:contextualSpacing/>
        <w:jc w:val="both"/>
      </w:pPr>
    </w:p>
    <w:p w14:paraId="61B2BFB1" w14:textId="77777777" w:rsidR="00E576CC" w:rsidRPr="00C16E16" w:rsidRDefault="00E576CC" w:rsidP="00C16E16">
      <w:pPr>
        <w:spacing w:line="276" w:lineRule="auto"/>
        <w:ind w:firstLine="567"/>
        <w:jc w:val="center"/>
      </w:pPr>
      <w:r w:rsidRPr="00920365">
        <w:rPr>
          <w:b/>
        </w:rPr>
        <w:t>Motīvu daļa</w:t>
      </w:r>
    </w:p>
    <w:p w14:paraId="2170DC3E" w14:textId="77777777" w:rsidR="00E576CC" w:rsidRPr="00A25CA3" w:rsidRDefault="00E576CC" w:rsidP="00E576CC">
      <w:pPr>
        <w:spacing w:line="276" w:lineRule="auto"/>
        <w:ind w:firstLine="720"/>
        <w:contextualSpacing/>
        <w:jc w:val="both"/>
      </w:pPr>
    </w:p>
    <w:p w14:paraId="01BE026E" w14:textId="77777777" w:rsidR="00DB1CE3" w:rsidRDefault="00E576CC" w:rsidP="00E576CC">
      <w:pPr>
        <w:spacing w:line="276" w:lineRule="auto"/>
        <w:ind w:firstLine="720"/>
        <w:contextualSpacing/>
        <w:jc w:val="both"/>
      </w:pPr>
      <w:r w:rsidRPr="00A25CA3">
        <w:rPr>
          <w:rStyle w:val="Emphasis"/>
          <w:i w:val="0"/>
          <w:lang w:eastAsia="lv-LV"/>
        </w:rPr>
        <w:t>[</w:t>
      </w:r>
      <w:r w:rsidR="00DB1CE3">
        <w:rPr>
          <w:rStyle w:val="Emphasis"/>
          <w:i w:val="0"/>
          <w:lang w:eastAsia="lv-LV"/>
        </w:rPr>
        <w:t>6</w:t>
      </w:r>
      <w:r w:rsidRPr="00A25CA3">
        <w:rPr>
          <w:rStyle w:val="Emphasis"/>
          <w:i w:val="0"/>
          <w:lang w:eastAsia="lv-LV"/>
        </w:rPr>
        <w:t xml:space="preserve">] </w:t>
      </w:r>
      <w:r>
        <w:rPr>
          <w:rStyle w:val="Emphasis"/>
          <w:i w:val="0"/>
          <w:lang w:eastAsia="lv-LV"/>
        </w:rPr>
        <w:t xml:space="preserve">Kasācijas instances tiesa atzīst, ka </w:t>
      </w:r>
      <w:r w:rsidR="00A81107" w:rsidRPr="00A81107">
        <w:t>Vidzemes rajona tiesas 2019.gada 13.septembra l</w:t>
      </w:r>
      <w:r w:rsidR="00A81107">
        <w:t xml:space="preserve">ēmums atstājams negrozīts, bet </w:t>
      </w:r>
      <w:r w:rsidR="00A81107" w:rsidRPr="00A81107">
        <w:t>prokurores V</w:t>
      </w:r>
      <w:r w:rsidR="00A81107">
        <w:t>. </w:t>
      </w:r>
      <w:proofErr w:type="spellStart"/>
      <w:r w:rsidR="00A81107" w:rsidRPr="00A81107">
        <w:t>Žērbeles</w:t>
      </w:r>
      <w:proofErr w:type="spellEnd"/>
      <w:r w:rsidR="00A81107">
        <w:t xml:space="preserve"> kasācijas protests noraidāms.</w:t>
      </w:r>
    </w:p>
    <w:p w14:paraId="716FE982" w14:textId="77777777" w:rsidR="00A81107" w:rsidRPr="0087718E" w:rsidRDefault="00A81107" w:rsidP="00E576CC">
      <w:pPr>
        <w:spacing w:line="276" w:lineRule="auto"/>
        <w:ind w:firstLine="720"/>
        <w:contextualSpacing/>
        <w:jc w:val="both"/>
        <w:rPr>
          <w:rStyle w:val="Emphasis"/>
          <w:i w:val="0"/>
          <w:lang w:eastAsia="lv-LV"/>
        </w:rPr>
      </w:pPr>
    </w:p>
    <w:p w14:paraId="6D5E1F3B" w14:textId="77777777" w:rsidR="00CE42C9" w:rsidRDefault="00A81107" w:rsidP="00182B95">
      <w:pPr>
        <w:spacing w:line="276" w:lineRule="auto"/>
        <w:ind w:firstLine="720"/>
        <w:contextualSpacing/>
        <w:jc w:val="both"/>
      </w:pPr>
      <w:r>
        <w:t xml:space="preserve">[7] </w:t>
      </w:r>
      <w:r w:rsidR="00CE42C9">
        <w:t>Lieta pirmās instances tiesā izskatīta Kriminālprocesa likuma 49.nodaļas kārtībā, proti, pirmstiesas procesā prokuror</w:t>
      </w:r>
      <w:r w:rsidR="007F0D03">
        <w:t>e</w:t>
      </w:r>
      <w:r w:rsidR="00CE42C9">
        <w:t xml:space="preserve"> un apsūdzētais </w:t>
      </w:r>
      <w:r w:rsidR="000E57E1">
        <w:rPr>
          <w:shd w:val="clear" w:color="auto" w:fill="FFFFFF"/>
        </w:rPr>
        <w:t>[pers. A]</w:t>
      </w:r>
      <w:r w:rsidR="00CE42C9">
        <w:t xml:space="preserve"> noslēdza vienošanos par vainas atzīšanu un sodu. </w:t>
      </w:r>
    </w:p>
    <w:p w14:paraId="4EE106B4" w14:textId="77777777" w:rsidR="00FE6701" w:rsidRDefault="00FE6701" w:rsidP="008F55D9">
      <w:pPr>
        <w:spacing w:line="276" w:lineRule="auto"/>
        <w:ind w:firstLine="720"/>
        <w:contextualSpacing/>
        <w:jc w:val="both"/>
      </w:pPr>
      <w:r>
        <w:t>Saskaņā ar Kriminālprocesa likuma 49.nodaļas normām tiesnesis, izskatot krimināllietu vienošanās procesā,</w:t>
      </w:r>
      <w:r w:rsidR="00DA204F" w:rsidRPr="00DA204F">
        <w:t xml:space="preserve"> </w:t>
      </w:r>
      <w:r w:rsidR="00DA204F">
        <w:t>papildus šā likuma 486.pantā noteiktajam, pārbauda vai pirmstiesas procesā slēgtā vienošanās ir noslēgta likumā noteiktā kārtībā, vai nav pieļauts Krimināllikuma normu pārkāpums.</w:t>
      </w:r>
      <w:r>
        <w:t xml:space="preserve"> </w:t>
      </w:r>
      <w:r w:rsidR="00DA204F">
        <w:t>Savukārt, konstatējot Krimināllikuma pārkāpumu</w:t>
      </w:r>
      <w:r w:rsidR="007066DD">
        <w:t xml:space="preserve">, </w:t>
      </w:r>
      <w:r w:rsidR="00DA204F">
        <w:t xml:space="preserve">tiesa </w:t>
      </w:r>
      <w:r w:rsidR="008F55D9">
        <w:t>pieņem</w:t>
      </w:r>
      <w:r>
        <w:t xml:space="preserve"> lēmumu par lietas nosūtīšanu prokuroram</w:t>
      </w:r>
      <w:r w:rsidR="00336573">
        <w:t xml:space="preserve"> pārkāpumu</w:t>
      </w:r>
      <w:r>
        <w:t xml:space="preserve"> novēršanai.</w:t>
      </w:r>
      <w:r w:rsidR="00CF3492">
        <w:t xml:space="preserve"> </w:t>
      </w:r>
    </w:p>
    <w:p w14:paraId="29CB135D" w14:textId="77777777" w:rsidR="007066DD" w:rsidRDefault="008F55D9" w:rsidP="007066DD">
      <w:pPr>
        <w:spacing w:line="276" w:lineRule="auto"/>
        <w:ind w:firstLine="720"/>
        <w:contextualSpacing/>
        <w:jc w:val="both"/>
      </w:pPr>
      <w:r>
        <w:t xml:space="preserve">Pirmās instances tiesa, pārbaudot starp apsūdzēto </w:t>
      </w:r>
      <w:r w:rsidR="000E57E1">
        <w:t>[pers. A]</w:t>
      </w:r>
      <w:r>
        <w:t xml:space="preserve"> un prokurori V. </w:t>
      </w:r>
      <w:proofErr w:type="spellStart"/>
      <w:r>
        <w:t>Žērbeli</w:t>
      </w:r>
      <w:proofErr w:type="spellEnd"/>
      <w:r>
        <w:t xml:space="preserve"> noslēgtās vienošanās tiesiskumu, konstatējusi Krimināllikuma 52.panta 2.</w:t>
      </w:r>
      <w:r>
        <w:rPr>
          <w:vertAlign w:val="superscript"/>
        </w:rPr>
        <w:t>1</w:t>
      </w:r>
      <w:r w:rsidR="00336573">
        <w:t>daļas pārkāpumu</w:t>
      </w:r>
      <w:r w:rsidR="007066DD">
        <w:t xml:space="preserve"> un </w:t>
      </w:r>
      <w:r w:rsidR="00DA204F">
        <w:t xml:space="preserve">pieņēmusi Kriminālprocesa likuma 542.panta pirmās daļas 2.punktā paredzēto nolēmumu, proti, </w:t>
      </w:r>
      <w:r w:rsidR="00336573">
        <w:t xml:space="preserve">nosūtīt </w:t>
      </w:r>
      <w:r w:rsidR="007066DD">
        <w:t>krimināllietu prokurorei V. </w:t>
      </w:r>
      <w:proofErr w:type="spellStart"/>
      <w:r w:rsidR="007066DD">
        <w:t>Žērbelei</w:t>
      </w:r>
      <w:proofErr w:type="spellEnd"/>
      <w:r w:rsidR="007066DD">
        <w:t xml:space="preserve"> minētā pārkāpuma novēršanai.</w:t>
      </w:r>
    </w:p>
    <w:p w14:paraId="6EB2A6CE" w14:textId="77777777" w:rsidR="008F55D9" w:rsidRDefault="007066DD" w:rsidP="007066DD">
      <w:pPr>
        <w:spacing w:line="276" w:lineRule="auto"/>
        <w:ind w:firstLine="720"/>
        <w:contextualSpacing/>
        <w:jc w:val="both"/>
      </w:pPr>
      <w:r>
        <w:t xml:space="preserve">[7.1] </w:t>
      </w:r>
      <w:r w:rsidR="008F55D9">
        <w:t>Krimināllikuma 52.panta 2.</w:t>
      </w:r>
      <w:r w:rsidR="008F55D9" w:rsidRPr="00DB1CE3">
        <w:rPr>
          <w:vertAlign w:val="superscript"/>
        </w:rPr>
        <w:t>1</w:t>
      </w:r>
      <w:r w:rsidR="008F55D9">
        <w:t>daļa noteic, ja par vairākiem noziedzīgiem nodarījumiem vienā spriedumā vai pēc vairākiem spriedumiem ir piespriesti pamatsodi</w:t>
      </w:r>
      <w:r>
        <w:t> </w:t>
      </w:r>
      <w:r w:rsidR="008F55D9">
        <w:t xml:space="preserve"> – </w:t>
      </w:r>
      <w:r>
        <w:t> </w:t>
      </w:r>
      <w:r w:rsidR="008F55D9">
        <w:t xml:space="preserve">piespiedu darbs un brīvības atņemšana, kuras termiņš kopā nepārsniedz trīs gadus, tad sodu – piespiedu darbs  –  izpilda patstāvīgi. Šādos gadījumos piespiedu darba izpildi uzsāk pēc brīvības atņemšanas soda izciešanas, bet nosacītas notiesāšanas gadījumā – uzreiz pēc sprieduma spēkā stāšanās. </w:t>
      </w:r>
    </w:p>
    <w:p w14:paraId="56B62CBD" w14:textId="77777777" w:rsidR="00DA204F" w:rsidRDefault="00CE42C9" w:rsidP="003967AA">
      <w:pPr>
        <w:spacing w:line="276" w:lineRule="auto"/>
        <w:ind w:firstLine="720"/>
        <w:contextualSpacing/>
        <w:jc w:val="both"/>
      </w:pPr>
      <w:r>
        <w:lastRenderedPageBreak/>
        <w:t xml:space="preserve">No lēmuma par personas saukšanu pie kriminālatbildības un </w:t>
      </w:r>
      <w:r w:rsidR="00321D2B">
        <w:t xml:space="preserve">2019.gada 7.augusta vienošanās protokola redzams, ka </w:t>
      </w:r>
      <w:r w:rsidR="000E57E1">
        <w:t>[pers. A]</w:t>
      </w:r>
      <w:r w:rsidR="00321D2B">
        <w:t xml:space="preserve"> </w:t>
      </w:r>
      <w:r>
        <w:t>celta apsūdzība pēc Krimināllikuma 262.panta pirmās daļas un 312.panta otrās daļas. Prokurore ar apsūdzēto vienojušies, ka galīgais sods s</w:t>
      </w:r>
      <w:r w:rsidR="00D442F7">
        <w:t>askaņā ar Krimināllikuma 50.panta pirmo, otro un ceturto daļu</w:t>
      </w:r>
      <w:r w:rsidR="00DA204F">
        <w:t xml:space="preserve"> </w:t>
      </w:r>
      <w:r w:rsidR="000E57E1">
        <w:t>[pers. A]</w:t>
      </w:r>
      <w:r w:rsidR="007066DD">
        <w:t xml:space="preserve"> tiks noteikts īslaicīga brīvības atņemšana uz 30 dienām, atņemot transportlīdzekļa vadīšanas tiesības uz 5 gadiem. </w:t>
      </w:r>
      <w:r w:rsidR="00D442F7">
        <w:t xml:space="preserve"> </w:t>
      </w:r>
      <w:r w:rsidR="007066DD">
        <w:t>S</w:t>
      </w:r>
      <w:r w:rsidR="00DA204F">
        <w:t>avukārt s</w:t>
      </w:r>
      <w:r w:rsidR="007066DD">
        <w:t xml:space="preserve">askaņā ar </w:t>
      </w:r>
      <w:r w:rsidR="00D442F7">
        <w:t>Krimināllikuma 51.panta pirmo un trešo daļu</w:t>
      </w:r>
      <w:r>
        <w:t>,</w:t>
      </w:r>
      <w:r w:rsidR="00182B95">
        <w:t xml:space="preserve"> šajā spriedumā noteiktajam sodam pilnībā pievienoj</w:t>
      </w:r>
      <w:r w:rsidR="007066DD">
        <w:t>ama</w:t>
      </w:r>
      <w:r w:rsidR="007F0D03">
        <w:t xml:space="preserve"> </w:t>
      </w:r>
      <w:r w:rsidR="00182B95">
        <w:t>neizciest</w:t>
      </w:r>
      <w:r w:rsidR="007066DD">
        <w:t>ā</w:t>
      </w:r>
      <w:r w:rsidR="00182B95">
        <w:t xml:space="preserve"> soda daļ</w:t>
      </w:r>
      <w:r w:rsidR="007066DD">
        <w:t>a</w:t>
      </w:r>
      <w:r w:rsidR="00182B95">
        <w:t xml:space="preserve"> pēc Vidzemes rajona tiesas 201</w:t>
      </w:r>
      <w:r w:rsidR="007F0D03">
        <w:t xml:space="preserve">8.gada 30.novembra </w:t>
      </w:r>
      <w:r w:rsidR="003967AA">
        <w:t>sprieduma</w:t>
      </w:r>
      <w:r w:rsidR="007F0D03">
        <w:t xml:space="preserve">. </w:t>
      </w:r>
      <w:r w:rsidR="00DA204F">
        <w:t xml:space="preserve">Prokurore ar apsūdzēto vienojušies, ka, </w:t>
      </w:r>
      <w:r w:rsidR="003967AA">
        <w:t>ievērojot Krimināllikuma 52.panta pirmās daļas 2.punkta soda saskaitīšanas un aizstāšanas noteikumus</w:t>
      </w:r>
      <w:r w:rsidR="00DA204F">
        <w:t xml:space="preserve">, galīgais sods </w:t>
      </w:r>
      <w:r w:rsidR="000E57E1">
        <w:t>[pers. A]</w:t>
      </w:r>
      <w:r w:rsidR="00DA204F">
        <w:t xml:space="preserve"> tiks noteikts īslaicīga brīvības atņemšana uz 35 dienām, atņemot transportlīdzekļa vadīšanas tiesības uz 6 gadiem 4 mēnešiem 7 dienām.</w:t>
      </w:r>
      <w:r w:rsidR="003967AA">
        <w:t xml:space="preserve"> </w:t>
      </w:r>
    </w:p>
    <w:p w14:paraId="25DF2AE6" w14:textId="77777777" w:rsidR="000D09E6" w:rsidRDefault="00EE677D" w:rsidP="003967AA">
      <w:pPr>
        <w:spacing w:line="276" w:lineRule="auto"/>
        <w:ind w:firstLine="720"/>
        <w:contextualSpacing/>
        <w:jc w:val="both"/>
      </w:pPr>
      <w:r>
        <w:t xml:space="preserve">Kasācijas instances tiesa konstatē, ka </w:t>
      </w:r>
      <w:r w:rsidR="00336573">
        <w:t xml:space="preserve">vienošanās protokolā </w:t>
      </w:r>
      <w:r>
        <w:t xml:space="preserve">galīgais sods </w:t>
      </w:r>
      <w:r w:rsidR="000E57E1">
        <w:t>[pers. A]</w:t>
      </w:r>
      <w:r>
        <w:t xml:space="preserve"> noteikts, ievērojot Rīgas pilsētas Vidzemes rajona tiesas 2018.gada 30.novembra spriedumā noteikto sodu – piespi</w:t>
      </w:r>
      <w:r w:rsidR="00C72065">
        <w:t>edu darbs uz 200 stundām, atņem</w:t>
      </w:r>
      <w:r>
        <w:t>o</w:t>
      </w:r>
      <w:r w:rsidR="00C72065">
        <w:t>t</w:t>
      </w:r>
      <w:r>
        <w:t xml:space="preserve"> transportlīdzekļa vadīšanas</w:t>
      </w:r>
      <w:r w:rsidR="007066DD">
        <w:t xml:space="preserve"> tiesības uz 2 gadiem 15 </w:t>
      </w:r>
      <w:r w:rsidR="00B64855">
        <w:t> </w:t>
      </w:r>
      <w:r w:rsidR="007066DD">
        <w:t>dienām, </w:t>
      </w:r>
      <w:r w:rsidR="00B64855">
        <w:t>– </w:t>
      </w:r>
      <w:r>
        <w:t>k</w:t>
      </w:r>
      <w:r w:rsidR="003967AA">
        <w:t xml:space="preserve">ur piespiedu darbs ir pamatsods, un neizciestā soda daļa – piespiedu darbs 44 stundas. </w:t>
      </w:r>
      <w:r>
        <w:t xml:space="preserve">Ar šo vienošanos noteiktais brīvības atņemšanas soda </w:t>
      </w:r>
      <w:r w:rsidR="000D09E6">
        <w:t>termiņš nepārsniedz trīs gadus.</w:t>
      </w:r>
    </w:p>
    <w:p w14:paraId="7D7D8408" w14:textId="77777777" w:rsidR="00C72065" w:rsidRDefault="00C72065" w:rsidP="00C72065">
      <w:pPr>
        <w:spacing w:line="276" w:lineRule="auto"/>
        <w:ind w:firstLine="720"/>
        <w:contextualSpacing/>
        <w:jc w:val="both"/>
      </w:pPr>
      <w:r>
        <w:t xml:space="preserve">Uz vienošanās noslēgšanas dienu – 2019.gada 7.augustu – ar Vidzemes rajona tiesas 2018.gada 30.novembra spriedumu </w:t>
      </w:r>
      <w:r w:rsidR="00980289">
        <w:t xml:space="preserve">piespriestās </w:t>
      </w:r>
      <w:r>
        <w:t xml:space="preserve">neizciestās piespiedu darba stundas nebija aizstātas ar brīvības atņemšanas sodu likumā noteiktajā kārtībā, līdz ar to prokurorei ar apsūdzēto nebija tiesiska pamata vienoties par galīgā soda noteikšanu saskaņā ar Krimināllikuma 52.panta pirmās daļas 2.punkta nosacījumiem. </w:t>
      </w:r>
    </w:p>
    <w:p w14:paraId="533F15E0" w14:textId="77777777" w:rsidR="00EE677D" w:rsidRDefault="003967AA" w:rsidP="00EE677D">
      <w:pPr>
        <w:spacing w:line="276" w:lineRule="auto"/>
        <w:ind w:firstLine="720"/>
        <w:contextualSpacing/>
        <w:jc w:val="both"/>
      </w:pPr>
      <w:r>
        <w:t>Ievērojot minēto, kasācijas instances tiesa atzīst, ka</w:t>
      </w:r>
      <w:r w:rsidR="007066DD">
        <w:t xml:space="preserve"> </w:t>
      </w:r>
      <w:r w:rsidR="00EE677D">
        <w:t>pirmās instances tiesa pamatoti konstatējusi, ka, slēdzot vienošanos par galīgā soda noteikšanu, ir pieļauts Krimināllikuma 52.panta 2.</w:t>
      </w:r>
      <w:r w:rsidR="00EE677D" w:rsidRPr="00DB1CE3">
        <w:rPr>
          <w:vertAlign w:val="superscript"/>
        </w:rPr>
        <w:t>1</w:t>
      </w:r>
      <w:r w:rsidR="00720BCC">
        <w:t xml:space="preserve">daļas </w:t>
      </w:r>
      <w:r w:rsidR="00C72065">
        <w:t>pārkāpums</w:t>
      </w:r>
      <w:r w:rsidR="00720BCC">
        <w:t xml:space="preserve">, un lieta nosūtāma prokurorei pārkāpuma novēršanai. </w:t>
      </w:r>
    </w:p>
    <w:p w14:paraId="36370CAA" w14:textId="77777777" w:rsidR="002020A3" w:rsidRDefault="00C72065" w:rsidP="00EE677D">
      <w:pPr>
        <w:spacing w:line="276" w:lineRule="auto"/>
        <w:ind w:firstLine="720"/>
        <w:contextualSpacing/>
        <w:jc w:val="both"/>
      </w:pPr>
      <w:r>
        <w:t xml:space="preserve"> </w:t>
      </w:r>
      <w:r w:rsidR="00EE677D">
        <w:t>[7.2</w:t>
      </w:r>
      <w:r w:rsidR="00F93EE8">
        <w:t xml:space="preserve">] </w:t>
      </w:r>
      <w:r w:rsidR="00700D8D">
        <w:t>Tāpat k</w:t>
      </w:r>
      <w:r w:rsidR="002020A3">
        <w:t xml:space="preserve">asācijas instances tiesa atzīst, ka pirmās instances tiesa, nosūtot krimināllietu prokurorei </w:t>
      </w:r>
      <w:r w:rsidR="00720BCC">
        <w:t>pārkāpuma</w:t>
      </w:r>
      <w:r w:rsidR="002020A3">
        <w:t xml:space="preserve"> novēršanai, ir rīkojusies saskaņā ar Kriminālprocesa likuma 543.panta ceturto daļu.</w:t>
      </w:r>
    </w:p>
    <w:p w14:paraId="78EDAAE0" w14:textId="77777777" w:rsidR="002020A3" w:rsidRDefault="002020A3" w:rsidP="008A670C">
      <w:pPr>
        <w:spacing w:line="276" w:lineRule="auto"/>
        <w:ind w:firstLine="720"/>
        <w:contextualSpacing/>
        <w:jc w:val="both"/>
      </w:pPr>
      <w:r>
        <w:t xml:space="preserve">Saskaņā ar Kriminālprocesa likuma 543.panta ceturto daļu tiesa, taisot spriedumu, var precizēt vienošanās protokolā paredzēto soda mēru, ja ir pieļauta kļūda, nosakot galīgo sodu, vai ja tas saistīts ar laika tecējumu no vienošanās noslēgšanas dienas līdz iztiesāšanas dienai. Precizējums nedrīkst pasliktināt apsūdzētā stāvokli. </w:t>
      </w:r>
    </w:p>
    <w:p w14:paraId="50C13A67" w14:textId="77777777" w:rsidR="008A670C" w:rsidRDefault="00720BCC" w:rsidP="00700D8D">
      <w:pPr>
        <w:spacing w:line="276" w:lineRule="auto"/>
        <w:ind w:firstLine="720"/>
        <w:contextualSpacing/>
        <w:jc w:val="both"/>
      </w:pPr>
      <w:r>
        <w:t>Kasācijas instances tiesa norāda, ka c</w:t>
      </w:r>
      <w:r w:rsidR="00700D8D">
        <w:t>ita soda veida noteikšanu nevar atzīt par pieļautas kļūdas precizēšanu vai attiecināt uz laika tecējumu no vienošanās noslēgšanas dienas līdz iztiesāšanas dienai.</w:t>
      </w:r>
    </w:p>
    <w:p w14:paraId="1FEA51F8" w14:textId="77777777" w:rsidR="00B64855" w:rsidRDefault="00B64855" w:rsidP="00700D8D">
      <w:pPr>
        <w:spacing w:line="276" w:lineRule="auto"/>
        <w:ind w:firstLine="720"/>
        <w:contextualSpacing/>
        <w:jc w:val="both"/>
      </w:pPr>
    </w:p>
    <w:p w14:paraId="7B5754AE" w14:textId="77777777" w:rsidR="00700D8D" w:rsidRDefault="00EB78A0" w:rsidP="00700D8D">
      <w:pPr>
        <w:spacing w:line="276" w:lineRule="auto"/>
        <w:ind w:firstLine="720"/>
        <w:contextualSpacing/>
        <w:jc w:val="both"/>
      </w:pPr>
      <w:r>
        <w:t>[</w:t>
      </w:r>
      <w:r w:rsidR="00B64855">
        <w:t>8</w:t>
      </w:r>
      <w:r>
        <w:t xml:space="preserve">] Kasācijas instances tiesa atzīst, ka Vidzemes rajona tiesas tiesnese nav pieļāvusi Krimināllikuma pārkāpumu, kas būtu par pamatu tiesas </w:t>
      </w:r>
      <w:r w:rsidR="00336573">
        <w:t>no</w:t>
      </w:r>
      <w:r>
        <w:t xml:space="preserve">lēmuma atcelšanai. </w:t>
      </w:r>
      <w:r w:rsidR="00700D8D">
        <w:t xml:space="preserve">Līdz ar to </w:t>
      </w:r>
      <w:r w:rsidR="00700D8D" w:rsidRPr="00C16E16">
        <w:t>Vidzemes rajona tiesas 2019.gada 13.septembra</w:t>
      </w:r>
      <w:r w:rsidR="00700D8D">
        <w:t xml:space="preserve"> </w:t>
      </w:r>
      <w:r w:rsidR="00336573">
        <w:t xml:space="preserve">lēmums </w:t>
      </w:r>
      <w:r w:rsidR="00700D8D">
        <w:t>atstājams negrozīts, bet prokurores V. </w:t>
      </w:r>
      <w:proofErr w:type="spellStart"/>
      <w:r w:rsidR="00700D8D">
        <w:t>Žērbeles</w:t>
      </w:r>
      <w:proofErr w:type="spellEnd"/>
      <w:r w:rsidR="00700D8D">
        <w:t xml:space="preserve"> kasācijas protests noraidāms.</w:t>
      </w:r>
    </w:p>
    <w:p w14:paraId="6058A340" w14:textId="77777777" w:rsidR="00E576CC" w:rsidRDefault="00E576CC" w:rsidP="00700D8D">
      <w:pPr>
        <w:spacing w:line="276" w:lineRule="auto"/>
        <w:contextualSpacing/>
        <w:jc w:val="both"/>
        <w:rPr>
          <w:rStyle w:val="Emphasis"/>
          <w:i w:val="0"/>
          <w:lang w:eastAsia="lv-LV"/>
        </w:rPr>
      </w:pPr>
    </w:p>
    <w:p w14:paraId="437BBAD2" w14:textId="77777777" w:rsidR="00E576CC" w:rsidRPr="00A25CA3" w:rsidRDefault="002808A6" w:rsidP="00E576CC">
      <w:pPr>
        <w:pStyle w:val="Subtitle"/>
        <w:spacing w:after="0" w:line="276" w:lineRule="auto"/>
        <w:ind w:firstLine="720"/>
        <w:contextualSpacing/>
        <w:rPr>
          <w:rStyle w:val="Emphasis"/>
          <w:rFonts w:ascii="Times New Roman" w:eastAsia="Calibri" w:hAnsi="Times New Roman"/>
          <w:b/>
          <w:i w:val="0"/>
          <w:iCs w:val="0"/>
          <w:lang w:eastAsia="lv-LV"/>
        </w:rPr>
      </w:pPr>
      <w:r>
        <w:rPr>
          <w:rStyle w:val="Emphasis"/>
          <w:rFonts w:ascii="Times New Roman" w:eastAsia="Calibri" w:hAnsi="Times New Roman"/>
          <w:b/>
          <w:i w:val="0"/>
          <w:lang w:val="lv-LV" w:eastAsia="lv-LV"/>
        </w:rPr>
        <w:t xml:space="preserve">Rezolutīvā </w:t>
      </w:r>
      <w:r w:rsidR="00E576CC" w:rsidRPr="00A25CA3">
        <w:rPr>
          <w:rStyle w:val="Emphasis"/>
          <w:rFonts w:ascii="Times New Roman" w:eastAsia="Calibri" w:hAnsi="Times New Roman"/>
          <w:b/>
          <w:i w:val="0"/>
          <w:lang w:eastAsia="lv-LV"/>
        </w:rPr>
        <w:t>daļa</w:t>
      </w:r>
    </w:p>
    <w:p w14:paraId="7CBAEBB1" w14:textId="77777777" w:rsidR="00E576CC" w:rsidRPr="00A25CA3" w:rsidRDefault="00E576CC" w:rsidP="00E576CC">
      <w:pPr>
        <w:pStyle w:val="Subtitle"/>
        <w:spacing w:after="0" w:line="276" w:lineRule="auto"/>
        <w:ind w:firstLine="720"/>
        <w:contextualSpacing/>
        <w:rPr>
          <w:rStyle w:val="Emphasis"/>
          <w:rFonts w:ascii="Times New Roman" w:eastAsia="Calibri" w:hAnsi="Times New Roman"/>
          <w:i w:val="0"/>
          <w:iCs w:val="0"/>
          <w:lang w:eastAsia="lv-LV"/>
        </w:rPr>
      </w:pPr>
    </w:p>
    <w:p w14:paraId="29F0EA9A" w14:textId="77777777" w:rsidR="00E576CC" w:rsidRPr="00A25CA3" w:rsidRDefault="00E576CC" w:rsidP="00E576CC">
      <w:pPr>
        <w:pStyle w:val="Subtitle"/>
        <w:spacing w:after="0" w:line="276" w:lineRule="auto"/>
        <w:ind w:firstLine="720"/>
        <w:contextualSpacing/>
        <w:jc w:val="both"/>
        <w:rPr>
          <w:rFonts w:ascii="Times New Roman" w:eastAsia="Calibri" w:hAnsi="Times New Roman"/>
          <w:iCs/>
          <w:lang w:val="lv-LV"/>
        </w:rPr>
      </w:pPr>
      <w:r w:rsidRPr="00A25CA3">
        <w:rPr>
          <w:rStyle w:val="Emphasis"/>
          <w:rFonts w:ascii="Times New Roman" w:eastAsia="Calibri" w:hAnsi="Times New Roman"/>
          <w:i w:val="0"/>
        </w:rPr>
        <w:t xml:space="preserve">Pamatojoties uz Kriminālprocesa likuma, </w:t>
      </w:r>
      <w:r w:rsidRPr="00A25CA3">
        <w:rPr>
          <w:rStyle w:val="Emphasis"/>
          <w:rFonts w:ascii="Times New Roman" w:eastAsia="Calibri" w:hAnsi="Times New Roman"/>
          <w:i w:val="0"/>
          <w:lang w:val="lv-LV"/>
        </w:rPr>
        <w:t>585. un 587.pantu, tiesa</w:t>
      </w:r>
    </w:p>
    <w:p w14:paraId="1A64CED2" w14:textId="77777777" w:rsidR="00E576CC" w:rsidRPr="00A25CA3" w:rsidRDefault="00E576CC" w:rsidP="00E576CC">
      <w:pPr>
        <w:pStyle w:val="NoSpacing"/>
        <w:spacing w:line="276" w:lineRule="auto"/>
        <w:ind w:firstLine="720"/>
        <w:contextualSpacing/>
        <w:jc w:val="both"/>
        <w:rPr>
          <w:rFonts w:ascii="TimesNewRomanPSMT" w:hAnsi="TimesNewRomanPSMT" w:cs="TimesNewRomanPSMT"/>
        </w:rPr>
      </w:pPr>
    </w:p>
    <w:p w14:paraId="285EFC99" w14:textId="77777777" w:rsidR="00E576CC" w:rsidRPr="00A25CA3" w:rsidRDefault="00E576CC" w:rsidP="00E576CC">
      <w:pPr>
        <w:pStyle w:val="Subtitle"/>
        <w:spacing w:after="0" w:line="276" w:lineRule="auto"/>
        <w:ind w:firstLine="720"/>
        <w:contextualSpacing/>
        <w:rPr>
          <w:rStyle w:val="Emphasis"/>
          <w:rFonts w:ascii="Times New Roman" w:eastAsia="Calibri" w:hAnsi="Times New Roman"/>
          <w:b/>
          <w:i w:val="0"/>
        </w:rPr>
      </w:pPr>
      <w:r w:rsidRPr="00A25CA3">
        <w:rPr>
          <w:rStyle w:val="Emphasis"/>
          <w:rFonts w:ascii="Times New Roman" w:eastAsia="Calibri" w:hAnsi="Times New Roman"/>
          <w:b/>
          <w:i w:val="0"/>
        </w:rPr>
        <w:lastRenderedPageBreak/>
        <w:t>nolēma:</w:t>
      </w:r>
    </w:p>
    <w:p w14:paraId="5F0D36CC" w14:textId="77777777" w:rsidR="00E576CC" w:rsidRDefault="00E576CC" w:rsidP="00E576CC">
      <w:pPr>
        <w:spacing w:line="276" w:lineRule="auto"/>
        <w:ind w:firstLine="720"/>
        <w:contextualSpacing/>
        <w:jc w:val="both"/>
        <w:rPr>
          <w:lang w:val="x-none"/>
        </w:rPr>
      </w:pPr>
    </w:p>
    <w:p w14:paraId="18FC1950" w14:textId="77777777" w:rsidR="00700D8D" w:rsidRDefault="00700D8D" w:rsidP="00700D8D">
      <w:pPr>
        <w:spacing w:line="276" w:lineRule="auto"/>
        <w:ind w:firstLine="720"/>
        <w:contextualSpacing/>
        <w:jc w:val="both"/>
      </w:pPr>
      <w:r>
        <w:t xml:space="preserve">atstāt negrozītu </w:t>
      </w:r>
      <w:r w:rsidRPr="00C16E16">
        <w:t>Vidzemes rajona tiesas 2019.gada 13.sep</w:t>
      </w:r>
      <w:r>
        <w:t>t</w:t>
      </w:r>
      <w:r w:rsidR="0010071F">
        <w:t xml:space="preserve">embra lēmumu, bet prokurores Vinetas </w:t>
      </w:r>
      <w:proofErr w:type="spellStart"/>
      <w:r>
        <w:t>Žērbeles</w:t>
      </w:r>
      <w:proofErr w:type="spellEnd"/>
      <w:r>
        <w:t xml:space="preserve"> kasācijas protestu noraidīt.</w:t>
      </w:r>
    </w:p>
    <w:p w14:paraId="1A63C671" w14:textId="77777777" w:rsidR="00E576CC" w:rsidRDefault="00E576CC" w:rsidP="00E576CC">
      <w:pPr>
        <w:spacing w:line="276" w:lineRule="auto"/>
        <w:ind w:firstLine="720"/>
        <w:contextualSpacing/>
        <w:jc w:val="both"/>
      </w:pPr>
      <w:r>
        <w:t>Lēmums nav pārsūdzams.</w:t>
      </w:r>
    </w:p>
    <w:p w14:paraId="00C08F42" w14:textId="77777777" w:rsidR="004A53FB" w:rsidRDefault="004A53FB" w:rsidP="00E576CC">
      <w:pPr>
        <w:tabs>
          <w:tab w:val="left" w:pos="1050"/>
          <w:tab w:val="left" w:pos="4065"/>
          <w:tab w:val="left" w:pos="7035"/>
        </w:tabs>
        <w:spacing w:line="276" w:lineRule="auto"/>
        <w:jc w:val="both"/>
        <w:rPr>
          <w:lang w:val="x-none"/>
        </w:rPr>
      </w:pPr>
    </w:p>
    <w:p w14:paraId="76447EE9" w14:textId="77777777" w:rsidR="00E576CC" w:rsidRPr="004A53FB" w:rsidRDefault="004A53FB" w:rsidP="0082546E">
      <w:pPr>
        <w:tabs>
          <w:tab w:val="left" w:pos="4080"/>
          <w:tab w:val="left" w:pos="7560"/>
        </w:tabs>
        <w:spacing w:line="276" w:lineRule="auto"/>
        <w:ind w:firstLine="720"/>
        <w:contextualSpacing/>
        <w:jc w:val="both"/>
        <w:rPr>
          <w:color w:val="000000" w:themeColor="text1"/>
        </w:rPr>
      </w:pPr>
      <w:r>
        <w:t xml:space="preserve">    </w:t>
      </w:r>
    </w:p>
    <w:sectPr w:rsidR="00E576CC" w:rsidRPr="004A53FB" w:rsidSect="0082546E">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95208" w14:textId="77777777" w:rsidR="00A72856" w:rsidRDefault="00496595">
      <w:r>
        <w:separator/>
      </w:r>
    </w:p>
  </w:endnote>
  <w:endnote w:type="continuationSeparator" w:id="0">
    <w:p w14:paraId="685F8E5A" w14:textId="77777777" w:rsidR="00A72856" w:rsidRDefault="00496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1977054"/>
      <w:docPartObj>
        <w:docPartGallery w:val="Page Numbers (Bottom of Page)"/>
        <w:docPartUnique/>
      </w:docPartObj>
    </w:sdtPr>
    <w:sdtEndPr/>
    <w:sdtContent>
      <w:sdt>
        <w:sdtPr>
          <w:id w:val="-2116741713"/>
          <w:docPartObj>
            <w:docPartGallery w:val="Page Numbers (Top of Page)"/>
            <w:docPartUnique/>
          </w:docPartObj>
        </w:sdtPr>
        <w:sdtEndPr/>
        <w:sdtContent>
          <w:p w14:paraId="52FBD443" w14:textId="77777777" w:rsidR="002C63F0" w:rsidRPr="002C63F0" w:rsidRDefault="00D655D1">
            <w:pPr>
              <w:pStyle w:val="Footer"/>
              <w:jc w:val="center"/>
            </w:pPr>
            <w:r w:rsidRPr="002C63F0">
              <w:rPr>
                <w:bCs/>
              </w:rPr>
              <w:fldChar w:fldCharType="begin"/>
            </w:r>
            <w:r w:rsidRPr="002C63F0">
              <w:rPr>
                <w:bCs/>
              </w:rPr>
              <w:instrText xml:space="preserve"> PAGE </w:instrText>
            </w:r>
            <w:r w:rsidRPr="002C63F0">
              <w:rPr>
                <w:bCs/>
              </w:rPr>
              <w:fldChar w:fldCharType="separate"/>
            </w:r>
            <w:r w:rsidR="00B570A3">
              <w:rPr>
                <w:bCs/>
                <w:noProof/>
              </w:rPr>
              <w:t>3</w:t>
            </w:r>
            <w:r w:rsidRPr="002C63F0">
              <w:rPr>
                <w:bCs/>
              </w:rPr>
              <w:fldChar w:fldCharType="end"/>
            </w:r>
            <w:r w:rsidRPr="002C63F0">
              <w:t xml:space="preserve"> no </w:t>
            </w:r>
            <w:r w:rsidRPr="002C63F0">
              <w:rPr>
                <w:bCs/>
              </w:rPr>
              <w:fldChar w:fldCharType="begin"/>
            </w:r>
            <w:r w:rsidRPr="002C63F0">
              <w:rPr>
                <w:bCs/>
              </w:rPr>
              <w:instrText xml:space="preserve"> NUMPAGES  </w:instrText>
            </w:r>
            <w:r w:rsidRPr="002C63F0">
              <w:rPr>
                <w:bCs/>
              </w:rPr>
              <w:fldChar w:fldCharType="separate"/>
            </w:r>
            <w:r w:rsidR="00B570A3">
              <w:rPr>
                <w:bCs/>
                <w:noProof/>
              </w:rPr>
              <w:t>3</w:t>
            </w:r>
            <w:r w:rsidRPr="002C63F0">
              <w:rPr>
                <w:bCs/>
              </w:rPr>
              <w:fldChar w:fldCharType="end"/>
            </w:r>
          </w:p>
        </w:sdtContent>
      </w:sdt>
    </w:sdtContent>
  </w:sdt>
  <w:p w14:paraId="220AE256" w14:textId="77777777" w:rsidR="002C63F0" w:rsidRPr="002C63F0" w:rsidRDefault="00656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5A9BB" w14:textId="77777777" w:rsidR="00A72856" w:rsidRDefault="00496595">
      <w:r>
        <w:separator/>
      </w:r>
    </w:p>
  </w:footnote>
  <w:footnote w:type="continuationSeparator" w:id="0">
    <w:p w14:paraId="451CFCB9" w14:textId="77777777" w:rsidR="00A72856" w:rsidRDefault="00496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6CC"/>
    <w:rsid w:val="000114F9"/>
    <w:rsid w:val="000565D6"/>
    <w:rsid w:val="000D09E6"/>
    <w:rsid w:val="000E57E1"/>
    <w:rsid w:val="0010071F"/>
    <w:rsid w:val="00153B96"/>
    <w:rsid w:val="00174DB6"/>
    <w:rsid w:val="00182B95"/>
    <w:rsid w:val="002020A3"/>
    <w:rsid w:val="002257AC"/>
    <w:rsid w:val="002808A6"/>
    <w:rsid w:val="0031180C"/>
    <w:rsid w:val="00321D2B"/>
    <w:rsid w:val="00327D2C"/>
    <w:rsid w:val="003356F9"/>
    <w:rsid w:val="00336573"/>
    <w:rsid w:val="003967AA"/>
    <w:rsid w:val="00496595"/>
    <w:rsid w:val="004A53FB"/>
    <w:rsid w:val="004D0D4E"/>
    <w:rsid w:val="004D29AF"/>
    <w:rsid w:val="005345CC"/>
    <w:rsid w:val="005D093A"/>
    <w:rsid w:val="006051E8"/>
    <w:rsid w:val="0065665F"/>
    <w:rsid w:val="006C7CC7"/>
    <w:rsid w:val="00700D8D"/>
    <w:rsid w:val="007048EF"/>
    <w:rsid w:val="007066DD"/>
    <w:rsid w:val="00720BCC"/>
    <w:rsid w:val="007F0D03"/>
    <w:rsid w:val="0082546E"/>
    <w:rsid w:val="0087718E"/>
    <w:rsid w:val="00885F95"/>
    <w:rsid w:val="008A670C"/>
    <w:rsid w:val="008A7AAB"/>
    <w:rsid w:val="008C4A82"/>
    <w:rsid w:val="008F55D9"/>
    <w:rsid w:val="00980289"/>
    <w:rsid w:val="009F7C6C"/>
    <w:rsid w:val="00A35CF1"/>
    <w:rsid w:val="00A5544B"/>
    <w:rsid w:val="00A72856"/>
    <w:rsid w:val="00A81107"/>
    <w:rsid w:val="00AE5951"/>
    <w:rsid w:val="00B557D7"/>
    <w:rsid w:val="00B570A3"/>
    <w:rsid w:val="00B64855"/>
    <w:rsid w:val="00BA55E9"/>
    <w:rsid w:val="00C041E7"/>
    <w:rsid w:val="00C05675"/>
    <w:rsid w:val="00C16E16"/>
    <w:rsid w:val="00C72065"/>
    <w:rsid w:val="00CE42C9"/>
    <w:rsid w:val="00CF3492"/>
    <w:rsid w:val="00CF4948"/>
    <w:rsid w:val="00D442F7"/>
    <w:rsid w:val="00D655D1"/>
    <w:rsid w:val="00D84442"/>
    <w:rsid w:val="00DA204F"/>
    <w:rsid w:val="00DB1CE3"/>
    <w:rsid w:val="00DC37FF"/>
    <w:rsid w:val="00DF1030"/>
    <w:rsid w:val="00E24ACE"/>
    <w:rsid w:val="00E576CC"/>
    <w:rsid w:val="00E90445"/>
    <w:rsid w:val="00EB78A0"/>
    <w:rsid w:val="00EE677D"/>
    <w:rsid w:val="00F81C7B"/>
    <w:rsid w:val="00F93EE8"/>
    <w:rsid w:val="00FE67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64BF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6CC"/>
    <w:pPr>
      <w:spacing w:after="0" w:line="240" w:lineRule="auto"/>
    </w:pPr>
    <w:rPr>
      <w:rFonts w:eastAsia="Calibri" w:cs="Times New Roman"/>
      <w:szCs w:val="24"/>
    </w:rPr>
  </w:style>
  <w:style w:type="paragraph" w:styleId="Heading2">
    <w:name w:val="heading 2"/>
    <w:basedOn w:val="Normal"/>
    <w:next w:val="Normal"/>
    <w:link w:val="Heading2Char"/>
    <w:qFormat/>
    <w:rsid w:val="00E576C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576CC"/>
    <w:rPr>
      <w:rFonts w:ascii="Arial" w:eastAsia="Calibri" w:hAnsi="Arial" w:cs="Arial"/>
      <w:b/>
      <w:bCs/>
      <w:i/>
      <w:iCs/>
      <w:sz w:val="28"/>
      <w:szCs w:val="28"/>
    </w:rPr>
  </w:style>
  <w:style w:type="character" w:customStyle="1" w:styleId="BodyText2Char">
    <w:name w:val="Body Text 2 Char"/>
    <w:link w:val="BodyText2"/>
    <w:semiHidden/>
    <w:locked/>
    <w:rsid w:val="00E576CC"/>
    <w:rPr>
      <w:rFonts w:ascii="Garamond" w:eastAsia="Calibri" w:hAnsi="Garamond"/>
      <w:sz w:val="28"/>
      <w:szCs w:val="28"/>
    </w:rPr>
  </w:style>
  <w:style w:type="paragraph" w:styleId="BodyText2">
    <w:name w:val="Body Text 2"/>
    <w:basedOn w:val="Normal"/>
    <w:link w:val="BodyText2Char"/>
    <w:semiHidden/>
    <w:rsid w:val="00E576CC"/>
    <w:pPr>
      <w:jc w:val="right"/>
    </w:pPr>
    <w:rPr>
      <w:rFonts w:ascii="Garamond" w:hAnsi="Garamond" w:cstheme="minorBidi"/>
      <w:sz w:val="28"/>
      <w:szCs w:val="28"/>
    </w:rPr>
  </w:style>
  <w:style w:type="character" w:customStyle="1" w:styleId="BodyText2Char1">
    <w:name w:val="Body Text 2 Char1"/>
    <w:basedOn w:val="DefaultParagraphFont"/>
    <w:uiPriority w:val="99"/>
    <w:semiHidden/>
    <w:rsid w:val="00E576CC"/>
    <w:rPr>
      <w:rFonts w:eastAsia="Calibri" w:cs="Times New Roman"/>
      <w:szCs w:val="24"/>
    </w:rPr>
  </w:style>
  <w:style w:type="paragraph" w:styleId="Subtitle">
    <w:name w:val="Subtitle"/>
    <w:basedOn w:val="Normal"/>
    <w:next w:val="Normal"/>
    <w:link w:val="SubtitleChar"/>
    <w:qFormat/>
    <w:rsid w:val="00E576CC"/>
    <w:pPr>
      <w:spacing w:after="60"/>
      <w:jc w:val="center"/>
      <w:outlineLvl w:val="1"/>
    </w:pPr>
    <w:rPr>
      <w:rFonts w:ascii="Cambria" w:eastAsia="Times New Roman" w:hAnsi="Cambria"/>
      <w:lang w:val="x-none"/>
    </w:rPr>
  </w:style>
  <w:style w:type="character" w:customStyle="1" w:styleId="SubtitleChar">
    <w:name w:val="Subtitle Char"/>
    <w:basedOn w:val="DefaultParagraphFont"/>
    <w:link w:val="Subtitle"/>
    <w:rsid w:val="00E576CC"/>
    <w:rPr>
      <w:rFonts w:ascii="Cambria" w:eastAsia="Times New Roman" w:hAnsi="Cambria" w:cs="Times New Roman"/>
      <w:szCs w:val="24"/>
      <w:lang w:val="x-none"/>
    </w:rPr>
  </w:style>
  <w:style w:type="character" w:styleId="Emphasis">
    <w:name w:val="Emphasis"/>
    <w:qFormat/>
    <w:rsid w:val="00E576CC"/>
    <w:rPr>
      <w:i/>
      <w:iCs/>
    </w:rPr>
  </w:style>
  <w:style w:type="paragraph" w:styleId="NoSpacing">
    <w:name w:val="No Spacing"/>
    <w:uiPriority w:val="1"/>
    <w:qFormat/>
    <w:rsid w:val="00E576CC"/>
    <w:pPr>
      <w:spacing w:after="0" w:line="240" w:lineRule="auto"/>
    </w:pPr>
  </w:style>
  <w:style w:type="table" w:styleId="TableGrid">
    <w:name w:val="Table Grid"/>
    <w:basedOn w:val="TableNormal"/>
    <w:uiPriority w:val="39"/>
    <w:rsid w:val="00E576C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76CC"/>
    <w:pPr>
      <w:tabs>
        <w:tab w:val="center" w:pos="4153"/>
        <w:tab w:val="right" w:pos="8306"/>
      </w:tabs>
    </w:pPr>
  </w:style>
  <w:style w:type="character" w:customStyle="1" w:styleId="HeaderChar">
    <w:name w:val="Header Char"/>
    <w:basedOn w:val="DefaultParagraphFont"/>
    <w:link w:val="Header"/>
    <w:uiPriority w:val="99"/>
    <w:rsid w:val="00E576CC"/>
    <w:rPr>
      <w:rFonts w:eastAsia="Calibri" w:cs="Times New Roman"/>
      <w:szCs w:val="24"/>
    </w:rPr>
  </w:style>
  <w:style w:type="paragraph" w:styleId="Footer">
    <w:name w:val="footer"/>
    <w:basedOn w:val="Normal"/>
    <w:link w:val="FooterChar"/>
    <w:uiPriority w:val="99"/>
    <w:unhideWhenUsed/>
    <w:rsid w:val="00E576CC"/>
    <w:pPr>
      <w:tabs>
        <w:tab w:val="center" w:pos="4153"/>
        <w:tab w:val="right" w:pos="8306"/>
      </w:tabs>
    </w:pPr>
  </w:style>
  <w:style w:type="character" w:customStyle="1" w:styleId="FooterChar">
    <w:name w:val="Footer Char"/>
    <w:basedOn w:val="DefaultParagraphFont"/>
    <w:link w:val="Footer"/>
    <w:uiPriority w:val="99"/>
    <w:rsid w:val="00E576CC"/>
    <w:rPr>
      <w:rFonts w:eastAsia="Calibri" w:cs="Times New Roman"/>
      <w:szCs w:val="24"/>
    </w:rPr>
  </w:style>
  <w:style w:type="paragraph" w:styleId="BalloonText">
    <w:name w:val="Balloon Text"/>
    <w:basedOn w:val="Normal"/>
    <w:link w:val="BalloonTextChar"/>
    <w:uiPriority w:val="99"/>
    <w:semiHidden/>
    <w:unhideWhenUsed/>
    <w:rsid w:val="004A53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3FB"/>
    <w:rPr>
      <w:rFonts w:ascii="Segoe UI" w:eastAsia="Calibri" w:hAnsi="Segoe UI" w:cs="Segoe UI"/>
      <w:sz w:val="18"/>
      <w:szCs w:val="18"/>
    </w:rPr>
  </w:style>
  <w:style w:type="character" w:styleId="Hyperlink">
    <w:name w:val="Hyperlink"/>
    <w:basedOn w:val="DefaultParagraphFont"/>
    <w:uiPriority w:val="99"/>
    <w:unhideWhenUsed/>
    <w:rsid w:val="0082546E"/>
    <w:rPr>
      <w:color w:val="0563C1" w:themeColor="hyperlink"/>
      <w:u w:val="single"/>
    </w:rPr>
  </w:style>
  <w:style w:type="character" w:styleId="UnresolvedMention">
    <w:name w:val="Unresolved Mention"/>
    <w:basedOn w:val="DefaultParagraphFont"/>
    <w:uiPriority w:val="99"/>
    <w:semiHidden/>
    <w:unhideWhenUsed/>
    <w:rsid w:val="00825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396076.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5537</Words>
  <Characters>3157</Characters>
  <Application>Microsoft Office Word</Application>
  <DocSecurity>0</DocSecurity>
  <Lines>26</Lines>
  <Paragraphs>17</Paragraphs>
  <ScaleCrop>false</ScaleCrop>
  <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2020-01-21T13:04:00Z</dcterms:created>
  <dcterms:modified xsi:type="dcterms:W3CDTF">2020-01-21T13:04:00Z</dcterms:modified>
</cp:coreProperties>
</file>