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ABE54" w14:textId="67DE4315" w:rsidR="00E56854" w:rsidRDefault="008E41CA" w:rsidP="008E41CA">
      <w:pPr>
        <w:spacing w:line="276" w:lineRule="auto"/>
        <w:jc w:val="both"/>
        <w:rPr>
          <w:b/>
          <w:bCs/>
        </w:rPr>
      </w:pPr>
      <w:r>
        <w:rPr>
          <w:b/>
          <w:bCs/>
        </w:rPr>
        <w:t>Brīdinājuma par koģenerācijas elektrostacijas neatbilstību normatīvo aktu prasībām tiesiskā d</w:t>
      </w:r>
      <w:bookmarkStart w:id="0" w:name="_GoBack"/>
      <w:bookmarkEnd w:id="0"/>
      <w:r>
        <w:rPr>
          <w:b/>
          <w:bCs/>
        </w:rPr>
        <w:t>aba</w:t>
      </w:r>
    </w:p>
    <w:p w14:paraId="54C05857" w14:textId="77777777" w:rsidR="008E41CA" w:rsidRDefault="008E41CA" w:rsidP="00804358">
      <w:pPr>
        <w:spacing w:line="276" w:lineRule="auto"/>
        <w:jc w:val="center"/>
        <w:rPr>
          <w:b/>
        </w:rPr>
      </w:pPr>
    </w:p>
    <w:p w14:paraId="66280770" w14:textId="08C19505" w:rsidR="00804358" w:rsidRDefault="00804358" w:rsidP="00804358">
      <w:pPr>
        <w:spacing w:line="276" w:lineRule="auto"/>
        <w:jc w:val="center"/>
        <w:rPr>
          <w:b/>
        </w:rPr>
      </w:pPr>
      <w:r w:rsidRPr="0093161F">
        <w:rPr>
          <w:b/>
        </w:rPr>
        <w:t>Latvijas Republikas Senāt</w:t>
      </w:r>
      <w:r w:rsidR="0093161F">
        <w:rPr>
          <w:b/>
        </w:rPr>
        <w:t>a</w:t>
      </w:r>
    </w:p>
    <w:p w14:paraId="6DE936D2" w14:textId="019EE924" w:rsidR="0093161F" w:rsidRDefault="0093161F" w:rsidP="00804358">
      <w:pPr>
        <w:spacing w:line="276" w:lineRule="auto"/>
        <w:jc w:val="center"/>
        <w:rPr>
          <w:b/>
        </w:rPr>
      </w:pPr>
      <w:r>
        <w:rPr>
          <w:b/>
        </w:rPr>
        <w:t>Administratīvo lietu departamenta</w:t>
      </w:r>
    </w:p>
    <w:p w14:paraId="4862A880" w14:textId="12E8504E" w:rsidR="0093161F" w:rsidRPr="0093161F" w:rsidRDefault="0093161F" w:rsidP="00804358">
      <w:pPr>
        <w:spacing w:line="276" w:lineRule="auto"/>
        <w:jc w:val="center"/>
        <w:rPr>
          <w:b/>
        </w:rPr>
      </w:pPr>
      <w:proofErr w:type="gramStart"/>
      <w:r>
        <w:rPr>
          <w:b/>
        </w:rPr>
        <w:t>2020.gada</w:t>
      </w:r>
      <w:proofErr w:type="gramEnd"/>
      <w:r>
        <w:rPr>
          <w:b/>
        </w:rPr>
        <w:t xml:space="preserve"> 18.februāra</w:t>
      </w:r>
    </w:p>
    <w:p w14:paraId="28B2540B" w14:textId="48D6BED9" w:rsidR="00804358" w:rsidRDefault="00804358" w:rsidP="00804358">
      <w:pPr>
        <w:spacing w:line="276" w:lineRule="auto"/>
        <w:jc w:val="center"/>
        <w:rPr>
          <w:b/>
        </w:rPr>
      </w:pPr>
      <w:r w:rsidRPr="0093161F">
        <w:rPr>
          <w:b/>
        </w:rPr>
        <w:t>LĒMUMS</w:t>
      </w:r>
    </w:p>
    <w:p w14:paraId="71645529" w14:textId="043FC395" w:rsidR="0093161F" w:rsidRDefault="0093161F" w:rsidP="00804358">
      <w:pPr>
        <w:spacing w:line="276" w:lineRule="auto"/>
        <w:jc w:val="center"/>
        <w:rPr>
          <w:b/>
        </w:rPr>
      </w:pPr>
      <w:r>
        <w:rPr>
          <w:b/>
        </w:rPr>
        <w:t>Lieta Nr. 670018919, SKA-840/2020</w:t>
      </w:r>
    </w:p>
    <w:p w14:paraId="1D3EDFF5" w14:textId="0A2C9EF5" w:rsidR="0093161F" w:rsidRPr="0093161F" w:rsidRDefault="00EF7C5A" w:rsidP="00804358">
      <w:pPr>
        <w:spacing w:line="276" w:lineRule="auto"/>
        <w:jc w:val="center"/>
        <w:rPr>
          <w:b/>
        </w:rPr>
      </w:pPr>
      <w:hyperlink r:id="rId7" w:history="1">
        <w:r w:rsidR="0093161F" w:rsidRPr="0093161F">
          <w:rPr>
            <w:rStyle w:val="Hyperlink"/>
          </w:rPr>
          <w:t>ECLI:LV:AT:2020:0218.SKA084020.3.L</w:t>
        </w:r>
      </w:hyperlink>
    </w:p>
    <w:p w14:paraId="597092AB" w14:textId="77777777" w:rsidR="00804358" w:rsidRPr="0073348C" w:rsidRDefault="00804358" w:rsidP="00804358">
      <w:pPr>
        <w:spacing w:line="276" w:lineRule="auto"/>
        <w:ind w:firstLine="567"/>
        <w:jc w:val="both"/>
      </w:pPr>
    </w:p>
    <w:p w14:paraId="4EB79F75" w14:textId="6F8C5FC5" w:rsidR="00804358" w:rsidRPr="0073348C" w:rsidRDefault="00804358" w:rsidP="00804358">
      <w:pPr>
        <w:spacing w:line="276" w:lineRule="auto"/>
        <w:ind w:firstLine="567"/>
        <w:jc w:val="both"/>
      </w:pPr>
      <w:r w:rsidRPr="0073348C">
        <w:t>Tiesa šādā sastāvā: senator</w:t>
      </w:r>
      <w:r w:rsidR="005812F3" w:rsidRPr="0073348C">
        <w:t>es Ieva Višķere,</w:t>
      </w:r>
      <w:r w:rsidR="00545936" w:rsidRPr="0073348C">
        <w:t xml:space="preserve"> </w:t>
      </w:r>
      <w:r w:rsidR="00577356" w:rsidRPr="0073348C">
        <w:t>Anita Kovaļevska</w:t>
      </w:r>
      <w:r w:rsidR="00545936" w:rsidRPr="0073348C">
        <w:t xml:space="preserve">, </w:t>
      </w:r>
      <w:r w:rsidR="00577356" w:rsidRPr="0073348C">
        <w:t>Līvija Slica</w:t>
      </w:r>
    </w:p>
    <w:p w14:paraId="756D3693" w14:textId="77777777" w:rsidR="00F43FAD" w:rsidRPr="0073348C" w:rsidRDefault="00F43FAD" w:rsidP="001C1339">
      <w:pPr>
        <w:tabs>
          <w:tab w:val="left" w:pos="540"/>
          <w:tab w:val="left" w:pos="3240"/>
        </w:tabs>
        <w:spacing w:line="276" w:lineRule="auto"/>
        <w:ind w:firstLine="1134"/>
        <w:jc w:val="both"/>
      </w:pPr>
    </w:p>
    <w:p w14:paraId="79D394E4" w14:textId="17A61085" w:rsidR="003047F5" w:rsidRPr="0073348C" w:rsidRDefault="00E70B6A" w:rsidP="001C1339">
      <w:pPr>
        <w:spacing w:line="276" w:lineRule="auto"/>
        <w:ind w:firstLine="567"/>
        <w:jc w:val="both"/>
      </w:pPr>
      <w:r w:rsidRPr="0073348C">
        <w:t xml:space="preserve">rakstveida procesā izskatīja </w:t>
      </w:r>
      <w:r w:rsidR="00577356" w:rsidRPr="0073348C">
        <w:t>SIA</w:t>
      </w:r>
      <w:r w:rsidR="005812F3" w:rsidRPr="0073348C">
        <w:t xml:space="preserve"> „</w:t>
      </w:r>
      <w:r w:rsidR="00577356" w:rsidRPr="0073348C">
        <w:t>Brocēnu enerģija</w:t>
      </w:r>
      <w:r w:rsidR="005812F3" w:rsidRPr="0073348C">
        <w:t>”</w:t>
      </w:r>
      <w:r w:rsidR="00EE1308" w:rsidRPr="0073348C">
        <w:t xml:space="preserve"> blakus sūdzību par </w:t>
      </w:r>
      <w:r w:rsidR="005812F3" w:rsidRPr="0073348C">
        <w:t>Administratīvās rajona tiesas tiesneša</w:t>
      </w:r>
      <w:r w:rsidR="001A5F75" w:rsidRPr="0073348C">
        <w:t xml:space="preserve"> </w:t>
      </w:r>
      <w:proofErr w:type="gramStart"/>
      <w:r w:rsidR="001A5F75" w:rsidRPr="0073348C">
        <w:t>2019.gada</w:t>
      </w:r>
      <w:proofErr w:type="gramEnd"/>
      <w:r w:rsidR="001A5F75" w:rsidRPr="0073348C">
        <w:t xml:space="preserve"> 27.novembra</w:t>
      </w:r>
      <w:r w:rsidR="005812F3" w:rsidRPr="0073348C">
        <w:t xml:space="preserve"> lēmumu, ar kuru atteikts pieņemt </w:t>
      </w:r>
      <w:r w:rsidR="00577356" w:rsidRPr="0073348C">
        <w:t>SIA</w:t>
      </w:r>
      <w:r w:rsidR="006417E9" w:rsidRPr="0073348C">
        <w:t xml:space="preserve"> „</w:t>
      </w:r>
      <w:r w:rsidR="00577356" w:rsidRPr="0073348C">
        <w:t>Brocēnu enerģija</w:t>
      </w:r>
      <w:r w:rsidR="006417E9" w:rsidRPr="0073348C">
        <w:t>” pieteikumu</w:t>
      </w:r>
      <w:r w:rsidR="005812F3" w:rsidRPr="0073348C">
        <w:t xml:space="preserve">. </w:t>
      </w:r>
    </w:p>
    <w:p w14:paraId="4503F9D2" w14:textId="77777777" w:rsidR="00A6596A" w:rsidRPr="0073348C" w:rsidRDefault="00A6596A" w:rsidP="001C1339">
      <w:pPr>
        <w:spacing w:line="276" w:lineRule="auto"/>
        <w:ind w:firstLine="567"/>
        <w:jc w:val="both"/>
      </w:pPr>
    </w:p>
    <w:p w14:paraId="4493C508" w14:textId="77777777" w:rsidR="003047F5" w:rsidRPr="0073348C" w:rsidRDefault="003047F5" w:rsidP="001C1339">
      <w:pPr>
        <w:spacing w:line="276" w:lineRule="auto"/>
        <w:jc w:val="center"/>
        <w:rPr>
          <w:b/>
        </w:rPr>
      </w:pPr>
      <w:r w:rsidRPr="0073348C">
        <w:rPr>
          <w:b/>
        </w:rPr>
        <w:t>Aprakstošā daļa</w:t>
      </w:r>
    </w:p>
    <w:p w14:paraId="73FA9247" w14:textId="77777777" w:rsidR="003047F5" w:rsidRPr="0073348C" w:rsidRDefault="003047F5" w:rsidP="001C1339">
      <w:pPr>
        <w:spacing w:line="276" w:lineRule="auto"/>
        <w:ind w:firstLine="567"/>
        <w:jc w:val="both"/>
      </w:pPr>
    </w:p>
    <w:p w14:paraId="55CDA53B" w14:textId="7D1A57BB" w:rsidR="00095035" w:rsidRPr="0073348C" w:rsidRDefault="003047F5" w:rsidP="005A5708">
      <w:pPr>
        <w:spacing w:line="276" w:lineRule="auto"/>
        <w:ind w:firstLine="567"/>
        <w:jc w:val="both"/>
      </w:pPr>
      <w:r w:rsidRPr="0073348C">
        <w:t>[1] </w:t>
      </w:r>
      <w:r w:rsidR="00095035" w:rsidRPr="0073348C">
        <w:t xml:space="preserve">Pieteicējai SIA „Brocēnu enerģija” ir piešķirtas tiesības pārdot koģenerācijas </w:t>
      </w:r>
      <w:r w:rsidR="0035123E">
        <w:t>elektro</w:t>
      </w:r>
      <w:r w:rsidR="00095035" w:rsidRPr="0073348C">
        <w:t>stacijā Skolas ielā 21, Brocēnos, Brocēnu novadā, saražoto elektroenerģiju obligātā iepirkuma ietvaros.</w:t>
      </w:r>
    </w:p>
    <w:p w14:paraId="4748A180" w14:textId="22008D55" w:rsidR="00095035" w:rsidRPr="0071287E" w:rsidRDefault="00095035" w:rsidP="005A5708">
      <w:pPr>
        <w:spacing w:line="276" w:lineRule="auto"/>
        <w:ind w:firstLine="567"/>
        <w:jc w:val="both"/>
      </w:pPr>
      <w:proofErr w:type="gramStart"/>
      <w:r w:rsidRPr="0073348C">
        <w:t>2018.gada</w:t>
      </w:r>
      <w:proofErr w:type="gramEnd"/>
      <w:r w:rsidRPr="0073348C">
        <w:t xml:space="preserve"> 5.decembrī </w:t>
      </w:r>
      <w:r w:rsidR="009C7E5E" w:rsidRPr="0073348C">
        <w:t>publiskais tirgotājs</w:t>
      </w:r>
      <w:r w:rsidRPr="0073348C">
        <w:t xml:space="preserve"> veica pārbaudi pieteicējas koģenerācijas </w:t>
      </w:r>
      <w:r w:rsidR="0035123E">
        <w:t>elektro</w:t>
      </w:r>
      <w:r w:rsidRPr="0073348C">
        <w:t>stacijā</w:t>
      </w:r>
      <w:r w:rsidR="003000CB" w:rsidRPr="0071287E">
        <w:t xml:space="preserve"> un</w:t>
      </w:r>
      <w:r w:rsidRPr="0071287E">
        <w:t xml:space="preserve"> konstatēja, ka</w:t>
      </w:r>
      <w:r w:rsidR="007F620E" w:rsidRPr="0071287E">
        <w:t xml:space="preserve"> koģener</w:t>
      </w:r>
      <w:r w:rsidR="008F201E" w:rsidRPr="0071287E">
        <w:t>ācijas stacijā</w:t>
      </w:r>
      <w:r w:rsidR="007F620E" w:rsidRPr="0071287E">
        <w:t xml:space="preserve"> esošajiem siltumenerģijas skaitītāj</w:t>
      </w:r>
      <w:r w:rsidR="007057DD">
        <w:t>ie</w:t>
      </w:r>
      <w:r w:rsidR="007F620E" w:rsidRPr="0071287E">
        <w:t>m nav veikta atkār</w:t>
      </w:r>
      <w:r w:rsidR="00F771D0">
        <w:t>t</w:t>
      </w:r>
      <w:r w:rsidR="007F620E" w:rsidRPr="0071287E">
        <w:t xml:space="preserve">ota verificēšana, plūsmas devējiem un temperatūras sensoriem nav identificējams </w:t>
      </w:r>
      <w:proofErr w:type="spellStart"/>
      <w:r w:rsidR="007F620E" w:rsidRPr="0071287E">
        <w:t>aizsargzīmog</w:t>
      </w:r>
      <w:r w:rsidR="008F201E" w:rsidRPr="0071287E">
        <w:t>ojums</w:t>
      </w:r>
      <w:proofErr w:type="spellEnd"/>
      <w:r w:rsidR="008F201E" w:rsidRPr="0071287E">
        <w:t xml:space="preserve">, kā arī nav dokumentāri apliecinājumi par </w:t>
      </w:r>
      <w:proofErr w:type="spellStart"/>
      <w:r w:rsidR="008F201E" w:rsidRPr="0071287E">
        <w:t>aizsargzīmogojumu</w:t>
      </w:r>
      <w:proofErr w:type="spellEnd"/>
      <w:r w:rsidR="008F201E" w:rsidRPr="0071287E">
        <w:t xml:space="preserve"> un redzamā vietā nav izvietotas elektroenerģijas, siltumenerģijas un kurināmā padeves shēmas.</w:t>
      </w:r>
    </w:p>
    <w:p w14:paraId="00F6706F" w14:textId="2A9037F7" w:rsidR="00095035" w:rsidRPr="0071287E" w:rsidRDefault="00095035" w:rsidP="005A5708">
      <w:pPr>
        <w:spacing w:line="276" w:lineRule="auto"/>
        <w:ind w:firstLine="567"/>
        <w:jc w:val="both"/>
      </w:pPr>
      <w:r w:rsidRPr="0071287E">
        <w:t>Ievērojot pārbaudē konstatēto, Ekonomikas ministrija</w:t>
      </w:r>
      <w:r w:rsidR="009C7E5E" w:rsidRPr="0071287E">
        <w:t xml:space="preserve"> (turpmāk – ministrija)</w:t>
      </w:r>
      <w:r w:rsidRPr="0071287E">
        <w:t xml:space="preserve"> </w:t>
      </w:r>
      <w:proofErr w:type="gramStart"/>
      <w:r w:rsidR="002B2AA2" w:rsidRPr="0071287E">
        <w:t>2019.gada</w:t>
      </w:r>
      <w:proofErr w:type="gramEnd"/>
      <w:r w:rsidR="002B2AA2" w:rsidRPr="0071287E">
        <w:t xml:space="preserve"> 9.oktobrī nosūtīja pieteicējai brīdinājumu par </w:t>
      </w:r>
      <w:r w:rsidR="009C7E5E" w:rsidRPr="0071287E">
        <w:t>uzstādīto mēraparātu vai mērlīdzekļu sistēmu neatbilstību</w:t>
      </w:r>
      <w:r w:rsidR="002B2AA2" w:rsidRPr="0071287E">
        <w:t>, bet 2019.gada 10.oktobrī – brīdinājumu par</w:t>
      </w:r>
      <w:r w:rsidR="009C7E5E" w:rsidRPr="0071287E">
        <w:t xml:space="preserve"> koģenerācijas elektrostacijas darbības neatbilstību </w:t>
      </w:r>
      <w:r w:rsidR="003000CB" w:rsidRPr="0071287E">
        <w:t>prasīb</w:t>
      </w:r>
      <w:r w:rsidR="0055679F" w:rsidRPr="0071287E">
        <w:t>ām</w:t>
      </w:r>
      <w:r w:rsidR="003000CB" w:rsidRPr="0071287E">
        <w:t xml:space="preserve"> par </w:t>
      </w:r>
      <w:r w:rsidR="0055679F" w:rsidRPr="0071287E">
        <w:t>elektroenerģijas, siltumenerģijas un kurināmā padeves shēmas</w:t>
      </w:r>
      <w:r w:rsidR="0055679F" w:rsidRPr="0073348C">
        <w:t xml:space="preserve"> izvietošanu </w:t>
      </w:r>
      <w:r w:rsidR="00DC6328" w:rsidRPr="0071287E">
        <w:t>(turpmāk kopā – brīdinājumi)</w:t>
      </w:r>
      <w:r w:rsidR="00202013" w:rsidRPr="0071287E">
        <w:t xml:space="preserve">. Minētajos brīdinājumos </w:t>
      </w:r>
      <w:r w:rsidR="00F771D0">
        <w:t xml:space="preserve">pieteicējai </w:t>
      </w:r>
      <w:r w:rsidR="00202013" w:rsidRPr="0071287E">
        <w:t xml:space="preserve">lūgts </w:t>
      </w:r>
      <w:r w:rsidR="009C7E5E" w:rsidRPr="0071287E">
        <w:t>iesniegt ministrijā apliecinājumu par norādīto neatbilstību novēršanu.</w:t>
      </w:r>
    </w:p>
    <w:p w14:paraId="3AD84525" w14:textId="2EED86E6" w:rsidR="00376F36" w:rsidRPr="0071287E" w:rsidRDefault="00725779" w:rsidP="00602CC0">
      <w:pPr>
        <w:spacing w:line="276" w:lineRule="auto"/>
        <w:ind w:firstLine="567"/>
        <w:jc w:val="both"/>
      </w:pPr>
      <w:r w:rsidRPr="0071287E">
        <w:t>Pieteicēja</w:t>
      </w:r>
      <w:r w:rsidR="00202013" w:rsidRPr="0071287E">
        <w:t xml:space="preserve"> prasītos apliecinājumus ir iesniegusi.</w:t>
      </w:r>
      <w:r w:rsidR="000B233E">
        <w:t xml:space="preserve"> </w:t>
      </w:r>
      <w:r w:rsidR="00202013" w:rsidRPr="0071287E">
        <w:t>Vienlaikus, uzskatot, ka brīdinājumos ministrija kļūdaini norādījusi uz neatbilstībām, pieteicēja</w:t>
      </w:r>
      <w:r w:rsidR="00497CB6" w:rsidRPr="0071287E">
        <w:t xml:space="preserve"> vērsās Administratīvajā rajona tiesā ar pieteikumu, </w:t>
      </w:r>
      <w:r w:rsidR="00C14E0C" w:rsidRPr="0071287E">
        <w:t>kurā lūgts</w:t>
      </w:r>
      <w:r w:rsidR="002D2E3F" w:rsidRPr="0071287E">
        <w:t xml:space="preserve"> </w:t>
      </w:r>
      <w:r w:rsidR="00202013" w:rsidRPr="0071287E">
        <w:t xml:space="preserve">brīdinājumus </w:t>
      </w:r>
      <w:r w:rsidR="002D2E3F" w:rsidRPr="0071287E">
        <w:t>atcelt</w:t>
      </w:r>
      <w:r w:rsidR="00202013" w:rsidRPr="0071287E">
        <w:t xml:space="preserve">. </w:t>
      </w:r>
    </w:p>
    <w:p w14:paraId="19F46CA9" w14:textId="77777777" w:rsidR="00C14E0C" w:rsidRPr="0071287E" w:rsidRDefault="00C14E0C" w:rsidP="007273C0">
      <w:pPr>
        <w:spacing w:line="276" w:lineRule="auto"/>
        <w:jc w:val="both"/>
      </w:pPr>
    </w:p>
    <w:p w14:paraId="349868F3" w14:textId="1216D3FE" w:rsidR="009603D5" w:rsidRPr="0071287E" w:rsidRDefault="00497CB6" w:rsidP="005A5708">
      <w:pPr>
        <w:spacing w:line="276" w:lineRule="auto"/>
        <w:ind w:firstLine="567"/>
        <w:jc w:val="both"/>
      </w:pPr>
      <w:r w:rsidRPr="0071287E">
        <w:t>[</w:t>
      </w:r>
      <w:r w:rsidR="00663059">
        <w:t>2</w:t>
      </w:r>
      <w:r w:rsidR="005C6DEE">
        <w:t>] </w:t>
      </w:r>
      <w:r w:rsidR="003D6715" w:rsidRPr="0071287E">
        <w:t xml:space="preserve">Administratīvās rajona tiesas tiesnesis ar </w:t>
      </w:r>
      <w:proofErr w:type="gramStart"/>
      <w:r w:rsidR="003D6715" w:rsidRPr="0071287E">
        <w:t>2019.gada</w:t>
      </w:r>
      <w:proofErr w:type="gramEnd"/>
      <w:r w:rsidR="003D6715" w:rsidRPr="0071287E">
        <w:t xml:space="preserve"> </w:t>
      </w:r>
      <w:r w:rsidR="007273C0" w:rsidRPr="0071287E">
        <w:t>27.novembra</w:t>
      </w:r>
      <w:r w:rsidR="003D6715" w:rsidRPr="0071287E">
        <w:t xml:space="preserve"> lēmumu </w:t>
      </w:r>
      <w:r w:rsidR="009603D5" w:rsidRPr="0071287E">
        <w:t xml:space="preserve">atteica pieņemt pieteicējas pieteikumu. </w:t>
      </w:r>
    </w:p>
    <w:p w14:paraId="2DA8AF97" w14:textId="6BF19D2D" w:rsidR="005B39A8" w:rsidRPr="0071287E" w:rsidRDefault="005B39A8" w:rsidP="005A5708">
      <w:pPr>
        <w:spacing w:line="276" w:lineRule="auto"/>
        <w:ind w:firstLine="567"/>
        <w:jc w:val="both"/>
      </w:pPr>
      <w:r w:rsidRPr="0071287E">
        <w:t xml:space="preserve">Lēmumā tiesnesis norādīja, ka brīdinājumi ir </w:t>
      </w:r>
      <w:proofErr w:type="spellStart"/>
      <w:r w:rsidRPr="0071287E">
        <w:t>starplēmumi</w:t>
      </w:r>
      <w:proofErr w:type="spellEnd"/>
      <w:r w:rsidRPr="0071287E">
        <w:t xml:space="preserve">, jo tie nenodibina, negroza, nekonstatē vai neizbeidz konkrētas tiesiskās attiecības </w:t>
      </w:r>
      <w:r w:rsidR="007057DD">
        <w:t>un</w:t>
      </w:r>
      <w:r w:rsidRPr="0071287E">
        <w:t xml:space="preserve"> nekonstatē faktisko situāciju</w:t>
      </w:r>
      <w:r w:rsidR="007057DD">
        <w:t>. B</w:t>
      </w:r>
      <w:r w:rsidRPr="0071287E">
        <w:t>rīdinājumi tikai vērš pieteicējas uzmanību uz apstākli, ka</w:t>
      </w:r>
      <w:r w:rsidR="00602CC0" w:rsidRPr="0071287E">
        <w:t>,</w:t>
      </w:r>
      <w:r w:rsidRPr="0071287E">
        <w:t xml:space="preserve"> </w:t>
      </w:r>
      <w:r w:rsidR="009C7E5E" w:rsidRPr="0071287E">
        <w:t xml:space="preserve">ministrijas </w:t>
      </w:r>
      <w:r w:rsidRPr="0071287E">
        <w:t>ieskatā</w:t>
      </w:r>
      <w:r w:rsidR="00602CC0" w:rsidRPr="0071287E">
        <w:t>,</w:t>
      </w:r>
      <w:r w:rsidRPr="0071287E">
        <w:t xml:space="preserve"> pieteicēja savā darbībā ne</w:t>
      </w:r>
      <w:r w:rsidR="005C1BFC" w:rsidRPr="0071287E">
        <w:t xml:space="preserve">bija </w:t>
      </w:r>
      <w:r w:rsidRPr="0071287E">
        <w:t>ievēro</w:t>
      </w:r>
      <w:r w:rsidR="005C1BFC" w:rsidRPr="0071287E">
        <w:t>jusi</w:t>
      </w:r>
      <w:r w:rsidRPr="0071287E">
        <w:t xml:space="preserve"> visas uz pieteicēju attiecināmās </w:t>
      </w:r>
      <w:r w:rsidR="00602CC0" w:rsidRPr="0071287E">
        <w:t xml:space="preserve">Ministru kabineta </w:t>
      </w:r>
      <w:proofErr w:type="gramStart"/>
      <w:r w:rsidR="00602CC0" w:rsidRPr="0071287E">
        <w:t>2009.gada</w:t>
      </w:r>
      <w:proofErr w:type="gramEnd"/>
      <w:r w:rsidR="00602CC0" w:rsidRPr="0071287E">
        <w:t xml:space="preserve"> 10.marta noteikumu Nr. 221 „Noteikumi par elektroenerģijas ražošanu un cenu noteikšanu, ražojot elektroenerģiju koģenerācijā” (turpmāk – noteikumi Nr.</w:t>
      </w:r>
      <w:r w:rsidR="00F771D0">
        <w:t> </w:t>
      </w:r>
      <w:r w:rsidR="00602CC0" w:rsidRPr="0071287E">
        <w:t>221)</w:t>
      </w:r>
      <w:r w:rsidRPr="0071287E">
        <w:t xml:space="preserve"> prasības.</w:t>
      </w:r>
      <w:r w:rsidR="00387B27" w:rsidRPr="0071287E">
        <w:t xml:space="preserve"> Ties</w:t>
      </w:r>
      <w:r w:rsidR="00A972D2">
        <w:t>nesis</w:t>
      </w:r>
      <w:r w:rsidR="00387B27" w:rsidRPr="0071287E">
        <w:t xml:space="preserve"> </w:t>
      </w:r>
      <w:r w:rsidR="00BD63C2" w:rsidRPr="0071287E">
        <w:t xml:space="preserve">arīdzan </w:t>
      </w:r>
      <w:r w:rsidR="00A972D2" w:rsidRPr="0071287E">
        <w:t>norādīj</w:t>
      </w:r>
      <w:r w:rsidR="00A972D2">
        <w:t>is</w:t>
      </w:r>
      <w:r w:rsidR="00BD63C2" w:rsidRPr="0071287E">
        <w:t>, ka brīdinājumi paši par sevi neuzliek ne pienākumus, ne arī ietekmē pieteicējas tiesības, jo prasības, kas pieteicējai jāizpilda, nosaka ārējs normatīvais akts</w:t>
      </w:r>
      <w:r w:rsidR="00602CC0" w:rsidRPr="0071287E">
        <w:t>,</w:t>
      </w:r>
      <w:r w:rsidR="00BD63C2" w:rsidRPr="0071287E">
        <w:t xml:space="preserve"> un līdz ar to </w:t>
      </w:r>
      <w:r w:rsidR="00BD63C2" w:rsidRPr="0071287E">
        <w:lastRenderedPageBreak/>
        <w:t>brīdinājumi tiesiskas un faktiskas sekas</w:t>
      </w:r>
      <w:r w:rsidR="00CE09D2" w:rsidRPr="0071287E">
        <w:t xml:space="preserve"> pieteicējai nerada. </w:t>
      </w:r>
      <w:r w:rsidR="00602CC0" w:rsidRPr="0071287E">
        <w:t>Savukārt</w:t>
      </w:r>
      <w:r w:rsidR="00CE09D2" w:rsidRPr="0071287E">
        <w:t xml:space="preserve"> </w:t>
      </w:r>
      <w:r w:rsidR="00602CC0" w:rsidRPr="0071287E">
        <w:t xml:space="preserve">nākotnes </w:t>
      </w:r>
      <w:r w:rsidR="00BD63C2" w:rsidRPr="0071287E">
        <w:t>iespējamība, ka var tikt pieņemts lēmums par pieteicējai piešķir</w:t>
      </w:r>
      <w:r w:rsidR="00CE09D2" w:rsidRPr="0071287E">
        <w:t>to</w:t>
      </w:r>
      <w:r w:rsidR="00BD63C2" w:rsidRPr="0071287E">
        <w:t xml:space="preserve"> tiesību atcelšanu un tā rezultātā varētu tikt ietekmēta pieteicējas komercdarbība, n</w:t>
      </w:r>
      <w:r w:rsidR="00872B86">
        <w:t>av pietiekams pamats brīdinājumu</w:t>
      </w:r>
      <w:r w:rsidR="00BD63C2" w:rsidRPr="0071287E">
        <w:t xml:space="preserve"> pārsūdzēšanai tiesā.</w:t>
      </w:r>
    </w:p>
    <w:p w14:paraId="32650ED8" w14:textId="77777777" w:rsidR="0049676F" w:rsidRPr="0071287E" w:rsidRDefault="0049676F" w:rsidP="00BD63C2">
      <w:pPr>
        <w:spacing w:line="276" w:lineRule="auto"/>
        <w:jc w:val="both"/>
      </w:pPr>
    </w:p>
    <w:p w14:paraId="3842BE04" w14:textId="190357BB" w:rsidR="00B60977" w:rsidRPr="0071287E" w:rsidRDefault="0049676F" w:rsidP="005A5708">
      <w:pPr>
        <w:spacing w:line="276" w:lineRule="auto"/>
        <w:ind w:firstLine="567"/>
        <w:jc w:val="both"/>
      </w:pPr>
      <w:r w:rsidRPr="0071287E">
        <w:t>[</w:t>
      </w:r>
      <w:r w:rsidR="00663059">
        <w:t>3</w:t>
      </w:r>
      <w:r w:rsidR="005C6DEE">
        <w:t>] </w:t>
      </w:r>
      <w:r w:rsidRPr="0071287E">
        <w:t xml:space="preserve">Par minēto rajona tiesas tiesneša lēmumu pieteicēja </w:t>
      </w:r>
      <w:r w:rsidR="000C359F" w:rsidRPr="0071287E">
        <w:t>iesniegusi</w:t>
      </w:r>
      <w:r w:rsidRPr="0071287E">
        <w:t xml:space="preserve"> blakus sūdzību</w:t>
      </w:r>
      <w:r w:rsidR="000C359F" w:rsidRPr="0071287E">
        <w:t>.</w:t>
      </w:r>
      <w:r w:rsidR="004A74B9" w:rsidRPr="0071287E">
        <w:t xml:space="preserve"> </w:t>
      </w:r>
    </w:p>
    <w:p w14:paraId="0F9FAD7C" w14:textId="271C44FC" w:rsidR="00772484" w:rsidRPr="0071287E" w:rsidRDefault="00772484" w:rsidP="00D93B31">
      <w:pPr>
        <w:spacing w:line="276" w:lineRule="auto"/>
        <w:ind w:firstLine="567"/>
        <w:jc w:val="both"/>
      </w:pPr>
      <w:r w:rsidRPr="0071287E">
        <w:t>Blakus sūdzībā pieteicēja</w:t>
      </w:r>
      <w:r w:rsidR="00EB182F" w:rsidRPr="0071287E">
        <w:t xml:space="preserve"> norāda, ka </w:t>
      </w:r>
      <w:r w:rsidR="007057DD">
        <w:t xml:space="preserve">ar brīdinājumiem tiek konstatēts neatbilstības fakts un </w:t>
      </w:r>
      <w:r w:rsidR="00EB182F" w:rsidRPr="0071287E">
        <w:t xml:space="preserve">brīdinājumi </w:t>
      </w:r>
      <w:r w:rsidR="007D1E82" w:rsidRPr="0071287E">
        <w:t xml:space="preserve">ir </w:t>
      </w:r>
      <w:proofErr w:type="spellStart"/>
      <w:r w:rsidR="007D1E82" w:rsidRPr="0071287E">
        <w:t>starplēmumi</w:t>
      </w:r>
      <w:proofErr w:type="spellEnd"/>
      <w:r w:rsidR="007D1E82" w:rsidRPr="0071287E">
        <w:t xml:space="preserve"> ar būtisku ietekmi, </w:t>
      </w:r>
      <w:r w:rsidR="00EB182F" w:rsidRPr="0071287E">
        <w:t xml:space="preserve">jo atbilstoši </w:t>
      </w:r>
      <w:r w:rsidR="009C7E5E" w:rsidRPr="0071287E">
        <w:t xml:space="preserve">noteikumu </w:t>
      </w:r>
      <w:r w:rsidR="00EB182F" w:rsidRPr="0071287E">
        <w:t>Nr.</w:t>
      </w:r>
      <w:r w:rsidR="00A972D2">
        <w:t> </w:t>
      </w:r>
      <w:r w:rsidR="00EB182F" w:rsidRPr="0071287E">
        <w:t>221 46.</w:t>
      </w:r>
      <w:r w:rsidR="00EB182F" w:rsidRPr="0071287E">
        <w:rPr>
          <w:vertAlign w:val="superscript"/>
        </w:rPr>
        <w:t>3</w:t>
      </w:r>
      <w:r w:rsidR="00EB182F" w:rsidRPr="0071287E">
        <w:t>punkt</w:t>
      </w:r>
      <w:r w:rsidR="007D1E82">
        <w:t>am</w:t>
      </w:r>
      <w:r w:rsidR="00EB182F" w:rsidRPr="0071287E">
        <w:t xml:space="preserve"> </w:t>
      </w:r>
      <w:r w:rsidR="007D1E82">
        <w:t xml:space="preserve">tie </w:t>
      </w:r>
      <w:r w:rsidR="00EB182F" w:rsidRPr="0071287E">
        <w:t>pilda papildu sodīšanas funkciju</w:t>
      </w:r>
      <w:r w:rsidR="00985E58" w:rsidRPr="0071287E">
        <w:t xml:space="preserve"> </w:t>
      </w:r>
      <w:r w:rsidR="00EB182F" w:rsidRPr="0071287E">
        <w:t>un tādējādi rada tiesiskās sekas</w:t>
      </w:r>
      <w:r w:rsidR="00A972D2">
        <w:t>,</w:t>
      </w:r>
      <w:r w:rsidR="00EB182F" w:rsidRPr="0071287E">
        <w:t xml:space="preserve"> un būtiski skar pieteicējas </w:t>
      </w:r>
      <w:r w:rsidR="00684295" w:rsidRPr="0071287E">
        <w:t>tiesības un tiesiskās intereses, proti, pieteicējas komercdarbību.</w:t>
      </w:r>
      <w:r w:rsidR="007D1E82">
        <w:t xml:space="preserve"> </w:t>
      </w:r>
    </w:p>
    <w:p w14:paraId="06FC46D1" w14:textId="77777777" w:rsidR="003047F5" w:rsidRPr="0071287E" w:rsidRDefault="003047F5" w:rsidP="00EB182F">
      <w:pPr>
        <w:spacing w:line="276" w:lineRule="auto"/>
        <w:jc w:val="both"/>
      </w:pPr>
    </w:p>
    <w:p w14:paraId="17356B03" w14:textId="77777777" w:rsidR="003047F5" w:rsidRPr="0071287E" w:rsidRDefault="003047F5" w:rsidP="001C1339">
      <w:pPr>
        <w:spacing w:line="276" w:lineRule="auto"/>
        <w:jc w:val="center"/>
        <w:rPr>
          <w:b/>
        </w:rPr>
      </w:pPr>
      <w:r w:rsidRPr="0071287E">
        <w:rPr>
          <w:b/>
        </w:rPr>
        <w:t>Motīvu daļa</w:t>
      </w:r>
    </w:p>
    <w:p w14:paraId="77571692" w14:textId="77777777" w:rsidR="003047F5" w:rsidRPr="0071287E" w:rsidRDefault="003047F5" w:rsidP="001C1339">
      <w:pPr>
        <w:spacing w:line="276" w:lineRule="auto"/>
        <w:ind w:firstLine="567"/>
        <w:jc w:val="both"/>
        <w:rPr>
          <w:highlight w:val="yellow"/>
        </w:rPr>
      </w:pPr>
    </w:p>
    <w:p w14:paraId="777F6F3B" w14:textId="0C6281D7" w:rsidR="00F85E36" w:rsidRPr="0071287E" w:rsidRDefault="003047F5" w:rsidP="001D7B5D">
      <w:pPr>
        <w:spacing w:line="276" w:lineRule="auto"/>
        <w:ind w:firstLine="567"/>
        <w:jc w:val="both"/>
      </w:pPr>
      <w:r w:rsidRPr="0071287E">
        <w:t>[</w:t>
      </w:r>
      <w:r w:rsidR="00663059">
        <w:t>4</w:t>
      </w:r>
      <w:r w:rsidRPr="0071287E">
        <w:t>]</w:t>
      </w:r>
      <w:r w:rsidR="005C6DEE">
        <w:t> </w:t>
      </w:r>
      <w:r w:rsidR="00452D50" w:rsidRPr="0071287E">
        <w:t>Pieteicēja ir vērsusies tiesā ar pieteikumu par strīdus br</w:t>
      </w:r>
      <w:r w:rsidR="00F85E36" w:rsidRPr="0071287E">
        <w:t>īdinājumu</w:t>
      </w:r>
      <w:r w:rsidR="00452D50" w:rsidRPr="0071287E">
        <w:t xml:space="preserve"> atcelšanu, uzskatot, ka šie brīdinājumi paši par sevi rada būtisku ietekmi </w:t>
      </w:r>
      <w:r w:rsidR="00F85E36" w:rsidRPr="0071287E">
        <w:t>uz pieteicējas tiesībām un tiesiskajām interesēm</w:t>
      </w:r>
      <w:r w:rsidR="00452D50" w:rsidRPr="0071287E">
        <w:t>.</w:t>
      </w:r>
    </w:p>
    <w:p w14:paraId="754BDD8F" w14:textId="6589A002" w:rsidR="00FB1525" w:rsidRPr="0071287E" w:rsidRDefault="00F85E36" w:rsidP="001D7B5D">
      <w:pPr>
        <w:spacing w:line="276" w:lineRule="auto"/>
        <w:ind w:firstLine="567"/>
        <w:jc w:val="both"/>
      </w:pPr>
      <w:r w:rsidRPr="0071287E">
        <w:t>Līdz ar to b</w:t>
      </w:r>
      <w:r w:rsidR="000E296E" w:rsidRPr="0071287E">
        <w:t xml:space="preserve">lakus sūdzības izskatīšanas ietvaros izšķirams, vai rajona tiesas tiesnesis pamatoti </w:t>
      </w:r>
      <w:r w:rsidR="00295470" w:rsidRPr="0071287E">
        <w:t>secinājis</w:t>
      </w:r>
      <w:r w:rsidR="000E296E" w:rsidRPr="0071287E">
        <w:t xml:space="preserve">, ka </w:t>
      </w:r>
      <w:r w:rsidR="009C7E5E" w:rsidRPr="0071287E">
        <w:t xml:space="preserve">ministrijas </w:t>
      </w:r>
      <w:r w:rsidR="00FB121F" w:rsidRPr="0071287E">
        <w:t>brīdinājumi ir</w:t>
      </w:r>
      <w:r w:rsidR="004A6F48" w:rsidRPr="0071287E">
        <w:t xml:space="preserve"> uzskatām</w:t>
      </w:r>
      <w:r w:rsidR="00FB121F" w:rsidRPr="0071287E">
        <w:t>i</w:t>
      </w:r>
      <w:r w:rsidR="004A6F48" w:rsidRPr="0071287E">
        <w:t xml:space="preserve"> par </w:t>
      </w:r>
      <w:proofErr w:type="spellStart"/>
      <w:r w:rsidR="000E296E" w:rsidRPr="0071287E">
        <w:t>starplēmum</w:t>
      </w:r>
      <w:r w:rsidR="00FB121F" w:rsidRPr="0071287E">
        <w:t>iem</w:t>
      </w:r>
      <w:proofErr w:type="spellEnd"/>
      <w:r w:rsidR="000E296E" w:rsidRPr="0071287E">
        <w:t>, kas nerada būtisku pieteicējas tiesību u</w:t>
      </w:r>
      <w:r w:rsidR="00684295" w:rsidRPr="0071287E">
        <w:t>n tiesisko interešu aizskārumu</w:t>
      </w:r>
      <w:r w:rsidR="00B907DA">
        <w:t>,</w:t>
      </w:r>
      <w:r w:rsidR="00684295" w:rsidRPr="0071287E">
        <w:t xml:space="preserve"> </w:t>
      </w:r>
      <w:r w:rsidR="002E2FCE" w:rsidRPr="0071287E">
        <w:t>un tāpēc nav atsevišķi pārsūdzami administratīvā procesa kārtībā</w:t>
      </w:r>
      <w:r w:rsidR="00684295" w:rsidRPr="0071287E">
        <w:t>.</w:t>
      </w:r>
    </w:p>
    <w:p w14:paraId="3E480C3B" w14:textId="1D31BF4F" w:rsidR="00452D50" w:rsidRPr="0071287E" w:rsidRDefault="00452D50" w:rsidP="001D7B5D">
      <w:pPr>
        <w:spacing w:line="276" w:lineRule="auto"/>
        <w:ind w:firstLine="567"/>
        <w:jc w:val="both"/>
      </w:pPr>
    </w:p>
    <w:p w14:paraId="1884FA11" w14:textId="29444F04" w:rsidR="00452D50" w:rsidRPr="0071287E" w:rsidRDefault="00452D50">
      <w:pPr>
        <w:spacing w:line="276" w:lineRule="auto"/>
        <w:ind w:firstLine="567"/>
        <w:jc w:val="both"/>
      </w:pPr>
      <w:r w:rsidRPr="0071287E">
        <w:t>[</w:t>
      </w:r>
      <w:r w:rsidR="00663059">
        <w:t>5</w:t>
      </w:r>
      <w:r w:rsidR="005C6DEE">
        <w:t>] </w:t>
      </w:r>
      <w:r w:rsidR="00F85E36" w:rsidRPr="0071287E">
        <w:t xml:space="preserve">Senāta judikatūrā konsekventi atzīts, ka atbilstoši Administratīvā procesa likuma </w:t>
      </w:r>
      <w:proofErr w:type="gramStart"/>
      <w:r w:rsidR="00F85E36" w:rsidRPr="0071287E">
        <w:t>103.panta</w:t>
      </w:r>
      <w:proofErr w:type="gramEnd"/>
      <w:r w:rsidR="00F85E36" w:rsidRPr="0071287E">
        <w:t xml:space="preserve"> un 184.</w:t>
      </w:r>
      <w:r w:rsidR="00D93B31">
        <w:t xml:space="preserve">panta </w:t>
      </w:r>
      <w:r w:rsidR="00F85E36" w:rsidRPr="0071287E">
        <w:t>normām a</w:t>
      </w:r>
      <w:r w:rsidRPr="0071287E">
        <w:t xml:space="preserve">dministratīvo tiesu kontrolei ir pakļautas tādas izpildvaras darbības administratīvajā procesā, kurām piemīt galīgā noregulējuma raksturs, bet procesuālās darbības un lēmumi, kas tiek pieņemti administratīvā akta izdošanas </w:t>
      </w:r>
      <w:r w:rsidR="00D93B31">
        <w:t>vai pārskatīšanas</w:t>
      </w:r>
      <w:r w:rsidRPr="0071287E">
        <w:t xml:space="preserve"> gaitā, parasti nav atsevišķi pārbaudāmi tiesā. </w:t>
      </w:r>
      <w:r w:rsidR="00A5766F" w:rsidRPr="0071287E">
        <w:t>To</w:t>
      </w:r>
      <w:r w:rsidRPr="0071287E">
        <w:t xml:space="preserve"> pārbaude notiek vienlaikus ar galīgo lēmumu – administratīvo aktu, jo persona, pārsūdzot administratīvo aktu, pieteikumā var izteikt savas sūdzības arī par administratīvā akta izdošanas gaitā pie</w:t>
      </w:r>
      <w:r w:rsidR="0029556E" w:rsidRPr="0071287E">
        <w:t xml:space="preserve">ņemto </w:t>
      </w:r>
      <w:proofErr w:type="spellStart"/>
      <w:r w:rsidR="0029556E" w:rsidRPr="0071287E">
        <w:t>starplēmumu</w:t>
      </w:r>
      <w:proofErr w:type="spellEnd"/>
      <w:r w:rsidR="0029556E" w:rsidRPr="0071287E">
        <w:t xml:space="preserve"> pamatotību</w:t>
      </w:r>
      <w:r w:rsidRPr="0071287E">
        <w:t>, un tiesa vienlaikus ar pārsūdzētā gala lēmuma pārbaudi izvērtē arī visu administratīvā akta izdošanas procesu</w:t>
      </w:r>
      <w:r w:rsidR="0029556E" w:rsidRPr="0071287E">
        <w:t xml:space="preserve">, tostarp </w:t>
      </w:r>
      <w:proofErr w:type="spellStart"/>
      <w:r w:rsidR="0029556E" w:rsidRPr="0071287E">
        <w:t>starplēmumus</w:t>
      </w:r>
      <w:proofErr w:type="spellEnd"/>
      <w:r w:rsidR="0029556E" w:rsidRPr="0071287E">
        <w:t>, kas ietekmējuši galīgā lēmuma pieņemšanu</w:t>
      </w:r>
      <w:r w:rsidR="00A5766F" w:rsidRPr="0071287E">
        <w:t xml:space="preserve"> (</w:t>
      </w:r>
      <w:r w:rsidR="00A5766F" w:rsidRPr="00203F9B">
        <w:rPr>
          <w:iCs/>
        </w:rPr>
        <w:t>piemēram,</w:t>
      </w:r>
      <w:r w:rsidR="00A5766F" w:rsidRPr="0073348C">
        <w:rPr>
          <w:i/>
          <w:iCs/>
        </w:rPr>
        <w:t xml:space="preserve"> </w:t>
      </w:r>
      <w:bookmarkStart w:id="1" w:name="_Hlk34142742"/>
      <w:r w:rsidR="00A5766F" w:rsidRPr="0073348C">
        <w:rPr>
          <w:i/>
          <w:iCs/>
        </w:rPr>
        <w:t>Senāta 2008</w:t>
      </w:r>
      <w:r w:rsidR="00BC3242">
        <w:rPr>
          <w:i/>
          <w:iCs/>
        </w:rPr>
        <w:t>.gada 25.marta lēmums lietā Nr. </w:t>
      </w:r>
      <w:r w:rsidR="00A5766F" w:rsidRPr="0073348C">
        <w:rPr>
          <w:i/>
          <w:iCs/>
        </w:rPr>
        <w:t>SKA-</w:t>
      </w:r>
      <w:r w:rsidR="0071287E" w:rsidRPr="0073348C">
        <w:rPr>
          <w:i/>
          <w:iCs/>
        </w:rPr>
        <w:t>119</w:t>
      </w:r>
      <w:r w:rsidR="00203F9B">
        <w:rPr>
          <w:i/>
          <w:iCs/>
        </w:rPr>
        <w:t>/200</w:t>
      </w:r>
      <w:r w:rsidR="00BC3242">
        <w:rPr>
          <w:i/>
          <w:iCs/>
        </w:rPr>
        <w:t xml:space="preserve">8, </w:t>
      </w:r>
      <w:r w:rsidR="00A5766F" w:rsidRPr="0073348C">
        <w:rPr>
          <w:i/>
          <w:iCs/>
        </w:rPr>
        <w:t>2015.gada 14.</w:t>
      </w:r>
      <w:r w:rsidR="00BC3242">
        <w:rPr>
          <w:i/>
          <w:iCs/>
        </w:rPr>
        <w:t>oktobra spriedums lietā Nr.</w:t>
      </w:r>
      <w:r w:rsidR="000A5452">
        <w:rPr>
          <w:i/>
          <w:iCs/>
        </w:rPr>
        <w:t> </w:t>
      </w:r>
      <w:r w:rsidR="00A5766F" w:rsidRPr="0073348C">
        <w:rPr>
          <w:i/>
          <w:iCs/>
        </w:rPr>
        <w:t>SKA-576/2015 (A420543212</w:t>
      </w:r>
      <w:bookmarkEnd w:id="1"/>
      <w:r w:rsidR="00A5766F" w:rsidRPr="0073348C">
        <w:rPr>
          <w:i/>
          <w:iCs/>
        </w:rPr>
        <w:t>)</w:t>
      </w:r>
      <w:r w:rsidR="0071287E">
        <w:t>)</w:t>
      </w:r>
      <w:r w:rsidRPr="0073348C">
        <w:t xml:space="preserve">. Tāpēc </w:t>
      </w:r>
      <w:r w:rsidR="0029556E" w:rsidRPr="0073348C">
        <w:t xml:space="preserve">likumdevējs ir noteicis, ka </w:t>
      </w:r>
      <w:proofErr w:type="spellStart"/>
      <w:r w:rsidR="0029556E" w:rsidRPr="0073348C">
        <w:t>starplēmum</w:t>
      </w:r>
      <w:r w:rsidR="00545428">
        <w:t>a</w:t>
      </w:r>
      <w:proofErr w:type="spellEnd"/>
      <w:r w:rsidR="0029556E" w:rsidRPr="0073348C">
        <w:t xml:space="preserve"> atsevišķa pārsūdzība, nesagaid</w:t>
      </w:r>
      <w:r w:rsidR="0029556E" w:rsidRPr="0071287E">
        <w:t xml:space="preserve">ot galīgo administratīvo aktu, pieļaujama tad, ja attiecīgais </w:t>
      </w:r>
      <w:proofErr w:type="spellStart"/>
      <w:r w:rsidR="00A5766F" w:rsidRPr="0071287E">
        <w:t>starplēmums</w:t>
      </w:r>
      <w:proofErr w:type="spellEnd"/>
      <w:r w:rsidR="00A5766F" w:rsidRPr="0071287E">
        <w:t xml:space="preserve"> ir pielīdzināms administratīvajam aktam</w:t>
      </w:r>
      <w:r w:rsidR="0029556E" w:rsidRPr="0071287E">
        <w:t xml:space="preserve">, </w:t>
      </w:r>
      <w:r w:rsidR="00A5766F" w:rsidRPr="0071287E">
        <w:t xml:space="preserve">jo </w:t>
      </w:r>
      <w:r w:rsidR="0029556E" w:rsidRPr="0071287E">
        <w:t xml:space="preserve">pats par sevi jau rada būtiskas sekas – pats par sevi skar būtiskas personas tiesības vai tiesiskas intereses vai būtiski apgrūtina to īstenošanu (Administratīvā procesa likuma 1.panta trešās daļas 3.punkts). Šādas sistēmas mērķis ir </w:t>
      </w:r>
      <w:r w:rsidRPr="0071287E">
        <w:t xml:space="preserve">novērst </w:t>
      </w:r>
      <w:r w:rsidR="00A5766F" w:rsidRPr="0071287E">
        <w:t xml:space="preserve">vienota </w:t>
      </w:r>
      <w:r w:rsidR="0071287E">
        <w:t xml:space="preserve">iestādes </w:t>
      </w:r>
      <w:r w:rsidR="00A5766F" w:rsidRPr="0073348C">
        <w:t>proces</w:t>
      </w:r>
      <w:r w:rsidR="00A5766F" w:rsidRPr="0071287E">
        <w:t xml:space="preserve">a pārbaudes sadrumstalošanu, </w:t>
      </w:r>
      <w:r w:rsidRPr="0071287E">
        <w:t>persona</w:t>
      </w:r>
      <w:r w:rsidR="00A5766F" w:rsidRPr="0071287E">
        <w:t>i vēršoties</w:t>
      </w:r>
      <w:r w:rsidRPr="0071287E">
        <w:t xml:space="preserve"> tiesā ar pieteikum</w:t>
      </w:r>
      <w:r w:rsidR="0029556E" w:rsidRPr="0071287E">
        <w:t xml:space="preserve">u par </w:t>
      </w:r>
      <w:proofErr w:type="spellStart"/>
      <w:r w:rsidR="0029556E" w:rsidRPr="0071287E">
        <w:t>starplēmum</w:t>
      </w:r>
      <w:r w:rsidR="00A5766F" w:rsidRPr="0071287E">
        <w:t>u</w:t>
      </w:r>
      <w:proofErr w:type="spellEnd"/>
      <w:r w:rsidR="0029556E" w:rsidRPr="0071287E">
        <w:t>, kas pa</w:t>
      </w:r>
      <w:r w:rsidR="00A5766F" w:rsidRPr="0071287E">
        <w:t>ts</w:t>
      </w:r>
      <w:r w:rsidR="0029556E" w:rsidRPr="0071287E">
        <w:t xml:space="preserve"> par sevi nekādu nopietnu ietekmi uz personas tiesībām nerada un kur</w:t>
      </w:r>
      <w:r w:rsidR="00A5766F" w:rsidRPr="0071287E">
        <w:t>a</w:t>
      </w:r>
      <w:r w:rsidR="0029556E" w:rsidRPr="0071287E">
        <w:t xml:space="preserve"> pārbaude nepieciešamības gadījumā būs iespējama, pārbaudot galīgā lēmuma tiesiskumu.</w:t>
      </w:r>
    </w:p>
    <w:p w14:paraId="6EA850F2" w14:textId="77777777" w:rsidR="00C6652B" w:rsidRPr="0071287E" w:rsidRDefault="00C6652B" w:rsidP="00535267">
      <w:pPr>
        <w:spacing w:line="276" w:lineRule="auto"/>
        <w:jc w:val="both"/>
      </w:pPr>
    </w:p>
    <w:p w14:paraId="4A3655FD" w14:textId="3C981FB3" w:rsidR="00C6652B" w:rsidRDefault="00C6652B" w:rsidP="00DA016F">
      <w:pPr>
        <w:spacing w:line="276" w:lineRule="auto"/>
        <w:ind w:firstLine="567"/>
        <w:jc w:val="both"/>
      </w:pPr>
      <w:r w:rsidRPr="0071287E">
        <w:t>[</w:t>
      </w:r>
      <w:r w:rsidR="0084081D" w:rsidRPr="0071287E">
        <w:t>6</w:t>
      </w:r>
      <w:r w:rsidR="005C6DEE">
        <w:t>] </w:t>
      </w:r>
      <w:r w:rsidRPr="0071287E">
        <w:t>Pieteicēja</w:t>
      </w:r>
      <w:r w:rsidR="00FB2671">
        <w:t xml:space="preserve"> savu </w:t>
      </w:r>
      <w:r w:rsidR="00D93B31">
        <w:t>pozīcij</w:t>
      </w:r>
      <w:r w:rsidR="00FB2671">
        <w:t>u</w:t>
      </w:r>
      <w:r w:rsidR="00D93B31">
        <w:t xml:space="preserve">, ka brīdinājumi paši par sevi </w:t>
      </w:r>
      <w:r w:rsidR="0071287E">
        <w:t xml:space="preserve">rada </w:t>
      </w:r>
      <w:r w:rsidRPr="0073348C">
        <w:t>būtisku ietekmi</w:t>
      </w:r>
      <w:r w:rsidR="00FB2671">
        <w:t>,</w:t>
      </w:r>
      <w:r w:rsidR="0071287E">
        <w:t xml:space="preserve"> pamatojusi ar to, ka</w:t>
      </w:r>
      <w:r w:rsidR="00FB2671">
        <w:t xml:space="preserve">: 1) ar brīdinājumiem tiek konstatēta faktiskā </w:t>
      </w:r>
      <w:r w:rsidR="00FB2671" w:rsidRPr="00A62A0B">
        <w:t>situācija – pieteicējas koģenerācijas stacijas darbības neatbilstība normatīvo aktu prasībām</w:t>
      </w:r>
      <w:r w:rsidR="00663059" w:rsidRPr="00A62A0B">
        <w:t>; 2) atbilstoši noteikumu Nr.</w:t>
      </w:r>
      <w:r w:rsidR="005C6DEE">
        <w:t> </w:t>
      </w:r>
      <w:r w:rsidR="00663059" w:rsidRPr="00A62A0B">
        <w:t>221 46.</w:t>
      </w:r>
      <w:r w:rsidR="00663059" w:rsidRPr="00A62A0B">
        <w:rPr>
          <w:vertAlign w:val="superscript"/>
        </w:rPr>
        <w:t>3</w:t>
      </w:r>
      <w:r w:rsidR="00663059" w:rsidRPr="00A62A0B">
        <w:t>punktam trīs brīdinājumu esība ministrijai dod tiesisku pamatu atņemt komersantam</w:t>
      </w:r>
      <w:r w:rsidR="0071287E" w:rsidRPr="00A62A0B">
        <w:t xml:space="preserve"> </w:t>
      </w:r>
      <w:r w:rsidR="00663059" w:rsidRPr="00A62A0B">
        <w:t>tiesības pārdot saražoto elektroenerģiju obligātā iepirkuma ietvaros</w:t>
      </w:r>
      <w:r w:rsidR="00663059">
        <w:t xml:space="preserve">, līdz ar to </w:t>
      </w:r>
      <w:r w:rsidR="0067393A">
        <w:t xml:space="preserve">brīdinājumi </w:t>
      </w:r>
      <w:r w:rsidR="00663059">
        <w:t>pilda papildu sodīšanas funkciju</w:t>
      </w:r>
      <w:r w:rsidRPr="00A62A0B">
        <w:t>.</w:t>
      </w:r>
    </w:p>
    <w:p w14:paraId="69C89369" w14:textId="3304E84D" w:rsidR="00663059" w:rsidRDefault="00663059" w:rsidP="00DA016F">
      <w:pPr>
        <w:spacing w:line="276" w:lineRule="auto"/>
        <w:ind w:firstLine="567"/>
        <w:jc w:val="both"/>
      </w:pPr>
      <w:r>
        <w:lastRenderedPageBreak/>
        <w:t>Senāts turpmāk norādīto apsvērumu dēļ atzīst, ka minētie pieteicējas argumenti n</w:t>
      </w:r>
      <w:r w:rsidR="00FD2881">
        <w:t>av pietiekams pamats</w:t>
      </w:r>
      <w:r>
        <w:t xml:space="preserve"> secināt, ka brīdinājum</w:t>
      </w:r>
      <w:r w:rsidR="0067393A">
        <w:t>i</w:t>
      </w:r>
      <w:r>
        <w:t xml:space="preserve"> paši par sevi rada būtisku tiesību vai tiesisko interešu aizskārumu.</w:t>
      </w:r>
    </w:p>
    <w:p w14:paraId="573BFAF3" w14:textId="17E2373C" w:rsidR="00663059" w:rsidRDefault="00663059" w:rsidP="00DA016F">
      <w:pPr>
        <w:spacing w:line="276" w:lineRule="auto"/>
        <w:ind w:firstLine="567"/>
        <w:jc w:val="both"/>
      </w:pPr>
    </w:p>
    <w:p w14:paraId="4ED67E39" w14:textId="4298922F" w:rsidR="007057DD" w:rsidRDefault="005C6DEE" w:rsidP="00DA016F">
      <w:pPr>
        <w:spacing w:line="276" w:lineRule="auto"/>
        <w:ind w:firstLine="567"/>
        <w:jc w:val="both"/>
      </w:pPr>
      <w:r>
        <w:t>[7] </w:t>
      </w:r>
      <w:r w:rsidR="00CB7C9C">
        <w:t xml:space="preserve">Tas, ka iestāde brīdinājumos ir norādījusi, ka pārbaudes </w:t>
      </w:r>
      <w:r w:rsidR="00FD2881">
        <w:t>ietvaros</w:t>
      </w:r>
      <w:r w:rsidR="00CB7C9C">
        <w:t xml:space="preserve"> konstatēti normatīvo aktu pārkāpumi pieteicējas koģenerācijas stacijas darbībā, pats par sevi vēl nenozīmē, ka tātad ar šiem brīdinājumiem ir saistoši konstatēta faktiskā situācija</w:t>
      </w:r>
      <w:r w:rsidR="00FD2881">
        <w:t xml:space="preserve"> Administratīvā procesa likuma </w:t>
      </w:r>
      <w:proofErr w:type="gramStart"/>
      <w:r w:rsidR="00FD2881">
        <w:t>1.panta</w:t>
      </w:r>
      <w:proofErr w:type="gramEnd"/>
      <w:r w:rsidR="00FD2881">
        <w:t xml:space="preserve"> trešās daļas izpratnē. </w:t>
      </w:r>
    </w:p>
    <w:p w14:paraId="6B3A30B4" w14:textId="54A60138" w:rsidR="00E13CEB" w:rsidRPr="00A62A0B" w:rsidRDefault="00FD2881" w:rsidP="00DA016F">
      <w:pPr>
        <w:spacing w:line="276" w:lineRule="auto"/>
        <w:ind w:firstLine="567"/>
        <w:jc w:val="both"/>
      </w:pPr>
      <w:r>
        <w:t>Jāņem vērā, ka ne jebkurš iestādes konstatējums ir atzīstams par konstatējošo administratīvo aktu. Iestādes lēmums par kādas konkrētas faktiskās situācijas konstatēšanu ir atzīstams par administratīvo aktu tikai tad, ja šis konstatējums pats par sevi rada galīga rakstura tiesisk</w:t>
      </w:r>
      <w:r w:rsidR="007057DD">
        <w:t>a</w:t>
      </w:r>
      <w:r>
        <w:t xml:space="preserve">s sekas. Lai uzskatītu, ka konkrēts faktu konstatējums pats par sevi rada galīga rakstura tiesiskās sekas, būtu jākonstatē, ka </w:t>
      </w:r>
      <w:r w:rsidRPr="00A62A0B">
        <w:t xml:space="preserve">atbilstoši tiesiskajam regulējumam ar šo konstatējumu attiecīgā strīdus situācija tiek </w:t>
      </w:r>
      <w:r w:rsidR="00E13CEB" w:rsidRPr="00A62A0B">
        <w:t>galīgi</w:t>
      </w:r>
      <w:r w:rsidR="00383C80">
        <w:t xml:space="preserve"> – </w:t>
      </w:r>
      <w:r w:rsidR="00E13CEB" w:rsidRPr="00A62A0B">
        <w:t>saistoši</w:t>
      </w:r>
      <w:r w:rsidR="00383C80">
        <w:t xml:space="preserve"> </w:t>
      </w:r>
      <w:r w:rsidR="00E13CEB" w:rsidRPr="00A62A0B">
        <w:t>un nemainīgi</w:t>
      </w:r>
      <w:r w:rsidR="00383C80">
        <w:t xml:space="preserve"> – </w:t>
      </w:r>
      <w:r w:rsidR="00E13CEB" w:rsidRPr="00A62A0B">
        <w:t xml:space="preserve">nofiksēta </w:t>
      </w:r>
      <w:r w:rsidR="00383C80">
        <w:t>(</w:t>
      </w:r>
      <w:r w:rsidR="00E13CEB" w:rsidRPr="00A62A0B">
        <w:t>attiecīgajam konstatēšanas lēmumam stājoties spēkā, vairs netiks pārskatīta</w:t>
      </w:r>
      <w:r w:rsidR="00383C80">
        <w:t>) un šā konstatējuma esība rada adresātam kādas tiesības vai pienākumu</w:t>
      </w:r>
      <w:r w:rsidR="00E13CEB" w:rsidRPr="00A62A0B">
        <w:t xml:space="preserve"> </w:t>
      </w:r>
      <w:proofErr w:type="gramStart"/>
      <w:r w:rsidR="00E13CEB" w:rsidRPr="00A62A0B">
        <w:t>(</w:t>
      </w:r>
      <w:proofErr w:type="gramEnd"/>
      <w:r w:rsidR="00E13CEB" w:rsidRPr="0067393A">
        <w:rPr>
          <w:iCs/>
        </w:rPr>
        <w:t>sal.</w:t>
      </w:r>
      <w:r w:rsidR="00E13CEB" w:rsidRPr="00A62A0B">
        <w:rPr>
          <w:i/>
          <w:iCs/>
        </w:rPr>
        <w:t xml:space="preserve"> </w:t>
      </w:r>
      <w:bookmarkStart w:id="2" w:name="_Hlk34142757"/>
      <w:r w:rsidR="00E13CEB" w:rsidRPr="00A62A0B">
        <w:rPr>
          <w:i/>
          <w:iCs/>
        </w:rPr>
        <w:t>Senāta 2005.gada</w:t>
      </w:r>
      <w:r w:rsidR="00827BE5" w:rsidRPr="00A62A0B">
        <w:rPr>
          <w:i/>
          <w:iCs/>
        </w:rPr>
        <w:t xml:space="preserve"> 22.novembra sprieduma lietā Nr. SKA-378/2005</w:t>
      </w:r>
      <w:r w:rsidR="00D67596">
        <w:rPr>
          <w:i/>
          <w:iCs/>
        </w:rPr>
        <w:t xml:space="preserve"> (A42025304)</w:t>
      </w:r>
      <w:r w:rsidR="00827BE5" w:rsidRPr="00A62A0B">
        <w:rPr>
          <w:i/>
          <w:iCs/>
        </w:rPr>
        <w:t xml:space="preserve"> 9.punkts</w:t>
      </w:r>
      <w:r w:rsidR="00FB539F" w:rsidRPr="00A62A0B">
        <w:rPr>
          <w:i/>
          <w:iCs/>
        </w:rPr>
        <w:t xml:space="preserve">, 2005.gada </w:t>
      </w:r>
      <w:r w:rsidR="007C4EF4" w:rsidRPr="00A62A0B">
        <w:rPr>
          <w:i/>
          <w:iCs/>
        </w:rPr>
        <w:t>12.aprīļa lēmum</w:t>
      </w:r>
      <w:r w:rsidR="00D67596">
        <w:rPr>
          <w:i/>
          <w:iCs/>
        </w:rPr>
        <w:t>a</w:t>
      </w:r>
      <w:r w:rsidR="007C4EF4" w:rsidRPr="00A62A0B">
        <w:rPr>
          <w:i/>
          <w:iCs/>
        </w:rPr>
        <w:t xml:space="preserve"> lietā Nr. SKA-178/2005 8.punkts, </w:t>
      </w:r>
      <w:r w:rsidR="00FB539F" w:rsidRPr="00A62A0B">
        <w:rPr>
          <w:i/>
          <w:iCs/>
        </w:rPr>
        <w:t xml:space="preserve">2010.gada 15.oktobra </w:t>
      </w:r>
      <w:r w:rsidR="00CC6A4A">
        <w:rPr>
          <w:i/>
          <w:iCs/>
        </w:rPr>
        <w:t>lēmuma</w:t>
      </w:r>
      <w:r w:rsidR="00CC6A4A" w:rsidRPr="00A62A0B">
        <w:rPr>
          <w:i/>
          <w:iCs/>
        </w:rPr>
        <w:t xml:space="preserve"> </w:t>
      </w:r>
      <w:r w:rsidR="00FB539F" w:rsidRPr="00A62A0B">
        <w:rPr>
          <w:i/>
          <w:iCs/>
        </w:rPr>
        <w:t xml:space="preserve">lietā Nr. SKA-742/2010 </w:t>
      </w:r>
      <w:bookmarkEnd w:id="2"/>
      <w:r w:rsidR="00FB539F" w:rsidRPr="00A62A0B">
        <w:rPr>
          <w:i/>
          <w:iCs/>
        </w:rPr>
        <w:t>10.punkts</w:t>
      </w:r>
      <w:r w:rsidR="00827BE5" w:rsidRPr="00A62A0B">
        <w:t>)</w:t>
      </w:r>
      <w:r w:rsidR="00E13CEB" w:rsidRPr="00A62A0B">
        <w:t>.</w:t>
      </w:r>
    </w:p>
    <w:p w14:paraId="0CA7E792" w14:textId="2A0326B5" w:rsidR="00663059" w:rsidRPr="00A62A0B" w:rsidRDefault="00FD2881" w:rsidP="00DA016F">
      <w:pPr>
        <w:spacing w:line="276" w:lineRule="auto"/>
        <w:ind w:firstLine="567"/>
        <w:jc w:val="both"/>
      </w:pPr>
      <w:r w:rsidRPr="00A62A0B">
        <w:t xml:space="preserve"> </w:t>
      </w:r>
      <w:r w:rsidR="00E13CEB" w:rsidRPr="00A62A0B">
        <w:t xml:space="preserve">Līdz ar to, lai secinātu, ka ar strīdus brīdinājumiem ir saistoši konstatēts fakts, ka pieteicējas koģenerācijas stacija neatbilst normatīvo aktu prasībām, būtu jākonstatē, ka </w:t>
      </w:r>
      <w:r w:rsidR="00383C80">
        <w:t xml:space="preserve">saskaņā ar tiesību normām </w:t>
      </w:r>
      <w:proofErr w:type="gramStart"/>
      <w:r w:rsidR="00E13CEB" w:rsidRPr="00A62A0B">
        <w:t>pēc brīdinājumu spēkā stāšanās tajos norādītais neatbilstības fakts</w:t>
      </w:r>
      <w:proofErr w:type="gramEnd"/>
      <w:r w:rsidR="00E13CEB" w:rsidRPr="00A62A0B">
        <w:t xml:space="preserve"> tiek uzskatīts par </w:t>
      </w:r>
      <w:r w:rsidR="001547B6">
        <w:t xml:space="preserve">nemainīgi </w:t>
      </w:r>
      <w:r w:rsidR="00E13CEB" w:rsidRPr="00A62A0B">
        <w:t>nodibinātu</w:t>
      </w:r>
      <w:r w:rsidR="007057DD">
        <w:t xml:space="preserve">, </w:t>
      </w:r>
      <w:r w:rsidR="007C4EF4" w:rsidRPr="00A62A0B">
        <w:t>gan adresātam, gan pašai iestādei</w:t>
      </w:r>
      <w:r w:rsidR="00E13CEB" w:rsidRPr="00A62A0B">
        <w:t xml:space="preserve"> tas ir saistošs</w:t>
      </w:r>
      <w:r w:rsidR="007057DD">
        <w:t xml:space="preserve"> un adresāta</w:t>
      </w:r>
      <w:r w:rsidR="00383C80">
        <w:t>m</w:t>
      </w:r>
      <w:r w:rsidR="007057DD">
        <w:t xml:space="preserve"> tas rada kādas tiesības vai pienākumu</w:t>
      </w:r>
      <w:r w:rsidR="007C4EF4" w:rsidRPr="00A62A0B">
        <w:t>.</w:t>
      </w:r>
      <w:r w:rsidR="00E13CEB" w:rsidRPr="00A62A0B">
        <w:t xml:space="preserve"> </w:t>
      </w:r>
    </w:p>
    <w:p w14:paraId="0648DD67" w14:textId="7C298394" w:rsidR="005F772C" w:rsidRPr="00A62A0B" w:rsidRDefault="007C4EF4" w:rsidP="005F772C">
      <w:pPr>
        <w:spacing w:line="276" w:lineRule="auto"/>
        <w:ind w:firstLine="567"/>
        <w:jc w:val="both"/>
        <w:rPr>
          <w:shd w:val="clear" w:color="auto" w:fill="FFFFFF"/>
        </w:rPr>
      </w:pPr>
      <w:r w:rsidRPr="00A62A0B">
        <w:t>Noteikumu Nr.</w:t>
      </w:r>
      <w:r w:rsidR="007057DD">
        <w:t> </w:t>
      </w:r>
      <w:r w:rsidRPr="00A62A0B">
        <w:t>221 (</w:t>
      </w:r>
      <w:r w:rsidRPr="00A62A0B">
        <w:rPr>
          <w:i/>
          <w:iCs/>
        </w:rPr>
        <w:t>redakcijā, kas bija spēkā strīdus brīdinājumu izdošanas laikā</w:t>
      </w:r>
      <w:r w:rsidRPr="00A62A0B">
        <w:t>)</w:t>
      </w:r>
      <w:r w:rsidR="005F772C" w:rsidRPr="00A62A0B">
        <w:t xml:space="preserve"> 45.</w:t>
      </w:r>
      <w:r w:rsidR="005F772C" w:rsidRPr="00A62A0B">
        <w:rPr>
          <w:vertAlign w:val="superscript"/>
        </w:rPr>
        <w:t>2</w:t>
      </w:r>
      <w:r w:rsidR="005F772C" w:rsidRPr="00A62A0B">
        <w:t>punkt</w:t>
      </w:r>
      <w:r w:rsidR="00425ED3" w:rsidRPr="00A62A0B">
        <w:t>a 4. un 5.apakšpunkts</w:t>
      </w:r>
      <w:r w:rsidR="005F772C" w:rsidRPr="00A62A0B">
        <w:t xml:space="preserve"> noteic, ka Ekonomikas ministrija </w:t>
      </w:r>
      <w:r w:rsidR="005F772C" w:rsidRPr="00A62A0B">
        <w:rPr>
          <w:shd w:val="clear" w:color="auto" w:fill="FFFFFF"/>
        </w:rPr>
        <w:t xml:space="preserve">nosūta komersantam brīdinājumu par iespēju zaudēt tiesības pārdot koģenerācijā ražoto elektroenerģiju obligātā iepirkuma ietvaros vai saņemt maksu par koģenerācijas elektrostacijā uzstādīto elektrisko jaudu, ja ministrija konstatē, ka koģenerācijas elektrostacija neatbilst konkrētām </w:t>
      </w:r>
      <w:r w:rsidR="001728C9">
        <w:rPr>
          <w:shd w:val="clear" w:color="auto" w:fill="FFFFFF"/>
        </w:rPr>
        <w:t>normatīvo aktu</w:t>
      </w:r>
      <w:r w:rsidR="005F772C" w:rsidRPr="00A62A0B">
        <w:rPr>
          <w:shd w:val="clear" w:color="auto" w:fill="FFFFFF"/>
        </w:rPr>
        <w:t xml:space="preserve"> prasībām (tostarp tādām, saistībā ar kurām brīdinājumi izteikti konkrētajā gadījumā). Savukārt šo noteikumu 47.punkts noteic, ka gadījumā, ja pēc komersanta apliecinājuma iesniegšanas tiek konstatēta neatbilstība, ministrija mēneša laikā pieņem lēmumu, ar kuru tiek atceltas komersantam piešķirtās tiesības pārdot koģenerācijā saražoto elektroenerģiju obligātā iepirkuma ietvaros vai saņemt maksu par koģenerācijas elektrostacijā uzstādīto elektrisko jaudu un komersantam tiek noteikts pienākums mēneša laikā atmaksāt tirgotājam atbalstu, ko tirgotājs izmaksājis visā periodā kopš brīdinājuma saņemšanas. </w:t>
      </w:r>
    </w:p>
    <w:p w14:paraId="0ECFA23D" w14:textId="17CAC6D0" w:rsidR="00425ED3" w:rsidRDefault="00425ED3" w:rsidP="005F772C">
      <w:pPr>
        <w:spacing w:line="276" w:lineRule="auto"/>
        <w:ind w:firstLine="567"/>
        <w:jc w:val="both"/>
        <w:rPr>
          <w:shd w:val="clear" w:color="auto" w:fill="FFFFFF"/>
        </w:rPr>
      </w:pPr>
      <w:r w:rsidRPr="00A62A0B">
        <w:rPr>
          <w:shd w:val="clear" w:color="auto" w:fill="FFFFFF"/>
        </w:rPr>
        <w:t>No minētajām tiesību normām skaidri izriet, ka brīdinājumos koģenerācijas staciju neatbilstības netiek konstatētas galīgi, jo par tiesisk</w:t>
      </w:r>
      <w:r w:rsidR="001A71F2">
        <w:rPr>
          <w:shd w:val="clear" w:color="auto" w:fill="FFFFFF"/>
        </w:rPr>
        <w:t>ajām</w:t>
      </w:r>
      <w:r w:rsidRPr="00A62A0B">
        <w:rPr>
          <w:shd w:val="clear" w:color="auto" w:fill="FFFFFF"/>
        </w:rPr>
        <w:t xml:space="preserve"> sek</w:t>
      </w:r>
      <w:r w:rsidR="001A71F2">
        <w:rPr>
          <w:shd w:val="clear" w:color="auto" w:fill="FFFFFF"/>
        </w:rPr>
        <w:t>ām</w:t>
      </w:r>
      <w:r w:rsidRPr="00A62A0B">
        <w:rPr>
          <w:shd w:val="clear" w:color="auto" w:fill="FFFFFF"/>
        </w:rPr>
        <w:t xml:space="preserve"> – komersantam piešķirto tiesību atņemšanu neatbilstību dēļ – iestāde lemj pēc tam ar atsevišķu lēmumu, kura izdošanas ietvaros iestādei </w:t>
      </w:r>
      <w:r>
        <w:rPr>
          <w:shd w:val="clear" w:color="auto" w:fill="FFFFFF"/>
        </w:rPr>
        <w:t xml:space="preserve">vēlreiz </w:t>
      </w:r>
      <w:r w:rsidRPr="00A62A0B">
        <w:rPr>
          <w:shd w:val="clear" w:color="auto" w:fill="FFFFFF"/>
        </w:rPr>
        <w:t xml:space="preserve">jāpārliecinās par to, ka neatbilstība </w:t>
      </w:r>
      <w:r>
        <w:rPr>
          <w:shd w:val="clear" w:color="auto" w:fill="FFFFFF"/>
        </w:rPr>
        <w:t>tiešām</w:t>
      </w:r>
      <w:r w:rsidRPr="00A62A0B">
        <w:rPr>
          <w:shd w:val="clear" w:color="auto" w:fill="FFFFFF"/>
        </w:rPr>
        <w:t xml:space="preserve"> ir konstatējama. </w:t>
      </w:r>
      <w:r>
        <w:rPr>
          <w:shd w:val="clear" w:color="auto" w:fill="FFFFFF"/>
        </w:rPr>
        <w:t>Tātad jautājums par to, vai konkrētā gadījumā tiešām ir konstatējama koģenerācijas stacijas neatbilstība normatīvo aktu prasībām, tiek no jauna izvērtēts, lemjot, vai ir pamats at</w:t>
      </w:r>
      <w:r w:rsidR="001A71F2">
        <w:rPr>
          <w:shd w:val="clear" w:color="auto" w:fill="FFFFFF"/>
        </w:rPr>
        <w:t>ņemt</w:t>
      </w:r>
      <w:r>
        <w:rPr>
          <w:shd w:val="clear" w:color="auto" w:fill="FFFFFF"/>
        </w:rPr>
        <w:t xml:space="preserve"> komersantam piešķirtās tiesības </w:t>
      </w:r>
      <w:r w:rsidRPr="00CB3F1A">
        <w:rPr>
          <w:shd w:val="clear" w:color="auto" w:fill="FFFFFF"/>
        </w:rPr>
        <w:t>pārdot koģenerācijā saražoto elektroenerģiju obligātā iepirkuma ietvaros vai saņemt maksu par koģenerācijas elektrostacijā uzstādīto elektrisko jaudu</w:t>
      </w:r>
      <w:r>
        <w:rPr>
          <w:shd w:val="clear" w:color="auto" w:fill="FFFFFF"/>
        </w:rPr>
        <w:t>.</w:t>
      </w:r>
    </w:p>
    <w:p w14:paraId="5938A57F" w14:textId="7F89B674" w:rsidR="00630BA7" w:rsidRPr="0071287E" w:rsidRDefault="001547B6" w:rsidP="00A62A0B">
      <w:pPr>
        <w:spacing w:line="276" w:lineRule="auto"/>
        <w:ind w:firstLine="567"/>
        <w:jc w:val="both"/>
      </w:pPr>
      <w:r>
        <w:rPr>
          <w:shd w:val="clear" w:color="auto" w:fill="FFFFFF"/>
        </w:rPr>
        <w:t xml:space="preserve">Tādējādi tas, ka </w:t>
      </w:r>
      <w:r>
        <w:t xml:space="preserve">iestāde strīdus brīdinājumos ir norādījusi, ka pārbaudes ietvaros tika konstatēti normatīvo aktu pārkāpumi pieteicējas koģenerācijas stacijas darbībā, nav pamats </w:t>
      </w:r>
      <w:r>
        <w:lastRenderedPageBreak/>
        <w:t xml:space="preserve">strīdus brīdinājumus vērtēt kā tādus, kas paši par sevi rada būtisku tiesību vai tiesisko interešu aizskārumu. </w:t>
      </w:r>
    </w:p>
    <w:p w14:paraId="0CFBABD3" w14:textId="77777777" w:rsidR="00C10B1D" w:rsidRPr="0071287E" w:rsidRDefault="00C10B1D" w:rsidP="00F5006F">
      <w:pPr>
        <w:spacing w:line="276" w:lineRule="auto"/>
        <w:ind w:firstLine="567"/>
        <w:jc w:val="both"/>
      </w:pPr>
    </w:p>
    <w:p w14:paraId="4867494E" w14:textId="56F90EE1" w:rsidR="001547B6" w:rsidRDefault="00C10B1D" w:rsidP="001547B6">
      <w:pPr>
        <w:spacing w:line="276" w:lineRule="auto"/>
        <w:ind w:firstLine="567"/>
        <w:jc w:val="both"/>
      </w:pPr>
      <w:r w:rsidRPr="0071287E">
        <w:t>[</w:t>
      </w:r>
      <w:r w:rsidR="00556757">
        <w:t>8</w:t>
      </w:r>
      <w:r w:rsidRPr="0071287E">
        <w:t>] </w:t>
      </w:r>
      <w:r w:rsidR="001547B6">
        <w:t xml:space="preserve">Senāts nevar piekrist arī pieteicējas uzskatam, ka </w:t>
      </w:r>
      <w:r w:rsidR="001547B6" w:rsidRPr="0071287E">
        <w:t>atbilstoši noteikumu Nr.</w:t>
      </w:r>
      <w:r w:rsidR="00A2057A">
        <w:t> </w:t>
      </w:r>
      <w:r w:rsidR="001547B6" w:rsidRPr="0071287E">
        <w:t>221 46.</w:t>
      </w:r>
      <w:r w:rsidR="001547B6" w:rsidRPr="0071287E">
        <w:rPr>
          <w:vertAlign w:val="superscript"/>
        </w:rPr>
        <w:t>3</w:t>
      </w:r>
      <w:r w:rsidR="001547B6" w:rsidRPr="0071287E">
        <w:t>punkt</w:t>
      </w:r>
      <w:r w:rsidR="001547B6">
        <w:t>am</w:t>
      </w:r>
      <w:r w:rsidR="001547B6" w:rsidRPr="0071287E">
        <w:t xml:space="preserve"> </w:t>
      </w:r>
      <w:r w:rsidR="001547B6">
        <w:t xml:space="preserve">strīdus brīdinājumi </w:t>
      </w:r>
      <w:r w:rsidR="001547B6" w:rsidRPr="00CB3F1A">
        <w:t xml:space="preserve">dod tiesisku pamatu </w:t>
      </w:r>
      <w:r w:rsidR="001547B6">
        <w:t xml:space="preserve">iestādei </w:t>
      </w:r>
      <w:r w:rsidR="001547B6" w:rsidRPr="00CB3F1A">
        <w:t>atņemt komersantam tiesības pārdot saražoto elektroenerģiju obligātā iepirkuma ietvaros</w:t>
      </w:r>
      <w:proofErr w:type="gramStart"/>
      <w:r w:rsidR="001728C9" w:rsidRPr="001728C9">
        <w:t xml:space="preserve"> </w:t>
      </w:r>
      <w:r w:rsidR="001728C9">
        <w:t>un</w:t>
      </w:r>
      <w:proofErr w:type="gramEnd"/>
      <w:r w:rsidR="001728C9">
        <w:t xml:space="preserve"> līdz ar to pilda papildu sodīšanas funkciju</w:t>
      </w:r>
      <w:r w:rsidR="001547B6" w:rsidRPr="00CB3F1A">
        <w:t>.</w:t>
      </w:r>
    </w:p>
    <w:p w14:paraId="094E4077" w14:textId="6B81BC75" w:rsidR="001728C9" w:rsidRDefault="00A2057A" w:rsidP="001547B6">
      <w:pPr>
        <w:spacing w:line="276" w:lineRule="auto"/>
        <w:ind w:firstLine="567"/>
        <w:jc w:val="both"/>
        <w:rPr>
          <w:shd w:val="clear" w:color="auto" w:fill="FFFFFF"/>
        </w:rPr>
      </w:pPr>
      <w:r>
        <w:rPr>
          <w:shd w:val="clear" w:color="auto" w:fill="FFFFFF"/>
        </w:rPr>
        <w:t>Minētā noteikumu Nr. </w:t>
      </w:r>
      <w:r w:rsidR="001728C9">
        <w:rPr>
          <w:shd w:val="clear" w:color="auto" w:fill="FFFFFF"/>
        </w:rPr>
        <w:t>221 norma noteic: j</w:t>
      </w:r>
      <w:r w:rsidR="001728C9" w:rsidRPr="00A62A0B">
        <w:rPr>
          <w:shd w:val="clear" w:color="auto" w:fill="FFFFFF"/>
        </w:rPr>
        <w:t xml:space="preserve">a ministrija iepriekšējo triju gadu laikā komersantam ir nosūtījusi trīs brīdinājumus </w:t>
      </w:r>
      <w:r w:rsidR="001728C9">
        <w:rPr>
          <w:shd w:val="clear" w:color="auto" w:fill="FFFFFF"/>
        </w:rPr>
        <w:t xml:space="preserve">citastarp saskaņā ar </w:t>
      </w:r>
      <w:r w:rsidR="001728C9" w:rsidRPr="00A62A0B">
        <w:rPr>
          <w:shd w:val="clear" w:color="auto" w:fill="FFFFFF"/>
        </w:rPr>
        <w:t>45.</w:t>
      </w:r>
      <w:r w:rsidR="001728C9" w:rsidRPr="00A62A0B">
        <w:rPr>
          <w:shd w:val="clear" w:color="auto" w:fill="FFFFFF"/>
          <w:vertAlign w:val="superscript"/>
        </w:rPr>
        <w:t>2 </w:t>
      </w:r>
      <w:r w:rsidR="001728C9" w:rsidRPr="00A62A0B">
        <w:rPr>
          <w:shd w:val="clear" w:color="auto" w:fill="FFFFFF"/>
        </w:rPr>
        <w:t>4. vai 45.</w:t>
      </w:r>
      <w:r w:rsidR="001728C9" w:rsidRPr="00A62A0B">
        <w:rPr>
          <w:shd w:val="clear" w:color="auto" w:fill="FFFFFF"/>
          <w:vertAlign w:val="superscript"/>
        </w:rPr>
        <w:t>2 </w:t>
      </w:r>
      <w:r w:rsidR="001728C9" w:rsidRPr="00A62A0B">
        <w:rPr>
          <w:shd w:val="clear" w:color="auto" w:fill="FFFFFF"/>
        </w:rPr>
        <w:t xml:space="preserve">5.apakšpunktu un ministrija konstatē komersanta vai tā koģenerācijas elektrostacijas neatbilstību </w:t>
      </w:r>
      <w:r w:rsidR="001728C9">
        <w:rPr>
          <w:shd w:val="clear" w:color="auto" w:fill="FFFFFF"/>
        </w:rPr>
        <w:t>konkrētām normatīvo aktu prasībām</w:t>
      </w:r>
      <w:r w:rsidR="001728C9" w:rsidRPr="00A62A0B">
        <w:rPr>
          <w:shd w:val="clear" w:color="auto" w:fill="FFFFFF"/>
        </w:rPr>
        <w:t xml:space="preserve">, ministrija mēneša laikā pieņem lēmumu, ar kuru tiek atceltas komersantam piešķirtās tiesības pārdot koģenerācijā saražoto elektroenerģiju obligātā iepirkuma ietvaros vai saņemt maksu par koģenerācijas elektrostacijā uzstādīto elektrisko jaudu. </w:t>
      </w:r>
    </w:p>
    <w:p w14:paraId="25498F21" w14:textId="77777777" w:rsidR="00A12483" w:rsidRDefault="001728C9" w:rsidP="00A12483">
      <w:pPr>
        <w:spacing w:line="276" w:lineRule="auto"/>
        <w:ind w:firstLine="567"/>
        <w:jc w:val="both"/>
        <w:rPr>
          <w:shd w:val="clear" w:color="auto" w:fill="FFFFFF"/>
        </w:rPr>
      </w:pPr>
      <w:r>
        <w:rPr>
          <w:shd w:val="clear" w:color="auto" w:fill="FFFFFF"/>
        </w:rPr>
        <w:t xml:space="preserve">Kā redzams no minētās tiesību normas, iestādei ir pamats pieņemt lēmumu, </w:t>
      </w:r>
      <w:r w:rsidRPr="00CB3F1A">
        <w:rPr>
          <w:shd w:val="clear" w:color="auto" w:fill="FFFFFF"/>
        </w:rPr>
        <w:t>ar kuru tiek atceltas komersantam piešķirtās tiesības</w:t>
      </w:r>
      <w:r>
        <w:rPr>
          <w:shd w:val="clear" w:color="auto" w:fill="FFFFFF"/>
        </w:rPr>
        <w:t xml:space="preserve">, tad, ja </w:t>
      </w:r>
      <w:r w:rsidRPr="00CB3F1A">
        <w:rPr>
          <w:shd w:val="clear" w:color="auto" w:fill="FFFFFF"/>
        </w:rPr>
        <w:t>iepriekšējo triju gadu laikā komersantam ir nosūtī</w:t>
      </w:r>
      <w:r>
        <w:rPr>
          <w:shd w:val="clear" w:color="auto" w:fill="FFFFFF"/>
        </w:rPr>
        <w:t>ti</w:t>
      </w:r>
      <w:r w:rsidRPr="00CB3F1A">
        <w:rPr>
          <w:shd w:val="clear" w:color="auto" w:fill="FFFFFF"/>
        </w:rPr>
        <w:t xml:space="preserve"> trīs brīdinājum</w:t>
      </w:r>
      <w:r>
        <w:rPr>
          <w:shd w:val="clear" w:color="auto" w:fill="FFFFFF"/>
        </w:rPr>
        <w:t xml:space="preserve">i </w:t>
      </w:r>
      <w:r w:rsidRPr="00A62A0B">
        <w:rPr>
          <w:i/>
          <w:iCs/>
          <w:shd w:val="clear" w:color="auto" w:fill="FFFFFF"/>
        </w:rPr>
        <w:t>un</w:t>
      </w:r>
      <w:r>
        <w:rPr>
          <w:shd w:val="clear" w:color="auto" w:fill="FFFFFF"/>
        </w:rPr>
        <w:t xml:space="preserve"> </w:t>
      </w:r>
      <w:r w:rsidR="00A12483" w:rsidRPr="00CB3F1A">
        <w:rPr>
          <w:shd w:val="clear" w:color="auto" w:fill="FFFFFF"/>
        </w:rPr>
        <w:t xml:space="preserve">ministrija konstatē komersanta vai tā koģenerācijas elektrostacijas neatbilstību </w:t>
      </w:r>
      <w:r w:rsidR="00A12483">
        <w:rPr>
          <w:shd w:val="clear" w:color="auto" w:fill="FFFFFF"/>
        </w:rPr>
        <w:t xml:space="preserve">konkrētām normatīvo aktu prasībām. Tātad brīdinājumu esība pati par sevi nav pietiekams iemesls komersantam piešķirto tiesību atņemšanai, jo šāda lēmuma pieņemšana ir pieļaujama vienīgi tad, ja papildus brīdinājumu esībai iestāde konstatē </w:t>
      </w:r>
      <w:r w:rsidR="00A12483" w:rsidRPr="00CB3F1A">
        <w:rPr>
          <w:shd w:val="clear" w:color="auto" w:fill="FFFFFF"/>
        </w:rPr>
        <w:t xml:space="preserve">komersanta vai tā koģenerācijas elektrostacijas neatbilstību </w:t>
      </w:r>
      <w:r w:rsidR="00A12483">
        <w:rPr>
          <w:shd w:val="clear" w:color="auto" w:fill="FFFFFF"/>
        </w:rPr>
        <w:t xml:space="preserve">konkrētām normatīvo aktu prasībām. </w:t>
      </w:r>
    </w:p>
    <w:p w14:paraId="032EA857" w14:textId="1A218FDD" w:rsidR="00A12483" w:rsidRDefault="00A12483" w:rsidP="00A12483">
      <w:pPr>
        <w:spacing w:line="276" w:lineRule="auto"/>
        <w:ind w:firstLine="567"/>
        <w:jc w:val="both"/>
        <w:rPr>
          <w:shd w:val="clear" w:color="auto" w:fill="FFFFFF"/>
        </w:rPr>
      </w:pPr>
      <w:proofErr w:type="gramStart"/>
      <w:r>
        <w:rPr>
          <w:shd w:val="clear" w:color="auto" w:fill="FFFFFF"/>
        </w:rPr>
        <w:t>Turklāt</w:t>
      </w:r>
      <w:r w:rsidR="00A35D92">
        <w:rPr>
          <w:shd w:val="clear" w:color="auto" w:fill="FFFFFF"/>
        </w:rPr>
        <w:t>,</w:t>
      </w:r>
      <w:proofErr w:type="gramEnd"/>
      <w:r w:rsidR="00A35D92">
        <w:rPr>
          <w:shd w:val="clear" w:color="auto" w:fill="FFFFFF"/>
        </w:rPr>
        <w:t xml:space="preserve"> Senāta ieskatā, </w:t>
      </w:r>
      <w:r>
        <w:rPr>
          <w:shd w:val="clear" w:color="auto" w:fill="FFFFFF"/>
        </w:rPr>
        <w:t xml:space="preserve">konkrētās normas mērķis ir </w:t>
      </w:r>
      <w:proofErr w:type="spellStart"/>
      <w:r w:rsidR="00A35D92">
        <w:rPr>
          <w:shd w:val="clear" w:color="auto" w:fill="FFFFFF"/>
        </w:rPr>
        <w:t>citstarp</w:t>
      </w:r>
      <w:proofErr w:type="spellEnd"/>
      <w:r w:rsidR="00A35D92">
        <w:rPr>
          <w:shd w:val="clear" w:color="auto" w:fill="FFFFFF"/>
        </w:rPr>
        <w:t xml:space="preserve"> </w:t>
      </w:r>
      <w:r>
        <w:rPr>
          <w:shd w:val="clear" w:color="auto" w:fill="FFFFFF"/>
        </w:rPr>
        <w:t xml:space="preserve">nodrošināt, lai </w:t>
      </w:r>
      <w:r w:rsidRPr="00CB3F1A">
        <w:rPr>
          <w:shd w:val="clear" w:color="auto" w:fill="FFFFFF"/>
        </w:rPr>
        <w:t xml:space="preserve">tiesības pārdot koģenerācijā saražoto elektroenerģiju obligātā iepirkuma ietvaros </w:t>
      </w:r>
      <w:r>
        <w:rPr>
          <w:shd w:val="clear" w:color="auto" w:fill="FFFFFF"/>
        </w:rPr>
        <w:t xml:space="preserve">tiktu liegtas tādiem komersantiem, kuri ilgstošā laika posmā (triju gada laikā) </w:t>
      </w:r>
      <w:r w:rsidR="00A35D92">
        <w:rPr>
          <w:shd w:val="clear" w:color="auto" w:fill="FFFFFF"/>
        </w:rPr>
        <w:t xml:space="preserve">sistemātiski </w:t>
      </w:r>
      <w:r>
        <w:rPr>
          <w:shd w:val="clear" w:color="auto" w:fill="FFFFFF"/>
        </w:rPr>
        <w:t>pieļāvuši normatīvo aktu pārkāpumus</w:t>
      </w:r>
      <w:r w:rsidR="00A35D92">
        <w:rPr>
          <w:shd w:val="clear" w:color="auto" w:fill="FFFFFF"/>
        </w:rPr>
        <w:t xml:space="preserve">. Līdz ar to arī brīdinājumu esības kritērijs nav vērtējams formāli, proti, nebūtu pietiekami, ka formāli tiek konstatēts brīdinājumu nosūtīšanas fakts, nozīme ir arī tam, vai konkrētie brīdinājumi pēc būtības bijuši pamatoti. Tas nozīmē, ka iestādei, lemjot par </w:t>
      </w:r>
      <w:r w:rsidR="00A35D92" w:rsidRPr="0071287E">
        <w:t>noteikumu Nr.</w:t>
      </w:r>
      <w:r w:rsidR="003C5402">
        <w:t> </w:t>
      </w:r>
      <w:r w:rsidR="00A35D92" w:rsidRPr="0071287E">
        <w:t>221 46.</w:t>
      </w:r>
      <w:r w:rsidR="00A35D92" w:rsidRPr="0071287E">
        <w:rPr>
          <w:vertAlign w:val="superscript"/>
        </w:rPr>
        <w:t>3</w:t>
      </w:r>
      <w:r w:rsidR="00A35D92" w:rsidRPr="0071287E">
        <w:t>punkt</w:t>
      </w:r>
      <w:r w:rsidR="00A35D92">
        <w:t>ā paredzētā lēmuma pieņemšanu, citastarp būtu jāpārbauda konkrētajam komersantam nosūtīto brīdinājumu pamatotība, ja komersants šajā sakarā izvirza kādus iebildumus.</w:t>
      </w:r>
      <w:r w:rsidR="00383C80">
        <w:t xml:space="preserve"> Tātad strīdus brīdinājumiem pašiem par sevi nav saistošas ietekmes uz pieteicējas tiesībām </w:t>
      </w:r>
      <w:r w:rsidR="00383C80" w:rsidRPr="00CB3F1A">
        <w:rPr>
          <w:shd w:val="clear" w:color="auto" w:fill="FFFFFF"/>
        </w:rPr>
        <w:t>pārdot elektroenerģiju obligātā iepirkuma ietvaros</w:t>
      </w:r>
      <w:r w:rsidR="00383C80">
        <w:rPr>
          <w:shd w:val="clear" w:color="auto" w:fill="FFFFFF"/>
        </w:rPr>
        <w:t>.</w:t>
      </w:r>
    </w:p>
    <w:p w14:paraId="60047C55" w14:textId="1498DB8B" w:rsidR="001728C9" w:rsidRDefault="00A35D92" w:rsidP="001728C9">
      <w:pPr>
        <w:spacing w:line="276" w:lineRule="auto"/>
        <w:ind w:firstLine="567"/>
        <w:jc w:val="both"/>
      </w:pPr>
      <w:r>
        <w:t xml:space="preserve">Ievērojot minēto, </w:t>
      </w:r>
      <w:r w:rsidR="001728C9">
        <w:t xml:space="preserve">Senāts </w:t>
      </w:r>
      <w:r>
        <w:t xml:space="preserve">atzīst, ka arī noteikumu </w:t>
      </w:r>
      <w:r w:rsidRPr="0071287E">
        <w:t>Nr.</w:t>
      </w:r>
      <w:r w:rsidR="003C5402">
        <w:t> </w:t>
      </w:r>
      <w:r w:rsidRPr="0071287E">
        <w:t>221 46.</w:t>
      </w:r>
      <w:r w:rsidRPr="0071287E">
        <w:rPr>
          <w:vertAlign w:val="superscript"/>
        </w:rPr>
        <w:t>3</w:t>
      </w:r>
      <w:r w:rsidRPr="0071287E">
        <w:t>punkt</w:t>
      </w:r>
      <w:r>
        <w:t>a norma nedod pamatu uzskatīt, ka strīdus brīdinājumi</w:t>
      </w:r>
      <w:r w:rsidR="00556757">
        <w:t>em</w:t>
      </w:r>
      <w:r>
        <w:t xml:space="preserve"> paši</w:t>
      </w:r>
      <w:r w:rsidR="00556757">
        <w:t>em</w:t>
      </w:r>
      <w:r>
        <w:t xml:space="preserve"> par sevi </w:t>
      </w:r>
      <w:r w:rsidR="00556757">
        <w:t>ir tāda rakstura ietekme uz pieteicējas tiesībām vai tiesiskajām interesēm, lai tiktu pieļauta šādu brīdinājumu atsevišķa pārsūdzēšana administratīvā procesa kārtībā.</w:t>
      </w:r>
    </w:p>
    <w:p w14:paraId="2A2C25F4" w14:textId="77777777" w:rsidR="001C2885" w:rsidRPr="0071287E" w:rsidRDefault="001C2885" w:rsidP="00D57453">
      <w:pPr>
        <w:spacing w:line="276" w:lineRule="auto"/>
        <w:ind w:firstLine="567"/>
        <w:jc w:val="both"/>
      </w:pPr>
    </w:p>
    <w:p w14:paraId="7AB8C96B" w14:textId="2851F78A" w:rsidR="001C2885" w:rsidRPr="0071287E" w:rsidRDefault="001C2885" w:rsidP="00D57453">
      <w:pPr>
        <w:spacing w:line="276" w:lineRule="auto"/>
        <w:ind w:firstLine="567"/>
        <w:jc w:val="both"/>
      </w:pPr>
      <w:r w:rsidRPr="0071287E">
        <w:t>[</w:t>
      </w:r>
      <w:r w:rsidR="005C6DEE">
        <w:t>9] </w:t>
      </w:r>
      <w:r w:rsidR="00CF5712" w:rsidRPr="0071287E">
        <w:t>Nepamatots ir pieteicējas uzskats</w:t>
      </w:r>
      <w:r w:rsidR="001C29B5" w:rsidRPr="0071287E">
        <w:t xml:space="preserve">, ka </w:t>
      </w:r>
      <w:r w:rsidR="00556757">
        <w:t>tās</w:t>
      </w:r>
      <w:r w:rsidR="001C29B5" w:rsidRPr="0071287E">
        <w:t xml:space="preserve"> tiesības uz efektīvu tiesību aizsardzību tiesā netiks nodrošinātas, </w:t>
      </w:r>
      <w:r w:rsidR="00CF5712" w:rsidRPr="0071287E">
        <w:t>ja</w:t>
      </w:r>
      <w:r w:rsidR="001C29B5" w:rsidRPr="0071287E">
        <w:t xml:space="preserve"> </w:t>
      </w:r>
      <w:r w:rsidR="00CF5712" w:rsidRPr="0071287E">
        <w:t xml:space="preserve">pieteicēja nevarēs pārbaudīt </w:t>
      </w:r>
      <w:r w:rsidR="00754CCA">
        <w:t>katra no ministrijas nosūtītajiem</w:t>
      </w:r>
      <w:r w:rsidR="00CF5712" w:rsidRPr="0071287E">
        <w:t xml:space="preserve"> brīdinājum</w:t>
      </w:r>
      <w:r w:rsidR="00754CCA">
        <w:t>iem</w:t>
      </w:r>
      <w:r w:rsidR="00CF5712" w:rsidRPr="0071287E">
        <w:t xml:space="preserve"> pamatotību</w:t>
      </w:r>
      <w:r w:rsidR="001C29B5" w:rsidRPr="0071287E">
        <w:t xml:space="preserve"> pirms galīgā lēmuma pieņemšanas.</w:t>
      </w:r>
    </w:p>
    <w:p w14:paraId="2ABBBF77" w14:textId="750E9CE2" w:rsidR="00EF5B42" w:rsidRDefault="00CC0CB5" w:rsidP="00556757">
      <w:pPr>
        <w:spacing w:line="276" w:lineRule="auto"/>
        <w:ind w:firstLine="567"/>
        <w:jc w:val="both"/>
      </w:pPr>
      <w:r w:rsidRPr="0071287E">
        <w:t>Senāts savā praksē ir atzinis, ka tiesības uz taisnīgu tiesu nav jāsaprot tādējādi, ka personai ir ļauts vērsties tiesā par jebkuru tiesību jautājumu vai par jebkuru šķietamu tiesību aizskārumu (</w:t>
      </w:r>
      <w:bookmarkStart w:id="3" w:name="_Hlk34142777"/>
      <w:r w:rsidRPr="0071287E">
        <w:rPr>
          <w:i/>
        </w:rPr>
        <w:t xml:space="preserve">Senāta </w:t>
      </w:r>
      <w:proofErr w:type="gramStart"/>
      <w:r w:rsidRPr="0071287E">
        <w:rPr>
          <w:i/>
        </w:rPr>
        <w:t>2018.gada</w:t>
      </w:r>
      <w:proofErr w:type="gramEnd"/>
      <w:r w:rsidRPr="0071287E">
        <w:rPr>
          <w:i/>
        </w:rPr>
        <w:t xml:space="preserve"> 28.novembra rīcības sēdes lēmum</w:t>
      </w:r>
      <w:r w:rsidR="00556757">
        <w:rPr>
          <w:i/>
        </w:rPr>
        <w:t>a</w:t>
      </w:r>
      <w:r w:rsidRPr="0071287E">
        <w:rPr>
          <w:i/>
        </w:rPr>
        <w:t xml:space="preserve"> lietā Nr.</w:t>
      </w:r>
      <w:r w:rsidR="003C5402">
        <w:rPr>
          <w:i/>
        </w:rPr>
        <w:t> </w:t>
      </w:r>
      <w:r w:rsidRPr="0071287E">
        <w:rPr>
          <w:i/>
        </w:rPr>
        <w:t xml:space="preserve">SKA-1661/2018 </w:t>
      </w:r>
      <w:r w:rsidR="003C5402" w:rsidRPr="00A71D03">
        <w:rPr>
          <w:i/>
        </w:rPr>
        <w:t>(ECLI:LV:AT:2018:1128.SKA166118.4.L)</w:t>
      </w:r>
      <w:r w:rsidR="003C5402">
        <w:rPr>
          <w:i/>
        </w:rPr>
        <w:t xml:space="preserve"> </w:t>
      </w:r>
      <w:bookmarkEnd w:id="3"/>
      <w:r w:rsidRPr="0071287E">
        <w:rPr>
          <w:i/>
        </w:rPr>
        <w:t>6.punkt</w:t>
      </w:r>
      <w:r w:rsidR="00556757">
        <w:rPr>
          <w:i/>
        </w:rPr>
        <w:t>s</w:t>
      </w:r>
      <w:r w:rsidRPr="0071287E">
        <w:t xml:space="preserve">). </w:t>
      </w:r>
      <w:r w:rsidR="00556757">
        <w:t>Turklāt t</w:t>
      </w:r>
      <w:r w:rsidR="003F1848" w:rsidRPr="0071287E">
        <w:t xml:space="preserve">as, ka </w:t>
      </w:r>
      <w:r w:rsidR="00020DF4">
        <w:t>brīdinājumus</w:t>
      </w:r>
      <w:r w:rsidR="001C2885" w:rsidRPr="0071287E">
        <w:t xml:space="preserve"> nevar pārsūdzēt, pirms nav pieņemts galīgais lēmums, nenozīmē, ka </w:t>
      </w:r>
      <w:r w:rsidR="00556757">
        <w:t>tātad attiecīg</w:t>
      </w:r>
      <w:r w:rsidR="00020DF4">
        <w:t>o</w:t>
      </w:r>
      <w:r w:rsidR="00556757">
        <w:t xml:space="preserve"> </w:t>
      </w:r>
      <w:proofErr w:type="spellStart"/>
      <w:r w:rsidR="00556757">
        <w:t>starplēmum</w:t>
      </w:r>
      <w:r w:rsidR="00020DF4">
        <w:t>u</w:t>
      </w:r>
      <w:proofErr w:type="spellEnd"/>
      <w:r w:rsidR="00556757">
        <w:t xml:space="preserve"> kontrole vispār tiek liegta. Kā jau minēts, šādu </w:t>
      </w:r>
      <w:proofErr w:type="spellStart"/>
      <w:r w:rsidR="00556757">
        <w:t>starplēmumu</w:t>
      </w:r>
      <w:proofErr w:type="spellEnd"/>
      <w:r w:rsidR="00556757">
        <w:t xml:space="preserve"> kontrole būs iespējama vienlaikus </w:t>
      </w:r>
      <w:r w:rsidR="00556757">
        <w:lastRenderedPageBreak/>
        <w:t>ar galīgo administratīvo aktu</w:t>
      </w:r>
      <w:r w:rsidR="00D91640">
        <w:t xml:space="preserve"> (ja </w:t>
      </w:r>
      <w:r w:rsidR="00C94E62">
        <w:t>šāds pieteicējai nelabvēlīgs administratīvais akts</w:t>
      </w:r>
      <w:r w:rsidR="00D91640">
        <w:t xml:space="preserve"> tiks pieņemts)</w:t>
      </w:r>
      <w:r w:rsidR="00556757">
        <w:t xml:space="preserve">. </w:t>
      </w:r>
    </w:p>
    <w:p w14:paraId="1FD0B722" w14:textId="77777777" w:rsidR="00556757" w:rsidRPr="0071287E" w:rsidRDefault="00556757" w:rsidP="00A62A0B">
      <w:pPr>
        <w:spacing w:line="276" w:lineRule="auto"/>
        <w:ind w:firstLine="567"/>
        <w:jc w:val="both"/>
      </w:pPr>
    </w:p>
    <w:p w14:paraId="21F4679C" w14:textId="55CD79DE" w:rsidR="00536D1F" w:rsidRPr="0071287E" w:rsidRDefault="00020DF4" w:rsidP="00536D1F">
      <w:pPr>
        <w:spacing w:line="276" w:lineRule="auto"/>
        <w:ind w:firstLine="567"/>
        <w:jc w:val="both"/>
      </w:pPr>
      <w:r w:rsidRPr="0071287E" w:rsidDel="00020DF4">
        <w:t xml:space="preserve"> </w:t>
      </w:r>
      <w:r w:rsidR="00FB1525" w:rsidRPr="0071287E">
        <w:t>[</w:t>
      </w:r>
      <w:r w:rsidR="001C2885" w:rsidRPr="0071287E">
        <w:t>10</w:t>
      </w:r>
      <w:r w:rsidR="005C6DEE">
        <w:t>] </w:t>
      </w:r>
      <w:r>
        <w:t xml:space="preserve">Ievērojot minēto, </w:t>
      </w:r>
      <w:r w:rsidR="00FB1525" w:rsidRPr="0071287E">
        <w:t xml:space="preserve">pārsūdzētais rajona tiesas tiesneša lēmums atstājams negrozīts, bet pieteicējas blakus sūdzība noraidāma. </w:t>
      </w:r>
    </w:p>
    <w:p w14:paraId="518DEDDE" w14:textId="77777777" w:rsidR="00536D1F" w:rsidRPr="0071287E" w:rsidRDefault="00536D1F" w:rsidP="00536D1F">
      <w:pPr>
        <w:spacing w:line="276" w:lineRule="auto"/>
        <w:ind w:firstLine="567"/>
        <w:jc w:val="both"/>
      </w:pPr>
    </w:p>
    <w:p w14:paraId="766A9D54" w14:textId="77777777" w:rsidR="003047F5" w:rsidRPr="0071287E" w:rsidRDefault="003047F5" w:rsidP="001C1339">
      <w:pPr>
        <w:spacing w:line="276" w:lineRule="auto"/>
        <w:jc w:val="center"/>
        <w:rPr>
          <w:b/>
        </w:rPr>
      </w:pPr>
      <w:r w:rsidRPr="0071287E">
        <w:rPr>
          <w:b/>
        </w:rPr>
        <w:t>Rezolutīvā daļa</w:t>
      </w:r>
    </w:p>
    <w:p w14:paraId="732293BA" w14:textId="77777777" w:rsidR="003047F5" w:rsidRPr="0071287E" w:rsidRDefault="003047F5" w:rsidP="001C1339">
      <w:pPr>
        <w:spacing w:line="276" w:lineRule="auto"/>
        <w:ind w:firstLine="567"/>
        <w:jc w:val="both"/>
        <w:rPr>
          <w:bCs/>
          <w:spacing w:val="70"/>
        </w:rPr>
      </w:pPr>
    </w:p>
    <w:p w14:paraId="108A3C49" w14:textId="6A4410B5" w:rsidR="003047F5" w:rsidRPr="0071287E" w:rsidRDefault="003047F5" w:rsidP="001C1339">
      <w:pPr>
        <w:spacing w:line="276" w:lineRule="auto"/>
        <w:ind w:firstLine="567"/>
        <w:jc w:val="both"/>
        <w:rPr>
          <w:strike/>
        </w:rPr>
      </w:pPr>
      <w:r w:rsidRPr="0071287E">
        <w:t xml:space="preserve">Pamatojoties uz </w:t>
      </w:r>
      <w:r w:rsidR="00EA4C0B" w:rsidRPr="0071287E">
        <w:t xml:space="preserve">Administratīvā procesa likuma </w:t>
      </w:r>
      <w:proofErr w:type="gramStart"/>
      <w:r w:rsidR="00EA4C0B" w:rsidRPr="0071287E">
        <w:t>323.panta</w:t>
      </w:r>
      <w:proofErr w:type="gramEnd"/>
      <w:r w:rsidR="00EA4C0B" w:rsidRPr="0071287E">
        <w:t xml:space="preserve"> pirmās daļas </w:t>
      </w:r>
      <w:r w:rsidR="00495C81" w:rsidRPr="0071287E">
        <w:t>1.punktu</w:t>
      </w:r>
      <w:r w:rsidR="00EA4C0B" w:rsidRPr="0071287E">
        <w:t xml:space="preserve"> un 324.panta pirmo daļu</w:t>
      </w:r>
      <w:r w:rsidRPr="0071287E">
        <w:t xml:space="preserve">, </w:t>
      </w:r>
      <w:r w:rsidR="00804358" w:rsidRPr="0071287E">
        <w:t>Senāts</w:t>
      </w:r>
    </w:p>
    <w:p w14:paraId="22377DC9" w14:textId="77777777" w:rsidR="003047F5" w:rsidRPr="0071287E" w:rsidRDefault="003047F5" w:rsidP="001C1339">
      <w:pPr>
        <w:spacing w:line="276" w:lineRule="auto"/>
        <w:ind w:firstLine="567"/>
        <w:jc w:val="both"/>
      </w:pPr>
    </w:p>
    <w:p w14:paraId="45E14383" w14:textId="5041DC8D" w:rsidR="003047F5" w:rsidRPr="0071287E" w:rsidRDefault="003047F5" w:rsidP="001C1339">
      <w:pPr>
        <w:spacing w:line="276" w:lineRule="auto"/>
        <w:jc w:val="center"/>
        <w:rPr>
          <w:b/>
        </w:rPr>
      </w:pPr>
      <w:r w:rsidRPr="0071287E">
        <w:rPr>
          <w:b/>
        </w:rPr>
        <w:t>nolēma</w:t>
      </w:r>
    </w:p>
    <w:p w14:paraId="6DE7DAF8" w14:textId="77777777" w:rsidR="00A6596A" w:rsidRPr="0071287E" w:rsidRDefault="00A6596A" w:rsidP="001C1339">
      <w:pPr>
        <w:spacing w:line="276" w:lineRule="auto"/>
        <w:jc w:val="center"/>
        <w:rPr>
          <w:b/>
        </w:rPr>
      </w:pPr>
    </w:p>
    <w:p w14:paraId="08A122C8" w14:textId="3AA91DF8" w:rsidR="00A6596A" w:rsidRPr="0071287E" w:rsidRDefault="00495C81" w:rsidP="00577356">
      <w:pPr>
        <w:spacing w:line="276" w:lineRule="auto"/>
        <w:ind w:firstLine="567"/>
        <w:jc w:val="both"/>
      </w:pPr>
      <w:r w:rsidRPr="0071287E">
        <w:t>atstāt negrozītu Administratīvās</w:t>
      </w:r>
      <w:r w:rsidR="00577356" w:rsidRPr="0071287E">
        <w:t xml:space="preserve"> rajona tiesas tiesneša</w:t>
      </w:r>
      <w:r w:rsidR="001B0890" w:rsidRPr="0071287E">
        <w:t xml:space="preserve"> </w:t>
      </w:r>
      <w:proofErr w:type="gramStart"/>
      <w:r w:rsidR="001B0890" w:rsidRPr="0071287E">
        <w:t>2019.gada</w:t>
      </w:r>
      <w:proofErr w:type="gramEnd"/>
      <w:r w:rsidR="001B0890" w:rsidRPr="0071287E">
        <w:t xml:space="preserve"> 27.novembra</w:t>
      </w:r>
      <w:r w:rsidR="00577356" w:rsidRPr="0071287E">
        <w:t xml:space="preserve"> lēmumu</w:t>
      </w:r>
      <w:r w:rsidRPr="0071287E">
        <w:t xml:space="preserve">, </w:t>
      </w:r>
      <w:r w:rsidR="00577356" w:rsidRPr="0071287E">
        <w:t>ar kuru</w:t>
      </w:r>
      <w:r w:rsidRPr="0071287E">
        <w:t xml:space="preserve"> atteikts pieņemt </w:t>
      </w:r>
      <w:r w:rsidR="00577356" w:rsidRPr="0071287E">
        <w:t>SIA</w:t>
      </w:r>
      <w:r w:rsidRPr="0071287E">
        <w:t xml:space="preserve"> „</w:t>
      </w:r>
      <w:r w:rsidR="00577356" w:rsidRPr="0071287E">
        <w:t xml:space="preserve">Brocēnu Enerģija” pieteikumu, bet </w:t>
      </w:r>
      <w:r w:rsidRPr="0071287E">
        <w:t xml:space="preserve">blakus sūdzību noraidīt. </w:t>
      </w:r>
    </w:p>
    <w:p w14:paraId="4741D827" w14:textId="36076B33" w:rsidR="00F43FAD" w:rsidRPr="0011294C" w:rsidRDefault="00A6596A" w:rsidP="0093161F">
      <w:pPr>
        <w:spacing w:line="276" w:lineRule="auto"/>
        <w:ind w:firstLine="567"/>
        <w:jc w:val="both"/>
      </w:pPr>
      <w:r w:rsidRPr="0071287E">
        <w:t>Lēmums nav pārsūdzams.</w:t>
      </w:r>
    </w:p>
    <w:sectPr w:rsidR="00F43FAD" w:rsidRPr="0011294C" w:rsidSect="00F771D0">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928F1" w14:textId="77777777" w:rsidR="00EF7C5A" w:rsidRDefault="00EF7C5A" w:rsidP="003047F5">
      <w:r>
        <w:separator/>
      </w:r>
    </w:p>
  </w:endnote>
  <w:endnote w:type="continuationSeparator" w:id="0">
    <w:p w14:paraId="6AD2CEBE" w14:textId="77777777" w:rsidR="00EF7C5A" w:rsidRDefault="00EF7C5A"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1588" w14:textId="7EA345EE" w:rsidR="007057DD" w:rsidRDefault="007057D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11294C">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E41CA">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77E4E" w14:textId="77777777" w:rsidR="00EF7C5A" w:rsidRDefault="00EF7C5A" w:rsidP="003047F5">
      <w:r>
        <w:separator/>
      </w:r>
    </w:p>
  </w:footnote>
  <w:footnote w:type="continuationSeparator" w:id="0">
    <w:p w14:paraId="1F6CFE66" w14:textId="77777777" w:rsidR="00EF7C5A" w:rsidRDefault="00EF7C5A"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6296"/>
    <w:rsid w:val="00020DF4"/>
    <w:rsid w:val="0003571F"/>
    <w:rsid w:val="00066606"/>
    <w:rsid w:val="000818EC"/>
    <w:rsid w:val="0008726E"/>
    <w:rsid w:val="00095035"/>
    <w:rsid w:val="000A387A"/>
    <w:rsid w:val="000A5452"/>
    <w:rsid w:val="000B0A3A"/>
    <w:rsid w:val="000B233E"/>
    <w:rsid w:val="000C1D42"/>
    <w:rsid w:val="000C359F"/>
    <w:rsid w:val="000C7CBB"/>
    <w:rsid w:val="000D028D"/>
    <w:rsid w:val="000D5DAF"/>
    <w:rsid w:val="000E296E"/>
    <w:rsid w:val="000E36E1"/>
    <w:rsid w:val="000E3C70"/>
    <w:rsid w:val="001108D8"/>
    <w:rsid w:val="0011294C"/>
    <w:rsid w:val="00153814"/>
    <w:rsid w:val="001547B6"/>
    <w:rsid w:val="00155EA6"/>
    <w:rsid w:val="00162351"/>
    <w:rsid w:val="001646E9"/>
    <w:rsid w:val="00164755"/>
    <w:rsid w:val="001728C9"/>
    <w:rsid w:val="00191666"/>
    <w:rsid w:val="0019238A"/>
    <w:rsid w:val="00194F21"/>
    <w:rsid w:val="001A0495"/>
    <w:rsid w:val="001A5F75"/>
    <w:rsid w:val="001A71F2"/>
    <w:rsid w:val="001A72D9"/>
    <w:rsid w:val="001B0890"/>
    <w:rsid w:val="001B5CC8"/>
    <w:rsid w:val="001C1339"/>
    <w:rsid w:val="001C2504"/>
    <w:rsid w:val="001C2885"/>
    <w:rsid w:val="001C29B5"/>
    <w:rsid w:val="001D483A"/>
    <w:rsid w:val="001D7B5D"/>
    <w:rsid w:val="001E3A09"/>
    <w:rsid w:val="001E5B7F"/>
    <w:rsid w:val="001F1B0D"/>
    <w:rsid w:val="00200F3F"/>
    <w:rsid w:val="00202013"/>
    <w:rsid w:val="00203F9B"/>
    <w:rsid w:val="00206E8E"/>
    <w:rsid w:val="00234A95"/>
    <w:rsid w:val="00237F92"/>
    <w:rsid w:val="00260BFC"/>
    <w:rsid w:val="0027469B"/>
    <w:rsid w:val="002822AF"/>
    <w:rsid w:val="00284C0D"/>
    <w:rsid w:val="00293462"/>
    <w:rsid w:val="00295470"/>
    <w:rsid w:val="0029556E"/>
    <w:rsid w:val="002B2AA2"/>
    <w:rsid w:val="002C1A92"/>
    <w:rsid w:val="002C54CE"/>
    <w:rsid w:val="002D2E3F"/>
    <w:rsid w:val="002D3881"/>
    <w:rsid w:val="002D67F1"/>
    <w:rsid w:val="002E2FCE"/>
    <w:rsid w:val="003000CB"/>
    <w:rsid w:val="00301A51"/>
    <w:rsid w:val="003047F5"/>
    <w:rsid w:val="003078A9"/>
    <w:rsid w:val="003139F7"/>
    <w:rsid w:val="00326D53"/>
    <w:rsid w:val="0034311F"/>
    <w:rsid w:val="0035123E"/>
    <w:rsid w:val="0035346E"/>
    <w:rsid w:val="00367FB6"/>
    <w:rsid w:val="003721BC"/>
    <w:rsid w:val="00376F36"/>
    <w:rsid w:val="00383C80"/>
    <w:rsid w:val="00386453"/>
    <w:rsid w:val="00387B27"/>
    <w:rsid w:val="003A6975"/>
    <w:rsid w:val="003A7492"/>
    <w:rsid w:val="003B33CE"/>
    <w:rsid w:val="003B36AD"/>
    <w:rsid w:val="003C19A0"/>
    <w:rsid w:val="003C5402"/>
    <w:rsid w:val="003D302C"/>
    <w:rsid w:val="003D6715"/>
    <w:rsid w:val="003E73F4"/>
    <w:rsid w:val="003F1848"/>
    <w:rsid w:val="00421CAA"/>
    <w:rsid w:val="00424B84"/>
    <w:rsid w:val="00425ED3"/>
    <w:rsid w:val="0043182C"/>
    <w:rsid w:val="00446949"/>
    <w:rsid w:val="00452D50"/>
    <w:rsid w:val="00454DDD"/>
    <w:rsid w:val="00466D16"/>
    <w:rsid w:val="004810C4"/>
    <w:rsid w:val="00482020"/>
    <w:rsid w:val="00491DEC"/>
    <w:rsid w:val="00493A0F"/>
    <w:rsid w:val="00495C81"/>
    <w:rsid w:val="0049676F"/>
    <w:rsid w:val="00497CB6"/>
    <w:rsid w:val="004A3434"/>
    <w:rsid w:val="004A4903"/>
    <w:rsid w:val="004A607C"/>
    <w:rsid w:val="004A6F48"/>
    <w:rsid w:val="004A74B9"/>
    <w:rsid w:val="004B2F96"/>
    <w:rsid w:val="004D1CC8"/>
    <w:rsid w:val="004D2311"/>
    <w:rsid w:val="004D642A"/>
    <w:rsid w:val="004F1C6D"/>
    <w:rsid w:val="004F57D9"/>
    <w:rsid w:val="00502260"/>
    <w:rsid w:val="005062EA"/>
    <w:rsid w:val="00521A02"/>
    <w:rsid w:val="00521DBB"/>
    <w:rsid w:val="00522F50"/>
    <w:rsid w:val="0052456B"/>
    <w:rsid w:val="00534082"/>
    <w:rsid w:val="00535267"/>
    <w:rsid w:val="00536D1F"/>
    <w:rsid w:val="00537D57"/>
    <w:rsid w:val="00543E46"/>
    <w:rsid w:val="00545428"/>
    <w:rsid w:val="00545936"/>
    <w:rsid w:val="005463C3"/>
    <w:rsid w:val="005566D3"/>
    <w:rsid w:val="00556757"/>
    <w:rsid w:val="0055679F"/>
    <w:rsid w:val="00557210"/>
    <w:rsid w:val="00577356"/>
    <w:rsid w:val="005812F3"/>
    <w:rsid w:val="00583711"/>
    <w:rsid w:val="00584FF8"/>
    <w:rsid w:val="00591DCB"/>
    <w:rsid w:val="00595D44"/>
    <w:rsid w:val="005A3C20"/>
    <w:rsid w:val="005A5708"/>
    <w:rsid w:val="005B04E6"/>
    <w:rsid w:val="005B39A8"/>
    <w:rsid w:val="005B60A2"/>
    <w:rsid w:val="005C1BFC"/>
    <w:rsid w:val="005C6DEE"/>
    <w:rsid w:val="005E48D5"/>
    <w:rsid w:val="005E51A9"/>
    <w:rsid w:val="005E6706"/>
    <w:rsid w:val="005F367C"/>
    <w:rsid w:val="005F52AB"/>
    <w:rsid w:val="005F772C"/>
    <w:rsid w:val="00601A29"/>
    <w:rsid w:val="00602CC0"/>
    <w:rsid w:val="00607B5A"/>
    <w:rsid w:val="00621635"/>
    <w:rsid w:val="00622238"/>
    <w:rsid w:val="006222E1"/>
    <w:rsid w:val="006246E2"/>
    <w:rsid w:val="006272C4"/>
    <w:rsid w:val="00630BA7"/>
    <w:rsid w:val="006417E9"/>
    <w:rsid w:val="00651C30"/>
    <w:rsid w:val="00655651"/>
    <w:rsid w:val="00663059"/>
    <w:rsid w:val="0067393A"/>
    <w:rsid w:val="00675CB9"/>
    <w:rsid w:val="00684295"/>
    <w:rsid w:val="006973A4"/>
    <w:rsid w:val="006A6AC5"/>
    <w:rsid w:val="006D30D6"/>
    <w:rsid w:val="006D7BD9"/>
    <w:rsid w:val="006E06FD"/>
    <w:rsid w:val="006E6B5C"/>
    <w:rsid w:val="006F5D3B"/>
    <w:rsid w:val="007057DD"/>
    <w:rsid w:val="0071287E"/>
    <w:rsid w:val="00725779"/>
    <w:rsid w:val="007273C0"/>
    <w:rsid w:val="0073348C"/>
    <w:rsid w:val="0073496D"/>
    <w:rsid w:val="00735048"/>
    <w:rsid w:val="007546C6"/>
    <w:rsid w:val="00754CCA"/>
    <w:rsid w:val="00756C34"/>
    <w:rsid w:val="00772484"/>
    <w:rsid w:val="00781B22"/>
    <w:rsid w:val="00781DC2"/>
    <w:rsid w:val="00792AE4"/>
    <w:rsid w:val="007B1FD8"/>
    <w:rsid w:val="007B20CF"/>
    <w:rsid w:val="007B298E"/>
    <w:rsid w:val="007C4EF4"/>
    <w:rsid w:val="007C5A7F"/>
    <w:rsid w:val="007D1E82"/>
    <w:rsid w:val="007E24B4"/>
    <w:rsid w:val="007E4CA5"/>
    <w:rsid w:val="007F25EC"/>
    <w:rsid w:val="007F620E"/>
    <w:rsid w:val="00802555"/>
    <w:rsid w:val="00803D6A"/>
    <w:rsid w:val="00804358"/>
    <w:rsid w:val="00806D46"/>
    <w:rsid w:val="008140BF"/>
    <w:rsid w:val="00814385"/>
    <w:rsid w:val="008224E5"/>
    <w:rsid w:val="00827BE5"/>
    <w:rsid w:val="0084081D"/>
    <w:rsid w:val="00860EB1"/>
    <w:rsid w:val="00861E53"/>
    <w:rsid w:val="00872B86"/>
    <w:rsid w:val="00880C1F"/>
    <w:rsid w:val="008864B9"/>
    <w:rsid w:val="00887AB7"/>
    <w:rsid w:val="00893168"/>
    <w:rsid w:val="00893C1A"/>
    <w:rsid w:val="008A74F6"/>
    <w:rsid w:val="008A7F2B"/>
    <w:rsid w:val="008E41CA"/>
    <w:rsid w:val="008E5324"/>
    <w:rsid w:val="008F201E"/>
    <w:rsid w:val="00916828"/>
    <w:rsid w:val="009229FE"/>
    <w:rsid w:val="0093161F"/>
    <w:rsid w:val="0094339F"/>
    <w:rsid w:val="00943859"/>
    <w:rsid w:val="0094421E"/>
    <w:rsid w:val="009603D5"/>
    <w:rsid w:val="009639F7"/>
    <w:rsid w:val="00985E58"/>
    <w:rsid w:val="00991F25"/>
    <w:rsid w:val="00994EB0"/>
    <w:rsid w:val="009B0655"/>
    <w:rsid w:val="009B2DF1"/>
    <w:rsid w:val="009C59CD"/>
    <w:rsid w:val="009C7E5E"/>
    <w:rsid w:val="009F45F1"/>
    <w:rsid w:val="00A00062"/>
    <w:rsid w:val="00A12483"/>
    <w:rsid w:val="00A12C95"/>
    <w:rsid w:val="00A13584"/>
    <w:rsid w:val="00A2057A"/>
    <w:rsid w:val="00A2597E"/>
    <w:rsid w:val="00A31572"/>
    <w:rsid w:val="00A35D92"/>
    <w:rsid w:val="00A54C58"/>
    <w:rsid w:val="00A556E4"/>
    <w:rsid w:val="00A5766F"/>
    <w:rsid w:val="00A57F3C"/>
    <w:rsid w:val="00A62A0B"/>
    <w:rsid w:val="00A6596A"/>
    <w:rsid w:val="00A71D03"/>
    <w:rsid w:val="00A831F1"/>
    <w:rsid w:val="00A93596"/>
    <w:rsid w:val="00A972D2"/>
    <w:rsid w:val="00AB10A1"/>
    <w:rsid w:val="00AC4081"/>
    <w:rsid w:val="00AC546D"/>
    <w:rsid w:val="00AD2AAD"/>
    <w:rsid w:val="00AE5B72"/>
    <w:rsid w:val="00AF3CC6"/>
    <w:rsid w:val="00AF7B7D"/>
    <w:rsid w:val="00B1755B"/>
    <w:rsid w:val="00B2085D"/>
    <w:rsid w:val="00B249D5"/>
    <w:rsid w:val="00B44AB5"/>
    <w:rsid w:val="00B5446C"/>
    <w:rsid w:val="00B55FA9"/>
    <w:rsid w:val="00B60977"/>
    <w:rsid w:val="00B7407E"/>
    <w:rsid w:val="00B77A42"/>
    <w:rsid w:val="00B81A10"/>
    <w:rsid w:val="00B907DA"/>
    <w:rsid w:val="00B91E15"/>
    <w:rsid w:val="00BA34C0"/>
    <w:rsid w:val="00BA4663"/>
    <w:rsid w:val="00BB17D0"/>
    <w:rsid w:val="00BB4182"/>
    <w:rsid w:val="00BC3242"/>
    <w:rsid w:val="00BD63C2"/>
    <w:rsid w:val="00BD6889"/>
    <w:rsid w:val="00BF690F"/>
    <w:rsid w:val="00C10B1D"/>
    <w:rsid w:val="00C14E0C"/>
    <w:rsid w:val="00C27B1F"/>
    <w:rsid w:val="00C309B1"/>
    <w:rsid w:val="00C6652B"/>
    <w:rsid w:val="00C94E62"/>
    <w:rsid w:val="00CA0A07"/>
    <w:rsid w:val="00CB7C9C"/>
    <w:rsid w:val="00CC0CB5"/>
    <w:rsid w:val="00CC1DB1"/>
    <w:rsid w:val="00CC6A4A"/>
    <w:rsid w:val="00CD2FA4"/>
    <w:rsid w:val="00CE09D2"/>
    <w:rsid w:val="00CE42C2"/>
    <w:rsid w:val="00CF1B02"/>
    <w:rsid w:val="00CF5712"/>
    <w:rsid w:val="00CF6FDB"/>
    <w:rsid w:val="00CF7958"/>
    <w:rsid w:val="00D20882"/>
    <w:rsid w:val="00D3210B"/>
    <w:rsid w:val="00D3263F"/>
    <w:rsid w:val="00D4116B"/>
    <w:rsid w:val="00D56674"/>
    <w:rsid w:val="00D57453"/>
    <w:rsid w:val="00D64569"/>
    <w:rsid w:val="00D67596"/>
    <w:rsid w:val="00D7028E"/>
    <w:rsid w:val="00D91640"/>
    <w:rsid w:val="00D93B31"/>
    <w:rsid w:val="00DA016F"/>
    <w:rsid w:val="00DA5EC8"/>
    <w:rsid w:val="00DC41C9"/>
    <w:rsid w:val="00DC6328"/>
    <w:rsid w:val="00DD11EF"/>
    <w:rsid w:val="00E00116"/>
    <w:rsid w:val="00E13CEB"/>
    <w:rsid w:val="00E169CD"/>
    <w:rsid w:val="00E36433"/>
    <w:rsid w:val="00E56854"/>
    <w:rsid w:val="00E70B6A"/>
    <w:rsid w:val="00E756B4"/>
    <w:rsid w:val="00E9286C"/>
    <w:rsid w:val="00E97954"/>
    <w:rsid w:val="00EA4582"/>
    <w:rsid w:val="00EA4C0B"/>
    <w:rsid w:val="00EB133D"/>
    <w:rsid w:val="00EB182F"/>
    <w:rsid w:val="00EB7044"/>
    <w:rsid w:val="00EC7CC0"/>
    <w:rsid w:val="00ED1E13"/>
    <w:rsid w:val="00EE1308"/>
    <w:rsid w:val="00EE48B7"/>
    <w:rsid w:val="00EE683F"/>
    <w:rsid w:val="00EF041F"/>
    <w:rsid w:val="00EF5B42"/>
    <w:rsid w:val="00EF7C5A"/>
    <w:rsid w:val="00F0025B"/>
    <w:rsid w:val="00F01001"/>
    <w:rsid w:val="00F14A06"/>
    <w:rsid w:val="00F26475"/>
    <w:rsid w:val="00F43FAD"/>
    <w:rsid w:val="00F5006F"/>
    <w:rsid w:val="00F771D0"/>
    <w:rsid w:val="00F85E36"/>
    <w:rsid w:val="00F90A0F"/>
    <w:rsid w:val="00FA0F9B"/>
    <w:rsid w:val="00FA776A"/>
    <w:rsid w:val="00FB121F"/>
    <w:rsid w:val="00FB1525"/>
    <w:rsid w:val="00FB2671"/>
    <w:rsid w:val="00FB539F"/>
    <w:rsid w:val="00FC5AE2"/>
    <w:rsid w:val="00FC5F08"/>
    <w:rsid w:val="00FD2881"/>
    <w:rsid w:val="00FD6349"/>
    <w:rsid w:val="00FF29AD"/>
    <w:rsid w:val="00FF3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982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table" w:styleId="TableGrid">
    <w:name w:val="Table Grid"/>
    <w:basedOn w:val="TableNormal"/>
    <w:uiPriority w:val="39"/>
    <w:rsid w:val="008043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51A9"/>
    <w:rPr>
      <w:color w:val="0000FF"/>
      <w:u w:val="single"/>
    </w:rPr>
  </w:style>
  <w:style w:type="character" w:styleId="Emphasis">
    <w:name w:val="Emphasis"/>
    <w:basedOn w:val="DefaultParagraphFont"/>
    <w:uiPriority w:val="20"/>
    <w:qFormat/>
    <w:rsid w:val="00CA0A07"/>
    <w:rPr>
      <w:i/>
      <w:iCs/>
    </w:rPr>
  </w:style>
  <w:style w:type="character" w:styleId="UnresolvedMention">
    <w:name w:val="Unresolved Mention"/>
    <w:basedOn w:val="DefaultParagraphFont"/>
    <w:uiPriority w:val="99"/>
    <w:semiHidden/>
    <w:unhideWhenUsed/>
    <w:rsid w:val="0093161F"/>
    <w:rPr>
      <w:color w:val="605E5C"/>
      <w:shd w:val="clear" w:color="auto" w:fill="E1DFDD"/>
    </w:rPr>
  </w:style>
  <w:style w:type="character" w:styleId="FollowedHyperlink">
    <w:name w:val="FollowedHyperlink"/>
    <w:basedOn w:val="DefaultParagraphFont"/>
    <w:uiPriority w:val="99"/>
    <w:semiHidden/>
    <w:unhideWhenUsed/>
    <w:rsid w:val="009316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0606">
      <w:bodyDiv w:val="1"/>
      <w:marLeft w:val="0"/>
      <w:marRight w:val="0"/>
      <w:marTop w:val="0"/>
      <w:marBottom w:val="0"/>
      <w:divBdr>
        <w:top w:val="none" w:sz="0" w:space="0" w:color="auto"/>
        <w:left w:val="none" w:sz="0" w:space="0" w:color="auto"/>
        <w:bottom w:val="none" w:sz="0" w:space="0" w:color="auto"/>
        <w:right w:val="none" w:sz="0" w:space="0" w:color="auto"/>
      </w:divBdr>
    </w:div>
    <w:div w:id="38745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218.SKA084020.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1262F-941F-47BF-8FAE-7CAD679A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9002</Words>
  <Characters>5132</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2020-03-03T13:39:00Z</dcterms:created>
  <dcterms:modified xsi:type="dcterms:W3CDTF">2020-03-17T10:44:00Z</dcterms:modified>
</cp:coreProperties>
</file>