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E4F41" w14:textId="77777777" w:rsidR="00753E2F" w:rsidRPr="00895108" w:rsidRDefault="00753E2F" w:rsidP="00753E2F">
      <w:pPr>
        <w:spacing w:after="0"/>
        <w:jc w:val="both"/>
        <w:rPr>
          <w:rFonts w:ascii="Times New Roman" w:hAnsi="Times New Roman" w:cs="Times New Roman"/>
          <w:b/>
          <w:bCs/>
          <w:sz w:val="24"/>
          <w:szCs w:val="24"/>
          <w:lang w:val="lv-LV"/>
        </w:rPr>
      </w:pPr>
      <w:bookmarkStart w:id="0" w:name="OLE_LINK1"/>
      <w:bookmarkStart w:id="1" w:name="OLE_LINK2"/>
      <w:r w:rsidRPr="00895108">
        <w:rPr>
          <w:rFonts w:ascii="Times New Roman" w:hAnsi="Times New Roman" w:cs="Times New Roman"/>
          <w:b/>
          <w:bCs/>
          <w:sz w:val="24"/>
          <w:szCs w:val="24"/>
          <w:lang w:val="lv-LV"/>
        </w:rPr>
        <w:t>Elektrostacijas atrašanās vietas maiņas tiesiskās sekas, piešķirot tiesības pārdot saražoto elektroenerģiju obligātā iepirkuma ietvaros</w:t>
      </w:r>
    </w:p>
    <w:p w14:paraId="1A032F42" w14:textId="452B867C" w:rsidR="00753E2F" w:rsidRPr="00895108" w:rsidRDefault="00753E2F" w:rsidP="00753E2F">
      <w:pPr>
        <w:spacing w:after="0"/>
        <w:jc w:val="both"/>
        <w:rPr>
          <w:rFonts w:ascii="Times New Roman" w:hAnsi="Times New Roman" w:cs="Times New Roman"/>
          <w:sz w:val="24"/>
          <w:szCs w:val="24"/>
          <w:lang w:val="lv-LV"/>
        </w:rPr>
      </w:pPr>
      <w:r w:rsidRPr="00895108">
        <w:rPr>
          <w:rFonts w:ascii="Times New Roman" w:hAnsi="Times New Roman" w:cs="Times New Roman"/>
          <w:sz w:val="24"/>
          <w:szCs w:val="24"/>
          <w:lang w:val="lv-LV"/>
        </w:rPr>
        <w:t>Lēmumā par tiesībām pārdot elektroenerģiju obligātā iepirkuma ietvaros norādītā elektrostacijas atrašanās vieta ir būtiska šī administratīvā akta sastāvdaļa, un šīs atrašanās vietas grozīšana pēc būtības nozīmē pavisam jaunas tiesības piešķiršanu.</w:t>
      </w:r>
    </w:p>
    <w:p w14:paraId="0738A4C3" w14:textId="77777777" w:rsidR="00753E2F" w:rsidRPr="00895108" w:rsidRDefault="00753E2F" w:rsidP="00753E2F">
      <w:pPr>
        <w:spacing w:after="0"/>
        <w:jc w:val="both"/>
        <w:rPr>
          <w:rFonts w:ascii="Times New Roman" w:hAnsi="Times New Roman" w:cs="Times New Roman"/>
          <w:sz w:val="24"/>
          <w:szCs w:val="24"/>
          <w:lang w:val="lv-LV"/>
        </w:rPr>
      </w:pPr>
      <w:r w:rsidRPr="00895108">
        <w:rPr>
          <w:rFonts w:ascii="Times New Roman" w:hAnsi="Times New Roman" w:cs="Times New Roman"/>
          <w:sz w:val="24"/>
          <w:szCs w:val="24"/>
          <w:lang w:val="lv-LV"/>
        </w:rPr>
        <w:t>Tiesības pārdot citā atrašanās vietā (citā elektrostacijā) saražoto elektroenerģiju personai var tikt piešķirtas tikai ar jaunu administratīvo aktu un tikai tad, ja būtu izpildījušies visi normatīvajos tiesību aktos noteiktie priekšnoteikumi šāda administratīvā akta izdošanai.</w:t>
      </w:r>
    </w:p>
    <w:p w14:paraId="23157FA5" w14:textId="77777777" w:rsidR="00753E2F" w:rsidRPr="00220AD9" w:rsidRDefault="00753E2F" w:rsidP="00753E2F">
      <w:pPr>
        <w:spacing w:after="0"/>
        <w:jc w:val="center"/>
        <w:rPr>
          <w:rFonts w:ascii="Times New Roman" w:hAnsi="Times New Roman" w:cs="Times New Roman"/>
          <w:sz w:val="24"/>
          <w:szCs w:val="24"/>
          <w:lang w:val="lv-LV"/>
        </w:rPr>
      </w:pPr>
    </w:p>
    <w:p w14:paraId="0ACE9644" w14:textId="77777777" w:rsidR="00753E2F" w:rsidRDefault="00753E2F" w:rsidP="00753E2F">
      <w:pPr>
        <w:spacing w:after="0"/>
        <w:jc w:val="center"/>
        <w:rPr>
          <w:rFonts w:ascii="Times New Roman" w:hAnsi="Times New Roman" w:cs="Times New Roman"/>
          <w:b/>
          <w:sz w:val="24"/>
          <w:szCs w:val="24"/>
          <w:lang w:val="lv-LV"/>
        </w:rPr>
      </w:pPr>
      <w:r w:rsidRPr="00A33BB5">
        <w:rPr>
          <w:rFonts w:ascii="Times New Roman" w:hAnsi="Times New Roman" w:cs="Times New Roman"/>
          <w:b/>
          <w:sz w:val="24"/>
          <w:szCs w:val="24"/>
          <w:lang w:val="lv-LV"/>
        </w:rPr>
        <w:t>Latvijas Republikas Senāt</w:t>
      </w:r>
      <w:r>
        <w:rPr>
          <w:rFonts w:ascii="Times New Roman" w:hAnsi="Times New Roman" w:cs="Times New Roman"/>
          <w:b/>
          <w:sz w:val="24"/>
          <w:szCs w:val="24"/>
          <w:lang w:val="lv-LV"/>
        </w:rPr>
        <w:t>a</w:t>
      </w:r>
    </w:p>
    <w:p w14:paraId="32676075" w14:textId="77777777" w:rsidR="00753E2F" w:rsidRDefault="00753E2F" w:rsidP="00753E2F">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42EC335B" w14:textId="77777777" w:rsidR="00753E2F" w:rsidRPr="00A33BB5" w:rsidRDefault="00753E2F" w:rsidP="00753E2F">
      <w:pPr>
        <w:spacing w:after="0"/>
        <w:jc w:val="center"/>
        <w:rPr>
          <w:rFonts w:ascii="Times New Roman" w:hAnsi="Times New Roman" w:cs="Times New Roman"/>
          <w:b/>
          <w:sz w:val="24"/>
          <w:szCs w:val="24"/>
          <w:lang w:val="lv-LV"/>
        </w:rPr>
      </w:pPr>
      <w:proofErr w:type="gramStart"/>
      <w:r>
        <w:rPr>
          <w:rFonts w:ascii="Times New Roman" w:hAnsi="Times New Roman" w:cs="Times New Roman"/>
          <w:b/>
          <w:sz w:val="24"/>
          <w:szCs w:val="24"/>
          <w:lang w:val="lv-LV"/>
        </w:rPr>
        <w:t>2020.gada</w:t>
      </w:r>
      <w:proofErr w:type="gramEnd"/>
      <w:r>
        <w:rPr>
          <w:rFonts w:ascii="Times New Roman" w:hAnsi="Times New Roman" w:cs="Times New Roman"/>
          <w:b/>
          <w:sz w:val="24"/>
          <w:szCs w:val="24"/>
          <w:lang w:val="lv-LV"/>
        </w:rPr>
        <w:t xml:space="preserve"> 3.marta</w:t>
      </w:r>
    </w:p>
    <w:p w14:paraId="7A7B1581" w14:textId="77777777" w:rsidR="00753E2F" w:rsidRDefault="00753E2F" w:rsidP="00753E2F">
      <w:pPr>
        <w:spacing w:after="0"/>
        <w:jc w:val="center"/>
        <w:rPr>
          <w:rFonts w:ascii="Times New Roman" w:hAnsi="Times New Roman" w:cs="Times New Roman"/>
          <w:b/>
          <w:sz w:val="24"/>
          <w:szCs w:val="24"/>
          <w:lang w:val="lv-LV"/>
        </w:rPr>
      </w:pPr>
      <w:r w:rsidRPr="00A33BB5">
        <w:rPr>
          <w:rFonts w:ascii="Times New Roman" w:hAnsi="Times New Roman" w:cs="Times New Roman"/>
          <w:b/>
          <w:sz w:val="24"/>
          <w:szCs w:val="24"/>
          <w:lang w:val="lv-LV"/>
        </w:rPr>
        <w:t>SPRIEDUMS</w:t>
      </w:r>
    </w:p>
    <w:p w14:paraId="5EF4E1D5" w14:textId="77777777" w:rsidR="00753E2F" w:rsidRDefault="00753E2F" w:rsidP="00753E2F">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A420211015, SKA-8/2020</w:t>
      </w:r>
    </w:p>
    <w:p w14:paraId="73889ED6" w14:textId="77777777" w:rsidR="00753E2F" w:rsidRPr="00A33BB5" w:rsidRDefault="00A6376B" w:rsidP="00753E2F">
      <w:pPr>
        <w:spacing w:after="0"/>
        <w:jc w:val="center"/>
        <w:rPr>
          <w:rFonts w:ascii="Times New Roman" w:hAnsi="Times New Roman" w:cs="Times New Roman"/>
          <w:b/>
          <w:color w:val="0000FF"/>
          <w:sz w:val="24"/>
          <w:szCs w:val="24"/>
          <w:lang w:val="lv-LV"/>
        </w:rPr>
      </w:pPr>
      <w:hyperlink r:id="rId7" w:history="1">
        <w:r w:rsidR="00753E2F" w:rsidRPr="00A33BB5">
          <w:rPr>
            <w:rStyle w:val="Hyperlink"/>
            <w:rFonts w:ascii="Times New Roman" w:hAnsi="Times New Roman" w:cs="Times New Roman"/>
            <w:color w:val="0000FF"/>
            <w:sz w:val="24"/>
            <w:szCs w:val="24"/>
          </w:rPr>
          <w:t>ECLI:LV:</w:t>
        </w:r>
        <w:proofErr w:type="gramStart"/>
        <w:r w:rsidR="00753E2F" w:rsidRPr="00A33BB5">
          <w:rPr>
            <w:rStyle w:val="Hyperlink"/>
            <w:rFonts w:ascii="Times New Roman" w:hAnsi="Times New Roman" w:cs="Times New Roman"/>
            <w:color w:val="0000FF"/>
            <w:sz w:val="24"/>
            <w:szCs w:val="24"/>
          </w:rPr>
          <w:t>AT:2020:0303</w:t>
        </w:r>
        <w:proofErr w:type="gramEnd"/>
        <w:r w:rsidR="00753E2F" w:rsidRPr="00A33BB5">
          <w:rPr>
            <w:rStyle w:val="Hyperlink"/>
            <w:rFonts w:ascii="Times New Roman" w:hAnsi="Times New Roman" w:cs="Times New Roman"/>
            <w:color w:val="0000FF"/>
            <w:sz w:val="24"/>
            <w:szCs w:val="24"/>
          </w:rPr>
          <w:t>.A420211015.2.S</w:t>
        </w:r>
      </w:hyperlink>
    </w:p>
    <w:p w14:paraId="5B427E9D" w14:textId="77777777" w:rsidR="00753E2F" w:rsidRPr="00220AD9" w:rsidRDefault="00753E2F" w:rsidP="00753E2F">
      <w:pPr>
        <w:spacing w:after="0"/>
        <w:jc w:val="center"/>
        <w:rPr>
          <w:rFonts w:ascii="Times New Roman" w:hAnsi="Times New Roman" w:cs="Times New Roman"/>
          <w:sz w:val="24"/>
          <w:szCs w:val="24"/>
          <w:lang w:val="lv-LV"/>
        </w:rPr>
      </w:pPr>
    </w:p>
    <w:p w14:paraId="2100251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Tiesa šādā sastāvā: senatori Rudīte Vīduša, Dzintra Amerika un </w:t>
      </w:r>
      <w:r>
        <w:rPr>
          <w:rFonts w:ascii="Times New Roman" w:hAnsi="Times New Roman" w:cs="Times New Roman"/>
          <w:sz w:val="24"/>
          <w:szCs w:val="24"/>
          <w:lang w:val="lv-LV"/>
        </w:rPr>
        <w:t>Andris Guļāns</w:t>
      </w:r>
    </w:p>
    <w:p w14:paraId="1D9B3427"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662C855F" w14:textId="77777777" w:rsidR="00753E2F" w:rsidRPr="00220AD9" w:rsidRDefault="00753E2F" w:rsidP="00753E2F">
      <w:pPr>
        <w:spacing w:after="0"/>
        <w:ind w:firstLine="567"/>
        <w:jc w:val="both"/>
        <w:rPr>
          <w:rFonts w:ascii="Times New Roman" w:eastAsia="Times New Roman" w:hAnsi="Times New Roman" w:cs="Times New Roman"/>
          <w:sz w:val="24"/>
          <w:szCs w:val="24"/>
          <w:lang w:val="lv-LV" w:eastAsia="lv-LV"/>
        </w:rPr>
      </w:pPr>
      <w:r w:rsidRPr="00220AD9">
        <w:rPr>
          <w:rFonts w:ascii="Times New Roman" w:eastAsia="Times New Roman" w:hAnsi="Times New Roman" w:cs="Times New Roman"/>
          <w:sz w:val="24"/>
          <w:szCs w:val="24"/>
          <w:lang w:val="lv-LV" w:eastAsia="lv-LV"/>
        </w:rPr>
        <w:t xml:space="preserve">rakstveida procesā izskatīja administratīvo lietu, kas ierosināta, pamatojoties uz </w:t>
      </w:r>
      <w:r w:rsidRPr="00220AD9">
        <w:rPr>
          <w:rFonts w:ascii="Times New Roman" w:hAnsi="Times New Roman" w:cs="Times New Roman"/>
          <w:sz w:val="24"/>
          <w:szCs w:val="24"/>
          <w:lang w:val="lv-LV"/>
        </w:rPr>
        <w:t>SIA</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Lielmežotne” </w:t>
      </w:r>
      <w:r w:rsidRPr="00220AD9">
        <w:rPr>
          <w:rFonts w:ascii="Times New Roman" w:eastAsia="Times New Roman" w:hAnsi="Times New Roman" w:cs="Times New Roman"/>
          <w:sz w:val="24"/>
          <w:szCs w:val="24"/>
          <w:lang w:val="lv-LV" w:eastAsia="lv-LV"/>
        </w:rPr>
        <w:t xml:space="preserve">pieteikumu par labvēlīga administratīvā akta, ar kuru atlīdzinātu mantiskos zaudējumus 106 864,04 </w:t>
      </w:r>
      <w:proofErr w:type="spellStart"/>
      <w:r w:rsidRPr="00220AD9">
        <w:rPr>
          <w:rFonts w:ascii="Times New Roman" w:eastAsia="Times New Roman" w:hAnsi="Times New Roman" w:cs="Times New Roman"/>
          <w:i/>
          <w:iCs/>
          <w:sz w:val="24"/>
          <w:szCs w:val="24"/>
          <w:lang w:val="lv-LV" w:eastAsia="lv-LV"/>
        </w:rPr>
        <w:t>euro</w:t>
      </w:r>
      <w:proofErr w:type="spellEnd"/>
      <w:r w:rsidRPr="00220AD9">
        <w:rPr>
          <w:rFonts w:ascii="Times New Roman" w:eastAsia="Times New Roman" w:hAnsi="Times New Roman" w:cs="Times New Roman"/>
          <w:sz w:val="24"/>
          <w:szCs w:val="24"/>
          <w:lang w:val="lv-LV" w:eastAsia="lv-LV"/>
        </w:rPr>
        <w:t xml:space="preserve"> apmērā, izdošanu, sakarā ar SIA</w:t>
      </w:r>
      <w:r>
        <w:rPr>
          <w:rFonts w:ascii="Times New Roman" w:eastAsia="Times New Roman" w:hAnsi="Times New Roman" w:cs="Times New Roman"/>
          <w:sz w:val="24"/>
          <w:szCs w:val="24"/>
          <w:lang w:val="lv-LV" w:eastAsia="lv-LV"/>
        </w:rPr>
        <w:t> „</w:t>
      </w:r>
      <w:r w:rsidRPr="00220AD9">
        <w:rPr>
          <w:rFonts w:ascii="Times New Roman" w:eastAsia="Times New Roman" w:hAnsi="Times New Roman" w:cs="Times New Roman"/>
          <w:sz w:val="24"/>
          <w:szCs w:val="24"/>
          <w:lang w:val="lv-LV" w:eastAsia="lv-LV"/>
        </w:rPr>
        <w:t xml:space="preserve">Lielmežotne” kasācijas sūdzību par Administratīvās apgabaltiesas </w:t>
      </w:r>
      <w:proofErr w:type="gramStart"/>
      <w:r w:rsidRPr="00220AD9">
        <w:rPr>
          <w:rFonts w:ascii="Times New Roman" w:eastAsia="Times New Roman" w:hAnsi="Times New Roman" w:cs="Times New Roman"/>
          <w:sz w:val="24"/>
          <w:szCs w:val="24"/>
          <w:lang w:val="lv-LV" w:eastAsia="lv-LV"/>
        </w:rPr>
        <w:t>2016.gada</w:t>
      </w:r>
      <w:proofErr w:type="gramEnd"/>
      <w:r w:rsidRPr="00220AD9">
        <w:rPr>
          <w:rFonts w:ascii="Times New Roman" w:eastAsia="Times New Roman" w:hAnsi="Times New Roman" w:cs="Times New Roman"/>
          <w:sz w:val="24"/>
          <w:szCs w:val="24"/>
          <w:lang w:val="lv-LV" w:eastAsia="lv-LV"/>
        </w:rPr>
        <w:t xml:space="preserve"> 6.decembra spriedumu.</w:t>
      </w:r>
    </w:p>
    <w:p w14:paraId="5505791C" w14:textId="77777777" w:rsidR="00753E2F" w:rsidRPr="00220AD9" w:rsidRDefault="00753E2F" w:rsidP="00753E2F">
      <w:pPr>
        <w:spacing w:after="0"/>
        <w:rPr>
          <w:rFonts w:ascii="Times New Roman" w:eastAsia="Times New Roman" w:hAnsi="Times New Roman" w:cs="Times New Roman"/>
          <w:sz w:val="24"/>
          <w:szCs w:val="24"/>
          <w:lang w:val="lv-LV" w:eastAsia="lv-LV"/>
        </w:rPr>
      </w:pPr>
    </w:p>
    <w:p w14:paraId="4E03FAB7" w14:textId="77777777" w:rsidR="00753E2F" w:rsidRPr="00220AD9" w:rsidRDefault="00753E2F" w:rsidP="00753E2F">
      <w:pPr>
        <w:spacing w:after="0"/>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Aprakstošā daļa</w:t>
      </w:r>
    </w:p>
    <w:p w14:paraId="09B62CA1" w14:textId="77777777" w:rsidR="00753E2F" w:rsidRPr="00220AD9" w:rsidRDefault="00753E2F" w:rsidP="00753E2F">
      <w:pPr>
        <w:spacing w:after="0"/>
        <w:ind w:firstLine="540"/>
        <w:jc w:val="both"/>
        <w:rPr>
          <w:rFonts w:ascii="Times New Roman" w:hAnsi="Times New Roman" w:cs="Times New Roman"/>
          <w:sz w:val="24"/>
          <w:szCs w:val="24"/>
          <w:lang w:val="lv-LV"/>
        </w:rPr>
      </w:pPr>
    </w:p>
    <w:p w14:paraId="2CDAD06A"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[1]</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Ar Ekonomikas ministrijas (turpmāk – ministrija) </w:t>
      </w:r>
      <w:proofErr w:type="gramStart"/>
      <w:r w:rsidRPr="00220AD9">
        <w:rPr>
          <w:rFonts w:ascii="Times New Roman" w:hAnsi="Times New Roman" w:cs="Times New Roman"/>
          <w:sz w:val="24"/>
          <w:szCs w:val="24"/>
          <w:lang w:val="lv-LV"/>
        </w:rPr>
        <w:t>2010.gada</w:t>
      </w:r>
      <w:proofErr w:type="gramEnd"/>
      <w:r w:rsidRPr="00220AD9">
        <w:rPr>
          <w:rFonts w:ascii="Times New Roman" w:hAnsi="Times New Roman" w:cs="Times New Roman"/>
          <w:sz w:val="24"/>
          <w:szCs w:val="24"/>
          <w:lang w:val="lv-LV"/>
        </w:rPr>
        <w:t xml:space="preserve"> 30.novembra lēmumu</w:t>
      </w:r>
      <w:r>
        <w:rPr>
          <w:rFonts w:ascii="Times New Roman" w:hAnsi="Times New Roman" w:cs="Times New Roman"/>
          <w:sz w:val="24"/>
          <w:szCs w:val="24"/>
          <w:lang w:val="lv-LV"/>
        </w:rPr>
        <w:t xml:space="preserve"> Nr. 1-6.1-713</w:t>
      </w:r>
      <w:r w:rsidRPr="00220AD9">
        <w:rPr>
          <w:rFonts w:ascii="Times New Roman" w:hAnsi="Times New Roman" w:cs="Times New Roman"/>
          <w:sz w:val="24"/>
          <w:szCs w:val="24"/>
          <w:lang w:val="lv-LV"/>
        </w:rPr>
        <w:t xml:space="preserve">, kas labots </w:t>
      </w:r>
      <w:r>
        <w:rPr>
          <w:rFonts w:ascii="Times New Roman" w:hAnsi="Times New Roman" w:cs="Times New Roman"/>
          <w:sz w:val="24"/>
          <w:szCs w:val="24"/>
          <w:lang w:val="lv-LV"/>
        </w:rPr>
        <w:t xml:space="preserve">ar ministrijas </w:t>
      </w:r>
      <w:r w:rsidRPr="00220AD9">
        <w:rPr>
          <w:rFonts w:ascii="Times New Roman" w:hAnsi="Times New Roman" w:cs="Times New Roman"/>
          <w:sz w:val="24"/>
          <w:szCs w:val="24"/>
          <w:lang w:val="lv-LV"/>
        </w:rPr>
        <w:t>2011.gada 19.janvār</w:t>
      </w:r>
      <w:r>
        <w:rPr>
          <w:rFonts w:ascii="Times New Roman" w:hAnsi="Times New Roman" w:cs="Times New Roman"/>
          <w:sz w:val="24"/>
          <w:szCs w:val="24"/>
          <w:lang w:val="lv-LV"/>
        </w:rPr>
        <w:t>a lēmumu Nr. 1-6.1-6</w:t>
      </w:r>
      <w:r w:rsidRPr="00220AD9">
        <w:rPr>
          <w:rFonts w:ascii="Times New Roman" w:hAnsi="Times New Roman" w:cs="Times New Roman"/>
          <w:sz w:val="24"/>
          <w:szCs w:val="24"/>
          <w:lang w:val="lv-LV"/>
        </w:rPr>
        <w:t>, pieteicējai SIA</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„Lielmežotne” atteikts piešķirt tiesības pārdot biogāzes elektrostacijā „Lielmežotnes ferma”, Mežotnes pagastā, Bauskas novadā saražoto elektroenerģiju obligātā iepirkuma ietvaros saskaņā ar Ministru kabineta </w:t>
      </w:r>
      <w:r>
        <w:rPr>
          <w:rFonts w:ascii="Times New Roman" w:hAnsi="Times New Roman" w:cs="Times New Roman"/>
          <w:sz w:val="24"/>
          <w:szCs w:val="24"/>
          <w:lang w:val="lv-LV"/>
        </w:rPr>
        <w:t xml:space="preserve">2010.gada 16.marta </w:t>
      </w:r>
      <w:r w:rsidRPr="00220AD9">
        <w:rPr>
          <w:rFonts w:ascii="Times New Roman" w:hAnsi="Times New Roman" w:cs="Times New Roman"/>
          <w:sz w:val="24"/>
          <w:szCs w:val="24"/>
          <w:lang w:val="lv-LV"/>
        </w:rPr>
        <w:t>noteikumiem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Noteikumi par elektroenerģijas ražošanu, izmantojot atjaunojamos energoresursus, un cenu noteikšanas kārtību” (turpmāk –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w:t>
      </w:r>
    </w:p>
    <w:p w14:paraId="617A47A0"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Pieteicēja minētos lēmumus pārsūdzēja</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un ar Administratīvās apgabaltiesas </w:t>
      </w:r>
      <w:proofErr w:type="gramStart"/>
      <w:r w:rsidRPr="00220AD9">
        <w:rPr>
          <w:rFonts w:ascii="Times New Roman" w:hAnsi="Times New Roman" w:cs="Times New Roman"/>
          <w:sz w:val="24"/>
          <w:szCs w:val="24"/>
          <w:lang w:val="lv-LV"/>
        </w:rPr>
        <w:t>2014.gada</w:t>
      </w:r>
      <w:proofErr w:type="gramEnd"/>
      <w:r w:rsidRPr="00220AD9">
        <w:rPr>
          <w:rFonts w:ascii="Times New Roman" w:hAnsi="Times New Roman" w:cs="Times New Roman"/>
          <w:sz w:val="24"/>
          <w:szCs w:val="24"/>
          <w:lang w:val="lv-LV"/>
        </w:rPr>
        <w:t xml:space="preserve"> 14.augusta spriedumu administratīvajā lietā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A420827310 ministrijai tika uzlikts pienākums izdot labvēlīgu administratīvo aktu, ar kuru pieteicējai iepriekš minētās tiesības tiktu piešķirtas.</w:t>
      </w:r>
    </w:p>
    <w:p w14:paraId="2B1AAC27"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Jau pēc tam, kad pieteicējai ar ministrijas </w:t>
      </w:r>
      <w:proofErr w:type="gramStart"/>
      <w:r w:rsidRPr="00220AD9">
        <w:rPr>
          <w:rFonts w:ascii="Times New Roman" w:hAnsi="Times New Roman" w:cs="Times New Roman"/>
          <w:sz w:val="24"/>
          <w:szCs w:val="24"/>
          <w:lang w:val="lv-LV"/>
        </w:rPr>
        <w:t>2010.gada</w:t>
      </w:r>
      <w:proofErr w:type="gramEnd"/>
      <w:r w:rsidRPr="00220AD9">
        <w:rPr>
          <w:rFonts w:ascii="Times New Roman" w:hAnsi="Times New Roman" w:cs="Times New Roman"/>
          <w:sz w:val="24"/>
          <w:szCs w:val="24"/>
          <w:lang w:val="lv-LV"/>
        </w:rPr>
        <w:t xml:space="preserve"> 30.novembra</w:t>
      </w:r>
      <w:r>
        <w:rPr>
          <w:rFonts w:ascii="Times New Roman" w:hAnsi="Times New Roman" w:cs="Times New Roman"/>
          <w:sz w:val="24"/>
          <w:szCs w:val="24"/>
          <w:lang w:val="lv-LV"/>
        </w:rPr>
        <w:t xml:space="preserve"> un 2011.gada 19.janvāra</w:t>
      </w:r>
      <w:r w:rsidRPr="00220AD9">
        <w:rPr>
          <w:rFonts w:ascii="Times New Roman" w:hAnsi="Times New Roman" w:cs="Times New Roman"/>
          <w:sz w:val="24"/>
          <w:szCs w:val="24"/>
          <w:lang w:val="lv-LV"/>
        </w:rPr>
        <w:t xml:space="preserve"> lēmum</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tika atteiktas minētās tiesības, bet</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pirms tās tika atzītas saskaņā ar Administratīvās apgabaltiesas 2014.gada 14.augusta spriedumu, pieteicēja lūdza un ministrija 2011.gada 21.februārī tai piešķīra tiesības pārdot koģenerācijas elektrostacijā „Lielmežotnes ferma” saražoto elektroenerģiju obligātā iepirkuma ietvaros, taču nevis atbilstoši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bet atbilstoši Ministru kabineta</w:t>
      </w:r>
      <w:r>
        <w:rPr>
          <w:rFonts w:ascii="Times New Roman" w:hAnsi="Times New Roman" w:cs="Times New Roman"/>
          <w:sz w:val="24"/>
          <w:szCs w:val="24"/>
          <w:lang w:val="lv-LV"/>
        </w:rPr>
        <w:t xml:space="preserve"> 2009.gada 10.marta</w:t>
      </w:r>
      <w:r w:rsidRPr="00220AD9">
        <w:rPr>
          <w:rFonts w:ascii="Times New Roman" w:hAnsi="Times New Roman" w:cs="Times New Roman"/>
          <w:sz w:val="24"/>
          <w:szCs w:val="24"/>
          <w:lang w:val="lv-LV"/>
        </w:rPr>
        <w:t xml:space="preserve"> noteikumiem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221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Noteikumi par elektroenerģijas ražošanu un cenu noteikšanu, ražojot elektroenerģiju koģenerācijā” </w:t>
      </w:r>
      <w:r>
        <w:rPr>
          <w:rFonts w:ascii="Times New Roman" w:hAnsi="Times New Roman" w:cs="Times New Roman"/>
          <w:sz w:val="24"/>
          <w:szCs w:val="24"/>
          <w:lang w:val="lv-LV"/>
        </w:rPr>
        <w:br/>
      </w:r>
      <w:r w:rsidRPr="00220AD9">
        <w:rPr>
          <w:rFonts w:ascii="Times New Roman" w:hAnsi="Times New Roman" w:cs="Times New Roman"/>
          <w:sz w:val="24"/>
          <w:szCs w:val="24"/>
          <w:lang w:val="lv-LV"/>
        </w:rPr>
        <w:t xml:space="preserve">(turpmāk –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221).</w:t>
      </w:r>
    </w:p>
    <w:p w14:paraId="394B24A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Ņemot vērā, ka elektrostacija tika izveidota nevis nekustamajā īpašumā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Lielmežotnes ferma”, bet gan blakus esošajā nekustamajā īpašumā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selekcija”, kas atrodas </w:t>
      </w:r>
      <w:r w:rsidRPr="00220AD9">
        <w:rPr>
          <w:rFonts w:ascii="Times New Roman" w:hAnsi="Times New Roman" w:cs="Times New Roman"/>
          <w:sz w:val="24"/>
          <w:szCs w:val="24"/>
          <w:lang w:val="lv-LV"/>
        </w:rPr>
        <w:lastRenderedPageBreak/>
        <w:t xml:space="preserve">Mežotnes pagastā, Bauskas novadā, pieteicēja lūdza un ministrija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221 2012.gada </w:t>
      </w:r>
      <w:proofErr w:type="gramStart"/>
      <w:r w:rsidRPr="00220AD9">
        <w:rPr>
          <w:rFonts w:ascii="Times New Roman" w:hAnsi="Times New Roman" w:cs="Times New Roman"/>
          <w:sz w:val="24"/>
          <w:szCs w:val="24"/>
          <w:lang w:val="lv-LV"/>
        </w:rPr>
        <w:t>20.septembrī</w:t>
      </w:r>
      <w:proofErr w:type="gramEnd"/>
      <w:r w:rsidRPr="00220AD9">
        <w:rPr>
          <w:rFonts w:ascii="Times New Roman" w:hAnsi="Times New Roman" w:cs="Times New Roman"/>
          <w:sz w:val="24"/>
          <w:szCs w:val="24"/>
          <w:lang w:val="lv-LV"/>
        </w:rPr>
        <w:t xml:space="preserve"> piešķīra tiesības obligātā iepirkuma ietvaros pārdot elektroenerģiju, kas saražota elektrostacijā „Mežotnes selekcija”.</w:t>
      </w:r>
    </w:p>
    <w:p w14:paraId="12C98491"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Pieteicēja tai piešķirtās tiesības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selekcija” saražoto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221 izmantoja. Vienlaikus</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uzskatot, ka tieši ministrijas </w:t>
      </w:r>
      <w:proofErr w:type="gramStart"/>
      <w:r w:rsidRPr="00220AD9">
        <w:rPr>
          <w:rFonts w:ascii="Times New Roman" w:hAnsi="Times New Roman" w:cs="Times New Roman"/>
          <w:sz w:val="24"/>
          <w:szCs w:val="24"/>
          <w:lang w:val="lv-LV"/>
        </w:rPr>
        <w:t>2010.gada</w:t>
      </w:r>
      <w:proofErr w:type="gramEnd"/>
      <w:r w:rsidRPr="00220AD9">
        <w:rPr>
          <w:rFonts w:ascii="Times New Roman" w:hAnsi="Times New Roman" w:cs="Times New Roman"/>
          <w:sz w:val="24"/>
          <w:szCs w:val="24"/>
          <w:lang w:val="lv-LV"/>
        </w:rPr>
        <w:t xml:space="preserve"> 30.novembra</w:t>
      </w:r>
      <w:r>
        <w:rPr>
          <w:rFonts w:ascii="Times New Roman" w:hAnsi="Times New Roman" w:cs="Times New Roman"/>
          <w:sz w:val="24"/>
          <w:szCs w:val="24"/>
          <w:lang w:val="lv-LV"/>
        </w:rPr>
        <w:t xml:space="preserve"> un </w:t>
      </w:r>
      <w:r w:rsidRPr="00220AD9">
        <w:rPr>
          <w:rFonts w:ascii="Times New Roman" w:hAnsi="Times New Roman" w:cs="Times New Roman"/>
          <w:sz w:val="24"/>
          <w:szCs w:val="24"/>
          <w:lang w:val="lv-LV"/>
        </w:rPr>
        <w:t>2011.gada 19.janvār</w:t>
      </w:r>
      <w:r>
        <w:rPr>
          <w:rFonts w:ascii="Times New Roman" w:hAnsi="Times New Roman" w:cs="Times New Roman"/>
          <w:sz w:val="24"/>
          <w:szCs w:val="24"/>
          <w:lang w:val="lv-LV"/>
        </w:rPr>
        <w:t>a</w:t>
      </w:r>
      <w:r w:rsidRPr="00220AD9">
        <w:rPr>
          <w:rFonts w:ascii="Times New Roman" w:hAnsi="Times New Roman" w:cs="Times New Roman"/>
          <w:sz w:val="24"/>
          <w:szCs w:val="24"/>
          <w:lang w:val="lv-LV"/>
        </w:rPr>
        <w:t xml:space="preserve"> prettiesisk</w:t>
      </w:r>
      <w:r>
        <w:rPr>
          <w:rFonts w:ascii="Times New Roman" w:hAnsi="Times New Roman" w:cs="Times New Roman"/>
          <w:sz w:val="24"/>
          <w:szCs w:val="24"/>
          <w:lang w:val="lv-LV"/>
        </w:rPr>
        <w:t>o</w:t>
      </w:r>
      <w:r w:rsidRPr="00220AD9">
        <w:rPr>
          <w:rFonts w:ascii="Times New Roman" w:hAnsi="Times New Roman" w:cs="Times New Roman"/>
          <w:sz w:val="24"/>
          <w:szCs w:val="24"/>
          <w:lang w:val="lv-LV"/>
        </w:rPr>
        <w:t xml:space="preserve"> lēmum</w:t>
      </w:r>
      <w:r>
        <w:rPr>
          <w:rFonts w:ascii="Times New Roman" w:hAnsi="Times New Roman" w:cs="Times New Roman"/>
          <w:sz w:val="24"/>
          <w:szCs w:val="24"/>
          <w:lang w:val="lv-LV"/>
        </w:rPr>
        <w:t>u</w:t>
      </w:r>
      <w:r w:rsidRPr="00220AD9">
        <w:rPr>
          <w:rFonts w:ascii="Times New Roman" w:hAnsi="Times New Roman" w:cs="Times New Roman"/>
          <w:sz w:val="24"/>
          <w:szCs w:val="24"/>
          <w:lang w:val="lv-LV"/>
        </w:rPr>
        <w:t xml:space="preserve"> dēļ tā nav varējusi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selekcija” saražoto elektroenerģiju pārdot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un tādējādi gūt lielākus ienākumus, pieteicēja lūdza ministriju atlīdzināt tai ar prettiesisk</w:t>
      </w:r>
      <w:r>
        <w:rPr>
          <w:rFonts w:ascii="Times New Roman" w:hAnsi="Times New Roman" w:cs="Times New Roman"/>
          <w:sz w:val="24"/>
          <w:szCs w:val="24"/>
          <w:lang w:val="lv-LV"/>
        </w:rPr>
        <w:t>ajiem</w:t>
      </w:r>
      <w:r w:rsidRPr="00220AD9">
        <w:rPr>
          <w:rFonts w:ascii="Times New Roman" w:hAnsi="Times New Roman" w:cs="Times New Roman"/>
          <w:sz w:val="24"/>
          <w:szCs w:val="24"/>
          <w:lang w:val="lv-LV"/>
        </w:rPr>
        <w:t xml:space="preserve"> lēmum</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radītos zaudējumus 106 864,04 </w:t>
      </w:r>
      <w:proofErr w:type="spellStart"/>
      <w:r w:rsidRPr="00220AD9">
        <w:rPr>
          <w:rFonts w:ascii="Times New Roman" w:hAnsi="Times New Roman" w:cs="Times New Roman"/>
          <w:i/>
          <w:iCs/>
          <w:sz w:val="24"/>
          <w:szCs w:val="24"/>
          <w:lang w:val="lv-LV"/>
        </w:rPr>
        <w:t>euro</w:t>
      </w:r>
      <w:proofErr w:type="spellEnd"/>
      <w:r w:rsidRPr="00220AD9">
        <w:rPr>
          <w:rFonts w:ascii="Times New Roman" w:hAnsi="Times New Roman" w:cs="Times New Roman"/>
          <w:sz w:val="24"/>
          <w:szCs w:val="24"/>
          <w:lang w:val="lv-LV"/>
        </w:rPr>
        <w:t>.</w:t>
      </w:r>
    </w:p>
    <w:p w14:paraId="57EF721C"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17F9884C"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[2]</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Ministrija ar </w:t>
      </w:r>
      <w:proofErr w:type="gramStart"/>
      <w:r w:rsidRPr="00220AD9">
        <w:rPr>
          <w:rFonts w:ascii="Times New Roman" w:hAnsi="Times New Roman" w:cs="Times New Roman"/>
          <w:sz w:val="24"/>
          <w:szCs w:val="24"/>
          <w:lang w:val="lv-LV"/>
        </w:rPr>
        <w:t>2015.gada</w:t>
      </w:r>
      <w:proofErr w:type="gramEnd"/>
      <w:r w:rsidRPr="00220AD9">
        <w:rPr>
          <w:rFonts w:ascii="Times New Roman" w:hAnsi="Times New Roman" w:cs="Times New Roman"/>
          <w:sz w:val="24"/>
          <w:szCs w:val="24"/>
          <w:lang w:val="lv-LV"/>
        </w:rPr>
        <w:t xml:space="preserve"> 10.aprīļa lēmumu pieteicējas iesniegumu daļā par mantisko zaudējumu atlīdzināšanu noraidīja. Nepiekrītot ministrijas lēmumam, pieteicēja to pārsūdzēja, iesniedzot tiesā pieteikumu par labvēlīga administratīvā akta izdošanu.</w:t>
      </w:r>
    </w:p>
    <w:p w14:paraId="5AEE833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Izskatot lietu apelācijas kārtībā, Administratīvā apgabaltiesa ar </w:t>
      </w:r>
      <w:proofErr w:type="gramStart"/>
      <w:r w:rsidRPr="00220AD9">
        <w:rPr>
          <w:rFonts w:ascii="Times New Roman" w:hAnsi="Times New Roman" w:cs="Times New Roman"/>
          <w:sz w:val="24"/>
          <w:szCs w:val="24"/>
          <w:lang w:val="lv-LV"/>
        </w:rPr>
        <w:t>2016.gada</w:t>
      </w:r>
      <w:proofErr w:type="gramEnd"/>
      <w:r w:rsidRPr="00220AD9">
        <w:rPr>
          <w:rFonts w:ascii="Times New Roman" w:hAnsi="Times New Roman" w:cs="Times New Roman"/>
          <w:sz w:val="24"/>
          <w:szCs w:val="24"/>
          <w:lang w:val="lv-LV"/>
        </w:rPr>
        <w:t xml:space="preserve"> 6.decembra spriedumu pieteikumu noraidīja. Spriedums, tostarp pievienojoties pirmās instances tiesas sprieduma motivācijai, pamatots ar turpmāk minētajiem apsvērumiem.</w:t>
      </w:r>
    </w:p>
    <w:p w14:paraId="0B2C598E"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[2.1]</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Atbilstoši Valsts pārvaldes iestāžu nodarīto zaudējumu atlīdzināšanas likuma </w:t>
      </w:r>
      <w:proofErr w:type="gramStart"/>
      <w:r>
        <w:rPr>
          <w:rFonts w:ascii="Times New Roman" w:hAnsi="Times New Roman" w:cs="Times New Roman"/>
          <w:sz w:val="24"/>
          <w:szCs w:val="24"/>
          <w:lang w:val="lv-LV"/>
        </w:rPr>
        <w:t>7.panta</w:t>
      </w:r>
      <w:proofErr w:type="gramEnd"/>
      <w:r>
        <w:rPr>
          <w:rFonts w:ascii="Times New Roman" w:hAnsi="Times New Roman" w:cs="Times New Roman"/>
          <w:sz w:val="24"/>
          <w:szCs w:val="24"/>
          <w:lang w:val="lv-LV"/>
        </w:rPr>
        <w:t xml:space="preserve"> </w:t>
      </w:r>
      <w:r w:rsidRPr="00220AD9">
        <w:rPr>
          <w:rFonts w:ascii="Times New Roman" w:hAnsi="Times New Roman" w:cs="Times New Roman"/>
          <w:sz w:val="24"/>
          <w:szCs w:val="24"/>
          <w:lang w:val="lv-LV"/>
        </w:rPr>
        <w:t>pirmajai un otrajai daļai mantiskais zaudējums ir katrs mantiski novērtējams pametums, kas cietušajam radies iestādes prettiesiska administratīvā akta vai prettiesiskas faktiskās rīcības dēļ. Aprēķinot mantisko zaudējumu, ņem vērā arī neiegūto peļņu, ja cietušais spēj pierādīt, ka notikumu parastās attīstības gaitā peļņa tiktu gūta.</w:t>
      </w:r>
    </w:p>
    <w:p w14:paraId="3F745322"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Atrautās peļņas institūta mērķis ir atlīdzināt cietušajam to, k</w:t>
      </w:r>
      <w:r>
        <w:rPr>
          <w:rFonts w:ascii="Times New Roman" w:hAnsi="Times New Roman" w:cs="Times New Roman"/>
          <w:sz w:val="24"/>
          <w:szCs w:val="24"/>
          <w:lang w:val="lv-LV"/>
        </w:rPr>
        <w:t>o</w:t>
      </w:r>
      <w:r w:rsidRPr="00220AD9">
        <w:rPr>
          <w:rFonts w:ascii="Times New Roman" w:hAnsi="Times New Roman" w:cs="Times New Roman"/>
          <w:sz w:val="24"/>
          <w:szCs w:val="24"/>
          <w:lang w:val="lv-LV"/>
        </w:rPr>
        <w:t xml:space="preserve"> viņš noteikti būtu saņēmis, ja prettiesiskā rīcība nebūtu notikusi, jeb novērst tās kaitīgās sekas, ko prettiesiskā rīcība noteikti nodarītu cietušā mantai nākotnē.</w:t>
      </w:r>
    </w:p>
    <w:p w14:paraId="6CA6222E"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[2.2]</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Pieteicēja nav spējusi pierādīt, ka gadījumā, ja ministrija nebūtu pieņēmusi prettiesiskos lēmumus, pieteicēja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Mežotnes selekcija”</w:t>
      </w:r>
      <w:r>
        <w:rPr>
          <w:rFonts w:ascii="Times New Roman" w:hAnsi="Times New Roman" w:cs="Times New Roman"/>
          <w:sz w:val="24"/>
          <w:szCs w:val="24"/>
          <w:lang w:val="lv-LV"/>
        </w:rPr>
        <w:t xml:space="preserve"> saražoto elektroenerģiju</w:t>
      </w:r>
      <w:r w:rsidRPr="00220AD9">
        <w:rPr>
          <w:rFonts w:ascii="Times New Roman" w:hAnsi="Times New Roman" w:cs="Times New Roman"/>
          <w:sz w:val="24"/>
          <w:szCs w:val="24"/>
          <w:lang w:val="lv-LV"/>
        </w:rPr>
        <w:t xml:space="preserve"> būtu pārdevusi par lielāku cenu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w:t>
      </w:r>
    </w:p>
    <w:p w14:paraId="3C7A2EF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Ja ministrija nebūtu pieņēmusi prettiesiskos lēmumus un jau sākotnēji būtu piešķīrusi pieteicējai tiesības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Lielmežotnes ferma” saražoto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pieteicēja papildu ienākumus no elektroenerģijas tirdzniecības šajā elektrostacijā negūtu, jo </w:t>
      </w:r>
      <w:r>
        <w:rPr>
          <w:rFonts w:ascii="Times New Roman" w:hAnsi="Times New Roman" w:cs="Times New Roman"/>
          <w:sz w:val="24"/>
          <w:szCs w:val="24"/>
          <w:lang w:val="lv-LV"/>
        </w:rPr>
        <w:t>atbilstoši pašas pieteicējas norādītajam</w:t>
      </w:r>
      <w:r w:rsidRPr="00220AD9">
        <w:rPr>
          <w:rFonts w:ascii="Times New Roman" w:hAnsi="Times New Roman" w:cs="Times New Roman"/>
          <w:sz w:val="24"/>
          <w:szCs w:val="24"/>
          <w:lang w:val="lv-LV"/>
        </w:rPr>
        <w:t xml:space="preserve"> uz zemesgabala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Lielmežotnes ferma” elektrostaciju uzbūvēt nebija iespējams.</w:t>
      </w:r>
    </w:p>
    <w:p w14:paraId="36682460"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Savukārt, lai iegūtu tiesības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Mežotnes selekcija” saražoto elektroenerģiju, pieteicējai būtu jāvēršas ministrijā ar iesniegumu par šādas jaunas tiesības piešķiršanu. Šāds iesniegums tiktu izvērtēts atsevišķa administratīvā procesa ietvaros</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un pieteicēja nav spējusi pierādīt, ka šāda administratīvā procesa ietvaros tai noteikti tiktu izdots labvēlīgs administratīvais akts.</w:t>
      </w:r>
    </w:p>
    <w:p w14:paraId="544859A1"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Tādējādi tiesai nav pamata uzskatīt, ka par prettiesiskiem atzītie ministrijas lēmumi ir lieguši pieteicējai gūt peļņu, jo arī labvēlīga administratīvā akta izdošanas gadījumā </w:t>
      </w:r>
      <w:r>
        <w:rPr>
          <w:rFonts w:ascii="Times New Roman" w:hAnsi="Times New Roman" w:cs="Times New Roman"/>
          <w:sz w:val="24"/>
          <w:szCs w:val="24"/>
          <w:lang w:val="lv-LV"/>
        </w:rPr>
        <w:t xml:space="preserve">no </w:t>
      </w:r>
      <w:r w:rsidRPr="00220AD9">
        <w:rPr>
          <w:rFonts w:ascii="Times New Roman" w:hAnsi="Times New Roman" w:cs="Times New Roman"/>
          <w:sz w:val="24"/>
          <w:szCs w:val="24"/>
          <w:lang w:val="lv-LV"/>
        </w:rPr>
        <w:t xml:space="preserve">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Lielmežotnes ferma”</w:t>
      </w:r>
      <w:r>
        <w:rPr>
          <w:rFonts w:ascii="Times New Roman" w:hAnsi="Times New Roman" w:cs="Times New Roman"/>
          <w:sz w:val="24"/>
          <w:szCs w:val="24"/>
          <w:lang w:val="lv-LV"/>
        </w:rPr>
        <w:t xml:space="preserve"> saražotas elektroenerģijas pārdošanas</w:t>
      </w:r>
      <w:r w:rsidRPr="00220AD9">
        <w:rPr>
          <w:rFonts w:ascii="Times New Roman" w:hAnsi="Times New Roman" w:cs="Times New Roman"/>
          <w:sz w:val="24"/>
          <w:szCs w:val="24"/>
          <w:lang w:val="lv-LV"/>
        </w:rPr>
        <w:t xml:space="preserve"> pieteicēja peļņu nebūtu guvusi. Līdz ar to nav konstatējama cēloņsakarība starp pieteicējas materiālajiem zaudējumiem negūtās peļņas veidā un ministrijas izdotajiem prettiesiskajiem administratīvajiem aktiem. Ja cēloņsakarība nav konstatējama, tad zaudējumu atlīdzināšanai nav tiesiska pamata.</w:t>
      </w:r>
    </w:p>
    <w:p w14:paraId="76A35EC2"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7477408B"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lastRenderedPageBreak/>
        <w:t>[3]</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Pieteicēja par apgabaltiesas spriedumu ir iesniegusi kasācijas sūdzību, kas pamatota ar turpmāk norādītajiem argumentiem</w:t>
      </w:r>
      <w:r>
        <w:rPr>
          <w:rFonts w:ascii="Times New Roman" w:hAnsi="Times New Roman" w:cs="Times New Roman"/>
          <w:sz w:val="24"/>
          <w:szCs w:val="24"/>
          <w:lang w:val="lv-LV"/>
        </w:rPr>
        <w:t>.</w:t>
      </w:r>
    </w:p>
    <w:p w14:paraId="1DF40F4E"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[3.1]</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Pirmās instances tiesa vispār nav izvērtējusi pieteikumā ietvertos motīvus par to, ka darbības, kuras noslēdzās ar elektroenerģijas ražošanas un pārdošanas tiesību iegūšanu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221 ražotnē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elekcija”, ir vērtējamas kā </w:t>
      </w:r>
      <w:proofErr w:type="gramStart"/>
      <w:r w:rsidRPr="00220AD9">
        <w:rPr>
          <w:rFonts w:ascii="Times New Roman" w:hAnsi="Times New Roman" w:cs="Times New Roman"/>
          <w:sz w:val="24"/>
          <w:szCs w:val="24"/>
          <w:lang w:val="lv-LV"/>
        </w:rPr>
        <w:t>2010.gada</w:t>
      </w:r>
      <w:proofErr w:type="gramEnd"/>
      <w:r w:rsidRPr="00220AD9">
        <w:rPr>
          <w:rFonts w:ascii="Times New Roman" w:hAnsi="Times New Roman" w:cs="Times New Roman"/>
          <w:sz w:val="24"/>
          <w:szCs w:val="24"/>
          <w:lang w:val="lv-LV"/>
        </w:rPr>
        <w:t xml:space="preserve"> 29.oktobrī uzsāktā procesa turpinājums, nevis kā pēc būtības jauns ar iepriekš minēto procesu nesaistīts process. Nošķirot šos abus procesus, tiesa izdarīja nepamatotu un šajā lietā izšķirošu secinājumu, ka nav pietiekami ticams, ka ražotnes vietas maiņa tiktu atļauta arī šajā pirmajā procesā, kurā elektroenerģijas ražošanas un pārdošanas tiesības bija jāpiešķir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w:t>
      </w:r>
    </w:p>
    <w:p w14:paraId="36FBF216"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Apelācijas instances tiesa, pievienojoties pirmās instances tiesas spriedumā ietvertajiem motīviem un papildus neatbildot uz pieteicējas apelācijas sūdzībā ietverto apsvērumu, ir pārkāpusi Administratīvā procesa likuma </w:t>
      </w:r>
      <w:proofErr w:type="gramStart"/>
      <w:r w:rsidRPr="00220AD9">
        <w:rPr>
          <w:rFonts w:ascii="Times New Roman" w:hAnsi="Times New Roman" w:cs="Times New Roman"/>
          <w:sz w:val="24"/>
          <w:szCs w:val="24"/>
          <w:lang w:val="lv-LV"/>
        </w:rPr>
        <w:t>154.pant</w:t>
      </w:r>
      <w:r>
        <w:rPr>
          <w:rFonts w:ascii="Times New Roman" w:hAnsi="Times New Roman" w:cs="Times New Roman"/>
          <w:sz w:val="24"/>
          <w:szCs w:val="24"/>
          <w:lang w:val="lv-LV"/>
        </w:rPr>
        <w:t>ā</w:t>
      </w:r>
      <w:proofErr w:type="gramEnd"/>
      <w:r>
        <w:rPr>
          <w:rFonts w:ascii="Times New Roman" w:hAnsi="Times New Roman" w:cs="Times New Roman"/>
          <w:sz w:val="24"/>
          <w:szCs w:val="24"/>
          <w:lang w:val="lv-LV"/>
        </w:rPr>
        <w:t>, 302.pantā</w:t>
      </w:r>
      <w:r w:rsidRPr="00220AD9">
        <w:rPr>
          <w:rFonts w:ascii="Times New Roman" w:hAnsi="Times New Roman" w:cs="Times New Roman"/>
          <w:sz w:val="24"/>
          <w:szCs w:val="24"/>
          <w:lang w:val="lv-LV"/>
        </w:rPr>
        <w:t xml:space="preserve"> un 307.panta ceturtajā daļā ietvertās tiesību normas.</w:t>
      </w:r>
    </w:p>
    <w:p w14:paraId="7A830C28"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[3.2]</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Situācijās, kas atbilst </w:t>
      </w:r>
      <w:r>
        <w:rPr>
          <w:rFonts w:ascii="Times New Roman" w:hAnsi="Times New Roman" w:cs="Times New Roman"/>
          <w:sz w:val="24"/>
          <w:szCs w:val="24"/>
          <w:lang w:val="lv-LV"/>
        </w:rPr>
        <w:t>„</w:t>
      </w:r>
      <w:r w:rsidRPr="00220AD9">
        <w:rPr>
          <w:rFonts w:ascii="Times New Roman" w:hAnsi="Times New Roman" w:cs="Times New Roman"/>
          <w:i/>
          <w:iCs/>
          <w:sz w:val="24"/>
          <w:szCs w:val="24"/>
          <w:lang w:val="lv-LV"/>
        </w:rPr>
        <w:t>normāla un tiesiska elektroenerģijas tirgus procesa</w:t>
      </w:r>
      <w:r w:rsidRPr="00220AD9">
        <w:rPr>
          <w:rFonts w:ascii="Times New Roman" w:hAnsi="Times New Roman" w:cs="Times New Roman"/>
          <w:sz w:val="24"/>
          <w:szCs w:val="24"/>
          <w:lang w:val="lv-LV"/>
        </w:rPr>
        <w:t xml:space="preserve">” pazīmēm, Elektroenerģijas tirgus likuma </w:t>
      </w:r>
      <w:proofErr w:type="gramStart"/>
      <w:r w:rsidRPr="00220AD9">
        <w:rPr>
          <w:rFonts w:ascii="Times New Roman" w:hAnsi="Times New Roman" w:cs="Times New Roman"/>
          <w:sz w:val="24"/>
          <w:szCs w:val="24"/>
          <w:lang w:val="lv-LV"/>
        </w:rPr>
        <w:t>31.pants</w:t>
      </w:r>
      <w:proofErr w:type="gramEnd"/>
      <w:r w:rsidRPr="00220AD9">
        <w:rPr>
          <w:rFonts w:ascii="Times New Roman" w:hAnsi="Times New Roman" w:cs="Times New Roman"/>
          <w:sz w:val="24"/>
          <w:szCs w:val="24"/>
          <w:lang w:val="lv-LV"/>
        </w:rPr>
        <w:t xml:space="preserve">, kas noteic ražotāja tiesības izvēlēties tikai vienu no likuma </w:t>
      </w:r>
      <w:hyperlink r:id="rId8" w:anchor="p28" w:history="1">
        <w:r w:rsidRPr="00220AD9">
          <w:rPr>
            <w:rFonts w:ascii="Times New Roman" w:hAnsi="Times New Roman" w:cs="Times New Roman"/>
            <w:sz w:val="24"/>
            <w:szCs w:val="24"/>
            <w:lang w:val="lv-LV"/>
          </w:rPr>
          <w:t>28.</w:t>
        </w:r>
      </w:hyperlink>
      <w:r w:rsidRPr="00220AD9">
        <w:rPr>
          <w:rFonts w:ascii="Times New Roman" w:hAnsi="Times New Roman" w:cs="Times New Roman"/>
          <w:sz w:val="24"/>
          <w:szCs w:val="24"/>
          <w:lang w:val="lv-LV"/>
        </w:rPr>
        <w:t>, </w:t>
      </w:r>
      <w:hyperlink r:id="rId9" w:anchor="p28.1" w:history="1">
        <w:r w:rsidRPr="00220AD9">
          <w:rPr>
            <w:rFonts w:ascii="Times New Roman" w:hAnsi="Times New Roman" w:cs="Times New Roman"/>
            <w:sz w:val="24"/>
            <w:szCs w:val="24"/>
            <w:lang w:val="lv-LV"/>
          </w:rPr>
          <w:t>28.</w:t>
        </w:r>
        <w:r w:rsidRPr="00220AD9">
          <w:rPr>
            <w:rFonts w:ascii="Times New Roman" w:hAnsi="Times New Roman" w:cs="Times New Roman"/>
            <w:sz w:val="24"/>
            <w:szCs w:val="24"/>
            <w:vertAlign w:val="superscript"/>
            <w:lang w:val="lv-LV"/>
          </w:rPr>
          <w:t>1</w:t>
        </w:r>
      </w:hyperlink>
      <w:r w:rsidRPr="00220AD9">
        <w:rPr>
          <w:rFonts w:ascii="Times New Roman" w:hAnsi="Times New Roman" w:cs="Times New Roman"/>
          <w:sz w:val="24"/>
          <w:szCs w:val="24"/>
          <w:lang w:val="lv-LV"/>
        </w:rPr>
        <w:t>, </w:t>
      </w:r>
      <w:hyperlink r:id="rId10" w:anchor="p29" w:history="1">
        <w:r w:rsidRPr="00220AD9">
          <w:rPr>
            <w:rFonts w:ascii="Times New Roman" w:hAnsi="Times New Roman" w:cs="Times New Roman"/>
            <w:sz w:val="24"/>
            <w:szCs w:val="24"/>
            <w:lang w:val="lv-LV"/>
          </w:rPr>
          <w:t>29.</w:t>
        </w:r>
      </w:hyperlink>
      <w:r w:rsidRPr="00220AD9">
        <w:rPr>
          <w:rFonts w:ascii="Times New Roman" w:hAnsi="Times New Roman" w:cs="Times New Roman"/>
          <w:sz w:val="24"/>
          <w:szCs w:val="24"/>
          <w:lang w:val="lv-LV"/>
        </w:rPr>
        <w:t>, </w:t>
      </w:r>
      <w:hyperlink r:id="rId11" w:anchor="p29.1" w:history="1">
        <w:r w:rsidRPr="00220AD9">
          <w:rPr>
            <w:rFonts w:ascii="Times New Roman" w:hAnsi="Times New Roman" w:cs="Times New Roman"/>
            <w:sz w:val="24"/>
            <w:szCs w:val="24"/>
            <w:lang w:val="lv-LV"/>
          </w:rPr>
          <w:t>29.</w:t>
        </w:r>
        <w:r w:rsidRPr="00220AD9">
          <w:rPr>
            <w:rFonts w:ascii="Times New Roman" w:hAnsi="Times New Roman" w:cs="Times New Roman"/>
            <w:sz w:val="24"/>
            <w:szCs w:val="24"/>
            <w:vertAlign w:val="superscript"/>
            <w:lang w:val="lv-LV"/>
          </w:rPr>
          <w:t>1</w:t>
        </w:r>
      </w:hyperlink>
      <w:r w:rsidRPr="00220AD9">
        <w:rPr>
          <w:rFonts w:ascii="Times New Roman" w:hAnsi="Times New Roman" w:cs="Times New Roman"/>
          <w:sz w:val="24"/>
          <w:szCs w:val="24"/>
          <w:lang w:val="lv-LV"/>
        </w:rPr>
        <w:t> un </w:t>
      </w:r>
      <w:hyperlink r:id="rId12" w:anchor="p30" w:history="1">
        <w:r w:rsidRPr="00220AD9">
          <w:rPr>
            <w:rFonts w:ascii="Times New Roman" w:hAnsi="Times New Roman" w:cs="Times New Roman"/>
            <w:sz w:val="24"/>
            <w:szCs w:val="24"/>
            <w:lang w:val="lv-LV"/>
          </w:rPr>
          <w:t>30.pantā</w:t>
        </w:r>
      </w:hyperlink>
      <w:r w:rsidRPr="00220AD9">
        <w:rPr>
          <w:rFonts w:ascii="Times New Roman" w:hAnsi="Times New Roman" w:cs="Times New Roman"/>
          <w:sz w:val="24"/>
          <w:szCs w:val="24"/>
          <w:lang w:val="lv-LV"/>
        </w:rPr>
        <w:t xml:space="preserve"> noteiktajām tiesībām, ir piemērojams atbilstoši tā gramatiskajai izpratnei. Vienlaikus tādā situācijā kā šajā lietā jeb faktiski </w:t>
      </w:r>
      <w:r>
        <w:rPr>
          <w:rFonts w:ascii="Times New Roman" w:hAnsi="Times New Roman" w:cs="Times New Roman"/>
          <w:sz w:val="24"/>
          <w:szCs w:val="24"/>
          <w:lang w:val="lv-LV"/>
        </w:rPr>
        <w:t>„</w:t>
      </w:r>
      <w:r w:rsidRPr="00220AD9">
        <w:rPr>
          <w:rFonts w:ascii="Times New Roman" w:hAnsi="Times New Roman" w:cs="Times New Roman"/>
          <w:i/>
          <w:iCs/>
          <w:sz w:val="24"/>
          <w:szCs w:val="24"/>
          <w:lang w:val="lv-LV"/>
        </w:rPr>
        <w:t>normālam un tiesiskam elektroenerģijas tirgus procesam</w:t>
      </w:r>
      <w:r w:rsidRPr="00220AD9">
        <w:rPr>
          <w:rFonts w:ascii="Times New Roman" w:hAnsi="Times New Roman" w:cs="Times New Roman"/>
          <w:sz w:val="24"/>
          <w:szCs w:val="24"/>
          <w:lang w:val="lv-LV"/>
        </w:rPr>
        <w:t>” neatbilstošā situācijā Elektroenerģijas tirgus likuma 31.pantā ietverto tiesību normu tiesa nedrīkstēja piemērot tikai atbilstoši tās gramatiskai izpratnei. Tiesai šīs normas saturs bija jānoskaidro, veicot arī šīs tiesību normas sistēmisku interpretāciju un tādējādi vērtējot šo normu kopsakarā ar Administratīvā procesa likuma 96.pantā, Valsts pārvaldes iestāžu nodarīto zaudējumu atlīdzināšanas likuma 10.panta pirmajā un otrajā daļā un Civillikuma 1776.pantā minētajām normām, kuras noteic zaudējumus cietušās personas pienākumu veikt darbības šo zaudējumu samazināšanai.</w:t>
      </w:r>
    </w:p>
    <w:p w14:paraId="1076566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[3.3]</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Pēc pieteicējas pieteikuma par labvēlīga administratīvā akta izdošanu, ar kuru pieteicējai tiktu piešķirtas tiesības pārdot biogāzes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elekcija” saražoto elektroenerģiju obligātā iepirkuma ietvaros, tika ierosināta administratīvā lieta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A420259015, kuras izskatīšanas rezultātam būs izšķiroša nozīme arī šīs lietas izskatīšanā. Noraidot apelācijas sūdzībā ietverto lūgumu apturēt tiesvedību šajā lietā līdz brīdim, kamēr tiek izskatīta administratīvā lieta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A420259015, apelācijas instances tiesa ir pieļāvusi Administratīvā procesa likuma </w:t>
      </w:r>
      <w:proofErr w:type="gramStart"/>
      <w:r w:rsidRPr="00220AD9">
        <w:rPr>
          <w:rFonts w:ascii="Times New Roman" w:hAnsi="Times New Roman" w:cs="Times New Roman"/>
          <w:sz w:val="24"/>
          <w:szCs w:val="24"/>
          <w:lang w:val="lv-LV"/>
        </w:rPr>
        <w:t>273.panta</w:t>
      </w:r>
      <w:proofErr w:type="gramEnd"/>
      <w:r w:rsidRPr="00220AD9">
        <w:rPr>
          <w:rFonts w:ascii="Times New Roman" w:hAnsi="Times New Roman" w:cs="Times New Roman"/>
          <w:sz w:val="24"/>
          <w:szCs w:val="24"/>
          <w:lang w:val="lv-LV"/>
        </w:rPr>
        <w:t xml:space="preserve"> pārkāpumu.</w:t>
      </w:r>
    </w:p>
    <w:p w14:paraId="26DCF78C"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061178B3" w14:textId="77777777" w:rsidR="00753E2F" w:rsidRPr="00220AD9" w:rsidRDefault="00753E2F" w:rsidP="00753E2F">
      <w:pPr>
        <w:shd w:val="clear" w:color="auto" w:fill="FFFFFF"/>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[4] Ministrija ir sniegusi paskaidrojumus, norādot, ka Administratīvās apgabaltiesas spriedums ir pamatots.</w:t>
      </w:r>
    </w:p>
    <w:p w14:paraId="67501F66" w14:textId="77777777" w:rsidR="00753E2F" w:rsidRPr="00220AD9" w:rsidRDefault="00753E2F" w:rsidP="00753E2F">
      <w:pPr>
        <w:shd w:val="clear" w:color="auto" w:fill="FFFFFF"/>
        <w:spacing w:after="0"/>
        <w:jc w:val="both"/>
        <w:rPr>
          <w:rFonts w:ascii="Times New Roman" w:hAnsi="Times New Roman" w:cs="Times New Roman"/>
          <w:sz w:val="24"/>
          <w:szCs w:val="24"/>
          <w:lang w:val="lv-LV"/>
        </w:rPr>
      </w:pPr>
    </w:p>
    <w:p w14:paraId="07D18AFD" w14:textId="77777777" w:rsidR="00753E2F" w:rsidRPr="00220AD9" w:rsidRDefault="00753E2F" w:rsidP="00753E2F">
      <w:pPr>
        <w:shd w:val="clear" w:color="auto" w:fill="FFFFFF"/>
        <w:spacing w:after="0"/>
        <w:jc w:val="center"/>
        <w:rPr>
          <w:rFonts w:ascii="Times New Roman" w:hAnsi="Times New Roman" w:cs="Times New Roman"/>
          <w:b/>
          <w:bCs/>
          <w:sz w:val="24"/>
          <w:szCs w:val="24"/>
          <w:lang w:val="lv-LV"/>
        </w:rPr>
      </w:pPr>
      <w:r w:rsidRPr="00220AD9">
        <w:rPr>
          <w:rFonts w:ascii="Times New Roman" w:hAnsi="Times New Roman" w:cs="Times New Roman"/>
          <w:b/>
          <w:bCs/>
          <w:sz w:val="24"/>
          <w:szCs w:val="24"/>
          <w:lang w:val="lv-LV"/>
        </w:rPr>
        <w:t>Motīvu daļa</w:t>
      </w:r>
    </w:p>
    <w:p w14:paraId="0CCDB3DA" w14:textId="77777777" w:rsidR="00753E2F" w:rsidRPr="00220AD9" w:rsidRDefault="00753E2F" w:rsidP="00753E2F">
      <w:pPr>
        <w:shd w:val="clear" w:color="auto" w:fill="FFFFFF"/>
        <w:spacing w:after="0"/>
        <w:jc w:val="both"/>
        <w:rPr>
          <w:rFonts w:ascii="Times New Roman" w:hAnsi="Times New Roman" w:cs="Times New Roman"/>
          <w:sz w:val="24"/>
          <w:szCs w:val="24"/>
          <w:lang w:val="lv-LV"/>
        </w:rPr>
      </w:pPr>
    </w:p>
    <w:p w14:paraId="4A795E8D"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[5] </w:t>
      </w:r>
      <w:bookmarkEnd w:id="0"/>
      <w:bookmarkEnd w:id="1"/>
      <w:r w:rsidRPr="00220AD9">
        <w:rPr>
          <w:rFonts w:ascii="Times New Roman" w:hAnsi="Times New Roman" w:cs="Times New Roman"/>
          <w:sz w:val="24"/>
          <w:szCs w:val="24"/>
          <w:lang w:val="lv-LV"/>
        </w:rPr>
        <w:t>Lietā nav strīda par to, ka ministrijas lēmum</w:t>
      </w:r>
      <w:r>
        <w:rPr>
          <w:rFonts w:ascii="Times New Roman" w:hAnsi="Times New Roman" w:cs="Times New Roman"/>
          <w:sz w:val="24"/>
          <w:szCs w:val="24"/>
          <w:lang w:val="lv-LV"/>
        </w:rPr>
        <w:t>i</w:t>
      </w:r>
      <w:r w:rsidRPr="00220AD9">
        <w:rPr>
          <w:rFonts w:ascii="Times New Roman" w:hAnsi="Times New Roman" w:cs="Times New Roman"/>
          <w:sz w:val="24"/>
          <w:szCs w:val="24"/>
          <w:lang w:val="lv-LV"/>
        </w:rPr>
        <w:t>, saskaņā ar kur</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ministrija atteica pieteicējai piešķirt tiesības pārdot biogāzes elektrostacijā „Lielmežotnes ferma” saražoto elektroenerģiju obligātā iepirkuma ietvaros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bija prettiesisk</w:t>
      </w:r>
      <w:r>
        <w:rPr>
          <w:rFonts w:ascii="Times New Roman" w:hAnsi="Times New Roman" w:cs="Times New Roman"/>
          <w:sz w:val="24"/>
          <w:szCs w:val="24"/>
          <w:lang w:val="lv-LV"/>
        </w:rPr>
        <w:t>i</w:t>
      </w:r>
      <w:r w:rsidRPr="00220AD9">
        <w:rPr>
          <w:rFonts w:ascii="Times New Roman" w:hAnsi="Times New Roman" w:cs="Times New Roman"/>
          <w:sz w:val="24"/>
          <w:szCs w:val="24"/>
          <w:lang w:val="lv-LV"/>
        </w:rPr>
        <w:t>. Lietā ir strīds par to, vai ar š</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lēmum</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pieteicējai ir nodarīti zaudējumi 106 864,04 </w:t>
      </w:r>
      <w:proofErr w:type="spellStart"/>
      <w:r w:rsidRPr="00220AD9">
        <w:rPr>
          <w:rFonts w:ascii="Times New Roman" w:hAnsi="Times New Roman" w:cs="Times New Roman"/>
          <w:i/>
          <w:iCs/>
          <w:sz w:val="24"/>
          <w:szCs w:val="24"/>
          <w:lang w:val="lv-LV"/>
        </w:rPr>
        <w:t>euro</w:t>
      </w:r>
      <w:proofErr w:type="spellEnd"/>
      <w:r w:rsidRPr="00220AD9">
        <w:rPr>
          <w:rFonts w:ascii="Times New Roman" w:hAnsi="Times New Roman" w:cs="Times New Roman"/>
          <w:sz w:val="24"/>
          <w:szCs w:val="24"/>
          <w:lang w:val="lv-LV"/>
        </w:rPr>
        <w:t xml:space="preserve"> apmērā.</w:t>
      </w:r>
    </w:p>
    <w:p w14:paraId="2D2D3572"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Zaudējumus un to apmēru pieteicēja skaidro ar citā elektrostacijā („Mežotnes </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elekcija”) saražotās elektroenerģijas daudzumu laika periodā no </w:t>
      </w:r>
      <w:proofErr w:type="gramStart"/>
      <w:r w:rsidRPr="00220AD9">
        <w:rPr>
          <w:rFonts w:ascii="Times New Roman" w:hAnsi="Times New Roman" w:cs="Times New Roman"/>
          <w:sz w:val="24"/>
          <w:szCs w:val="24"/>
          <w:lang w:val="lv-LV"/>
        </w:rPr>
        <w:t>2012.gada</w:t>
      </w:r>
      <w:proofErr w:type="gramEnd"/>
      <w:r w:rsidRPr="00220AD9">
        <w:rPr>
          <w:rFonts w:ascii="Times New Roman" w:hAnsi="Times New Roman" w:cs="Times New Roman"/>
          <w:sz w:val="24"/>
          <w:szCs w:val="24"/>
          <w:lang w:val="lv-LV"/>
        </w:rPr>
        <w:t xml:space="preserve"> septembra līdz 2015.gada </w:t>
      </w:r>
      <w:r w:rsidRPr="00220AD9">
        <w:rPr>
          <w:rFonts w:ascii="Times New Roman" w:hAnsi="Times New Roman" w:cs="Times New Roman"/>
          <w:sz w:val="24"/>
          <w:szCs w:val="24"/>
          <w:lang w:val="lv-LV"/>
        </w:rPr>
        <w:lastRenderedPageBreak/>
        <w:t>februārim (ieskaitot). Pieteicēja norāda, ka gadījumā, ja attiecībā uz to netiktu pieņemt</w:t>
      </w:r>
      <w:r>
        <w:rPr>
          <w:rFonts w:ascii="Times New Roman" w:hAnsi="Times New Roman" w:cs="Times New Roman"/>
          <w:sz w:val="24"/>
          <w:szCs w:val="24"/>
          <w:lang w:val="lv-LV"/>
        </w:rPr>
        <w:t>i</w:t>
      </w:r>
      <w:r w:rsidRPr="00220AD9">
        <w:rPr>
          <w:rFonts w:ascii="Times New Roman" w:hAnsi="Times New Roman" w:cs="Times New Roman"/>
          <w:sz w:val="24"/>
          <w:szCs w:val="24"/>
          <w:lang w:val="lv-LV"/>
        </w:rPr>
        <w:t xml:space="preserve"> prettiesisk</w:t>
      </w:r>
      <w:r>
        <w:rPr>
          <w:rFonts w:ascii="Times New Roman" w:hAnsi="Times New Roman" w:cs="Times New Roman"/>
          <w:sz w:val="24"/>
          <w:szCs w:val="24"/>
          <w:lang w:val="lv-LV"/>
        </w:rPr>
        <w:t>ie</w:t>
      </w:r>
      <w:r w:rsidRPr="00220AD9">
        <w:rPr>
          <w:rFonts w:ascii="Times New Roman" w:hAnsi="Times New Roman" w:cs="Times New Roman"/>
          <w:sz w:val="24"/>
          <w:szCs w:val="24"/>
          <w:lang w:val="lv-LV"/>
        </w:rPr>
        <w:t xml:space="preserve"> lēmum</w:t>
      </w:r>
      <w:r>
        <w:rPr>
          <w:rFonts w:ascii="Times New Roman" w:hAnsi="Times New Roman" w:cs="Times New Roman"/>
          <w:sz w:val="24"/>
          <w:szCs w:val="24"/>
          <w:lang w:val="lv-LV"/>
        </w:rPr>
        <w:t>i</w:t>
      </w:r>
      <w:r w:rsidRPr="00220AD9">
        <w:rPr>
          <w:rFonts w:ascii="Times New Roman" w:hAnsi="Times New Roman" w:cs="Times New Roman"/>
          <w:sz w:val="24"/>
          <w:szCs w:val="24"/>
          <w:lang w:val="lv-LV"/>
        </w:rPr>
        <w:t xml:space="preserve">, pieteicēja elektrostacijā „Mežotnes </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elekcija” saražoto elektroenerģiju būtu pārdevusi nevis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221, bet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tādējādi gūstot par 106 864,04 </w:t>
      </w:r>
      <w:proofErr w:type="spellStart"/>
      <w:r w:rsidRPr="00220AD9">
        <w:rPr>
          <w:rFonts w:ascii="Times New Roman" w:hAnsi="Times New Roman" w:cs="Times New Roman"/>
          <w:i/>
          <w:iCs/>
          <w:sz w:val="24"/>
          <w:szCs w:val="24"/>
          <w:lang w:val="lv-LV"/>
        </w:rPr>
        <w:t>euro</w:t>
      </w:r>
      <w:proofErr w:type="spellEnd"/>
      <w:r w:rsidRPr="00220AD9">
        <w:rPr>
          <w:rFonts w:ascii="Times New Roman" w:hAnsi="Times New Roman" w:cs="Times New Roman"/>
          <w:sz w:val="24"/>
          <w:szCs w:val="24"/>
          <w:lang w:val="lv-LV"/>
        </w:rPr>
        <w:t xml:space="preserve"> lielākus ienākumus.</w:t>
      </w:r>
    </w:p>
    <w:p w14:paraId="3A68114F"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Savukārt tiesa, izvērtējot lietā esošos pierādījumus, ir secinājusi, ka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selekcija” saražoto elektroenerģiju pieteicēja nebūtu varējusi pārdot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oteikumos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noteiktajām cenām pat tad, ja ministrija nebūtu pieņēmusi prettiesisko</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 lēmumu</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 un būtu piešķīrusi pieteicējai tiesības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Lielmežotnes ferma” saražoto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Nr.</w:t>
      </w:r>
      <w:r w:rsidRPr="00220AD9">
        <w:rPr>
          <w:lang w:val="lv-LV"/>
        </w:rPr>
        <w:t> </w:t>
      </w:r>
      <w:r w:rsidRPr="00220AD9">
        <w:rPr>
          <w:rFonts w:ascii="Times New Roman" w:hAnsi="Times New Roman" w:cs="Times New Roman"/>
          <w:sz w:val="24"/>
          <w:szCs w:val="24"/>
          <w:lang w:val="lv-LV"/>
        </w:rPr>
        <w:t xml:space="preserve">262. Tiesa atzina, ka pieteicēja nav spējusi pierādīt, ka ministrijas tiesiska lēmuma gadījumā tā būtu lūgusi un ministrija tai būtu piešķīrusi tiesības pārdot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 262 jau citā nekustamajā īpašumā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Mežotnes selekcija”).</w:t>
      </w:r>
    </w:p>
    <w:p w14:paraId="456CD4B2"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Ņemot vērā minēto, Senāts pārbaudīs, vai tiesa, izdarot minētos secinājumus, </w:t>
      </w:r>
      <w:r>
        <w:rPr>
          <w:rFonts w:ascii="Times New Roman" w:hAnsi="Times New Roman" w:cs="Times New Roman"/>
          <w:sz w:val="24"/>
          <w:szCs w:val="24"/>
          <w:lang w:val="lv-LV"/>
        </w:rPr>
        <w:t>nav pieļāvusi tiesību normu pārkāpumus.</w:t>
      </w:r>
    </w:p>
    <w:p w14:paraId="7B289810"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5F5E9120"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[6]</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Saskaņā ar Valsts pārvaldes iestāžu nodarīto zaudējumu atlīdzināšanas likuma </w:t>
      </w:r>
      <w:proofErr w:type="gramStart"/>
      <w:r w:rsidRPr="00220AD9">
        <w:rPr>
          <w:rFonts w:ascii="Times New Roman" w:hAnsi="Times New Roman" w:cs="Times New Roman"/>
          <w:sz w:val="24"/>
          <w:szCs w:val="24"/>
          <w:lang w:val="lv-LV"/>
        </w:rPr>
        <w:t>7.panta</w:t>
      </w:r>
      <w:proofErr w:type="gramEnd"/>
      <w:r w:rsidRPr="00220AD9">
        <w:rPr>
          <w:rFonts w:ascii="Times New Roman" w:hAnsi="Times New Roman" w:cs="Times New Roman"/>
          <w:sz w:val="24"/>
          <w:szCs w:val="24"/>
          <w:lang w:val="lv-LV"/>
        </w:rPr>
        <w:t xml:space="preserve"> otro daļu, aprēķinot mantisko zaudējumu, ņem vērā arī neiegūto peļņu, ja cietušais spēj pierādīt, ka notikumu parastās attīstības gaitā peļņa tiktu gūta. Tādējādi tiesa pamatoti ir vērtējusi, vai pieteicēja notikumu parastās attīstības gaitā</w:t>
      </w:r>
      <w:r>
        <w:rPr>
          <w:rFonts w:ascii="Times New Roman" w:hAnsi="Times New Roman" w:cs="Times New Roman"/>
          <w:sz w:val="24"/>
          <w:szCs w:val="24"/>
          <w:lang w:val="lv-LV"/>
        </w:rPr>
        <w:t xml:space="preserve">, proti, </w:t>
      </w:r>
      <w:r w:rsidRPr="00220AD9">
        <w:rPr>
          <w:rFonts w:ascii="Times New Roman" w:hAnsi="Times New Roman" w:cs="Times New Roman"/>
          <w:sz w:val="24"/>
          <w:szCs w:val="24"/>
          <w:lang w:val="lv-LV"/>
        </w:rPr>
        <w:t xml:space="preserve">ja ministrija nebūtu pieņēmusi </w:t>
      </w:r>
      <w:r>
        <w:rPr>
          <w:rFonts w:ascii="Times New Roman" w:hAnsi="Times New Roman" w:cs="Times New Roman"/>
          <w:sz w:val="24"/>
          <w:szCs w:val="24"/>
          <w:lang w:val="lv-LV"/>
        </w:rPr>
        <w:t xml:space="preserve">par </w:t>
      </w:r>
      <w:r w:rsidRPr="00220AD9">
        <w:rPr>
          <w:rFonts w:ascii="Times New Roman" w:hAnsi="Times New Roman" w:cs="Times New Roman"/>
          <w:sz w:val="24"/>
          <w:szCs w:val="24"/>
          <w:lang w:val="lv-LV"/>
        </w:rPr>
        <w:t>prettiesisk</w:t>
      </w:r>
      <w:r>
        <w:rPr>
          <w:rFonts w:ascii="Times New Roman" w:hAnsi="Times New Roman" w:cs="Times New Roman"/>
          <w:sz w:val="24"/>
          <w:szCs w:val="24"/>
          <w:lang w:val="lv-LV"/>
        </w:rPr>
        <w:t>iem atzītos</w:t>
      </w:r>
      <w:r w:rsidRPr="00220AD9">
        <w:rPr>
          <w:rFonts w:ascii="Times New Roman" w:hAnsi="Times New Roman" w:cs="Times New Roman"/>
          <w:sz w:val="24"/>
          <w:szCs w:val="24"/>
          <w:lang w:val="lv-LV"/>
        </w:rPr>
        <w:t xml:space="preserve"> lēmumu</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 būtu guvusi tādu peļņu, </w:t>
      </w:r>
      <w:r>
        <w:rPr>
          <w:rFonts w:ascii="Times New Roman" w:hAnsi="Times New Roman" w:cs="Times New Roman"/>
          <w:sz w:val="24"/>
          <w:szCs w:val="24"/>
          <w:lang w:val="lv-LV"/>
        </w:rPr>
        <w:t>kādu pieteicēja ir aprēķinājusi.</w:t>
      </w:r>
    </w:p>
    <w:p w14:paraId="49F26772"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Pieteicēja ir norādījusi, ka notikumu parastās attīstības gaitā pieteicēja pēc lēmuma par tiesību piešķiršanu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Lielmežotnes ferma” saražoto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w:t>
      </w:r>
      <w:r>
        <w:rPr>
          <w:rFonts w:ascii="Times New Roman" w:hAnsi="Times New Roman" w:cs="Times New Roman"/>
          <w:sz w:val="24"/>
          <w:szCs w:val="24"/>
          <w:lang w:val="lv-LV"/>
        </w:rPr>
        <w:t>iem</w:t>
      </w:r>
      <w:r w:rsidRPr="00220AD9">
        <w:rPr>
          <w:rFonts w:ascii="Times New Roman" w:hAnsi="Times New Roman" w:cs="Times New Roman"/>
          <w:sz w:val="24"/>
          <w:szCs w:val="24"/>
          <w:lang w:val="lv-LV"/>
        </w:rPr>
        <w:t xml:space="preserve">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nemaz nebūtu pretendējusi uz tiesību iegūšanu pārdot elektroenerģiju saskaņā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221. Vienlaikus pieteicēja ir norādījusi, ka nekustamajā īpašumā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Lielmežotnes ferma” elektrostaciju nebija iespējams izveidot, tādēļ pieteicēja būtu lūgusi mainīt elektrostacijas atrašanās vietu uz blakus esošo zemes gabalu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Mežotnes selekcija”) un tajā saražoto elektroenerģiju būtu pārdevusi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oteikumiem Nr. 262.</w:t>
      </w:r>
    </w:p>
    <w:p w14:paraId="73774CB0"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Lai noskaidrotu, vai šāda pieteicējas norādītā notikumu attīstības gaita ir iespējama, ir pārbaudāms arī tas, vai pieteicēja būtu varējusi mainīt elektrostacijas atrašanās vietu no sākotnējā lēmumā noteiktā nekustamā īpašuma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Lielmežotnes ferma”) uz citu nekustamo īpašumu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Mežotnes selekcija”).</w:t>
      </w:r>
    </w:p>
    <w:p w14:paraId="42C5F8B1"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3FE288C6"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[7]</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Atbilstoši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oteikumu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5., 10., 11. un 13.punktam, lai iegūtu tiesības pārdot saražoto elektroenerģiju obligātā iepirkuma ietvaros atbilstoši šiem noteikumiem, sākotnēji ir jāsaņem ministrijas atļauja elektroenerģijas ražošanas iekārtas ieviešanai. Minētā atļauja tiek izsniegta Ministru kabineta </w:t>
      </w:r>
      <w:proofErr w:type="gramStart"/>
      <w:r w:rsidRPr="00220AD9">
        <w:rPr>
          <w:rFonts w:ascii="Times New Roman" w:hAnsi="Times New Roman" w:cs="Times New Roman"/>
          <w:sz w:val="24"/>
          <w:szCs w:val="24"/>
          <w:lang w:val="lv-LV"/>
        </w:rPr>
        <w:t>2009.gada</w:t>
      </w:r>
      <w:proofErr w:type="gramEnd"/>
      <w:r w:rsidRPr="00220AD9">
        <w:rPr>
          <w:rFonts w:ascii="Times New Roman" w:hAnsi="Times New Roman" w:cs="Times New Roman"/>
          <w:sz w:val="24"/>
          <w:szCs w:val="24"/>
          <w:lang w:val="lv-LV"/>
        </w:rPr>
        <w:t xml:space="preserve"> 11.augusta noteikumos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883 „Noteikumi par atļaujām elektroenerģijas ražošanas jaudu palielināšanai vai jaunu ražošanas iekārtu ieviešanai” noteiktajā kārtībā.</w:t>
      </w:r>
    </w:p>
    <w:p w14:paraId="70A5F209" w14:textId="77777777" w:rsidR="00753E2F"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Saskaņā ar</w:t>
      </w:r>
      <w:r w:rsidRPr="00220AD9">
        <w:rPr>
          <w:rFonts w:ascii="Times New Roman" w:hAnsi="Times New Roman" w:cs="Times New Roman"/>
          <w:sz w:val="24"/>
          <w:szCs w:val="24"/>
          <w:lang w:val="lv-LV"/>
        </w:rPr>
        <w:t xml:space="preserve"> minēto noteikumu 2.punkt</w:t>
      </w:r>
      <w:r>
        <w:rPr>
          <w:rFonts w:ascii="Times New Roman" w:hAnsi="Times New Roman" w:cs="Times New Roman"/>
          <w:sz w:val="24"/>
          <w:szCs w:val="24"/>
          <w:lang w:val="lv-LV"/>
        </w:rPr>
        <w:t>u</w:t>
      </w:r>
      <w:r w:rsidRPr="00220AD9">
        <w:rPr>
          <w:rFonts w:ascii="Times New Roman" w:hAnsi="Times New Roman" w:cs="Times New Roman"/>
          <w:sz w:val="24"/>
          <w:szCs w:val="24"/>
          <w:lang w:val="lv-LV"/>
        </w:rPr>
        <w:t xml:space="preserve"> un 1.pielikum</w:t>
      </w:r>
      <w:r>
        <w:rPr>
          <w:rFonts w:ascii="Times New Roman" w:hAnsi="Times New Roman" w:cs="Times New Roman"/>
          <w:sz w:val="24"/>
          <w:szCs w:val="24"/>
          <w:lang w:val="lv-LV"/>
        </w:rPr>
        <w:t>u</w:t>
      </w:r>
      <w:r w:rsidRPr="00220AD9">
        <w:rPr>
          <w:rFonts w:ascii="Times New Roman" w:hAnsi="Times New Roman" w:cs="Times New Roman"/>
          <w:sz w:val="24"/>
          <w:szCs w:val="24"/>
          <w:lang w:val="lv-LV"/>
        </w:rPr>
        <w:t xml:space="preserve"> elektroenerģijas ražotājam, lai saņemtu atļauju ieviest konkrētu ražošanas iekārtu, par to ir jāsniedz arī visai plaša informācija – tostarp elektrostacijas veids, elektrostacijas plānotā atrašanās vieta (administratīvā teritorija, adrese un nekustamā īpašuma kadastra numurs), sistēmas operators, kura sistēmai elektrostaciju ir plānots pieslēgt utt. Iesniegumam turklāt pievienojams arī konkrētā nekustamā īpašuma, kurā tiek plānots ieviest ražošanas iekārtu, valdījuma tiesības apliecinošs dokuments. Tādējādi no minētā normatīvā regulējuma izriet, ka atļauja ieviest elektroenerģijas ražošanas iekārtu nedod </w:t>
      </w:r>
      <w:r w:rsidRPr="00220AD9">
        <w:rPr>
          <w:rFonts w:ascii="Times New Roman" w:hAnsi="Times New Roman" w:cs="Times New Roman"/>
          <w:sz w:val="24"/>
          <w:szCs w:val="24"/>
          <w:lang w:val="lv-LV"/>
        </w:rPr>
        <w:lastRenderedPageBreak/>
        <w:t>ražotājam</w:t>
      </w:r>
      <w:r>
        <w:rPr>
          <w:rFonts w:ascii="Times New Roman" w:hAnsi="Times New Roman" w:cs="Times New Roman"/>
          <w:sz w:val="24"/>
          <w:szCs w:val="24"/>
          <w:lang w:val="lv-LV"/>
        </w:rPr>
        <w:t xml:space="preserve"> tiesības</w:t>
      </w:r>
      <w:r w:rsidRPr="00220AD9">
        <w:rPr>
          <w:rFonts w:ascii="Times New Roman" w:hAnsi="Times New Roman" w:cs="Times New Roman"/>
          <w:sz w:val="24"/>
          <w:szCs w:val="24"/>
          <w:lang w:val="lv-LV"/>
        </w:rPr>
        <w:t xml:space="preserve"> ieviest jebkādu iekārtu</w:t>
      </w:r>
      <w:r>
        <w:rPr>
          <w:rFonts w:ascii="Times New Roman" w:hAnsi="Times New Roman" w:cs="Times New Roman"/>
          <w:sz w:val="24"/>
          <w:szCs w:val="24"/>
          <w:lang w:val="lv-LV"/>
        </w:rPr>
        <w:t xml:space="preserve"> un</w:t>
      </w:r>
      <w:r w:rsidRPr="00220AD9">
        <w:rPr>
          <w:rFonts w:ascii="Times New Roman" w:hAnsi="Times New Roman" w:cs="Times New Roman"/>
          <w:sz w:val="24"/>
          <w:szCs w:val="24"/>
          <w:lang w:val="lv-LV"/>
        </w:rPr>
        <w:t xml:space="preserve"> jebkurā vietā, bet gan konkrētu tā</w:t>
      </w:r>
      <w:r>
        <w:rPr>
          <w:rFonts w:ascii="Times New Roman" w:hAnsi="Times New Roman" w:cs="Times New Roman"/>
          <w:sz w:val="24"/>
          <w:szCs w:val="24"/>
          <w:lang w:val="lv-LV"/>
        </w:rPr>
        <w:t xml:space="preserve"> iesniegumā</w:t>
      </w:r>
      <w:r w:rsidRPr="00220AD9">
        <w:rPr>
          <w:rFonts w:ascii="Times New Roman" w:hAnsi="Times New Roman" w:cs="Times New Roman"/>
          <w:sz w:val="24"/>
          <w:szCs w:val="24"/>
          <w:lang w:val="lv-LV"/>
        </w:rPr>
        <w:t xml:space="preserve"> norādīto iekārtu</w:t>
      </w:r>
      <w:r>
        <w:rPr>
          <w:rFonts w:ascii="Times New Roman" w:hAnsi="Times New Roman" w:cs="Times New Roman"/>
          <w:sz w:val="24"/>
          <w:szCs w:val="24"/>
          <w:lang w:val="lv-LV"/>
        </w:rPr>
        <w:t>, kas atrodas</w:t>
      </w:r>
      <w:r w:rsidRPr="00220AD9">
        <w:rPr>
          <w:rFonts w:ascii="Times New Roman" w:hAnsi="Times New Roman" w:cs="Times New Roman"/>
          <w:sz w:val="24"/>
          <w:szCs w:val="24"/>
          <w:lang w:val="lv-LV"/>
        </w:rPr>
        <w:t xml:space="preserve"> </w:t>
      </w:r>
      <w:r>
        <w:rPr>
          <w:rFonts w:ascii="Times New Roman" w:hAnsi="Times New Roman" w:cs="Times New Roman"/>
          <w:sz w:val="24"/>
          <w:szCs w:val="24"/>
          <w:lang w:val="lv-LV"/>
        </w:rPr>
        <w:t>konkrētā</w:t>
      </w:r>
      <w:r w:rsidRPr="00220AD9">
        <w:rPr>
          <w:rFonts w:ascii="Times New Roman" w:hAnsi="Times New Roman" w:cs="Times New Roman"/>
          <w:sz w:val="24"/>
          <w:szCs w:val="24"/>
          <w:lang w:val="lv-LV"/>
        </w:rPr>
        <w:t xml:space="preserve"> vietā.</w:t>
      </w:r>
      <w:r>
        <w:rPr>
          <w:rFonts w:ascii="Times New Roman" w:hAnsi="Times New Roman" w:cs="Times New Roman"/>
          <w:sz w:val="24"/>
          <w:szCs w:val="24"/>
          <w:lang w:val="lv-LV"/>
        </w:rPr>
        <w:t xml:space="preserve"> Kā norādījusi ministrija, šāds regulējums noteikts, lai nodrošinātu iespēju plānot un koordinēt sadales un pārvades sistēmā nodotās elektroenerģijas ražošanas jaudas, attiecīgi plānojot tīkla konfigurāciju un uzņemamās jaudas.</w:t>
      </w:r>
    </w:p>
    <w:p w14:paraId="294348DE" w14:textId="77777777" w:rsidR="00753E2F"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ka minētās atļaujas saņemšana ir priekšnoteikums </w:t>
      </w:r>
      <w:r w:rsidRPr="00220AD9">
        <w:rPr>
          <w:rFonts w:ascii="Times New Roman" w:hAnsi="Times New Roman" w:cs="Times New Roman"/>
          <w:sz w:val="24"/>
          <w:szCs w:val="24"/>
          <w:lang w:val="lv-LV"/>
        </w:rPr>
        <w:t>tiesību iegūšanai pārdot elektroenerģiju obligātā iepirkuma ietvaros</w:t>
      </w:r>
      <w:r>
        <w:rPr>
          <w:rFonts w:ascii="Times New Roman" w:hAnsi="Times New Roman" w:cs="Times New Roman"/>
          <w:sz w:val="24"/>
          <w:szCs w:val="24"/>
          <w:lang w:val="lv-LV"/>
        </w:rPr>
        <w:t xml:space="preserve">, </w:t>
      </w:r>
      <w:r w:rsidRPr="00220AD9">
        <w:rPr>
          <w:rFonts w:ascii="Times New Roman" w:hAnsi="Times New Roman" w:cs="Times New Roman"/>
          <w:sz w:val="24"/>
          <w:szCs w:val="24"/>
          <w:lang w:val="lv-LV"/>
        </w:rPr>
        <w:t>arī lēmums</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w:t>
      </w:r>
      <w:r>
        <w:rPr>
          <w:rFonts w:ascii="Times New Roman" w:hAnsi="Times New Roman" w:cs="Times New Roman"/>
          <w:sz w:val="24"/>
          <w:szCs w:val="24"/>
          <w:lang w:val="lv-LV"/>
        </w:rPr>
        <w:t>ar kuru šīs tiesības tiek piešķirtas, ir</w:t>
      </w:r>
      <w:r w:rsidRPr="00220AD9">
        <w:rPr>
          <w:rFonts w:ascii="Times New Roman" w:hAnsi="Times New Roman" w:cs="Times New Roman"/>
          <w:sz w:val="24"/>
          <w:szCs w:val="24"/>
          <w:lang w:val="lv-LV"/>
        </w:rPr>
        <w:t xml:space="preserve"> attiec</w:t>
      </w:r>
      <w:r>
        <w:rPr>
          <w:rFonts w:ascii="Times New Roman" w:hAnsi="Times New Roman" w:cs="Times New Roman"/>
          <w:sz w:val="24"/>
          <w:szCs w:val="24"/>
          <w:lang w:val="lv-LV"/>
        </w:rPr>
        <w:t>ināms</w:t>
      </w:r>
      <w:r w:rsidRPr="00220AD9">
        <w:rPr>
          <w:rFonts w:ascii="Times New Roman" w:hAnsi="Times New Roman" w:cs="Times New Roman"/>
          <w:sz w:val="24"/>
          <w:szCs w:val="24"/>
          <w:lang w:val="lv-LV"/>
        </w:rPr>
        <w:t xml:space="preserve"> uz </w:t>
      </w:r>
      <w:r>
        <w:rPr>
          <w:rFonts w:ascii="Times New Roman" w:hAnsi="Times New Roman" w:cs="Times New Roman"/>
          <w:sz w:val="24"/>
          <w:szCs w:val="24"/>
          <w:lang w:val="lv-LV"/>
        </w:rPr>
        <w:t xml:space="preserve">tieši </w:t>
      </w:r>
      <w:r w:rsidRPr="00220AD9">
        <w:rPr>
          <w:rFonts w:ascii="Times New Roman" w:hAnsi="Times New Roman" w:cs="Times New Roman"/>
          <w:sz w:val="24"/>
          <w:szCs w:val="24"/>
          <w:lang w:val="lv-LV"/>
        </w:rPr>
        <w:t xml:space="preserve">to elektroenerģiju, kas ir saražota </w:t>
      </w:r>
      <w:r>
        <w:rPr>
          <w:rFonts w:ascii="Times New Roman" w:hAnsi="Times New Roman" w:cs="Times New Roman"/>
          <w:sz w:val="24"/>
          <w:szCs w:val="24"/>
          <w:lang w:val="lv-LV"/>
        </w:rPr>
        <w:t>atļaujā minētajā</w:t>
      </w:r>
      <w:r w:rsidRPr="00220AD9">
        <w:rPr>
          <w:rFonts w:ascii="Times New Roman" w:hAnsi="Times New Roman" w:cs="Times New Roman"/>
          <w:sz w:val="24"/>
          <w:szCs w:val="24"/>
          <w:lang w:val="lv-LV"/>
        </w:rPr>
        <w:t xml:space="preserve"> elektrostacijā</w:t>
      </w:r>
      <w:r>
        <w:rPr>
          <w:rFonts w:ascii="Times New Roman" w:hAnsi="Times New Roman" w:cs="Times New Roman"/>
          <w:sz w:val="24"/>
          <w:szCs w:val="24"/>
          <w:lang w:val="lv-LV"/>
        </w:rPr>
        <w:t>.</w:t>
      </w:r>
    </w:p>
    <w:p w14:paraId="154F4165" w14:textId="77777777" w:rsidR="00753E2F" w:rsidRPr="00B9222F"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ecinājumu par elektrostacijas atrašanās vietas nozīmi apstiprina arī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oteikumu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12.3.apakšpunktā </w:t>
      </w:r>
      <w:r w:rsidRPr="00B9222F">
        <w:rPr>
          <w:rFonts w:ascii="Times New Roman" w:hAnsi="Times New Roman" w:cs="Times New Roman"/>
          <w:sz w:val="24"/>
          <w:szCs w:val="24"/>
          <w:lang w:val="lv-LV"/>
        </w:rPr>
        <w:t>norādītais, ka lēmumā par tiesību piešķiršanu pārdot elektrostacijā saražoto elektroenerģiju papildus Administratīvā procesa likumā noteiktajai informācijai ir jānorāda arī elektrostacijas adrese vai atrašanās vieta.</w:t>
      </w:r>
    </w:p>
    <w:p w14:paraId="1C8C83E1" w14:textId="77777777" w:rsidR="00753E2F" w:rsidRPr="00B9222F" w:rsidRDefault="00753E2F" w:rsidP="00753E2F">
      <w:pPr>
        <w:spacing w:after="0"/>
        <w:ind w:firstLine="567"/>
        <w:jc w:val="both"/>
        <w:rPr>
          <w:rFonts w:ascii="Times New Roman" w:hAnsi="Times New Roman" w:cs="Times New Roman"/>
          <w:sz w:val="24"/>
          <w:szCs w:val="24"/>
          <w:highlight w:val="yellow"/>
          <w:lang w:val="lv-LV"/>
        </w:rPr>
      </w:pPr>
      <w:r w:rsidRPr="00B9222F">
        <w:rPr>
          <w:rFonts w:ascii="Times New Roman" w:hAnsi="Times New Roman" w:cs="Times New Roman"/>
          <w:sz w:val="24"/>
          <w:szCs w:val="24"/>
          <w:lang w:val="lv-LV"/>
        </w:rPr>
        <w:t>Elektrostacijas atrašanās vietai ir nozīme, arī vērtējot to kontekstā</w:t>
      </w:r>
      <w:r w:rsidRPr="00C37DEF">
        <w:rPr>
          <w:rFonts w:ascii="Times New Roman" w:hAnsi="Times New Roman" w:cs="Times New Roman"/>
          <w:sz w:val="24"/>
          <w:szCs w:val="24"/>
          <w:lang w:val="lv-LV"/>
        </w:rPr>
        <w:t xml:space="preserve"> ar normatīvajā regulējumā ietverto mērķi </w:t>
      </w:r>
      <w:r>
        <w:rPr>
          <w:rFonts w:ascii="Times New Roman" w:hAnsi="Times New Roman" w:cs="Times New Roman"/>
          <w:sz w:val="24"/>
          <w:szCs w:val="24"/>
          <w:lang w:val="lv-LV"/>
        </w:rPr>
        <w:t>–</w:t>
      </w:r>
      <w:r w:rsidRPr="00C37DEF">
        <w:rPr>
          <w:rFonts w:ascii="Times New Roman" w:hAnsi="Times New Roman" w:cs="Times New Roman"/>
          <w:sz w:val="24"/>
          <w:szCs w:val="24"/>
          <w:lang w:val="lv-LV"/>
        </w:rPr>
        <w:t xml:space="preserve"> veicināt izkliedētu enerģijas ražošanu. Elektroenerģijas tirgus likuma anotācijā</w:t>
      </w:r>
      <w:r w:rsidRPr="00220AD9">
        <w:rPr>
          <w:rFonts w:ascii="Times New Roman" w:hAnsi="Times New Roman" w:cs="Times New Roman"/>
          <w:sz w:val="24"/>
          <w:szCs w:val="24"/>
          <w:lang w:val="lv-LV"/>
        </w:rPr>
        <w:t xml:space="preserve"> norādīts, ka likumprojektā ir noteikti atbalsta mehānismi izkliedētās ģenerācijas un atjaunojamo energoresursu izmantošanas un koģenerācijas attīstībai (</w:t>
      </w:r>
      <w:r w:rsidRPr="00220AD9">
        <w:rPr>
          <w:rFonts w:ascii="Times New Roman" w:hAnsi="Times New Roman" w:cs="Times New Roman"/>
          <w:i/>
          <w:iCs/>
          <w:sz w:val="24"/>
          <w:szCs w:val="24"/>
          <w:lang w:val="lv-LV"/>
        </w:rPr>
        <w:t>sk. </w:t>
      </w:r>
      <w:hyperlink r:id="rId13" w:history="1">
        <w:r w:rsidRPr="002D6D34">
          <w:rPr>
            <w:rStyle w:val="Hyperlink"/>
            <w:rFonts w:ascii="Times New Roman" w:hAnsi="Times New Roman" w:cs="Times New Roman"/>
            <w:i/>
            <w:iCs/>
            <w:color w:val="auto"/>
            <w:sz w:val="24"/>
            <w:szCs w:val="24"/>
            <w:u w:val="none"/>
            <w:lang w:val="lv-LV"/>
          </w:rPr>
          <w:t>https://www.saeima.lv/L_Saeima8/lasa-dd=LP1132_0.htm</w:t>
        </w:r>
      </w:hyperlink>
      <w:r w:rsidRPr="00220AD9">
        <w:rPr>
          <w:rFonts w:ascii="Times New Roman" w:hAnsi="Times New Roman" w:cs="Times New Roman"/>
          <w:sz w:val="24"/>
          <w:szCs w:val="24"/>
          <w:lang w:val="lv-LV"/>
        </w:rPr>
        <w:t>).</w:t>
      </w:r>
      <w:r w:rsidRPr="00220AD9">
        <w:rPr>
          <w:lang w:val="lv-LV"/>
        </w:rPr>
        <w:t xml:space="preserve"> </w:t>
      </w:r>
      <w:r w:rsidRPr="00220AD9">
        <w:rPr>
          <w:rFonts w:ascii="Times New Roman" w:hAnsi="Times New Roman" w:cs="Times New Roman"/>
          <w:sz w:val="24"/>
          <w:szCs w:val="24"/>
          <w:lang w:val="lv-LV"/>
        </w:rPr>
        <w:t>Tādējādi viens no regulējuma mērķiem ir sniegt atbalstu tieši izkliedētai jeb decentralizētai enerģijas ražošanai</w:t>
      </w:r>
      <w:r>
        <w:rPr>
          <w:rFonts w:ascii="Times New Roman" w:hAnsi="Times New Roman" w:cs="Times New Roman"/>
          <w:sz w:val="24"/>
          <w:szCs w:val="24"/>
          <w:lang w:val="lv-LV"/>
        </w:rPr>
        <w:t xml:space="preserve">, kas saskaņā ar </w:t>
      </w:r>
      <w:r w:rsidRPr="00390CA2">
        <w:rPr>
          <w:rFonts w:ascii="Times New Roman" w:hAnsi="Times New Roman" w:cs="Times New Roman"/>
          <w:sz w:val="24"/>
          <w:szCs w:val="24"/>
          <w:lang w:val="lv-LV"/>
        </w:rPr>
        <w:t>Atjaunojamo energoresursu izmantošanas pamatnostādnēm 2006.</w:t>
      </w:r>
      <w:r>
        <w:rPr>
          <w:rFonts w:ascii="Times New Roman" w:hAnsi="Times New Roman" w:cs="Times New Roman"/>
          <w:sz w:val="24"/>
          <w:szCs w:val="24"/>
          <w:lang w:val="lv-LV"/>
        </w:rPr>
        <w:t>–</w:t>
      </w:r>
      <w:proofErr w:type="gramStart"/>
      <w:r w:rsidRPr="00390CA2">
        <w:rPr>
          <w:rFonts w:ascii="Times New Roman" w:hAnsi="Times New Roman" w:cs="Times New Roman"/>
          <w:sz w:val="24"/>
          <w:szCs w:val="24"/>
          <w:lang w:val="lv-LV"/>
        </w:rPr>
        <w:t>2013.gadam</w:t>
      </w:r>
      <w:proofErr w:type="gramEnd"/>
      <w:r w:rsidRPr="00390CA2">
        <w:rPr>
          <w:rFonts w:ascii="Times New Roman" w:hAnsi="Times New Roman" w:cs="Times New Roman"/>
          <w:sz w:val="24"/>
          <w:szCs w:val="24"/>
          <w:lang w:val="lv-LV"/>
        </w:rPr>
        <w:t xml:space="preserve"> ir </w:t>
      </w:r>
      <w:r w:rsidRPr="00220AD9">
        <w:rPr>
          <w:rFonts w:ascii="Times New Roman" w:hAnsi="Times New Roman" w:cs="Times New Roman"/>
          <w:sz w:val="24"/>
          <w:szCs w:val="24"/>
          <w:lang w:val="lv-LV"/>
        </w:rPr>
        <w:t>ražošana, kas notiek tuvu patērētājam un/vai pieejamiem energoresursiem (</w:t>
      </w:r>
      <w:r w:rsidRPr="00220AD9">
        <w:rPr>
          <w:rFonts w:ascii="Times New Roman" w:hAnsi="Times New Roman" w:cs="Times New Roman"/>
          <w:i/>
          <w:iCs/>
          <w:sz w:val="24"/>
          <w:szCs w:val="24"/>
          <w:lang w:val="lv-LV"/>
        </w:rPr>
        <w:t>sk. </w:t>
      </w:r>
      <w:hyperlink r:id="rId14" w:history="1">
        <w:r w:rsidRPr="002D6D34">
          <w:rPr>
            <w:rStyle w:val="Hyperlink"/>
            <w:rFonts w:ascii="Times New Roman" w:hAnsi="Times New Roman" w:cs="Times New Roman"/>
            <w:i/>
            <w:iCs/>
            <w:color w:val="auto"/>
            <w:sz w:val="24"/>
            <w:szCs w:val="24"/>
            <w:u w:val="none"/>
            <w:lang w:val="lv-LV"/>
          </w:rPr>
          <w:t>http://polsis.mk.gov.lv/documents/2091</w:t>
        </w:r>
      </w:hyperlink>
      <w:r w:rsidRPr="00220AD9">
        <w:rPr>
          <w:rFonts w:ascii="Times New Roman" w:hAnsi="Times New Roman" w:cs="Times New Roman"/>
          <w:sz w:val="24"/>
          <w:szCs w:val="24"/>
          <w:lang w:val="lv-LV"/>
        </w:rPr>
        <w:t xml:space="preserve">). </w:t>
      </w:r>
    </w:p>
    <w:p w14:paraId="55AC0D74"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Atbalsts tieši izkliedētas </w:t>
      </w:r>
      <w:r w:rsidRPr="00D955A1">
        <w:rPr>
          <w:rFonts w:ascii="Times New Roman" w:hAnsi="Times New Roman" w:cs="Times New Roman"/>
          <w:sz w:val="24"/>
          <w:szCs w:val="24"/>
          <w:lang w:val="lv-LV"/>
        </w:rPr>
        <w:t xml:space="preserve">elektroenerģijas ražošanai ir ietverts arī </w:t>
      </w:r>
      <w:r>
        <w:rPr>
          <w:rFonts w:ascii="Times New Roman" w:hAnsi="Times New Roman" w:cs="Times New Roman"/>
          <w:sz w:val="24"/>
          <w:szCs w:val="24"/>
          <w:lang w:val="lv-LV"/>
        </w:rPr>
        <w:t>n</w:t>
      </w:r>
      <w:r w:rsidRPr="00D955A1">
        <w:rPr>
          <w:rFonts w:ascii="Times New Roman" w:hAnsi="Times New Roman" w:cs="Times New Roman"/>
          <w:sz w:val="24"/>
          <w:szCs w:val="24"/>
          <w:lang w:val="lv-LV"/>
        </w:rPr>
        <w:t>oteikumos Nr. 262 nostiprinātajos iesnieguma kvalitātes vērtēšanas kritērijos. Piemēram, atbilstoši šo noteikumu 5.pielikuma II</w:t>
      </w:r>
      <w:r>
        <w:rPr>
          <w:rFonts w:ascii="Times New Roman" w:hAnsi="Times New Roman" w:cs="Times New Roman"/>
          <w:sz w:val="24"/>
          <w:szCs w:val="24"/>
          <w:lang w:val="lv-LV"/>
        </w:rPr>
        <w:t> </w:t>
      </w:r>
      <w:r w:rsidRPr="00D955A1">
        <w:rPr>
          <w:rFonts w:ascii="Times New Roman" w:hAnsi="Times New Roman" w:cs="Times New Roman"/>
          <w:sz w:val="24"/>
          <w:szCs w:val="24"/>
          <w:lang w:val="lv-LV"/>
        </w:rPr>
        <w:t>daļas 5.punktam lielākas iespējas konkursa kārtībā iegūt attiecīgās tiesības pārdot elektroenerģiju obligātā iepirkuma ietvaros tiek sniegtas komersantiem, kuru elektrostacijas atrodas tuvāk elektrostacijas darbībai nepieciešamajām izejvielām. Tādējādi arī šis regulējums apstiprina iepriekš secināto, ka</w:t>
      </w:r>
      <w:r>
        <w:rPr>
          <w:rFonts w:ascii="Times New Roman" w:hAnsi="Times New Roman" w:cs="Times New Roman"/>
          <w:sz w:val="24"/>
          <w:szCs w:val="24"/>
          <w:lang w:val="lv-LV"/>
        </w:rPr>
        <w:t xml:space="preserve"> lēmumā norādītā elektrostacijas atrašanās vieta ir būtiska šī administratīvā akta sastāvdaļa un šīs atrašanās vietas grozīšana pēc būtības nozīmē pavisam jaunas tiesības piešķiršanu.</w:t>
      </w:r>
    </w:p>
    <w:p w14:paraId="448CF641"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6ECFF0A8"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w:t>
      </w:r>
      <w:r>
        <w:rPr>
          <w:rFonts w:ascii="Times New Roman" w:hAnsi="Times New Roman" w:cs="Times New Roman"/>
          <w:sz w:val="24"/>
          <w:szCs w:val="24"/>
          <w:lang w:val="lv-LV"/>
        </w:rPr>
        <w:t>8</w:t>
      </w:r>
      <w:r w:rsidRPr="00220AD9">
        <w:rPr>
          <w:rFonts w:ascii="Times New Roman" w:hAnsi="Times New Roman" w:cs="Times New Roman"/>
          <w:sz w:val="24"/>
          <w:szCs w:val="24"/>
          <w:lang w:val="lv-LV"/>
        </w:rPr>
        <w:t>]</w:t>
      </w:r>
      <w:r>
        <w:rPr>
          <w:rFonts w:ascii="Times New Roman" w:hAnsi="Times New Roman" w:cs="Times New Roman"/>
          <w:sz w:val="24"/>
          <w:szCs w:val="24"/>
          <w:lang w:val="lv-LV"/>
        </w:rPr>
        <w:t> T</w:t>
      </w:r>
      <w:r w:rsidRPr="00220AD9">
        <w:rPr>
          <w:rFonts w:ascii="Times New Roman" w:hAnsi="Times New Roman" w:cs="Times New Roman"/>
          <w:sz w:val="24"/>
          <w:szCs w:val="24"/>
          <w:lang w:val="lv-LV"/>
        </w:rPr>
        <w:t>iesības pārdot citā atrašanās vietā (citā elektrostacijā) saražoto elektroenerģiju pieteicējai varētu tikt piešķirtas tikai ar jaunu administratīvo aktu un tikai tad, ja būtu izpildījušies visi normatīvajos tiesību aktos noteiktie priekšnoteikum</w:t>
      </w:r>
      <w:r>
        <w:rPr>
          <w:rFonts w:ascii="Times New Roman" w:hAnsi="Times New Roman" w:cs="Times New Roman"/>
          <w:sz w:val="24"/>
          <w:szCs w:val="24"/>
          <w:lang w:val="lv-LV"/>
        </w:rPr>
        <w:t>i</w:t>
      </w:r>
      <w:r w:rsidRPr="00220AD9">
        <w:rPr>
          <w:rFonts w:ascii="Times New Roman" w:hAnsi="Times New Roman" w:cs="Times New Roman"/>
          <w:sz w:val="24"/>
          <w:szCs w:val="24"/>
          <w:lang w:val="lv-LV"/>
        </w:rPr>
        <w:t xml:space="preserve"> šāda administratīvā akta izdošanai.</w:t>
      </w:r>
    </w:p>
    <w:p w14:paraId="3A503D17" w14:textId="77777777" w:rsidR="00753E2F" w:rsidRPr="00220AD9"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oteikumu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14.punktu, lai kvalificētos tiesību iegūšanai pārdot biomasas, biogāzes, saules vai vēja elektrostacijā saražoto elektroenerģiju obligātā iepirkuma ietvaros, komersants piedalās ministrijas organizētajos konkursos</w:t>
      </w:r>
      <w:r>
        <w:rPr>
          <w:rFonts w:ascii="Times New Roman" w:hAnsi="Times New Roman" w:cs="Times New Roman"/>
          <w:sz w:val="24"/>
          <w:szCs w:val="24"/>
          <w:lang w:val="lv-LV"/>
        </w:rPr>
        <w:t>.</w:t>
      </w:r>
      <w:r w:rsidRPr="00220AD9">
        <w:rPr>
          <w:rFonts w:ascii="Times New Roman" w:hAnsi="Times New Roman" w:cs="Times New Roman"/>
          <w:sz w:val="24"/>
          <w:szCs w:val="24"/>
          <w:lang w:val="lv-LV"/>
        </w:rPr>
        <w:t xml:space="preserve"> Tādējādi viens no priekšnoteikumiem tiesību iegūšanai pārdot saražoto elektroenerģiju saskaņā ar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oteikumos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262 noteikto kārtību ir</w:t>
      </w:r>
      <w:r>
        <w:rPr>
          <w:rFonts w:ascii="Times New Roman" w:hAnsi="Times New Roman" w:cs="Times New Roman"/>
          <w:sz w:val="24"/>
          <w:szCs w:val="24"/>
          <w:lang w:val="lv-LV"/>
        </w:rPr>
        <w:t xml:space="preserve"> dalība</w:t>
      </w:r>
      <w:r w:rsidRPr="00220AD9">
        <w:rPr>
          <w:rFonts w:ascii="Times New Roman" w:hAnsi="Times New Roman" w:cs="Times New Roman"/>
          <w:sz w:val="24"/>
          <w:szCs w:val="24"/>
          <w:lang w:val="lv-LV"/>
        </w:rPr>
        <w:t xml:space="preserve"> ministrijas organizēt</w:t>
      </w:r>
      <w:r>
        <w:rPr>
          <w:rFonts w:ascii="Times New Roman" w:hAnsi="Times New Roman" w:cs="Times New Roman"/>
          <w:sz w:val="24"/>
          <w:szCs w:val="24"/>
          <w:lang w:val="lv-LV"/>
        </w:rPr>
        <w:t>ā</w:t>
      </w:r>
      <w:r w:rsidRPr="00220AD9">
        <w:rPr>
          <w:rFonts w:ascii="Times New Roman" w:hAnsi="Times New Roman" w:cs="Times New Roman"/>
          <w:sz w:val="24"/>
          <w:szCs w:val="24"/>
          <w:lang w:val="lv-LV"/>
        </w:rPr>
        <w:t xml:space="preserve"> konkurs</w:t>
      </w:r>
      <w:r>
        <w:rPr>
          <w:rFonts w:ascii="Times New Roman" w:hAnsi="Times New Roman" w:cs="Times New Roman"/>
          <w:sz w:val="24"/>
          <w:szCs w:val="24"/>
          <w:lang w:val="lv-LV"/>
        </w:rPr>
        <w:t>ā</w:t>
      </w:r>
      <w:r w:rsidRPr="00220AD9">
        <w:rPr>
          <w:rFonts w:ascii="Times New Roman" w:hAnsi="Times New Roman" w:cs="Times New Roman"/>
          <w:sz w:val="24"/>
          <w:szCs w:val="24"/>
          <w:lang w:val="lv-LV"/>
        </w:rPr>
        <w:t xml:space="preserve"> šādu tiesību iegūšanai.</w:t>
      </w:r>
    </w:p>
    <w:p w14:paraId="3344701A" w14:textId="77777777" w:rsidR="00753E2F" w:rsidRDefault="00753E2F" w:rsidP="00753E2F">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Ar </w:t>
      </w:r>
      <w:proofErr w:type="gramStart"/>
      <w:r w:rsidRPr="00220AD9">
        <w:rPr>
          <w:rFonts w:ascii="Times New Roman" w:hAnsi="Times New Roman" w:cs="Times New Roman"/>
          <w:sz w:val="24"/>
          <w:szCs w:val="24"/>
          <w:lang w:val="lv-LV"/>
        </w:rPr>
        <w:t>2011.gada</w:t>
      </w:r>
      <w:proofErr w:type="gramEnd"/>
      <w:r w:rsidRPr="00220AD9">
        <w:rPr>
          <w:rFonts w:ascii="Times New Roman" w:hAnsi="Times New Roman" w:cs="Times New Roman"/>
          <w:sz w:val="24"/>
          <w:szCs w:val="24"/>
          <w:lang w:val="lv-LV"/>
        </w:rPr>
        <w:t xml:space="preserve"> 17.maija grozījumiem </w:t>
      </w:r>
      <w:r>
        <w:rPr>
          <w:rFonts w:ascii="Times New Roman" w:hAnsi="Times New Roman" w:cs="Times New Roman"/>
          <w:sz w:val="24"/>
          <w:szCs w:val="24"/>
          <w:lang w:val="lv-LV"/>
        </w:rPr>
        <w:t>n</w:t>
      </w:r>
      <w:r w:rsidRPr="00220AD9">
        <w:rPr>
          <w:rFonts w:ascii="Times New Roman" w:hAnsi="Times New Roman" w:cs="Times New Roman"/>
          <w:sz w:val="24"/>
          <w:szCs w:val="24"/>
          <w:lang w:val="lv-LV"/>
        </w:rPr>
        <w:t>oteikumi Nr.</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 xml:space="preserve">262 tika papildināti ar 100.punktu, kurā tika noteikts, ka no 2011.gada 26.maija līdz 2013.gada 1.janvārim ministrija </w:t>
      </w:r>
      <w:r>
        <w:rPr>
          <w:rFonts w:ascii="Times New Roman" w:hAnsi="Times New Roman" w:cs="Times New Roman"/>
          <w:sz w:val="24"/>
          <w:szCs w:val="24"/>
          <w:lang w:val="lv-LV"/>
        </w:rPr>
        <w:t>minētos konkursus neorganizē</w:t>
      </w:r>
      <w:r w:rsidRPr="00220AD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Turklāt ar </w:t>
      </w:r>
      <w:proofErr w:type="gramStart"/>
      <w:r w:rsidRPr="00220AD9">
        <w:rPr>
          <w:rFonts w:ascii="Times New Roman" w:hAnsi="Times New Roman" w:cs="Times New Roman"/>
          <w:sz w:val="24"/>
          <w:szCs w:val="24"/>
          <w:lang w:val="lv-LV"/>
        </w:rPr>
        <w:t>2012.gada</w:t>
      </w:r>
      <w:proofErr w:type="gramEnd"/>
      <w:r w:rsidRPr="00220AD9">
        <w:rPr>
          <w:rFonts w:ascii="Times New Roman" w:hAnsi="Times New Roman" w:cs="Times New Roman"/>
          <w:sz w:val="24"/>
          <w:szCs w:val="24"/>
          <w:lang w:val="lv-LV"/>
        </w:rPr>
        <w:t xml:space="preserve"> 28.augusta un 2015.gada 15</w:t>
      </w:r>
      <w:r>
        <w:rPr>
          <w:rFonts w:ascii="Times New Roman" w:hAnsi="Times New Roman" w:cs="Times New Roman"/>
          <w:sz w:val="24"/>
          <w:szCs w:val="24"/>
          <w:lang w:val="lv-LV"/>
        </w:rPr>
        <w:t>.</w:t>
      </w:r>
      <w:r w:rsidRPr="00220AD9">
        <w:rPr>
          <w:rFonts w:ascii="Times New Roman" w:hAnsi="Times New Roman" w:cs="Times New Roman"/>
          <w:sz w:val="24"/>
          <w:szCs w:val="24"/>
          <w:lang w:val="lv-LV"/>
        </w:rPr>
        <w:t>decembra grozījumiem</w:t>
      </w:r>
      <w:r>
        <w:rPr>
          <w:rFonts w:ascii="Times New Roman" w:hAnsi="Times New Roman" w:cs="Times New Roman"/>
          <w:sz w:val="24"/>
          <w:szCs w:val="24"/>
          <w:lang w:val="lv-LV"/>
        </w:rPr>
        <w:t xml:space="preserve"> noteikumos Nr. 262</w:t>
      </w:r>
      <w:r w:rsidRPr="00220AD9">
        <w:rPr>
          <w:rFonts w:ascii="Times New Roman" w:hAnsi="Times New Roman" w:cs="Times New Roman"/>
          <w:sz w:val="24"/>
          <w:szCs w:val="24"/>
          <w:lang w:val="lv-LV"/>
        </w:rPr>
        <w:t xml:space="preserve"> minētais termiņš tika pagarināts</w:t>
      </w:r>
      <w:r>
        <w:rPr>
          <w:rFonts w:ascii="Times New Roman" w:hAnsi="Times New Roman" w:cs="Times New Roman"/>
          <w:sz w:val="24"/>
          <w:szCs w:val="24"/>
          <w:lang w:val="lv-LV"/>
        </w:rPr>
        <w:t xml:space="preserve"> vēl</w:t>
      </w:r>
      <w:r w:rsidRPr="00220AD9">
        <w:rPr>
          <w:rFonts w:ascii="Times New Roman" w:hAnsi="Times New Roman" w:cs="Times New Roman"/>
          <w:sz w:val="24"/>
          <w:szCs w:val="24"/>
          <w:lang w:val="lv-LV"/>
        </w:rPr>
        <w:t xml:space="preserve"> līdz 2020.gada 1.janvārim. Tādējādi</w:t>
      </w:r>
      <w:r>
        <w:rPr>
          <w:rFonts w:ascii="Times New Roman" w:hAnsi="Times New Roman" w:cs="Times New Roman"/>
          <w:sz w:val="24"/>
          <w:szCs w:val="24"/>
          <w:lang w:val="lv-LV"/>
        </w:rPr>
        <w:t xml:space="preserve"> </w:t>
      </w:r>
      <w:proofErr w:type="gramStart"/>
      <w:r>
        <w:rPr>
          <w:rFonts w:ascii="Times New Roman" w:hAnsi="Times New Roman" w:cs="Times New Roman"/>
          <w:sz w:val="24"/>
          <w:szCs w:val="24"/>
          <w:lang w:val="lv-LV"/>
        </w:rPr>
        <w:t>2010.gadā</w:t>
      </w:r>
      <w:proofErr w:type="gramEnd"/>
      <w:r>
        <w:rPr>
          <w:rFonts w:ascii="Times New Roman" w:hAnsi="Times New Roman" w:cs="Times New Roman"/>
          <w:sz w:val="24"/>
          <w:szCs w:val="24"/>
          <w:lang w:val="lv-LV"/>
        </w:rPr>
        <w:t xml:space="preserve"> organizētais</w:t>
      </w:r>
      <w:r w:rsidRPr="00220AD9">
        <w:rPr>
          <w:rFonts w:ascii="Times New Roman" w:hAnsi="Times New Roman" w:cs="Times New Roman"/>
          <w:sz w:val="24"/>
          <w:szCs w:val="24"/>
          <w:lang w:val="lv-LV"/>
        </w:rPr>
        <w:t xml:space="preserve"> konkurss, kurā pieteicēja</w:t>
      </w:r>
      <w:r>
        <w:rPr>
          <w:rFonts w:ascii="Times New Roman" w:hAnsi="Times New Roman" w:cs="Times New Roman"/>
          <w:sz w:val="24"/>
          <w:szCs w:val="24"/>
          <w:lang w:val="lv-LV"/>
        </w:rPr>
        <w:t>i bija</w:t>
      </w:r>
      <w:r w:rsidRPr="00220AD9">
        <w:rPr>
          <w:rFonts w:ascii="Times New Roman" w:hAnsi="Times New Roman" w:cs="Times New Roman"/>
          <w:sz w:val="24"/>
          <w:szCs w:val="24"/>
          <w:lang w:val="lv-LV"/>
        </w:rPr>
        <w:t xml:space="preserve"> </w:t>
      </w:r>
      <w:r>
        <w:rPr>
          <w:rFonts w:ascii="Times New Roman" w:hAnsi="Times New Roman" w:cs="Times New Roman"/>
          <w:sz w:val="24"/>
          <w:szCs w:val="24"/>
          <w:lang w:val="lv-LV"/>
        </w:rPr>
        <w:t>jā</w:t>
      </w:r>
      <w:r w:rsidRPr="00220AD9">
        <w:rPr>
          <w:rFonts w:ascii="Times New Roman" w:hAnsi="Times New Roman" w:cs="Times New Roman"/>
          <w:sz w:val="24"/>
          <w:szCs w:val="24"/>
          <w:lang w:val="lv-LV"/>
        </w:rPr>
        <w:t>ieg</w:t>
      </w:r>
      <w:r>
        <w:rPr>
          <w:rFonts w:ascii="Times New Roman" w:hAnsi="Times New Roman" w:cs="Times New Roman"/>
          <w:sz w:val="24"/>
          <w:szCs w:val="24"/>
          <w:lang w:val="lv-LV"/>
        </w:rPr>
        <w:t>ūst</w:t>
      </w:r>
      <w:r w:rsidRPr="00220AD9">
        <w:rPr>
          <w:rFonts w:ascii="Times New Roman" w:hAnsi="Times New Roman" w:cs="Times New Roman"/>
          <w:sz w:val="24"/>
          <w:szCs w:val="24"/>
          <w:lang w:val="lv-LV"/>
        </w:rPr>
        <w:t xml:space="preserve"> tiesības pārdot elektrostacijā </w:t>
      </w:r>
      <w:r>
        <w:rPr>
          <w:rFonts w:ascii="Times New Roman" w:hAnsi="Times New Roman" w:cs="Times New Roman"/>
          <w:sz w:val="24"/>
          <w:szCs w:val="24"/>
          <w:lang w:val="lv-LV"/>
        </w:rPr>
        <w:t>„</w:t>
      </w:r>
      <w:r w:rsidRPr="00220AD9">
        <w:rPr>
          <w:rFonts w:ascii="Times New Roman" w:hAnsi="Times New Roman" w:cs="Times New Roman"/>
          <w:sz w:val="24"/>
          <w:szCs w:val="24"/>
          <w:lang w:val="lv-LV"/>
        </w:rPr>
        <w:t>Lielmežotnes ferma” saražoto elektroenerģiju</w:t>
      </w:r>
      <w:r>
        <w:rPr>
          <w:rFonts w:ascii="Times New Roman" w:hAnsi="Times New Roman" w:cs="Times New Roman"/>
          <w:sz w:val="24"/>
          <w:szCs w:val="24"/>
          <w:lang w:val="lv-LV"/>
        </w:rPr>
        <w:t xml:space="preserve"> obligātā iepirkuma </w:t>
      </w:r>
      <w:r>
        <w:rPr>
          <w:rFonts w:ascii="Times New Roman" w:hAnsi="Times New Roman" w:cs="Times New Roman"/>
          <w:sz w:val="24"/>
          <w:szCs w:val="24"/>
          <w:lang w:val="lv-LV"/>
        </w:rPr>
        <w:lastRenderedPageBreak/>
        <w:t>ietvaros</w:t>
      </w:r>
      <w:r w:rsidRPr="00220AD9">
        <w:rPr>
          <w:rFonts w:ascii="Times New Roman" w:hAnsi="Times New Roman" w:cs="Times New Roman"/>
          <w:sz w:val="24"/>
          <w:szCs w:val="24"/>
          <w:lang w:val="lv-LV"/>
        </w:rPr>
        <w:t xml:space="preserve">, ir bijis pēdējais konkurss, kurš ticis rīkots </w:t>
      </w:r>
      <w:r>
        <w:rPr>
          <w:rFonts w:ascii="Times New Roman" w:hAnsi="Times New Roman" w:cs="Times New Roman"/>
          <w:sz w:val="24"/>
          <w:szCs w:val="24"/>
          <w:lang w:val="lv-LV"/>
        </w:rPr>
        <w:t>noteikumos Nr. 262 noteikto tiesību iegūšanai.</w:t>
      </w:r>
    </w:p>
    <w:p w14:paraId="638D59A1" w14:textId="77777777" w:rsidR="00753E2F" w:rsidRPr="00220AD9"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Tādējādi secināms, ka pat gadījumā, ja pieteicēja būtu gribējusi iegūt tiesības pārdot citā elektrostacijā („Mežotnes selekcija”) saražoto elektroenerģiju saskaņā ar noteikumiem Nr. 262, pieteicēja to nebūtu varējusi īstenot. Turklāt pieteicēja to nebūtu varējusi pat tad, ja pieteicējai iepriekš nebūtu piešķirtas tiesības pārdot šajā elektrostacijā saražoto elektroenerģiju saskaņā ar noteikumiem Nr. </w:t>
      </w:r>
      <w:bookmarkStart w:id="2" w:name="_GoBack"/>
      <w:r>
        <w:rPr>
          <w:rFonts w:ascii="Times New Roman" w:hAnsi="Times New Roman" w:cs="Times New Roman"/>
          <w:sz w:val="24"/>
          <w:szCs w:val="24"/>
          <w:lang w:val="lv-LV"/>
        </w:rPr>
        <w:t>221</w:t>
      </w:r>
      <w:bookmarkEnd w:id="2"/>
      <w:r>
        <w:rPr>
          <w:rFonts w:ascii="Times New Roman" w:hAnsi="Times New Roman" w:cs="Times New Roman"/>
          <w:sz w:val="24"/>
          <w:szCs w:val="24"/>
          <w:lang w:val="lv-LV"/>
        </w:rPr>
        <w:t>.</w:t>
      </w:r>
    </w:p>
    <w:p w14:paraId="40B45A91" w14:textId="77777777" w:rsidR="00753E2F" w:rsidRDefault="00753E2F" w:rsidP="00753E2F">
      <w:pPr>
        <w:spacing w:after="0"/>
        <w:jc w:val="both"/>
        <w:rPr>
          <w:rFonts w:ascii="Times New Roman" w:hAnsi="Times New Roman" w:cs="Times New Roman"/>
          <w:sz w:val="24"/>
          <w:szCs w:val="24"/>
          <w:lang w:val="lv-LV"/>
        </w:rPr>
      </w:pPr>
    </w:p>
    <w:p w14:paraId="620347C9" w14:textId="77777777" w:rsidR="00753E2F"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 Pieteicēja kasācijas sūdzībā ir norādījusi, ka tiesai pēc pieteicējas lūguma bija pienākums apturēt tiesvedību šajā lietā līdz brīdim, kad tiks izskatīta administratīvā lieta Nr. A420827310. Minētajā lietā tika izskatīts pieteicējas pieteikums par labvēlīga administratīvā akta izdošanu, ar kuru pieteicējai piešķirtu tiesības pārdot biogāzes elektrostacijā „Mežotnes selekcija” saražoto elektroenerģiju obligātā iepirkuma ietvaros saskaņā ar noteikumiem Nr. 262. Pieteicēja uzskata, ka administratīvajai lietai Nr. A420827310 ir izšķiroša nozīme šajā lietā par zaudējumu atlīdzināšanu, jo abās lietās atteikums faktiski tiekot pamatots ar pieteicējas tiesībām īstenot tikai vienas no Elektroenerģijas tirgus likuma </w:t>
      </w:r>
      <w:proofErr w:type="gramStart"/>
      <w:r>
        <w:rPr>
          <w:rFonts w:ascii="Times New Roman" w:hAnsi="Times New Roman" w:cs="Times New Roman"/>
          <w:sz w:val="24"/>
          <w:szCs w:val="24"/>
          <w:lang w:val="lv-LV"/>
        </w:rPr>
        <w:t>31.pantā</w:t>
      </w:r>
      <w:proofErr w:type="gramEnd"/>
      <w:r>
        <w:rPr>
          <w:rFonts w:ascii="Times New Roman" w:hAnsi="Times New Roman" w:cs="Times New Roman"/>
          <w:sz w:val="24"/>
          <w:szCs w:val="24"/>
          <w:lang w:val="lv-LV"/>
        </w:rPr>
        <w:t xml:space="preserve"> noteiktajām tiesībām un ka pieteicēja pati ir izvēlējusies īstenot tieši noteikumos Nr. 221 noteiktās tiesības.</w:t>
      </w:r>
    </w:p>
    <w:p w14:paraId="32E5E56D" w14:textId="77777777" w:rsidR="00753E2F" w:rsidRDefault="00753E2F" w:rsidP="00753E2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Senāts konstatē, ka šobrīd šis jautājums vairs nav būtisks, jo, šajā lietā pārbaudot apgabaltiesas sprieduma pamatotību, apgabaltiesas spriedums atzīstams par tiesisku un pieteicējas apgalvotais abu lietu kontekstā skatāmais zaudējumu rašanās pamats tiek noraidīts.</w:t>
      </w:r>
    </w:p>
    <w:p w14:paraId="389F66A8" w14:textId="77777777" w:rsidR="00753E2F" w:rsidRDefault="00753E2F" w:rsidP="00753E2F">
      <w:pPr>
        <w:spacing w:after="0"/>
        <w:ind w:firstLine="567"/>
        <w:jc w:val="both"/>
        <w:rPr>
          <w:rFonts w:ascii="Times New Roman" w:hAnsi="Times New Roman" w:cs="Times New Roman"/>
          <w:sz w:val="24"/>
          <w:szCs w:val="24"/>
          <w:lang w:val="lv-LV"/>
        </w:rPr>
      </w:pPr>
    </w:p>
    <w:p w14:paraId="56320FA0" w14:textId="77777777" w:rsidR="00753E2F" w:rsidRPr="00220AD9" w:rsidRDefault="00753E2F" w:rsidP="00753E2F">
      <w:pPr>
        <w:autoSpaceDE w:val="0"/>
        <w:autoSpaceDN w:val="0"/>
        <w:adjustRightInd w:val="0"/>
        <w:spacing w:after="0"/>
        <w:ind w:firstLine="567"/>
        <w:jc w:val="both"/>
        <w:rPr>
          <w:rFonts w:ascii="Times New Roman" w:hAnsi="Times New Roman" w:cs="Times New Roman"/>
          <w:sz w:val="24"/>
          <w:szCs w:val="24"/>
          <w:lang w:val="lv-LV"/>
        </w:rPr>
      </w:pPr>
      <w:r w:rsidRPr="00374C2B">
        <w:rPr>
          <w:rFonts w:ascii="Times New Roman" w:hAnsi="Times New Roman" w:cs="Times New Roman"/>
          <w:bCs/>
          <w:sz w:val="24"/>
          <w:szCs w:val="24"/>
          <w:lang w:val="lv-LV" w:eastAsia="lv-LV"/>
        </w:rPr>
        <w:t>[</w:t>
      </w:r>
      <w:r>
        <w:rPr>
          <w:rFonts w:ascii="Times New Roman" w:hAnsi="Times New Roman" w:cs="Times New Roman"/>
          <w:bCs/>
          <w:sz w:val="24"/>
          <w:szCs w:val="24"/>
          <w:lang w:val="lv-LV" w:eastAsia="lv-LV"/>
        </w:rPr>
        <w:t>10</w:t>
      </w:r>
      <w:r w:rsidRPr="00374C2B">
        <w:rPr>
          <w:rFonts w:ascii="Times New Roman" w:hAnsi="Times New Roman" w:cs="Times New Roman"/>
          <w:bCs/>
          <w:sz w:val="24"/>
          <w:szCs w:val="24"/>
          <w:lang w:val="lv-LV" w:eastAsia="lv-LV"/>
        </w:rPr>
        <w:t>]</w:t>
      </w:r>
      <w:r>
        <w:rPr>
          <w:rFonts w:ascii="Times New Roman" w:hAnsi="Times New Roman" w:cs="Times New Roman"/>
          <w:bCs/>
          <w:sz w:val="24"/>
          <w:szCs w:val="24"/>
          <w:lang w:val="lv-LV" w:eastAsia="lv-LV"/>
        </w:rPr>
        <w:t> </w:t>
      </w:r>
      <w:r w:rsidRPr="00374C2B">
        <w:rPr>
          <w:rFonts w:ascii="Times New Roman" w:hAnsi="Times New Roman" w:cs="Times New Roman"/>
          <w:bCs/>
          <w:sz w:val="24"/>
          <w:szCs w:val="24"/>
          <w:lang w:val="lv-LV" w:eastAsia="lv-LV"/>
        </w:rPr>
        <w:t xml:space="preserve">Ievērojot iepriekš minētos apsvērumus, kasācijas sūdzības argumenti nav pamats </w:t>
      </w:r>
      <w:r>
        <w:rPr>
          <w:rFonts w:ascii="Times New Roman" w:hAnsi="Times New Roman" w:cs="Times New Roman"/>
          <w:bCs/>
          <w:sz w:val="24"/>
          <w:szCs w:val="24"/>
          <w:lang w:val="lv-LV" w:eastAsia="lv-LV"/>
        </w:rPr>
        <w:t>tiesas</w:t>
      </w:r>
      <w:r w:rsidRPr="00374C2B">
        <w:rPr>
          <w:rFonts w:ascii="Times New Roman" w:hAnsi="Times New Roman" w:cs="Times New Roman"/>
          <w:bCs/>
          <w:sz w:val="24"/>
          <w:szCs w:val="24"/>
          <w:lang w:val="lv-LV" w:eastAsia="lv-LV"/>
        </w:rPr>
        <w:t xml:space="preserve"> sprieduma atcelšanai.</w:t>
      </w:r>
    </w:p>
    <w:p w14:paraId="598E49BC" w14:textId="77777777" w:rsidR="00753E2F" w:rsidRPr="00220AD9" w:rsidRDefault="00753E2F" w:rsidP="00753E2F">
      <w:pPr>
        <w:autoSpaceDE w:val="0"/>
        <w:autoSpaceDN w:val="0"/>
        <w:adjustRightInd w:val="0"/>
        <w:spacing w:after="0"/>
        <w:ind w:firstLine="567"/>
        <w:jc w:val="both"/>
        <w:rPr>
          <w:rFonts w:ascii="Times New Roman" w:hAnsi="Times New Roman" w:cs="Times New Roman"/>
          <w:sz w:val="24"/>
          <w:szCs w:val="24"/>
          <w:lang w:val="lv-LV"/>
        </w:rPr>
      </w:pPr>
    </w:p>
    <w:p w14:paraId="42AF9E9E" w14:textId="77777777" w:rsidR="00753E2F" w:rsidRPr="00220AD9" w:rsidRDefault="00753E2F" w:rsidP="00753E2F">
      <w:pPr>
        <w:spacing w:after="0"/>
        <w:ind w:firstLine="567"/>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Rezolutīvā daļa</w:t>
      </w:r>
    </w:p>
    <w:p w14:paraId="6664EDC3" w14:textId="77777777" w:rsidR="00753E2F" w:rsidRPr="00220AD9" w:rsidRDefault="00753E2F" w:rsidP="00753E2F">
      <w:pPr>
        <w:spacing w:after="0"/>
        <w:ind w:firstLine="567"/>
        <w:jc w:val="both"/>
        <w:rPr>
          <w:rFonts w:ascii="Times New Roman" w:hAnsi="Times New Roman" w:cs="Times New Roman"/>
          <w:bCs/>
          <w:spacing w:val="70"/>
          <w:sz w:val="24"/>
          <w:szCs w:val="24"/>
          <w:lang w:val="lv-LV"/>
        </w:rPr>
      </w:pPr>
    </w:p>
    <w:p w14:paraId="49022DED" w14:textId="77777777" w:rsidR="00753E2F" w:rsidRPr="00220AD9" w:rsidRDefault="00753E2F" w:rsidP="00753E2F">
      <w:pPr>
        <w:tabs>
          <w:tab w:val="left" w:pos="6660"/>
        </w:tabs>
        <w:spacing w:after="0"/>
        <w:ind w:firstLine="567"/>
        <w:jc w:val="both"/>
        <w:rPr>
          <w:rFonts w:ascii="Times New Roman" w:hAnsi="Times New Roman" w:cs="Times New Roman"/>
          <w:strike/>
          <w:sz w:val="24"/>
          <w:szCs w:val="24"/>
          <w:lang w:val="lv-LV"/>
        </w:rPr>
      </w:pPr>
      <w:r w:rsidRPr="00220AD9">
        <w:rPr>
          <w:rFonts w:ascii="Times New Roman" w:hAnsi="Times New Roman" w:cs="Times New Roman"/>
          <w:sz w:val="24"/>
          <w:szCs w:val="24"/>
          <w:lang w:val="lv-LV"/>
        </w:rPr>
        <w:t xml:space="preserve">Pamatojoties uz Administratīvā procesa likuma </w:t>
      </w:r>
      <w:proofErr w:type="gramStart"/>
      <w:r w:rsidRPr="00220AD9">
        <w:rPr>
          <w:rFonts w:ascii="Times New Roman" w:hAnsi="Times New Roman" w:cs="Times New Roman"/>
          <w:sz w:val="24"/>
          <w:szCs w:val="24"/>
          <w:lang w:val="lv-LV"/>
        </w:rPr>
        <w:t>348.panta</w:t>
      </w:r>
      <w:proofErr w:type="gramEnd"/>
      <w:r w:rsidRPr="00220AD9">
        <w:rPr>
          <w:rFonts w:ascii="Times New Roman" w:hAnsi="Times New Roman" w:cs="Times New Roman"/>
          <w:sz w:val="24"/>
          <w:szCs w:val="24"/>
          <w:lang w:val="lv-LV"/>
        </w:rPr>
        <w:t xml:space="preserve"> pirmās daļas 1.punktu un 351.pantu, Senāts</w:t>
      </w:r>
    </w:p>
    <w:p w14:paraId="73A8C000" w14:textId="77777777" w:rsidR="00753E2F" w:rsidRPr="00220AD9" w:rsidRDefault="00753E2F" w:rsidP="00753E2F">
      <w:pPr>
        <w:spacing w:after="0"/>
        <w:ind w:firstLine="567"/>
        <w:jc w:val="both"/>
        <w:rPr>
          <w:rFonts w:ascii="Times New Roman" w:hAnsi="Times New Roman" w:cs="Times New Roman"/>
          <w:sz w:val="24"/>
          <w:szCs w:val="24"/>
          <w:lang w:val="lv-LV"/>
        </w:rPr>
      </w:pPr>
    </w:p>
    <w:p w14:paraId="2BDAB736" w14:textId="77777777" w:rsidR="00753E2F" w:rsidRPr="00220AD9" w:rsidRDefault="00753E2F" w:rsidP="00753E2F">
      <w:pPr>
        <w:keepNext/>
        <w:spacing w:after="0"/>
        <w:ind w:firstLine="567"/>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nosprieda</w:t>
      </w:r>
    </w:p>
    <w:p w14:paraId="00B36C29" w14:textId="77777777" w:rsidR="00753E2F" w:rsidRPr="00220AD9" w:rsidRDefault="00753E2F" w:rsidP="00753E2F">
      <w:pPr>
        <w:keepNext/>
        <w:spacing w:after="0"/>
        <w:ind w:firstLine="567"/>
        <w:jc w:val="center"/>
        <w:rPr>
          <w:rFonts w:ascii="Times New Roman" w:hAnsi="Times New Roman" w:cs="Times New Roman"/>
          <w:b/>
          <w:sz w:val="24"/>
          <w:szCs w:val="24"/>
          <w:lang w:val="lv-LV"/>
        </w:rPr>
      </w:pPr>
    </w:p>
    <w:p w14:paraId="7E4916B1" w14:textId="77777777" w:rsidR="00753E2F" w:rsidRPr="00220AD9" w:rsidRDefault="00753E2F" w:rsidP="00753E2F">
      <w:pPr>
        <w:spacing w:after="0"/>
        <w:ind w:firstLine="567"/>
        <w:jc w:val="both"/>
        <w:rPr>
          <w:rFonts w:ascii="Times New Roman" w:hAnsi="Times New Roman" w:cs="Times New Roman"/>
          <w:color w:val="000000"/>
          <w:sz w:val="24"/>
          <w:szCs w:val="24"/>
          <w:lang w:val="lv-LV"/>
        </w:rPr>
      </w:pPr>
      <w:r w:rsidRPr="00220AD9">
        <w:rPr>
          <w:rFonts w:ascii="Times New Roman" w:hAnsi="Times New Roman" w:cs="Times New Roman"/>
          <w:color w:val="000000"/>
          <w:sz w:val="24"/>
          <w:szCs w:val="24"/>
          <w:lang w:val="lv-LV"/>
        </w:rPr>
        <w:t xml:space="preserve">atstāt negrozītu Administratīvās apgabaltiesas </w:t>
      </w:r>
      <w:proofErr w:type="gramStart"/>
      <w:r w:rsidRPr="00220AD9">
        <w:rPr>
          <w:rFonts w:ascii="Times New Roman" w:hAnsi="Times New Roman" w:cs="Times New Roman"/>
          <w:color w:val="000000"/>
          <w:sz w:val="24"/>
          <w:szCs w:val="24"/>
          <w:lang w:val="lv-LV"/>
        </w:rPr>
        <w:t>2016.gada</w:t>
      </w:r>
      <w:proofErr w:type="gramEnd"/>
      <w:r w:rsidRPr="00220AD9">
        <w:rPr>
          <w:rFonts w:ascii="Times New Roman" w:hAnsi="Times New Roman" w:cs="Times New Roman"/>
          <w:color w:val="000000"/>
          <w:sz w:val="24"/>
          <w:szCs w:val="24"/>
          <w:lang w:val="lv-LV"/>
        </w:rPr>
        <w:t xml:space="preserve"> 6.decembra spriedumu, bet SIA </w:t>
      </w:r>
      <w:r>
        <w:rPr>
          <w:rFonts w:ascii="Times New Roman" w:hAnsi="Times New Roman" w:cs="Times New Roman"/>
          <w:color w:val="000000"/>
          <w:sz w:val="24"/>
          <w:szCs w:val="24"/>
          <w:lang w:val="lv-LV"/>
        </w:rPr>
        <w:t>„</w:t>
      </w:r>
      <w:r w:rsidRPr="00220AD9">
        <w:rPr>
          <w:rFonts w:ascii="Times New Roman" w:hAnsi="Times New Roman" w:cs="Times New Roman"/>
          <w:color w:val="000000"/>
          <w:sz w:val="24"/>
          <w:szCs w:val="24"/>
          <w:lang w:val="lv-LV"/>
        </w:rPr>
        <w:t>Lielmežotne” kasācijas sūdzību noraidīt.</w:t>
      </w:r>
    </w:p>
    <w:p w14:paraId="54F86E2D" w14:textId="77777777" w:rsidR="00753E2F" w:rsidRPr="00A96DF3" w:rsidRDefault="00753E2F" w:rsidP="00753E2F">
      <w:pPr>
        <w:spacing w:after="0"/>
        <w:ind w:firstLine="567"/>
        <w:jc w:val="both"/>
        <w:rPr>
          <w:rFonts w:ascii="Times New Roman" w:hAnsi="Times New Roman" w:cs="Times New Roman"/>
          <w:color w:val="000000"/>
          <w:sz w:val="24"/>
          <w:szCs w:val="24"/>
          <w:lang w:val="lv-LV"/>
        </w:rPr>
      </w:pPr>
      <w:r w:rsidRPr="00220AD9">
        <w:rPr>
          <w:rFonts w:ascii="Times New Roman" w:hAnsi="Times New Roman" w:cs="Times New Roman"/>
          <w:color w:val="000000"/>
          <w:sz w:val="24"/>
          <w:szCs w:val="24"/>
          <w:lang w:val="lv-LV"/>
        </w:rPr>
        <w:t>Spriedums nav pārsūdzams</w:t>
      </w:r>
      <w:r>
        <w:rPr>
          <w:rFonts w:ascii="Times New Roman" w:hAnsi="Times New Roman" w:cs="Times New Roman"/>
          <w:color w:val="000000"/>
          <w:sz w:val="24"/>
          <w:szCs w:val="24"/>
          <w:lang w:val="lv-LV"/>
        </w:rPr>
        <w:t>.</w:t>
      </w:r>
    </w:p>
    <w:p w14:paraId="2E8632D7" w14:textId="551A6CE2" w:rsidR="00374C2B" w:rsidRPr="00753E2F" w:rsidRDefault="00374C2B" w:rsidP="00753E2F"/>
    <w:sectPr w:rsidR="00374C2B" w:rsidRPr="00753E2F" w:rsidSect="00F404B9">
      <w:footerReference w:type="even" r:id="rId15"/>
      <w:footerReference w:type="default" r:id="rId16"/>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35AE" w14:textId="77777777" w:rsidR="00F50E5B" w:rsidRDefault="00F50E5B">
      <w:pPr>
        <w:spacing w:after="0" w:line="240" w:lineRule="auto"/>
      </w:pPr>
      <w:r>
        <w:separator/>
      </w:r>
    </w:p>
  </w:endnote>
  <w:endnote w:type="continuationSeparator" w:id="0">
    <w:p w14:paraId="7F3212C3" w14:textId="77777777" w:rsidR="00F50E5B" w:rsidRDefault="00F5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ED3937" w:rsidRDefault="00ED3937"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ED3937" w:rsidRDefault="00ED3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216FBA11" w:rsidR="00ED3937" w:rsidRPr="009F0E55" w:rsidRDefault="00ED3937"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E2E4B">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376B">
      <w:rPr>
        <w:rStyle w:val="PageNumber"/>
        <w:noProof/>
      </w:rPr>
      <w:t>6</w:t>
    </w:r>
    <w:r>
      <w:rPr>
        <w:rStyle w:val="PageNumber"/>
        <w:noProof/>
      </w:rPr>
      <w:fldChar w:fldCharType="end"/>
    </w:r>
  </w:p>
  <w:p w14:paraId="4192A66E" w14:textId="77777777" w:rsidR="00ED3937" w:rsidRDefault="00ED3937"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E1219" w14:textId="77777777" w:rsidR="00F50E5B" w:rsidRDefault="00F50E5B">
      <w:pPr>
        <w:spacing w:after="0" w:line="240" w:lineRule="auto"/>
      </w:pPr>
      <w:r>
        <w:separator/>
      </w:r>
    </w:p>
  </w:footnote>
  <w:footnote w:type="continuationSeparator" w:id="0">
    <w:p w14:paraId="755E1056" w14:textId="77777777" w:rsidR="00F50E5B" w:rsidRDefault="00F50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04733"/>
    <w:rsid w:val="000056DA"/>
    <w:rsid w:val="0001496B"/>
    <w:rsid w:val="00020212"/>
    <w:rsid w:val="00020701"/>
    <w:rsid w:val="000219FB"/>
    <w:rsid w:val="0002246F"/>
    <w:rsid w:val="00027D4D"/>
    <w:rsid w:val="000377E3"/>
    <w:rsid w:val="00037975"/>
    <w:rsid w:val="00037A04"/>
    <w:rsid w:val="00042245"/>
    <w:rsid w:val="00042C0D"/>
    <w:rsid w:val="00050067"/>
    <w:rsid w:val="00050E87"/>
    <w:rsid w:val="00052534"/>
    <w:rsid w:val="00057C01"/>
    <w:rsid w:val="000631B5"/>
    <w:rsid w:val="000662BF"/>
    <w:rsid w:val="00073CDF"/>
    <w:rsid w:val="00081A27"/>
    <w:rsid w:val="00082A22"/>
    <w:rsid w:val="00083B98"/>
    <w:rsid w:val="00086797"/>
    <w:rsid w:val="00087057"/>
    <w:rsid w:val="000933EE"/>
    <w:rsid w:val="00093949"/>
    <w:rsid w:val="000948E0"/>
    <w:rsid w:val="000965EA"/>
    <w:rsid w:val="00096EA7"/>
    <w:rsid w:val="000A0049"/>
    <w:rsid w:val="000A1802"/>
    <w:rsid w:val="000A36C4"/>
    <w:rsid w:val="000A36CB"/>
    <w:rsid w:val="000A3B4D"/>
    <w:rsid w:val="000A5823"/>
    <w:rsid w:val="000A624D"/>
    <w:rsid w:val="000A7D8F"/>
    <w:rsid w:val="000B052A"/>
    <w:rsid w:val="000B5CD9"/>
    <w:rsid w:val="000C2832"/>
    <w:rsid w:val="000C3FD8"/>
    <w:rsid w:val="000C736C"/>
    <w:rsid w:val="000D446E"/>
    <w:rsid w:val="000D5A6A"/>
    <w:rsid w:val="000E0FB8"/>
    <w:rsid w:val="000E232A"/>
    <w:rsid w:val="000E3DA9"/>
    <w:rsid w:val="000F1329"/>
    <w:rsid w:val="000F3916"/>
    <w:rsid w:val="000F4BF2"/>
    <w:rsid w:val="000F5337"/>
    <w:rsid w:val="000F62C5"/>
    <w:rsid w:val="00105278"/>
    <w:rsid w:val="00106932"/>
    <w:rsid w:val="00111134"/>
    <w:rsid w:val="00116665"/>
    <w:rsid w:val="001177EE"/>
    <w:rsid w:val="00120AE9"/>
    <w:rsid w:val="001236FD"/>
    <w:rsid w:val="001241C2"/>
    <w:rsid w:val="001245CC"/>
    <w:rsid w:val="00127AF5"/>
    <w:rsid w:val="001305DC"/>
    <w:rsid w:val="001345C7"/>
    <w:rsid w:val="001415CB"/>
    <w:rsid w:val="0015356F"/>
    <w:rsid w:val="00153592"/>
    <w:rsid w:val="00155E69"/>
    <w:rsid w:val="00161636"/>
    <w:rsid w:val="00170949"/>
    <w:rsid w:val="00172639"/>
    <w:rsid w:val="00176327"/>
    <w:rsid w:val="00177F9A"/>
    <w:rsid w:val="00181C99"/>
    <w:rsid w:val="00194192"/>
    <w:rsid w:val="001949D4"/>
    <w:rsid w:val="001956AC"/>
    <w:rsid w:val="001964A5"/>
    <w:rsid w:val="00197FDE"/>
    <w:rsid w:val="001A5B1A"/>
    <w:rsid w:val="001B01EA"/>
    <w:rsid w:val="001B35F2"/>
    <w:rsid w:val="001B3D28"/>
    <w:rsid w:val="001B5546"/>
    <w:rsid w:val="001B6F40"/>
    <w:rsid w:val="001B7029"/>
    <w:rsid w:val="001C07CA"/>
    <w:rsid w:val="001C1B48"/>
    <w:rsid w:val="001C6C5C"/>
    <w:rsid w:val="001C7130"/>
    <w:rsid w:val="001C7835"/>
    <w:rsid w:val="001D1B9F"/>
    <w:rsid w:val="001D3EBC"/>
    <w:rsid w:val="001D48B4"/>
    <w:rsid w:val="001D4F81"/>
    <w:rsid w:val="001E142A"/>
    <w:rsid w:val="001E3C4B"/>
    <w:rsid w:val="001E7825"/>
    <w:rsid w:val="001E78B2"/>
    <w:rsid w:val="001F0FC9"/>
    <w:rsid w:val="001F11B6"/>
    <w:rsid w:val="001F7EC9"/>
    <w:rsid w:val="00203BC8"/>
    <w:rsid w:val="00203D73"/>
    <w:rsid w:val="00205EC7"/>
    <w:rsid w:val="0021261F"/>
    <w:rsid w:val="002142F9"/>
    <w:rsid w:val="00220AD9"/>
    <w:rsid w:val="00223021"/>
    <w:rsid w:val="0022502E"/>
    <w:rsid w:val="0022610C"/>
    <w:rsid w:val="002264CC"/>
    <w:rsid w:val="00227719"/>
    <w:rsid w:val="00230A78"/>
    <w:rsid w:val="00231A74"/>
    <w:rsid w:val="0023285D"/>
    <w:rsid w:val="00233316"/>
    <w:rsid w:val="002373BF"/>
    <w:rsid w:val="002415F6"/>
    <w:rsid w:val="00250153"/>
    <w:rsid w:val="00253198"/>
    <w:rsid w:val="0025413E"/>
    <w:rsid w:val="0025684E"/>
    <w:rsid w:val="00261CAC"/>
    <w:rsid w:val="00263DA9"/>
    <w:rsid w:val="00264AA2"/>
    <w:rsid w:val="002720B5"/>
    <w:rsid w:val="002747E3"/>
    <w:rsid w:val="0027604C"/>
    <w:rsid w:val="00286971"/>
    <w:rsid w:val="00286A88"/>
    <w:rsid w:val="00291400"/>
    <w:rsid w:val="00292C51"/>
    <w:rsid w:val="00294813"/>
    <w:rsid w:val="00295053"/>
    <w:rsid w:val="002963D9"/>
    <w:rsid w:val="0029684A"/>
    <w:rsid w:val="002A6BCA"/>
    <w:rsid w:val="002B0FF0"/>
    <w:rsid w:val="002B32C6"/>
    <w:rsid w:val="002B32D0"/>
    <w:rsid w:val="002C05DA"/>
    <w:rsid w:val="002C0A3F"/>
    <w:rsid w:val="002C18AE"/>
    <w:rsid w:val="002C7235"/>
    <w:rsid w:val="002D1BEB"/>
    <w:rsid w:val="002D6D34"/>
    <w:rsid w:val="002E01F8"/>
    <w:rsid w:val="002E0786"/>
    <w:rsid w:val="002E1432"/>
    <w:rsid w:val="002E2E4B"/>
    <w:rsid w:val="002E5D3F"/>
    <w:rsid w:val="002F105A"/>
    <w:rsid w:val="002F215E"/>
    <w:rsid w:val="002F751F"/>
    <w:rsid w:val="00301E52"/>
    <w:rsid w:val="00310DC3"/>
    <w:rsid w:val="00313603"/>
    <w:rsid w:val="003179BA"/>
    <w:rsid w:val="00320E72"/>
    <w:rsid w:val="0032114A"/>
    <w:rsid w:val="00322A33"/>
    <w:rsid w:val="00322D1A"/>
    <w:rsid w:val="003306BD"/>
    <w:rsid w:val="00333025"/>
    <w:rsid w:val="00333664"/>
    <w:rsid w:val="00345ABA"/>
    <w:rsid w:val="00346694"/>
    <w:rsid w:val="0034738C"/>
    <w:rsid w:val="0035193E"/>
    <w:rsid w:val="00360FB0"/>
    <w:rsid w:val="00361954"/>
    <w:rsid w:val="0036274C"/>
    <w:rsid w:val="00362AFE"/>
    <w:rsid w:val="003633B6"/>
    <w:rsid w:val="00366BDD"/>
    <w:rsid w:val="0037323E"/>
    <w:rsid w:val="00374A5E"/>
    <w:rsid w:val="00374C2B"/>
    <w:rsid w:val="00374E5B"/>
    <w:rsid w:val="00377471"/>
    <w:rsid w:val="00377933"/>
    <w:rsid w:val="00380998"/>
    <w:rsid w:val="003817BE"/>
    <w:rsid w:val="00381AA6"/>
    <w:rsid w:val="003860FF"/>
    <w:rsid w:val="00390CA2"/>
    <w:rsid w:val="00392751"/>
    <w:rsid w:val="00393CE0"/>
    <w:rsid w:val="00394EB7"/>
    <w:rsid w:val="003A19BC"/>
    <w:rsid w:val="003B00DB"/>
    <w:rsid w:val="003B17BD"/>
    <w:rsid w:val="003B7584"/>
    <w:rsid w:val="003C0A22"/>
    <w:rsid w:val="003C31E3"/>
    <w:rsid w:val="003C3D10"/>
    <w:rsid w:val="003C547C"/>
    <w:rsid w:val="003D2704"/>
    <w:rsid w:val="003D31EC"/>
    <w:rsid w:val="003D4A86"/>
    <w:rsid w:val="003D7D24"/>
    <w:rsid w:val="003E05A9"/>
    <w:rsid w:val="003E2995"/>
    <w:rsid w:val="003E3706"/>
    <w:rsid w:val="003E6031"/>
    <w:rsid w:val="003E773E"/>
    <w:rsid w:val="003F154E"/>
    <w:rsid w:val="003F196B"/>
    <w:rsid w:val="003F2C21"/>
    <w:rsid w:val="003F487E"/>
    <w:rsid w:val="004010ED"/>
    <w:rsid w:val="00401345"/>
    <w:rsid w:val="00402FF6"/>
    <w:rsid w:val="0040530C"/>
    <w:rsid w:val="00405635"/>
    <w:rsid w:val="00405FE3"/>
    <w:rsid w:val="00412370"/>
    <w:rsid w:val="00415ADC"/>
    <w:rsid w:val="00416AA7"/>
    <w:rsid w:val="00417F23"/>
    <w:rsid w:val="00432353"/>
    <w:rsid w:val="00443F17"/>
    <w:rsid w:val="00450274"/>
    <w:rsid w:val="00452BAA"/>
    <w:rsid w:val="00453127"/>
    <w:rsid w:val="00453211"/>
    <w:rsid w:val="0045404F"/>
    <w:rsid w:val="00457DA8"/>
    <w:rsid w:val="00464594"/>
    <w:rsid w:val="00465994"/>
    <w:rsid w:val="00470558"/>
    <w:rsid w:val="00470E10"/>
    <w:rsid w:val="00472FB1"/>
    <w:rsid w:val="00473630"/>
    <w:rsid w:val="004736D2"/>
    <w:rsid w:val="00474C68"/>
    <w:rsid w:val="00477E99"/>
    <w:rsid w:val="004813FD"/>
    <w:rsid w:val="00485217"/>
    <w:rsid w:val="0048757B"/>
    <w:rsid w:val="00490A1E"/>
    <w:rsid w:val="00490FB8"/>
    <w:rsid w:val="00495EC6"/>
    <w:rsid w:val="004A0EB3"/>
    <w:rsid w:val="004B2E02"/>
    <w:rsid w:val="004B3AC3"/>
    <w:rsid w:val="004B3D3E"/>
    <w:rsid w:val="004B5953"/>
    <w:rsid w:val="004C03F1"/>
    <w:rsid w:val="004C34DB"/>
    <w:rsid w:val="004C4561"/>
    <w:rsid w:val="004C6FE6"/>
    <w:rsid w:val="004D199D"/>
    <w:rsid w:val="004D1E16"/>
    <w:rsid w:val="004D1F83"/>
    <w:rsid w:val="004D2692"/>
    <w:rsid w:val="004D443F"/>
    <w:rsid w:val="004D6810"/>
    <w:rsid w:val="004E00E6"/>
    <w:rsid w:val="004E05B3"/>
    <w:rsid w:val="004E136A"/>
    <w:rsid w:val="004E4C92"/>
    <w:rsid w:val="004E6337"/>
    <w:rsid w:val="004E6634"/>
    <w:rsid w:val="004E71D1"/>
    <w:rsid w:val="004E7BB5"/>
    <w:rsid w:val="004E7EE3"/>
    <w:rsid w:val="004F00E0"/>
    <w:rsid w:val="004F163A"/>
    <w:rsid w:val="004F1AA1"/>
    <w:rsid w:val="004F7900"/>
    <w:rsid w:val="0050165F"/>
    <w:rsid w:val="005046D3"/>
    <w:rsid w:val="00504A0C"/>
    <w:rsid w:val="0050541F"/>
    <w:rsid w:val="00516D8A"/>
    <w:rsid w:val="00520648"/>
    <w:rsid w:val="00520CEA"/>
    <w:rsid w:val="0052358C"/>
    <w:rsid w:val="00525BEA"/>
    <w:rsid w:val="00526456"/>
    <w:rsid w:val="0052684D"/>
    <w:rsid w:val="00530E1A"/>
    <w:rsid w:val="00530EAF"/>
    <w:rsid w:val="00541E32"/>
    <w:rsid w:val="0054461B"/>
    <w:rsid w:val="0055037C"/>
    <w:rsid w:val="0055075D"/>
    <w:rsid w:val="00552556"/>
    <w:rsid w:val="00555F2D"/>
    <w:rsid w:val="00556D49"/>
    <w:rsid w:val="0056106B"/>
    <w:rsid w:val="0057087E"/>
    <w:rsid w:val="00572ACC"/>
    <w:rsid w:val="00572FF9"/>
    <w:rsid w:val="005803A2"/>
    <w:rsid w:val="005832DD"/>
    <w:rsid w:val="005855F9"/>
    <w:rsid w:val="00586573"/>
    <w:rsid w:val="005919D6"/>
    <w:rsid w:val="00593329"/>
    <w:rsid w:val="005972EC"/>
    <w:rsid w:val="005A5FF0"/>
    <w:rsid w:val="005B2261"/>
    <w:rsid w:val="005B2FCB"/>
    <w:rsid w:val="005B4494"/>
    <w:rsid w:val="005B4746"/>
    <w:rsid w:val="005B7C87"/>
    <w:rsid w:val="005C0E0E"/>
    <w:rsid w:val="005C4706"/>
    <w:rsid w:val="005C5564"/>
    <w:rsid w:val="005C5BE2"/>
    <w:rsid w:val="005D74C7"/>
    <w:rsid w:val="005E13D2"/>
    <w:rsid w:val="005E6D21"/>
    <w:rsid w:val="005E743C"/>
    <w:rsid w:val="005F2F6F"/>
    <w:rsid w:val="005F441E"/>
    <w:rsid w:val="00600ED4"/>
    <w:rsid w:val="006059A3"/>
    <w:rsid w:val="006068AF"/>
    <w:rsid w:val="00607482"/>
    <w:rsid w:val="0060780F"/>
    <w:rsid w:val="006115BD"/>
    <w:rsid w:val="00612273"/>
    <w:rsid w:val="00613320"/>
    <w:rsid w:val="006135C7"/>
    <w:rsid w:val="006137A2"/>
    <w:rsid w:val="00613914"/>
    <w:rsid w:val="00614BAA"/>
    <w:rsid w:val="0062099D"/>
    <w:rsid w:val="006260ED"/>
    <w:rsid w:val="0063091E"/>
    <w:rsid w:val="006420A7"/>
    <w:rsid w:val="00642926"/>
    <w:rsid w:val="00644651"/>
    <w:rsid w:val="00645256"/>
    <w:rsid w:val="00652D67"/>
    <w:rsid w:val="006609EB"/>
    <w:rsid w:val="00663AE2"/>
    <w:rsid w:val="00665131"/>
    <w:rsid w:val="00665F51"/>
    <w:rsid w:val="00666D4D"/>
    <w:rsid w:val="00673311"/>
    <w:rsid w:val="00677DDA"/>
    <w:rsid w:val="00682865"/>
    <w:rsid w:val="00682F42"/>
    <w:rsid w:val="00683384"/>
    <w:rsid w:val="00683945"/>
    <w:rsid w:val="00690E2B"/>
    <w:rsid w:val="00697688"/>
    <w:rsid w:val="00697C51"/>
    <w:rsid w:val="00697C5F"/>
    <w:rsid w:val="006A27CF"/>
    <w:rsid w:val="006A2EC1"/>
    <w:rsid w:val="006B3AE5"/>
    <w:rsid w:val="006B7ED1"/>
    <w:rsid w:val="006C04EB"/>
    <w:rsid w:val="006C26B0"/>
    <w:rsid w:val="006C6F67"/>
    <w:rsid w:val="006D32D5"/>
    <w:rsid w:val="006D4533"/>
    <w:rsid w:val="006D7434"/>
    <w:rsid w:val="006D7D65"/>
    <w:rsid w:val="006E5846"/>
    <w:rsid w:val="006E66FA"/>
    <w:rsid w:val="006E6926"/>
    <w:rsid w:val="006E75C5"/>
    <w:rsid w:val="006E7B76"/>
    <w:rsid w:val="006F224D"/>
    <w:rsid w:val="006F583B"/>
    <w:rsid w:val="00710D93"/>
    <w:rsid w:val="00711C49"/>
    <w:rsid w:val="007152E5"/>
    <w:rsid w:val="0072513C"/>
    <w:rsid w:val="007264FB"/>
    <w:rsid w:val="00732F93"/>
    <w:rsid w:val="00733124"/>
    <w:rsid w:val="007408D2"/>
    <w:rsid w:val="00742556"/>
    <w:rsid w:val="00746414"/>
    <w:rsid w:val="0075175D"/>
    <w:rsid w:val="00753E2F"/>
    <w:rsid w:val="00757A27"/>
    <w:rsid w:val="007602E7"/>
    <w:rsid w:val="00762211"/>
    <w:rsid w:val="0076420B"/>
    <w:rsid w:val="00765740"/>
    <w:rsid w:val="00765A37"/>
    <w:rsid w:val="00772063"/>
    <w:rsid w:val="00777697"/>
    <w:rsid w:val="007804F1"/>
    <w:rsid w:val="00780C05"/>
    <w:rsid w:val="00780D27"/>
    <w:rsid w:val="00782492"/>
    <w:rsid w:val="00783CD7"/>
    <w:rsid w:val="00790B09"/>
    <w:rsid w:val="0079171C"/>
    <w:rsid w:val="0079249D"/>
    <w:rsid w:val="00795034"/>
    <w:rsid w:val="00796DFD"/>
    <w:rsid w:val="007972F6"/>
    <w:rsid w:val="007A1BEF"/>
    <w:rsid w:val="007B20A4"/>
    <w:rsid w:val="007B2D8F"/>
    <w:rsid w:val="007C1782"/>
    <w:rsid w:val="007C33AA"/>
    <w:rsid w:val="007C3A39"/>
    <w:rsid w:val="007C617D"/>
    <w:rsid w:val="007C7404"/>
    <w:rsid w:val="007D6F1F"/>
    <w:rsid w:val="007D720D"/>
    <w:rsid w:val="007E3C1D"/>
    <w:rsid w:val="007E5DDA"/>
    <w:rsid w:val="007E69ED"/>
    <w:rsid w:val="007E6DE7"/>
    <w:rsid w:val="007F0815"/>
    <w:rsid w:val="007F2455"/>
    <w:rsid w:val="00801F58"/>
    <w:rsid w:val="0080270B"/>
    <w:rsid w:val="00802BCD"/>
    <w:rsid w:val="00804F5A"/>
    <w:rsid w:val="00807560"/>
    <w:rsid w:val="00810228"/>
    <w:rsid w:val="00810DE9"/>
    <w:rsid w:val="0082005A"/>
    <w:rsid w:val="00820496"/>
    <w:rsid w:val="008214EB"/>
    <w:rsid w:val="008227BD"/>
    <w:rsid w:val="008274AB"/>
    <w:rsid w:val="00830461"/>
    <w:rsid w:val="008470A6"/>
    <w:rsid w:val="0084734E"/>
    <w:rsid w:val="00850785"/>
    <w:rsid w:val="00851F42"/>
    <w:rsid w:val="00852124"/>
    <w:rsid w:val="00852DE9"/>
    <w:rsid w:val="008550FD"/>
    <w:rsid w:val="00863EB8"/>
    <w:rsid w:val="008640F2"/>
    <w:rsid w:val="0086530B"/>
    <w:rsid w:val="0086589C"/>
    <w:rsid w:val="008677FB"/>
    <w:rsid w:val="00871C60"/>
    <w:rsid w:val="00872276"/>
    <w:rsid w:val="00877227"/>
    <w:rsid w:val="0088562B"/>
    <w:rsid w:val="00885A88"/>
    <w:rsid w:val="00886318"/>
    <w:rsid w:val="008A26B2"/>
    <w:rsid w:val="008A350E"/>
    <w:rsid w:val="008A5B21"/>
    <w:rsid w:val="008B03A9"/>
    <w:rsid w:val="008B0CD0"/>
    <w:rsid w:val="008B686C"/>
    <w:rsid w:val="008C2B7A"/>
    <w:rsid w:val="008C3CA5"/>
    <w:rsid w:val="008C63CD"/>
    <w:rsid w:val="008C7A98"/>
    <w:rsid w:val="008C7E80"/>
    <w:rsid w:val="008D5624"/>
    <w:rsid w:val="008D5C43"/>
    <w:rsid w:val="008D6760"/>
    <w:rsid w:val="008D7267"/>
    <w:rsid w:val="008D7589"/>
    <w:rsid w:val="008D7ADD"/>
    <w:rsid w:val="008E2761"/>
    <w:rsid w:val="008E2E35"/>
    <w:rsid w:val="008E3161"/>
    <w:rsid w:val="008E402B"/>
    <w:rsid w:val="008E6B6E"/>
    <w:rsid w:val="008F1253"/>
    <w:rsid w:val="008F1765"/>
    <w:rsid w:val="008F1D81"/>
    <w:rsid w:val="008F7776"/>
    <w:rsid w:val="009012E7"/>
    <w:rsid w:val="009012F9"/>
    <w:rsid w:val="00903834"/>
    <w:rsid w:val="00905596"/>
    <w:rsid w:val="00905CD9"/>
    <w:rsid w:val="00911909"/>
    <w:rsid w:val="00914C1C"/>
    <w:rsid w:val="009164CB"/>
    <w:rsid w:val="009168FA"/>
    <w:rsid w:val="00916D3C"/>
    <w:rsid w:val="00921BC7"/>
    <w:rsid w:val="009263A6"/>
    <w:rsid w:val="0092728F"/>
    <w:rsid w:val="00927DD1"/>
    <w:rsid w:val="00930761"/>
    <w:rsid w:val="00933163"/>
    <w:rsid w:val="0093411E"/>
    <w:rsid w:val="00937EDA"/>
    <w:rsid w:val="00937F39"/>
    <w:rsid w:val="00943271"/>
    <w:rsid w:val="0094376C"/>
    <w:rsid w:val="0094537E"/>
    <w:rsid w:val="00956D21"/>
    <w:rsid w:val="00960223"/>
    <w:rsid w:val="00960FB9"/>
    <w:rsid w:val="009654B4"/>
    <w:rsid w:val="00965561"/>
    <w:rsid w:val="00971DEF"/>
    <w:rsid w:val="00972100"/>
    <w:rsid w:val="00973C73"/>
    <w:rsid w:val="009749CB"/>
    <w:rsid w:val="0098147C"/>
    <w:rsid w:val="009870CC"/>
    <w:rsid w:val="00990A9E"/>
    <w:rsid w:val="00995384"/>
    <w:rsid w:val="00996C4E"/>
    <w:rsid w:val="009A11C4"/>
    <w:rsid w:val="009A1CAF"/>
    <w:rsid w:val="009A294B"/>
    <w:rsid w:val="009A682A"/>
    <w:rsid w:val="009A71BC"/>
    <w:rsid w:val="009B2648"/>
    <w:rsid w:val="009B2723"/>
    <w:rsid w:val="009B2889"/>
    <w:rsid w:val="009B3740"/>
    <w:rsid w:val="009B7BE5"/>
    <w:rsid w:val="009C25A6"/>
    <w:rsid w:val="009C3E98"/>
    <w:rsid w:val="009D0F79"/>
    <w:rsid w:val="009D1105"/>
    <w:rsid w:val="009D279C"/>
    <w:rsid w:val="009D2F4A"/>
    <w:rsid w:val="009D3A50"/>
    <w:rsid w:val="009E0C06"/>
    <w:rsid w:val="009E0D96"/>
    <w:rsid w:val="009E2077"/>
    <w:rsid w:val="009E2999"/>
    <w:rsid w:val="009E48A0"/>
    <w:rsid w:val="009E5A0E"/>
    <w:rsid w:val="009E6041"/>
    <w:rsid w:val="009F4D3B"/>
    <w:rsid w:val="009F77A7"/>
    <w:rsid w:val="00A00A7C"/>
    <w:rsid w:val="00A00FBB"/>
    <w:rsid w:val="00A027A7"/>
    <w:rsid w:val="00A02C98"/>
    <w:rsid w:val="00A13907"/>
    <w:rsid w:val="00A1714D"/>
    <w:rsid w:val="00A200DB"/>
    <w:rsid w:val="00A243B2"/>
    <w:rsid w:val="00A3419A"/>
    <w:rsid w:val="00A34EF0"/>
    <w:rsid w:val="00A35439"/>
    <w:rsid w:val="00A40A07"/>
    <w:rsid w:val="00A42295"/>
    <w:rsid w:val="00A43143"/>
    <w:rsid w:val="00A5074B"/>
    <w:rsid w:val="00A51678"/>
    <w:rsid w:val="00A51D89"/>
    <w:rsid w:val="00A563F6"/>
    <w:rsid w:val="00A6151B"/>
    <w:rsid w:val="00A61F18"/>
    <w:rsid w:val="00A63019"/>
    <w:rsid w:val="00A6376B"/>
    <w:rsid w:val="00A63AFF"/>
    <w:rsid w:val="00A63DE5"/>
    <w:rsid w:val="00A6552B"/>
    <w:rsid w:val="00A6623D"/>
    <w:rsid w:val="00A67AF5"/>
    <w:rsid w:val="00A719A7"/>
    <w:rsid w:val="00A7544D"/>
    <w:rsid w:val="00A75D41"/>
    <w:rsid w:val="00A768C4"/>
    <w:rsid w:val="00A802A6"/>
    <w:rsid w:val="00A82D24"/>
    <w:rsid w:val="00A841BB"/>
    <w:rsid w:val="00A865CB"/>
    <w:rsid w:val="00A86C15"/>
    <w:rsid w:val="00A9091E"/>
    <w:rsid w:val="00A93C1D"/>
    <w:rsid w:val="00A94976"/>
    <w:rsid w:val="00A95876"/>
    <w:rsid w:val="00A96DF3"/>
    <w:rsid w:val="00AA08EF"/>
    <w:rsid w:val="00AA2E1F"/>
    <w:rsid w:val="00AA79BF"/>
    <w:rsid w:val="00AA7B85"/>
    <w:rsid w:val="00AA7E5E"/>
    <w:rsid w:val="00AB364D"/>
    <w:rsid w:val="00AC0253"/>
    <w:rsid w:val="00AC4907"/>
    <w:rsid w:val="00AC5625"/>
    <w:rsid w:val="00AC57DF"/>
    <w:rsid w:val="00AD320A"/>
    <w:rsid w:val="00AD37A7"/>
    <w:rsid w:val="00AD6606"/>
    <w:rsid w:val="00AD6906"/>
    <w:rsid w:val="00AE151F"/>
    <w:rsid w:val="00AE225A"/>
    <w:rsid w:val="00AE5A35"/>
    <w:rsid w:val="00AE6DD7"/>
    <w:rsid w:val="00AE7F7F"/>
    <w:rsid w:val="00AF4221"/>
    <w:rsid w:val="00AF6810"/>
    <w:rsid w:val="00B03684"/>
    <w:rsid w:val="00B03AFB"/>
    <w:rsid w:val="00B0453B"/>
    <w:rsid w:val="00B04EDC"/>
    <w:rsid w:val="00B061D4"/>
    <w:rsid w:val="00B14D0E"/>
    <w:rsid w:val="00B207D9"/>
    <w:rsid w:val="00B22F1F"/>
    <w:rsid w:val="00B23378"/>
    <w:rsid w:val="00B23926"/>
    <w:rsid w:val="00B25B42"/>
    <w:rsid w:val="00B2620F"/>
    <w:rsid w:val="00B34F0F"/>
    <w:rsid w:val="00B417BD"/>
    <w:rsid w:val="00B47B6B"/>
    <w:rsid w:val="00B511BA"/>
    <w:rsid w:val="00B525CB"/>
    <w:rsid w:val="00B560F6"/>
    <w:rsid w:val="00B57E43"/>
    <w:rsid w:val="00B637D2"/>
    <w:rsid w:val="00B641FF"/>
    <w:rsid w:val="00B64CFD"/>
    <w:rsid w:val="00B67EBA"/>
    <w:rsid w:val="00B73062"/>
    <w:rsid w:val="00B73C11"/>
    <w:rsid w:val="00B74CBD"/>
    <w:rsid w:val="00B768AC"/>
    <w:rsid w:val="00B770E0"/>
    <w:rsid w:val="00B80083"/>
    <w:rsid w:val="00B83AEA"/>
    <w:rsid w:val="00B90D48"/>
    <w:rsid w:val="00B9222F"/>
    <w:rsid w:val="00B97085"/>
    <w:rsid w:val="00BA13E8"/>
    <w:rsid w:val="00BA25E0"/>
    <w:rsid w:val="00BB2844"/>
    <w:rsid w:val="00BB28F8"/>
    <w:rsid w:val="00BB741E"/>
    <w:rsid w:val="00BC0C6B"/>
    <w:rsid w:val="00BC127A"/>
    <w:rsid w:val="00BC682B"/>
    <w:rsid w:val="00BD1CA0"/>
    <w:rsid w:val="00BD3904"/>
    <w:rsid w:val="00BD44FA"/>
    <w:rsid w:val="00BD58F7"/>
    <w:rsid w:val="00BD6654"/>
    <w:rsid w:val="00BD6FDE"/>
    <w:rsid w:val="00BE1AAB"/>
    <w:rsid w:val="00BF0E1C"/>
    <w:rsid w:val="00BF0F2F"/>
    <w:rsid w:val="00BF45EF"/>
    <w:rsid w:val="00BF5B82"/>
    <w:rsid w:val="00BF6366"/>
    <w:rsid w:val="00BF6D19"/>
    <w:rsid w:val="00C006CB"/>
    <w:rsid w:val="00C0253D"/>
    <w:rsid w:val="00C0286B"/>
    <w:rsid w:val="00C03068"/>
    <w:rsid w:val="00C0352D"/>
    <w:rsid w:val="00C04195"/>
    <w:rsid w:val="00C048A5"/>
    <w:rsid w:val="00C06DFE"/>
    <w:rsid w:val="00C10975"/>
    <w:rsid w:val="00C16B60"/>
    <w:rsid w:val="00C25B75"/>
    <w:rsid w:val="00C26F76"/>
    <w:rsid w:val="00C27202"/>
    <w:rsid w:val="00C364DA"/>
    <w:rsid w:val="00C36898"/>
    <w:rsid w:val="00C37DEF"/>
    <w:rsid w:val="00C415E0"/>
    <w:rsid w:val="00C43856"/>
    <w:rsid w:val="00C502DC"/>
    <w:rsid w:val="00C50634"/>
    <w:rsid w:val="00C52E2E"/>
    <w:rsid w:val="00C60381"/>
    <w:rsid w:val="00C65073"/>
    <w:rsid w:val="00C748EF"/>
    <w:rsid w:val="00C74DB4"/>
    <w:rsid w:val="00C76748"/>
    <w:rsid w:val="00C80986"/>
    <w:rsid w:val="00C823D8"/>
    <w:rsid w:val="00C85ABF"/>
    <w:rsid w:val="00C9129C"/>
    <w:rsid w:val="00C91360"/>
    <w:rsid w:val="00C91F78"/>
    <w:rsid w:val="00C94E68"/>
    <w:rsid w:val="00C9571A"/>
    <w:rsid w:val="00C95D01"/>
    <w:rsid w:val="00C97A4A"/>
    <w:rsid w:val="00CA5F77"/>
    <w:rsid w:val="00CA6E9F"/>
    <w:rsid w:val="00CA7D27"/>
    <w:rsid w:val="00CB049C"/>
    <w:rsid w:val="00CB056E"/>
    <w:rsid w:val="00CB2AE9"/>
    <w:rsid w:val="00CB3727"/>
    <w:rsid w:val="00CB748D"/>
    <w:rsid w:val="00CC52D4"/>
    <w:rsid w:val="00CD3899"/>
    <w:rsid w:val="00CD51D0"/>
    <w:rsid w:val="00CD6442"/>
    <w:rsid w:val="00CE3C9E"/>
    <w:rsid w:val="00CE409E"/>
    <w:rsid w:val="00CE4FB8"/>
    <w:rsid w:val="00CE642D"/>
    <w:rsid w:val="00CE6898"/>
    <w:rsid w:val="00CE7C5E"/>
    <w:rsid w:val="00CF25B2"/>
    <w:rsid w:val="00D11FA3"/>
    <w:rsid w:val="00D14B58"/>
    <w:rsid w:val="00D17204"/>
    <w:rsid w:val="00D20C01"/>
    <w:rsid w:val="00D23FB3"/>
    <w:rsid w:val="00D2683C"/>
    <w:rsid w:val="00D27679"/>
    <w:rsid w:val="00D3161E"/>
    <w:rsid w:val="00D31B0F"/>
    <w:rsid w:val="00D41BB8"/>
    <w:rsid w:val="00D42EA0"/>
    <w:rsid w:val="00D434A4"/>
    <w:rsid w:val="00D47F42"/>
    <w:rsid w:val="00D515A4"/>
    <w:rsid w:val="00D51A32"/>
    <w:rsid w:val="00D52174"/>
    <w:rsid w:val="00D6371B"/>
    <w:rsid w:val="00D63E4E"/>
    <w:rsid w:val="00D66E47"/>
    <w:rsid w:val="00D70A1E"/>
    <w:rsid w:val="00D7304A"/>
    <w:rsid w:val="00D773D7"/>
    <w:rsid w:val="00D80EA2"/>
    <w:rsid w:val="00D86E34"/>
    <w:rsid w:val="00D87C1F"/>
    <w:rsid w:val="00D924B2"/>
    <w:rsid w:val="00D955A1"/>
    <w:rsid w:val="00DB096F"/>
    <w:rsid w:val="00DB0B41"/>
    <w:rsid w:val="00DB1E84"/>
    <w:rsid w:val="00DB6FB5"/>
    <w:rsid w:val="00DB7DB3"/>
    <w:rsid w:val="00DC2089"/>
    <w:rsid w:val="00DC4DDE"/>
    <w:rsid w:val="00DC7646"/>
    <w:rsid w:val="00DD20B6"/>
    <w:rsid w:val="00DD23E3"/>
    <w:rsid w:val="00DD30F2"/>
    <w:rsid w:val="00DD74B2"/>
    <w:rsid w:val="00DE0018"/>
    <w:rsid w:val="00DE42C8"/>
    <w:rsid w:val="00DE4BDB"/>
    <w:rsid w:val="00DE4F6D"/>
    <w:rsid w:val="00DE5461"/>
    <w:rsid w:val="00DE56B4"/>
    <w:rsid w:val="00DF05FD"/>
    <w:rsid w:val="00DF1FD8"/>
    <w:rsid w:val="00DF33F9"/>
    <w:rsid w:val="00DF5956"/>
    <w:rsid w:val="00DF66D7"/>
    <w:rsid w:val="00E055E3"/>
    <w:rsid w:val="00E06B3D"/>
    <w:rsid w:val="00E113C1"/>
    <w:rsid w:val="00E116A5"/>
    <w:rsid w:val="00E16BB7"/>
    <w:rsid w:val="00E1701C"/>
    <w:rsid w:val="00E174E4"/>
    <w:rsid w:val="00E21625"/>
    <w:rsid w:val="00E24D77"/>
    <w:rsid w:val="00E26730"/>
    <w:rsid w:val="00E322A5"/>
    <w:rsid w:val="00E327D6"/>
    <w:rsid w:val="00E332B2"/>
    <w:rsid w:val="00E337EA"/>
    <w:rsid w:val="00E3395F"/>
    <w:rsid w:val="00E37426"/>
    <w:rsid w:val="00E37E2C"/>
    <w:rsid w:val="00E4108C"/>
    <w:rsid w:val="00E43242"/>
    <w:rsid w:val="00E45371"/>
    <w:rsid w:val="00E45AF9"/>
    <w:rsid w:val="00E46F9C"/>
    <w:rsid w:val="00E60BC8"/>
    <w:rsid w:val="00E6117F"/>
    <w:rsid w:val="00E6381C"/>
    <w:rsid w:val="00E6391F"/>
    <w:rsid w:val="00E64701"/>
    <w:rsid w:val="00E65512"/>
    <w:rsid w:val="00E771ED"/>
    <w:rsid w:val="00E77501"/>
    <w:rsid w:val="00E8428A"/>
    <w:rsid w:val="00E908AE"/>
    <w:rsid w:val="00E914FC"/>
    <w:rsid w:val="00E91C2C"/>
    <w:rsid w:val="00E927CE"/>
    <w:rsid w:val="00E97C40"/>
    <w:rsid w:val="00EA0B43"/>
    <w:rsid w:val="00EA1373"/>
    <w:rsid w:val="00EA1458"/>
    <w:rsid w:val="00EA145D"/>
    <w:rsid w:val="00EA239A"/>
    <w:rsid w:val="00EA292F"/>
    <w:rsid w:val="00EA4878"/>
    <w:rsid w:val="00EA6C26"/>
    <w:rsid w:val="00EB44F6"/>
    <w:rsid w:val="00EB6EE1"/>
    <w:rsid w:val="00EC1606"/>
    <w:rsid w:val="00EC30EE"/>
    <w:rsid w:val="00ED33C3"/>
    <w:rsid w:val="00ED3937"/>
    <w:rsid w:val="00ED4A91"/>
    <w:rsid w:val="00ED7E92"/>
    <w:rsid w:val="00EE0061"/>
    <w:rsid w:val="00EE1658"/>
    <w:rsid w:val="00EE27C2"/>
    <w:rsid w:val="00EF5EA1"/>
    <w:rsid w:val="00F03F73"/>
    <w:rsid w:val="00F057FD"/>
    <w:rsid w:val="00F0794E"/>
    <w:rsid w:val="00F14BC6"/>
    <w:rsid w:val="00F159DF"/>
    <w:rsid w:val="00F15B79"/>
    <w:rsid w:val="00F2168E"/>
    <w:rsid w:val="00F2433B"/>
    <w:rsid w:val="00F31DC8"/>
    <w:rsid w:val="00F3205D"/>
    <w:rsid w:val="00F34402"/>
    <w:rsid w:val="00F35457"/>
    <w:rsid w:val="00F37AF9"/>
    <w:rsid w:val="00F37EF2"/>
    <w:rsid w:val="00F404B9"/>
    <w:rsid w:val="00F4362D"/>
    <w:rsid w:val="00F44377"/>
    <w:rsid w:val="00F502A6"/>
    <w:rsid w:val="00F50E5B"/>
    <w:rsid w:val="00F53E6D"/>
    <w:rsid w:val="00F54CFA"/>
    <w:rsid w:val="00F60107"/>
    <w:rsid w:val="00F61F5A"/>
    <w:rsid w:val="00F62069"/>
    <w:rsid w:val="00F7111C"/>
    <w:rsid w:val="00F754A6"/>
    <w:rsid w:val="00F75A10"/>
    <w:rsid w:val="00F766EE"/>
    <w:rsid w:val="00F8659E"/>
    <w:rsid w:val="00F87036"/>
    <w:rsid w:val="00F9214F"/>
    <w:rsid w:val="00F92AB0"/>
    <w:rsid w:val="00FA19A6"/>
    <w:rsid w:val="00FA20A9"/>
    <w:rsid w:val="00FA260E"/>
    <w:rsid w:val="00FA4888"/>
    <w:rsid w:val="00FA7CA2"/>
    <w:rsid w:val="00FB06D0"/>
    <w:rsid w:val="00FB3839"/>
    <w:rsid w:val="00FB519F"/>
    <w:rsid w:val="00FB7796"/>
    <w:rsid w:val="00FC2C40"/>
    <w:rsid w:val="00FC5F16"/>
    <w:rsid w:val="00FD1F6A"/>
    <w:rsid w:val="00FD4125"/>
    <w:rsid w:val="00FE245E"/>
    <w:rsid w:val="00FE3710"/>
    <w:rsid w:val="00FE4395"/>
    <w:rsid w:val="00FE61CB"/>
    <w:rsid w:val="00FE70ED"/>
    <w:rsid w:val="00FE74F7"/>
    <w:rsid w:val="00FF44B1"/>
    <w:rsid w:val="00FF543B"/>
    <w:rsid w:val="00FF5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paragraph" w:customStyle="1" w:styleId="RakstzRakstzRakstzRakstzRakstzRakstzRakstz">
    <w:name w:val="Rakstz. Rakstz. Rakstz. Rakstz. Rakstz. Rakstz. Rakstz."/>
    <w:basedOn w:val="Normal"/>
    <w:rsid w:val="00F3205D"/>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440031846">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8834" TargetMode="External"/><Relationship Id="rId13" Type="http://schemas.openxmlformats.org/officeDocument/2006/relationships/hyperlink" Target="https://www.saeima.lv/L_Saeima8/lasa-dd=LP1132_0.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303.A420211015.2.S" TargetMode="External"/><Relationship Id="rId12" Type="http://schemas.openxmlformats.org/officeDocument/2006/relationships/hyperlink" Target="https://likumi.lv/ta/id/1088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088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108834" TargetMode="External"/><Relationship Id="rId4" Type="http://schemas.openxmlformats.org/officeDocument/2006/relationships/webSettings" Target="webSettings.xml"/><Relationship Id="rId9" Type="http://schemas.openxmlformats.org/officeDocument/2006/relationships/hyperlink" Target="https://likumi.lv/ta/id/108834" TargetMode="External"/><Relationship Id="rId14" Type="http://schemas.openxmlformats.org/officeDocument/2006/relationships/hyperlink" Target="http://polsis.mk.gov.lv/documents/2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12512</Words>
  <Characters>7132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2020-02-07T08:17:00Z</dcterms:created>
  <dcterms:modified xsi:type="dcterms:W3CDTF">2020-03-23T07:58:00Z</dcterms:modified>
</cp:coreProperties>
</file>