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14A9B" w14:textId="21ED10BD" w:rsidR="00FD1BE9" w:rsidRDefault="00761BBA" w:rsidP="00761BBA">
      <w:pPr>
        <w:spacing w:line="276" w:lineRule="auto"/>
        <w:jc w:val="both"/>
        <w:rPr>
          <w:b/>
          <w:bCs/>
          <w:color w:val="212121"/>
        </w:rPr>
      </w:pPr>
      <w:r>
        <w:rPr>
          <w:b/>
          <w:bCs/>
          <w:color w:val="212121"/>
        </w:rPr>
        <w:t>Tiesas pienākums izskatīt un izlemt grozīto apsūdzību, kas tiek uzturēta tiesā</w:t>
      </w:r>
    </w:p>
    <w:p w14:paraId="1EA7F71B" w14:textId="2CBF957C" w:rsidR="00761BBA" w:rsidRDefault="00761BBA" w:rsidP="00761BBA">
      <w:pPr>
        <w:spacing w:line="276" w:lineRule="auto"/>
        <w:jc w:val="both"/>
        <w:rPr>
          <w:b/>
          <w:bCs/>
          <w:color w:val="212121"/>
        </w:rPr>
      </w:pPr>
    </w:p>
    <w:p w14:paraId="4CD6853F" w14:textId="6B01E6C4" w:rsidR="00761BBA" w:rsidRPr="00FD1BE9" w:rsidRDefault="00761BBA" w:rsidP="00761BBA">
      <w:pPr>
        <w:spacing w:line="276" w:lineRule="auto"/>
        <w:jc w:val="both"/>
        <w:rPr>
          <w:rFonts w:eastAsia="Calibri"/>
          <w:szCs w:val="22"/>
        </w:rPr>
      </w:pPr>
      <w:r>
        <w:rPr>
          <w:color w:val="212121"/>
        </w:rPr>
        <w:t>Ja apelācijas instances tiesā prokurors groza apsūdzību, tiesai ir pienākums izlemt grozīto apsūdzību, nevis</w:t>
      </w:r>
      <w:r>
        <w:rPr>
          <w:rStyle w:val="Strong"/>
          <w:color w:val="212121"/>
        </w:rPr>
        <w:t xml:space="preserve"> </w:t>
      </w:r>
      <w:r>
        <w:rPr>
          <w:color w:val="212121"/>
        </w:rPr>
        <w:t>pirmās instances tiesā uzturēto apsūdzību apjomā, kuru par pierādītu atzinusi pirmās instances tiesa.</w:t>
      </w:r>
    </w:p>
    <w:p w14:paraId="7E97F911" w14:textId="74F8BFD1" w:rsidR="00FD1BE9" w:rsidRPr="00FD1BE9" w:rsidRDefault="00FD1BE9" w:rsidP="00FD1BE9">
      <w:pPr>
        <w:spacing w:line="276" w:lineRule="auto"/>
        <w:jc w:val="center"/>
        <w:rPr>
          <w:rFonts w:eastAsia="Calibri"/>
          <w:noProof/>
          <w:szCs w:val="22"/>
          <w:lang w:val="x-none"/>
        </w:rPr>
      </w:pPr>
    </w:p>
    <w:p w14:paraId="2DD09E96" w14:textId="77777777" w:rsidR="00C0001A" w:rsidRPr="00C0001A" w:rsidRDefault="00FD1BE9" w:rsidP="00FD1BE9">
      <w:pPr>
        <w:spacing w:line="276" w:lineRule="auto"/>
        <w:jc w:val="center"/>
        <w:rPr>
          <w:rFonts w:eastAsia="Calibri"/>
          <w:b/>
          <w:noProof/>
          <w:szCs w:val="22"/>
        </w:rPr>
      </w:pPr>
      <w:r w:rsidRPr="00C0001A">
        <w:rPr>
          <w:rFonts w:eastAsia="Calibri"/>
          <w:b/>
          <w:noProof/>
          <w:szCs w:val="22"/>
        </w:rPr>
        <w:t>Latvijas Republikas Senāt</w:t>
      </w:r>
      <w:r w:rsidR="00C0001A" w:rsidRPr="00C0001A">
        <w:rPr>
          <w:rFonts w:eastAsia="Calibri"/>
          <w:b/>
          <w:noProof/>
          <w:szCs w:val="22"/>
        </w:rPr>
        <w:t>a</w:t>
      </w:r>
      <w:r w:rsidRPr="00C0001A">
        <w:rPr>
          <w:rFonts w:eastAsia="Calibri"/>
          <w:b/>
          <w:noProof/>
          <w:szCs w:val="22"/>
        </w:rPr>
        <w:t xml:space="preserve"> </w:t>
      </w:r>
    </w:p>
    <w:p w14:paraId="273AFC6F" w14:textId="1C5CC3CF" w:rsidR="00FD1BE9" w:rsidRPr="00C0001A" w:rsidRDefault="00C0001A" w:rsidP="00FD1BE9">
      <w:pPr>
        <w:spacing w:line="276" w:lineRule="auto"/>
        <w:jc w:val="center"/>
        <w:rPr>
          <w:rFonts w:eastAsia="Calibri"/>
          <w:b/>
          <w:noProof/>
          <w:szCs w:val="22"/>
        </w:rPr>
      </w:pPr>
      <w:r w:rsidRPr="00C0001A">
        <w:rPr>
          <w:rFonts w:eastAsia="Calibri"/>
          <w:b/>
          <w:szCs w:val="22"/>
        </w:rPr>
        <w:t>Krimināllietu departamenta</w:t>
      </w:r>
    </w:p>
    <w:p w14:paraId="67883CE9" w14:textId="7095A05E" w:rsidR="00C0001A" w:rsidRPr="00C0001A" w:rsidRDefault="001120AE" w:rsidP="00C0001A">
      <w:pPr>
        <w:spacing w:line="276" w:lineRule="auto"/>
        <w:jc w:val="center"/>
        <w:rPr>
          <w:rFonts w:eastAsia="Calibri"/>
          <w:b/>
          <w:szCs w:val="22"/>
        </w:rPr>
      </w:pPr>
      <w:r w:rsidRPr="00C0001A">
        <w:rPr>
          <w:rFonts w:eastAsia="Calibri"/>
          <w:b/>
          <w:szCs w:val="22"/>
        </w:rPr>
        <w:t>2020</w:t>
      </w:r>
      <w:r w:rsidR="00FD1BE9" w:rsidRPr="00C0001A">
        <w:rPr>
          <w:rFonts w:eastAsia="Calibri"/>
          <w:b/>
          <w:szCs w:val="22"/>
        </w:rPr>
        <w:t xml:space="preserve">.gada </w:t>
      </w:r>
      <w:r w:rsidR="006B1BB6" w:rsidRPr="00C0001A">
        <w:rPr>
          <w:rFonts w:eastAsia="Calibri"/>
          <w:b/>
          <w:szCs w:val="22"/>
        </w:rPr>
        <w:t>26</w:t>
      </w:r>
      <w:r w:rsidRPr="00C0001A">
        <w:rPr>
          <w:rFonts w:eastAsia="Calibri"/>
          <w:b/>
          <w:szCs w:val="22"/>
        </w:rPr>
        <w:t>.februār</w:t>
      </w:r>
      <w:r w:rsidR="00C0001A" w:rsidRPr="00C0001A">
        <w:rPr>
          <w:rFonts w:eastAsia="Calibri"/>
          <w:b/>
          <w:szCs w:val="22"/>
        </w:rPr>
        <w:t xml:space="preserve">a </w:t>
      </w:r>
    </w:p>
    <w:p w14:paraId="61329B90" w14:textId="6D86CBC3" w:rsidR="00C0001A" w:rsidRPr="00C0001A" w:rsidRDefault="00C0001A" w:rsidP="00C0001A">
      <w:pPr>
        <w:spacing w:line="276" w:lineRule="auto"/>
        <w:jc w:val="center"/>
        <w:rPr>
          <w:rFonts w:eastAsia="Calibri"/>
          <w:b/>
          <w:szCs w:val="22"/>
        </w:rPr>
      </w:pPr>
      <w:r w:rsidRPr="00C0001A">
        <w:rPr>
          <w:rFonts w:eastAsia="Calibri"/>
          <w:b/>
          <w:szCs w:val="22"/>
        </w:rPr>
        <w:t>LĒMUMS</w:t>
      </w:r>
    </w:p>
    <w:p w14:paraId="13361990" w14:textId="42FEDB20" w:rsidR="00C0001A" w:rsidRDefault="00C0001A" w:rsidP="00C0001A">
      <w:pPr>
        <w:spacing w:line="276" w:lineRule="auto"/>
        <w:jc w:val="center"/>
        <w:rPr>
          <w:rFonts w:eastAsia="Calibri"/>
          <w:b/>
          <w:szCs w:val="22"/>
        </w:rPr>
      </w:pPr>
      <w:r w:rsidRPr="00C0001A">
        <w:rPr>
          <w:rFonts w:eastAsia="Calibri"/>
          <w:b/>
          <w:szCs w:val="22"/>
        </w:rPr>
        <w:t>Lieta Nr. 15830017116, SKK-29/2020</w:t>
      </w:r>
    </w:p>
    <w:p w14:paraId="46292015" w14:textId="2B08F890" w:rsidR="00761BBA" w:rsidRPr="00761BBA" w:rsidRDefault="009C5A30" w:rsidP="00C0001A">
      <w:pPr>
        <w:spacing w:line="276" w:lineRule="auto"/>
        <w:jc w:val="center"/>
        <w:rPr>
          <w:rFonts w:eastAsia="Calibri"/>
          <w:b/>
        </w:rPr>
      </w:pPr>
      <w:hyperlink r:id="rId8" w:history="1">
        <w:r w:rsidR="00761BBA" w:rsidRPr="00761BBA">
          <w:rPr>
            <w:rStyle w:val="Hyperlink"/>
            <w:shd w:val="clear" w:color="auto" w:fill="FFFFFF"/>
          </w:rPr>
          <w:t>ECLI:LV:AT:2020:0226.15830017116.3.L</w:t>
        </w:r>
      </w:hyperlink>
    </w:p>
    <w:p w14:paraId="14D4947E" w14:textId="1D7F62B6" w:rsidR="00C0001A" w:rsidRPr="00FD1BE9" w:rsidRDefault="00C0001A" w:rsidP="00C0001A">
      <w:pPr>
        <w:spacing w:line="276" w:lineRule="auto"/>
        <w:jc w:val="center"/>
        <w:rPr>
          <w:rFonts w:eastAsia="Calibri"/>
          <w:b/>
          <w:szCs w:val="22"/>
        </w:rPr>
      </w:pPr>
    </w:p>
    <w:p w14:paraId="76F4C700" w14:textId="77777777" w:rsidR="00FD1BE9" w:rsidRPr="00FD1BE9" w:rsidRDefault="00FD1BE9" w:rsidP="00761BBA">
      <w:pPr>
        <w:spacing w:line="276" w:lineRule="auto"/>
        <w:rPr>
          <w:rFonts w:eastAsia="Calibri"/>
          <w:szCs w:val="22"/>
        </w:rPr>
      </w:pPr>
    </w:p>
    <w:p w14:paraId="27833FBD" w14:textId="5A1B1B46" w:rsidR="00FD1BE9" w:rsidRDefault="00FD1BE9" w:rsidP="00FD1BE9">
      <w:pPr>
        <w:spacing w:line="276" w:lineRule="auto"/>
        <w:ind w:firstLine="709"/>
        <w:jc w:val="both"/>
        <w:rPr>
          <w:rFonts w:eastAsia="Calibri"/>
          <w:szCs w:val="22"/>
        </w:rPr>
      </w:pPr>
      <w:r w:rsidRPr="00FD1BE9">
        <w:rPr>
          <w:rFonts w:eastAsia="Calibri"/>
          <w:szCs w:val="22"/>
        </w:rPr>
        <w:t xml:space="preserve">Tiesa šādā sastāvā: senatori Anita Poļakova, </w:t>
      </w:r>
      <w:r w:rsidR="006B1BB6">
        <w:rPr>
          <w:rFonts w:eastAsia="Calibri"/>
          <w:szCs w:val="22"/>
        </w:rPr>
        <w:t>Artūrs Freibergs</w:t>
      </w:r>
      <w:r w:rsidRPr="00FD1BE9">
        <w:rPr>
          <w:rFonts w:eastAsia="Calibri"/>
          <w:szCs w:val="22"/>
        </w:rPr>
        <w:t xml:space="preserve">, </w:t>
      </w:r>
      <w:r w:rsidR="006B1BB6">
        <w:rPr>
          <w:rFonts w:eastAsia="Calibri"/>
          <w:szCs w:val="22"/>
        </w:rPr>
        <w:t>Aivars Uminskis</w:t>
      </w:r>
    </w:p>
    <w:p w14:paraId="71310F7F" w14:textId="77777777" w:rsidR="00FD1BE9" w:rsidRPr="00FD1BE9" w:rsidRDefault="00FD1BE9" w:rsidP="00FD1BE9">
      <w:pPr>
        <w:spacing w:line="276" w:lineRule="auto"/>
        <w:ind w:firstLine="709"/>
        <w:jc w:val="both"/>
        <w:rPr>
          <w:rFonts w:eastAsia="Calibri"/>
          <w:szCs w:val="22"/>
        </w:rPr>
      </w:pPr>
    </w:p>
    <w:p w14:paraId="022C732D" w14:textId="47E0807D" w:rsidR="00FD1BE9" w:rsidRDefault="00FD1BE9" w:rsidP="00FD1BE9">
      <w:pPr>
        <w:spacing w:line="276" w:lineRule="auto"/>
        <w:ind w:firstLine="709"/>
        <w:jc w:val="both"/>
        <w:rPr>
          <w:rFonts w:eastAsia="Calibri"/>
          <w:szCs w:val="22"/>
        </w:rPr>
      </w:pPr>
      <w:r w:rsidRPr="00FD1BE9">
        <w:rPr>
          <w:rFonts w:eastAsia="Calibri"/>
          <w:szCs w:val="22"/>
        </w:rPr>
        <w:t xml:space="preserve">izskatīja rakstveida procesā krimināllietu sakarā ar </w:t>
      </w:r>
      <w:r w:rsidR="0090039B">
        <w:rPr>
          <w:rFonts w:eastAsia="Calibri"/>
          <w:szCs w:val="22"/>
        </w:rPr>
        <w:t>Talsu rajona prokuratūras</w:t>
      </w:r>
      <w:r w:rsidR="00FF67C2">
        <w:rPr>
          <w:rFonts w:eastAsia="Calibri"/>
          <w:szCs w:val="22"/>
        </w:rPr>
        <w:t xml:space="preserve"> </w:t>
      </w:r>
      <w:r w:rsidR="0090039B">
        <w:rPr>
          <w:rFonts w:eastAsia="Calibri"/>
          <w:szCs w:val="22"/>
        </w:rPr>
        <w:t xml:space="preserve">prokurora Edgara Kristovska kasācijas protestu un </w:t>
      </w:r>
      <w:r w:rsidR="00F82676">
        <w:rPr>
          <w:rFonts w:eastAsia="Calibri"/>
          <w:szCs w:val="22"/>
        </w:rPr>
        <w:t xml:space="preserve">apsūdzētā </w:t>
      </w:r>
      <w:r w:rsidR="00C0001A">
        <w:rPr>
          <w:rFonts w:eastAsia="Calibri"/>
          <w:szCs w:val="22"/>
        </w:rPr>
        <w:t>[pers. A]</w:t>
      </w:r>
      <w:r w:rsidR="000A7DEE">
        <w:rPr>
          <w:rFonts w:eastAsia="Calibri"/>
          <w:szCs w:val="22"/>
        </w:rPr>
        <w:t xml:space="preserve"> aizstāvja Artūra Zvejsalnieka </w:t>
      </w:r>
      <w:r w:rsidR="007C53DB">
        <w:rPr>
          <w:rFonts w:eastAsia="Calibri"/>
          <w:szCs w:val="22"/>
        </w:rPr>
        <w:t>kasācijas</w:t>
      </w:r>
      <w:r w:rsidR="000A7DEE">
        <w:rPr>
          <w:rFonts w:eastAsia="Calibri"/>
          <w:szCs w:val="22"/>
        </w:rPr>
        <w:t xml:space="preserve"> sūdzību</w:t>
      </w:r>
      <w:r w:rsidR="007C53DB">
        <w:rPr>
          <w:rFonts w:eastAsia="Calibri"/>
          <w:szCs w:val="22"/>
        </w:rPr>
        <w:t xml:space="preserve"> pa</w:t>
      </w:r>
      <w:r w:rsidR="00F17CCB">
        <w:rPr>
          <w:rFonts w:eastAsia="Calibri"/>
          <w:szCs w:val="22"/>
        </w:rPr>
        <w:t>r Kurzemes apgabaltiesas 2019.g</w:t>
      </w:r>
      <w:r w:rsidR="007C53DB">
        <w:rPr>
          <w:rFonts w:eastAsia="Calibri"/>
          <w:szCs w:val="22"/>
        </w:rPr>
        <w:t>ada 2.</w:t>
      </w:r>
      <w:r w:rsidR="009A6D15">
        <w:rPr>
          <w:rFonts w:eastAsia="Calibri"/>
          <w:szCs w:val="22"/>
        </w:rPr>
        <w:t>maija spriedumu</w:t>
      </w:r>
      <w:r w:rsidR="007C53DB">
        <w:rPr>
          <w:rFonts w:eastAsia="Calibri"/>
          <w:szCs w:val="22"/>
        </w:rPr>
        <w:t xml:space="preserve">. </w:t>
      </w:r>
    </w:p>
    <w:p w14:paraId="7E4B3885" w14:textId="77777777" w:rsidR="00BF31DC" w:rsidRPr="00FD1BE9" w:rsidRDefault="00BF31DC" w:rsidP="00FD1BE9">
      <w:pPr>
        <w:spacing w:line="276" w:lineRule="auto"/>
        <w:ind w:firstLine="709"/>
        <w:jc w:val="both"/>
        <w:rPr>
          <w:rFonts w:eastAsia="Calibri"/>
          <w:szCs w:val="22"/>
        </w:rPr>
      </w:pPr>
    </w:p>
    <w:p w14:paraId="26C448D8" w14:textId="77777777" w:rsidR="00FD1BE9" w:rsidRDefault="00FD1BE9" w:rsidP="00FD1BE9">
      <w:pPr>
        <w:spacing w:line="276" w:lineRule="auto"/>
        <w:jc w:val="center"/>
        <w:rPr>
          <w:rFonts w:eastAsia="Calibri"/>
          <w:b/>
          <w:szCs w:val="22"/>
        </w:rPr>
      </w:pPr>
      <w:r w:rsidRPr="00FD1BE9">
        <w:rPr>
          <w:rFonts w:eastAsia="Calibri"/>
          <w:b/>
          <w:szCs w:val="22"/>
        </w:rPr>
        <w:t>Aprakstošā daļa</w:t>
      </w:r>
    </w:p>
    <w:p w14:paraId="532B610E" w14:textId="77777777" w:rsidR="00FD1BE9" w:rsidRPr="00FD1BE9" w:rsidRDefault="00FD1BE9" w:rsidP="00FD1BE9">
      <w:pPr>
        <w:spacing w:line="276" w:lineRule="auto"/>
        <w:jc w:val="center"/>
        <w:rPr>
          <w:rFonts w:eastAsia="Calibri"/>
          <w:b/>
          <w:szCs w:val="22"/>
        </w:rPr>
      </w:pPr>
    </w:p>
    <w:p w14:paraId="42374714" w14:textId="58BFCABC" w:rsidR="00FD1BE9" w:rsidRPr="00FD1BE9" w:rsidRDefault="00FD1BE9" w:rsidP="00FD1BE9">
      <w:pPr>
        <w:spacing w:line="276" w:lineRule="auto"/>
        <w:ind w:firstLine="709"/>
        <w:jc w:val="both"/>
        <w:rPr>
          <w:rFonts w:eastAsia="Calibri"/>
          <w:szCs w:val="22"/>
        </w:rPr>
      </w:pPr>
      <w:r w:rsidRPr="00FD1BE9">
        <w:rPr>
          <w:rFonts w:eastAsia="Calibri"/>
          <w:szCs w:val="22"/>
        </w:rPr>
        <w:t xml:space="preserve">[1] Ar </w:t>
      </w:r>
      <w:r w:rsidR="007C53DB">
        <w:rPr>
          <w:rFonts w:eastAsia="Calibri"/>
          <w:szCs w:val="22"/>
        </w:rPr>
        <w:t>Kurzemes rajona tiesas</w:t>
      </w:r>
      <w:r w:rsidR="00BF31DC">
        <w:rPr>
          <w:rFonts w:eastAsia="Calibri"/>
          <w:szCs w:val="22"/>
        </w:rPr>
        <w:t xml:space="preserve"> 2018.gada </w:t>
      </w:r>
      <w:r w:rsidR="009A6D15">
        <w:rPr>
          <w:rFonts w:eastAsia="Calibri"/>
          <w:szCs w:val="22"/>
        </w:rPr>
        <w:t>8.maija</w:t>
      </w:r>
      <w:r w:rsidRPr="00FD1BE9">
        <w:rPr>
          <w:rFonts w:eastAsia="Calibri"/>
          <w:szCs w:val="22"/>
        </w:rPr>
        <w:t xml:space="preserve"> spriedumu</w:t>
      </w:r>
    </w:p>
    <w:p w14:paraId="5DAEA0CE" w14:textId="6BEC0581" w:rsidR="00FD1BE9" w:rsidRPr="00FD1BE9" w:rsidRDefault="00C0001A" w:rsidP="00FD1BE9">
      <w:pPr>
        <w:spacing w:line="276" w:lineRule="auto"/>
        <w:ind w:firstLine="709"/>
        <w:jc w:val="both"/>
        <w:rPr>
          <w:rFonts w:eastAsia="Calibri"/>
          <w:szCs w:val="22"/>
        </w:rPr>
      </w:pPr>
      <w:r>
        <w:rPr>
          <w:rFonts w:eastAsia="Calibri"/>
          <w:szCs w:val="22"/>
        </w:rPr>
        <w:t>[pers. A]</w:t>
      </w:r>
      <w:r w:rsidR="00FD1BE9" w:rsidRPr="00FD1BE9">
        <w:rPr>
          <w:rFonts w:eastAsia="Calibri"/>
          <w:szCs w:val="22"/>
        </w:rPr>
        <w:t xml:space="preserve">, personas kods </w:t>
      </w:r>
      <w:r>
        <w:rPr>
          <w:rFonts w:eastAsia="Calibri"/>
          <w:szCs w:val="22"/>
        </w:rPr>
        <w:t>[..]</w:t>
      </w:r>
      <w:r w:rsidR="00FD1BE9" w:rsidRPr="00FD1BE9">
        <w:rPr>
          <w:rFonts w:eastAsia="Calibri"/>
          <w:szCs w:val="22"/>
        </w:rPr>
        <w:t>,</w:t>
      </w:r>
    </w:p>
    <w:p w14:paraId="0F5BF72D" w14:textId="1EFE3E20" w:rsidR="00FD1BE9" w:rsidRDefault="00BF31DC" w:rsidP="00FD1BE9">
      <w:pPr>
        <w:spacing w:line="276" w:lineRule="auto"/>
        <w:ind w:firstLine="709"/>
        <w:jc w:val="both"/>
        <w:rPr>
          <w:rFonts w:eastAsia="Calibri"/>
          <w:szCs w:val="22"/>
        </w:rPr>
      </w:pPr>
      <w:r>
        <w:rPr>
          <w:rFonts w:eastAsia="Calibri"/>
          <w:szCs w:val="22"/>
        </w:rPr>
        <w:t>atzīt</w:t>
      </w:r>
      <w:r w:rsidR="00CC69A8">
        <w:rPr>
          <w:rFonts w:eastAsia="Calibri"/>
          <w:szCs w:val="22"/>
        </w:rPr>
        <w:t>s par vainīgu Krimināllikuma 218</w:t>
      </w:r>
      <w:r w:rsidR="00B6321E">
        <w:rPr>
          <w:rFonts w:eastAsia="Calibri"/>
          <w:szCs w:val="22"/>
        </w:rPr>
        <w:t>.panta</w:t>
      </w:r>
      <w:r w:rsidR="00FD1BE9" w:rsidRPr="00FD1BE9">
        <w:rPr>
          <w:rFonts w:eastAsia="Calibri"/>
          <w:szCs w:val="22"/>
        </w:rPr>
        <w:t xml:space="preserve"> </w:t>
      </w:r>
      <w:r w:rsidR="00CC69A8">
        <w:rPr>
          <w:rFonts w:eastAsia="Calibri"/>
          <w:szCs w:val="22"/>
        </w:rPr>
        <w:t xml:space="preserve">otrajā daļā </w:t>
      </w:r>
      <w:r w:rsidR="00B6321E" w:rsidRPr="00FD1BE9">
        <w:rPr>
          <w:rFonts w:eastAsia="Calibri"/>
          <w:szCs w:val="22"/>
        </w:rPr>
        <w:t>paredzētajā n</w:t>
      </w:r>
      <w:r w:rsidR="00B6321E">
        <w:rPr>
          <w:rFonts w:eastAsia="Calibri"/>
          <w:szCs w:val="22"/>
        </w:rPr>
        <w:t xml:space="preserve">oziedzīgajā nodarījumā </w:t>
      </w:r>
      <w:r w:rsidR="00C00AFD">
        <w:rPr>
          <w:rFonts w:eastAsia="Calibri"/>
          <w:szCs w:val="22"/>
        </w:rPr>
        <w:t xml:space="preserve">un </w:t>
      </w:r>
      <w:r w:rsidR="00D16EA0">
        <w:rPr>
          <w:rFonts w:eastAsia="Calibri"/>
          <w:szCs w:val="22"/>
        </w:rPr>
        <w:t>sodīts</w:t>
      </w:r>
      <w:r w:rsidR="00FD1BE9" w:rsidRPr="00FD1BE9">
        <w:rPr>
          <w:rFonts w:eastAsia="Calibri"/>
          <w:szCs w:val="22"/>
        </w:rPr>
        <w:t xml:space="preserve"> ar </w:t>
      </w:r>
      <w:r w:rsidR="00C00AFD">
        <w:rPr>
          <w:rFonts w:eastAsia="Calibri"/>
          <w:szCs w:val="22"/>
        </w:rPr>
        <w:t xml:space="preserve">piespiedu darbu uz 200 stundām, bez mantas konfiskācijas, atņemot uz </w:t>
      </w:r>
      <w:r w:rsidR="00872FD0">
        <w:rPr>
          <w:rFonts w:eastAsia="Calibri"/>
          <w:szCs w:val="22"/>
        </w:rPr>
        <w:t xml:space="preserve">2 gadiem </w:t>
      </w:r>
      <w:r w:rsidR="00412A49">
        <w:rPr>
          <w:rFonts w:eastAsia="Calibri"/>
          <w:szCs w:val="22"/>
        </w:rPr>
        <w:t xml:space="preserve">tiesības </w:t>
      </w:r>
      <w:r w:rsidR="00872FD0">
        <w:rPr>
          <w:rFonts w:eastAsia="Calibri"/>
          <w:szCs w:val="22"/>
        </w:rPr>
        <w:t>veikt visu veidu komercdarbību.</w:t>
      </w:r>
    </w:p>
    <w:p w14:paraId="46F9D477" w14:textId="35D882EE" w:rsidR="000E6AEB" w:rsidRPr="000E6AEB" w:rsidRDefault="000E6AEB" w:rsidP="00FD1BE9">
      <w:pPr>
        <w:spacing w:line="276" w:lineRule="auto"/>
        <w:ind w:firstLine="709"/>
        <w:jc w:val="both"/>
        <w:rPr>
          <w:rFonts w:eastAsia="Calibri"/>
          <w:szCs w:val="22"/>
        </w:rPr>
      </w:pPr>
      <w:r>
        <w:rPr>
          <w:rFonts w:eastAsia="Calibri"/>
          <w:szCs w:val="22"/>
        </w:rPr>
        <w:t xml:space="preserve">Valsts ieņēmumu dienesta pieteiktā kompensācija 53110,33 </w:t>
      </w:r>
      <w:r>
        <w:rPr>
          <w:rFonts w:eastAsia="Calibri"/>
          <w:i/>
          <w:szCs w:val="22"/>
        </w:rPr>
        <w:t>euro</w:t>
      </w:r>
      <w:r>
        <w:rPr>
          <w:rFonts w:eastAsia="Calibri"/>
          <w:szCs w:val="22"/>
        </w:rPr>
        <w:t xml:space="preserve"> nav noteikta.</w:t>
      </w:r>
    </w:p>
    <w:p w14:paraId="0FEEBF36" w14:textId="09ECC998" w:rsidR="00D614C4" w:rsidRDefault="00D36C54" w:rsidP="008A2EE9">
      <w:pPr>
        <w:spacing w:line="276" w:lineRule="auto"/>
        <w:ind w:firstLine="709"/>
        <w:jc w:val="both"/>
        <w:rPr>
          <w:rFonts w:eastAsia="Calibri"/>
          <w:szCs w:val="22"/>
        </w:rPr>
      </w:pPr>
      <w:r>
        <w:rPr>
          <w:rFonts w:eastAsia="Calibri"/>
          <w:szCs w:val="22"/>
        </w:rPr>
        <w:t xml:space="preserve">Piemērots juridiskajai personai </w:t>
      </w:r>
      <w:bookmarkStart w:id="0" w:name="_Hlk41582420"/>
      <w:r>
        <w:rPr>
          <w:rFonts w:eastAsia="Calibri"/>
          <w:szCs w:val="22"/>
        </w:rPr>
        <w:t>SIA „</w:t>
      </w:r>
      <w:r w:rsidR="00C0001A">
        <w:rPr>
          <w:rFonts w:eastAsia="Calibri"/>
          <w:szCs w:val="22"/>
        </w:rPr>
        <w:t>[Nosaukums A]</w:t>
      </w:r>
      <w:r>
        <w:rPr>
          <w:rFonts w:eastAsia="Calibri"/>
          <w:szCs w:val="22"/>
        </w:rPr>
        <w:t>”, reģistrācijas Nr.</w:t>
      </w:r>
      <w:bookmarkEnd w:id="0"/>
      <w:r w:rsidR="00C0001A">
        <w:rPr>
          <w:rFonts w:eastAsia="Calibri"/>
          <w:szCs w:val="22"/>
        </w:rPr>
        <w:t>[..]</w:t>
      </w:r>
      <w:r>
        <w:rPr>
          <w:rFonts w:eastAsia="Calibri"/>
          <w:szCs w:val="22"/>
        </w:rPr>
        <w:t xml:space="preserve">, piespiedu līdzeklis – </w:t>
      </w:r>
      <w:r w:rsidR="008A2EE9">
        <w:rPr>
          <w:rFonts w:eastAsia="Calibri"/>
          <w:szCs w:val="22"/>
        </w:rPr>
        <w:t xml:space="preserve">likvidācija, atsavinot valsts īpašumā bez atlīdzības visu tās īpašumā esošo mantu. </w:t>
      </w:r>
    </w:p>
    <w:p w14:paraId="2E21D698" w14:textId="77777777" w:rsidR="008A2EE9" w:rsidRDefault="008A2EE9" w:rsidP="008A2EE9">
      <w:pPr>
        <w:spacing w:line="276" w:lineRule="auto"/>
        <w:ind w:firstLine="709"/>
        <w:jc w:val="both"/>
        <w:rPr>
          <w:rFonts w:eastAsia="Calibri"/>
          <w:szCs w:val="22"/>
        </w:rPr>
      </w:pPr>
    </w:p>
    <w:p w14:paraId="552A2181" w14:textId="6E7DF458" w:rsidR="00BF31DC" w:rsidRDefault="00D614C4" w:rsidP="00604FE3">
      <w:pPr>
        <w:spacing w:line="276" w:lineRule="auto"/>
        <w:ind w:firstLine="709"/>
        <w:jc w:val="both"/>
        <w:rPr>
          <w:rFonts w:eastAsia="Calibri"/>
          <w:szCs w:val="22"/>
        </w:rPr>
      </w:pPr>
      <w:r>
        <w:rPr>
          <w:rFonts w:eastAsia="Calibri"/>
          <w:szCs w:val="22"/>
        </w:rPr>
        <w:t xml:space="preserve">[2] </w:t>
      </w:r>
      <w:r w:rsidRPr="00D614C4">
        <w:rPr>
          <w:rFonts w:eastAsia="Calibri"/>
          <w:szCs w:val="22"/>
        </w:rPr>
        <w:t xml:space="preserve">Ar </w:t>
      </w:r>
      <w:r w:rsidR="004E3F30">
        <w:rPr>
          <w:rFonts w:eastAsia="Calibri"/>
          <w:szCs w:val="22"/>
        </w:rPr>
        <w:t>Kurzemes</w:t>
      </w:r>
      <w:r>
        <w:rPr>
          <w:rFonts w:eastAsia="Calibri"/>
          <w:szCs w:val="22"/>
        </w:rPr>
        <w:t xml:space="preserve"> apgabaltiesas 2019</w:t>
      </w:r>
      <w:r w:rsidRPr="00D614C4">
        <w:rPr>
          <w:rFonts w:eastAsia="Calibri"/>
          <w:szCs w:val="22"/>
        </w:rPr>
        <w:t xml:space="preserve">.gada </w:t>
      </w:r>
      <w:r w:rsidR="004E3F30">
        <w:rPr>
          <w:rFonts w:eastAsia="Calibri"/>
          <w:szCs w:val="22"/>
        </w:rPr>
        <w:t>2.</w:t>
      </w:r>
      <w:r w:rsidR="00E94BB5">
        <w:rPr>
          <w:rFonts w:eastAsia="Calibri"/>
          <w:szCs w:val="22"/>
        </w:rPr>
        <w:t>maija</w:t>
      </w:r>
      <w:r w:rsidR="004E3F30">
        <w:rPr>
          <w:rFonts w:eastAsia="Calibri"/>
          <w:szCs w:val="22"/>
        </w:rPr>
        <w:t xml:space="preserve"> </w:t>
      </w:r>
      <w:r w:rsidR="00E94BB5">
        <w:rPr>
          <w:rFonts w:eastAsia="Calibri"/>
          <w:szCs w:val="22"/>
        </w:rPr>
        <w:t>spriedumu</w:t>
      </w:r>
      <w:r w:rsidRPr="00D614C4">
        <w:rPr>
          <w:rFonts w:eastAsia="Calibri"/>
          <w:szCs w:val="22"/>
        </w:rPr>
        <w:t>, iztiesājot krimināllietu apelācijas kārtībā sakarā ar apsūdzētā</w:t>
      </w:r>
      <w:r>
        <w:rPr>
          <w:rFonts w:eastAsia="Calibri"/>
          <w:szCs w:val="22"/>
        </w:rPr>
        <w:t xml:space="preserve"> </w:t>
      </w:r>
      <w:r w:rsidR="00C0001A">
        <w:rPr>
          <w:rFonts w:eastAsia="Calibri"/>
          <w:szCs w:val="22"/>
        </w:rPr>
        <w:t>[pers. A]</w:t>
      </w:r>
      <w:r w:rsidR="004E3F30">
        <w:rPr>
          <w:rFonts w:eastAsia="Calibri"/>
          <w:szCs w:val="22"/>
        </w:rPr>
        <w:t xml:space="preserve"> </w:t>
      </w:r>
      <w:r w:rsidR="0098521B">
        <w:rPr>
          <w:rFonts w:eastAsia="Calibri"/>
          <w:szCs w:val="22"/>
        </w:rPr>
        <w:t xml:space="preserve">aizstāvja </w:t>
      </w:r>
      <w:r w:rsidR="003341A5">
        <w:rPr>
          <w:rFonts w:eastAsia="Calibri"/>
          <w:szCs w:val="22"/>
        </w:rPr>
        <w:t>A. Zvejsalnieka</w:t>
      </w:r>
      <w:r w:rsidR="0098521B">
        <w:rPr>
          <w:rFonts w:eastAsia="Calibri"/>
          <w:szCs w:val="22"/>
        </w:rPr>
        <w:t xml:space="preserve"> </w:t>
      </w:r>
      <w:r w:rsidRPr="00D614C4">
        <w:rPr>
          <w:rFonts w:eastAsia="Calibri"/>
          <w:szCs w:val="22"/>
        </w:rPr>
        <w:t>apelācijas sūdzību</w:t>
      </w:r>
      <w:r w:rsidR="00412A49">
        <w:rPr>
          <w:rFonts w:eastAsia="Calibri"/>
          <w:szCs w:val="22"/>
        </w:rPr>
        <w:t>,</w:t>
      </w:r>
      <w:r w:rsidR="003341A5">
        <w:rPr>
          <w:rFonts w:eastAsia="Calibri"/>
          <w:szCs w:val="22"/>
        </w:rPr>
        <w:t xml:space="preserve"> </w:t>
      </w:r>
      <w:r w:rsidR="00FA71DD">
        <w:rPr>
          <w:rFonts w:eastAsia="Calibri"/>
          <w:szCs w:val="22"/>
        </w:rPr>
        <w:t xml:space="preserve">Talsu rajona prokuratūras </w:t>
      </w:r>
      <w:r w:rsidR="00BC4608">
        <w:rPr>
          <w:rFonts w:eastAsia="Calibri"/>
          <w:szCs w:val="22"/>
        </w:rPr>
        <w:t>prokurora E. Kristovska kasācijas protestu</w:t>
      </w:r>
      <w:r w:rsidR="00412A49">
        <w:rPr>
          <w:rFonts w:eastAsia="Calibri"/>
          <w:szCs w:val="22"/>
        </w:rPr>
        <w:t xml:space="preserve"> un cietušā – Valsts ieņēmumu dienesta – kasācijas sūdzību,</w:t>
      </w:r>
      <w:r w:rsidRPr="00D614C4">
        <w:rPr>
          <w:rFonts w:eastAsia="Calibri"/>
          <w:szCs w:val="22"/>
        </w:rPr>
        <w:t xml:space="preserve"> </w:t>
      </w:r>
      <w:r w:rsidR="002A2454">
        <w:rPr>
          <w:rFonts w:eastAsia="Calibri"/>
          <w:szCs w:val="22"/>
        </w:rPr>
        <w:t>Kur</w:t>
      </w:r>
      <w:r w:rsidR="00FA34A9">
        <w:rPr>
          <w:rFonts w:eastAsia="Calibri"/>
          <w:szCs w:val="22"/>
        </w:rPr>
        <w:t xml:space="preserve">zemes rajona tiesas 2018.gada 8.maija </w:t>
      </w:r>
      <w:r w:rsidR="002A2454">
        <w:rPr>
          <w:rFonts w:eastAsia="Calibri"/>
          <w:szCs w:val="22"/>
        </w:rPr>
        <w:t xml:space="preserve">spriedums atcelts </w:t>
      </w:r>
      <w:r w:rsidR="00FA34A9">
        <w:rPr>
          <w:rFonts w:eastAsia="Calibri"/>
          <w:szCs w:val="22"/>
        </w:rPr>
        <w:t>da</w:t>
      </w:r>
      <w:r w:rsidR="00412A49">
        <w:rPr>
          <w:rFonts w:eastAsia="Calibri"/>
          <w:szCs w:val="22"/>
        </w:rPr>
        <w:t>ļā par SIA „</w:t>
      </w:r>
      <w:r w:rsidR="00C0001A">
        <w:rPr>
          <w:rFonts w:eastAsia="Calibri"/>
          <w:szCs w:val="22"/>
        </w:rPr>
        <w:t>[Nosaukums A]</w:t>
      </w:r>
      <w:r w:rsidR="00412A49">
        <w:rPr>
          <w:rFonts w:eastAsia="Calibri"/>
          <w:szCs w:val="22"/>
        </w:rPr>
        <w:t>”</w:t>
      </w:r>
      <w:r w:rsidR="00FA34A9">
        <w:rPr>
          <w:rFonts w:eastAsia="Calibri"/>
          <w:szCs w:val="22"/>
        </w:rPr>
        <w:t xml:space="preserve"> īpašumā esošās</w:t>
      </w:r>
      <w:r w:rsidR="00412A49">
        <w:rPr>
          <w:rFonts w:eastAsia="Calibri"/>
          <w:szCs w:val="22"/>
        </w:rPr>
        <w:t xml:space="preserve"> visas</w:t>
      </w:r>
      <w:r w:rsidR="00FA34A9">
        <w:rPr>
          <w:rFonts w:eastAsia="Calibri"/>
          <w:szCs w:val="22"/>
        </w:rPr>
        <w:t xml:space="preserve"> mantas bezatlīdzības atsavināšanu valsts īpašumā un Valsts ieņēmumu dienesta pieteiktās kaitējuma kompensācijas nenoteikšanu. </w:t>
      </w:r>
    </w:p>
    <w:p w14:paraId="18B06F7D" w14:textId="2614CDAE" w:rsidR="00E42B91" w:rsidRPr="004921F0" w:rsidRDefault="00E42B91" w:rsidP="00604FE3">
      <w:pPr>
        <w:spacing w:line="276" w:lineRule="auto"/>
        <w:ind w:firstLine="709"/>
        <w:jc w:val="both"/>
        <w:rPr>
          <w:rFonts w:eastAsia="Calibri"/>
          <w:szCs w:val="22"/>
        </w:rPr>
      </w:pPr>
      <w:r>
        <w:rPr>
          <w:rFonts w:eastAsia="Calibri"/>
          <w:szCs w:val="22"/>
        </w:rPr>
        <w:t>Piedz</w:t>
      </w:r>
      <w:r w:rsidR="00412A49">
        <w:rPr>
          <w:rFonts w:eastAsia="Calibri"/>
          <w:szCs w:val="22"/>
        </w:rPr>
        <w:t>īta</w:t>
      </w:r>
      <w:r w:rsidR="00502BB5">
        <w:rPr>
          <w:rFonts w:eastAsia="Calibri"/>
          <w:szCs w:val="22"/>
        </w:rPr>
        <w:t xml:space="preserve"> no</w:t>
      </w:r>
      <w:r w:rsidR="00412A49">
        <w:rPr>
          <w:rFonts w:eastAsia="Calibri"/>
          <w:szCs w:val="22"/>
        </w:rPr>
        <w:t xml:space="preserve"> </w:t>
      </w:r>
      <w:r w:rsidR="00C0001A">
        <w:rPr>
          <w:rFonts w:eastAsia="Calibri"/>
          <w:szCs w:val="22"/>
        </w:rPr>
        <w:t>[pers. A]</w:t>
      </w:r>
      <w:r w:rsidR="00412A49">
        <w:rPr>
          <w:rFonts w:eastAsia="Calibri"/>
          <w:szCs w:val="22"/>
        </w:rPr>
        <w:t xml:space="preserve"> valsts labā kaitējuma kompensācija</w:t>
      </w:r>
      <w:r w:rsidR="00502BB5">
        <w:rPr>
          <w:rFonts w:eastAsia="Calibri"/>
          <w:szCs w:val="22"/>
        </w:rPr>
        <w:t xml:space="preserve"> </w:t>
      </w:r>
      <w:r w:rsidR="004921F0">
        <w:rPr>
          <w:rFonts w:eastAsia="Calibri"/>
          <w:szCs w:val="22"/>
        </w:rPr>
        <w:t xml:space="preserve">51583,46 </w:t>
      </w:r>
      <w:r w:rsidR="004921F0" w:rsidRPr="004921F0">
        <w:rPr>
          <w:rFonts w:eastAsia="Calibri"/>
          <w:i/>
          <w:szCs w:val="22"/>
        </w:rPr>
        <w:t>euro</w:t>
      </w:r>
      <w:r w:rsidR="004921F0">
        <w:rPr>
          <w:rFonts w:eastAsia="Calibri"/>
          <w:i/>
          <w:szCs w:val="22"/>
        </w:rPr>
        <w:t>.</w:t>
      </w:r>
    </w:p>
    <w:p w14:paraId="74610FBB" w14:textId="4E2A3100" w:rsidR="00B078C7" w:rsidRDefault="004921F0" w:rsidP="00B078C7">
      <w:pPr>
        <w:spacing w:line="276" w:lineRule="auto"/>
        <w:ind w:firstLine="709"/>
        <w:jc w:val="both"/>
        <w:rPr>
          <w:rFonts w:eastAsia="Calibri"/>
          <w:szCs w:val="22"/>
        </w:rPr>
      </w:pPr>
      <w:r>
        <w:rPr>
          <w:rFonts w:eastAsia="Calibri"/>
          <w:szCs w:val="22"/>
        </w:rPr>
        <w:t xml:space="preserve">Pārējā daļā spriedums </w:t>
      </w:r>
      <w:r w:rsidR="00B078C7">
        <w:rPr>
          <w:rFonts w:eastAsia="Calibri"/>
          <w:szCs w:val="22"/>
        </w:rPr>
        <w:t>atstāts negrozīts.</w:t>
      </w:r>
    </w:p>
    <w:p w14:paraId="43A69CB9" w14:textId="77777777" w:rsidR="00B078C7" w:rsidRDefault="00B078C7" w:rsidP="00B078C7">
      <w:pPr>
        <w:spacing w:line="276" w:lineRule="auto"/>
        <w:ind w:firstLine="709"/>
        <w:jc w:val="both"/>
        <w:rPr>
          <w:rFonts w:eastAsia="Calibri"/>
          <w:szCs w:val="22"/>
        </w:rPr>
      </w:pPr>
    </w:p>
    <w:p w14:paraId="67B64001" w14:textId="3437D17C" w:rsidR="009B5558" w:rsidRDefault="00FD09B3" w:rsidP="009B5558">
      <w:pPr>
        <w:spacing w:line="276" w:lineRule="auto"/>
        <w:ind w:firstLine="709"/>
        <w:jc w:val="both"/>
        <w:rPr>
          <w:rFonts w:eastAsia="Calibri"/>
          <w:szCs w:val="22"/>
        </w:rPr>
      </w:pPr>
      <w:r>
        <w:rPr>
          <w:rFonts w:eastAsia="Calibri"/>
          <w:szCs w:val="22"/>
        </w:rPr>
        <w:t xml:space="preserve">[3] </w:t>
      </w:r>
      <w:r w:rsidRPr="00FD09B3">
        <w:rPr>
          <w:rFonts w:eastAsia="Calibri"/>
          <w:szCs w:val="22"/>
        </w:rPr>
        <w:t>Par apelācijas instan</w:t>
      </w:r>
      <w:r w:rsidR="00F17CCB">
        <w:rPr>
          <w:rFonts w:eastAsia="Calibri"/>
          <w:szCs w:val="22"/>
        </w:rPr>
        <w:t xml:space="preserve">ces tiesas </w:t>
      </w:r>
      <w:r w:rsidR="00282808">
        <w:rPr>
          <w:rFonts w:eastAsia="Calibri"/>
          <w:szCs w:val="22"/>
        </w:rPr>
        <w:t>spriedumu</w:t>
      </w:r>
      <w:r>
        <w:rPr>
          <w:rFonts w:eastAsia="Calibri"/>
          <w:szCs w:val="22"/>
        </w:rPr>
        <w:t xml:space="preserve"> </w:t>
      </w:r>
      <w:r w:rsidR="00282808">
        <w:rPr>
          <w:rFonts w:eastAsia="Calibri"/>
          <w:szCs w:val="22"/>
        </w:rPr>
        <w:t>Talsu</w:t>
      </w:r>
      <w:r w:rsidR="001E1A7F">
        <w:rPr>
          <w:rFonts w:eastAsia="Calibri"/>
          <w:szCs w:val="22"/>
        </w:rPr>
        <w:t xml:space="preserve"> </w:t>
      </w:r>
      <w:r w:rsidR="00282808">
        <w:rPr>
          <w:rFonts w:eastAsia="Calibri"/>
          <w:szCs w:val="22"/>
        </w:rPr>
        <w:t>rajona</w:t>
      </w:r>
      <w:r w:rsidR="001E1A7F">
        <w:rPr>
          <w:rFonts w:eastAsia="Calibri"/>
          <w:szCs w:val="22"/>
        </w:rPr>
        <w:t xml:space="preserve"> prokuratūras </w:t>
      </w:r>
      <w:r w:rsidR="00282808">
        <w:rPr>
          <w:rFonts w:eastAsia="Calibri"/>
          <w:szCs w:val="22"/>
        </w:rPr>
        <w:t>prokurors E</w:t>
      </w:r>
      <w:r w:rsidR="008925E4">
        <w:rPr>
          <w:rFonts w:eastAsia="Calibri"/>
          <w:szCs w:val="22"/>
        </w:rPr>
        <w:t>. </w:t>
      </w:r>
      <w:r w:rsidR="001E5E95">
        <w:rPr>
          <w:rFonts w:eastAsia="Calibri"/>
          <w:szCs w:val="22"/>
        </w:rPr>
        <w:t>Kristovskis</w:t>
      </w:r>
      <w:r w:rsidR="001E1A7F" w:rsidRPr="00A02082">
        <w:rPr>
          <w:rFonts w:eastAsia="Calibri"/>
          <w:szCs w:val="22"/>
        </w:rPr>
        <w:t xml:space="preserve"> </w:t>
      </w:r>
      <w:r w:rsidR="001E5E95">
        <w:rPr>
          <w:rFonts w:eastAsia="Calibri"/>
          <w:szCs w:val="22"/>
        </w:rPr>
        <w:t>iesniedzis</w:t>
      </w:r>
      <w:r w:rsidRPr="00FD09B3">
        <w:rPr>
          <w:rFonts w:eastAsia="Calibri"/>
          <w:szCs w:val="22"/>
        </w:rPr>
        <w:t xml:space="preserve"> kasācijas</w:t>
      </w:r>
      <w:r w:rsidR="001E1A7F">
        <w:rPr>
          <w:rFonts w:eastAsia="Calibri"/>
          <w:szCs w:val="22"/>
        </w:rPr>
        <w:t xml:space="preserve"> protestu</w:t>
      </w:r>
      <w:r w:rsidRPr="00FD09B3">
        <w:rPr>
          <w:rFonts w:eastAsia="Calibri"/>
          <w:szCs w:val="22"/>
        </w:rPr>
        <w:t xml:space="preserve">, lūdzot atcelt </w:t>
      </w:r>
      <w:r w:rsidR="00163D7D">
        <w:rPr>
          <w:rFonts w:eastAsia="Calibri"/>
          <w:szCs w:val="22"/>
        </w:rPr>
        <w:t xml:space="preserve">Kurzemes </w:t>
      </w:r>
      <w:r w:rsidR="00A21A58">
        <w:rPr>
          <w:rFonts w:eastAsia="Calibri"/>
          <w:szCs w:val="22"/>
        </w:rPr>
        <w:t>apgabaltiesas 2019.gada 2.maija</w:t>
      </w:r>
      <w:r w:rsidR="009B5558" w:rsidRPr="009B5558">
        <w:rPr>
          <w:rFonts w:eastAsia="Calibri"/>
          <w:szCs w:val="22"/>
        </w:rPr>
        <w:t xml:space="preserve"> </w:t>
      </w:r>
      <w:r w:rsidR="00A21A58">
        <w:rPr>
          <w:rFonts w:eastAsia="Calibri"/>
          <w:szCs w:val="22"/>
        </w:rPr>
        <w:t>spriedumu</w:t>
      </w:r>
      <w:r w:rsidR="009B5558">
        <w:rPr>
          <w:rFonts w:eastAsia="Calibri"/>
          <w:szCs w:val="22"/>
        </w:rPr>
        <w:t xml:space="preserve"> pilnībā un </w:t>
      </w:r>
      <w:r w:rsidR="009B5558" w:rsidRPr="009B5558">
        <w:rPr>
          <w:rFonts w:eastAsia="Calibri"/>
          <w:szCs w:val="22"/>
        </w:rPr>
        <w:t>no</w:t>
      </w:r>
      <w:r w:rsidR="009B5558">
        <w:rPr>
          <w:rFonts w:eastAsia="Calibri"/>
          <w:szCs w:val="22"/>
        </w:rPr>
        <w:t>sūtīt lietu jaunai izskatīšanai apelācijas instances tiesā.</w:t>
      </w:r>
    </w:p>
    <w:p w14:paraId="71015F9F" w14:textId="4C59A0DE" w:rsidR="00762B42" w:rsidRPr="004E3B08" w:rsidRDefault="00762B42" w:rsidP="00762B42">
      <w:pPr>
        <w:spacing w:line="276" w:lineRule="auto"/>
        <w:ind w:firstLine="709"/>
        <w:jc w:val="both"/>
      </w:pPr>
      <w:r w:rsidRPr="004E3B08">
        <w:rPr>
          <w:rFonts w:eastAsiaTheme="minorHAnsi"/>
        </w:rPr>
        <w:t xml:space="preserve">Kasācijas </w:t>
      </w:r>
      <w:r>
        <w:rPr>
          <w:rFonts w:eastAsiaTheme="minorHAnsi"/>
        </w:rPr>
        <w:t>protestā</w:t>
      </w:r>
      <w:r w:rsidRPr="004E3B08">
        <w:rPr>
          <w:rFonts w:eastAsiaTheme="minorHAnsi"/>
        </w:rPr>
        <w:t xml:space="preserve"> pausto lūgumu </w:t>
      </w:r>
      <w:r w:rsidR="00150BC6">
        <w:rPr>
          <w:rFonts w:eastAsiaTheme="minorHAnsi"/>
        </w:rPr>
        <w:t>prokurors</w:t>
      </w:r>
      <w:r w:rsidRPr="004E3B08">
        <w:rPr>
          <w:rFonts w:eastAsiaTheme="minorHAnsi"/>
        </w:rPr>
        <w:t xml:space="preserve"> </w:t>
      </w:r>
      <w:r w:rsidR="00150BC6">
        <w:rPr>
          <w:rFonts w:eastAsiaTheme="minorHAnsi"/>
        </w:rPr>
        <w:t>E. Kristovskis</w:t>
      </w:r>
      <w:r w:rsidR="000E6AEB">
        <w:rPr>
          <w:rFonts w:eastAsiaTheme="minorHAnsi"/>
        </w:rPr>
        <w:t xml:space="preserve"> pamatojis</w:t>
      </w:r>
      <w:r w:rsidRPr="004E3B08">
        <w:rPr>
          <w:rFonts w:eastAsiaTheme="minorHAnsi"/>
        </w:rPr>
        <w:t xml:space="preserve"> ar tālāk izklāstītajiem argumentiem.</w:t>
      </w:r>
    </w:p>
    <w:p w14:paraId="7F21F42D" w14:textId="428146E7" w:rsidR="00CC2E56" w:rsidRDefault="00BA1C79" w:rsidP="00CC2E56">
      <w:pPr>
        <w:spacing w:line="259" w:lineRule="auto"/>
        <w:ind w:firstLine="709"/>
        <w:jc w:val="both"/>
        <w:rPr>
          <w:rFonts w:eastAsiaTheme="minorHAnsi"/>
        </w:rPr>
      </w:pPr>
      <w:r w:rsidRPr="00017806">
        <w:rPr>
          <w:rFonts w:eastAsia="Calibri"/>
          <w:szCs w:val="22"/>
        </w:rPr>
        <w:lastRenderedPageBreak/>
        <w:t>[3</w:t>
      </w:r>
      <w:r w:rsidR="001C16A0" w:rsidRPr="00017806">
        <w:rPr>
          <w:rFonts w:eastAsia="Calibri"/>
          <w:szCs w:val="22"/>
        </w:rPr>
        <w:t xml:space="preserve">.1] </w:t>
      </w:r>
      <w:r w:rsidR="00017806" w:rsidRPr="00017806">
        <w:rPr>
          <w:rFonts w:eastAsiaTheme="minorHAnsi"/>
        </w:rPr>
        <w:t xml:space="preserve">Apelācijas instances tiesa, atstājot negrozītu pirmās instances tiesas spriedumu daļā par </w:t>
      </w:r>
      <w:r w:rsidR="00C0001A">
        <w:rPr>
          <w:rFonts w:eastAsiaTheme="minorHAnsi"/>
        </w:rPr>
        <w:t>[pers. A]</w:t>
      </w:r>
      <w:r w:rsidR="00850C99">
        <w:rPr>
          <w:rFonts w:eastAsiaTheme="minorHAnsi"/>
        </w:rPr>
        <w:t xml:space="preserve"> piespriesto pamatsodu, pieļāvusi</w:t>
      </w:r>
      <w:r w:rsidR="00017806" w:rsidRPr="00017806">
        <w:rPr>
          <w:rFonts w:eastAsiaTheme="minorHAnsi"/>
        </w:rPr>
        <w:t xml:space="preserve"> Kriminālprocesa likuma 574.panta 1.punktā norādīto Krimināllikuma pārkāpumu, kas izpaužas Krimināllikuma 46.panta nepareizā piemērošanā.</w:t>
      </w:r>
    </w:p>
    <w:p w14:paraId="3A4EDDDE" w14:textId="32DEB5D5" w:rsidR="001D0C82" w:rsidRDefault="00274428" w:rsidP="00CC2E56">
      <w:pPr>
        <w:spacing w:line="259" w:lineRule="auto"/>
        <w:ind w:firstLine="720"/>
        <w:jc w:val="both"/>
        <w:rPr>
          <w:rFonts w:eastAsiaTheme="minorHAnsi"/>
        </w:rPr>
      </w:pPr>
      <w:r>
        <w:rPr>
          <w:rFonts w:eastAsiaTheme="minorHAnsi"/>
        </w:rPr>
        <w:t>[3.2</w:t>
      </w:r>
      <w:r w:rsidR="001D0C82">
        <w:rPr>
          <w:rFonts w:eastAsiaTheme="minorHAnsi"/>
        </w:rPr>
        <w:t>]</w:t>
      </w:r>
      <w:r w:rsidR="004B37CD">
        <w:rPr>
          <w:rFonts w:eastAsiaTheme="minorHAnsi"/>
        </w:rPr>
        <w:t xml:space="preserve"> </w:t>
      </w:r>
      <w:r>
        <w:rPr>
          <w:rFonts w:eastAsiaTheme="minorHAnsi"/>
        </w:rPr>
        <w:t>A</w:t>
      </w:r>
      <w:r w:rsidR="004B37CD" w:rsidRPr="004B37CD">
        <w:rPr>
          <w:rFonts w:eastAsiaTheme="minorHAnsi"/>
        </w:rPr>
        <w:t>pelācijas instan</w:t>
      </w:r>
      <w:r>
        <w:rPr>
          <w:rFonts w:eastAsiaTheme="minorHAnsi"/>
        </w:rPr>
        <w:t>ces tiesa</w:t>
      </w:r>
      <w:r w:rsidR="004B37CD" w:rsidRPr="004B37CD">
        <w:rPr>
          <w:rFonts w:eastAsiaTheme="minorHAnsi"/>
        </w:rPr>
        <w:t xml:space="preserve"> nav ņēmusi vērā Krimināllikuma 218.panta otrajā daļā paredzē</w:t>
      </w:r>
      <w:r>
        <w:rPr>
          <w:rFonts w:eastAsiaTheme="minorHAnsi"/>
        </w:rPr>
        <w:t>tā noziedzīgā nodarījuma</w:t>
      </w:r>
      <w:r w:rsidR="004B37CD" w:rsidRPr="004B37CD">
        <w:rPr>
          <w:rFonts w:eastAsiaTheme="minorHAnsi"/>
        </w:rPr>
        <w:t xml:space="preserve"> raksturu un</w:t>
      </w:r>
      <w:r>
        <w:rPr>
          <w:rFonts w:eastAsiaTheme="minorHAnsi"/>
        </w:rPr>
        <w:t xml:space="preserve"> ar to</w:t>
      </w:r>
      <w:r w:rsidR="004B37CD" w:rsidRPr="004B37CD">
        <w:rPr>
          <w:rFonts w:eastAsiaTheme="minorHAnsi"/>
        </w:rPr>
        <w:t xml:space="preserve"> radīto kaitējumu, kā arī nav ņēmusi vērā būtiskus vainīgā personību raksturojoš</w:t>
      </w:r>
      <w:r w:rsidR="00872FD0">
        <w:rPr>
          <w:rFonts w:eastAsiaTheme="minorHAnsi"/>
        </w:rPr>
        <w:t>us apstākļus, uz kuriem bija</w:t>
      </w:r>
      <w:r>
        <w:rPr>
          <w:rFonts w:eastAsiaTheme="minorHAnsi"/>
        </w:rPr>
        <w:t xml:space="preserve"> norādīts apsūdzībā, tādējādi tiesa ir pārkāpusi Krimināllikuma 46.pantu.</w:t>
      </w:r>
    </w:p>
    <w:p w14:paraId="29BF295A" w14:textId="11CBCD29" w:rsidR="004B37CD" w:rsidRDefault="00274428" w:rsidP="00CC2E56">
      <w:pPr>
        <w:spacing w:line="259" w:lineRule="auto"/>
        <w:ind w:firstLine="709"/>
        <w:jc w:val="both"/>
        <w:rPr>
          <w:rFonts w:eastAsiaTheme="minorHAnsi"/>
        </w:rPr>
      </w:pPr>
      <w:r>
        <w:rPr>
          <w:rFonts w:eastAsiaTheme="minorHAnsi"/>
        </w:rPr>
        <w:t>[3.3</w:t>
      </w:r>
      <w:r w:rsidR="004B37CD">
        <w:rPr>
          <w:rFonts w:eastAsiaTheme="minorHAnsi"/>
        </w:rPr>
        <w:t>]</w:t>
      </w:r>
      <w:r w:rsidR="00867914">
        <w:rPr>
          <w:rFonts w:eastAsiaTheme="minorHAnsi"/>
        </w:rPr>
        <w:t xml:space="preserve"> Z</w:t>
      </w:r>
      <w:r w:rsidR="004B37CD" w:rsidRPr="004B37CD">
        <w:rPr>
          <w:rFonts w:eastAsiaTheme="minorHAnsi"/>
        </w:rPr>
        <w:t xml:space="preserve">audējumu, ko </w:t>
      </w:r>
      <w:r w:rsidR="00C0001A">
        <w:rPr>
          <w:rFonts w:eastAsiaTheme="minorHAnsi"/>
        </w:rPr>
        <w:t>[pers. A]</w:t>
      </w:r>
      <w:r w:rsidR="004B37CD" w:rsidRPr="004B37CD">
        <w:rPr>
          <w:rFonts w:eastAsiaTheme="minorHAnsi"/>
        </w:rPr>
        <w:t xml:space="preserve"> no</w:t>
      </w:r>
      <w:r>
        <w:rPr>
          <w:rFonts w:eastAsiaTheme="minorHAnsi"/>
        </w:rPr>
        <w:t>darīja valstij, apmērs vairāk nekā divas reizes pārsniedz</w:t>
      </w:r>
      <w:r w:rsidR="004B37CD" w:rsidRPr="004B37CD">
        <w:rPr>
          <w:rFonts w:eastAsiaTheme="minorHAnsi"/>
        </w:rPr>
        <w:t xml:space="preserve"> noziedzīgā nodarījuma izdarīšanas brīdī valstī noteikto piecdesmit minimālo mēnešalgu kopsummu – likumdevēja noteikto kritēriju, lai par šādu rīcību iestātos kriminālatbildība. Savukārt, pieaugot nodarīto zaudējumu apmēram un laika posmam, kurā pastāv nodokļu un tiem pielīdzināto maksājumu parāds, palielinās arī aizskarto interešu apjoms tautsaimniecībā un valsts nodokļu un ieņēmumu jomā, un tādēļ izdarītais noziedzīgais nodarījums iegūst lielāku sabiedrisko bīs</w:t>
      </w:r>
      <w:r w:rsidR="00867914">
        <w:rPr>
          <w:rFonts w:eastAsiaTheme="minorHAnsi"/>
        </w:rPr>
        <w:t>tamību un kaitīgumu.</w:t>
      </w:r>
    </w:p>
    <w:p w14:paraId="270A807F" w14:textId="2ABD4E14" w:rsidR="004B37CD" w:rsidRDefault="008C4D38" w:rsidP="00CC2E56">
      <w:pPr>
        <w:spacing w:line="259" w:lineRule="auto"/>
        <w:ind w:firstLine="709"/>
        <w:jc w:val="both"/>
        <w:rPr>
          <w:rFonts w:eastAsiaTheme="minorHAnsi"/>
        </w:rPr>
      </w:pPr>
      <w:r>
        <w:rPr>
          <w:rFonts w:eastAsiaTheme="minorHAnsi"/>
        </w:rPr>
        <w:t>[3.4</w:t>
      </w:r>
      <w:r w:rsidR="00EC10A8">
        <w:rPr>
          <w:rFonts w:eastAsiaTheme="minorHAnsi"/>
        </w:rPr>
        <w:t xml:space="preserve">] </w:t>
      </w:r>
      <w:r w:rsidR="00BE3DB7">
        <w:rPr>
          <w:rFonts w:eastAsiaTheme="minorHAnsi"/>
        </w:rPr>
        <w:t>I</w:t>
      </w:r>
      <w:r w:rsidR="004B37CD" w:rsidRPr="004B37CD">
        <w:rPr>
          <w:rFonts w:eastAsiaTheme="minorHAnsi"/>
        </w:rPr>
        <w:t>zvairoties no nodokļu un tiem piel</w:t>
      </w:r>
      <w:r w:rsidR="00BE3DB7">
        <w:rPr>
          <w:rFonts w:eastAsiaTheme="minorHAnsi"/>
        </w:rPr>
        <w:t xml:space="preserve">īdzināto maksājumu nomaksas, </w:t>
      </w:r>
      <w:r w:rsidR="00C0001A">
        <w:rPr>
          <w:rFonts w:eastAsiaTheme="minorHAnsi"/>
        </w:rPr>
        <w:t>[pers. A]</w:t>
      </w:r>
      <w:r w:rsidR="004B37CD" w:rsidRPr="004B37CD">
        <w:rPr>
          <w:rFonts w:eastAsiaTheme="minorHAnsi"/>
        </w:rPr>
        <w:t xml:space="preserve"> atklāti demonstrēja visatļautību, un šāda apsūdzētā nostāja veidoja nepareizu priekšstatu citām p</w:t>
      </w:r>
      <w:r w:rsidR="009A48DD">
        <w:rPr>
          <w:rFonts w:eastAsiaTheme="minorHAnsi"/>
        </w:rPr>
        <w:t>ersonām par to, ka šāds</w:t>
      </w:r>
      <w:r w:rsidR="004B37CD" w:rsidRPr="004B37CD">
        <w:rPr>
          <w:rFonts w:eastAsiaTheme="minorHAnsi"/>
        </w:rPr>
        <w:t xml:space="preserve"> likumpārkāpums mūsu sabiedrībā ir pieļaujams, uz ko norādīja arī apsūdzētā paustā attieksme pret apsūdzību, tādējādi rodas pamatotas šaubas, vai, izciešot pamatsodu – piespiedu darbu –, </w:t>
      </w:r>
      <w:r w:rsidR="00C0001A">
        <w:rPr>
          <w:rFonts w:eastAsiaTheme="minorHAnsi"/>
        </w:rPr>
        <w:t>[pers. A]</w:t>
      </w:r>
      <w:r w:rsidR="004B37CD" w:rsidRPr="004B37CD">
        <w:rPr>
          <w:rFonts w:eastAsiaTheme="minorHAnsi"/>
        </w:rPr>
        <w:t xml:space="preserve"> sapratīs savu rīcību un labosies.</w:t>
      </w:r>
    </w:p>
    <w:p w14:paraId="523A84A3" w14:textId="584A4ECA" w:rsidR="004B37CD" w:rsidRDefault="008C4D38" w:rsidP="00CC2E56">
      <w:pPr>
        <w:spacing w:line="259" w:lineRule="auto"/>
        <w:ind w:firstLine="709"/>
        <w:jc w:val="both"/>
        <w:rPr>
          <w:rFonts w:eastAsiaTheme="minorHAnsi"/>
        </w:rPr>
      </w:pPr>
      <w:r>
        <w:rPr>
          <w:rFonts w:eastAsiaTheme="minorHAnsi"/>
        </w:rPr>
        <w:t>[3.5</w:t>
      </w:r>
      <w:r w:rsidR="004B37CD">
        <w:rPr>
          <w:rFonts w:eastAsiaTheme="minorHAnsi"/>
        </w:rPr>
        <w:t xml:space="preserve">] </w:t>
      </w:r>
      <w:r w:rsidR="00EC10A8">
        <w:rPr>
          <w:rFonts w:eastAsiaTheme="minorHAnsi"/>
        </w:rPr>
        <w:t>Apelācijas instances tiesa nav ņēmusi vērā Augstākās tiesas judikatūrā paustās atziņas,</w:t>
      </w:r>
      <w:r w:rsidR="004B37CD" w:rsidRPr="004B37CD">
        <w:rPr>
          <w:rFonts w:eastAsiaTheme="minorHAnsi"/>
        </w:rPr>
        <w:t xml:space="preserve"> ka</w:t>
      </w:r>
      <w:r w:rsidR="00EC10A8">
        <w:rPr>
          <w:rFonts w:eastAsiaTheme="minorHAnsi"/>
        </w:rPr>
        <w:t>, lemjot par vainīgajam nosakāmo sodu,</w:t>
      </w:r>
      <w:r w:rsidR="004B37CD" w:rsidRPr="004B37CD">
        <w:rPr>
          <w:rFonts w:eastAsiaTheme="minorHAnsi"/>
        </w:rPr>
        <w:t xml:space="preserve"> ir jāvērtē, kā konkrētās krimināltiesiskās represijas piemērošana sekmēs tostarp taisnīguma atjaunošanu, noziedzīgu nodarījumu recidīvu novēršanu, atturēs citu personu no noziedzīgu nodarījumu izdarīšanas. Jāievēro ne tikai vainīgā personību raksturojošie dati, bet arī fakti, kas saistīti ar noziedzīgu nodarījumu. T</w:t>
      </w:r>
      <w:r w:rsidR="009A48DD">
        <w:rPr>
          <w:rFonts w:eastAsiaTheme="minorHAnsi"/>
        </w:rPr>
        <w:t>urklāt</w:t>
      </w:r>
      <w:r w:rsidR="004B37CD" w:rsidRPr="004B37CD">
        <w:rPr>
          <w:rFonts w:eastAsiaTheme="minorHAnsi"/>
        </w:rPr>
        <w:t xml:space="preserve"> nesamērīgi mīksta soda noteikšana, kas pamatota vienīgi ar personību pozitīvi raksturojošo ziņu izvērtējumu, nesasniegs soda mērķi, jo šādā gadījumā vainīgā persona netiks pakļauta soda piespiedu ietekmei un ar to saistītajiem ierobežojumiem tādā mērā, kas atbilstu izdarītā noziedzīgā nodarījuma raksturam un radītajam kai</w:t>
      </w:r>
      <w:r w:rsidR="00EC10A8">
        <w:rPr>
          <w:rFonts w:eastAsiaTheme="minorHAnsi"/>
        </w:rPr>
        <w:t>tējumam</w:t>
      </w:r>
      <w:r w:rsidR="004B37CD" w:rsidRPr="004B37CD">
        <w:rPr>
          <w:rFonts w:eastAsiaTheme="minorHAnsi"/>
        </w:rPr>
        <w:t>.</w:t>
      </w:r>
    </w:p>
    <w:p w14:paraId="76C4F9FA" w14:textId="3C5A3D37" w:rsidR="004B37CD" w:rsidRPr="00017806" w:rsidRDefault="008C4D38" w:rsidP="0036361F">
      <w:pPr>
        <w:spacing w:after="160" w:line="259" w:lineRule="auto"/>
        <w:ind w:firstLine="709"/>
        <w:jc w:val="both"/>
        <w:rPr>
          <w:rFonts w:eastAsiaTheme="minorHAnsi"/>
        </w:rPr>
      </w:pPr>
      <w:r>
        <w:rPr>
          <w:rFonts w:eastAsiaTheme="minorHAnsi"/>
        </w:rPr>
        <w:t>[3.6</w:t>
      </w:r>
      <w:r w:rsidR="004B37CD">
        <w:rPr>
          <w:rFonts w:eastAsiaTheme="minorHAnsi"/>
        </w:rPr>
        <w:t xml:space="preserve">] </w:t>
      </w:r>
      <w:r w:rsidR="009A48DD">
        <w:rPr>
          <w:rFonts w:eastAsiaTheme="minorHAnsi"/>
        </w:rPr>
        <w:t>Nepareizi piemērojot Krimināllikuma 46.pantu,</w:t>
      </w:r>
      <w:r w:rsidR="004B37CD" w:rsidRPr="004B37CD">
        <w:rPr>
          <w:rFonts w:eastAsiaTheme="minorHAnsi"/>
        </w:rPr>
        <w:t xml:space="preserve"> netiks sasniegti Krimināllikuma 35.pa</w:t>
      </w:r>
      <w:r w:rsidR="00AD5F41">
        <w:rPr>
          <w:rFonts w:eastAsiaTheme="minorHAnsi"/>
        </w:rPr>
        <w:t xml:space="preserve">ntā noteiktie soda mērķi, un </w:t>
      </w:r>
      <w:r w:rsidR="00C0001A">
        <w:rPr>
          <w:rFonts w:eastAsiaTheme="minorHAnsi"/>
        </w:rPr>
        <w:t>[pers. A]</w:t>
      </w:r>
      <w:r w:rsidR="004B37CD" w:rsidRPr="004B37CD">
        <w:rPr>
          <w:rFonts w:eastAsiaTheme="minorHAnsi"/>
        </w:rPr>
        <w:t xml:space="preserve"> netiks pakļauts atbilstoša soda piespiedu ietekmei un ar to saistītajiem ierobežojumiem tādā mērā, kas atbilstu izdarītā noziedzīgā nodarījuma raksturam, radītajam kaitējumam un viņa personībai, netiks panākts, ka viņš un citas personas pildīs likumus un atturēsies no nozie</w:t>
      </w:r>
      <w:r w:rsidR="00B32D95">
        <w:rPr>
          <w:rFonts w:eastAsiaTheme="minorHAnsi"/>
        </w:rPr>
        <w:t>dzīgu nodarījumu izdarīšanas.</w:t>
      </w:r>
    </w:p>
    <w:p w14:paraId="7BE367DC" w14:textId="4875B7E0" w:rsidR="00412A49" w:rsidRDefault="00412A49" w:rsidP="00412A49">
      <w:pPr>
        <w:spacing w:line="276" w:lineRule="auto"/>
        <w:ind w:firstLine="709"/>
        <w:jc w:val="both"/>
        <w:rPr>
          <w:rFonts w:eastAsia="Calibri"/>
          <w:szCs w:val="22"/>
        </w:rPr>
      </w:pPr>
      <w:r>
        <w:rPr>
          <w:rFonts w:eastAsia="Calibri"/>
          <w:szCs w:val="22"/>
        </w:rPr>
        <w:t xml:space="preserve">[4] Par apelācijas instances tiesas spriedumu apsūdzētā </w:t>
      </w:r>
      <w:r w:rsidR="00C0001A">
        <w:rPr>
          <w:rFonts w:eastAsia="Calibri"/>
          <w:szCs w:val="22"/>
        </w:rPr>
        <w:t>[pers. A]</w:t>
      </w:r>
      <w:r>
        <w:rPr>
          <w:rFonts w:eastAsia="Calibri"/>
          <w:szCs w:val="22"/>
        </w:rPr>
        <w:t xml:space="preserve"> aizstāvis</w:t>
      </w:r>
      <w:r w:rsidR="0044692C">
        <w:rPr>
          <w:rFonts w:eastAsia="Calibri"/>
          <w:szCs w:val="22"/>
        </w:rPr>
        <w:t xml:space="preserve"> A. Zvejsalnieks</w:t>
      </w:r>
      <w:r>
        <w:rPr>
          <w:rFonts w:eastAsia="Calibri"/>
          <w:szCs w:val="22"/>
        </w:rPr>
        <w:t xml:space="preserve"> iesniedzis kasācijas sūdzību, lūdzot atcelt Kurzemes apgabaltiesas 2019.gada 2.maija spriedumu pilnība un izbeigt kriminālprocesu.</w:t>
      </w:r>
      <w:r w:rsidR="0044692C">
        <w:rPr>
          <w:rFonts w:eastAsia="Calibri"/>
          <w:szCs w:val="22"/>
        </w:rPr>
        <w:t xml:space="preserve"> Aizstāvja ieskatā</w:t>
      </w:r>
      <w:r>
        <w:rPr>
          <w:rFonts w:eastAsia="Calibri"/>
          <w:szCs w:val="22"/>
        </w:rPr>
        <w:t xml:space="preserve"> </w:t>
      </w:r>
      <w:r w:rsidR="00C0001A">
        <w:rPr>
          <w:rFonts w:eastAsia="Calibri"/>
          <w:szCs w:val="22"/>
        </w:rPr>
        <w:t>[pers. A]</w:t>
      </w:r>
      <w:r w:rsidR="0044692C" w:rsidRPr="00991F1C">
        <w:rPr>
          <w:rFonts w:eastAsia="Calibri"/>
          <w:szCs w:val="22"/>
        </w:rPr>
        <w:t xml:space="preserve"> darbībās nav Krimināllikuma 218.pantā paredzētā</w:t>
      </w:r>
      <w:r w:rsidR="0044692C">
        <w:rPr>
          <w:rFonts w:eastAsia="Calibri"/>
          <w:szCs w:val="22"/>
        </w:rPr>
        <w:t xml:space="preserve"> noziedzīgā nodarījuma sastāva, turklāt iztiesājot lietu, ir pieļauti Kriminālprocesa likuma būtiski</w:t>
      </w:r>
      <w:r w:rsidR="0044692C" w:rsidRPr="00991F1C">
        <w:rPr>
          <w:rFonts w:eastAsia="Calibri"/>
          <w:szCs w:val="22"/>
        </w:rPr>
        <w:t xml:space="preserve"> pārkāpumi.</w:t>
      </w:r>
    </w:p>
    <w:p w14:paraId="61E260AB" w14:textId="55A20B7A" w:rsidR="00123974" w:rsidRPr="0044692C" w:rsidRDefault="004B37CD" w:rsidP="0044692C">
      <w:pPr>
        <w:spacing w:line="276" w:lineRule="auto"/>
        <w:ind w:firstLine="709"/>
        <w:jc w:val="both"/>
      </w:pPr>
      <w:r w:rsidRPr="004E3B08">
        <w:rPr>
          <w:rFonts w:eastAsiaTheme="minorHAnsi"/>
        </w:rPr>
        <w:t xml:space="preserve">Kasācijas </w:t>
      </w:r>
      <w:r>
        <w:rPr>
          <w:rFonts w:eastAsiaTheme="minorHAnsi"/>
        </w:rPr>
        <w:t>sūdzībā</w:t>
      </w:r>
      <w:r w:rsidR="0044692C">
        <w:rPr>
          <w:rFonts w:eastAsiaTheme="minorHAnsi"/>
        </w:rPr>
        <w:t xml:space="preserve"> pausto lūgumu</w:t>
      </w:r>
      <w:r>
        <w:rPr>
          <w:rFonts w:eastAsiaTheme="minorHAnsi"/>
        </w:rPr>
        <w:t xml:space="preserve"> aizst</w:t>
      </w:r>
      <w:r w:rsidR="00123974">
        <w:rPr>
          <w:rFonts w:eastAsiaTheme="minorHAnsi"/>
        </w:rPr>
        <w:t>āvis pamatojis</w:t>
      </w:r>
      <w:r w:rsidRPr="004E3B08">
        <w:rPr>
          <w:rFonts w:eastAsiaTheme="minorHAnsi"/>
        </w:rPr>
        <w:t xml:space="preserve"> ar tālāk izklāstītajiem argumentiem.</w:t>
      </w:r>
    </w:p>
    <w:p w14:paraId="362F829F" w14:textId="013C5C93" w:rsidR="00991F1C" w:rsidRDefault="0044692C" w:rsidP="002D10DE">
      <w:pPr>
        <w:spacing w:line="276" w:lineRule="auto"/>
        <w:ind w:firstLine="709"/>
        <w:jc w:val="both"/>
        <w:rPr>
          <w:rFonts w:eastAsia="Calibri"/>
          <w:szCs w:val="22"/>
        </w:rPr>
      </w:pPr>
      <w:r>
        <w:rPr>
          <w:rFonts w:eastAsia="Calibri"/>
          <w:szCs w:val="22"/>
        </w:rPr>
        <w:t>[4.1</w:t>
      </w:r>
      <w:r w:rsidR="00991F1C">
        <w:rPr>
          <w:rFonts w:eastAsia="Calibri"/>
          <w:szCs w:val="22"/>
        </w:rPr>
        <w:t xml:space="preserve">] </w:t>
      </w:r>
      <w:r w:rsidR="005B3BFB">
        <w:rPr>
          <w:rFonts w:eastAsia="Calibri"/>
          <w:szCs w:val="22"/>
        </w:rPr>
        <w:t>Atstājot</w:t>
      </w:r>
      <w:r w:rsidR="00991F1C" w:rsidRPr="00991F1C">
        <w:rPr>
          <w:rFonts w:eastAsia="Calibri"/>
          <w:szCs w:val="22"/>
        </w:rPr>
        <w:t xml:space="preserve"> negrozītu pirmās instances tiesas spri</w:t>
      </w:r>
      <w:r w:rsidR="002D10DE">
        <w:rPr>
          <w:rFonts w:eastAsia="Calibri"/>
          <w:szCs w:val="22"/>
        </w:rPr>
        <w:t>edumu, tostarp</w:t>
      </w:r>
      <w:r w:rsidR="00991F1C" w:rsidRPr="00991F1C">
        <w:rPr>
          <w:rFonts w:eastAsia="Calibri"/>
          <w:szCs w:val="22"/>
        </w:rPr>
        <w:t xml:space="preserve"> par pierādītu atzītā noziedzīgā nodarījuma a</w:t>
      </w:r>
      <w:r w:rsidR="005B3BFB">
        <w:rPr>
          <w:rFonts w:eastAsia="Calibri"/>
          <w:szCs w:val="22"/>
        </w:rPr>
        <w:t>prakstu, apelācijas instances</w:t>
      </w:r>
      <w:r w:rsidR="002D10DE">
        <w:rPr>
          <w:rFonts w:eastAsia="Calibri"/>
          <w:szCs w:val="22"/>
        </w:rPr>
        <w:t xml:space="preserve"> tiesa nav ņēmusi vērā</w:t>
      </w:r>
      <w:r w:rsidR="00991F1C" w:rsidRPr="00991F1C">
        <w:rPr>
          <w:rFonts w:eastAsia="Calibri"/>
          <w:szCs w:val="22"/>
        </w:rPr>
        <w:t xml:space="preserve">, ka 2019.gada 8.aprīlī </w:t>
      </w:r>
      <w:r w:rsidR="002D10DE">
        <w:rPr>
          <w:rFonts w:eastAsia="Calibri"/>
          <w:szCs w:val="22"/>
        </w:rPr>
        <w:t xml:space="preserve">apelācijas instances tiesā </w:t>
      </w:r>
      <w:r w:rsidR="00991F1C" w:rsidRPr="00991F1C">
        <w:rPr>
          <w:rFonts w:eastAsia="Calibri"/>
          <w:szCs w:val="22"/>
        </w:rPr>
        <w:t>prokurors grozīja apsūdzību.</w:t>
      </w:r>
      <w:r w:rsidR="002D10DE" w:rsidRPr="002D10DE">
        <w:rPr>
          <w:rFonts w:eastAsia="Calibri"/>
          <w:szCs w:val="22"/>
        </w:rPr>
        <w:t xml:space="preserve"> </w:t>
      </w:r>
      <w:r w:rsidR="002D10DE">
        <w:rPr>
          <w:rFonts w:eastAsia="Calibri"/>
          <w:szCs w:val="22"/>
        </w:rPr>
        <w:t>Grozītajā apsūdzībā ietvertās</w:t>
      </w:r>
      <w:r w:rsidR="002D10DE" w:rsidRPr="00991F1C">
        <w:rPr>
          <w:rFonts w:eastAsia="Calibri"/>
          <w:szCs w:val="22"/>
        </w:rPr>
        <w:t xml:space="preserve"> norādes uz konkrētajos mēnešos nenomaksātaji</w:t>
      </w:r>
      <w:r w:rsidR="002D10DE">
        <w:rPr>
          <w:rFonts w:eastAsia="Calibri"/>
          <w:szCs w:val="22"/>
        </w:rPr>
        <w:t>em nodokļiem</w:t>
      </w:r>
      <w:r w:rsidR="002D10DE" w:rsidRPr="00991F1C">
        <w:rPr>
          <w:rFonts w:eastAsia="Calibri"/>
          <w:szCs w:val="22"/>
        </w:rPr>
        <w:t xml:space="preserve"> bija saprotam</w:t>
      </w:r>
      <w:r w:rsidR="005B3BFB">
        <w:rPr>
          <w:rFonts w:eastAsia="Calibri"/>
          <w:szCs w:val="22"/>
        </w:rPr>
        <w:t>a</w:t>
      </w:r>
      <w:r w:rsidR="002D10DE" w:rsidRPr="00991F1C">
        <w:rPr>
          <w:rFonts w:eastAsia="Calibri"/>
          <w:szCs w:val="22"/>
        </w:rPr>
        <w:t>s kā inkriminētā noziedzīgā nodarījuma faktisko apstākļu izklāsts Kriminālprocesa likuma 405.panta pirmās daļas 2.punkta izpratnē.</w:t>
      </w:r>
      <w:r w:rsidR="002D10DE">
        <w:rPr>
          <w:rFonts w:eastAsia="Calibri"/>
          <w:szCs w:val="22"/>
        </w:rPr>
        <w:t xml:space="preserve"> Ievērojot, ka grozītā apsūdzība tiesā tika pieņemta, aizstāv</w:t>
      </w:r>
      <w:r w:rsidR="005B3BFB">
        <w:rPr>
          <w:rFonts w:eastAsia="Calibri"/>
          <w:szCs w:val="22"/>
        </w:rPr>
        <w:t>ība tika īstenota</w:t>
      </w:r>
      <w:r w:rsidR="00991F1C" w:rsidRPr="00991F1C">
        <w:rPr>
          <w:rFonts w:eastAsia="Calibri"/>
          <w:szCs w:val="22"/>
        </w:rPr>
        <w:t xml:space="preserve"> pret apsūdzību, kuru uzturēja prokurors tiesā – tas ir, 2019.gada 8.aprīļa r</w:t>
      </w:r>
      <w:r w:rsidR="002D10DE">
        <w:rPr>
          <w:rFonts w:eastAsia="Calibri"/>
          <w:szCs w:val="22"/>
        </w:rPr>
        <w:t>edakcijā.</w:t>
      </w:r>
    </w:p>
    <w:p w14:paraId="570E7F22" w14:textId="3160C5B0" w:rsidR="00991F1C" w:rsidRDefault="005B3BFB" w:rsidP="0036361F">
      <w:pPr>
        <w:spacing w:line="276" w:lineRule="auto"/>
        <w:ind w:firstLine="720"/>
        <w:jc w:val="both"/>
        <w:rPr>
          <w:rFonts w:eastAsia="Calibri"/>
          <w:szCs w:val="22"/>
        </w:rPr>
      </w:pPr>
      <w:r>
        <w:rPr>
          <w:rFonts w:eastAsia="Calibri"/>
          <w:szCs w:val="22"/>
        </w:rPr>
        <w:lastRenderedPageBreak/>
        <w:t>Īstenojot aizstāvību, tika norādīts</w:t>
      </w:r>
      <w:r w:rsidR="00B660FF" w:rsidRPr="00B660FF">
        <w:rPr>
          <w:rFonts w:eastAsia="Calibri"/>
          <w:szCs w:val="22"/>
        </w:rPr>
        <w:t xml:space="preserve"> uz</w:t>
      </w:r>
      <w:r w:rsidR="000A71C4">
        <w:rPr>
          <w:rFonts w:eastAsia="Calibri"/>
          <w:szCs w:val="22"/>
        </w:rPr>
        <w:t xml:space="preserve"> vairākiem būtiskiem trūkumiem grozītajā apsūdzībā.</w:t>
      </w:r>
    </w:p>
    <w:p w14:paraId="12A94EF9" w14:textId="511F6207" w:rsidR="00A92A75" w:rsidRDefault="00A92A75" w:rsidP="0036361F">
      <w:pPr>
        <w:spacing w:line="276" w:lineRule="auto"/>
        <w:ind w:firstLine="720"/>
        <w:jc w:val="both"/>
        <w:rPr>
          <w:rFonts w:eastAsia="Calibri"/>
          <w:szCs w:val="22"/>
        </w:rPr>
      </w:pPr>
      <w:r>
        <w:rPr>
          <w:rFonts w:eastAsia="Calibri"/>
          <w:szCs w:val="22"/>
        </w:rPr>
        <w:t>Apelācijas instances tiesa nav vērtējusi tiesu debatēs aizstāvja norādītos argumentus par grozītās apsūdzības nepilnībām un nepamatotību un ir atstājusi spēkā pirmās instances tiesā par pierādītu atzītā noziedzīgā nodarījuma aprakstu, kas atbilst apsūdzībai, kura tiesā netika uzturēta.</w:t>
      </w:r>
      <w:r w:rsidR="00B660FF" w:rsidRPr="00B660FF">
        <w:rPr>
          <w:rFonts w:eastAsia="Calibri"/>
          <w:szCs w:val="22"/>
        </w:rPr>
        <w:t xml:space="preserve"> </w:t>
      </w:r>
    </w:p>
    <w:p w14:paraId="494C8691" w14:textId="7AE9624E" w:rsidR="00B660FF" w:rsidRDefault="00A92A75" w:rsidP="0036361F">
      <w:pPr>
        <w:spacing w:line="276" w:lineRule="auto"/>
        <w:ind w:firstLine="720"/>
        <w:jc w:val="both"/>
        <w:rPr>
          <w:rFonts w:eastAsia="Calibri"/>
          <w:szCs w:val="22"/>
        </w:rPr>
      </w:pPr>
      <w:r>
        <w:rPr>
          <w:rFonts w:eastAsia="Calibri"/>
          <w:szCs w:val="22"/>
        </w:rPr>
        <w:t xml:space="preserve">Tādējādi tika ierobežotas </w:t>
      </w:r>
      <w:r w:rsidR="00C0001A">
        <w:rPr>
          <w:rFonts w:eastAsia="Calibri"/>
          <w:szCs w:val="22"/>
        </w:rPr>
        <w:t>[pers. A]</w:t>
      </w:r>
      <w:r w:rsidR="00B660FF" w:rsidRPr="00B660FF">
        <w:rPr>
          <w:rFonts w:eastAsia="Calibri"/>
          <w:szCs w:val="22"/>
        </w:rPr>
        <w:t xml:space="preserve"> tiesības uz aizstāvību – proti, zināt, kāda tieši apsūdzība viņam ir celta.</w:t>
      </w:r>
    </w:p>
    <w:p w14:paraId="28C6E0EA" w14:textId="4EF6425E" w:rsidR="00B660FF" w:rsidRDefault="001D7AE9" w:rsidP="0036361F">
      <w:pPr>
        <w:spacing w:line="276" w:lineRule="auto"/>
        <w:ind w:firstLine="720"/>
        <w:jc w:val="both"/>
        <w:rPr>
          <w:rFonts w:eastAsia="Calibri"/>
          <w:szCs w:val="22"/>
        </w:rPr>
      </w:pPr>
      <w:r>
        <w:rPr>
          <w:rFonts w:eastAsia="Calibri"/>
          <w:szCs w:val="22"/>
        </w:rPr>
        <w:t>[4.2</w:t>
      </w:r>
      <w:r w:rsidR="00B660FF">
        <w:rPr>
          <w:rFonts w:eastAsia="Calibri"/>
          <w:szCs w:val="22"/>
        </w:rPr>
        <w:t xml:space="preserve">] </w:t>
      </w:r>
      <w:r w:rsidR="00B660FF" w:rsidRPr="00B660FF">
        <w:rPr>
          <w:rFonts w:eastAsia="Calibri"/>
          <w:szCs w:val="22"/>
        </w:rPr>
        <w:t>Ar 2019.gada 8.aprīļa apsūdzību prokurors ir ievērojami paplašinājis un konkretizējis noziedzīgā nodarījuma faktisko apstākļu aprakstu. Savukārt apelācijas i</w:t>
      </w:r>
      <w:r w:rsidR="00C45026">
        <w:rPr>
          <w:rFonts w:eastAsia="Calibri"/>
          <w:szCs w:val="22"/>
        </w:rPr>
        <w:t>nstances tiesa šos grozījumus atstājusi bez ievērības un nav norādījusi</w:t>
      </w:r>
      <w:r w:rsidR="00B660FF" w:rsidRPr="00B660FF">
        <w:rPr>
          <w:rFonts w:eastAsia="Calibri"/>
          <w:szCs w:val="22"/>
        </w:rPr>
        <w:t>, vai uzskata tos par noziedzīgā nodarījuma faktisko apstākļu apraksta sastāvdaļu</w:t>
      </w:r>
      <w:r w:rsidR="00D0782E">
        <w:rPr>
          <w:rFonts w:eastAsia="Calibri"/>
          <w:szCs w:val="22"/>
        </w:rPr>
        <w:t xml:space="preserve"> vai nē.</w:t>
      </w:r>
    </w:p>
    <w:p w14:paraId="722BBA21" w14:textId="77777777" w:rsidR="007414B8" w:rsidRDefault="007414B8" w:rsidP="007414B8">
      <w:pPr>
        <w:spacing w:line="276" w:lineRule="auto"/>
        <w:ind w:firstLine="720"/>
        <w:jc w:val="both"/>
        <w:rPr>
          <w:rFonts w:eastAsia="Calibri"/>
          <w:szCs w:val="22"/>
        </w:rPr>
      </w:pPr>
      <w:r>
        <w:rPr>
          <w:rFonts w:eastAsia="Calibri"/>
          <w:szCs w:val="22"/>
        </w:rPr>
        <w:t>Ievērojot, ka par pierādītu atzītā noziedzīgā nodarījuma apraksts atšķiras no apelācijas instances tiesā uzturētās apsūdzības, tiesai</w:t>
      </w:r>
      <w:r w:rsidR="00ED11A4" w:rsidRPr="00ED11A4">
        <w:rPr>
          <w:rFonts w:eastAsia="Calibri"/>
          <w:szCs w:val="22"/>
        </w:rPr>
        <w:t xml:space="preserve"> saskaņā ar Kriminālprocesa likuma 564.pantu</w:t>
      </w:r>
      <w:r>
        <w:rPr>
          <w:rFonts w:eastAsia="Calibri"/>
          <w:szCs w:val="22"/>
        </w:rPr>
        <w:t xml:space="preserve"> bija jāpamato, kādēļ tā sniedz no apsūdzības atšķirīgu noziedzīgā nodarījuma aprakstu</w:t>
      </w:r>
      <w:r w:rsidR="00ED11A4" w:rsidRPr="00ED11A4">
        <w:rPr>
          <w:rFonts w:eastAsia="Calibri"/>
          <w:szCs w:val="22"/>
        </w:rPr>
        <w:t xml:space="preserve">. </w:t>
      </w:r>
    </w:p>
    <w:p w14:paraId="56A7E7C8" w14:textId="6A19E324" w:rsidR="00C45026" w:rsidRDefault="00C45026" w:rsidP="007414B8">
      <w:pPr>
        <w:spacing w:line="276" w:lineRule="auto"/>
        <w:ind w:firstLine="720"/>
        <w:jc w:val="both"/>
        <w:rPr>
          <w:rFonts w:eastAsia="Calibri"/>
          <w:szCs w:val="22"/>
        </w:rPr>
      </w:pPr>
      <w:r>
        <w:rPr>
          <w:rFonts w:eastAsia="Calibri"/>
          <w:szCs w:val="22"/>
        </w:rPr>
        <w:t xml:space="preserve">Ņemot vērā, ka no apelācijas instances tiesas sprieduma nav saprotams, kādus faktiskos apstākļus, kas nosaka nodarījuma juridisko kvalifikāciju, tiesa ir konstatējusi, ir pārkāptas </w:t>
      </w:r>
      <w:r w:rsidR="00C0001A">
        <w:rPr>
          <w:rFonts w:eastAsia="Calibri"/>
          <w:szCs w:val="22"/>
        </w:rPr>
        <w:t>[pers. A]</w:t>
      </w:r>
      <w:r>
        <w:rPr>
          <w:rFonts w:eastAsia="Calibri"/>
          <w:szCs w:val="22"/>
        </w:rPr>
        <w:t xml:space="preserve"> Kriminālprocesa likuma 20.pantā noteiktās tiesības – zināt, kāda noziedzīga nodarījuma izdarīšanā viņš tiek apsūdzēts.</w:t>
      </w:r>
    </w:p>
    <w:p w14:paraId="4774BFAF" w14:textId="4C4653FA" w:rsidR="00563B79" w:rsidRDefault="00C45026" w:rsidP="00D0782E">
      <w:pPr>
        <w:spacing w:line="276" w:lineRule="auto"/>
        <w:ind w:firstLine="720"/>
        <w:jc w:val="both"/>
        <w:rPr>
          <w:rFonts w:eastAsia="Calibri"/>
          <w:szCs w:val="22"/>
        </w:rPr>
      </w:pPr>
      <w:r>
        <w:rPr>
          <w:rFonts w:eastAsia="Calibri"/>
          <w:szCs w:val="22"/>
        </w:rPr>
        <w:t xml:space="preserve"> [4.3</w:t>
      </w:r>
      <w:r w:rsidR="00ED11A4">
        <w:rPr>
          <w:rFonts w:eastAsia="Calibri"/>
          <w:szCs w:val="22"/>
        </w:rPr>
        <w:t xml:space="preserve">] </w:t>
      </w:r>
      <w:r w:rsidR="00ED11A4" w:rsidRPr="00ED11A4">
        <w:rPr>
          <w:rFonts w:eastAsia="Calibri"/>
          <w:szCs w:val="22"/>
        </w:rPr>
        <w:t>Apelācijas instances tiesas spriedumā iekļautais noziedzīgā nodarījuma apraksts neatbilst Kriminālprocesa likuma 527.panta pirmās daļas prasībā</w:t>
      </w:r>
      <w:r w:rsidR="00AF7006">
        <w:rPr>
          <w:rFonts w:eastAsia="Calibri"/>
          <w:szCs w:val="22"/>
        </w:rPr>
        <w:t>m, jo</w:t>
      </w:r>
      <w:r w:rsidR="00ED11A4" w:rsidRPr="00ED11A4">
        <w:rPr>
          <w:rFonts w:eastAsia="Calibri"/>
          <w:szCs w:val="22"/>
        </w:rPr>
        <w:t xml:space="preserve"> spriedumā</w:t>
      </w:r>
      <w:r w:rsidR="00AF7006" w:rsidRPr="00563B79">
        <w:rPr>
          <w:rFonts w:eastAsia="Calibri"/>
          <w:szCs w:val="22"/>
        </w:rPr>
        <w:t xml:space="preserve"> norādītas tikai</w:t>
      </w:r>
      <w:r w:rsidR="00AF7006">
        <w:rPr>
          <w:rFonts w:eastAsia="Calibri"/>
          <w:szCs w:val="22"/>
        </w:rPr>
        <w:t xml:space="preserve"> nodarījuma</w:t>
      </w:r>
      <w:r w:rsidR="00AF7006" w:rsidRPr="00563B79">
        <w:rPr>
          <w:rFonts w:eastAsia="Calibri"/>
          <w:szCs w:val="22"/>
        </w:rPr>
        <w:t xml:space="preserve"> sekas – nodokļa parāda esība –</w:t>
      </w:r>
      <w:r w:rsidR="00AF7006">
        <w:rPr>
          <w:rFonts w:eastAsia="Calibri"/>
          <w:szCs w:val="22"/>
        </w:rPr>
        <w:t xml:space="preserve">, taču nav norādīts, kādu konkrētu prettiesisku darbību vai bezdarbības rezultātā sekas iestājušās. Turklāt nav norādīta </w:t>
      </w:r>
      <w:r w:rsidR="00C0001A">
        <w:rPr>
          <w:rFonts w:eastAsia="Calibri"/>
          <w:szCs w:val="22"/>
        </w:rPr>
        <w:t>[pers. A]</w:t>
      </w:r>
      <w:r w:rsidR="00AB3754">
        <w:rPr>
          <w:rFonts w:eastAsia="Calibri"/>
          <w:szCs w:val="22"/>
        </w:rPr>
        <w:t xml:space="preserve"> </w:t>
      </w:r>
      <w:r w:rsidR="00AF7006">
        <w:rPr>
          <w:rFonts w:eastAsia="Calibri"/>
          <w:szCs w:val="22"/>
        </w:rPr>
        <w:t>vainas forma</w:t>
      </w:r>
      <w:r w:rsidR="00567645">
        <w:rPr>
          <w:rFonts w:eastAsia="Calibri"/>
          <w:szCs w:val="22"/>
        </w:rPr>
        <w:t>.</w:t>
      </w:r>
    </w:p>
    <w:p w14:paraId="2F296730" w14:textId="20791A4B" w:rsidR="00AB3754" w:rsidRDefault="00AB3754" w:rsidP="0036361F">
      <w:pPr>
        <w:spacing w:line="276" w:lineRule="auto"/>
        <w:ind w:firstLine="720"/>
        <w:jc w:val="both"/>
        <w:rPr>
          <w:rFonts w:eastAsia="Calibri"/>
          <w:szCs w:val="22"/>
        </w:rPr>
      </w:pPr>
      <w:r>
        <w:rPr>
          <w:rFonts w:eastAsia="Calibri"/>
          <w:szCs w:val="22"/>
        </w:rPr>
        <w:t>[4.4</w:t>
      </w:r>
      <w:r w:rsidR="00563B79">
        <w:rPr>
          <w:rFonts w:eastAsia="Calibri"/>
          <w:szCs w:val="22"/>
        </w:rPr>
        <w:t xml:space="preserve">] </w:t>
      </w:r>
      <w:r>
        <w:rPr>
          <w:rFonts w:eastAsia="Calibri"/>
          <w:szCs w:val="22"/>
        </w:rPr>
        <w:t>Tiesa nav pamatojusi atzinumu par</w:t>
      </w:r>
      <w:r w:rsidR="00AD5F41">
        <w:rPr>
          <w:rFonts w:eastAsia="Calibri"/>
          <w:szCs w:val="22"/>
        </w:rPr>
        <w:t xml:space="preserve"> </w:t>
      </w:r>
      <w:r w:rsidR="005355B2">
        <w:rPr>
          <w:rFonts w:eastAsia="Calibri"/>
          <w:szCs w:val="22"/>
        </w:rPr>
        <w:t>[pers. A]</w:t>
      </w:r>
      <w:r>
        <w:rPr>
          <w:rFonts w:eastAsia="Calibri"/>
          <w:szCs w:val="22"/>
        </w:rPr>
        <w:t xml:space="preserve"> nodomu</w:t>
      </w:r>
      <w:r w:rsidR="000908EE" w:rsidRPr="000908EE">
        <w:rPr>
          <w:rFonts w:eastAsia="Calibri"/>
          <w:szCs w:val="22"/>
        </w:rPr>
        <w:t xml:space="preserve"> </w:t>
      </w:r>
      <w:r>
        <w:rPr>
          <w:rFonts w:eastAsia="Calibri"/>
          <w:szCs w:val="22"/>
        </w:rPr>
        <w:t>izvairīties no nodokļu nomaksas.</w:t>
      </w:r>
      <w:r w:rsidR="000908EE" w:rsidRPr="000908EE">
        <w:rPr>
          <w:rFonts w:eastAsia="Calibri"/>
          <w:szCs w:val="22"/>
        </w:rPr>
        <w:t xml:space="preserve"> </w:t>
      </w:r>
    </w:p>
    <w:p w14:paraId="57D397D9" w14:textId="39395F2B" w:rsidR="008758FC" w:rsidRDefault="005355B2" w:rsidP="00AB3754">
      <w:pPr>
        <w:spacing w:line="276" w:lineRule="auto"/>
        <w:ind w:firstLine="720"/>
        <w:jc w:val="both"/>
        <w:rPr>
          <w:rFonts w:eastAsia="Calibri"/>
          <w:szCs w:val="22"/>
        </w:rPr>
      </w:pPr>
      <w:r>
        <w:rPr>
          <w:rFonts w:eastAsia="Calibri"/>
          <w:szCs w:val="22"/>
        </w:rPr>
        <w:t>[Pers. A]</w:t>
      </w:r>
      <w:r w:rsidR="00AB3754">
        <w:rPr>
          <w:rFonts w:eastAsia="Calibri"/>
          <w:szCs w:val="22"/>
        </w:rPr>
        <w:t xml:space="preserve"> darbībās nav saskatāma</w:t>
      </w:r>
      <w:r w:rsidR="000908EE" w:rsidRPr="000908EE">
        <w:rPr>
          <w:rFonts w:eastAsia="Calibri"/>
          <w:szCs w:val="22"/>
        </w:rPr>
        <w:t xml:space="preserve"> Kriminālli</w:t>
      </w:r>
      <w:r w:rsidR="00AB3754">
        <w:rPr>
          <w:rFonts w:eastAsia="Calibri"/>
          <w:szCs w:val="22"/>
        </w:rPr>
        <w:t>kuma 218.pantā paredzētā noziedzīgā nodarījuma sastāva</w:t>
      </w:r>
      <w:r w:rsidR="000908EE">
        <w:rPr>
          <w:rFonts w:eastAsia="Calibri"/>
          <w:szCs w:val="22"/>
        </w:rPr>
        <w:t xml:space="preserve"> subjektīvā puse. </w:t>
      </w:r>
      <w:r>
        <w:rPr>
          <w:rFonts w:eastAsia="Calibri"/>
          <w:szCs w:val="22"/>
        </w:rPr>
        <w:t>[Pers. A]</w:t>
      </w:r>
      <w:r w:rsidR="000908EE" w:rsidRPr="000908EE">
        <w:rPr>
          <w:rFonts w:eastAsia="Calibri"/>
          <w:szCs w:val="22"/>
        </w:rPr>
        <w:t xml:space="preserve"> ir deklarējis da</w:t>
      </w:r>
      <w:r w:rsidR="00AB3754">
        <w:rPr>
          <w:rFonts w:eastAsia="Calibri"/>
          <w:szCs w:val="22"/>
        </w:rPr>
        <w:t>rījumus,</w:t>
      </w:r>
      <w:r w:rsidR="000908EE" w:rsidRPr="000908EE">
        <w:rPr>
          <w:rFonts w:eastAsia="Calibri"/>
          <w:szCs w:val="22"/>
        </w:rPr>
        <w:t xml:space="preserve"> SIA </w:t>
      </w:r>
      <w:r w:rsidR="000908EE">
        <w:rPr>
          <w:rFonts w:eastAsia="Calibri"/>
          <w:szCs w:val="22"/>
        </w:rPr>
        <w:t>„</w:t>
      </w:r>
      <w:r>
        <w:rPr>
          <w:rFonts w:eastAsia="Calibri"/>
          <w:szCs w:val="22"/>
        </w:rPr>
        <w:t>[Nosaukums A]</w:t>
      </w:r>
      <w:r w:rsidR="000908EE">
        <w:rPr>
          <w:rFonts w:eastAsia="Calibri"/>
          <w:szCs w:val="22"/>
        </w:rPr>
        <w:t>”</w:t>
      </w:r>
      <w:r w:rsidR="000908EE" w:rsidRPr="000908EE">
        <w:rPr>
          <w:rFonts w:eastAsia="Calibri"/>
          <w:szCs w:val="22"/>
        </w:rPr>
        <w:t xml:space="preserve"> nodok</w:t>
      </w:r>
      <w:r w:rsidR="00AB3754">
        <w:rPr>
          <w:rFonts w:eastAsia="Calibri"/>
          <w:szCs w:val="22"/>
        </w:rPr>
        <w:t>ļu maksājumi aprēķināti pareizi un a</w:t>
      </w:r>
      <w:r w:rsidR="00AC7F3E" w:rsidRPr="00AC7F3E">
        <w:rPr>
          <w:rFonts w:eastAsia="Calibri"/>
          <w:szCs w:val="22"/>
        </w:rPr>
        <w:t>psūdzībā minētajā laika po</w:t>
      </w:r>
      <w:r w:rsidR="00AB3754">
        <w:rPr>
          <w:rFonts w:eastAsia="Calibri"/>
          <w:szCs w:val="22"/>
        </w:rPr>
        <w:t>smā nodokļu maksājumi ir veikti. L</w:t>
      </w:r>
      <w:r w:rsidR="00AC7F3E" w:rsidRPr="00AC7F3E">
        <w:rPr>
          <w:rFonts w:eastAsia="Calibri"/>
          <w:szCs w:val="22"/>
        </w:rPr>
        <w:t>ai gan veidojās nenomaksātu nodokļu parāds, tika uzsākta tā dzēšana, un ar VID tika panākta vienošanās par termiņa pa</w:t>
      </w:r>
      <w:r w:rsidR="00AB3754">
        <w:rPr>
          <w:rFonts w:eastAsia="Calibri"/>
          <w:szCs w:val="22"/>
        </w:rPr>
        <w:t>garinājumu. N</w:t>
      </w:r>
      <w:r w:rsidR="00AC7F3E" w:rsidRPr="00AC7F3E">
        <w:rPr>
          <w:rFonts w:eastAsia="Calibri"/>
          <w:szCs w:val="22"/>
        </w:rPr>
        <w:t xml:space="preserve">orādītie apstākļi liecina par to, ka </w:t>
      </w:r>
      <w:r>
        <w:rPr>
          <w:rFonts w:eastAsia="Calibri"/>
          <w:szCs w:val="22"/>
        </w:rPr>
        <w:t>[pers. A]</w:t>
      </w:r>
      <w:r w:rsidR="00AC7F3E" w:rsidRPr="00AC7F3E">
        <w:rPr>
          <w:rFonts w:eastAsia="Calibri"/>
          <w:szCs w:val="22"/>
        </w:rPr>
        <w:t xml:space="preserve"> nevēlējās izvairīties no nodokļu nomaksas.</w:t>
      </w:r>
    </w:p>
    <w:p w14:paraId="77A8CDA9" w14:textId="0A964057" w:rsidR="00AC7F3E" w:rsidRDefault="00642D3A" w:rsidP="0036361F">
      <w:pPr>
        <w:spacing w:line="276" w:lineRule="auto"/>
        <w:ind w:firstLine="720"/>
        <w:jc w:val="both"/>
        <w:rPr>
          <w:rFonts w:eastAsia="Calibri"/>
          <w:szCs w:val="22"/>
        </w:rPr>
      </w:pPr>
      <w:r>
        <w:rPr>
          <w:rFonts w:eastAsia="Calibri"/>
          <w:szCs w:val="22"/>
        </w:rPr>
        <w:t>[4.5</w:t>
      </w:r>
      <w:r w:rsidR="00AC7F3E">
        <w:rPr>
          <w:rFonts w:eastAsia="Calibri"/>
          <w:szCs w:val="22"/>
        </w:rPr>
        <w:t xml:space="preserve">] </w:t>
      </w:r>
      <w:r w:rsidR="005355B2">
        <w:rPr>
          <w:rFonts w:eastAsia="Calibri"/>
          <w:szCs w:val="22"/>
        </w:rPr>
        <w:t>[Pers. A]</w:t>
      </w:r>
      <w:r w:rsidR="00AC7F3E" w:rsidRPr="00AC7F3E">
        <w:rPr>
          <w:rFonts w:eastAsia="Calibri"/>
          <w:szCs w:val="22"/>
        </w:rPr>
        <w:t xml:space="preserve"> darbībās nav Krimināllikuma 218.pantā paredzētā noziedzīgā nodarījuma sastā</w:t>
      </w:r>
      <w:r w:rsidR="00AB3754">
        <w:rPr>
          <w:rFonts w:eastAsia="Calibri"/>
          <w:szCs w:val="22"/>
        </w:rPr>
        <w:t>va objektīvās puses</w:t>
      </w:r>
      <w:r w:rsidR="00AC7F3E" w:rsidRPr="00AC7F3E">
        <w:rPr>
          <w:rFonts w:eastAsia="Calibri"/>
          <w:szCs w:val="22"/>
        </w:rPr>
        <w:t>. Nodokļa parāda esības fakts pats par sevi nedod pamatu personas saukšanai pie kriminālatbildības pēc Krimināllikuma 218.panta. Praksē, pastāvot nodokļu parādam, VID slēdz vienošanos par maksājumu atlikšanu, dod laiku parāda nomaksai. Ir izdots „Nodokļu maksātājiem nokavējuma naudas un soda naudas dzēšanai paredzētā atbalsta likums”, kas paredz iespējas nokārtot nodokļu saistības. Sistēmiski tulkojot likuma „Par nodokļiem un nodevām” 1.panta 22.punktu un šā likuma 26.pantu, secināms, ka likumdevējs ir paredzējis atšķirīgas sekas situācijai, kad personai ir nodokļu maksājuma kavējums, un situācijai, kad persona apzināti izvairās no nodokļu maksājumiem.</w:t>
      </w:r>
    </w:p>
    <w:p w14:paraId="12D1CA92" w14:textId="115C3786" w:rsidR="00AC7F3E" w:rsidRDefault="00642D3A" w:rsidP="006B5947">
      <w:pPr>
        <w:spacing w:line="276" w:lineRule="auto"/>
        <w:ind w:firstLine="720"/>
        <w:jc w:val="both"/>
        <w:rPr>
          <w:rFonts w:eastAsia="Calibri"/>
          <w:szCs w:val="22"/>
        </w:rPr>
      </w:pPr>
      <w:r>
        <w:rPr>
          <w:rFonts w:eastAsia="Calibri"/>
          <w:szCs w:val="22"/>
        </w:rPr>
        <w:t>[4.6</w:t>
      </w:r>
      <w:r w:rsidR="00AC7F3E">
        <w:rPr>
          <w:rFonts w:eastAsia="Calibri"/>
          <w:szCs w:val="22"/>
        </w:rPr>
        <w:t xml:space="preserve">] </w:t>
      </w:r>
      <w:r w:rsidR="00AC7F3E" w:rsidRPr="00AC7F3E">
        <w:rPr>
          <w:rFonts w:eastAsia="Calibri"/>
          <w:szCs w:val="22"/>
        </w:rPr>
        <w:t>Apsūdzības celšana par nodokļa parāda esību un šādas p</w:t>
      </w:r>
      <w:r w:rsidR="00E20F2B">
        <w:rPr>
          <w:rFonts w:eastAsia="Calibri"/>
          <w:szCs w:val="22"/>
        </w:rPr>
        <w:t>rakses pielietošanas paredzamība</w:t>
      </w:r>
      <w:r w:rsidR="00AC7F3E" w:rsidRPr="00AC7F3E">
        <w:rPr>
          <w:rFonts w:eastAsia="Calibri"/>
          <w:szCs w:val="22"/>
        </w:rPr>
        <w:t xml:space="preserve"> ir vērtējama kopsakarā ar Eiropas Cilvēka tiesību un pamatbrīvību aiz</w:t>
      </w:r>
      <w:r>
        <w:rPr>
          <w:rFonts w:eastAsia="Calibri"/>
          <w:szCs w:val="22"/>
        </w:rPr>
        <w:t>sardzības konvencijas 7.pantu, kas noteic, ka nevienu nedrīkst atzīt par vainīgu noziedzīgā nodarījumā tādas darbības vai bezdarbības dēļ, kas</w:t>
      </w:r>
      <w:r w:rsidR="000A56B6">
        <w:rPr>
          <w:rFonts w:eastAsia="Calibri"/>
          <w:szCs w:val="22"/>
        </w:rPr>
        <w:t xml:space="preserve"> saskaņā ar izdarīšanas brīdī spēkā esošajām tiesību normām, netika atzīts par noziedzīgu nodarījumu. Eiropas Cilvēktiesību tiesa savā praksē ir attiecinājusi šo principu arī uz likuma interpretācijas paredzamību.</w:t>
      </w:r>
      <w:r w:rsidR="00AB3754">
        <w:rPr>
          <w:rFonts w:eastAsia="Calibri"/>
          <w:szCs w:val="22"/>
        </w:rPr>
        <w:t xml:space="preserve"> I</w:t>
      </w:r>
      <w:r w:rsidR="00AC7F3E" w:rsidRPr="00AC7F3E">
        <w:rPr>
          <w:rFonts w:eastAsia="Calibri"/>
          <w:szCs w:val="22"/>
        </w:rPr>
        <w:t>zs</w:t>
      </w:r>
      <w:r w:rsidR="006B5947">
        <w:rPr>
          <w:rFonts w:eastAsia="Calibri"/>
          <w:szCs w:val="22"/>
        </w:rPr>
        <w:t>katāmajā lietā tiesību interpretācija</w:t>
      </w:r>
      <w:r w:rsidR="00AC7F3E" w:rsidRPr="00AC7F3E">
        <w:rPr>
          <w:rFonts w:eastAsia="Calibri"/>
          <w:szCs w:val="22"/>
        </w:rPr>
        <w:t xml:space="preserve"> nev</w:t>
      </w:r>
      <w:r w:rsidR="006B5947">
        <w:rPr>
          <w:rFonts w:eastAsia="Calibri"/>
          <w:szCs w:val="22"/>
        </w:rPr>
        <w:t>ar tikt atzīta par paredzamu, jo</w:t>
      </w:r>
      <w:r w:rsidR="00AB3754">
        <w:rPr>
          <w:rFonts w:eastAsia="Calibri"/>
          <w:szCs w:val="22"/>
        </w:rPr>
        <w:t xml:space="preserve"> </w:t>
      </w:r>
      <w:r w:rsidR="006B5947">
        <w:rPr>
          <w:rFonts w:eastAsia="Calibri"/>
          <w:szCs w:val="22"/>
        </w:rPr>
        <w:t>a</w:t>
      </w:r>
      <w:r w:rsidR="00E20F2B">
        <w:rPr>
          <w:rFonts w:eastAsia="Calibri"/>
          <w:szCs w:val="22"/>
        </w:rPr>
        <w:t xml:space="preserve">psūdzībā norādītajā </w:t>
      </w:r>
      <w:r w:rsidR="00AB3754">
        <w:rPr>
          <w:rFonts w:eastAsia="Calibri"/>
          <w:szCs w:val="22"/>
        </w:rPr>
        <w:t>periodā</w:t>
      </w:r>
      <w:r w:rsidR="006B5947">
        <w:rPr>
          <w:rFonts w:eastAsia="Calibri"/>
          <w:szCs w:val="22"/>
        </w:rPr>
        <w:t xml:space="preserve"> nepastāvēja tiesu prakse, ka persona tiek saukta</w:t>
      </w:r>
      <w:r w:rsidR="00AC7F3E" w:rsidRPr="00AC7F3E">
        <w:rPr>
          <w:rFonts w:eastAsia="Calibri"/>
          <w:szCs w:val="22"/>
        </w:rPr>
        <w:t xml:space="preserve"> pie </w:t>
      </w:r>
      <w:r w:rsidR="006B5947">
        <w:rPr>
          <w:rFonts w:eastAsia="Calibri"/>
          <w:szCs w:val="22"/>
        </w:rPr>
        <w:t>kriminālatbildības</w:t>
      </w:r>
      <w:r w:rsidR="00AC7F3E" w:rsidRPr="00AC7F3E">
        <w:rPr>
          <w:rFonts w:eastAsia="Calibri"/>
          <w:szCs w:val="22"/>
        </w:rPr>
        <w:t xml:space="preserve"> par n</w:t>
      </w:r>
      <w:r w:rsidR="006B5947">
        <w:rPr>
          <w:rFonts w:eastAsia="Calibri"/>
          <w:szCs w:val="22"/>
        </w:rPr>
        <w:t>odokļa parāda esības faktu.</w:t>
      </w:r>
    </w:p>
    <w:p w14:paraId="1AC63594" w14:textId="13401049" w:rsidR="00AC7F3E" w:rsidRDefault="006B5947" w:rsidP="0036361F">
      <w:pPr>
        <w:spacing w:line="276" w:lineRule="auto"/>
        <w:ind w:firstLine="720"/>
        <w:jc w:val="both"/>
        <w:rPr>
          <w:rFonts w:eastAsia="Calibri"/>
          <w:szCs w:val="22"/>
        </w:rPr>
      </w:pPr>
      <w:r>
        <w:rPr>
          <w:rFonts w:eastAsia="Calibri"/>
          <w:szCs w:val="22"/>
        </w:rPr>
        <w:lastRenderedPageBreak/>
        <w:t xml:space="preserve"> Turklāt </w:t>
      </w:r>
      <w:r w:rsidR="005355B2">
        <w:rPr>
          <w:rFonts w:eastAsia="Calibri"/>
          <w:szCs w:val="22"/>
        </w:rPr>
        <w:t>[pers. A]</w:t>
      </w:r>
      <w:r w:rsidR="00AC7F3E" w:rsidRPr="00AC7F3E">
        <w:rPr>
          <w:rFonts w:eastAsia="Calibri"/>
          <w:szCs w:val="22"/>
        </w:rPr>
        <w:t xml:space="preserve"> varēja paļauties, ka, ievē</w:t>
      </w:r>
      <w:r>
        <w:rPr>
          <w:rFonts w:eastAsia="Calibri"/>
          <w:szCs w:val="22"/>
        </w:rPr>
        <w:t xml:space="preserve">rojot Maksātnespējas likuma </w:t>
      </w:r>
      <w:r w:rsidRPr="006B5947">
        <w:rPr>
          <w:rFonts w:eastAsia="Calibri"/>
          <w:szCs w:val="22"/>
        </w:rPr>
        <w:t>72</w:t>
      </w:r>
      <w:r>
        <w:rPr>
          <w:rFonts w:eastAsia="Calibri"/>
          <w:szCs w:val="22"/>
          <w:vertAlign w:val="superscript"/>
        </w:rPr>
        <w:t>1</w:t>
      </w:r>
      <w:r>
        <w:rPr>
          <w:rFonts w:eastAsia="Calibri"/>
          <w:szCs w:val="22"/>
        </w:rPr>
        <w:t>.pantā un Komerclikuma 169.pantā noteikto</w:t>
      </w:r>
      <w:r w:rsidR="00AC7F3E" w:rsidRPr="00AC7F3E">
        <w:rPr>
          <w:rFonts w:eastAsia="Calibri"/>
          <w:szCs w:val="22"/>
        </w:rPr>
        <w:t xml:space="preserve">, viņš nevar būt personiski atbildīgs par uzņēmuma saistībām. </w:t>
      </w:r>
    </w:p>
    <w:p w14:paraId="20016254" w14:textId="33A4AAF3" w:rsidR="00AC7F3E" w:rsidRDefault="008F5918" w:rsidP="00535FE8">
      <w:pPr>
        <w:spacing w:line="276" w:lineRule="auto"/>
        <w:ind w:firstLine="720"/>
        <w:jc w:val="both"/>
        <w:rPr>
          <w:rFonts w:eastAsia="Calibri"/>
          <w:szCs w:val="22"/>
        </w:rPr>
      </w:pPr>
      <w:r>
        <w:rPr>
          <w:rFonts w:eastAsia="Calibri"/>
          <w:szCs w:val="22"/>
        </w:rPr>
        <w:t>[4.7</w:t>
      </w:r>
      <w:r w:rsidR="00AC7F3E">
        <w:rPr>
          <w:rFonts w:eastAsia="Calibri"/>
          <w:szCs w:val="22"/>
        </w:rPr>
        <w:t xml:space="preserve">] </w:t>
      </w:r>
      <w:r w:rsidR="00A70F75">
        <w:rPr>
          <w:rFonts w:eastAsia="Calibri"/>
          <w:szCs w:val="22"/>
        </w:rPr>
        <w:t>Apelācijas instances tiesas spriedumā nav pamatots, kādēļ nodokļu parāds, kura apjoms laika gaitā mainās, tiek aprēķināts</w:t>
      </w:r>
      <w:r w:rsidR="00535FE8">
        <w:rPr>
          <w:rFonts w:eastAsia="Calibri"/>
          <w:szCs w:val="22"/>
        </w:rPr>
        <w:t xml:space="preserve"> par laika periodu</w:t>
      </w:r>
      <w:r w:rsidR="00D0782E">
        <w:rPr>
          <w:rFonts w:eastAsia="Calibri"/>
          <w:szCs w:val="22"/>
        </w:rPr>
        <w:t xml:space="preserve"> </w:t>
      </w:r>
      <w:r w:rsidR="00AC7F3E" w:rsidRPr="00AC7F3E">
        <w:rPr>
          <w:rFonts w:eastAsia="Calibri"/>
          <w:szCs w:val="22"/>
        </w:rPr>
        <w:t>līdz 2017.gada 4.janvārim.</w:t>
      </w:r>
      <w:r w:rsidR="00D74ADF">
        <w:rPr>
          <w:rFonts w:eastAsia="Calibri"/>
          <w:szCs w:val="22"/>
        </w:rPr>
        <w:t xml:space="preserve"> Turklāt atsevišķiem nodokļu veidiem tiek veikts nodokļa parāda aprēķins par atšķirīgiem laika periodiem.</w:t>
      </w:r>
    </w:p>
    <w:p w14:paraId="31CCE76B" w14:textId="5234C208" w:rsidR="00AC7F3E" w:rsidRDefault="00AC7F3E" w:rsidP="0036361F">
      <w:pPr>
        <w:spacing w:line="276" w:lineRule="auto"/>
        <w:ind w:firstLine="720"/>
        <w:jc w:val="both"/>
        <w:rPr>
          <w:rFonts w:eastAsia="Calibri"/>
          <w:szCs w:val="22"/>
        </w:rPr>
      </w:pPr>
      <w:r>
        <w:rPr>
          <w:rFonts w:eastAsia="Calibri"/>
          <w:szCs w:val="22"/>
        </w:rPr>
        <w:t>[</w:t>
      </w:r>
      <w:r w:rsidR="00702D77">
        <w:rPr>
          <w:rFonts w:eastAsia="Calibri"/>
          <w:szCs w:val="22"/>
        </w:rPr>
        <w:t>4.8</w:t>
      </w:r>
      <w:r>
        <w:rPr>
          <w:rFonts w:eastAsia="Calibri"/>
          <w:szCs w:val="22"/>
        </w:rPr>
        <w:t>]</w:t>
      </w:r>
      <w:r>
        <w:t xml:space="preserve"> </w:t>
      </w:r>
      <w:r w:rsidR="00535FE8">
        <w:rPr>
          <w:rFonts w:eastAsia="Calibri"/>
          <w:szCs w:val="22"/>
        </w:rPr>
        <w:t>Tiesa, taisot spriedumu, ir pārkāpusi Krimināllikuma 5.pantu, jo spriedumā nav norādīta</w:t>
      </w:r>
      <w:r w:rsidR="00567645">
        <w:rPr>
          <w:rFonts w:eastAsia="Calibri"/>
          <w:szCs w:val="22"/>
        </w:rPr>
        <w:t xml:space="preserve"> likuma redakcija, pēc kuras </w:t>
      </w:r>
      <w:r w:rsidR="005355B2">
        <w:rPr>
          <w:rFonts w:eastAsia="Calibri"/>
          <w:szCs w:val="22"/>
        </w:rPr>
        <w:t>[pers. A]</w:t>
      </w:r>
      <w:r w:rsidRPr="00AC7F3E">
        <w:rPr>
          <w:rFonts w:eastAsia="Calibri"/>
          <w:szCs w:val="22"/>
        </w:rPr>
        <w:t xml:space="preserve"> ir notiesāts. </w:t>
      </w:r>
      <w:r w:rsidR="005355B2">
        <w:rPr>
          <w:rFonts w:eastAsia="Calibri"/>
          <w:szCs w:val="22"/>
        </w:rPr>
        <w:t>[Pers. A]</w:t>
      </w:r>
      <w:r w:rsidR="00535FE8">
        <w:rPr>
          <w:rFonts w:eastAsia="Calibri"/>
          <w:szCs w:val="22"/>
        </w:rPr>
        <w:t xml:space="preserve"> uzrādīta apsūdzība par nodarījumu laika periodā</w:t>
      </w:r>
      <w:r w:rsidRPr="00AC7F3E">
        <w:rPr>
          <w:rFonts w:eastAsia="Calibri"/>
          <w:szCs w:val="22"/>
        </w:rPr>
        <w:t xml:space="preserve"> no 2010.gada, šajā laikā ir izdarīti ievērojami grozījumi gan Krimināllikuma 218.pantā, gan Krimināllikuma Vispārīgajā daļā. Apsūdzība un tiesa nav norādījusi un nav vērtē</w:t>
      </w:r>
      <w:r w:rsidR="00535FE8">
        <w:rPr>
          <w:rFonts w:eastAsia="Calibri"/>
          <w:szCs w:val="22"/>
        </w:rPr>
        <w:t xml:space="preserve">jusi šo </w:t>
      </w:r>
      <w:r w:rsidR="00923756">
        <w:rPr>
          <w:rFonts w:eastAsia="Calibri"/>
          <w:szCs w:val="22"/>
        </w:rPr>
        <w:t xml:space="preserve">likuma </w:t>
      </w:r>
      <w:r w:rsidR="00535FE8">
        <w:rPr>
          <w:rFonts w:eastAsia="Calibri"/>
          <w:szCs w:val="22"/>
        </w:rPr>
        <w:t>grozījumu ietekmi.</w:t>
      </w:r>
    </w:p>
    <w:p w14:paraId="0871B7A4" w14:textId="7C5CF58E" w:rsidR="00AC7F3E" w:rsidRDefault="00923756" w:rsidP="0036361F">
      <w:pPr>
        <w:spacing w:line="276" w:lineRule="auto"/>
        <w:ind w:firstLine="720"/>
        <w:jc w:val="both"/>
        <w:rPr>
          <w:rFonts w:eastAsia="Calibri"/>
          <w:szCs w:val="22"/>
        </w:rPr>
      </w:pPr>
      <w:r>
        <w:rPr>
          <w:rFonts w:eastAsia="Calibri"/>
          <w:szCs w:val="22"/>
        </w:rPr>
        <w:t xml:space="preserve"> </w:t>
      </w:r>
      <w:r w:rsidR="00702D77">
        <w:rPr>
          <w:rFonts w:eastAsia="Calibri"/>
          <w:szCs w:val="22"/>
        </w:rPr>
        <w:t>[4.9</w:t>
      </w:r>
      <w:r w:rsidR="00AC7F3E">
        <w:rPr>
          <w:rFonts w:eastAsia="Calibri"/>
          <w:szCs w:val="22"/>
        </w:rPr>
        <w:t xml:space="preserve">] </w:t>
      </w:r>
      <w:r w:rsidR="00AC7F3E" w:rsidRPr="00AC7F3E">
        <w:rPr>
          <w:rFonts w:eastAsia="Calibri"/>
          <w:szCs w:val="22"/>
        </w:rPr>
        <w:t>Ievērojot izklāstītos argumentus,</w:t>
      </w:r>
      <w:r w:rsidR="00E20F2B">
        <w:rPr>
          <w:rFonts w:eastAsia="Calibri"/>
          <w:szCs w:val="22"/>
        </w:rPr>
        <w:t xml:space="preserve"> secināms, ka</w:t>
      </w:r>
      <w:r w:rsidR="00567645">
        <w:rPr>
          <w:rFonts w:eastAsia="Calibri"/>
          <w:szCs w:val="22"/>
        </w:rPr>
        <w:t xml:space="preserve"> </w:t>
      </w:r>
      <w:r w:rsidR="005355B2">
        <w:rPr>
          <w:rFonts w:eastAsia="Calibri"/>
          <w:szCs w:val="22"/>
        </w:rPr>
        <w:t>[pers. A]</w:t>
      </w:r>
      <w:r w:rsidR="00AC7F3E" w:rsidRPr="00AC7F3E">
        <w:rPr>
          <w:rFonts w:eastAsia="Calibri"/>
          <w:szCs w:val="22"/>
        </w:rPr>
        <w:t xml:space="preserve"> darbībās nav Krimināllikuma 218.pantā paredzētā noziedzīgā nodarījuma sastāva un jebkura cita no</w:t>
      </w:r>
      <w:r w:rsidR="00E20F2B">
        <w:rPr>
          <w:rFonts w:eastAsia="Calibri"/>
          <w:szCs w:val="22"/>
        </w:rPr>
        <w:t>ziedzīgā nodarījuma sastāva, kas</w:t>
      </w:r>
      <w:r w:rsidR="00AC7F3E" w:rsidRPr="00AC7F3E">
        <w:rPr>
          <w:rFonts w:eastAsia="Calibri"/>
          <w:szCs w:val="22"/>
        </w:rPr>
        <w:t xml:space="preserve"> ir Kriminālprocesa likuma 377.panta 2.punktā paredzētais kriminālprocesu</w:t>
      </w:r>
      <w:r w:rsidR="00E20F2B">
        <w:rPr>
          <w:rFonts w:eastAsia="Calibri"/>
          <w:szCs w:val="22"/>
        </w:rPr>
        <w:t xml:space="preserve"> nepieļaujošais apstāklis un</w:t>
      </w:r>
      <w:r w:rsidR="00AC7F3E" w:rsidRPr="00AC7F3E">
        <w:rPr>
          <w:rFonts w:eastAsia="Calibri"/>
          <w:szCs w:val="22"/>
        </w:rPr>
        <w:t xml:space="preserve"> pamats kriminālprocesa izbeigšanai.</w:t>
      </w:r>
    </w:p>
    <w:p w14:paraId="703DCD93" w14:textId="77777777" w:rsidR="002811B0" w:rsidRDefault="002811B0" w:rsidP="00FD1BE9">
      <w:pPr>
        <w:spacing w:line="276" w:lineRule="auto"/>
        <w:jc w:val="center"/>
        <w:rPr>
          <w:rFonts w:eastAsia="Calibri"/>
          <w:szCs w:val="22"/>
        </w:rPr>
      </w:pPr>
    </w:p>
    <w:p w14:paraId="3129891D" w14:textId="77777777" w:rsidR="00FD1BE9" w:rsidRDefault="00FD1BE9" w:rsidP="00FD1BE9">
      <w:pPr>
        <w:spacing w:line="276" w:lineRule="auto"/>
        <w:jc w:val="center"/>
        <w:rPr>
          <w:rFonts w:eastAsia="Calibri"/>
          <w:b/>
          <w:szCs w:val="22"/>
        </w:rPr>
      </w:pPr>
      <w:r w:rsidRPr="00FD1BE9">
        <w:rPr>
          <w:rFonts w:eastAsia="Calibri"/>
          <w:b/>
          <w:szCs w:val="22"/>
        </w:rPr>
        <w:t>Motīvu daļa</w:t>
      </w:r>
    </w:p>
    <w:p w14:paraId="4CFBCE1A" w14:textId="42D0B258" w:rsidR="001800AD" w:rsidRPr="007207F6" w:rsidRDefault="00F27021" w:rsidP="001800AD">
      <w:pPr>
        <w:spacing w:before="240" w:line="276" w:lineRule="auto"/>
        <w:ind w:firstLine="709"/>
        <w:jc w:val="both"/>
      </w:pPr>
      <w:r>
        <w:t>[5</w:t>
      </w:r>
      <w:r w:rsidR="001800AD" w:rsidRPr="007207F6">
        <w:t xml:space="preserve">] </w:t>
      </w:r>
      <w:r w:rsidR="00702D77" w:rsidRPr="00344E30">
        <w:t xml:space="preserve">Senāts atzīst, ka </w:t>
      </w:r>
      <w:r w:rsidR="00702D77">
        <w:t>Kurzemes apgabaltiesas 2019</w:t>
      </w:r>
      <w:r w:rsidR="00702D77" w:rsidRPr="00344E30">
        <w:t xml:space="preserve">.gada </w:t>
      </w:r>
      <w:r w:rsidR="00702D77">
        <w:t>2.maija</w:t>
      </w:r>
      <w:r w:rsidR="00702D77" w:rsidRPr="00344E30">
        <w:t xml:space="preserve"> </w:t>
      </w:r>
      <w:r w:rsidR="00702D77">
        <w:t>spriedums</w:t>
      </w:r>
      <w:r w:rsidR="00702D77" w:rsidRPr="00344E30">
        <w:t xml:space="preserve"> ir atceļams pilnībā un lieta nosūtāma jaunai izskatīšanai </w:t>
      </w:r>
      <w:r w:rsidR="00702D77">
        <w:t>Kurzemes apgabaltiesā</w:t>
      </w:r>
      <w:r w:rsidR="00702D77" w:rsidRPr="00344E30">
        <w:t>.</w:t>
      </w:r>
    </w:p>
    <w:p w14:paraId="51F8A54F" w14:textId="2659F39A" w:rsidR="00702D77" w:rsidRPr="00344E30" w:rsidRDefault="00F27021" w:rsidP="00702D77">
      <w:pPr>
        <w:spacing w:line="276" w:lineRule="auto"/>
        <w:ind w:firstLine="709"/>
        <w:jc w:val="both"/>
        <w:rPr>
          <w:rFonts w:eastAsiaTheme="minorHAnsi"/>
        </w:rPr>
      </w:pPr>
      <w:r>
        <w:t>[5</w:t>
      </w:r>
      <w:r w:rsidR="00647A64">
        <w:t>.1</w:t>
      </w:r>
      <w:r w:rsidR="00702D77">
        <w:t>]</w:t>
      </w:r>
      <w:r w:rsidR="004A2AB3" w:rsidRPr="004A2AB3">
        <w:t xml:space="preserve"> </w:t>
      </w:r>
      <w:r w:rsidR="00702D77" w:rsidRPr="00344E30">
        <w:rPr>
          <w:rFonts w:eastAsiaTheme="minorHAnsi"/>
        </w:rPr>
        <w:t>Kriminālprocesa likuma 511.panta otrā daļa noteic, ka spriedumam jābūt tiesiskam un pamatotam. Spriedums ir tiesisks un pamatots, ja tas atbilst Kriminālprocesa likuma 512.panta prasībām.</w:t>
      </w:r>
    </w:p>
    <w:p w14:paraId="18406A17" w14:textId="77777777" w:rsidR="00702D77" w:rsidRDefault="00702D77" w:rsidP="00702D77">
      <w:pPr>
        <w:spacing w:line="276" w:lineRule="auto"/>
        <w:ind w:firstLine="709"/>
        <w:jc w:val="both"/>
        <w:rPr>
          <w:rFonts w:eastAsiaTheme="minorHAnsi"/>
        </w:rPr>
      </w:pPr>
      <w:r w:rsidRPr="00344E30">
        <w:rPr>
          <w:rFonts w:eastAsiaTheme="minorHAnsi"/>
        </w:rPr>
        <w:t>Saskaņā ar Kriminālprocesa likuma 512.panta pirmo daļu tiesa, taisot spriedumu, pamatojas uz materiālo un procesuālo tiesību normām.</w:t>
      </w:r>
    </w:p>
    <w:p w14:paraId="7D39A694" w14:textId="2F1E58A5" w:rsidR="00702D77" w:rsidRDefault="00702D77" w:rsidP="00702D77">
      <w:pPr>
        <w:spacing w:line="276" w:lineRule="auto"/>
        <w:ind w:firstLine="709"/>
        <w:jc w:val="both"/>
        <w:rPr>
          <w:rFonts w:eastAsiaTheme="minorHAnsi"/>
        </w:rPr>
      </w:pPr>
      <w:r w:rsidRPr="00344E30">
        <w:rPr>
          <w:rFonts w:eastAsiaTheme="minorHAnsi"/>
        </w:rPr>
        <w:t>Norādītās prasības attiecas arī uz apelācijas instances tiesas nolēmumiem.</w:t>
      </w:r>
      <w:r w:rsidRPr="00702D77">
        <w:rPr>
          <w:rFonts w:eastAsiaTheme="minorHAnsi"/>
        </w:rPr>
        <w:t xml:space="preserve"> </w:t>
      </w:r>
    </w:p>
    <w:p w14:paraId="17B7B07C" w14:textId="27B87E71" w:rsidR="004A2AB3" w:rsidRPr="00702D77" w:rsidRDefault="00702D77" w:rsidP="00702D77">
      <w:pPr>
        <w:spacing w:line="276" w:lineRule="auto"/>
        <w:ind w:firstLine="709"/>
        <w:jc w:val="both"/>
        <w:rPr>
          <w:rFonts w:eastAsiaTheme="minorHAnsi"/>
        </w:rPr>
      </w:pPr>
      <w:r w:rsidRPr="00344E30">
        <w:rPr>
          <w:rFonts w:eastAsiaTheme="minorHAnsi"/>
        </w:rPr>
        <w:t>Senāts atzīst, ka apelācijas instances tiesa, iztiesājot krimināllietu, minētās tiesību normas nav ievērojusi.</w:t>
      </w:r>
    </w:p>
    <w:p w14:paraId="3477600B" w14:textId="18E0D495" w:rsidR="000F7995" w:rsidRDefault="00F27021" w:rsidP="000F7995">
      <w:pPr>
        <w:autoSpaceDE w:val="0"/>
        <w:autoSpaceDN w:val="0"/>
        <w:adjustRightInd w:val="0"/>
        <w:spacing w:line="276" w:lineRule="auto"/>
        <w:ind w:firstLine="720"/>
        <w:jc w:val="both"/>
      </w:pPr>
      <w:r>
        <w:t>[5</w:t>
      </w:r>
      <w:r w:rsidR="004A2AB3">
        <w:t>.2]</w:t>
      </w:r>
      <w:r w:rsidR="005C3CDE">
        <w:t xml:space="preserve"> Atbilstoši Kriminālprocesa likuma 23.pantā noteiktajam tiesas spriešana izpaužas tiesas sēdēs izskatot un izlemjot pret personu celto apsūdzību pamatotību, attaisnojot nevainīgas personas vai arī atzīstot personas par vainīgām noziedzīga nodarījuma izdarīšanā un nosakot</w:t>
      </w:r>
      <w:r w:rsidR="0009230B">
        <w:t xml:space="preserve"> valsts institūcijām un personām obligāti izpildāmu krimināltiesisko attiecību noregulējumu.</w:t>
      </w:r>
    </w:p>
    <w:p w14:paraId="6D2953FA" w14:textId="16D7C5EF" w:rsidR="004E23C5" w:rsidRDefault="004E23C5" w:rsidP="000F7995">
      <w:pPr>
        <w:autoSpaceDE w:val="0"/>
        <w:autoSpaceDN w:val="0"/>
        <w:adjustRightInd w:val="0"/>
        <w:spacing w:line="276" w:lineRule="auto"/>
        <w:ind w:firstLine="720"/>
        <w:jc w:val="both"/>
      </w:pPr>
      <w:r>
        <w:t>No minētās tiesību normas izriet, ka krimināllietas iztiesāšana izpaužas izskatot</w:t>
      </w:r>
      <w:r w:rsidR="000704EA">
        <w:t xml:space="preserve"> un </w:t>
      </w:r>
      <w:r>
        <w:t>izlemjot konkrētu,</w:t>
      </w:r>
      <w:r w:rsidR="00824F8C">
        <w:t xml:space="preserve"> pret apsūdzēto</w:t>
      </w:r>
      <w:r>
        <w:t xml:space="preserve"> celtu</w:t>
      </w:r>
      <w:r w:rsidR="00824F8C">
        <w:t>,</w:t>
      </w:r>
      <w:r>
        <w:t xml:space="preserve"> apsūdzību, kas tiek uzturēta tiesā. Atbilstoši </w:t>
      </w:r>
      <w:r w:rsidR="000704EA">
        <w:t>Kriminālprocesa likuma 17.pantā noteiktajam apsūdzības, aizstāvības un tiesas spriešanas funkcijas kriminālprocesā ir nodalītas. Savukārt saskaņā ar Kriminālprocesa likuma 36.panta pirmo daļu valsts apsūdzības uzturēšanu realizē prokurors.</w:t>
      </w:r>
    </w:p>
    <w:p w14:paraId="086D4435" w14:textId="3E333ED8" w:rsidR="00824F8C" w:rsidRDefault="00824F8C" w:rsidP="000F7995">
      <w:pPr>
        <w:autoSpaceDE w:val="0"/>
        <w:autoSpaceDN w:val="0"/>
        <w:adjustRightInd w:val="0"/>
        <w:spacing w:line="276" w:lineRule="auto"/>
        <w:ind w:firstLine="720"/>
        <w:jc w:val="both"/>
      </w:pPr>
      <w:r>
        <w:t>Nosacījums, ka tiesa izskata un izlemj pret apsūdzēto celtu apsūdzību, ir saistāms arī ar Kriminālprocesa likuma 20.panta pirmajā daļā noteiktajām personas tiesībām uz aizstāv</w:t>
      </w:r>
      <w:r w:rsidR="003B56FF">
        <w:t>ību, kas ietver</w:t>
      </w:r>
      <w:r>
        <w:t xml:space="preserve"> tiesības zināt, kāda nodarījuma izdarīšanā to apsūdz, un izvēlēties savu aizstāvības pozīciju.  </w:t>
      </w:r>
    </w:p>
    <w:p w14:paraId="103F4B25" w14:textId="4AD1938D" w:rsidR="00AA69DA" w:rsidRDefault="00647A64" w:rsidP="000F7995">
      <w:pPr>
        <w:spacing w:line="276" w:lineRule="auto"/>
        <w:ind w:firstLine="709"/>
        <w:jc w:val="both"/>
      </w:pPr>
      <w:r>
        <w:t>[4.3</w:t>
      </w:r>
      <w:r w:rsidR="000620B9">
        <w:t xml:space="preserve">] </w:t>
      </w:r>
      <w:r w:rsidR="00F70CC7">
        <w:t>No krimināllietas materiāliem redzams, ka apelācijas instances tiesā prokurors iesniedza</w:t>
      </w:r>
      <w:r w:rsidR="003B56FF">
        <w:t xml:space="preserve"> un tiesa pieņēma 2019.gada 8.aprīlī sagatavotus apsūdzības grozījumus.</w:t>
      </w:r>
    </w:p>
    <w:p w14:paraId="62C215F7" w14:textId="1E78F0A5" w:rsidR="003B56FF" w:rsidRDefault="003B56FF" w:rsidP="000F7995">
      <w:pPr>
        <w:spacing w:line="276" w:lineRule="auto"/>
        <w:ind w:firstLine="709"/>
        <w:jc w:val="both"/>
      </w:pPr>
      <w:r>
        <w:t>No apelācijas instances tiesas 2019.gada 30.aprīļa tiesas sēdes protokola izriet, ka minētie apsūdzības groz</w:t>
      </w:r>
      <w:r w:rsidR="00BE3DB7">
        <w:t>ījumi tika izsniegti</w:t>
      </w:r>
      <w:r>
        <w:t xml:space="preserve"> arī apsūdzētajam </w:t>
      </w:r>
      <w:r w:rsidR="005355B2">
        <w:t>[pers. A]</w:t>
      </w:r>
      <w:r>
        <w:t xml:space="preserve"> un viņa aizstāvim. Turklāt no minētā tiesas sēdes protokola redzams, ka </w:t>
      </w:r>
      <w:r w:rsidR="004C0441">
        <w:t xml:space="preserve">prokurors ir uzturējis grozīto apsūdzību un papildus izskaidrojis tās saturu apsūdzētajam, savukārt tiesa ir noskaidrojusi </w:t>
      </w:r>
      <w:r w:rsidR="005355B2">
        <w:t>[pers. A]</w:t>
      </w:r>
      <w:r>
        <w:t xml:space="preserve"> attieksmi pret </w:t>
      </w:r>
      <w:r>
        <w:lastRenderedPageBreak/>
        <w:t>grozīto apsūdzību un piedāvājusi viņam iespēju sniegt liecības saistīb</w:t>
      </w:r>
      <w:r w:rsidR="004C0441">
        <w:t>ā ar to</w:t>
      </w:r>
      <w:r>
        <w:t>. Tiesas sēdē nav pieņemts lēmums par grozītās apsūdzības nepieņemšanu vai neizskatī</w:t>
      </w:r>
      <w:r w:rsidR="004C0441">
        <w:t>šanu.</w:t>
      </w:r>
    </w:p>
    <w:p w14:paraId="5DA25331" w14:textId="0BADC73C" w:rsidR="004C0441" w:rsidRDefault="004C0441" w:rsidP="000F7995">
      <w:pPr>
        <w:spacing w:line="276" w:lineRule="auto"/>
        <w:ind w:firstLine="709"/>
        <w:jc w:val="both"/>
      </w:pPr>
      <w:r>
        <w:t>No izklāstītajiem apstākļiem secināms, ka apelācijas instances ties</w:t>
      </w:r>
      <w:r w:rsidR="00BE3DB7">
        <w:t>ā prokurors uzturēja</w:t>
      </w:r>
      <w:r>
        <w:t xml:space="preserve"> grozīt</w:t>
      </w:r>
      <w:r w:rsidR="00BE3DB7">
        <w:t>o</w:t>
      </w:r>
      <w:r>
        <w:t xml:space="preserve"> apsūdz</w:t>
      </w:r>
      <w:r w:rsidR="00BE3DB7">
        <w:t>ību</w:t>
      </w:r>
      <w:r>
        <w:t>, kas saskaņā ar Kriminālprocesa likuma 23.pantu bija izskatāma un izlemjama tiesā</w:t>
      </w:r>
      <w:r w:rsidR="00BE3DB7">
        <w:t xml:space="preserve">, un </w:t>
      </w:r>
      <w:r>
        <w:t>pret kuru</w:t>
      </w:r>
      <w:r w:rsidR="00BE3DB7">
        <w:t xml:space="preserve"> </w:t>
      </w:r>
      <w:r w:rsidR="005355B2">
        <w:t>[pers. A]</w:t>
      </w:r>
      <w:r w:rsidR="00BE3DB7">
        <w:t xml:space="preserve"> varēja aizstāvēties, realizējot savas tiesības uz aizstāvību.</w:t>
      </w:r>
      <w:r>
        <w:t xml:space="preserve"> </w:t>
      </w:r>
    </w:p>
    <w:p w14:paraId="0D938D91" w14:textId="451FAAE9" w:rsidR="00823D2F" w:rsidRDefault="00647A64" w:rsidP="002A639D">
      <w:pPr>
        <w:spacing w:line="276" w:lineRule="auto"/>
        <w:ind w:firstLine="709"/>
        <w:jc w:val="both"/>
      </w:pPr>
      <w:r>
        <w:t>[4.4</w:t>
      </w:r>
      <w:r w:rsidR="00E42A0C">
        <w:t xml:space="preserve">] </w:t>
      </w:r>
      <w:r w:rsidR="00BE3DB7">
        <w:t>Kā izriet no apelācijas instances tiesas sprieduma, apelācijas instances tiesa nav</w:t>
      </w:r>
      <w:r w:rsidR="00757937">
        <w:t xml:space="preserve"> izlēmusi prokurora uzturēto </w:t>
      </w:r>
      <w:r w:rsidR="005355B2">
        <w:t>[pers. A]</w:t>
      </w:r>
      <w:r w:rsidR="00BE3DB7">
        <w:t xml:space="preserve"> celto grozīto apsūdzību.</w:t>
      </w:r>
    </w:p>
    <w:p w14:paraId="0E0027F6" w14:textId="1CE77272" w:rsidR="00BE3DB7" w:rsidRDefault="00BE3DB7" w:rsidP="002A639D">
      <w:pPr>
        <w:spacing w:line="276" w:lineRule="auto"/>
        <w:ind w:firstLine="709"/>
        <w:jc w:val="both"/>
      </w:pPr>
      <w:r>
        <w:t>Apelācij</w:t>
      </w:r>
      <w:r w:rsidR="00690B4C">
        <w:t xml:space="preserve">as instances tiesa konstatējusi, ka prokurors, grozot apsūdzību, norādījis, ka noziedzīgā nodarījuma faktiskie apstākļi nemainās, bet tiek detalizētāk norādītas valsts budžetā maksājamās summas, kas kopumā nemaina apsūdzības būtību un kvalifikāciju. </w:t>
      </w:r>
      <w:r w:rsidR="00653C42">
        <w:t>Pamatojoties uz konstatēto, t</w:t>
      </w:r>
      <w:r w:rsidR="002F5A94">
        <w:t>iesa atzinusi, ka „</w:t>
      </w:r>
      <w:r w:rsidR="00690B4C">
        <w:t>šāds apsūdzības grozīšanas pamatojums Kriminālprocesa likuma normās nav atrodams, bet pēc apsūdzības u</w:t>
      </w:r>
      <w:r w:rsidR="002F5A94">
        <w:t>zturētāja vēlēšanās apsūdzības „detalizēšanu” jeb „</w:t>
      </w:r>
      <w:r w:rsidR="00690B4C">
        <w:t xml:space="preserve">precizēšanu” nevar atzīt par likumam atbilstošu, jo šādi jēdzieni likumā nav reglamentēti. Līdz ar to apelācijas instances tiesa secina, ka pierādījumi vērtējami ar pirmās instances tiesas spriedumu konstatētās apsūdzības apjomā.” </w:t>
      </w:r>
    </w:p>
    <w:p w14:paraId="2FE25EED" w14:textId="7F372AA3" w:rsidR="00C45E7A" w:rsidRDefault="00C45E7A" w:rsidP="002A639D">
      <w:pPr>
        <w:spacing w:line="276" w:lineRule="auto"/>
        <w:ind w:firstLine="709"/>
        <w:jc w:val="both"/>
      </w:pPr>
      <w:r>
        <w:t>Tādējādi apelācijas instances tiesa, pārkāpjot Kriminālprocesa likuma 23.pantā noteikto, ir izlēmusi nevis prokurora uzturēto apsūdzību, kura tika pieņemta izskatīšanai apelācijas instance</w:t>
      </w:r>
      <w:r w:rsidR="002F5A94">
        <w:t>s tiesā, bet pēc savas izvēles</w:t>
      </w:r>
      <w:r>
        <w:t xml:space="preserve"> pirmās instances tiesā uzturēto apsūdzību apjomā, kuru par pierādītu atzinusi pirmās instances tiesa. </w:t>
      </w:r>
    </w:p>
    <w:p w14:paraId="1313D564" w14:textId="162E27BC" w:rsidR="00B92D43" w:rsidRDefault="00B92D43" w:rsidP="002A639D">
      <w:pPr>
        <w:spacing w:line="276" w:lineRule="auto"/>
        <w:ind w:firstLine="709"/>
        <w:jc w:val="both"/>
      </w:pPr>
      <w:r>
        <w:t>Turklāt no apelācijas instances tiesas</w:t>
      </w:r>
      <w:r w:rsidR="00FC24CF">
        <w:t xml:space="preserve"> sēdes</w:t>
      </w:r>
      <w:r>
        <w:t xml:space="preserve"> protokola izriet, ka </w:t>
      </w:r>
      <w:r w:rsidR="005355B2">
        <w:t>[pers. A]</w:t>
      </w:r>
      <w:r>
        <w:t xml:space="preserve"> un viņa aizstāvis </w:t>
      </w:r>
      <w:r w:rsidR="005355B2">
        <w:t>[pers. A]</w:t>
      </w:r>
      <w:r>
        <w:t xml:space="preserve"> aizstāvību īstenojuši pret grozīto apsūdzību nevis pirmās instances tiesas</w:t>
      </w:r>
      <w:r w:rsidR="00FC24CF">
        <w:t xml:space="preserve"> spriedumā izklāstītiem par pierādītiem atzītiem noziedzīgā nodarījuma faktiskajiem apstākļiem. </w:t>
      </w:r>
    </w:p>
    <w:p w14:paraId="74B5EFD4" w14:textId="1B50A7E8" w:rsidR="00B92D43" w:rsidRDefault="00B92D43" w:rsidP="002A639D">
      <w:pPr>
        <w:spacing w:line="276" w:lineRule="auto"/>
        <w:ind w:firstLine="709"/>
        <w:jc w:val="both"/>
      </w:pPr>
      <w:r>
        <w:t xml:space="preserve">Senāts atzīst, ka tādējādi ir pārkāptas apsūdzētā </w:t>
      </w:r>
      <w:r w:rsidR="005355B2">
        <w:t>[pers. A]</w:t>
      </w:r>
      <w:r w:rsidR="00FC24CF">
        <w:t xml:space="preserve"> Kriminālprocesa likuma 20.panta pirmajā daļā</w:t>
      </w:r>
      <w:r>
        <w:t xml:space="preserve"> n</w:t>
      </w:r>
      <w:r w:rsidR="00FC24CF">
        <w:t>oteiktās tiesības uz aizstāvību, jo realizējot tiesības uz aizstāvību, viņam bijusi zināma apsūdzība, kas tiek izskatīta tiesas sēdē un tiks izlemta tiesas spriedumā.</w:t>
      </w:r>
    </w:p>
    <w:p w14:paraId="7315EEB5" w14:textId="00463AAA" w:rsidR="00690B4C" w:rsidRDefault="002F5A94" w:rsidP="002A639D">
      <w:pPr>
        <w:spacing w:line="276" w:lineRule="auto"/>
        <w:ind w:firstLine="709"/>
        <w:jc w:val="both"/>
      </w:pPr>
      <w:r>
        <w:t>A</w:t>
      </w:r>
      <w:r w:rsidR="00FC24CF">
        <w:t>pelācijas instances tiesas pieļautie Kriminālprocesa likuma 23.panta un 20.panta</w:t>
      </w:r>
      <w:r w:rsidR="00505C49">
        <w:t xml:space="preserve"> pirmās daļas pārkāpumi šajā kriminālprocesā ir</w:t>
      </w:r>
      <w:r w:rsidR="005355B2">
        <w:t xml:space="preserve"> </w:t>
      </w:r>
      <w:r>
        <w:t>atzīstami par</w:t>
      </w:r>
      <w:r w:rsidR="00505C49">
        <w:t xml:space="preserve"> Kriminālprocesa likuma būtiski</w:t>
      </w:r>
      <w:r w:rsidR="007B3CDC">
        <w:t>em</w:t>
      </w:r>
      <w:r w:rsidR="00505C49">
        <w:t xml:space="preserve"> pārkāpumi</w:t>
      </w:r>
      <w:r w:rsidR="007B3CDC">
        <w:t>em</w:t>
      </w:r>
      <w:r w:rsidR="00505C49">
        <w:t xml:space="preserve"> šā likuma 575.panta trešās daļas izpratnē, kas noveduši pie nelikumīga nolēmuma. </w:t>
      </w:r>
      <w:r w:rsidR="00FC24CF">
        <w:t xml:space="preserve"> </w:t>
      </w:r>
    </w:p>
    <w:p w14:paraId="1C8B53B9" w14:textId="1FF7CEBB" w:rsidR="00EC72FB" w:rsidRDefault="00593D17" w:rsidP="000F7995">
      <w:pPr>
        <w:spacing w:line="276" w:lineRule="auto"/>
        <w:ind w:firstLine="709"/>
        <w:jc w:val="both"/>
      </w:pPr>
      <w:r>
        <w:t xml:space="preserve">[4.5] </w:t>
      </w:r>
      <w:r w:rsidR="00B92D43">
        <w:t>Turklāt</w:t>
      </w:r>
      <w:r w:rsidR="00505C49">
        <w:t xml:space="preserve"> Senāts konstatē, ka</w:t>
      </w:r>
      <w:r w:rsidR="00B92D43">
        <w:t xml:space="preserve"> apelācijas instances tiesa</w:t>
      </w:r>
      <w:r w:rsidR="00505C49">
        <w:t xml:space="preserve"> atzinumu par grozītās apsūdzības neatbilstību Kriminālprocesa likuma 461.panta pirmajā daļā un 462.pantā norādītajiem kritērijiem ir izdarījusi vērtējot prokurora paskaidrojumus par grozījumu saturu, nevis pašu grozīto apsūdzību.</w:t>
      </w:r>
    </w:p>
    <w:p w14:paraId="3E3CA32D" w14:textId="188BF9DF" w:rsidR="00A61382" w:rsidRDefault="005C1976" w:rsidP="000F7995">
      <w:pPr>
        <w:spacing w:line="276" w:lineRule="auto"/>
        <w:ind w:firstLine="709"/>
        <w:jc w:val="both"/>
      </w:pPr>
      <w:r>
        <w:t>[4.6</w:t>
      </w:r>
      <w:r w:rsidR="009449C2">
        <w:t>]</w:t>
      </w:r>
      <w:r>
        <w:t xml:space="preserve"> Ievērojot, ka apelācijas instances tiesas spriedums tiek atcelts pilnībā</w:t>
      </w:r>
      <w:r w:rsidR="00A61382">
        <w:t xml:space="preserve">, Senāts secina, ka kasācijas protesta argumenti par </w:t>
      </w:r>
      <w:r w:rsidR="005355B2">
        <w:t>[pers. A]</w:t>
      </w:r>
      <w:r w:rsidR="00A61382">
        <w:t xml:space="preserve"> nosakāmo sodu un kasācijas sūdzības argumenti par noziedzīgā nodarījuma neesību </w:t>
      </w:r>
      <w:r w:rsidR="005355B2">
        <w:t>[pers. A]</w:t>
      </w:r>
      <w:r w:rsidR="00A61382">
        <w:t xml:space="preserve"> nodarījumā nav izvērtējami, jo ir saist</w:t>
      </w:r>
      <w:r w:rsidR="000B51D1">
        <w:t>īti ar lie</w:t>
      </w:r>
      <w:r w:rsidR="00A61382">
        <w:t>tas faktisko apstākļu noskaidrošanu</w:t>
      </w:r>
      <w:r w:rsidR="007B3CDC">
        <w:t>,</w:t>
      </w:r>
      <w:r w:rsidR="00A61382">
        <w:t xml:space="preserve"> iztiesājot lietu.</w:t>
      </w:r>
    </w:p>
    <w:p w14:paraId="40642AA3" w14:textId="02E9C155" w:rsidR="00323E97" w:rsidRDefault="00A61382" w:rsidP="000F7995">
      <w:pPr>
        <w:spacing w:line="276" w:lineRule="auto"/>
        <w:ind w:firstLine="709"/>
        <w:jc w:val="both"/>
      </w:pPr>
      <w:r>
        <w:t>[4.7] Ar pirmās instances tiesas spriedumu</w:t>
      </w:r>
      <w:r w:rsidR="00323E97">
        <w:t xml:space="preserve"> apsūdzētajam</w:t>
      </w:r>
      <w:r>
        <w:t xml:space="preserve"> </w:t>
      </w:r>
      <w:r w:rsidR="005355B2">
        <w:t>[pers. A]</w:t>
      </w:r>
      <w:r>
        <w:t xml:space="preserve"> piemērotais drošības līdzeklis</w:t>
      </w:r>
      <w:r w:rsidR="00323E97">
        <w:t xml:space="preserve"> – uzturēšanās noteiktā vietā – atstāts negrozīts. </w:t>
      </w:r>
    </w:p>
    <w:p w14:paraId="2D5A79BB" w14:textId="30678D22" w:rsidR="0042629B" w:rsidRDefault="00323E97" w:rsidP="00323E97">
      <w:pPr>
        <w:spacing w:line="276" w:lineRule="auto"/>
        <w:ind w:firstLine="709"/>
        <w:jc w:val="both"/>
      </w:pPr>
      <w:r>
        <w:t xml:space="preserve">Ievērojot, ka </w:t>
      </w:r>
      <w:r w:rsidR="005355B2">
        <w:t>[pers. A]</w:t>
      </w:r>
      <w:r>
        <w:t xml:space="preserve"> ir apsūdzēts smaga noziedzīga nodarījuma izdarīšanā, viņam inkriminētā noziedzīgā nodarījuma raksturu, kā arī ņemot vērā, ka</w:t>
      </w:r>
      <w:r>
        <w:rPr>
          <w:rFonts w:eastAsiaTheme="minorHAnsi"/>
        </w:rPr>
        <w:t xml:space="preserve"> nav konstatēti jauni apstākļi, kas varētu būt par pamatu piemērotā drošības līdzekļa atcelšanai vai grozīšanai, </w:t>
      </w:r>
      <w:r w:rsidRPr="007F5556">
        <w:rPr>
          <w:rFonts w:eastAsiaTheme="minorHAnsi"/>
        </w:rPr>
        <w:t xml:space="preserve">Senāts atzīst, ka, lai veicinātu krimināltiesisko attiecību taisnīgu noregulējumu kriminālprocesā un vienlaikus nodrošinātu </w:t>
      </w:r>
      <w:r>
        <w:rPr>
          <w:rFonts w:eastAsiaTheme="minorHAnsi"/>
        </w:rPr>
        <w:t>apsūdzētajam</w:t>
      </w:r>
      <w:r w:rsidRPr="007F5556">
        <w:rPr>
          <w:rFonts w:eastAsiaTheme="minorHAnsi"/>
        </w:rPr>
        <w:t xml:space="preserve"> noteikto proces</w:t>
      </w:r>
      <w:r>
        <w:rPr>
          <w:rFonts w:eastAsiaTheme="minorHAnsi"/>
        </w:rPr>
        <w:t xml:space="preserve">uālo pienākumu izpildi, </w:t>
      </w:r>
      <w:r w:rsidR="005355B2">
        <w:rPr>
          <w:rFonts w:eastAsiaTheme="minorHAnsi"/>
        </w:rPr>
        <w:t>[pers. A]</w:t>
      </w:r>
      <w:r>
        <w:rPr>
          <w:rFonts w:eastAsiaTheme="minorHAnsi"/>
        </w:rPr>
        <w:t xml:space="preserve"> ir turpināms piemērotais drošības līdzeklis – uzturēšanās noteiktā vietā –, kas ir viens no personas tiesību mazāk ierobežojošajiem drošības līdzekļiem, tādēļ ietver ar inkriminēto noziedzīgo nodarījumu raksturu patlaban samērojamus ierobežojumus.</w:t>
      </w:r>
    </w:p>
    <w:p w14:paraId="7FA22A88" w14:textId="77777777" w:rsidR="0099100B" w:rsidRPr="00931205" w:rsidRDefault="0099100B" w:rsidP="0099100B">
      <w:pPr>
        <w:spacing w:line="276" w:lineRule="auto"/>
        <w:ind w:firstLine="709"/>
        <w:jc w:val="both"/>
      </w:pPr>
    </w:p>
    <w:p w14:paraId="26CAE6FE" w14:textId="77777777" w:rsidR="00504AAB" w:rsidRPr="00504AAB" w:rsidRDefault="00504AAB" w:rsidP="00504AAB">
      <w:pPr>
        <w:spacing w:before="120" w:after="240" w:line="276" w:lineRule="auto"/>
        <w:jc w:val="center"/>
        <w:rPr>
          <w:rFonts w:eastAsia="Calibri"/>
          <w:b/>
          <w:szCs w:val="22"/>
        </w:rPr>
      </w:pPr>
      <w:r w:rsidRPr="00504AAB">
        <w:rPr>
          <w:rFonts w:eastAsia="Calibri"/>
          <w:b/>
          <w:szCs w:val="22"/>
        </w:rPr>
        <w:t>Rezolutīvā daļa</w:t>
      </w:r>
    </w:p>
    <w:p w14:paraId="510C624F" w14:textId="69EF29D3" w:rsidR="00504AAB" w:rsidRDefault="00504AAB" w:rsidP="00504AAB">
      <w:pPr>
        <w:autoSpaceDE w:val="0"/>
        <w:autoSpaceDN w:val="0"/>
        <w:adjustRightInd w:val="0"/>
        <w:spacing w:line="276" w:lineRule="auto"/>
        <w:ind w:firstLine="709"/>
        <w:jc w:val="both"/>
        <w:rPr>
          <w:rFonts w:ascii="TimesNewRomanPSMT" w:eastAsia="Calibri" w:hAnsi="TimesNewRomanPSMT" w:cs="TimesNewRomanPSMT"/>
          <w:szCs w:val="22"/>
        </w:rPr>
      </w:pPr>
      <w:r w:rsidRPr="00504AAB">
        <w:rPr>
          <w:rFonts w:ascii="TimesNewRomanPSMT" w:eastAsia="Calibri" w:hAnsi="TimesNewRomanPSMT" w:cs="TimesNewRomanPSMT"/>
          <w:szCs w:val="22"/>
        </w:rPr>
        <w:t>Pamatojoties uz Kriminālprocesa likum</w:t>
      </w:r>
      <w:r w:rsidR="008C1A9A">
        <w:rPr>
          <w:rFonts w:ascii="TimesNewRomanPSMT" w:eastAsia="Calibri" w:hAnsi="TimesNewRomanPSMT" w:cs="TimesNewRomanPSMT"/>
          <w:szCs w:val="22"/>
        </w:rPr>
        <w:t xml:space="preserve">a 585. un </w:t>
      </w:r>
      <w:r w:rsidR="002A4038">
        <w:rPr>
          <w:rFonts w:ascii="TimesNewRomanPSMT" w:eastAsia="Calibri" w:hAnsi="TimesNewRomanPSMT" w:cs="TimesNewRomanPSMT"/>
          <w:szCs w:val="22"/>
        </w:rPr>
        <w:t>587.</w:t>
      </w:r>
      <w:r w:rsidRPr="00504AAB">
        <w:rPr>
          <w:rFonts w:ascii="TimesNewRomanPSMT" w:eastAsia="Calibri" w:hAnsi="TimesNewRomanPSMT" w:cs="TimesNewRomanPSMT"/>
          <w:szCs w:val="22"/>
        </w:rPr>
        <w:t>pantu, tiesa</w:t>
      </w:r>
    </w:p>
    <w:p w14:paraId="63C59384" w14:textId="77777777" w:rsidR="00931205" w:rsidRPr="00504AAB" w:rsidRDefault="00931205" w:rsidP="00504AAB">
      <w:pPr>
        <w:autoSpaceDE w:val="0"/>
        <w:autoSpaceDN w:val="0"/>
        <w:adjustRightInd w:val="0"/>
        <w:spacing w:line="276" w:lineRule="auto"/>
        <w:ind w:firstLine="709"/>
        <w:jc w:val="both"/>
        <w:rPr>
          <w:rFonts w:ascii="TimesNewRomanPSMT" w:eastAsia="Calibri" w:hAnsi="TimesNewRomanPSMT" w:cs="TimesNewRomanPSMT"/>
          <w:szCs w:val="22"/>
        </w:rPr>
      </w:pPr>
    </w:p>
    <w:p w14:paraId="67A7A784" w14:textId="54361CD5" w:rsidR="00323E97" w:rsidRPr="00323E97" w:rsidRDefault="00504AAB" w:rsidP="00323E97">
      <w:pPr>
        <w:spacing w:line="276" w:lineRule="auto"/>
        <w:jc w:val="center"/>
        <w:rPr>
          <w:rFonts w:eastAsia="Calibri"/>
          <w:b/>
          <w:szCs w:val="22"/>
        </w:rPr>
      </w:pPr>
      <w:r w:rsidRPr="003E1D42">
        <w:rPr>
          <w:rFonts w:eastAsia="Calibri"/>
          <w:b/>
          <w:szCs w:val="22"/>
        </w:rPr>
        <w:t>nolēma:</w:t>
      </w:r>
      <w:r w:rsidR="00323E97" w:rsidRPr="00323E97">
        <w:rPr>
          <w:rFonts w:ascii="Times New Roman Bold" w:eastAsia="Calibri" w:hAnsi="Times New Roman Bold"/>
          <w:szCs w:val="22"/>
        </w:rPr>
        <w:t xml:space="preserve"> </w:t>
      </w:r>
    </w:p>
    <w:p w14:paraId="547FD53B" w14:textId="77777777" w:rsidR="00BA08F2" w:rsidRPr="00504AAB" w:rsidRDefault="00BA08F2" w:rsidP="00BA08F2">
      <w:pPr>
        <w:spacing w:line="276" w:lineRule="auto"/>
        <w:jc w:val="both"/>
        <w:rPr>
          <w:rFonts w:eastAsiaTheme="minorHAnsi"/>
          <w:szCs w:val="22"/>
        </w:rPr>
      </w:pPr>
    </w:p>
    <w:p w14:paraId="3AFD0885" w14:textId="77777777" w:rsidR="00323E97" w:rsidRDefault="00323E97" w:rsidP="00E81494">
      <w:pPr>
        <w:spacing w:line="276" w:lineRule="auto"/>
        <w:jc w:val="center"/>
      </w:pPr>
    </w:p>
    <w:p w14:paraId="183CBACC" w14:textId="5CA85F44" w:rsidR="00323E97" w:rsidRDefault="00323E97" w:rsidP="00323E97">
      <w:pPr>
        <w:spacing w:line="276" w:lineRule="auto"/>
        <w:jc w:val="both"/>
      </w:pPr>
      <w:r>
        <w:tab/>
        <w:t>atcelt Kurzemes apgabaltiesas 2019.gada 2.maija spriedumu pilnībā un nosūtīt lietu jaunai izs</w:t>
      </w:r>
      <w:r w:rsidR="00495CEC">
        <w:t>katīšanai Kurzemes apgabaltiesā</w:t>
      </w:r>
      <w:r>
        <w:t>.</w:t>
      </w:r>
    </w:p>
    <w:p w14:paraId="04722C83" w14:textId="193EBC68" w:rsidR="00871A8F" w:rsidRPr="00C0001A" w:rsidRDefault="00323E97" w:rsidP="00C0001A">
      <w:pPr>
        <w:spacing w:line="276" w:lineRule="auto"/>
        <w:jc w:val="both"/>
      </w:pPr>
      <w:r>
        <w:tab/>
        <w:t xml:space="preserve">Turpināt piemērot </w:t>
      </w:r>
      <w:r w:rsidR="005355B2">
        <w:t>[pers. A]</w:t>
      </w:r>
      <w:r>
        <w:t xml:space="preserve"> drošības līdzekli – uzturēšanās noteiktā vietā.</w:t>
      </w:r>
    </w:p>
    <w:sectPr w:rsidR="00871A8F" w:rsidRPr="00C0001A" w:rsidSect="00931205">
      <w:footerReference w:type="default" r:id="rId9"/>
      <w:pgSz w:w="11907" w:h="16840" w:code="9"/>
      <w:pgMar w:top="1021" w:right="1021"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B83A1" w14:textId="77777777" w:rsidR="0032426D" w:rsidRDefault="0032426D" w:rsidP="00FB7796">
      <w:r>
        <w:separator/>
      </w:r>
    </w:p>
  </w:endnote>
  <w:endnote w:type="continuationSeparator" w:id="0">
    <w:p w14:paraId="78320BB5" w14:textId="77777777" w:rsidR="0032426D" w:rsidRDefault="0032426D" w:rsidP="00FB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4996395"/>
      <w:docPartObj>
        <w:docPartGallery w:val="Page Numbers (Bottom of Page)"/>
        <w:docPartUnique/>
      </w:docPartObj>
    </w:sdtPr>
    <w:sdtEndPr/>
    <w:sdtContent>
      <w:sdt>
        <w:sdtPr>
          <w:id w:val="1728636285"/>
          <w:docPartObj>
            <w:docPartGallery w:val="Page Numbers (Top of Page)"/>
            <w:docPartUnique/>
          </w:docPartObj>
        </w:sdtPr>
        <w:sdtEndPr/>
        <w:sdtContent>
          <w:p w14:paraId="36A9FB9A" w14:textId="6DE1012C" w:rsidR="002811B0" w:rsidRPr="002811B0" w:rsidRDefault="002811B0">
            <w:pPr>
              <w:pStyle w:val="Footer"/>
              <w:jc w:val="center"/>
            </w:pPr>
            <w:r w:rsidRPr="002811B0">
              <w:rPr>
                <w:bCs/>
              </w:rPr>
              <w:fldChar w:fldCharType="begin"/>
            </w:r>
            <w:r w:rsidRPr="002811B0">
              <w:rPr>
                <w:bCs/>
              </w:rPr>
              <w:instrText xml:space="preserve"> PAGE </w:instrText>
            </w:r>
            <w:r w:rsidRPr="002811B0">
              <w:rPr>
                <w:bCs/>
              </w:rPr>
              <w:fldChar w:fldCharType="separate"/>
            </w:r>
            <w:r w:rsidR="00417B46">
              <w:rPr>
                <w:bCs/>
                <w:noProof/>
              </w:rPr>
              <w:t>6</w:t>
            </w:r>
            <w:r w:rsidRPr="002811B0">
              <w:rPr>
                <w:bCs/>
              </w:rPr>
              <w:fldChar w:fldCharType="end"/>
            </w:r>
            <w:r w:rsidRPr="002811B0">
              <w:t xml:space="preserve"> no </w:t>
            </w:r>
            <w:r w:rsidRPr="002811B0">
              <w:rPr>
                <w:bCs/>
              </w:rPr>
              <w:fldChar w:fldCharType="begin"/>
            </w:r>
            <w:r w:rsidRPr="002811B0">
              <w:rPr>
                <w:bCs/>
              </w:rPr>
              <w:instrText xml:space="preserve"> NUMPAGES  </w:instrText>
            </w:r>
            <w:r w:rsidRPr="002811B0">
              <w:rPr>
                <w:bCs/>
              </w:rPr>
              <w:fldChar w:fldCharType="separate"/>
            </w:r>
            <w:r w:rsidR="00417B46">
              <w:rPr>
                <w:bCs/>
                <w:noProof/>
              </w:rPr>
              <w:t>6</w:t>
            </w:r>
            <w:r w:rsidRPr="002811B0">
              <w:rPr>
                <w:bCs/>
              </w:rPr>
              <w:fldChar w:fldCharType="end"/>
            </w:r>
          </w:p>
        </w:sdtContent>
      </w:sdt>
    </w:sdtContent>
  </w:sdt>
  <w:p w14:paraId="21365537" w14:textId="77777777" w:rsidR="00A672FD" w:rsidRDefault="00A672FD" w:rsidP="00FB779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54CCE" w14:textId="77777777" w:rsidR="0032426D" w:rsidRDefault="0032426D" w:rsidP="00FB7796">
      <w:r>
        <w:separator/>
      </w:r>
    </w:p>
  </w:footnote>
  <w:footnote w:type="continuationSeparator" w:id="0">
    <w:p w14:paraId="527C85D3" w14:textId="77777777" w:rsidR="0032426D" w:rsidRDefault="0032426D" w:rsidP="00FB7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A1600"/>
    <w:multiLevelType w:val="hybridMultilevel"/>
    <w:tmpl w:val="6720CD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A1"/>
    <w:rsid w:val="00002DD0"/>
    <w:rsid w:val="000065AC"/>
    <w:rsid w:val="00013B31"/>
    <w:rsid w:val="00017806"/>
    <w:rsid w:val="0001797B"/>
    <w:rsid w:val="00017A78"/>
    <w:rsid w:val="0002127A"/>
    <w:rsid w:val="0002320A"/>
    <w:rsid w:val="00026385"/>
    <w:rsid w:val="000310CD"/>
    <w:rsid w:val="00035F13"/>
    <w:rsid w:val="000402AF"/>
    <w:rsid w:val="000437CB"/>
    <w:rsid w:val="00045A9A"/>
    <w:rsid w:val="00051A68"/>
    <w:rsid w:val="00053C44"/>
    <w:rsid w:val="000554FE"/>
    <w:rsid w:val="00060C70"/>
    <w:rsid w:val="000620B9"/>
    <w:rsid w:val="000625F3"/>
    <w:rsid w:val="00062C30"/>
    <w:rsid w:val="00064EC8"/>
    <w:rsid w:val="0006719A"/>
    <w:rsid w:val="000704EA"/>
    <w:rsid w:val="00071AC7"/>
    <w:rsid w:val="00073642"/>
    <w:rsid w:val="00073952"/>
    <w:rsid w:val="00074C26"/>
    <w:rsid w:val="000769AD"/>
    <w:rsid w:val="00077B38"/>
    <w:rsid w:val="00080128"/>
    <w:rsid w:val="00082AA0"/>
    <w:rsid w:val="00085C2C"/>
    <w:rsid w:val="000908EE"/>
    <w:rsid w:val="0009230B"/>
    <w:rsid w:val="0009385D"/>
    <w:rsid w:val="00094D28"/>
    <w:rsid w:val="00096BE1"/>
    <w:rsid w:val="00096D20"/>
    <w:rsid w:val="000A56B6"/>
    <w:rsid w:val="000A67C8"/>
    <w:rsid w:val="000A71C4"/>
    <w:rsid w:val="000A7DEE"/>
    <w:rsid w:val="000B1E6E"/>
    <w:rsid w:val="000B51D1"/>
    <w:rsid w:val="000B5597"/>
    <w:rsid w:val="000B5B03"/>
    <w:rsid w:val="000B5D46"/>
    <w:rsid w:val="000B6F55"/>
    <w:rsid w:val="000C2D5D"/>
    <w:rsid w:val="000C35D6"/>
    <w:rsid w:val="000D244F"/>
    <w:rsid w:val="000E2F5E"/>
    <w:rsid w:val="000E3D8C"/>
    <w:rsid w:val="000E4907"/>
    <w:rsid w:val="000E5366"/>
    <w:rsid w:val="000E6AEB"/>
    <w:rsid w:val="000F017C"/>
    <w:rsid w:val="000F4343"/>
    <w:rsid w:val="000F7995"/>
    <w:rsid w:val="00103FE0"/>
    <w:rsid w:val="00105638"/>
    <w:rsid w:val="001105FC"/>
    <w:rsid w:val="001110A2"/>
    <w:rsid w:val="0011146C"/>
    <w:rsid w:val="00111C0F"/>
    <w:rsid w:val="001120AE"/>
    <w:rsid w:val="00113823"/>
    <w:rsid w:val="00115A60"/>
    <w:rsid w:val="00116343"/>
    <w:rsid w:val="00117773"/>
    <w:rsid w:val="001236E2"/>
    <w:rsid w:val="00123974"/>
    <w:rsid w:val="001259E4"/>
    <w:rsid w:val="001333B5"/>
    <w:rsid w:val="0013369E"/>
    <w:rsid w:val="0013402F"/>
    <w:rsid w:val="001342B8"/>
    <w:rsid w:val="00137211"/>
    <w:rsid w:val="001376E1"/>
    <w:rsid w:val="001444FC"/>
    <w:rsid w:val="00146291"/>
    <w:rsid w:val="00146B10"/>
    <w:rsid w:val="0015008C"/>
    <w:rsid w:val="00150BC6"/>
    <w:rsid w:val="00156D81"/>
    <w:rsid w:val="00160ACA"/>
    <w:rsid w:val="00162C42"/>
    <w:rsid w:val="00163D7D"/>
    <w:rsid w:val="0017048A"/>
    <w:rsid w:val="00172D74"/>
    <w:rsid w:val="00174946"/>
    <w:rsid w:val="00176BAC"/>
    <w:rsid w:val="001800AD"/>
    <w:rsid w:val="00181198"/>
    <w:rsid w:val="0018225F"/>
    <w:rsid w:val="00186B5F"/>
    <w:rsid w:val="00187198"/>
    <w:rsid w:val="00187200"/>
    <w:rsid w:val="001924DC"/>
    <w:rsid w:val="0019254B"/>
    <w:rsid w:val="0019262F"/>
    <w:rsid w:val="001929E0"/>
    <w:rsid w:val="001954F5"/>
    <w:rsid w:val="001A2A5D"/>
    <w:rsid w:val="001B6C70"/>
    <w:rsid w:val="001B7E18"/>
    <w:rsid w:val="001C16A0"/>
    <w:rsid w:val="001C516A"/>
    <w:rsid w:val="001C5D65"/>
    <w:rsid w:val="001C70EB"/>
    <w:rsid w:val="001D0C82"/>
    <w:rsid w:val="001D1435"/>
    <w:rsid w:val="001D2560"/>
    <w:rsid w:val="001D3B1F"/>
    <w:rsid w:val="001D3CF0"/>
    <w:rsid w:val="001D573B"/>
    <w:rsid w:val="001D7AE9"/>
    <w:rsid w:val="001E08D8"/>
    <w:rsid w:val="001E095D"/>
    <w:rsid w:val="001E1A7F"/>
    <w:rsid w:val="001E32C0"/>
    <w:rsid w:val="001E4345"/>
    <w:rsid w:val="001E5E95"/>
    <w:rsid w:val="001E7A32"/>
    <w:rsid w:val="001F1F16"/>
    <w:rsid w:val="001F2264"/>
    <w:rsid w:val="001F6658"/>
    <w:rsid w:val="001F6D8A"/>
    <w:rsid w:val="002018E7"/>
    <w:rsid w:val="00201D9E"/>
    <w:rsid w:val="002216CF"/>
    <w:rsid w:val="00223BA9"/>
    <w:rsid w:val="00224F38"/>
    <w:rsid w:val="0022667F"/>
    <w:rsid w:val="0023201C"/>
    <w:rsid w:val="002336E4"/>
    <w:rsid w:val="00235BEA"/>
    <w:rsid w:val="00237795"/>
    <w:rsid w:val="00242B59"/>
    <w:rsid w:val="00252808"/>
    <w:rsid w:val="0026044B"/>
    <w:rsid w:val="002622FE"/>
    <w:rsid w:val="00262B2F"/>
    <w:rsid w:val="00263878"/>
    <w:rsid w:val="00265BD9"/>
    <w:rsid w:val="00271D35"/>
    <w:rsid w:val="00272AD5"/>
    <w:rsid w:val="002742CD"/>
    <w:rsid w:val="00274428"/>
    <w:rsid w:val="00277AAB"/>
    <w:rsid w:val="00280667"/>
    <w:rsid w:val="0028094D"/>
    <w:rsid w:val="002811B0"/>
    <w:rsid w:val="00282808"/>
    <w:rsid w:val="00282BE5"/>
    <w:rsid w:val="00284303"/>
    <w:rsid w:val="002924E2"/>
    <w:rsid w:val="00292907"/>
    <w:rsid w:val="00294410"/>
    <w:rsid w:val="002953E8"/>
    <w:rsid w:val="00295DB4"/>
    <w:rsid w:val="0029693D"/>
    <w:rsid w:val="002A2454"/>
    <w:rsid w:val="002A38E7"/>
    <w:rsid w:val="002A4038"/>
    <w:rsid w:val="002A4E21"/>
    <w:rsid w:val="002A639D"/>
    <w:rsid w:val="002A7152"/>
    <w:rsid w:val="002A7B52"/>
    <w:rsid w:val="002B50A7"/>
    <w:rsid w:val="002B5A8D"/>
    <w:rsid w:val="002B698C"/>
    <w:rsid w:val="002B7C28"/>
    <w:rsid w:val="002C1E7D"/>
    <w:rsid w:val="002C44BA"/>
    <w:rsid w:val="002C740A"/>
    <w:rsid w:val="002D10DE"/>
    <w:rsid w:val="002D3758"/>
    <w:rsid w:val="002D4E55"/>
    <w:rsid w:val="002E0047"/>
    <w:rsid w:val="002E756E"/>
    <w:rsid w:val="002F144D"/>
    <w:rsid w:val="002F5A94"/>
    <w:rsid w:val="002F6F3C"/>
    <w:rsid w:val="002F716C"/>
    <w:rsid w:val="00301EDC"/>
    <w:rsid w:val="00306100"/>
    <w:rsid w:val="003105C1"/>
    <w:rsid w:val="003117FF"/>
    <w:rsid w:val="00320825"/>
    <w:rsid w:val="00323E97"/>
    <w:rsid w:val="0032426D"/>
    <w:rsid w:val="003341A5"/>
    <w:rsid w:val="00335E33"/>
    <w:rsid w:val="003421A6"/>
    <w:rsid w:val="00345431"/>
    <w:rsid w:val="0035146C"/>
    <w:rsid w:val="00352938"/>
    <w:rsid w:val="0035652D"/>
    <w:rsid w:val="0036361F"/>
    <w:rsid w:val="00366003"/>
    <w:rsid w:val="00367172"/>
    <w:rsid w:val="00370124"/>
    <w:rsid w:val="00370FA4"/>
    <w:rsid w:val="00371A22"/>
    <w:rsid w:val="0037439B"/>
    <w:rsid w:val="00376170"/>
    <w:rsid w:val="00376A00"/>
    <w:rsid w:val="00377E85"/>
    <w:rsid w:val="00380A33"/>
    <w:rsid w:val="003818C1"/>
    <w:rsid w:val="00385C3E"/>
    <w:rsid w:val="003879AC"/>
    <w:rsid w:val="00387D1D"/>
    <w:rsid w:val="0039090A"/>
    <w:rsid w:val="003912D8"/>
    <w:rsid w:val="00397878"/>
    <w:rsid w:val="003A0FF1"/>
    <w:rsid w:val="003A39FF"/>
    <w:rsid w:val="003A3ABF"/>
    <w:rsid w:val="003A4BFF"/>
    <w:rsid w:val="003A6D68"/>
    <w:rsid w:val="003B56FF"/>
    <w:rsid w:val="003B6F9B"/>
    <w:rsid w:val="003B7011"/>
    <w:rsid w:val="003C1FBA"/>
    <w:rsid w:val="003D1F5D"/>
    <w:rsid w:val="003D2739"/>
    <w:rsid w:val="003E1D42"/>
    <w:rsid w:val="003F1339"/>
    <w:rsid w:val="003F1431"/>
    <w:rsid w:val="003F5DF3"/>
    <w:rsid w:val="00405E3A"/>
    <w:rsid w:val="00406315"/>
    <w:rsid w:val="004129A4"/>
    <w:rsid w:val="00412A49"/>
    <w:rsid w:val="0041351D"/>
    <w:rsid w:val="004142EE"/>
    <w:rsid w:val="00415AC9"/>
    <w:rsid w:val="0041734A"/>
    <w:rsid w:val="00417B46"/>
    <w:rsid w:val="00422D03"/>
    <w:rsid w:val="00423672"/>
    <w:rsid w:val="00423F2E"/>
    <w:rsid w:val="0042629B"/>
    <w:rsid w:val="00427A46"/>
    <w:rsid w:val="00430F3E"/>
    <w:rsid w:val="00431385"/>
    <w:rsid w:val="004313F1"/>
    <w:rsid w:val="00431598"/>
    <w:rsid w:val="00432700"/>
    <w:rsid w:val="00436B32"/>
    <w:rsid w:val="00440D3F"/>
    <w:rsid w:val="004445E9"/>
    <w:rsid w:val="0044692C"/>
    <w:rsid w:val="00447674"/>
    <w:rsid w:val="00450420"/>
    <w:rsid w:val="0045341F"/>
    <w:rsid w:val="0045448F"/>
    <w:rsid w:val="0045703E"/>
    <w:rsid w:val="00457C94"/>
    <w:rsid w:val="00467FE5"/>
    <w:rsid w:val="004736FB"/>
    <w:rsid w:val="004777CB"/>
    <w:rsid w:val="00481606"/>
    <w:rsid w:val="00484D55"/>
    <w:rsid w:val="0048699A"/>
    <w:rsid w:val="0049105E"/>
    <w:rsid w:val="00491596"/>
    <w:rsid w:val="004921F0"/>
    <w:rsid w:val="00492D91"/>
    <w:rsid w:val="004955D2"/>
    <w:rsid w:val="00495CEC"/>
    <w:rsid w:val="004A1694"/>
    <w:rsid w:val="004A2AB3"/>
    <w:rsid w:val="004A5E1C"/>
    <w:rsid w:val="004A77DD"/>
    <w:rsid w:val="004A79A2"/>
    <w:rsid w:val="004B0BC5"/>
    <w:rsid w:val="004B37CD"/>
    <w:rsid w:val="004C0441"/>
    <w:rsid w:val="004C0D89"/>
    <w:rsid w:val="004C29AB"/>
    <w:rsid w:val="004C565C"/>
    <w:rsid w:val="004C5D87"/>
    <w:rsid w:val="004D254A"/>
    <w:rsid w:val="004D5399"/>
    <w:rsid w:val="004D7357"/>
    <w:rsid w:val="004E19F8"/>
    <w:rsid w:val="004E23C5"/>
    <w:rsid w:val="004E3F30"/>
    <w:rsid w:val="004E43A7"/>
    <w:rsid w:val="004E55DF"/>
    <w:rsid w:val="004E7491"/>
    <w:rsid w:val="004F2F0A"/>
    <w:rsid w:val="004F4402"/>
    <w:rsid w:val="004F6333"/>
    <w:rsid w:val="00502299"/>
    <w:rsid w:val="00502BB5"/>
    <w:rsid w:val="0050385D"/>
    <w:rsid w:val="00504AAB"/>
    <w:rsid w:val="00505C49"/>
    <w:rsid w:val="0051008E"/>
    <w:rsid w:val="00511440"/>
    <w:rsid w:val="00513D96"/>
    <w:rsid w:val="005251A2"/>
    <w:rsid w:val="0052567E"/>
    <w:rsid w:val="005264D2"/>
    <w:rsid w:val="00527D1C"/>
    <w:rsid w:val="005347EA"/>
    <w:rsid w:val="005355B2"/>
    <w:rsid w:val="005357E5"/>
    <w:rsid w:val="00535FE8"/>
    <w:rsid w:val="005367D2"/>
    <w:rsid w:val="005411DD"/>
    <w:rsid w:val="00542F49"/>
    <w:rsid w:val="005459CF"/>
    <w:rsid w:val="00547A75"/>
    <w:rsid w:val="005541D0"/>
    <w:rsid w:val="005561F0"/>
    <w:rsid w:val="0055690C"/>
    <w:rsid w:val="00556D11"/>
    <w:rsid w:val="00557C8A"/>
    <w:rsid w:val="0056251E"/>
    <w:rsid w:val="00563B79"/>
    <w:rsid w:val="00565DD2"/>
    <w:rsid w:val="00565FBF"/>
    <w:rsid w:val="00565FE7"/>
    <w:rsid w:val="00566FBD"/>
    <w:rsid w:val="00567645"/>
    <w:rsid w:val="005708C6"/>
    <w:rsid w:val="00570C4D"/>
    <w:rsid w:val="00571C46"/>
    <w:rsid w:val="00571C61"/>
    <w:rsid w:val="005741B7"/>
    <w:rsid w:val="00574B1F"/>
    <w:rsid w:val="00577EE1"/>
    <w:rsid w:val="005860CE"/>
    <w:rsid w:val="00593D17"/>
    <w:rsid w:val="00595A02"/>
    <w:rsid w:val="005B22B9"/>
    <w:rsid w:val="005B2D9B"/>
    <w:rsid w:val="005B3BFB"/>
    <w:rsid w:val="005B4452"/>
    <w:rsid w:val="005B555D"/>
    <w:rsid w:val="005C1976"/>
    <w:rsid w:val="005C3CDE"/>
    <w:rsid w:val="005C72AF"/>
    <w:rsid w:val="005D5F4C"/>
    <w:rsid w:val="005D7A23"/>
    <w:rsid w:val="005E16A9"/>
    <w:rsid w:val="005F23BE"/>
    <w:rsid w:val="005F348C"/>
    <w:rsid w:val="005F44F8"/>
    <w:rsid w:val="005F46D9"/>
    <w:rsid w:val="005F6591"/>
    <w:rsid w:val="005F725A"/>
    <w:rsid w:val="00600AD6"/>
    <w:rsid w:val="00602A64"/>
    <w:rsid w:val="00602BC6"/>
    <w:rsid w:val="00604FE3"/>
    <w:rsid w:val="006059FF"/>
    <w:rsid w:val="00624FB7"/>
    <w:rsid w:val="006252BF"/>
    <w:rsid w:val="00633629"/>
    <w:rsid w:val="0063579B"/>
    <w:rsid w:val="00642D3A"/>
    <w:rsid w:val="00645C5E"/>
    <w:rsid w:val="00645E47"/>
    <w:rsid w:val="00646312"/>
    <w:rsid w:val="00646B43"/>
    <w:rsid w:val="00647A64"/>
    <w:rsid w:val="00650BE3"/>
    <w:rsid w:val="006515DF"/>
    <w:rsid w:val="00651781"/>
    <w:rsid w:val="00653C42"/>
    <w:rsid w:val="006550D7"/>
    <w:rsid w:val="006554DD"/>
    <w:rsid w:val="00666A1A"/>
    <w:rsid w:val="006671A5"/>
    <w:rsid w:val="006701FC"/>
    <w:rsid w:val="006707C5"/>
    <w:rsid w:val="00684308"/>
    <w:rsid w:val="00684F03"/>
    <w:rsid w:val="00690B4C"/>
    <w:rsid w:val="00691035"/>
    <w:rsid w:val="00692FE7"/>
    <w:rsid w:val="0069432E"/>
    <w:rsid w:val="006B01AD"/>
    <w:rsid w:val="006B1BB6"/>
    <w:rsid w:val="006B37F1"/>
    <w:rsid w:val="006B41E4"/>
    <w:rsid w:val="006B590B"/>
    <w:rsid w:val="006B5947"/>
    <w:rsid w:val="006B67FB"/>
    <w:rsid w:val="006C0E0E"/>
    <w:rsid w:val="006C1985"/>
    <w:rsid w:val="006C5E5D"/>
    <w:rsid w:val="006C6C71"/>
    <w:rsid w:val="006D182E"/>
    <w:rsid w:val="006D4852"/>
    <w:rsid w:val="006E716E"/>
    <w:rsid w:val="006E779F"/>
    <w:rsid w:val="006F2576"/>
    <w:rsid w:val="006F475F"/>
    <w:rsid w:val="00700EB7"/>
    <w:rsid w:val="00702D77"/>
    <w:rsid w:val="00703533"/>
    <w:rsid w:val="00704128"/>
    <w:rsid w:val="0070419E"/>
    <w:rsid w:val="0070793C"/>
    <w:rsid w:val="00710885"/>
    <w:rsid w:val="00712B94"/>
    <w:rsid w:val="00715446"/>
    <w:rsid w:val="00717CFD"/>
    <w:rsid w:val="007201FE"/>
    <w:rsid w:val="0072718B"/>
    <w:rsid w:val="007310C1"/>
    <w:rsid w:val="00732CE6"/>
    <w:rsid w:val="00734388"/>
    <w:rsid w:val="00735ED6"/>
    <w:rsid w:val="007375D4"/>
    <w:rsid w:val="007414B8"/>
    <w:rsid w:val="007444DF"/>
    <w:rsid w:val="00744E8C"/>
    <w:rsid w:val="00746AC2"/>
    <w:rsid w:val="00750389"/>
    <w:rsid w:val="00754CF1"/>
    <w:rsid w:val="0075668D"/>
    <w:rsid w:val="00757937"/>
    <w:rsid w:val="00761BBA"/>
    <w:rsid w:val="00761DDB"/>
    <w:rsid w:val="00762B42"/>
    <w:rsid w:val="00763777"/>
    <w:rsid w:val="00764DCC"/>
    <w:rsid w:val="007653AE"/>
    <w:rsid w:val="00774518"/>
    <w:rsid w:val="007745E6"/>
    <w:rsid w:val="00776578"/>
    <w:rsid w:val="007831FA"/>
    <w:rsid w:val="00790E7C"/>
    <w:rsid w:val="00791D62"/>
    <w:rsid w:val="007A131A"/>
    <w:rsid w:val="007A4F19"/>
    <w:rsid w:val="007A501E"/>
    <w:rsid w:val="007A7C41"/>
    <w:rsid w:val="007B29E3"/>
    <w:rsid w:val="007B3CDC"/>
    <w:rsid w:val="007C03CA"/>
    <w:rsid w:val="007C40B5"/>
    <w:rsid w:val="007C53DB"/>
    <w:rsid w:val="007D3039"/>
    <w:rsid w:val="007D757B"/>
    <w:rsid w:val="007E7926"/>
    <w:rsid w:val="007F04AB"/>
    <w:rsid w:val="007F6922"/>
    <w:rsid w:val="00800585"/>
    <w:rsid w:val="0080073C"/>
    <w:rsid w:val="00800886"/>
    <w:rsid w:val="00801A61"/>
    <w:rsid w:val="00804015"/>
    <w:rsid w:val="008045F9"/>
    <w:rsid w:val="0080565A"/>
    <w:rsid w:val="008107C3"/>
    <w:rsid w:val="00810B5E"/>
    <w:rsid w:val="00813AFE"/>
    <w:rsid w:val="00813D7B"/>
    <w:rsid w:val="00823D2F"/>
    <w:rsid w:val="00824F8C"/>
    <w:rsid w:val="00826141"/>
    <w:rsid w:val="008306CF"/>
    <w:rsid w:val="00832E1B"/>
    <w:rsid w:val="00834FB5"/>
    <w:rsid w:val="00842AC4"/>
    <w:rsid w:val="008500A0"/>
    <w:rsid w:val="00850C99"/>
    <w:rsid w:val="008518D0"/>
    <w:rsid w:val="00856B71"/>
    <w:rsid w:val="0086635A"/>
    <w:rsid w:val="00867914"/>
    <w:rsid w:val="008707B2"/>
    <w:rsid w:val="00871A8F"/>
    <w:rsid w:val="00872FD0"/>
    <w:rsid w:val="008756CC"/>
    <w:rsid w:val="008758FC"/>
    <w:rsid w:val="008767F7"/>
    <w:rsid w:val="00877DE5"/>
    <w:rsid w:val="0088537C"/>
    <w:rsid w:val="008871C7"/>
    <w:rsid w:val="008925E4"/>
    <w:rsid w:val="00892867"/>
    <w:rsid w:val="0089500B"/>
    <w:rsid w:val="008954EB"/>
    <w:rsid w:val="00897C5A"/>
    <w:rsid w:val="008A2253"/>
    <w:rsid w:val="008A2EE9"/>
    <w:rsid w:val="008A3132"/>
    <w:rsid w:val="008A34CB"/>
    <w:rsid w:val="008A7F47"/>
    <w:rsid w:val="008B126C"/>
    <w:rsid w:val="008B30AD"/>
    <w:rsid w:val="008B76B5"/>
    <w:rsid w:val="008C1A9A"/>
    <w:rsid w:val="008C4D38"/>
    <w:rsid w:val="008C7850"/>
    <w:rsid w:val="008D09A5"/>
    <w:rsid w:val="008D4CC3"/>
    <w:rsid w:val="008E1066"/>
    <w:rsid w:val="008E3032"/>
    <w:rsid w:val="008F2191"/>
    <w:rsid w:val="008F2B1C"/>
    <w:rsid w:val="008F4723"/>
    <w:rsid w:val="008F4F0A"/>
    <w:rsid w:val="008F517F"/>
    <w:rsid w:val="008F5918"/>
    <w:rsid w:val="0090039B"/>
    <w:rsid w:val="00901223"/>
    <w:rsid w:val="0090261A"/>
    <w:rsid w:val="00906572"/>
    <w:rsid w:val="00906CD6"/>
    <w:rsid w:val="00911AE2"/>
    <w:rsid w:val="00911B07"/>
    <w:rsid w:val="00915072"/>
    <w:rsid w:val="009167A1"/>
    <w:rsid w:val="009177B9"/>
    <w:rsid w:val="009201D2"/>
    <w:rsid w:val="00923756"/>
    <w:rsid w:val="009249B8"/>
    <w:rsid w:val="00931205"/>
    <w:rsid w:val="00932C10"/>
    <w:rsid w:val="00932C5A"/>
    <w:rsid w:val="009354E6"/>
    <w:rsid w:val="00936769"/>
    <w:rsid w:val="0094020E"/>
    <w:rsid w:val="009419A3"/>
    <w:rsid w:val="0094486B"/>
    <w:rsid w:val="009449C2"/>
    <w:rsid w:val="0094659E"/>
    <w:rsid w:val="009471A8"/>
    <w:rsid w:val="009578A5"/>
    <w:rsid w:val="0096385E"/>
    <w:rsid w:val="00967682"/>
    <w:rsid w:val="009710A7"/>
    <w:rsid w:val="00974522"/>
    <w:rsid w:val="009769BE"/>
    <w:rsid w:val="00980E41"/>
    <w:rsid w:val="00980F74"/>
    <w:rsid w:val="0098521B"/>
    <w:rsid w:val="0099053F"/>
    <w:rsid w:val="0099100B"/>
    <w:rsid w:val="00991F1C"/>
    <w:rsid w:val="009A403C"/>
    <w:rsid w:val="009A48DD"/>
    <w:rsid w:val="009A6D15"/>
    <w:rsid w:val="009B4A24"/>
    <w:rsid w:val="009B5558"/>
    <w:rsid w:val="009B5AE5"/>
    <w:rsid w:val="009B68B2"/>
    <w:rsid w:val="009C4475"/>
    <w:rsid w:val="009C5A30"/>
    <w:rsid w:val="009C68A3"/>
    <w:rsid w:val="009D05CB"/>
    <w:rsid w:val="009D2E16"/>
    <w:rsid w:val="009D5997"/>
    <w:rsid w:val="009D7502"/>
    <w:rsid w:val="009F29EE"/>
    <w:rsid w:val="00A00B00"/>
    <w:rsid w:val="00A02082"/>
    <w:rsid w:val="00A04F9E"/>
    <w:rsid w:val="00A06B2B"/>
    <w:rsid w:val="00A07EEA"/>
    <w:rsid w:val="00A105F9"/>
    <w:rsid w:val="00A11211"/>
    <w:rsid w:val="00A1230E"/>
    <w:rsid w:val="00A14071"/>
    <w:rsid w:val="00A14C00"/>
    <w:rsid w:val="00A14EA8"/>
    <w:rsid w:val="00A15B27"/>
    <w:rsid w:val="00A21A58"/>
    <w:rsid w:val="00A23D72"/>
    <w:rsid w:val="00A30710"/>
    <w:rsid w:val="00A344AE"/>
    <w:rsid w:val="00A41DA6"/>
    <w:rsid w:val="00A43FB9"/>
    <w:rsid w:val="00A449CB"/>
    <w:rsid w:val="00A466D1"/>
    <w:rsid w:val="00A46B74"/>
    <w:rsid w:val="00A5011C"/>
    <w:rsid w:val="00A50773"/>
    <w:rsid w:val="00A51125"/>
    <w:rsid w:val="00A523AC"/>
    <w:rsid w:val="00A56207"/>
    <w:rsid w:val="00A608DE"/>
    <w:rsid w:val="00A6096F"/>
    <w:rsid w:val="00A610D9"/>
    <w:rsid w:val="00A61382"/>
    <w:rsid w:val="00A636FF"/>
    <w:rsid w:val="00A63AE2"/>
    <w:rsid w:val="00A63E59"/>
    <w:rsid w:val="00A672FD"/>
    <w:rsid w:val="00A67755"/>
    <w:rsid w:val="00A70F75"/>
    <w:rsid w:val="00A7217F"/>
    <w:rsid w:val="00A721AF"/>
    <w:rsid w:val="00A727FF"/>
    <w:rsid w:val="00A73099"/>
    <w:rsid w:val="00A92A75"/>
    <w:rsid w:val="00A93788"/>
    <w:rsid w:val="00A94194"/>
    <w:rsid w:val="00AA1BFF"/>
    <w:rsid w:val="00AA276B"/>
    <w:rsid w:val="00AA69DA"/>
    <w:rsid w:val="00AB3754"/>
    <w:rsid w:val="00AB447A"/>
    <w:rsid w:val="00AB47BB"/>
    <w:rsid w:val="00AC3885"/>
    <w:rsid w:val="00AC3CAF"/>
    <w:rsid w:val="00AC7F3E"/>
    <w:rsid w:val="00AD5F41"/>
    <w:rsid w:val="00AD7397"/>
    <w:rsid w:val="00AE11F3"/>
    <w:rsid w:val="00AE5CE9"/>
    <w:rsid w:val="00AE6E3E"/>
    <w:rsid w:val="00AF3703"/>
    <w:rsid w:val="00AF3A3C"/>
    <w:rsid w:val="00AF64CF"/>
    <w:rsid w:val="00AF7006"/>
    <w:rsid w:val="00B0694C"/>
    <w:rsid w:val="00B078C7"/>
    <w:rsid w:val="00B24545"/>
    <w:rsid w:val="00B2461A"/>
    <w:rsid w:val="00B25DE4"/>
    <w:rsid w:val="00B26AEC"/>
    <w:rsid w:val="00B314D9"/>
    <w:rsid w:val="00B3160C"/>
    <w:rsid w:val="00B32D95"/>
    <w:rsid w:val="00B33087"/>
    <w:rsid w:val="00B33AD3"/>
    <w:rsid w:val="00B444DC"/>
    <w:rsid w:val="00B463CE"/>
    <w:rsid w:val="00B46FF3"/>
    <w:rsid w:val="00B47F76"/>
    <w:rsid w:val="00B509B0"/>
    <w:rsid w:val="00B53CDD"/>
    <w:rsid w:val="00B60D80"/>
    <w:rsid w:val="00B6321E"/>
    <w:rsid w:val="00B660FF"/>
    <w:rsid w:val="00B71F63"/>
    <w:rsid w:val="00B725AF"/>
    <w:rsid w:val="00B73457"/>
    <w:rsid w:val="00B766CF"/>
    <w:rsid w:val="00B77B36"/>
    <w:rsid w:val="00B81503"/>
    <w:rsid w:val="00B825B2"/>
    <w:rsid w:val="00B83261"/>
    <w:rsid w:val="00B84FF9"/>
    <w:rsid w:val="00B8712D"/>
    <w:rsid w:val="00B906B9"/>
    <w:rsid w:val="00B92D43"/>
    <w:rsid w:val="00B932BA"/>
    <w:rsid w:val="00B95911"/>
    <w:rsid w:val="00B95A21"/>
    <w:rsid w:val="00BA08F2"/>
    <w:rsid w:val="00BA1B96"/>
    <w:rsid w:val="00BA1C79"/>
    <w:rsid w:val="00BA514E"/>
    <w:rsid w:val="00BA7A98"/>
    <w:rsid w:val="00BB3FD2"/>
    <w:rsid w:val="00BB6C8D"/>
    <w:rsid w:val="00BB762F"/>
    <w:rsid w:val="00BC1084"/>
    <w:rsid w:val="00BC24E8"/>
    <w:rsid w:val="00BC42EB"/>
    <w:rsid w:val="00BC4608"/>
    <w:rsid w:val="00BC5B0C"/>
    <w:rsid w:val="00BC6A8F"/>
    <w:rsid w:val="00BD7B91"/>
    <w:rsid w:val="00BE3DB7"/>
    <w:rsid w:val="00BE4B25"/>
    <w:rsid w:val="00BE6802"/>
    <w:rsid w:val="00BF15E3"/>
    <w:rsid w:val="00BF31DC"/>
    <w:rsid w:val="00BF36C1"/>
    <w:rsid w:val="00BF3B7B"/>
    <w:rsid w:val="00C0001A"/>
    <w:rsid w:val="00C00AFD"/>
    <w:rsid w:val="00C00FFC"/>
    <w:rsid w:val="00C026F6"/>
    <w:rsid w:val="00C07D6B"/>
    <w:rsid w:val="00C140D5"/>
    <w:rsid w:val="00C14C3B"/>
    <w:rsid w:val="00C210C4"/>
    <w:rsid w:val="00C24E7A"/>
    <w:rsid w:val="00C30AD8"/>
    <w:rsid w:val="00C31A9B"/>
    <w:rsid w:val="00C443FA"/>
    <w:rsid w:val="00C45026"/>
    <w:rsid w:val="00C45E7A"/>
    <w:rsid w:val="00C46235"/>
    <w:rsid w:val="00C470CB"/>
    <w:rsid w:val="00C47DC4"/>
    <w:rsid w:val="00C55BB9"/>
    <w:rsid w:val="00C561E7"/>
    <w:rsid w:val="00C613B0"/>
    <w:rsid w:val="00C6544A"/>
    <w:rsid w:val="00C6626F"/>
    <w:rsid w:val="00C663C6"/>
    <w:rsid w:val="00C66701"/>
    <w:rsid w:val="00C70946"/>
    <w:rsid w:val="00C714BF"/>
    <w:rsid w:val="00C74D31"/>
    <w:rsid w:val="00C80317"/>
    <w:rsid w:val="00C8337C"/>
    <w:rsid w:val="00C84433"/>
    <w:rsid w:val="00C87BC2"/>
    <w:rsid w:val="00C925C8"/>
    <w:rsid w:val="00C949B1"/>
    <w:rsid w:val="00C94CC7"/>
    <w:rsid w:val="00C9643A"/>
    <w:rsid w:val="00CA07F9"/>
    <w:rsid w:val="00CA536F"/>
    <w:rsid w:val="00CB3A9C"/>
    <w:rsid w:val="00CB426A"/>
    <w:rsid w:val="00CB46C5"/>
    <w:rsid w:val="00CC24A1"/>
    <w:rsid w:val="00CC2E56"/>
    <w:rsid w:val="00CC5EDE"/>
    <w:rsid w:val="00CC69A8"/>
    <w:rsid w:val="00CC7A48"/>
    <w:rsid w:val="00CD0CCD"/>
    <w:rsid w:val="00CD1272"/>
    <w:rsid w:val="00CD31FE"/>
    <w:rsid w:val="00CD792A"/>
    <w:rsid w:val="00CE4CB9"/>
    <w:rsid w:val="00CE51EF"/>
    <w:rsid w:val="00CE7421"/>
    <w:rsid w:val="00CF0E50"/>
    <w:rsid w:val="00CF14E8"/>
    <w:rsid w:val="00CF3EF5"/>
    <w:rsid w:val="00CF7F74"/>
    <w:rsid w:val="00D06DBA"/>
    <w:rsid w:val="00D0782E"/>
    <w:rsid w:val="00D107DF"/>
    <w:rsid w:val="00D132F5"/>
    <w:rsid w:val="00D14AD4"/>
    <w:rsid w:val="00D15FC6"/>
    <w:rsid w:val="00D162D2"/>
    <w:rsid w:val="00D16936"/>
    <w:rsid w:val="00D16EA0"/>
    <w:rsid w:val="00D23E23"/>
    <w:rsid w:val="00D25D08"/>
    <w:rsid w:val="00D313D0"/>
    <w:rsid w:val="00D34AD1"/>
    <w:rsid w:val="00D34BAB"/>
    <w:rsid w:val="00D3541E"/>
    <w:rsid w:val="00D36C54"/>
    <w:rsid w:val="00D40ECD"/>
    <w:rsid w:val="00D44A4C"/>
    <w:rsid w:val="00D508E5"/>
    <w:rsid w:val="00D54649"/>
    <w:rsid w:val="00D5497E"/>
    <w:rsid w:val="00D551BF"/>
    <w:rsid w:val="00D614C4"/>
    <w:rsid w:val="00D629DB"/>
    <w:rsid w:val="00D653C0"/>
    <w:rsid w:val="00D74ADF"/>
    <w:rsid w:val="00D838A7"/>
    <w:rsid w:val="00D87896"/>
    <w:rsid w:val="00D87F98"/>
    <w:rsid w:val="00D90188"/>
    <w:rsid w:val="00D968DE"/>
    <w:rsid w:val="00DA75B5"/>
    <w:rsid w:val="00DA7F32"/>
    <w:rsid w:val="00DB3585"/>
    <w:rsid w:val="00DB482C"/>
    <w:rsid w:val="00DB4CC1"/>
    <w:rsid w:val="00DB5ABC"/>
    <w:rsid w:val="00DC6B77"/>
    <w:rsid w:val="00DE007E"/>
    <w:rsid w:val="00DE5913"/>
    <w:rsid w:val="00DE6CFB"/>
    <w:rsid w:val="00DE6FFB"/>
    <w:rsid w:val="00DF15EA"/>
    <w:rsid w:val="00DF221D"/>
    <w:rsid w:val="00DF2B05"/>
    <w:rsid w:val="00DF6A44"/>
    <w:rsid w:val="00E04D60"/>
    <w:rsid w:val="00E05841"/>
    <w:rsid w:val="00E05DF5"/>
    <w:rsid w:val="00E100C8"/>
    <w:rsid w:val="00E20F2B"/>
    <w:rsid w:val="00E24726"/>
    <w:rsid w:val="00E32DA3"/>
    <w:rsid w:val="00E33858"/>
    <w:rsid w:val="00E366DD"/>
    <w:rsid w:val="00E405B1"/>
    <w:rsid w:val="00E42A0C"/>
    <w:rsid w:val="00E42B91"/>
    <w:rsid w:val="00E42F61"/>
    <w:rsid w:val="00E460B9"/>
    <w:rsid w:val="00E52E19"/>
    <w:rsid w:val="00E54B98"/>
    <w:rsid w:val="00E553BF"/>
    <w:rsid w:val="00E56C7E"/>
    <w:rsid w:val="00E57A77"/>
    <w:rsid w:val="00E60A5C"/>
    <w:rsid w:val="00E63920"/>
    <w:rsid w:val="00E65331"/>
    <w:rsid w:val="00E65AEF"/>
    <w:rsid w:val="00E66158"/>
    <w:rsid w:val="00E673D3"/>
    <w:rsid w:val="00E71D08"/>
    <w:rsid w:val="00E71F6E"/>
    <w:rsid w:val="00E72597"/>
    <w:rsid w:val="00E75199"/>
    <w:rsid w:val="00E76EF1"/>
    <w:rsid w:val="00E7759B"/>
    <w:rsid w:val="00E81494"/>
    <w:rsid w:val="00E81BA0"/>
    <w:rsid w:val="00E821ED"/>
    <w:rsid w:val="00E9063F"/>
    <w:rsid w:val="00E9137B"/>
    <w:rsid w:val="00E94BB5"/>
    <w:rsid w:val="00EA4462"/>
    <w:rsid w:val="00EC1038"/>
    <w:rsid w:val="00EC10A8"/>
    <w:rsid w:val="00EC1814"/>
    <w:rsid w:val="00EC1D22"/>
    <w:rsid w:val="00EC25A5"/>
    <w:rsid w:val="00EC5D57"/>
    <w:rsid w:val="00EC72FB"/>
    <w:rsid w:val="00ED11A4"/>
    <w:rsid w:val="00ED6931"/>
    <w:rsid w:val="00EE42C0"/>
    <w:rsid w:val="00EE5842"/>
    <w:rsid w:val="00EE62E9"/>
    <w:rsid w:val="00EF0659"/>
    <w:rsid w:val="00EF5EDF"/>
    <w:rsid w:val="00EF6B0D"/>
    <w:rsid w:val="00EF788F"/>
    <w:rsid w:val="00F0109C"/>
    <w:rsid w:val="00F03624"/>
    <w:rsid w:val="00F058EA"/>
    <w:rsid w:val="00F1170C"/>
    <w:rsid w:val="00F144A1"/>
    <w:rsid w:val="00F16207"/>
    <w:rsid w:val="00F17CCB"/>
    <w:rsid w:val="00F220BA"/>
    <w:rsid w:val="00F2329A"/>
    <w:rsid w:val="00F27021"/>
    <w:rsid w:val="00F318EA"/>
    <w:rsid w:val="00F35DAB"/>
    <w:rsid w:val="00F37201"/>
    <w:rsid w:val="00F37476"/>
    <w:rsid w:val="00F46675"/>
    <w:rsid w:val="00F477EB"/>
    <w:rsid w:val="00F53349"/>
    <w:rsid w:val="00F575C3"/>
    <w:rsid w:val="00F6024F"/>
    <w:rsid w:val="00F70CC7"/>
    <w:rsid w:val="00F749B3"/>
    <w:rsid w:val="00F75621"/>
    <w:rsid w:val="00F76277"/>
    <w:rsid w:val="00F76E77"/>
    <w:rsid w:val="00F7781A"/>
    <w:rsid w:val="00F82676"/>
    <w:rsid w:val="00F90E4E"/>
    <w:rsid w:val="00F97943"/>
    <w:rsid w:val="00FA34A9"/>
    <w:rsid w:val="00FA4EA6"/>
    <w:rsid w:val="00FA71DD"/>
    <w:rsid w:val="00FB10DD"/>
    <w:rsid w:val="00FB7796"/>
    <w:rsid w:val="00FB7B17"/>
    <w:rsid w:val="00FC24CF"/>
    <w:rsid w:val="00FD09B3"/>
    <w:rsid w:val="00FD1BE9"/>
    <w:rsid w:val="00FD2878"/>
    <w:rsid w:val="00FD3BB7"/>
    <w:rsid w:val="00FD3E22"/>
    <w:rsid w:val="00FD435B"/>
    <w:rsid w:val="00FF2EFE"/>
    <w:rsid w:val="00FF4010"/>
    <w:rsid w:val="00FF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3B38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317"/>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80317"/>
    <w:pPr>
      <w:jc w:val="right"/>
    </w:pPr>
    <w:rPr>
      <w:rFonts w:ascii="Garamond" w:hAnsi="Garamond"/>
      <w:sz w:val="28"/>
      <w:szCs w:val="28"/>
    </w:rPr>
  </w:style>
  <w:style w:type="character" w:customStyle="1" w:styleId="BodyText2Char">
    <w:name w:val="Body Text 2 Char"/>
    <w:basedOn w:val="DefaultParagraphFont"/>
    <w:link w:val="BodyText2"/>
    <w:rsid w:val="00C80317"/>
    <w:rPr>
      <w:rFonts w:ascii="Garamond" w:eastAsia="Times New Roman" w:hAnsi="Garamond" w:cs="Times New Roman"/>
      <w:sz w:val="28"/>
      <w:szCs w:val="28"/>
      <w:lang w:val="lv-LV"/>
    </w:rPr>
  </w:style>
  <w:style w:type="paragraph" w:styleId="Header">
    <w:name w:val="header"/>
    <w:basedOn w:val="Normal"/>
    <w:link w:val="HeaderChar"/>
    <w:uiPriority w:val="99"/>
    <w:unhideWhenUsed/>
    <w:rsid w:val="00FB7796"/>
    <w:pPr>
      <w:tabs>
        <w:tab w:val="center" w:pos="4320"/>
        <w:tab w:val="right" w:pos="8640"/>
      </w:tabs>
    </w:pPr>
  </w:style>
  <w:style w:type="character" w:customStyle="1" w:styleId="HeaderChar">
    <w:name w:val="Header Char"/>
    <w:basedOn w:val="DefaultParagraphFont"/>
    <w:link w:val="Header"/>
    <w:uiPriority w:val="99"/>
    <w:rsid w:val="00FB7796"/>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FB7796"/>
    <w:pPr>
      <w:tabs>
        <w:tab w:val="center" w:pos="4320"/>
        <w:tab w:val="right" w:pos="8640"/>
      </w:tabs>
    </w:pPr>
  </w:style>
  <w:style w:type="character" w:customStyle="1" w:styleId="FooterChar">
    <w:name w:val="Footer Char"/>
    <w:basedOn w:val="DefaultParagraphFont"/>
    <w:link w:val="Footer"/>
    <w:uiPriority w:val="99"/>
    <w:rsid w:val="00FB7796"/>
    <w:rPr>
      <w:rFonts w:ascii="Times New Roman" w:eastAsia="Times New Roman" w:hAnsi="Times New Roman" w:cs="Times New Roman"/>
      <w:sz w:val="24"/>
      <w:szCs w:val="24"/>
      <w:lang w:val="lv-LV"/>
    </w:rPr>
  </w:style>
  <w:style w:type="character" w:styleId="PageNumber">
    <w:name w:val="page number"/>
    <w:basedOn w:val="DefaultParagraphFont"/>
    <w:rsid w:val="00FB7796"/>
  </w:style>
  <w:style w:type="paragraph" w:styleId="ListParagraph">
    <w:name w:val="List Paragraph"/>
    <w:basedOn w:val="Normal"/>
    <w:uiPriority w:val="34"/>
    <w:qFormat/>
    <w:rsid w:val="00932C5A"/>
    <w:pPr>
      <w:ind w:left="720"/>
      <w:contextualSpacing/>
    </w:pPr>
  </w:style>
  <w:style w:type="character" w:customStyle="1" w:styleId="sb8d990e2">
    <w:name w:val="sb8d990e2"/>
    <w:rsid w:val="008500A0"/>
  </w:style>
  <w:style w:type="character" w:styleId="CommentReference">
    <w:name w:val="annotation reference"/>
    <w:basedOn w:val="DefaultParagraphFont"/>
    <w:uiPriority w:val="99"/>
    <w:semiHidden/>
    <w:unhideWhenUsed/>
    <w:rsid w:val="00385C3E"/>
    <w:rPr>
      <w:sz w:val="16"/>
      <w:szCs w:val="16"/>
    </w:rPr>
  </w:style>
  <w:style w:type="paragraph" w:styleId="CommentText">
    <w:name w:val="annotation text"/>
    <w:basedOn w:val="Normal"/>
    <w:link w:val="CommentTextChar"/>
    <w:uiPriority w:val="99"/>
    <w:semiHidden/>
    <w:unhideWhenUsed/>
    <w:rsid w:val="00385C3E"/>
    <w:rPr>
      <w:sz w:val="20"/>
      <w:szCs w:val="20"/>
    </w:rPr>
  </w:style>
  <w:style w:type="character" w:customStyle="1" w:styleId="CommentTextChar">
    <w:name w:val="Comment Text Char"/>
    <w:basedOn w:val="DefaultParagraphFont"/>
    <w:link w:val="CommentText"/>
    <w:uiPriority w:val="99"/>
    <w:semiHidden/>
    <w:rsid w:val="00385C3E"/>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385C3E"/>
    <w:rPr>
      <w:b/>
      <w:bCs/>
    </w:rPr>
  </w:style>
  <w:style w:type="character" w:customStyle="1" w:styleId="CommentSubjectChar">
    <w:name w:val="Comment Subject Char"/>
    <w:basedOn w:val="CommentTextChar"/>
    <w:link w:val="CommentSubject"/>
    <w:uiPriority w:val="99"/>
    <w:semiHidden/>
    <w:rsid w:val="00385C3E"/>
    <w:rPr>
      <w:rFonts w:ascii="Times New Roman" w:eastAsia="Times New Roman" w:hAnsi="Times New Roman" w:cs="Times New Roman"/>
      <w:b/>
      <w:bCs/>
      <w:sz w:val="20"/>
      <w:szCs w:val="20"/>
      <w:lang w:val="lv-LV"/>
    </w:rPr>
  </w:style>
  <w:style w:type="paragraph" w:styleId="BalloonText">
    <w:name w:val="Balloon Text"/>
    <w:basedOn w:val="Normal"/>
    <w:link w:val="BalloonTextChar"/>
    <w:uiPriority w:val="99"/>
    <w:semiHidden/>
    <w:unhideWhenUsed/>
    <w:rsid w:val="00385C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C3E"/>
    <w:rPr>
      <w:rFonts w:ascii="Segoe UI" w:eastAsia="Times New Roman" w:hAnsi="Segoe UI" w:cs="Segoe UI"/>
      <w:sz w:val="18"/>
      <w:szCs w:val="18"/>
      <w:lang w:val="lv-LV"/>
    </w:rPr>
  </w:style>
  <w:style w:type="character" w:styleId="Strong">
    <w:name w:val="Strong"/>
    <w:basedOn w:val="DefaultParagraphFont"/>
    <w:uiPriority w:val="22"/>
    <w:qFormat/>
    <w:rsid w:val="00761BBA"/>
    <w:rPr>
      <w:b/>
      <w:bCs/>
    </w:rPr>
  </w:style>
  <w:style w:type="character" w:styleId="Hyperlink">
    <w:name w:val="Hyperlink"/>
    <w:basedOn w:val="DefaultParagraphFont"/>
    <w:uiPriority w:val="99"/>
    <w:unhideWhenUsed/>
    <w:rsid w:val="00761BBA"/>
    <w:rPr>
      <w:color w:val="0563C1" w:themeColor="hyperlink"/>
      <w:u w:val="single"/>
    </w:rPr>
  </w:style>
  <w:style w:type="character" w:styleId="UnresolvedMention">
    <w:name w:val="Unresolved Mention"/>
    <w:basedOn w:val="DefaultParagraphFont"/>
    <w:uiPriority w:val="99"/>
    <w:semiHidden/>
    <w:unhideWhenUsed/>
    <w:rsid w:val="0076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420674">
      <w:bodyDiv w:val="1"/>
      <w:marLeft w:val="0"/>
      <w:marRight w:val="0"/>
      <w:marTop w:val="0"/>
      <w:marBottom w:val="0"/>
      <w:divBdr>
        <w:top w:val="none" w:sz="0" w:space="0" w:color="auto"/>
        <w:left w:val="none" w:sz="0" w:space="0" w:color="auto"/>
        <w:bottom w:val="none" w:sz="0" w:space="0" w:color="auto"/>
        <w:right w:val="none" w:sz="0" w:space="0" w:color="auto"/>
      </w:divBdr>
    </w:div>
    <w:div w:id="117121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0654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2BBBE-112E-40CC-BCE6-57537E96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11440</Words>
  <Characters>6522</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2020-05-29T11:40:00Z</dcterms:created>
  <dcterms:modified xsi:type="dcterms:W3CDTF">2020-05-29T11:40:00Z</dcterms:modified>
</cp:coreProperties>
</file>