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B0C8C" w14:textId="650A2C02" w:rsidR="001F25C1" w:rsidRDefault="001F25C1" w:rsidP="001F25C1">
      <w:pPr>
        <w:pStyle w:val="ListParagraph"/>
        <w:ind w:left="0"/>
        <w:rPr>
          <w:rFonts w:cs="Times New Roman"/>
          <w:b/>
          <w:bCs/>
          <w:szCs w:val="24"/>
        </w:rPr>
      </w:pPr>
      <w:r w:rsidRPr="001F25C1">
        <w:rPr>
          <w:rFonts w:cs="Times New Roman"/>
          <w:b/>
          <w:bCs/>
          <w:szCs w:val="24"/>
        </w:rPr>
        <w:t>Nevainīguma prezumpcijas piemērošana pierādījumu vērtēšanā</w:t>
      </w:r>
    </w:p>
    <w:p w14:paraId="52472CAE" w14:textId="77777777" w:rsidR="001F25C1" w:rsidRPr="001F25C1" w:rsidRDefault="001F25C1" w:rsidP="001F25C1">
      <w:pPr>
        <w:pStyle w:val="ListParagraph"/>
        <w:ind w:left="0"/>
        <w:rPr>
          <w:rFonts w:cs="Times New Roman"/>
          <w:i/>
          <w:szCs w:val="24"/>
        </w:rPr>
      </w:pPr>
    </w:p>
    <w:p w14:paraId="7EF1B22A" w14:textId="175CA8E1" w:rsidR="00D23E7E" w:rsidRPr="001F25C1" w:rsidRDefault="001F25C1" w:rsidP="001F25C1">
      <w:pPr>
        <w:spacing w:after="0" w:line="276" w:lineRule="auto"/>
        <w:jc w:val="both"/>
        <w:rPr>
          <w:rFonts w:ascii="Times New Roman" w:hAnsi="Times New Roman" w:cs="Times New Roman"/>
          <w:sz w:val="24"/>
          <w:szCs w:val="24"/>
        </w:rPr>
      </w:pPr>
      <w:r w:rsidRPr="001F25C1">
        <w:rPr>
          <w:rFonts w:ascii="Times New Roman" w:hAnsi="Times New Roman" w:cs="Times New Roman"/>
          <w:sz w:val="24"/>
          <w:szCs w:val="24"/>
        </w:rPr>
        <w:t>Nevainīguma prezumpcijas pamatprincips noteic, ka visas saprātīgās šaubas par vainu, kuras nav iespējams novērst, jāvērtē par labu personai, kurai ir tiesības uz aizstāvību. Šis nevainīguma prezumpcijas elements jāpiemēro tikai pēc visu pierādījumu novērtēšanas. Tas nav piemērojams attiecībā uz atsevišķiem pierādījumiem.</w:t>
      </w:r>
    </w:p>
    <w:p w14:paraId="58C77336" w14:textId="769BD6A6" w:rsidR="001F25C1" w:rsidRPr="001F25C1" w:rsidRDefault="001F25C1" w:rsidP="001F25C1">
      <w:pPr>
        <w:spacing w:after="0" w:line="276" w:lineRule="auto"/>
        <w:jc w:val="both"/>
        <w:rPr>
          <w:rFonts w:ascii="Times New Roman" w:hAnsi="Times New Roman" w:cs="Times New Roman"/>
          <w:sz w:val="24"/>
          <w:szCs w:val="24"/>
        </w:rPr>
      </w:pPr>
    </w:p>
    <w:p w14:paraId="6A218D41" w14:textId="00D42725" w:rsidR="001F25C1" w:rsidRDefault="001F25C1" w:rsidP="001F25C1">
      <w:pPr>
        <w:autoSpaceDE w:val="0"/>
        <w:autoSpaceDN w:val="0"/>
        <w:adjustRightInd w:val="0"/>
        <w:spacing w:after="0" w:line="276" w:lineRule="auto"/>
        <w:jc w:val="both"/>
        <w:rPr>
          <w:rFonts w:ascii="Times New Roman" w:hAnsi="Times New Roman" w:cs="Times New Roman"/>
          <w:b/>
          <w:bCs/>
          <w:sz w:val="24"/>
          <w:szCs w:val="24"/>
        </w:rPr>
      </w:pPr>
      <w:r w:rsidRPr="001F25C1">
        <w:rPr>
          <w:rFonts w:ascii="Times New Roman" w:hAnsi="Times New Roman" w:cs="Times New Roman"/>
          <w:b/>
          <w:bCs/>
          <w:sz w:val="24"/>
          <w:szCs w:val="24"/>
        </w:rPr>
        <w:t>Liecību ticamības izvērtēšana</w:t>
      </w:r>
    </w:p>
    <w:p w14:paraId="65EE596E" w14:textId="77777777" w:rsidR="001F25C1" w:rsidRDefault="001F25C1" w:rsidP="001F25C1">
      <w:pPr>
        <w:autoSpaceDE w:val="0"/>
        <w:autoSpaceDN w:val="0"/>
        <w:adjustRightInd w:val="0"/>
        <w:spacing w:after="0" w:line="276" w:lineRule="auto"/>
        <w:jc w:val="both"/>
        <w:rPr>
          <w:rFonts w:ascii="Times New Roman" w:hAnsi="Times New Roman" w:cs="Times New Roman"/>
          <w:b/>
          <w:bCs/>
          <w:sz w:val="24"/>
          <w:szCs w:val="24"/>
        </w:rPr>
      </w:pPr>
    </w:p>
    <w:p w14:paraId="53869E0E" w14:textId="4414B99D" w:rsidR="001F25C1" w:rsidRPr="001F25C1" w:rsidRDefault="001F25C1" w:rsidP="001F25C1">
      <w:pPr>
        <w:autoSpaceDE w:val="0"/>
        <w:autoSpaceDN w:val="0"/>
        <w:adjustRightInd w:val="0"/>
        <w:spacing w:after="0" w:line="276" w:lineRule="auto"/>
        <w:jc w:val="both"/>
        <w:rPr>
          <w:rFonts w:ascii="Times New Roman" w:hAnsi="Times New Roman" w:cs="Times New Roman"/>
          <w:b/>
          <w:bCs/>
          <w:sz w:val="24"/>
          <w:szCs w:val="24"/>
        </w:rPr>
      </w:pPr>
      <w:r w:rsidRPr="001F25C1">
        <w:rPr>
          <w:rFonts w:ascii="Times New Roman" w:hAnsi="Times New Roman" w:cs="Times New Roman"/>
          <w:sz w:val="24"/>
          <w:szCs w:val="24"/>
        </w:rPr>
        <w:t xml:space="preserve">Lai varētu pārliecināties par liecības ticamību, atbilstoši Kriminālprocesa likuma </w:t>
      </w:r>
      <w:proofErr w:type="gramStart"/>
      <w:r w:rsidRPr="001F25C1">
        <w:rPr>
          <w:rFonts w:ascii="Times New Roman" w:hAnsi="Times New Roman" w:cs="Times New Roman"/>
          <w:sz w:val="24"/>
          <w:szCs w:val="24"/>
        </w:rPr>
        <w:t>128.panta</w:t>
      </w:r>
      <w:proofErr w:type="gramEnd"/>
      <w:r w:rsidRPr="001F25C1">
        <w:rPr>
          <w:rFonts w:ascii="Times New Roman" w:hAnsi="Times New Roman" w:cs="Times New Roman"/>
          <w:sz w:val="24"/>
          <w:szCs w:val="24"/>
        </w:rPr>
        <w:t xml:space="preserve"> pirmajai daļai, jāpārliecinās, vai liecībā sniegtās ziņas ir patiesas. Par pierādījumiem kriminālprocesā nevar būt baumas, pieņēmumi un liecinošo personu subjektīvie viedokļi, jo tajā ietilpstošo ziņu par faktiem izcelsme nav konkrēti noteikta, tādējādi tām trūkst pamatojuma un par to patiesumu nav iespējams pārliecināties.</w:t>
      </w:r>
    </w:p>
    <w:p w14:paraId="5CD7A0EF" w14:textId="77777777" w:rsidR="001F25C1" w:rsidRPr="00435438" w:rsidRDefault="001F25C1" w:rsidP="001F25C1">
      <w:pPr>
        <w:spacing w:after="0" w:line="276" w:lineRule="auto"/>
        <w:rPr>
          <w:rFonts w:ascii="Times New Roman" w:eastAsia="Calibri" w:hAnsi="Times New Roman"/>
          <w:sz w:val="24"/>
          <w:szCs w:val="24"/>
        </w:rPr>
      </w:pPr>
    </w:p>
    <w:p w14:paraId="5E37DF5B" w14:textId="77777777" w:rsidR="001F25C1" w:rsidRPr="001F25C1" w:rsidRDefault="00D23E7E" w:rsidP="00D23E7E">
      <w:pPr>
        <w:spacing w:after="0" w:line="276" w:lineRule="auto"/>
        <w:jc w:val="center"/>
        <w:rPr>
          <w:rFonts w:ascii="Times New Roman" w:eastAsia="Calibri" w:hAnsi="Times New Roman" w:cs="Times New Roman"/>
          <w:b/>
          <w:sz w:val="24"/>
          <w:szCs w:val="24"/>
        </w:rPr>
      </w:pPr>
      <w:r w:rsidRPr="001F25C1">
        <w:rPr>
          <w:rFonts w:ascii="Times New Roman" w:eastAsia="Calibri" w:hAnsi="Times New Roman" w:cs="Times New Roman"/>
          <w:b/>
          <w:sz w:val="24"/>
          <w:szCs w:val="24"/>
        </w:rPr>
        <w:t>Latvijas Republikas Senāt</w:t>
      </w:r>
      <w:r w:rsidR="001F25C1" w:rsidRPr="001F25C1">
        <w:rPr>
          <w:rFonts w:ascii="Times New Roman" w:eastAsia="Calibri" w:hAnsi="Times New Roman" w:cs="Times New Roman"/>
          <w:b/>
          <w:sz w:val="24"/>
          <w:szCs w:val="24"/>
        </w:rPr>
        <w:t xml:space="preserve">a </w:t>
      </w:r>
    </w:p>
    <w:p w14:paraId="69A78D6B" w14:textId="77777777" w:rsidR="001F25C1" w:rsidRPr="001F25C1" w:rsidRDefault="001F25C1" w:rsidP="001F25C1">
      <w:pPr>
        <w:spacing w:after="0" w:line="276" w:lineRule="auto"/>
        <w:jc w:val="center"/>
        <w:rPr>
          <w:rFonts w:ascii="Times New Roman" w:eastAsia="Calibri" w:hAnsi="Times New Roman" w:cs="Times New Roman"/>
          <w:b/>
          <w:sz w:val="24"/>
          <w:szCs w:val="24"/>
        </w:rPr>
      </w:pPr>
      <w:r w:rsidRPr="001F25C1">
        <w:rPr>
          <w:rFonts w:ascii="Times New Roman" w:eastAsia="Calibri" w:hAnsi="Times New Roman" w:cs="Times New Roman"/>
          <w:b/>
          <w:sz w:val="24"/>
          <w:szCs w:val="24"/>
        </w:rPr>
        <w:t>Krimināllietu departamenta</w:t>
      </w:r>
    </w:p>
    <w:p w14:paraId="206CE683" w14:textId="5BE92021" w:rsidR="00D23E7E" w:rsidRPr="001F25C1" w:rsidRDefault="001F25C1" w:rsidP="001F25C1">
      <w:pPr>
        <w:spacing w:after="0" w:line="276" w:lineRule="auto"/>
        <w:jc w:val="center"/>
        <w:rPr>
          <w:rFonts w:ascii="Times New Roman" w:eastAsia="Calibri" w:hAnsi="Times New Roman" w:cs="Times New Roman"/>
          <w:b/>
          <w:sz w:val="24"/>
          <w:szCs w:val="24"/>
        </w:rPr>
      </w:pPr>
      <w:proofErr w:type="gramStart"/>
      <w:r w:rsidRPr="001F25C1">
        <w:rPr>
          <w:rFonts w:ascii="Times New Roman" w:eastAsia="Calibri" w:hAnsi="Times New Roman" w:cs="Times New Roman"/>
          <w:b/>
          <w:sz w:val="24"/>
          <w:szCs w:val="24"/>
        </w:rPr>
        <w:t>2020.gada</w:t>
      </w:r>
      <w:proofErr w:type="gramEnd"/>
      <w:r w:rsidRPr="001F25C1">
        <w:rPr>
          <w:rFonts w:ascii="Times New Roman" w:eastAsia="Calibri" w:hAnsi="Times New Roman" w:cs="Times New Roman"/>
          <w:b/>
          <w:sz w:val="24"/>
          <w:szCs w:val="24"/>
        </w:rPr>
        <w:t xml:space="preserve"> 14.maija</w:t>
      </w:r>
    </w:p>
    <w:p w14:paraId="320E822A" w14:textId="77777777" w:rsidR="001F25C1" w:rsidRPr="001F25C1" w:rsidRDefault="00D23E7E" w:rsidP="00D23E7E">
      <w:pPr>
        <w:spacing w:after="0" w:line="276" w:lineRule="auto"/>
        <w:jc w:val="center"/>
        <w:rPr>
          <w:rFonts w:ascii="Times New Roman" w:eastAsia="Calibri" w:hAnsi="Times New Roman" w:cs="Times New Roman"/>
          <w:b/>
          <w:sz w:val="24"/>
          <w:szCs w:val="24"/>
        </w:rPr>
      </w:pPr>
      <w:r w:rsidRPr="001F25C1">
        <w:rPr>
          <w:rFonts w:ascii="Times New Roman" w:eastAsia="Calibri" w:hAnsi="Times New Roman" w:cs="Times New Roman"/>
          <w:b/>
          <w:sz w:val="24"/>
          <w:szCs w:val="24"/>
        </w:rPr>
        <w:t>LĒMUMS</w:t>
      </w:r>
      <w:r w:rsidR="001F25C1" w:rsidRPr="001F25C1">
        <w:rPr>
          <w:rFonts w:ascii="Times New Roman" w:eastAsia="Calibri" w:hAnsi="Times New Roman" w:cs="Times New Roman"/>
          <w:b/>
          <w:sz w:val="24"/>
          <w:szCs w:val="24"/>
        </w:rPr>
        <w:t xml:space="preserve"> </w:t>
      </w:r>
    </w:p>
    <w:p w14:paraId="0CD3F8E0" w14:textId="71A44698" w:rsidR="00D23E7E" w:rsidRPr="001F25C1" w:rsidRDefault="001F25C1" w:rsidP="00D23E7E">
      <w:pPr>
        <w:spacing w:after="0" w:line="276" w:lineRule="auto"/>
        <w:jc w:val="center"/>
        <w:rPr>
          <w:rFonts w:ascii="Times New Roman" w:eastAsia="Calibri" w:hAnsi="Times New Roman" w:cs="Times New Roman"/>
          <w:b/>
          <w:sz w:val="24"/>
          <w:szCs w:val="24"/>
        </w:rPr>
      </w:pPr>
      <w:r w:rsidRPr="001F25C1">
        <w:rPr>
          <w:rFonts w:ascii="Times New Roman" w:eastAsia="Calibri" w:hAnsi="Times New Roman" w:cs="Times New Roman"/>
          <w:b/>
          <w:sz w:val="24"/>
          <w:szCs w:val="24"/>
        </w:rPr>
        <w:t>Lieta Nr. 11519014416, SKK-256/2020</w:t>
      </w:r>
    </w:p>
    <w:p w14:paraId="46351E0B" w14:textId="5983CEE8" w:rsidR="001F25C1" w:rsidRPr="001F25C1" w:rsidRDefault="00DA5F49" w:rsidP="00D23E7E">
      <w:pPr>
        <w:spacing w:after="0" w:line="276" w:lineRule="auto"/>
        <w:jc w:val="center"/>
        <w:rPr>
          <w:rFonts w:ascii="Times New Roman" w:eastAsia="Calibri" w:hAnsi="Times New Roman" w:cs="Times New Roman"/>
          <w:b/>
          <w:sz w:val="24"/>
          <w:szCs w:val="24"/>
        </w:rPr>
      </w:pPr>
      <w:hyperlink r:id="rId6" w:history="1">
        <w:r w:rsidR="001F25C1" w:rsidRPr="001F25C1">
          <w:rPr>
            <w:rStyle w:val="Hyperlink"/>
            <w:rFonts w:ascii="Times New Roman" w:hAnsi="Times New Roman" w:cs="Times New Roman"/>
            <w:sz w:val="24"/>
            <w:szCs w:val="24"/>
            <w:shd w:val="clear" w:color="auto" w:fill="FFFFFF"/>
          </w:rPr>
          <w:t>ECLI:LV:AT:2020:0514.11519014416.18.L</w:t>
        </w:r>
      </w:hyperlink>
    </w:p>
    <w:p w14:paraId="6F8EC067" w14:textId="77777777" w:rsidR="00D23E7E" w:rsidRPr="00435438" w:rsidRDefault="00D23E7E" w:rsidP="00D23E7E">
      <w:pPr>
        <w:spacing w:after="0" w:line="276" w:lineRule="auto"/>
        <w:rPr>
          <w:rFonts w:ascii="Times New Roman" w:eastAsia="Calibri" w:hAnsi="Times New Roman" w:cs="Times New Roman"/>
          <w:sz w:val="24"/>
          <w:szCs w:val="24"/>
        </w:rPr>
      </w:pPr>
    </w:p>
    <w:p w14:paraId="52781DF0" w14:textId="77777777" w:rsidR="00895551" w:rsidRPr="00435438" w:rsidRDefault="00D23E7E" w:rsidP="00895551">
      <w:pPr>
        <w:spacing w:after="0" w:line="276" w:lineRule="auto"/>
        <w:ind w:firstLine="709"/>
        <w:jc w:val="both"/>
        <w:rPr>
          <w:rFonts w:ascii="Times New Roman" w:eastAsia="Calibri" w:hAnsi="Times New Roman" w:cs="Times New Roman"/>
          <w:sz w:val="24"/>
          <w:szCs w:val="24"/>
        </w:rPr>
      </w:pPr>
      <w:r w:rsidRPr="00435438">
        <w:rPr>
          <w:rFonts w:ascii="Times New Roman" w:eastAsia="Calibri" w:hAnsi="Times New Roman" w:cs="Times New Roman"/>
          <w:sz w:val="24"/>
          <w:szCs w:val="24"/>
        </w:rPr>
        <w:t>Tiesa šādā sastāvā: senatori Sandra Kaija, A</w:t>
      </w:r>
      <w:r w:rsidR="00895551" w:rsidRPr="00435438">
        <w:rPr>
          <w:rFonts w:ascii="Times New Roman" w:eastAsia="Calibri" w:hAnsi="Times New Roman" w:cs="Times New Roman"/>
          <w:sz w:val="24"/>
          <w:szCs w:val="24"/>
        </w:rPr>
        <w:t>nita Poļakova, Inguna Radzeviča</w:t>
      </w:r>
    </w:p>
    <w:p w14:paraId="65215707" w14:textId="77777777" w:rsidR="00D23E7E" w:rsidRPr="00435438" w:rsidRDefault="00D23E7E" w:rsidP="00895551">
      <w:pPr>
        <w:spacing w:after="0" w:line="276" w:lineRule="auto"/>
        <w:ind w:firstLine="709"/>
        <w:jc w:val="both"/>
        <w:rPr>
          <w:rFonts w:ascii="Times New Roman" w:eastAsia="Calibri" w:hAnsi="Times New Roman" w:cs="Times New Roman"/>
          <w:sz w:val="24"/>
          <w:szCs w:val="24"/>
        </w:rPr>
      </w:pPr>
      <w:r w:rsidRPr="00435438">
        <w:rPr>
          <w:rFonts w:ascii="Times New Roman" w:eastAsia="Calibri" w:hAnsi="Times New Roman" w:cs="Times New Roman"/>
          <w:sz w:val="24"/>
          <w:szCs w:val="24"/>
        </w:rPr>
        <w:t xml:space="preserve"> </w:t>
      </w:r>
    </w:p>
    <w:p w14:paraId="4B149563" w14:textId="77777777" w:rsidR="00D23E7E" w:rsidRPr="00435438" w:rsidRDefault="00D23E7E" w:rsidP="00D23E7E">
      <w:pPr>
        <w:spacing w:after="0" w:line="276" w:lineRule="auto"/>
        <w:ind w:firstLine="709"/>
        <w:jc w:val="both"/>
        <w:rPr>
          <w:rFonts w:ascii="Times New Roman" w:eastAsia="Calibri" w:hAnsi="Times New Roman" w:cs="Times New Roman"/>
          <w:sz w:val="24"/>
          <w:szCs w:val="24"/>
        </w:rPr>
      </w:pPr>
      <w:r w:rsidRPr="00435438">
        <w:rPr>
          <w:rFonts w:ascii="Times New Roman" w:eastAsia="Calibri" w:hAnsi="Times New Roman" w:cs="Times New Roman"/>
          <w:sz w:val="24"/>
          <w:szCs w:val="24"/>
        </w:rPr>
        <w:t xml:space="preserve">izskatīja rakstveida procesā krimināllietu sakarā ar Narkotiku nelikumīgas aprites noziegumu izmeklēšanas prokuratūras prokurora Ginta </w:t>
      </w:r>
      <w:proofErr w:type="spellStart"/>
      <w:r w:rsidRPr="00435438">
        <w:rPr>
          <w:rFonts w:ascii="Times New Roman" w:eastAsia="Calibri" w:hAnsi="Times New Roman" w:cs="Times New Roman"/>
          <w:sz w:val="24"/>
          <w:szCs w:val="24"/>
        </w:rPr>
        <w:t>Voicehoviča</w:t>
      </w:r>
      <w:proofErr w:type="spellEnd"/>
      <w:r w:rsidRPr="00435438">
        <w:rPr>
          <w:rFonts w:ascii="Times New Roman" w:eastAsia="Calibri" w:hAnsi="Times New Roman" w:cs="Times New Roman"/>
          <w:sz w:val="24"/>
          <w:szCs w:val="24"/>
        </w:rPr>
        <w:t xml:space="preserve"> kasācijas protestu par Rīgas apgabaltiesas </w:t>
      </w:r>
      <w:proofErr w:type="gramStart"/>
      <w:r w:rsidRPr="00435438">
        <w:rPr>
          <w:rFonts w:ascii="Times New Roman" w:eastAsia="Calibri" w:hAnsi="Times New Roman" w:cs="Times New Roman"/>
          <w:sz w:val="24"/>
          <w:szCs w:val="24"/>
        </w:rPr>
        <w:t>2019.gada</w:t>
      </w:r>
      <w:proofErr w:type="gramEnd"/>
      <w:r w:rsidRPr="00435438">
        <w:rPr>
          <w:rFonts w:ascii="Times New Roman" w:eastAsia="Calibri" w:hAnsi="Times New Roman" w:cs="Times New Roman"/>
          <w:sz w:val="24"/>
          <w:szCs w:val="24"/>
        </w:rPr>
        <w:t xml:space="preserve"> 24.oktobra spriedumu.</w:t>
      </w:r>
    </w:p>
    <w:p w14:paraId="6FB3DBBE" w14:textId="77777777" w:rsidR="00D23E7E" w:rsidRPr="00435438" w:rsidRDefault="00D23E7E" w:rsidP="00D23E7E">
      <w:pPr>
        <w:keepNext/>
        <w:spacing w:after="0" w:line="276" w:lineRule="auto"/>
        <w:jc w:val="center"/>
        <w:outlineLvl w:val="1"/>
        <w:rPr>
          <w:rFonts w:ascii="Times New Roman" w:eastAsia="Calibri" w:hAnsi="Times New Roman" w:cs="Times New Roman"/>
          <w:b/>
          <w:bCs/>
          <w:iCs/>
          <w:sz w:val="24"/>
          <w:szCs w:val="24"/>
        </w:rPr>
      </w:pPr>
    </w:p>
    <w:p w14:paraId="6201EDA0" w14:textId="77777777" w:rsidR="00D23E7E" w:rsidRPr="00435438" w:rsidRDefault="00D23E7E" w:rsidP="00D23E7E">
      <w:pPr>
        <w:keepNext/>
        <w:spacing w:after="0" w:line="276" w:lineRule="auto"/>
        <w:jc w:val="center"/>
        <w:outlineLvl w:val="1"/>
        <w:rPr>
          <w:rFonts w:ascii="Times New Roman" w:eastAsia="Calibri" w:hAnsi="Times New Roman" w:cs="Times New Roman"/>
          <w:b/>
          <w:bCs/>
          <w:iCs/>
          <w:sz w:val="24"/>
          <w:szCs w:val="24"/>
        </w:rPr>
      </w:pPr>
      <w:r w:rsidRPr="00435438">
        <w:rPr>
          <w:rFonts w:ascii="Times New Roman" w:eastAsia="Calibri" w:hAnsi="Times New Roman" w:cs="Times New Roman"/>
          <w:b/>
          <w:bCs/>
          <w:iCs/>
          <w:sz w:val="24"/>
          <w:szCs w:val="24"/>
        </w:rPr>
        <w:t>Aprakstošā daļa</w:t>
      </w:r>
    </w:p>
    <w:p w14:paraId="7F05F8A6" w14:textId="77777777" w:rsidR="00D23E7E" w:rsidRPr="00435438" w:rsidRDefault="00D23E7E" w:rsidP="00D23E7E">
      <w:pPr>
        <w:spacing w:after="0" w:line="276" w:lineRule="auto"/>
        <w:jc w:val="center"/>
        <w:rPr>
          <w:rFonts w:ascii="Times New Roman" w:eastAsia="Calibri" w:hAnsi="Times New Roman" w:cs="Times New Roman"/>
          <w:sz w:val="24"/>
          <w:szCs w:val="24"/>
        </w:rPr>
      </w:pPr>
    </w:p>
    <w:p w14:paraId="2320FD3B" w14:textId="77777777" w:rsidR="00D23E7E" w:rsidRPr="00435438" w:rsidRDefault="00D23E7E" w:rsidP="00D23E7E">
      <w:pPr>
        <w:spacing w:after="0" w:line="276" w:lineRule="auto"/>
        <w:ind w:firstLine="709"/>
        <w:jc w:val="both"/>
        <w:rPr>
          <w:rFonts w:ascii="Times New Roman" w:eastAsia="Calibri" w:hAnsi="Times New Roman" w:cs="Times New Roman"/>
          <w:sz w:val="24"/>
          <w:szCs w:val="24"/>
        </w:rPr>
      </w:pPr>
      <w:r w:rsidRPr="00435438">
        <w:rPr>
          <w:rFonts w:ascii="Times New Roman" w:eastAsia="Calibri" w:hAnsi="Times New Roman" w:cs="Times New Roman"/>
          <w:sz w:val="24"/>
          <w:szCs w:val="24"/>
        </w:rPr>
        <w:t xml:space="preserve">[1] Ar Rīgas pilsētas Vidzemes priekšpilsētas tiesas </w:t>
      </w:r>
      <w:proofErr w:type="gramStart"/>
      <w:r w:rsidRPr="00435438">
        <w:rPr>
          <w:rFonts w:ascii="Times New Roman" w:eastAsia="Calibri" w:hAnsi="Times New Roman" w:cs="Times New Roman"/>
          <w:sz w:val="24"/>
          <w:szCs w:val="24"/>
        </w:rPr>
        <w:t>2018.gada</w:t>
      </w:r>
      <w:proofErr w:type="gramEnd"/>
      <w:r w:rsidRPr="00435438">
        <w:rPr>
          <w:rFonts w:ascii="Times New Roman" w:eastAsia="Calibri" w:hAnsi="Times New Roman" w:cs="Times New Roman"/>
          <w:sz w:val="24"/>
          <w:szCs w:val="24"/>
        </w:rPr>
        <w:t xml:space="preserve"> 13.decembra spriedumu</w:t>
      </w:r>
    </w:p>
    <w:p w14:paraId="439F7CE7" w14:textId="2513EF01" w:rsidR="00D23E7E" w:rsidRPr="00435438" w:rsidRDefault="00406415" w:rsidP="00D23E7E">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[pers. A]</w:t>
      </w:r>
      <w:r w:rsidR="00D23E7E" w:rsidRPr="00435438">
        <w:rPr>
          <w:rFonts w:ascii="Times New Roman" w:eastAsia="Calibri" w:hAnsi="Times New Roman" w:cs="Times New Roman"/>
          <w:sz w:val="24"/>
          <w:szCs w:val="24"/>
        </w:rPr>
        <w:t>,</w:t>
      </w:r>
      <w:r w:rsidR="00D23E7E" w:rsidRPr="00435438">
        <w:rPr>
          <w:rFonts w:ascii="Times New Roman" w:eastAsia="Calibri" w:hAnsi="Times New Roman" w:cs="Times New Roman"/>
          <w:b/>
          <w:sz w:val="24"/>
          <w:szCs w:val="24"/>
        </w:rPr>
        <w:t xml:space="preserve"> </w:t>
      </w:r>
      <w:r w:rsidR="00D23E7E" w:rsidRPr="00435438">
        <w:rPr>
          <w:rFonts w:ascii="Times New Roman" w:eastAsia="Calibri" w:hAnsi="Times New Roman" w:cs="Times New Roman"/>
          <w:sz w:val="24"/>
          <w:szCs w:val="24"/>
        </w:rPr>
        <w:t xml:space="preserve">personas kods </w:t>
      </w:r>
      <w:r>
        <w:rPr>
          <w:rFonts w:ascii="Times New Roman" w:eastAsia="Calibri" w:hAnsi="Times New Roman" w:cs="Times New Roman"/>
          <w:sz w:val="24"/>
          <w:szCs w:val="24"/>
        </w:rPr>
        <w:t>[..]</w:t>
      </w:r>
      <w:r w:rsidR="00D23E7E" w:rsidRPr="00435438">
        <w:rPr>
          <w:rFonts w:ascii="Times New Roman" w:eastAsia="Calibri" w:hAnsi="Times New Roman" w:cs="Times New Roman"/>
          <w:sz w:val="24"/>
          <w:szCs w:val="24"/>
        </w:rPr>
        <w:t>,</w:t>
      </w:r>
    </w:p>
    <w:p w14:paraId="588773CC" w14:textId="77777777" w:rsidR="00D23E7E" w:rsidRPr="00435438" w:rsidRDefault="00D23E7E" w:rsidP="00D23E7E">
      <w:pPr>
        <w:spacing w:after="0" w:line="276" w:lineRule="auto"/>
        <w:ind w:firstLine="709"/>
        <w:jc w:val="both"/>
        <w:rPr>
          <w:rFonts w:ascii="Times New Roman" w:eastAsia="Calibri" w:hAnsi="Times New Roman" w:cs="Times New Roman"/>
          <w:sz w:val="24"/>
          <w:szCs w:val="24"/>
        </w:rPr>
      </w:pPr>
      <w:r w:rsidRPr="00435438">
        <w:rPr>
          <w:rFonts w:ascii="Times New Roman" w:eastAsia="Calibri" w:hAnsi="Times New Roman" w:cs="Times New Roman"/>
          <w:sz w:val="24"/>
          <w:szCs w:val="24"/>
        </w:rPr>
        <w:t>atzīts par vainīgu Krimināllikuma 253.</w:t>
      </w:r>
      <w:proofErr w:type="gramStart"/>
      <w:r w:rsidRPr="00435438">
        <w:rPr>
          <w:rFonts w:ascii="Times New Roman" w:eastAsia="Calibri" w:hAnsi="Times New Roman" w:cs="Times New Roman"/>
          <w:sz w:val="24"/>
          <w:szCs w:val="24"/>
          <w:vertAlign w:val="superscript"/>
        </w:rPr>
        <w:t>1</w:t>
      </w:r>
      <w:r w:rsidRPr="00435438">
        <w:rPr>
          <w:rFonts w:ascii="Times New Roman" w:eastAsia="Calibri" w:hAnsi="Times New Roman" w:cs="Times New Roman"/>
          <w:sz w:val="24"/>
          <w:szCs w:val="24"/>
        </w:rPr>
        <w:t>panta</w:t>
      </w:r>
      <w:proofErr w:type="gramEnd"/>
      <w:r w:rsidRPr="00435438">
        <w:rPr>
          <w:rFonts w:ascii="Times New Roman" w:eastAsia="Calibri" w:hAnsi="Times New Roman" w:cs="Times New Roman"/>
          <w:sz w:val="24"/>
          <w:szCs w:val="24"/>
        </w:rPr>
        <w:t xml:space="preserve"> trešajā daļā paredzētajā noziedzīgajā nodarījumā un sodīts ar brīvības atņemšanu uz 7 gadiem un probācijas uzraudzību uz 3 gadiem.</w:t>
      </w:r>
    </w:p>
    <w:p w14:paraId="5F7236B1" w14:textId="5A70D1D4" w:rsidR="00D23E7E" w:rsidRPr="00435438" w:rsidRDefault="00D23E7E" w:rsidP="00D23E7E">
      <w:pPr>
        <w:spacing w:after="0" w:line="276" w:lineRule="auto"/>
        <w:ind w:firstLine="709"/>
        <w:jc w:val="both"/>
        <w:rPr>
          <w:rFonts w:ascii="Times New Roman" w:eastAsia="Calibri" w:hAnsi="Times New Roman" w:cs="Times New Roman"/>
          <w:sz w:val="24"/>
          <w:szCs w:val="24"/>
        </w:rPr>
      </w:pPr>
      <w:r w:rsidRPr="00435438">
        <w:rPr>
          <w:rFonts w:ascii="Times New Roman" w:eastAsia="Calibri" w:hAnsi="Times New Roman" w:cs="Times New Roman"/>
          <w:sz w:val="24"/>
          <w:szCs w:val="24"/>
        </w:rPr>
        <w:t xml:space="preserve">Saskaņā ar Krimināllikuma </w:t>
      </w:r>
      <w:proofErr w:type="gramStart"/>
      <w:r w:rsidRPr="00435438">
        <w:rPr>
          <w:rFonts w:ascii="Times New Roman" w:eastAsia="Calibri" w:hAnsi="Times New Roman" w:cs="Times New Roman"/>
          <w:sz w:val="24"/>
          <w:szCs w:val="24"/>
        </w:rPr>
        <w:t>51.pantu</w:t>
      </w:r>
      <w:proofErr w:type="gramEnd"/>
      <w:r w:rsidRPr="00435438">
        <w:rPr>
          <w:rFonts w:ascii="Times New Roman" w:eastAsia="Calibri" w:hAnsi="Times New Roman" w:cs="Times New Roman"/>
          <w:sz w:val="24"/>
          <w:szCs w:val="24"/>
        </w:rPr>
        <w:t xml:space="preserve"> </w:t>
      </w:r>
      <w:r w:rsidR="00406415">
        <w:rPr>
          <w:rFonts w:ascii="Times New Roman" w:eastAsia="Calibri" w:hAnsi="Times New Roman" w:cs="Times New Roman"/>
          <w:sz w:val="24"/>
          <w:szCs w:val="24"/>
        </w:rPr>
        <w:t>[pers. A]</w:t>
      </w:r>
      <w:r w:rsidRPr="00435438">
        <w:rPr>
          <w:rFonts w:ascii="Times New Roman" w:eastAsia="Calibri" w:hAnsi="Times New Roman" w:cs="Times New Roman"/>
          <w:sz w:val="24"/>
          <w:szCs w:val="24"/>
        </w:rPr>
        <w:t xml:space="preserve"> galīgais sods noteikts brīvības atņemšana uz 8 gadiem un probācijas uzraudzība uz 3 gadiem. </w:t>
      </w:r>
    </w:p>
    <w:p w14:paraId="3BA91F7C" w14:textId="77777777" w:rsidR="00D23E7E" w:rsidRPr="00435438" w:rsidRDefault="00D23E7E" w:rsidP="00D23E7E">
      <w:pPr>
        <w:spacing w:after="0" w:line="276" w:lineRule="auto"/>
        <w:ind w:firstLine="709"/>
        <w:jc w:val="both"/>
        <w:rPr>
          <w:rFonts w:ascii="Times New Roman" w:eastAsia="Calibri" w:hAnsi="Times New Roman" w:cs="Times New Roman"/>
          <w:sz w:val="24"/>
          <w:szCs w:val="24"/>
        </w:rPr>
      </w:pPr>
    </w:p>
    <w:p w14:paraId="6229A333" w14:textId="127CE5BC" w:rsidR="00D23E7E" w:rsidRPr="00435438" w:rsidRDefault="00D23E7E" w:rsidP="00D23E7E">
      <w:pPr>
        <w:spacing w:after="0" w:line="276" w:lineRule="auto"/>
        <w:ind w:firstLine="709"/>
        <w:jc w:val="both"/>
        <w:rPr>
          <w:rFonts w:ascii="Times New Roman" w:eastAsia="Calibri" w:hAnsi="Times New Roman" w:cs="Times New Roman"/>
          <w:sz w:val="24"/>
          <w:szCs w:val="24"/>
        </w:rPr>
      </w:pPr>
      <w:r w:rsidRPr="00435438">
        <w:rPr>
          <w:rFonts w:ascii="Times New Roman" w:eastAsia="Calibri" w:hAnsi="Times New Roman" w:cs="Times New Roman"/>
          <w:sz w:val="24"/>
          <w:szCs w:val="24"/>
        </w:rPr>
        <w:t xml:space="preserve">[2] Ar pirmās instances tiesas spriedumu </w:t>
      </w:r>
      <w:r w:rsidR="00406415">
        <w:rPr>
          <w:rFonts w:ascii="Times New Roman" w:eastAsia="Calibri" w:hAnsi="Times New Roman" w:cs="Times New Roman"/>
          <w:sz w:val="24"/>
          <w:szCs w:val="24"/>
        </w:rPr>
        <w:t>[pers. A]</w:t>
      </w:r>
      <w:r w:rsidRPr="00435438">
        <w:rPr>
          <w:rFonts w:ascii="Times New Roman" w:eastAsia="Calibri" w:hAnsi="Times New Roman" w:cs="Times New Roman"/>
          <w:sz w:val="24"/>
          <w:szCs w:val="24"/>
        </w:rPr>
        <w:t xml:space="preserve"> </w:t>
      </w:r>
      <w:proofErr w:type="gramStart"/>
      <w:r w:rsidRPr="00435438">
        <w:rPr>
          <w:rFonts w:ascii="Times New Roman" w:eastAsia="Calibri" w:hAnsi="Times New Roman" w:cs="Times New Roman"/>
          <w:sz w:val="24"/>
          <w:szCs w:val="24"/>
        </w:rPr>
        <w:t>atzīts par vainīgu un sodīts par psihotropo vielu neatļautu iegādāšanos un glabāšanu realizācijas nolūkā, un psihotropo vielu</w:t>
      </w:r>
      <w:proofErr w:type="gramEnd"/>
      <w:r w:rsidRPr="00435438">
        <w:rPr>
          <w:rFonts w:ascii="Times New Roman" w:eastAsia="Calibri" w:hAnsi="Times New Roman" w:cs="Times New Roman"/>
          <w:sz w:val="24"/>
          <w:szCs w:val="24"/>
        </w:rPr>
        <w:t xml:space="preserve"> neatļautu realizēšanu lielā apmērā.</w:t>
      </w:r>
    </w:p>
    <w:p w14:paraId="7266BC7B" w14:textId="77777777" w:rsidR="00D23E7E" w:rsidRPr="00435438" w:rsidRDefault="00D23E7E" w:rsidP="00D23E7E">
      <w:pPr>
        <w:spacing w:after="0" w:line="276" w:lineRule="auto"/>
        <w:ind w:firstLine="709"/>
        <w:jc w:val="both"/>
        <w:rPr>
          <w:rFonts w:ascii="Times New Roman" w:eastAsia="Calibri" w:hAnsi="Times New Roman" w:cs="Times New Roman"/>
          <w:sz w:val="24"/>
          <w:szCs w:val="24"/>
        </w:rPr>
      </w:pPr>
    </w:p>
    <w:p w14:paraId="6A59BC88" w14:textId="67DA80BB" w:rsidR="00D23E7E" w:rsidRPr="00435438" w:rsidRDefault="00D23E7E" w:rsidP="00D23E7E">
      <w:pPr>
        <w:spacing w:after="0" w:line="276" w:lineRule="auto"/>
        <w:ind w:firstLine="709"/>
        <w:jc w:val="both"/>
        <w:rPr>
          <w:rFonts w:ascii="Times New Roman" w:eastAsia="Calibri" w:hAnsi="Times New Roman" w:cs="Times New Roman"/>
          <w:sz w:val="24"/>
          <w:szCs w:val="24"/>
        </w:rPr>
      </w:pPr>
      <w:r w:rsidRPr="00435438">
        <w:rPr>
          <w:rFonts w:ascii="Times New Roman" w:hAnsi="Times New Roman" w:cs="Times New Roman"/>
          <w:sz w:val="24"/>
          <w:szCs w:val="24"/>
        </w:rPr>
        <w:t>[</w:t>
      </w:r>
      <w:r w:rsidRPr="00435438">
        <w:rPr>
          <w:rFonts w:ascii="Times New Roman" w:eastAsia="Calibri" w:hAnsi="Times New Roman" w:cs="Times New Roman"/>
          <w:sz w:val="24"/>
          <w:szCs w:val="24"/>
        </w:rPr>
        <w:t xml:space="preserve">3] Ar Rīgas apgabaltiesas </w:t>
      </w:r>
      <w:proofErr w:type="gramStart"/>
      <w:r w:rsidRPr="00435438">
        <w:rPr>
          <w:rFonts w:ascii="Times New Roman" w:eastAsia="Calibri" w:hAnsi="Times New Roman" w:cs="Times New Roman"/>
          <w:sz w:val="24"/>
          <w:szCs w:val="24"/>
        </w:rPr>
        <w:t>2019.gada</w:t>
      </w:r>
      <w:proofErr w:type="gramEnd"/>
      <w:r w:rsidRPr="00435438">
        <w:rPr>
          <w:rFonts w:ascii="Times New Roman" w:eastAsia="Calibri" w:hAnsi="Times New Roman" w:cs="Times New Roman"/>
          <w:sz w:val="24"/>
          <w:szCs w:val="24"/>
        </w:rPr>
        <w:t xml:space="preserve"> </w:t>
      </w:r>
      <w:r w:rsidRPr="00435438">
        <w:rPr>
          <w:rFonts w:ascii="Times New Roman" w:hAnsi="Times New Roman" w:cs="Times New Roman"/>
          <w:sz w:val="24"/>
          <w:szCs w:val="24"/>
        </w:rPr>
        <w:t>24.oktobra spriedumu</w:t>
      </w:r>
      <w:r w:rsidRPr="00435438">
        <w:rPr>
          <w:rFonts w:ascii="Times New Roman" w:eastAsia="Calibri" w:hAnsi="Times New Roman" w:cs="Times New Roman"/>
          <w:sz w:val="24"/>
          <w:szCs w:val="24"/>
        </w:rPr>
        <w:t xml:space="preserve">, izskatot krimināllietu apelācijas kārtībā sakarā ar apsūdzētā </w:t>
      </w:r>
      <w:r w:rsidR="00406415">
        <w:rPr>
          <w:rFonts w:ascii="Times New Roman" w:eastAsia="Calibri" w:hAnsi="Times New Roman" w:cs="Times New Roman"/>
          <w:sz w:val="24"/>
          <w:szCs w:val="24"/>
        </w:rPr>
        <w:t>[pers. A]</w:t>
      </w:r>
      <w:r w:rsidRPr="00435438">
        <w:rPr>
          <w:rFonts w:ascii="Times New Roman" w:eastAsia="Calibri" w:hAnsi="Times New Roman" w:cs="Times New Roman"/>
          <w:sz w:val="24"/>
          <w:szCs w:val="24"/>
        </w:rPr>
        <w:t xml:space="preserve"> aizstāves Indras </w:t>
      </w:r>
      <w:proofErr w:type="spellStart"/>
      <w:r w:rsidRPr="00435438">
        <w:rPr>
          <w:rFonts w:ascii="Times New Roman" w:eastAsia="Calibri" w:hAnsi="Times New Roman" w:cs="Times New Roman"/>
          <w:sz w:val="24"/>
          <w:szCs w:val="24"/>
        </w:rPr>
        <w:t>Dogādovas</w:t>
      </w:r>
      <w:proofErr w:type="spellEnd"/>
      <w:r w:rsidRPr="00435438">
        <w:rPr>
          <w:rFonts w:ascii="Times New Roman" w:eastAsia="Calibri" w:hAnsi="Times New Roman" w:cs="Times New Roman"/>
          <w:sz w:val="24"/>
          <w:szCs w:val="24"/>
        </w:rPr>
        <w:t xml:space="preserve"> apelācijas sūdzību, Rīgas pilsētas Vidzemes priekšpilsētas tiesas 2018.gada 13.decembra spriedums atcelts.</w:t>
      </w:r>
    </w:p>
    <w:p w14:paraId="0FA2A55F" w14:textId="6CCDE99A" w:rsidR="00D23E7E" w:rsidRPr="00435438" w:rsidRDefault="00406415" w:rsidP="00D23E7E">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[Pers. A]</w:t>
      </w:r>
      <w:r w:rsidR="00D23E7E" w:rsidRPr="00435438">
        <w:rPr>
          <w:rFonts w:ascii="Times New Roman" w:eastAsia="Calibri" w:hAnsi="Times New Roman" w:cs="Times New Roman"/>
          <w:sz w:val="24"/>
          <w:szCs w:val="24"/>
        </w:rPr>
        <w:t xml:space="preserve"> atzīts par nevainīgu pret viņu celtajā apsūdzībā pēc Krimināllikuma 253.</w:t>
      </w:r>
      <w:proofErr w:type="gramStart"/>
      <w:r w:rsidR="00D23E7E" w:rsidRPr="00435438">
        <w:rPr>
          <w:rFonts w:ascii="Times New Roman" w:eastAsia="Calibri" w:hAnsi="Times New Roman" w:cs="Times New Roman"/>
          <w:sz w:val="24"/>
          <w:szCs w:val="24"/>
          <w:vertAlign w:val="superscript"/>
        </w:rPr>
        <w:t>1</w:t>
      </w:r>
      <w:r w:rsidR="00D23E7E" w:rsidRPr="00435438">
        <w:rPr>
          <w:rFonts w:ascii="Times New Roman" w:eastAsia="Calibri" w:hAnsi="Times New Roman" w:cs="Times New Roman"/>
          <w:sz w:val="24"/>
          <w:szCs w:val="24"/>
        </w:rPr>
        <w:t>panta</w:t>
      </w:r>
      <w:proofErr w:type="gramEnd"/>
      <w:r w:rsidR="00D23E7E" w:rsidRPr="00435438">
        <w:rPr>
          <w:rFonts w:ascii="Times New Roman" w:eastAsia="Calibri" w:hAnsi="Times New Roman" w:cs="Times New Roman"/>
          <w:sz w:val="24"/>
          <w:szCs w:val="24"/>
        </w:rPr>
        <w:t xml:space="preserve"> trešās daļas</w:t>
      </w:r>
      <w:r w:rsidR="00EC00C5" w:rsidRPr="00435438">
        <w:rPr>
          <w:rFonts w:ascii="Times New Roman" w:eastAsia="Calibri" w:hAnsi="Times New Roman" w:cs="Times New Roman"/>
          <w:sz w:val="24"/>
          <w:szCs w:val="24"/>
        </w:rPr>
        <w:t xml:space="preserve"> </w:t>
      </w:r>
      <w:r w:rsidR="00D23E7E" w:rsidRPr="00435438">
        <w:rPr>
          <w:rFonts w:ascii="Times New Roman" w:eastAsia="Calibri" w:hAnsi="Times New Roman" w:cs="Times New Roman"/>
          <w:sz w:val="24"/>
          <w:szCs w:val="24"/>
        </w:rPr>
        <w:t>un attaisnots.</w:t>
      </w:r>
    </w:p>
    <w:p w14:paraId="6DAED991" w14:textId="77777777" w:rsidR="00D23E7E" w:rsidRPr="00435438" w:rsidRDefault="00D23E7E" w:rsidP="00D23E7E">
      <w:pPr>
        <w:spacing w:after="0" w:line="276" w:lineRule="auto"/>
        <w:ind w:firstLine="709"/>
        <w:jc w:val="both"/>
        <w:rPr>
          <w:rFonts w:ascii="Times New Roman" w:eastAsia="Calibri" w:hAnsi="Times New Roman" w:cs="Times New Roman"/>
          <w:sz w:val="24"/>
          <w:szCs w:val="24"/>
        </w:rPr>
      </w:pPr>
    </w:p>
    <w:p w14:paraId="67DD8862" w14:textId="77777777" w:rsidR="00D23E7E" w:rsidRPr="00435438" w:rsidRDefault="00D23E7E" w:rsidP="00D23E7E">
      <w:pPr>
        <w:spacing w:after="0" w:line="276" w:lineRule="auto"/>
        <w:ind w:firstLine="709"/>
        <w:jc w:val="both"/>
        <w:rPr>
          <w:rFonts w:ascii="Times New Roman" w:hAnsi="Times New Roman" w:cs="Times New Roman"/>
          <w:sz w:val="24"/>
          <w:szCs w:val="24"/>
        </w:rPr>
      </w:pPr>
      <w:r w:rsidRPr="00435438">
        <w:rPr>
          <w:rFonts w:ascii="Times New Roman" w:eastAsia="Calibri" w:hAnsi="Times New Roman" w:cs="Times New Roman"/>
          <w:sz w:val="24"/>
          <w:szCs w:val="24"/>
        </w:rPr>
        <w:t>[4] Par apelācijas instances tiesas spriedumu Narkotiku nelikumīgas aprites noziegumu izmeklēšanas prokuratūras prokurors G. </w:t>
      </w:r>
      <w:proofErr w:type="spellStart"/>
      <w:r w:rsidRPr="00435438">
        <w:rPr>
          <w:rFonts w:ascii="Times New Roman" w:eastAsia="Calibri" w:hAnsi="Times New Roman" w:cs="Times New Roman"/>
          <w:sz w:val="24"/>
          <w:szCs w:val="24"/>
        </w:rPr>
        <w:t>Voicehovičs</w:t>
      </w:r>
      <w:proofErr w:type="spellEnd"/>
      <w:r w:rsidRPr="00435438">
        <w:rPr>
          <w:rFonts w:ascii="Times New Roman" w:eastAsia="Calibri" w:hAnsi="Times New Roman" w:cs="Times New Roman"/>
          <w:sz w:val="24"/>
          <w:szCs w:val="24"/>
        </w:rPr>
        <w:t xml:space="preserve"> iesniedzis kasācijas protestu, kurā lūdz </w:t>
      </w:r>
      <w:r w:rsidRPr="00435438">
        <w:rPr>
          <w:rFonts w:ascii="Times New Roman" w:hAnsi="Times New Roman" w:cs="Times New Roman"/>
          <w:sz w:val="24"/>
          <w:szCs w:val="24"/>
        </w:rPr>
        <w:t xml:space="preserve">atcelt Rīgas apgabaltiesas </w:t>
      </w:r>
      <w:proofErr w:type="gramStart"/>
      <w:r w:rsidRPr="00435438">
        <w:rPr>
          <w:rFonts w:ascii="Times New Roman" w:hAnsi="Times New Roman" w:cs="Times New Roman"/>
          <w:sz w:val="24"/>
          <w:szCs w:val="24"/>
        </w:rPr>
        <w:t>2019.gada</w:t>
      </w:r>
      <w:proofErr w:type="gramEnd"/>
      <w:r w:rsidRPr="00435438">
        <w:rPr>
          <w:rFonts w:ascii="Times New Roman" w:hAnsi="Times New Roman" w:cs="Times New Roman"/>
          <w:sz w:val="24"/>
          <w:szCs w:val="24"/>
        </w:rPr>
        <w:t xml:space="preserve"> 24.oktobra spriedumu un nosūtīt lietu jaunai izskatīšanai. </w:t>
      </w:r>
    </w:p>
    <w:p w14:paraId="38C6096B" w14:textId="77777777" w:rsidR="00D23E7E" w:rsidRPr="00435438" w:rsidRDefault="00D23E7E" w:rsidP="00D23E7E">
      <w:pPr>
        <w:spacing w:after="0" w:line="276" w:lineRule="auto"/>
        <w:ind w:firstLine="709"/>
        <w:jc w:val="both"/>
        <w:rPr>
          <w:rFonts w:ascii="Times New Roman" w:hAnsi="Times New Roman" w:cs="Times New Roman"/>
          <w:sz w:val="24"/>
          <w:szCs w:val="24"/>
        </w:rPr>
      </w:pPr>
      <w:r w:rsidRPr="00435438">
        <w:rPr>
          <w:rFonts w:ascii="Times New Roman" w:hAnsi="Times New Roman" w:cs="Times New Roman"/>
          <w:sz w:val="24"/>
          <w:szCs w:val="24"/>
        </w:rPr>
        <w:t xml:space="preserve">[4.1] Kasācijas protestā prokurors norāda, ka apelācijas instances tiesa pieļāvusi Kriminālprocesa likuma </w:t>
      </w:r>
      <w:proofErr w:type="gramStart"/>
      <w:r w:rsidRPr="00435438">
        <w:rPr>
          <w:rFonts w:ascii="Times New Roman" w:hAnsi="Times New Roman" w:cs="Times New Roman"/>
          <w:sz w:val="24"/>
          <w:szCs w:val="24"/>
        </w:rPr>
        <w:t>519.panta</w:t>
      </w:r>
      <w:proofErr w:type="gramEnd"/>
      <w:r w:rsidRPr="00435438">
        <w:rPr>
          <w:rFonts w:ascii="Times New Roman" w:hAnsi="Times New Roman" w:cs="Times New Roman"/>
          <w:sz w:val="24"/>
          <w:szCs w:val="24"/>
        </w:rPr>
        <w:t xml:space="preserve"> pārkāpumu, jo spriedumu pamatojusi ar abiem Kriminālprocesa likuma 519.pantā norādītajiem attaisnojoša sprieduma taisīšanas pamatiem.</w:t>
      </w:r>
    </w:p>
    <w:p w14:paraId="20642457" w14:textId="77777777" w:rsidR="00D23E7E" w:rsidRPr="00435438" w:rsidRDefault="00D23E7E" w:rsidP="00D23E7E">
      <w:pPr>
        <w:spacing w:after="0" w:line="276" w:lineRule="auto"/>
        <w:ind w:firstLine="709"/>
        <w:jc w:val="both"/>
        <w:rPr>
          <w:rFonts w:ascii="Times New Roman" w:hAnsi="Times New Roman" w:cs="Times New Roman"/>
          <w:sz w:val="24"/>
          <w:szCs w:val="24"/>
        </w:rPr>
      </w:pPr>
      <w:r w:rsidRPr="00435438">
        <w:rPr>
          <w:rFonts w:ascii="Times New Roman" w:hAnsi="Times New Roman" w:cs="Times New Roman"/>
          <w:sz w:val="24"/>
          <w:szCs w:val="24"/>
        </w:rPr>
        <w:t xml:space="preserve">[4.2] Prokurors uzskata, ka apelācijas instances tiesa pieļāvusi Kriminālprocesa likuma </w:t>
      </w:r>
      <w:proofErr w:type="gramStart"/>
      <w:r w:rsidRPr="00435438">
        <w:rPr>
          <w:rFonts w:ascii="Times New Roman" w:hAnsi="Times New Roman" w:cs="Times New Roman"/>
          <w:sz w:val="24"/>
          <w:szCs w:val="24"/>
        </w:rPr>
        <w:t>19.panta</w:t>
      </w:r>
      <w:proofErr w:type="gramEnd"/>
      <w:r w:rsidRPr="00435438">
        <w:rPr>
          <w:rFonts w:ascii="Times New Roman" w:hAnsi="Times New Roman" w:cs="Times New Roman"/>
          <w:sz w:val="24"/>
          <w:szCs w:val="24"/>
        </w:rPr>
        <w:t xml:space="preserve"> un 124.panta pārkāpumu. Apelācijas instances tiesa nepamatoti norādījusi, ka attiecībā pret DNS ekspertīzes atzinumu piemērojams Kriminālprocesa likuma </w:t>
      </w:r>
      <w:proofErr w:type="gramStart"/>
      <w:r w:rsidRPr="00435438">
        <w:rPr>
          <w:rFonts w:ascii="Times New Roman" w:hAnsi="Times New Roman" w:cs="Times New Roman"/>
          <w:sz w:val="24"/>
          <w:szCs w:val="24"/>
        </w:rPr>
        <w:t>19.pants</w:t>
      </w:r>
      <w:proofErr w:type="gramEnd"/>
      <w:r w:rsidRPr="00435438">
        <w:rPr>
          <w:rFonts w:ascii="Times New Roman" w:hAnsi="Times New Roman" w:cs="Times New Roman"/>
          <w:sz w:val="24"/>
          <w:szCs w:val="24"/>
        </w:rPr>
        <w:t xml:space="preserve">. Prokurora ieskatā Kriminālprocesa likuma </w:t>
      </w:r>
      <w:proofErr w:type="gramStart"/>
      <w:r w:rsidRPr="00435438">
        <w:rPr>
          <w:rFonts w:ascii="Times New Roman" w:hAnsi="Times New Roman" w:cs="Times New Roman"/>
          <w:sz w:val="24"/>
          <w:szCs w:val="24"/>
        </w:rPr>
        <w:t>19.panta</w:t>
      </w:r>
      <w:proofErr w:type="gramEnd"/>
      <w:r w:rsidRPr="00435438">
        <w:rPr>
          <w:rFonts w:ascii="Times New Roman" w:hAnsi="Times New Roman" w:cs="Times New Roman"/>
          <w:sz w:val="24"/>
          <w:szCs w:val="24"/>
        </w:rPr>
        <w:t xml:space="preserve"> trešā daļa piemērojama visu pierādījumu kopumam, nevis atsevišķi pārbaudītam pierādījumam.</w:t>
      </w:r>
    </w:p>
    <w:p w14:paraId="3CD2E89C" w14:textId="0089ED05" w:rsidR="00D23E7E" w:rsidRDefault="00D23E7E" w:rsidP="00D23E7E">
      <w:pPr>
        <w:spacing w:after="0" w:line="276" w:lineRule="auto"/>
        <w:ind w:firstLine="709"/>
        <w:jc w:val="both"/>
        <w:rPr>
          <w:rFonts w:ascii="Times New Roman" w:hAnsi="Times New Roman" w:cs="Times New Roman"/>
          <w:sz w:val="24"/>
          <w:szCs w:val="24"/>
        </w:rPr>
      </w:pPr>
      <w:r w:rsidRPr="00435438">
        <w:rPr>
          <w:rFonts w:ascii="Times New Roman" w:hAnsi="Times New Roman" w:cs="Times New Roman"/>
          <w:sz w:val="24"/>
          <w:szCs w:val="24"/>
        </w:rPr>
        <w:t xml:space="preserve">[4.3] Turklāt prokurors kasācijas protestā norāda, ka apelācijas instances tiesa pieļāvusi Kriminālprocesa likuma 511. un </w:t>
      </w:r>
      <w:proofErr w:type="gramStart"/>
      <w:r w:rsidRPr="00435438">
        <w:rPr>
          <w:rFonts w:ascii="Times New Roman" w:hAnsi="Times New Roman" w:cs="Times New Roman"/>
          <w:sz w:val="24"/>
          <w:szCs w:val="24"/>
        </w:rPr>
        <w:t>512.panta</w:t>
      </w:r>
      <w:proofErr w:type="gramEnd"/>
      <w:r w:rsidRPr="00435438">
        <w:rPr>
          <w:rFonts w:ascii="Times New Roman" w:hAnsi="Times New Roman" w:cs="Times New Roman"/>
          <w:sz w:val="24"/>
          <w:szCs w:val="24"/>
        </w:rPr>
        <w:t xml:space="preserve"> pārkāpumu, nevērtējot liecinieka </w:t>
      </w:r>
      <w:r w:rsidR="007833F6">
        <w:rPr>
          <w:rFonts w:ascii="Times New Roman" w:hAnsi="Times New Roman" w:cs="Times New Roman"/>
          <w:sz w:val="24"/>
          <w:szCs w:val="24"/>
        </w:rPr>
        <w:t>[pers. B]</w:t>
      </w:r>
      <w:r w:rsidRPr="00435438">
        <w:rPr>
          <w:rFonts w:ascii="Times New Roman" w:hAnsi="Times New Roman" w:cs="Times New Roman"/>
          <w:sz w:val="24"/>
          <w:szCs w:val="24"/>
        </w:rPr>
        <w:t xml:space="preserve"> liecības kopumā un savstarpējā sakarībā ar citiem kriminālprocesā esošajiem pierādījumiem. </w:t>
      </w:r>
    </w:p>
    <w:p w14:paraId="02327BB2" w14:textId="77777777" w:rsidR="00B03202" w:rsidRPr="00435438" w:rsidRDefault="00B03202" w:rsidP="00D23E7E">
      <w:pPr>
        <w:spacing w:after="0" w:line="276" w:lineRule="auto"/>
        <w:ind w:firstLine="709"/>
        <w:jc w:val="both"/>
        <w:rPr>
          <w:rFonts w:ascii="Times New Roman" w:hAnsi="Times New Roman" w:cs="Times New Roman"/>
          <w:sz w:val="24"/>
          <w:szCs w:val="24"/>
        </w:rPr>
      </w:pPr>
    </w:p>
    <w:p w14:paraId="65C01907" w14:textId="5DFAA9F3" w:rsidR="00D23E7E" w:rsidRPr="00435438" w:rsidRDefault="00D23E7E" w:rsidP="00D23E7E">
      <w:pPr>
        <w:spacing w:after="0" w:line="276" w:lineRule="auto"/>
        <w:ind w:firstLine="709"/>
        <w:jc w:val="both"/>
        <w:rPr>
          <w:rFonts w:ascii="Times New Roman" w:hAnsi="Times New Roman" w:cs="Times New Roman"/>
          <w:sz w:val="24"/>
          <w:szCs w:val="24"/>
        </w:rPr>
      </w:pPr>
      <w:r w:rsidRPr="00435438">
        <w:rPr>
          <w:rFonts w:ascii="Times New Roman" w:hAnsi="Times New Roman" w:cs="Times New Roman"/>
          <w:sz w:val="24"/>
          <w:szCs w:val="24"/>
        </w:rPr>
        <w:t xml:space="preserve">[5] Iebildumus pret kasācijas protestu iesniegusi apsūdzētā </w:t>
      </w:r>
      <w:r w:rsidR="00406415">
        <w:rPr>
          <w:rFonts w:ascii="Times New Roman" w:hAnsi="Times New Roman" w:cs="Times New Roman"/>
          <w:sz w:val="24"/>
          <w:szCs w:val="24"/>
        </w:rPr>
        <w:t>[pers. A]</w:t>
      </w:r>
      <w:r w:rsidRPr="00435438">
        <w:rPr>
          <w:rFonts w:ascii="Times New Roman" w:hAnsi="Times New Roman" w:cs="Times New Roman"/>
          <w:sz w:val="24"/>
          <w:szCs w:val="24"/>
        </w:rPr>
        <w:t xml:space="preserve"> aizstāve I. </w:t>
      </w:r>
      <w:proofErr w:type="spellStart"/>
      <w:r w:rsidRPr="00435438">
        <w:rPr>
          <w:rFonts w:ascii="Times New Roman" w:hAnsi="Times New Roman" w:cs="Times New Roman"/>
          <w:sz w:val="24"/>
          <w:szCs w:val="24"/>
        </w:rPr>
        <w:t>Dogādova</w:t>
      </w:r>
      <w:proofErr w:type="spellEnd"/>
      <w:r w:rsidRPr="00435438">
        <w:rPr>
          <w:rFonts w:ascii="Times New Roman" w:hAnsi="Times New Roman" w:cs="Times New Roman"/>
          <w:sz w:val="24"/>
          <w:szCs w:val="24"/>
        </w:rPr>
        <w:t>. Aizstāve norāda, ka kasācijas tiesvedības ierosināšanai nav pamata, jo kasācijas protestā nepamatoti norādīts uz Kriminālprocesa likuma pārkāpumiem. I. </w:t>
      </w:r>
      <w:proofErr w:type="spellStart"/>
      <w:r w:rsidRPr="00435438">
        <w:rPr>
          <w:rFonts w:ascii="Times New Roman" w:hAnsi="Times New Roman" w:cs="Times New Roman"/>
          <w:sz w:val="24"/>
          <w:szCs w:val="24"/>
        </w:rPr>
        <w:t>Dogādova</w:t>
      </w:r>
      <w:proofErr w:type="spellEnd"/>
      <w:r w:rsidRPr="00435438">
        <w:rPr>
          <w:rFonts w:ascii="Times New Roman" w:hAnsi="Times New Roman" w:cs="Times New Roman"/>
          <w:sz w:val="24"/>
          <w:szCs w:val="24"/>
        </w:rPr>
        <w:t xml:space="preserve"> uzskata, ka kasācijas protestā norādītie motīvi saistīti ar prokurora vēlmi atkārtoti izvērtēt pierādījumus kasācijas instances tiesā un panākt apelācijas instances tiesas sprieduma atcelšanu nevis juridisku, bet faktisku iemeslu dēļ.</w:t>
      </w:r>
    </w:p>
    <w:p w14:paraId="158D18AF" w14:textId="77777777" w:rsidR="00D23E7E" w:rsidRPr="00435438" w:rsidRDefault="00D23E7E" w:rsidP="00D23E7E">
      <w:pPr>
        <w:spacing w:after="0" w:line="276" w:lineRule="auto"/>
        <w:ind w:firstLine="709"/>
        <w:jc w:val="both"/>
        <w:rPr>
          <w:rFonts w:ascii="Times New Roman" w:hAnsi="Times New Roman" w:cs="Times New Roman"/>
          <w:sz w:val="24"/>
          <w:szCs w:val="24"/>
        </w:rPr>
      </w:pPr>
    </w:p>
    <w:p w14:paraId="60F8B4B5" w14:textId="77777777" w:rsidR="00D23E7E" w:rsidRPr="00435438" w:rsidRDefault="00D23E7E" w:rsidP="00D23E7E">
      <w:pPr>
        <w:spacing w:after="0" w:line="276" w:lineRule="auto"/>
        <w:jc w:val="center"/>
        <w:rPr>
          <w:rFonts w:ascii="Times New Roman" w:eastAsia="Calibri" w:hAnsi="Times New Roman" w:cs="Times New Roman"/>
          <w:sz w:val="24"/>
          <w:szCs w:val="24"/>
        </w:rPr>
      </w:pPr>
      <w:r w:rsidRPr="00435438">
        <w:rPr>
          <w:rFonts w:ascii="Times New Roman" w:eastAsia="Calibri" w:hAnsi="Times New Roman" w:cs="Times New Roman"/>
          <w:b/>
          <w:sz w:val="24"/>
          <w:szCs w:val="24"/>
        </w:rPr>
        <w:t>Motīvu daļa</w:t>
      </w:r>
    </w:p>
    <w:p w14:paraId="40397A5E" w14:textId="77777777" w:rsidR="00D23E7E" w:rsidRPr="00435438" w:rsidRDefault="00D23E7E" w:rsidP="00D23E7E">
      <w:pPr>
        <w:spacing w:after="0" w:line="276" w:lineRule="auto"/>
        <w:ind w:firstLine="709"/>
        <w:jc w:val="both"/>
        <w:rPr>
          <w:rFonts w:ascii="Times New Roman" w:eastAsia="Calibri" w:hAnsi="Times New Roman" w:cs="Times New Roman"/>
          <w:sz w:val="24"/>
          <w:szCs w:val="24"/>
        </w:rPr>
      </w:pPr>
    </w:p>
    <w:p w14:paraId="7818303A" w14:textId="77777777" w:rsidR="00D23E7E" w:rsidRPr="00435438" w:rsidRDefault="00D23E7E" w:rsidP="00D23E7E">
      <w:pPr>
        <w:spacing w:after="0" w:line="276" w:lineRule="auto"/>
        <w:ind w:firstLine="709"/>
        <w:jc w:val="both"/>
        <w:rPr>
          <w:rFonts w:ascii="Times New Roman" w:eastAsia="Calibri" w:hAnsi="Times New Roman" w:cs="Times New Roman"/>
          <w:sz w:val="24"/>
          <w:szCs w:val="24"/>
        </w:rPr>
      </w:pPr>
      <w:r w:rsidRPr="00435438">
        <w:rPr>
          <w:rFonts w:ascii="Times New Roman" w:eastAsia="Calibri" w:hAnsi="Times New Roman" w:cs="Times New Roman"/>
          <w:sz w:val="24"/>
          <w:szCs w:val="24"/>
        </w:rPr>
        <w:t xml:space="preserve">[6] Senāts atzīst, ka Rīgas apgabaltiesas </w:t>
      </w:r>
      <w:proofErr w:type="gramStart"/>
      <w:r w:rsidRPr="00435438">
        <w:rPr>
          <w:rFonts w:ascii="Times New Roman" w:eastAsia="Calibri" w:hAnsi="Times New Roman" w:cs="Times New Roman"/>
          <w:sz w:val="24"/>
          <w:szCs w:val="24"/>
        </w:rPr>
        <w:t>2019.gada</w:t>
      </w:r>
      <w:proofErr w:type="gramEnd"/>
      <w:r w:rsidRPr="00435438">
        <w:rPr>
          <w:rFonts w:ascii="Times New Roman" w:eastAsia="Calibri" w:hAnsi="Times New Roman" w:cs="Times New Roman"/>
          <w:sz w:val="24"/>
          <w:szCs w:val="24"/>
        </w:rPr>
        <w:t xml:space="preserve"> 24.oktobra spriedums </w:t>
      </w:r>
      <w:r w:rsidRPr="00435438">
        <w:rPr>
          <w:rFonts w:ascii="Times New Roman" w:hAnsi="Times New Roman" w:cs="Times New Roman"/>
          <w:sz w:val="24"/>
          <w:szCs w:val="24"/>
        </w:rPr>
        <w:t xml:space="preserve">atceļams pilnībā un lieta nosūtāma jaunai izskatīšanai apelācijas instances tiesā. </w:t>
      </w:r>
    </w:p>
    <w:p w14:paraId="52FF173B" w14:textId="77777777" w:rsidR="00D23E7E" w:rsidRPr="00435438" w:rsidRDefault="00D23E7E" w:rsidP="00D23E7E">
      <w:pPr>
        <w:spacing w:after="0" w:line="276" w:lineRule="auto"/>
        <w:ind w:firstLine="709"/>
        <w:jc w:val="both"/>
        <w:rPr>
          <w:rFonts w:ascii="Times New Roman" w:hAnsi="Times New Roman" w:cs="Times New Roman"/>
          <w:sz w:val="24"/>
          <w:szCs w:val="24"/>
        </w:rPr>
      </w:pPr>
      <w:r w:rsidRPr="00435438">
        <w:rPr>
          <w:rFonts w:ascii="Times New Roman" w:hAnsi="Times New Roman" w:cs="Times New Roman"/>
          <w:sz w:val="24"/>
          <w:szCs w:val="24"/>
        </w:rPr>
        <w:t xml:space="preserve">[6.1] Atbilstoši Kriminālprocesa likuma </w:t>
      </w:r>
      <w:proofErr w:type="gramStart"/>
      <w:r w:rsidRPr="00435438">
        <w:rPr>
          <w:rFonts w:ascii="Times New Roman" w:hAnsi="Times New Roman" w:cs="Times New Roman"/>
          <w:sz w:val="24"/>
          <w:szCs w:val="24"/>
        </w:rPr>
        <w:t>511.panta</w:t>
      </w:r>
      <w:proofErr w:type="gramEnd"/>
      <w:r w:rsidRPr="00435438">
        <w:rPr>
          <w:rFonts w:ascii="Times New Roman" w:hAnsi="Times New Roman" w:cs="Times New Roman"/>
          <w:sz w:val="24"/>
          <w:szCs w:val="24"/>
        </w:rPr>
        <w:t xml:space="preserve"> otrajai daļai spriedumam jābūt tiesiskam un pamatotam. Savukārt Kriminālprocesa likuma </w:t>
      </w:r>
      <w:proofErr w:type="gramStart"/>
      <w:r w:rsidRPr="00435438">
        <w:rPr>
          <w:rFonts w:ascii="Times New Roman" w:hAnsi="Times New Roman" w:cs="Times New Roman"/>
          <w:sz w:val="24"/>
          <w:szCs w:val="24"/>
        </w:rPr>
        <w:t>512.panta</w:t>
      </w:r>
      <w:proofErr w:type="gramEnd"/>
      <w:r w:rsidRPr="00435438">
        <w:rPr>
          <w:rFonts w:ascii="Times New Roman" w:hAnsi="Times New Roman" w:cs="Times New Roman"/>
          <w:sz w:val="24"/>
          <w:szCs w:val="24"/>
        </w:rPr>
        <w:t xml:space="preserve"> pirmajā daļā noteikts, ka tiesa, taisot spriedumu, pamatojas uz materiālo un procesuālo tiesību normām.</w:t>
      </w:r>
    </w:p>
    <w:p w14:paraId="1F2B1D82" w14:textId="77777777" w:rsidR="00D23E7E" w:rsidRPr="00435438" w:rsidRDefault="00D23E7E" w:rsidP="00D23E7E">
      <w:pPr>
        <w:spacing w:after="0" w:line="276" w:lineRule="auto"/>
        <w:ind w:firstLine="709"/>
        <w:jc w:val="both"/>
        <w:rPr>
          <w:rFonts w:ascii="Times New Roman" w:hAnsi="Times New Roman" w:cs="Times New Roman"/>
          <w:sz w:val="24"/>
          <w:szCs w:val="24"/>
        </w:rPr>
      </w:pPr>
      <w:r w:rsidRPr="00435438">
        <w:rPr>
          <w:rFonts w:ascii="Times New Roman" w:hAnsi="Times New Roman" w:cs="Times New Roman"/>
          <w:sz w:val="24"/>
          <w:szCs w:val="24"/>
        </w:rPr>
        <w:t xml:space="preserve">Kriminālprocesa likuma </w:t>
      </w:r>
      <w:proofErr w:type="gramStart"/>
      <w:r w:rsidRPr="00435438">
        <w:rPr>
          <w:rFonts w:ascii="Times New Roman" w:hAnsi="Times New Roman" w:cs="Times New Roman"/>
          <w:sz w:val="24"/>
          <w:szCs w:val="24"/>
        </w:rPr>
        <w:t>519.pantā</w:t>
      </w:r>
      <w:proofErr w:type="gramEnd"/>
      <w:r w:rsidRPr="00435438">
        <w:rPr>
          <w:rFonts w:ascii="Times New Roman" w:hAnsi="Times New Roman" w:cs="Times New Roman"/>
          <w:sz w:val="24"/>
          <w:szCs w:val="24"/>
        </w:rPr>
        <w:t xml:space="preserve"> noteikti šādi attaisnojoša sprieduma taisīšanas pamati: 1) nav noticis noziedzīgs nodarījums vai apsūdzētā izdarītajā nodarījumā nav noziedzīga nodarījuma sastāva; 2) apsūdzētā piedalīšanās noziedzīgā nodarījumā nav pierādīta. </w:t>
      </w:r>
    </w:p>
    <w:p w14:paraId="5417CD5B" w14:textId="77777777" w:rsidR="00D23E7E" w:rsidRPr="00B03202" w:rsidRDefault="00D23E7E" w:rsidP="00D23E7E">
      <w:pPr>
        <w:spacing w:after="0" w:line="276" w:lineRule="auto"/>
        <w:ind w:firstLine="709"/>
        <w:jc w:val="both"/>
        <w:rPr>
          <w:rFonts w:ascii="Times New Roman" w:hAnsi="Times New Roman" w:cs="Times New Roman"/>
          <w:i/>
          <w:sz w:val="24"/>
          <w:szCs w:val="24"/>
        </w:rPr>
      </w:pPr>
      <w:r w:rsidRPr="00435438">
        <w:rPr>
          <w:rFonts w:ascii="Times New Roman" w:hAnsi="Times New Roman" w:cs="Times New Roman"/>
          <w:sz w:val="24"/>
          <w:szCs w:val="24"/>
        </w:rPr>
        <w:t xml:space="preserve">Senāts jau agrāk norādījis, ka no Kriminālprocesa likuma </w:t>
      </w:r>
      <w:proofErr w:type="gramStart"/>
      <w:r w:rsidRPr="00435438">
        <w:rPr>
          <w:rFonts w:ascii="Times New Roman" w:hAnsi="Times New Roman" w:cs="Times New Roman"/>
          <w:sz w:val="24"/>
          <w:szCs w:val="24"/>
        </w:rPr>
        <w:t>519.panta</w:t>
      </w:r>
      <w:proofErr w:type="gramEnd"/>
      <w:r w:rsidRPr="00435438">
        <w:rPr>
          <w:rFonts w:ascii="Times New Roman" w:hAnsi="Times New Roman" w:cs="Times New Roman"/>
          <w:sz w:val="24"/>
          <w:szCs w:val="24"/>
        </w:rPr>
        <w:t xml:space="preserve"> 1.punkta izriet divi attaisnošanas pamati: 1) apsūdzībā norādītās darbības nav notikušas; 2) apsūdzētais ir izdarījis noteiktas darbības, taču tajās nav noziedzīga nodarījuma sastāva. Šajā gadījumā atzīstams, ka nav izdarīts noziedzīgs nodarījums. Savukārt Kriminālprocesa likuma 519.panta 2.punktā paredzētajā gadījumā konstatējams, ka noziedzīgs nodarījums ir izdarīts, taču apsūdzētā piedalīšanās tajā nav pierādīta. Šajā gadījumā atzīstams, ka noziedzīgās darbības, kuras lietas ietvaros inkriminētas apsūdzētajam, ir notikušas, taču tās izdarījusi cita persona. (</w:t>
      </w:r>
      <w:r w:rsidR="00B03202">
        <w:rPr>
          <w:rFonts w:ascii="Times New Roman" w:hAnsi="Times New Roman" w:cs="Times New Roman"/>
          <w:i/>
          <w:sz w:val="24"/>
          <w:szCs w:val="24"/>
        </w:rPr>
        <w:t xml:space="preserve">Senāta 2019.gada 15.maija </w:t>
      </w:r>
      <w:r w:rsidRPr="00435438">
        <w:rPr>
          <w:rFonts w:ascii="Times New Roman" w:hAnsi="Times New Roman" w:cs="Times New Roman"/>
          <w:i/>
          <w:sz w:val="24"/>
          <w:szCs w:val="24"/>
        </w:rPr>
        <w:t>lē</w:t>
      </w:r>
      <w:r w:rsidR="00B03202">
        <w:rPr>
          <w:rFonts w:ascii="Times New Roman" w:hAnsi="Times New Roman" w:cs="Times New Roman"/>
          <w:i/>
          <w:sz w:val="24"/>
          <w:szCs w:val="24"/>
        </w:rPr>
        <w:t xml:space="preserve">mums </w:t>
      </w:r>
      <w:r w:rsidRPr="00435438">
        <w:rPr>
          <w:rFonts w:ascii="Times New Roman" w:hAnsi="Times New Roman" w:cs="Times New Roman"/>
          <w:i/>
          <w:sz w:val="24"/>
          <w:szCs w:val="24"/>
        </w:rPr>
        <w:t>lie</w:t>
      </w:r>
      <w:r w:rsidR="00B03202">
        <w:rPr>
          <w:rFonts w:ascii="Times New Roman" w:hAnsi="Times New Roman" w:cs="Times New Roman"/>
          <w:i/>
          <w:sz w:val="24"/>
          <w:szCs w:val="24"/>
        </w:rPr>
        <w:t xml:space="preserve">tā Nr. SKK-150/2019 </w:t>
      </w:r>
      <w:r w:rsidR="00B03202">
        <w:rPr>
          <w:rFonts w:ascii="Times New Roman" w:hAnsi="Times New Roman" w:cs="Times New Roman"/>
          <w:sz w:val="24"/>
          <w:szCs w:val="24"/>
        </w:rPr>
        <w:t>(</w:t>
      </w:r>
      <w:r w:rsidRPr="00B03202">
        <w:rPr>
          <w:rStyle w:val="Hyperlink"/>
          <w:rFonts w:ascii="Times New Roman" w:hAnsi="Times New Roman"/>
          <w:bCs/>
          <w:i/>
          <w:color w:val="auto"/>
          <w:sz w:val="24"/>
          <w:szCs w:val="24"/>
          <w:u w:val="none"/>
          <w:shd w:val="clear" w:color="auto" w:fill="FFFFFF"/>
        </w:rPr>
        <w:t>ECLI:LV:AT:2019:0515.11819002011.8.L</w:t>
      </w:r>
      <w:r w:rsidR="007E3078" w:rsidRPr="00B03202">
        <w:rPr>
          <w:rStyle w:val="Hyperlink"/>
          <w:rFonts w:ascii="Times New Roman" w:hAnsi="Times New Roman"/>
          <w:bCs/>
          <w:i/>
          <w:color w:val="auto"/>
          <w:sz w:val="24"/>
          <w:szCs w:val="24"/>
          <w:u w:val="none"/>
          <w:shd w:val="clear" w:color="auto" w:fill="FFFFFF"/>
        </w:rPr>
        <w:t>.</w:t>
      </w:r>
      <w:r w:rsidR="00B03202">
        <w:rPr>
          <w:rStyle w:val="Hyperlink"/>
          <w:rFonts w:ascii="Times New Roman" w:hAnsi="Times New Roman"/>
          <w:bCs/>
          <w:i/>
          <w:color w:val="auto"/>
          <w:sz w:val="24"/>
          <w:szCs w:val="24"/>
          <w:u w:val="none"/>
          <w:shd w:val="clear" w:color="auto" w:fill="FFFFFF"/>
        </w:rPr>
        <w:t>)</w:t>
      </w:r>
      <w:r w:rsidR="00B03202" w:rsidRPr="00B03202">
        <w:rPr>
          <w:rStyle w:val="Hyperlink"/>
          <w:rFonts w:ascii="Times New Roman" w:hAnsi="Times New Roman"/>
          <w:bCs/>
          <w:color w:val="auto"/>
          <w:sz w:val="24"/>
          <w:szCs w:val="24"/>
          <w:u w:val="none"/>
          <w:shd w:val="clear" w:color="auto" w:fill="FFFFFF"/>
        </w:rPr>
        <w:t>)</w:t>
      </w:r>
      <w:r w:rsidR="00B03202">
        <w:rPr>
          <w:rStyle w:val="Hyperlink"/>
          <w:rFonts w:ascii="Times New Roman" w:hAnsi="Times New Roman"/>
          <w:bCs/>
          <w:i/>
          <w:color w:val="auto"/>
          <w:sz w:val="24"/>
          <w:szCs w:val="24"/>
          <w:u w:val="none"/>
          <w:shd w:val="clear" w:color="auto" w:fill="FFFFFF"/>
        </w:rPr>
        <w:t>.</w:t>
      </w:r>
    </w:p>
    <w:p w14:paraId="302E00B0" w14:textId="77777777" w:rsidR="00D23E7E" w:rsidRPr="00435438" w:rsidRDefault="00D23E7E" w:rsidP="00D23E7E">
      <w:pPr>
        <w:spacing w:after="0" w:line="276" w:lineRule="auto"/>
        <w:ind w:firstLine="709"/>
        <w:jc w:val="both"/>
        <w:rPr>
          <w:rFonts w:ascii="Times New Roman" w:hAnsi="Times New Roman" w:cs="Times New Roman"/>
          <w:sz w:val="24"/>
          <w:szCs w:val="24"/>
        </w:rPr>
      </w:pPr>
      <w:r w:rsidRPr="00435438">
        <w:rPr>
          <w:rFonts w:ascii="Times New Roman" w:hAnsi="Times New Roman" w:cs="Times New Roman"/>
          <w:sz w:val="24"/>
          <w:szCs w:val="24"/>
        </w:rPr>
        <w:lastRenderedPageBreak/>
        <w:t xml:space="preserve">No minētā izriet, ka Kriminālprocesa likuma </w:t>
      </w:r>
      <w:proofErr w:type="gramStart"/>
      <w:r w:rsidRPr="00435438">
        <w:rPr>
          <w:rFonts w:ascii="Times New Roman" w:hAnsi="Times New Roman" w:cs="Times New Roman"/>
          <w:sz w:val="24"/>
          <w:szCs w:val="24"/>
        </w:rPr>
        <w:t>519.panta</w:t>
      </w:r>
      <w:proofErr w:type="gramEnd"/>
      <w:r w:rsidRPr="00435438">
        <w:rPr>
          <w:rFonts w:ascii="Times New Roman" w:hAnsi="Times New Roman" w:cs="Times New Roman"/>
          <w:sz w:val="24"/>
          <w:szCs w:val="24"/>
        </w:rPr>
        <w:t xml:space="preserve"> 1. un 2.punktā paredzētie attaisnošanas pamati ir savstarpēji izslēdzoši.</w:t>
      </w:r>
    </w:p>
    <w:p w14:paraId="6FDD379A" w14:textId="0C88C672" w:rsidR="00D23E7E" w:rsidRPr="00435438" w:rsidRDefault="00D23E7E" w:rsidP="00D23E7E">
      <w:pPr>
        <w:spacing w:after="0" w:line="276" w:lineRule="auto"/>
        <w:ind w:firstLine="709"/>
        <w:jc w:val="both"/>
        <w:rPr>
          <w:rFonts w:ascii="Times New Roman" w:hAnsi="Times New Roman" w:cs="Times New Roman"/>
          <w:sz w:val="24"/>
          <w:szCs w:val="24"/>
        </w:rPr>
      </w:pPr>
      <w:r w:rsidRPr="00435438">
        <w:rPr>
          <w:rFonts w:ascii="Times New Roman" w:hAnsi="Times New Roman" w:cs="Times New Roman"/>
          <w:sz w:val="24"/>
          <w:szCs w:val="24"/>
        </w:rPr>
        <w:t>[6.2] Konkrētajā lietā apelācijas instances tie</w:t>
      </w:r>
      <w:r w:rsidR="00B03202">
        <w:rPr>
          <w:rFonts w:ascii="Times New Roman" w:hAnsi="Times New Roman" w:cs="Times New Roman"/>
          <w:sz w:val="24"/>
          <w:szCs w:val="24"/>
        </w:rPr>
        <w:t>sa,</w:t>
      </w:r>
      <w:r w:rsidR="00406415">
        <w:rPr>
          <w:rFonts w:ascii="Times New Roman" w:hAnsi="Times New Roman" w:cs="Times New Roman"/>
          <w:sz w:val="24"/>
          <w:szCs w:val="24"/>
        </w:rPr>
        <w:t xml:space="preserve"> </w:t>
      </w:r>
      <w:r w:rsidRPr="00435438">
        <w:rPr>
          <w:rFonts w:ascii="Times New Roman" w:hAnsi="Times New Roman" w:cs="Times New Roman"/>
          <w:sz w:val="24"/>
          <w:szCs w:val="24"/>
        </w:rPr>
        <w:t xml:space="preserve">izvērtējot pierādījumus, secina, ka tie neapstiprina </w:t>
      </w:r>
      <w:r w:rsidR="00406415">
        <w:rPr>
          <w:rFonts w:ascii="Times New Roman" w:eastAsia="Calibri" w:hAnsi="Times New Roman" w:cs="Times New Roman"/>
          <w:sz w:val="24"/>
          <w:szCs w:val="24"/>
        </w:rPr>
        <w:t>[pers. A]</w:t>
      </w:r>
      <w:r w:rsidRPr="00435438">
        <w:rPr>
          <w:rFonts w:ascii="Times New Roman" w:eastAsia="Calibri" w:hAnsi="Times New Roman" w:cs="Times New Roman"/>
          <w:sz w:val="24"/>
          <w:szCs w:val="24"/>
        </w:rPr>
        <w:t xml:space="preserve"> inkriminētās darbības un nepierāda apsūdzībā norādītos noziedzīgā nodarījuma fa</w:t>
      </w:r>
      <w:r w:rsidR="00B03202">
        <w:rPr>
          <w:rFonts w:ascii="Times New Roman" w:eastAsia="Calibri" w:hAnsi="Times New Roman" w:cs="Times New Roman"/>
          <w:sz w:val="24"/>
          <w:szCs w:val="24"/>
        </w:rPr>
        <w:t xml:space="preserve">ktiskos apstākļus”. Vienlaikus tiesa norāda, ka </w:t>
      </w:r>
      <w:r w:rsidR="00406415">
        <w:rPr>
          <w:rFonts w:ascii="Times New Roman" w:eastAsia="Calibri" w:hAnsi="Times New Roman" w:cs="Times New Roman"/>
          <w:sz w:val="24"/>
          <w:szCs w:val="24"/>
        </w:rPr>
        <w:t>[pers. A]</w:t>
      </w:r>
      <w:r w:rsidRPr="00435438">
        <w:rPr>
          <w:rFonts w:ascii="Times New Roman" w:eastAsia="Calibri" w:hAnsi="Times New Roman" w:cs="Times New Roman"/>
          <w:sz w:val="24"/>
          <w:szCs w:val="24"/>
        </w:rPr>
        <w:t xml:space="preserve"> piedalīšanās viņam inkriminētajās darbībās nav pierādīta”. </w:t>
      </w:r>
      <w:r w:rsidRPr="00435438">
        <w:rPr>
          <w:rFonts w:ascii="Times New Roman" w:hAnsi="Times New Roman" w:cs="Times New Roman"/>
          <w:sz w:val="24"/>
          <w:szCs w:val="24"/>
        </w:rPr>
        <w:t xml:space="preserve">Izskatāmajā lietā apelācijas instances tiesa attaisnojusi apsūdzēto </w:t>
      </w:r>
      <w:r w:rsidR="00406415">
        <w:rPr>
          <w:rFonts w:ascii="Times New Roman" w:eastAsia="Calibri" w:hAnsi="Times New Roman" w:cs="Times New Roman"/>
          <w:sz w:val="24"/>
          <w:szCs w:val="24"/>
        </w:rPr>
        <w:t>[pers. A]</w:t>
      </w:r>
      <w:r w:rsidRPr="00435438">
        <w:rPr>
          <w:rFonts w:ascii="Times New Roman" w:eastAsia="Calibri" w:hAnsi="Times New Roman" w:cs="Times New Roman"/>
          <w:sz w:val="24"/>
          <w:szCs w:val="24"/>
        </w:rPr>
        <w:t xml:space="preserve">, neatsaucoties uz </w:t>
      </w:r>
      <w:r w:rsidRPr="00435438">
        <w:rPr>
          <w:rFonts w:ascii="Times New Roman" w:hAnsi="Times New Roman" w:cs="Times New Roman"/>
          <w:sz w:val="24"/>
          <w:szCs w:val="24"/>
        </w:rPr>
        <w:t xml:space="preserve">Kriminālprocesa likuma </w:t>
      </w:r>
      <w:proofErr w:type="gramStart"/>
      <w:r w:rsidRPr="00435438">
        <w:rPr>
          <w:rFonts w:ascii="Times New Roman" w:hAnsi="Times New Roman" w:cs="Times New Roman"/>
          <w:sz w:val="24"/>
          <w:szCs w:val="24"/>
        </w:rPr>
        <w:t>519.panta</w:t>
      </w:r>
      <w:proofErr w:type="gramEnd"/>
      <w:r w:rsidRPr="00435438">
        <w:rPr>
          <w:rFonts w:ascii="Times New Roman" w:hAnsi="Times New Roman" w:cs="Times New Roman"/>
          <w:sz w:val="24"/>
          <w:szCs w:val="24"/>
        </w:rPr>
        <w:t xml:space="preserve"> attiecīgo punktu.</w:t>
      </w:r>
    </w:p>
    <w:p w14:paraId="14AAFCB8" w14:textId="657FD481" w:rsidR="00D23E7E" w:rsidRPr="00435438" w:rsidRDefault="00D23E7E" w:rsidP="00D23E7E">
      <w:pPr>
        <w:spacing w:after="0" w:line="276" w:lineRule="auto"/>
        <w:ind w:firstLine="709"/>
        <w:jc w:val="both"/>
        <w:rPr>
          <w:rFonts w:ascii="Times New Roman" w:hAnsi="Times New Roman" w:cs="Times New Roman"/>
          <w:sz w:val="24"/>
          <w:szCs w:val="24"/>
        </w:rPr>
      </w:pPr>
      <w:r w:rsidRPr="00435438">
        <w:rPr>
          <w:rFonts w:ascii="Times New Roman" w:hAnsi="Times New Roman" w:cs="Times New Roman"/>
          <w:sz w:val="24"/>
          <w:szCs w:val="24"/>
        </w:rPr>
        <w:t xml:space="preserve">[6.3] Senāts atzīst, ka apelācijas instances tiesas spriedums neatbilst Kriminālprocesa likuma 511. panta otrās daļas un 512. panta pirmās daļas prasībām par sprieduma tiesiskumu un pamatotību un minēto likuma normu pārkāpums atzīstams par būtisku. No apelācijas instances tiesas sprieduma konkrētajā lietā izriet, ka </w:t>
      </w:r>
      <w:r w:rsidR="00406415">
        <w:rPr>
          <w:rFonts w:ascii="Times New Roman" w:eastAsia="Calibri" w:hAnsi="Times New Roman" w:cs="Times New Roman"/>
          <w:sz w:val="24"/>
          <w:szCs w:val="24"/>
        </w:rPr>
        <w:t>[pers. A]</w:t>
      </w:r>
      <w:r w:rsidRPr="00435438">
        <w:rPr>
          <w:rFonts w:ascii="Times New Roman" w:eastAsia="Calibri" w:hAnsi="Times New Roman" w:cs="Times New Roman"/>
          <w:sz w:val="24"/>
          <w:szCs w:val="24"/>
        </w:rPr>
        <w:t xml:space="preserve"> </w:t>
      </w:r>
      <w:r w:rsidRPr="00435438">
        <w:rPr>
          <w:rFonts w:ascii="Times New Roman" w:hAnsi="Times New Roman" w:cs="Times New Roman"/>
          <w:sz w:val="24"/>
          <w:szCs w:val="24"/>
        </w:rPr>
        <w:t xml:space="preserve">attaisnots, gan neapstiprinot apsūdzētajam inkriminētās darbības, gan atzīstot, ka </w:t>
      </w:r>
      <w:r w:rsidRPr="00435438">
        <w:rPr>
          <w:rFonts w:ascii="Times New Roman" w:eastAsia="Calibri" w:hAnsi="Times New Roman" w:cs="Times New Roman"/>
          <w:sz w:val="24"/>
          <w:szCs w:val="24"/>
        </w:rPr>
        <w:t xml:space="preserve">apsūdzētā </w:t>
      </w:r>
      <w:r w:rsidRPr="00435438">
        <w:rPr>
          <w:rFonts w:ascii="Times New Roman" w:hAnsi="Times New Roman" w:cs="Times New Roman"/>
          <w:sz w:val="24"/>
          <w:szCs w:val="24"/>
        </w:rPr>
        <w:t xml:space="preserve">piedalīšanās noziedzīgā nodarījumā nav pierādīta. Tādejādi no šāda tiesas sprieduma nevar nepārprotami secināt, kāds ir attaisnošanas pamats. </w:t>
      </w:r>
    </w:p>
    <w:p w14:paraId="7EADD65D" w14:textId="77777777" w:rsidR="00D23E7E" w:rsidRPr="00435438" w:rsidRDefault="00D23E7E" w:rsidP="00D23E7E">
      <w:pPr>
        <w:spacing w:after="0" w:line="276" w:lineRule="auto"/>
        <w:ind w:firstLine="709"/>
        <w:jc w:val="both"/>
        <w:rPr>
          <w:rFonts w:ascii="Times New Roman" w:hAnsi="Times New Roman" w:cs="Times New Roman"/>
          <w:sz w:val="24"/>
          <w:szCs w:val="24"/>
        </w:rPr>
      </w:pPr>
      <w:r w:rsidRPr="00435438">
        <w:rPr>
          <w:rFonts w:ascii="Times New Roman" w:hAnsi="Times New Roman" w:cs="Times New Roman"/>
          <w:sz w:val="24"/>
          <w:szCs w:val="24"/>
        </w:rPr>
        <w:t xml:space="preserve">[6.4] Turklāt atbilstoši Kriminālprocesa likuma </w:t>
      </w:r>
      <w:proofErr w:type="gramStart"/>
      <w:r w:rsidRPr="00435438">
        <w:rPr>
          <w:rFonts w:ascii="Times New Roman" w:hAnsi="Times New Roman" w:cs="Times New Roman"/>
          <w:sz w:val="24"/>
          <w:szCs w:val="24"/>
        </w:rPr>
        <w:t>526.panta</w:t>
      </w:r>
      <w:proofErr w:type="gramEnd"/>
      <w:r w:rsidRPr="00435438">
        <w:rPr>
          <w:rFonts w:ascii="Times New Roman" w:hAnsi="Times New Roman" w:cs="Times New Roman"/>
          <w:sz w:val="24"/>
          <w:szCs w:val="24"/>
        </w:rPr>
        <w:t xml:space="preserve"> pirmās daļas 5.punktam, tiesai, taisot attaisnojošu spriedumu, jānorāda tiesas lēmums </w:t>
      </w:r>
      <w:r w:rsidRPr="00435438">
        <w:rPr>
          <w:rFonts w:ascii="Times New Roman" w:hAnsi="Times New Roman" w:cs="Times New Roman"/>
          <w:sz w:val="24"/>
          <w:szCs w:val="24"/>
          <w:shd w:val="clear" w:color="auto" w:fill="FFFFFF"/>
        </w:rPr>
        <w:t> par lietas vai tās daļas nosūtīšanu prokuratūrai, ja noziedzīgs nodarījums ir noticis, bet nav pierādīta apsūdzētā piedalīšanās noziedzīgā nodarījumā.</w:t>
      </w:r>
      <w:r w:rsidRPr="00435438">
        <w:rPr>
          <w:rFonts w:ascii="Times New Roman" w:hAnsi="Times New Roman" w:cs="Times New Roman"/>
          <w:sz w:val="24"/>
          <w:szCs w:val="24"/>
        </w:rPr>
        <w:t xml:space="preserve"> Konkrētajā lietā apelācijas instances tiesa lietu nav nosūtījusi prokuratūrai.</w:t>
      </w:r>
    </w:p>
    <w:p w14:paraId="6E059E7A" w14:textId="77777777" w:rsidR="00D23E7E" w:rsidRPr="00435438" w:rsidRDefault="00D23E7E" w:rsidP="00D23E7E">
      <w:pPr>
        <w:spacing w:after="0" w:line="276" w:lineRule="auto"/>
        <w:ind w:firstLine="720"/>
        <w:jc w:val="both"/>
        <w:rPr>
          <w:rFonts w:ascii="Times New Roman" w:hAnsi="Times New Roman" w:cs="Times New Roman"/>
          <w:sz w:val="24"/>
          <w:szCs w:val="24"/>
        </w:rPr>
      </w:pPr>
      <w:r w:rsidRPr="00435438">
        <w:rPr>
          <w:rFonts w:ascii="Times New Roman" w:hAnsi="Times New Roman" w:cs="Times New Roman"/>
          <w:sz w:val="24"/>
          <w:szCs w:val="24"/>
        </w:rPr>
        <w:t xml:space="preserve">[6.5] No Kriminālprocesa likuma </w:t>
      </w:r>
      <w:proofErr w:type="gramStart"/>
      <w:r w:rsidRPr="00435438">
        <w:rPr>
          <w:rFonts w:ascii="Times New Roman" w:hAnsi="Times New Roman" w:cs="Times New Roman"/>
          <w:sz w:val="24"/>
          <w:szCs w:val="24"/>
        </w:rPr>
        <w:t>124.panta</w:t>
      </w:r>
      <w:proofErr w:type="gramEnd"/>
      <w:r w:rsidRPr="00435438">
        <w:rPr>
          <w:rFonts w:ascii="Times New Roman" w:hAnsi="Times New Roman" w:cs="Times New Roman"/>
          <w:sz w:val="24"/>
          <w:szCs w:val="24"/>
        </w:rPr>
        <w:t xml:space="preserve"> piektās daļas un 19.panta trešās daļas izriet, ka pierādīšana jāveic atbilstoši attiecīgajam standartam, ja pierādīšanas adresāts ir pārliecināts par izteikto apgalvojumu un ja par tā patiesumu viņam nav saglabājušās saprātīgas šaubas. Vienlaikus šādas pārliecības rašanās nevar būt patvaļīga, bet tai jābūt balstītai uz ticamiem, attiecināmiem un pieļaujamiem pierādījumiem. </w:t>
      </w:r>
    </w:p>
    <w:p w14:paraId="689D8F5A" w14:textId="77777777" w:rsidR="00D23E7E" w:rsidRPr="00435438" w:rsidRDefault="00D23E7E" w:rsidP="00D23E7E">
      <w:pPr>
        <w:spacing w:after="0" w:line="276" w:lineRule="auto"/>
        <w:ind w:firstLine="720"/>
        <w:jc w:val="both"/>
        <w:rPr>
          <w:rFonts w:ascii="Times New Roman" w:hAnsi="Times New Roman" w:cs="Times New Roman"/>
          <w:sz w:val="24"/>
          <w:szCs w:val="24"/>
        </w:rPr>
      </w:pPr>
      <w:r w:rsidRPr="00435438">
        <w:rPr>
          <w:rFonts w:ascii="Times New Roman" w:hAnsi="Times New Roman" w:cs="Times New Roman"/>
          <w:sz w:val="24"/>
          <w:szCs w:val="24"/>
        </w:rPr>
        <w:t xml:space="preserve">Jebkuru izmeklēšanas darbību rezultātā iegūto ziņu, tostarp arī eksperta atzinuma, ticamība pārbaudāma saskaņā ar Kriminālprocesa likuma </w:t>
      </w:r>
      <w:proofErr w:type="gramStart"/>
      <w:r w:rsidRPr="00435438">
        <w:rPr>
          <w:rFonts w:ascii="Times New Roman" w:hAnsi="Times New Roman" w:cs="Times New Roman"/>
          <w:sz w:val="24"/>
          <w:szCs w:val="24"/>
        </w:rPr>
        <w:t>128.panta</w:t>
      </w:r>
      <w:proofErr w:type="gramEnd"/>
      <w:r w:rsidRPr="00435438">
        <w:rPr>
          <w:rFonts w:ascii="Times New Roman" w:hAnsi="Times New Roman" w:cs="Times New Roman"/>
          <w:sz w:val="24"/>
          <w:szCs w:val="24"/>
        </w:rPr>
        <w:t xml:space="preserve"> otrās daļas prasībām – to kopumā un savstarpējā sakarībā ar citiem lietā iegūtajiem pierādījumiem.</w:t>
      </w:r>
    </w:p>
    <w:p w14:paraId="7F915239" w14:textId="77777777" w:rsidR="00D23E7E" w:rsidRPr="00435438" w:rsidRDefault="00D23E7E" w:rsidP="00D23E7E">
      <w:pPr>
        <w:spacing w:after="0" w:line="276" w:lineRule="auto"/>
        <w:ind w:firstLine="720"/>
        <w:jc w:val="both"/>
        <w:rPr>
          <w:rFonts w:ascii="Times New Roman" w:hAnsi="Times New Roman" w:cs="Times New Roman"/>
          <w:sz w:val="24"/>
          <w:szCs w:val="24"/>
        </w:rPr>
      </w:pPr>
      <w:r w:rsidRPr="00435438">
        <w:rPr>
          <w:rFonts w:ascii="Times New Roman" w:hAnsi="Times New Roman" w:cs="Times New Roman"/>
          <w:sz w:val="24"/>
          <w:szCs w:val="24"/>
        </w:rPr>
        <w:t xml:space="preserve">Senāts konstatē, ka apelācijas instances tiesa, </w:t>
      </w:r>
      <w:proofErr w:type="gramStart"/>
      <w:r w:rsidRPr="00435438">
        <w:rPr>
          <w:rFonts w:ascii="Times New Roman" w:hAnsi="Times New Roman" w:cs="Times New Roman"/>
          <w:sz w:val="24"/>
          <w:szCs w:val="24"/>
        </w:rPr>
        <w:t>ekspertu atzinumus vērtējusi</w:t>
      </w:r>
      <w:proofErr w:type="gramEnd"/>
      <w:r w:rsidRPr="00435438">
        <w:rPr>
          <w:rFonts w:ascii="Times New Roman" w:hAnsi="Times New Roman" w:cs="Times New Roman"/>
          <w:sz w:val="24"/>
          <w:szCs w:val="24"/>
        </w:rPr>
        <w:t xml:space="preserve"> atrauti no citiem lietā iegūtajiem pierādījumiem, nevērtējot tos kopumā un savstarpējā sakarībā.</w:t>
      </w:r>
    </w:p>
    <w:p w14:paraId="050C4F72" w14:textId="77777777" w:rsidR="00D23E7E" w:rsidRPr="00435438" w:rsidRDefault="00D23E7E" w:rsidP="00D23E7E">
      <w:pPr>
        <w:spacing w:after="0" w:line="276" w:lineRule="auto"/>
        <w:ind w:firstLine="720"/>
        <w:jc w:val="both"/>
        <w:rPr>
          <w:rFonts w:ascii="Times New Roman" w:hAnsi="Times New Roman" w:cs="Times New Roman"/>
          <w:sz w:val="24"/>
          <w:szCs w:val="24"/>
          <w:shd w:val="clear" w:color="auto" w:fill="FFFFFF"/>
        </w:rPr>
      </w:pPr>
      <w:r w:rsidRPr="00435438">
        <w:rPr>
          <w:rFonts w:ascii="Times New Roman" w:hAnsi="Times New Roman" w:cs="Times New Roman"/>
          <w:sz w:val="24"/>
          <w:szCs w:val="24"/>
          <w:shd w:val="clear" w:color="auto" w:fill="FFFFFF"/>
        </w:rPr>
        <w:t>Nevainīguma prezumpcijas pamatprincips noteic, ka visas saprātīgās šaubas par vainu, kuras nav iespējams novērst, jāvērtē par labu personai, kurai ir tiesības uz aizstāvību. Šis nevainīguma prezumpcijas elements tiesai jāpiemēro tikai pēc visu pierādījumu novērtēšanas. Tas nav piemērojams attiecībā uz atsevišķiem pierādījumiem.</w:t>
      </w:r>
    </w:p>
    <w:p w14:paraId="445069E8" w14:textId="77777777" w:rsidR="00D23E7E" w:rsidRDefault="00D23E7E" w:rsidP="00D23E7E">
      <w:pPr>
        <w:spacing w:after="0" w:line="276" w:lineRule="auto"/>
        <w:ind w:firstLine="720"/>
        <w:jc w:val="both"/>
        <w:rPr>
          <w:rFonts w:ascii="Times New Roman" w:hAnsi="Times New Roman" w:cs="Times New Roman"/>
          <w:sz w:val="24"/>
          <w:szCs w:val="24"/>
        </w:rPr>
      </w:pPr>
      <w:r w:rsidRPr="00435438">
        <w:rPr>
          <w:rFonts w:ascii="Times New Roman" w:hAnsi="Times New Roman" w:cs="Times New Roman"/>
          <w:sz w:val="24"/>
          <w:szCs w:val="24"/>
        </w:rPr>
        <w:t xml:space="preserve"> [6.6] Senāts atzīst, ka apelācijas instances tiesa, izskatot lietu, pieļāvusi Kriminālprocesa likuma </w:t>
      </w:r>
      <w:proofErr w:type="gramStart"/>
      <w:r w:rsidRPr="00435438">
        <w:rPr>
          <w:rFonts w:ascii="Times New Roman" w:hAnsi="Times New Roman" w:cs="Times New Roman"/>
          <w:sz w:val="24"/>
          <w:szCs w:val="24"/>
        </w:rPr>
        <w:t>127.panta</w:t>
      </w:r>
      <w:proofErr w:type="gramEnd"/>
      <w:r w:rsidRPr="00435438">
        <w:rPr>
          <w:rFonts w:ascii="Times New Roman" w:hAnsi="Times New Roman" w:cs="Times New Roman"/>
          <w:sz w:val="24"/>
          <w:szCs w:val="24"/>
        </w:rPr>
        <w:t xml:space="preserve"> otrās daļas, 128.panta pirmās, otrās un trešās daļas, 511.panta otrās daļas, 512.panta pirmās daļas un 519.panta pārkāpumu, kas atzīstams par Kriminālprocesa likuma būtisku pārkāpumu šā likuma 575.panta trešās daļas izpratnē, kas noveda pie nelikumīga nolēmuma un ir pamats apelācijas instances tiesas lēmuma atcelšanai un lietas nosūtīšanai jaunai izskatīšanai apelācijas instances tiesā.</w:t>
      </w:r>
    </w:p>
    <w:p w14:paraId="5BFBCA89" w14:textId="77777777" w:rsidR="00B03202" w:rsidRPr="00435438" w:rsidRDefault="00B03202" w:rsidP="00D23E7E">
      <w:pPr>
        <w:spacing w:after="0" w:line="276" w:lineRule="auto"/>
        <w:ind w:firstLine="720"/>
        <w:jc w:val="both"/>
        <w:rPr>
          <w:rFonts w:ascii="Times New Roman" w:hAnsi="Times New Roman" w:cs="Times New Roman"/>
          <w:sz w:val="24"/>
          <w:szCs w:val="24"/>
        </w:rPr>
      </w:pPr>
    </w:p>
    <w:p w14:paraId="6595E121" w14:textId="77777777" w:rsidR="00D23E7E" w:rsidRPr="00435438" w:rsidRDefault="00D23E7E" w:rsidP="00D23E7E">
      <w:pPr>
        <w:spacing w:after="0" w:line="276" w:lineRule="auto"/>
        <w:ind w:firstLine="709"/>
        <w:jc w:val="both"/>
        <w:rPr>
          <w:rFonts w:ascii="Times New Roman" w:hAnsi="Times New Roman" w:cs="Times New Roman"/>
          <w:sz w:val="24"/>
          <w:szCs w:val="24"/>
        </w:rPr>
      </w:pPr>
      <w:r w:rsidRPr="00435438">
        <w:rPr>
          <w:rFonts w:ascii="Times New Roman" w:hAnsi="Times New Roman" w:cs="Times New Roman"/>
          <w:sz w:val="24"/>
          <w:szCs w:val="24"/>
        </w:rPr>
        <w:t xml:space="preserve">[7] Attaisnošanas pamats ir atkarīgs no attiecināmu un pieļaujamu pierādījumu ticamības un pietiekamības noziedzīga nodarījuma sastāva konstatēšanā. Savukārt pierādījumu ticamības un pietiekamības konstatēšana ir saistīta ar pierādījumu vērtēšanu, kas saskaņā ar Kriminālprocesa likuma </w:t>
      </w:r>
      <w:proofErr w:type="gramStart"/>
      <w:r w:rsidRPr="00435438">
        <w:rPr>
          <w:rFonts w:ascii="Times New Roman" w:hAnsi="Times New Roman" w:cs="Times New Roman"/>
          <w:sz w:val="24"/>
          <w:szCs w:val="24"/>
        </w:rPr>
        <w:t>569.panta</w:t>
      </w:r>
      <w:proofErr w:type="gramEnd"/>
      <w:r w:rsidRPr="00435438">
        <w:rPr>
          <w:rFonts w:ascii="Times New Roman" w:hAnsi="Times New Roman" w:cs="Times New Roman"/>
          <w:sz w:val="24"/>
          <w:szCs w:val="24"/>
        </w:rPr>
        <w:t xml:space="preserve"> trešo daļu nav kasācijas instances tiesas kompetencē.</w:t>
      </w:r>
    </w:p>
    <w:p w14:paraId="41EA9664" w14:textId="77777777" w:rsidR="00D23E7E" w:rsidRPr="00435438" w:rsidRDefault="00D23E7E" w:rsidP="00D23E7E">
      <w:pPr>
        <w:spacing w:after="0" w:line="276" w:lineRule="auto"/>
        <w:ind w:firstLine="709"/>
        <w:jc w:val="both"/>
        <w:rPr>
          <w:rFonts w:ascii="Times New Roman" w:hAnsi="Times New Roman" w:cs="Times New Roman"/>
          <w:sz w:val="24"/>
          <w:szCs w:val="24"/>
        </w:rPr>
      </w:pPr>
      <w:r w:rsidRPr="00435438">
        <w:rPr>
          <w:rFonts w:ascii="Times New Roman" w:hAnsi="Times New Roman" w:cs="Times New Roman"/>
          <w:sz w:val="24"/>
          <w:szCs w:val="24"/>
        </w:rPr>
        <w:lastRenderedPageBreak/>
        <w:t>Vienlaikus kasācijas instances tiesas kompetencē ir pārbaudīt, vai apelācijas instances tiesa ir vērtējusi pierādījumu attiecināmību, pieļaujamību, ticamību, pietiekamību un vai šis vērtējums atbilst Kriminālprocesa likumā izvirzītajām prasībām, vai noskaidrotie apstākļi un secinājumi atbilst novērtētajiem pierādījumiem (</w:t>
      </w:r>
      <w:r w:rsidRPr="00B03202">
        <w:rPr>
          <w:rFonts w:ascii="Times New Roman" w:hAnsi="Times New Roman" w:cs="Times New Roman"/>
          <w:i/>
          <w:sz w:val="24"/>
          <w:szCs w:val="24"/>
        </w:rPr>
        <w:t xml:space="preserve">Augstākās tiesas </w:t>
      </w:r>
      <w:proofErr w:type="gramStart"/>
      <w:r w:rsidRPr="00B03202">
        <w:rPr>
          <w:rFonts w:ascii="Times New Roman" w:hAnsi="Times New Roman" w:cs="Times New Roman"/>
          <w:i/>
          <w:sz w:val="24"/>
          <w:szCs w:val="24"/>
        </w:rPr>
        <w:t>2006.g</w:t>
      </w:r>
      <w:r w:rsidR="00B03202">
        <w:rPr>
          <w:rFonts w:ascii="Times New Roman" w:hAnsi="Times New Roman" w:cs="Times New Roman"/>
          <w:i/>
          <w:sz w:val="24"/>
          <w:szCs w:val="24"/>
        </w:rPr>
        <w:t>ada</w:t>
      </w:r>
      <w:proofErr w:type="gramEnd"/>
      <w:r w:rsidR="00B03202">
        <w:rPr>
          <w:rFonts w:ascii="Times New Roman" w:hAnsi="Times New Roman" w:cs="Times New Roman"/>
          <w:i/>
          <w:sz w:val="24"/>
          <w:szCs w:val="24"/>
        </w:rPr>
        <w:t xml:space="preserve"> 12.oktobra lēmums lietā Nr. </w:t>
      </w:r>
      <w:r w:rsidRPr="00B03202">
        <w:rPr>
          <w:rFonts w:ascii="Times New Roman" w:hAnsi="Times New Roman" w:cs="Times New Roman"/>
          <w:i/>
          <w:sz w:val="24"/>
          <w:szCs w:val="24"/>
        </w:rPr>
        <w:t>SKK-579/2006 (11511003104)</w:t>
      </w:r>
      <w:r w:rsidR="00B03202" w:rsidRPr="00B03202">
        <w:rPr>
          <w:rFonts w:ascii="Times New Roman" w:hAnsi="Times New Roman" w:cs="Times New Roman"/>
          <w:sz w:val="24"/>
          <w:szCs w:val="24"/>
        </w:rPr>
        <w:t>)</w:t>
      </w:r>
      <w:r w:rsidRPr="00435438">
        <w:rPr>
          <w:rFonts w:ascii="Times New Roman" w:hAnsi="Times New Roman" w:cs="Times New Roman"/>
          <w:sz w:val="24"/>
          <w:szCs w:val="24"/>
        </w:rPr>
        <w:t>.</w:t>
      </w:r>
    </w:p>
    <w:p w14:paraId="5F984747" w14:textId="24699D7C" w:rsidR="00D23E7E" w:rsidRPr="00435438" w:rsidRDefault="00D23E7E" w:rsidP="00D23E7E">
      <w:pPr>
        <w:spacing w:after="0" w:line="276" w:lineRule="auto"/>
        <w:ind w:firstLine="720"/>
        <w:jc w:val="both"/>
        <w:rPr>
          <w:rFonts w:ascii="Times New Roman" w:hAnsi="Times New Roman" w:cs="Times New Roman"/>
          <w:sz w:val="24"/>
          <w:szCs w:val="24"/>
        </w:rPr>
      </w:pPr>
      <w:r w:rsidRPr="00435438">
        <w:rPr>
          <w:rFonts w:ascii="Times New Roman" w:hAnsi="Times New Roman" w:cs="Times New Roman"/>
          <w:sz w:val="24"/>
          <w:szCs w:val="24"/>
        </w:rPr>
        <w:t xml:space="preserve"> [7.1] Apelācijas instances tiesa secinājusi, ka apsūdzību par </w:t>
      </w:r>
      <w:r w:rsidR="00406415">
        <w:rPr>
          <w:rFonts w:ascii="Times New Roman" w:hAnsi="Times New Roman" w:cs="Times New Roman"/>
          <w:sz w:val="24"/>
          <w:szCs w:val="24"/>
        </w:rPr>
        <w:t>[pers. A]</w:t>
      </w:r>
      <w:r w:rsidRPr="00435438">
        <w:rPr>
          <w:rFonts w:ascii="Times New Roman" w:hAnsi="Times New Roman" w:cs="Times New Roman"/>
          <w:sz w:val="24"/>
          <w:szCs w:val="24"/>
        </w:rPr>
        <w:t xml:space="preserve"> noziedzīgajām darbībām nevar pamatot ar liecinieka </w:t>
      </w:r>
      <w:r w:rsidR="00406415">
        <w:rPr>
          <w:rFonts w:ascii="Times New Roman" w:hAnsi="Times New Roman" w:cs="Times New Roman"/>
          <w:sz w:val="24"/>
          <w:szCs w:val="24"/>
        </w:rPr>
        <w:t>[pers. B]</w:t>
      </w:r>
      <w:r w:rsidRPr="00435438">
        <w:rPr>
          <w:rFonts w:ascii="Times New Roman" w:hAnsi="Times New Roman" w:cs="Times New Roman"/>
          <w:sz w:val="24"/>
          <w:szCs w:val="24"/>
        </w:rPr>
        <w:t xml:space="preserve"> liecībām. Šīs liecības atzīstamas par pastarpināti sniegtām ziņām, kuru ticamības pakāpi nevar izvērtēt. Liecinieks nav sniedzis ziņas par faktiem, </w:t>
      </w:r>
      <w:proofErr w:type="gramStart"/>
      <w:r w:rsidRPr="00435438">
        <w:rPr>
          <w:rFonts w:ascii="Times New Roman" w:hAnsi="Times New Roman" w:cs="Times New Roman"/>
          <w:sz w:val="24"/>
          <w:szCs w:val="24"/>
        </w:rPr>
        <w:t>kuras viņš pats ir redzējis</w:t>
      </w:r>
      <w:proofErr w:type="gramEnd"/>
      <w:r w:rsidRPr="00435438">
        <w:rPr>
          <w:rFonts w:ascii="Times New Roman" w:hAnsi="Times New Roman" w:cs="Times New Roman"/>
          <w:sz w:val="24"/>
          <w:szCs w:val="24"/>
        </w:rPr>
        <w:t xml:space="preserve"> vai fiksējis, bet atstāstījis no citas personas, kura kriminālprocesā nav identificēta, iegūtu informāciju</w:t>
      </w:r>
    </w:p>
    <w:p w14:paraId="6FF35D89" w14:textId="77777777" w:rsidR="00987D56" w:rsidRPr="00435438" w:rsidRDefault="00D23E7E" w:rsidP="00D23E7E">
      <w:pPr>
        <w:spacing w:after="0" w:line="276" w:lineRule="auto"/>
        <w:ind w:firstLine="720"/>
        <w:jc w:val="both"/>
        <w:rPr>
          <w:rFonts w:ascii="Times New Roman" w:hAnsi="Times New Roman" w:cs="Times New Roman"/>
          <w:sz w:val="24"/>
          <w:szCs w:val="24"/>
        </w:rPr>
      </w:pPr>
      <w:r w:rsidRPr="00435438">
        <w:rPr>
          <w:rFonts w:ascii="Times New Roman" w:hAnsi="Times New Roman" w:cs="Times New Roman"/>
          <w:sz w:val="24"/>
          <w:szCs w:val="24"/>
        </w:rPr>
        <w:t xml:space="preserve">[7.2] Kriminālprocesa likuma </w:t>
      </w:r>
      <w:proofErr w:type="gramStart"/>
      <w:r w:rsidRPr="00435438">
        <w:rPr>
          <w:rFonts w:ascii="Times New Roman" w:hAnsi="Times New Roman" w:cs="Times New Roman"/>
          <w:sz w:val="24"/>
          <w:szCs w:val="24"/>
        </w:rPr>
        <w:t>124.panta</w:t>
      </w:r>
      <w:proofErr w:type="gramEnd"/>
      <w:r w:rsidRPr="00435438">
        <w:rPr>
          <w:rFonts w:ascii="Times New Roman" w:hAnsi="Times New Roman" w:cs="Times New Roman"/>
          <w:sz w:val="24"/>
          <w:szCs w:val="24"/>
        </w:rPr>
        <w:t xml:space="preserve"> otrā daļa noteic, ka kriminālprocesā pierādāma noziedzīgā nodarījuma sastāva esamība vai neesamība, kā arī citi Krimināllikumā un šajā likumā paredzētie apstākļi, kuriem ir nozīme konkrēto krimināltiesisko attiecību taisnīgā noregulējumā. Pierādīšanas priekšmetā ietilpstošo faktu esamības vai neesamības pamatošana tiek īstenota, izmantojot pierādījumus. </w:t>
      </w:r>
      <w:r w:rsidR="002F2475" w:rsidRPr="00435438">
        <w:rPr>
          <w:rFonts w:ascii="Times New Roman" w:hAnsi="Times New Roman" w:cs="Times New Roman"/>
          <w:sz w:val="24"/>
          <w:szCs w:val="24"/>
        </w:rPr>
        <w:t xml:space="preserve">Kriminālprocesa likuma </w:t>
      </w:r>
      <w:proofErr w:type="gramStart"/>
      <w:r w:rsidR="002F2475" w:rsidRPr="00435438">
        <w:rPr>
          <w:rFonts w:ascii="Times New Roman" w:hAnsi="Times New Roman" w:cs="Times New Roman"/>
          <w:sz w:val="24"/>
          <w:szCs w:val="24"/>
        </w:rPr>
        <w:t>127.panta</w:t>
      </w:r>
      <w:proofErr w:type="gramEnd"/>
      <w:r w:rsidR="002F2475" w:rsidRPr="00435438">
        <w:rPr>
          <w:rFonts w:ascii="Times New Roman" w:hAnsi="Times New Roman" w:cs="Times New Roman"/>
          <w:sz w:val="24"/>
          <w:szCs w:val="24"/>
        </w:rPr>
        <w:t xml:space="preserve"> otrā daļa</w:t>
      </w:r>
      <w:r w:rsidR="00987D56" w:rsidRPr="00435438">
        <w:rPr>
          <w:rFonts w:ascii="Times New Roman" w:hAnsi="Times New Roman" w:cs="Times New Roman"/>
          <w:sz w:val="24"/>
          <w:szCs w:val="24"/>
        </w:rPr>
        <w:t xml:space="preserve"> noteic,</w:t>
      </w:r>
      <w:r w:rsidRPr="00435438">
        <w:rPr>
          <w:rFonts w:ascii="Times New Roman" w:hAnsi="Times New Roman" w:cs="Times New Roman"/>
          <w:sz w:val="24"/>
          <w:szCs w:val="24"/>
        </w:rPr>
        <w:t xml:space="preserve"> ka par pierādījumiem kriminālprocesā iesaistītās personas var izmantot tikai tādas ziņas par faktiem, kas ir ticamas, attiecināmas un pieļaujamas</w:t>
      </w:r>
      <w:r w:rsidR="00987D56" w:rsidRPr="00435438">
        <w:rPr>
          <w:rFonts w:ascii="Times New Roman" w:hAnsi="Times New Roman" w:cs="Times New Roman"/>
          <w:sz w:val="24"/>
          <w:szCs w:val="24"/>
        </w:rPr>
        <w:t>.</w:t>
      </w:r>
      <w:r w:rsidR="002F2475" w:rsidRPr="00435438">
        <w:rPr>
          <w:rFonts w:ascii="Times New Roman" w:hAnsi="Times New Roman" w:cs="Times New Roman"/>
          <w:sz w:val="24"/>
          <w:szCs w:val="24"/>
        </w:rPr>
        <w:t xml:space="preserve"> </w:t>
      </w:r>
      <w:r w:rsidR="00987D56" w:rsidRPr="00435438">
        <w:rPr>
          <w:rFonts w:ascii="Times New Roman" w:hAnsi="Times New Roman" w:cs="Times New Roman"/>
          <w:sz w:val="24"/>
          <w:szCs w:val="24"/>
        </w:rPr>
        <w:t xml:space="preserve">Lai liecinieka liecības varētu izmantot kā pierādījumu, tām jāatbilst visām nosauktajām prasībām. </w:t>
      </w:r>
      <w:r w:rsidR="00434CC9" w:rsidRPr="00435438">
        <w:rPr>
          <w:rFonts w:ascii="Times New Roman" w:hAnsi="Times New Roman" w:cs="Times New Roman"/>
          <w:sz w:val="24"/>
          <w:szCs w:val="24"/>
        </w:rPr>
        <w:t xml:space="preserve">Neatbilstot </w:t>
      </w:r>
      <w:r w:rsidR="00987D56" w:rsidRPr="00435438">
        <w:rPr>
          <w:rFonts w:ascii="Times New Roman" w:hAnsi="Times New Roman" w:cs="Times New Roman"/>
          <w:sz w:val="24"/>
          <w:szCs w:val="24"/>
        </w:rPr>
        <w:t>kaut vienai no tām, liecība nav izmantojama pierādīšanā.</w:t>
      </w:r>
    </w:p>
    <w:p w14:paraId="66583C71" w14:textId="77777777" w:rsidR="00434CC9" w:rsidRPr="00435438" w:rsidRDefault="00D23E7E" w:rsidP="00D23E7E">
      <w:pPr>
        <w:spacing w:after="0" w:line="276" w:lineRule="auto"/>
        <w:ind w:firstLine="720"/>
        <w:jc w:val="both"/>
        <w:rPr>
          <w:rFonts w:ascii="Times New Roman" w:hAnsi="Times New Roman" w:cs="Times New Roman"/>
          <w:sz w:val="24"/>
          <w:szCs w:val="24"/>
        </w:rPr>
      </w:pPr>
      <w:r w:rsidRPr="00435438">
        <w:rPr>
          <w:rFonts w:ascii="Times New Roman" w:hAnsi="Times New Roman" w:cs="Times New Roman"/>
          <w:sz w:val="24"/>
          <w:szCs w:val="24"/>
        </w:rPr>
        <w:t>Lai varētu pārliecināties par liecības ticamību,</w:t>
      </w:r>
      <w:r w:rsidR="00987D56" w:rsidRPr="00435438">
        <w:rPr>
          <w:rFonts w:ascii="Times New Roman" w:hAnsi="Times New Roman" w:cs="Times New Roman"/>
          <w:sz w:val="24"/>
          <w:szCs w:val="24"/>
        </w:rPr>
        <w:t xml:space="preserve"> atbilstoši Kriminālprocesa likuma </w:t>
      </w:r>
      <w:proofErr w:type="gramStart"/>
      <w:r w:rsidR="00987D56" w:rsidRPr="00435438">
        <w:rPr>
          <w:rFonts w:ascii="Times New Roman" w:hAnsi="Times New Roman" w:cs="Times New Roman"/>
          <w:sz w:val="24"/>
          <w:szCs w:val="24"/>
        </w:rPr>
        <w:t>128.panta</w:t>
      </w:r>
      <w:proofErr w:type="gramEnd"/>
      <w:r w:rsidR="00987D56" w:rsidRPr="00435438">
        <w:rPr>
          <w:rFonts w:ascii="Times New Roman" w:hAnsi="Times New Roman" w:cs="Times New Roman"/>
          <w:sz w:val="24"/>
          <w:szCs w:val="24"/>
        </w:rPr>
        <w:t xml:space="preserve"> pirmajai daļai, jā</w:t>
      </w:r>
      <w:r w:rsidR="002F2475" w:rsidRPr="00435438">
        <w:rPr>
          <w:rFonts w:ascii="Times New Roman" w:hAnsi="Times New Roman" w:cs="Times New Roman"/>
          <w:sz w:val="24"/>
          <w:szCs w:val="24"/>
        </w:rPr>
        <w:t>pārliecinās</w:t>
      </w:r>
      <w:r w:rsidR="00987D56" w:rsidRPr="00435438">
        <w:rPr>
          <w:rFonts w:ascii="Times New Roman" w:hAnsi="Times New Roman" w:cs="Times New Roman"/>
          <w:sz w:val="24"/>
          <w:szCs w:val="24"/>
        </w:rPr>
        <w:t>,</w:t>
      </w:r>
      <w:r w:rsidR="00434CC9" w:rsidRPr="00435438">
        <w:rPr>
          <w:rFonts w:ascii="Times New Roman" w:hAnsi="Times New Roman" w:cs="Times New Roman"/>
          <w:sz w:val="24"/>
          <w:szCs w:val="24"/>
        </w:rPr>
        <w:t xml:space="preserve"> vai </w:t>
      </w:r>
      <w:r w:rsidR="002F2475" w:rsidRPr="00435438">
        <w:rPr>
          <w:rFonts w:ascii="Times New Roman" w:hAnsi="Times New Roman" w:cs="Times New Roman"/>
          <w:sz w:val="24"/>
          <w:szCs w:val="24"/>
        </w:rPr>
        <w:t xml:space="preserve">liecībā sniegtās </w:t>
      </w:r>
      <w:r w:rsidR="00987D56" w:rsidRPr="00435438">
        <w:rPr>
          <w:rFonts w:ascii="Times New Roman" w:hAnsi="Times New Roman" w:cs="Times New Roman"/>
          <w:sz w:val="24"/>
          <w:szCs w:val="24"/>
        </w:rPr>
        <w:t>ziņas ir patiesas.</w:t>
      </w:r>
      <w:r w:rsidR="002F2475" w:rsidRPr="00435438">
        <w:rPr>
          <w:rFonts w:ascii="Times New Roman" w:hAnsi="Times New Roman" w:cs="Times New Roman"/>
          <w:sz w:val="24"/>
          <w:szCs w:val="24"/>
        </w:rPr>
        <w:t xml:space="preserve"> No minētā izriet, ka par pierādījumiem kriminālprocesā nevar būt baumas, pieņēmumi un liecinošo personu subjektīvie viedokļi, </w:t>
      </w:r>
      <w:r w:rsidR="00434CC9" w:rsidRPr="00435438">
        <w:rPr>
          <w:rFonts w:ascii="Times New Roman" w:hAnsi="Times New Roman" w:cs="Times New Roman"/>
          <w:sz w:val="24"/>
          <w:szCs w:val="24"/>
        </w:rPr>
        <w:t xml:space="preserve">jo </w:t>
      </w:r>
      <w:r w:rsidRPr="00435438">
        <w:rPr>
          <w:rFonts w:ascii="Times New Roman" w:hAnsi="Times New Roman" w:cs="Times New Roman"/>
          <w:sz w:val="24"/>
          <w:szCs w:val="24"/>
        </w:rPr>
        <w:t>tajā ietilpstošo ziņu</w:t>
      </w:r>
      <w:r w:rsidR="00434CC9" w:rsidRPr="00435438">
        <w:rPr>
          <w:rFonts w:ascii="Times New Roman" w:hAnsi="Times New Roman" w:cs="Times New Roman"/>
          <w:sz w:val="24"/>
          <w:szCs w:val="24"/>
        </w:rPr>
        <w:t xml:space="preserve"> </w:t>
      </w:r>
      <w:r w:rsidRPr="00435438">
        <w:rPr>
          <w:rFonts w:ascii="Times New Roman" w:hAnsi="Times New Roman" w:cs="Times New Roman"/>
          <w:sz w:val="24"/>
          <w:szCs w:val="24"/>
        </w:rPr>
        <w:t>par faktiem izcelsme</w:t>
      </w:r>
      <w:r w:rsidR="00434CC9" w:rsidRPr="00435438">
        <w:rPr>
          <w:rFonts w:ascii="Times New Roman" w:hAnsi="Times New Roman" w:cs="Times New Roman"/>
          <w:sz w:val="24"/>
          <w:szCs w:val="24"/>
        </w:rPr>
        <w:t xml:space="preserve"> nav konkrēti noteikta</w:t>
      </w:r>
      <w:r w:rsidRPr="00435438">
        <w:rPr>
          <w:rFonts w:ascii="Times New Roman" w:hAnsi="Times New Roman" w:cs="Times New Roman"/>
          <w:sz w:val="24"/>
          <w:szCs w:val="24"/>
        </w:rPr>
        <w:t xml:space="preserve">, </w:t>
      </w:r>
      <w:r w:rsidR="00434CC9" w:rsidRPr="00435438">
        <w:rPr>
          <w:rFonts w:ascii="Times New Roman" w:hAnsi="Times New Roman" w:cs="Times New Roman"/>
          <w:sz w:val="24"/>
          <w:szCs w:val="24"/>
        </w:rPr>
        <w:t xml:space="preserve">tādejādi tām trūkst pamatojuma un </w:t>
      </w:r>
      <w:r w:rsidRPr="00435438">
        <w:rPr>
          <w:rFonts w:ascii="Times New Roman" w:hAnsi="Times New Roman" w:cs="Times New Roman"/>
          <w:sz w:val="24"/>
          <w:szCs w:val="24"/>
        </w:rPr>
        <w:t xml:space="preserve">par </w:t>
      </w:r>
      <w:r w:rsidR="00434CC9" w:rsidRPr="00435438">
        <w:rPr>
          <w:rFonts w:ascii="Times New Roman" w:hAnsi="Times New Roman" w:cs="Times New Roman"/>
          <w:sz w:val="24"/>
          <w:szCs w:val="24"/>
        </w:rPr>
        <w:t xml:space="preserve">to patiesumu nav iespējams pārliecināties. </w:t>
      </w:r>
    </w:p>
    <w:p w14:paraId="621395A3" w14:textId="6ED52D5A" w:rsidR="00435438" w:rsidRPr="00B03202" w:rsidRDefault="00435438" w:rsidP="00435438">
      <w:pPr>
        <w:spacing w:after="0" w:line="276" w:lineRule="auto"/>
        <w:ind w:firstLine="720"/>
        <w:jc w:val="both"/>
        <w:rPr>
          <w:color w:val="000000" w:themeColor="text1"/>
        </w:rPr>
      </w:pPr>
      <w:r w:rsidRPr="00B03202">
        <w:rPr>
          <w:rFonts w:ascii="Times New Roman" w:hAnsi="Times New Roman" w:cs="Times New Roman"/>
          <w:color w:val="000000" w:themeColor="text1"/>
          <w:sz w:val="24"/>
          <w:szCs w:val="24"/>
        </w:rPr>
        <w:t xml:space="preserve"> </w:t>
      </w:r>
      <w:r w:rsidR="00231F89" w:rsidRPr="00B03202">
        <w:rPr>
          <w:rFonts w:ascii="Times New Roman" w:hAnsi="Times New Roman" w:cs="Times New Roman"/>
          <w:color w:val="000000" w:themeColor="text1"/>
          <w:sz w:val="24"/>
          <w:szCs w:val="24"/>
        </w:rPr>
        <w:t>[7.3</w:t>
      </w:r>
      <w:r w:rsidRPr="00B03202">
        <w:rPr>
          <w:rFonts w:ascii="Times New Roman" w:hAnsi="Times New Roman" w:cs="Times New Roman"/>
          <w:color w:val="000000" w:themeColor="text1"/>
          <w:sz w:val="24"/>
          <w:szCs w:val="24"/>
        </w:rPr>
        <w:t xml:space="preserve">] Senāts konstatē, ka kasācijas protestā prokurors ir norādījis uz Kriminālprocesa likuma </w:t>
      </w:r>
      <w:proofErr w:type="gramStart"/>
      <w:r w:rsidRPr="00B03202">
        <w:rPr>
          <w:rFonts w:ascii="Times New Roman" w:hAnsi="Times New Roman" w:cs="Times New Roman"/>
          <w:color w:val="000000" w:themeColor="text1"/>
          <w:sz w:val="24"/>
          <w:szCs w:val="24"/>
        </w:rPr>
        <w:t>128.panta</w:t>
      </w:r>
      <w:proofErr w:type="gramEnd"/>
      <w:r w:rsidRPr="00B03202">
        <w:rPr>
          <w:rFonts w:ascii="Times New Roman" w:hAnsi="Times New Roman" w:cs="Times New Roman"/>
          <w:color w:val="000000" w:themeColor="text1"/>
          <w:sz w:val="24"/>
          <w:szCs w:val="24"/>
        </w:rPr>
        <w:t xml:space="preserve"> otrās daļas pārkāpumu, kas izpaudies nevērtējot liecinieka </w:t>
      </w:r>
      <w:r w:rsidR="00406415">
        <w:rPr>
          <w:rFonts w:ascii="Times New Roman" w:hAnsi="Times New Roman" w:cs="Times New Roman"/>
          <w:color w:val="000000" w:themeColor="text1"/>
          <w:sz w:val="24"/>
          <w:szCs w:val="24"/>
        </w:rPr>
        <w:t>[pers. B]</w:t>
      </w:r>
      <w:r w:rsidRPr="00B03202">
        <w:rPr>
          <w:rFonts w:ascii="Times New Roman" w:hAnsi="Times New Roman" w:cs="Times New Roman"/>
          <w:color w:val="000000" w:themeColor="text1"/>
          <w:sz w:val="24"/>
          <w:szCs w:val="24"/>
        </w:rPr>
        <w:t xml:space="preserve"> liecību ticamību kopsakarā ar citiem pierādījumiem, taču nav argumentēti apstrīdējis un atspēkojis apelācijas instances tiesas atzinumu par to, ka liecinieka </w:t>
      </w:r>
      <w:r w:rsidR="00406415">
        <w:rPr>
          <w:rFonts w:ascii="Times New Roman" w:hAnsi="Times New Roman" w:cs="Times New Roman"/>
          <w:color w:val="000000" w:themeColor="text1"/>
          <w:sz w:val="24"/>
          <w:szCs w:val="24"/>
        </w:rPr>
        <w:t>[pers. B]</w:t>
      </w:r>
      <w:r w:rsidRPr="00B03202">
        <w:rPr>
          <w:rFonts w:ascii="Times New Roman" w:hAnsi="Times New Roman" w:cs="Times New Roman"/>
          <w:color w:val="000000" w:themeColor="text1"/>
          <w:sz w:val="24"/>
          <w:szCs w:val="24"/>
        </w:rPr>
        <w:t xml:space="preserve"> liecību ticamību nav iespējams pārbaudīt, tādēļ tās nav izmantojamas kriminālprocesā kā pierādījums. </w:t>
      </w:r>
    </w:p>
    <w:p w14:paraId="24607F35" w14:textId="0404A500" w:rsidR="00435438" w:rsidRPr="00B03202" w:rsidRDefault="00231F89" w:rsidP="00435438">
      <w:pPr>
        <w:spacing w:after="0" w:line="276" w:lineRule="auto"/>
        <w:ind w:firstLine="720"/>
        <w:jc w:val="both"/>
        <w:rPr>
          <w:rFonts w:ascii="Times New Roman" w:hAnsi="Times New Roman" w:cs="Times New Roman"/>
          <w:color w:val="000000" w:themeColor="text1"/>
          <w:sz w:val="24"/>
          <w:szCs w:val="24"/>
        </w:rPr>
      </w:pPr>
      <w:r w:rsidRPr="00B03202">
        <w:rPr>
          <w:rFonts w:ascii="Times New Roman" w:hAnsi="Times New Roman" w:cs="Times New Roman"/>
          <w:color w:val="000000" w:themeColor="text1"/>
          <w:sz w:val="24"/>
          <w:szCs w:val="24"/>
        </w:rPr>
        <w:t>[7.4</w:t>
      </w:r>
      <w:r w:rsidR="00435438" w:rsidRPr="00B03202">
        <w:rPr>
          <w:rFonts w:ascii="Times New Roman" w:hAnsi="Times New Roman" w:cs="Times New Roman"/>
          <w:color w:val="000000" w:themeColor="text1"/>
          <w:sz w:val="24"/>
          <w:szCs w:val="24"/>
        </w:rPr>
        <w:t>] Ievērojot to, ka prokurors kasācijas protestā nav atbilstoši Kriminālprocesa likuma 572. un</w:t>
      </w:r>
      <w:r w:rsidR="00B03202">
        <w:rPr>
          <w:rFonts w:ascii="Times New Roman" w:hAnsi="Times New Roman" w:cs="Times New Roman"/>
          <w:color w:val="000000" w:themeColor="text1"/>
          <w:sz w:val="24"/>
          <w:szCs w:val="24"/>
        </w:rPr>
        <w:t xml:space="preserve"> </w:t>
      </w:r>
      <w:proofErr w:type="gramStart"/>
      <w:r w:rsidR="00B03202">
        <w:rPr>
          <w:rFonts w:ascii="Times New Roman" w:hAnsi="Times New Roman" w:cs="Times New Roman"/>
          <w:color w:val="000000" w:themeColor="text1"/>
          <w:sz w:val="24"/>
          <w:szCs w:val="24"/>
        </w:rPr>
        <w:t>573.panta</w:t>
      </w:r>
      <w:proofErr w:type="gramEnd"/>
      <w:r w:rsidR="00B03202">
        <w:rPr>
          <w:rFonts w:ascii="Times New Roman" w:hAnsi="Times New Roman" w:cs="Times New Roman"/>
          <w:color w:val="000000" w:themeColor="text1"/>
          <w:sz w:val="24"/>
          <w:szCs w:val="24"/>
        </w:rPr>
        <w:t xml:space="preserve"> prasībām</w:t>
      </w:r>
      <w:r w:rsidR="00960FA6">
        <w:rPr>
          <w:rFonts w:ascii="Times New Roman" w:hAnsi="Times New Roman" w:cs="Times New Roman"/>
          <w:color w:val="000000" w:themeColor="text1"/>
          <w:sz w:val="24"/>
          <w:szCs w:val="24"/>
        </w:rPr>
        <w:t>,</w:t>
      </w:r>
      <w:r w:rsidR="00B03202">
        <w:rPr>
          <w:rFonts w:ascii="Times New Roman" w:hAnsi="Times New Roman" w:cs="Times New Roman"/>
          <w:color w:val="000000" w:themeColor="text1"/>
          <w:sz w:val="24"/>
          <w:szCs w:val="24"/>
        </w:rPr>
        <w:t xml:space="preserve"> argumentēti</w:t>
      </w:r>
      <w:r w:rsidR="00435438" w:rsidRPr="00B03202">
        <w:rPr>
          <w:rFonts w:ascii="Times New Roman" w:hAnsi="Times New Roman" w:cs="Times New Roman"/>
          <w:color w:val="000000" w:themeColor="text1"/>
          <w:sz w:val="24"/>
          <w:szCs w:val="24"/>
        </w:rPr>
        <w:t xml:space="preserve"> apstrīdējis un atspēkojis apelācijas instances tiesas atzinumu, ka </w:t>
      </w:r>
      <w:r w:rsidR="00406415">
        <w:rPr>
          <w:rFonts w:ascii="Times New Roman" w:hAnsi="Times New Roman" w:cs="Times New Roman"/>
          <w:color w:val="000000" w:themeColor="text1"/>
          <w:sz w:val="24"/>
          <w:szCs w:val="24"/>
        </w:rPr>
        <w:t>[pers. B]</w:t>
      </w:r>
      <w:r w:rsidR="00435438" w:rsidRPr="00B03202">
        <w:rPr>
          <w:rFonts w:ascii="Times New Roman" w:hAnsi="Times New Roman" w:cs="Times New Roman"/>
          <w:color w:val="000000" w:themeColor="text1"/>
          <w:sz w:val="24"/>
          <w:szCs w:val="24"/>
        </w:rPr>
        <w:t xml:space="preserve"> liecību ticamību nav iespējams pārbaudīt,</w:t>
      </w:r>
      <w:r w:rsidR="00435438" w:rsidRPr="00B03202">
        <w:rPr>
          <w:rFonts w:ascii="Times New Roman" w:eastAsia="Calibri" w:hAnsi="Times New Roman" w:cs="Times New Roman"/>
          <w:color w:val="000000" w:themeColor="text1"/>
          <w:sz w:val="24"/>
          <w:szCs w:val="24"/>
        </w:rPr>
        <w:t xml:space="preserve"> </w:t>
      </w:r>
      <w:r w:rsidR="00435438" w:rsidRPr="00B03202">
        <w:rPr>
          <w:rFonts w:ascii="Times New Roman" w:hAnsi="Times New Roman" w:cs="Times New Roman"/>
          <w:color w:val="000000" w:themeColor="text1"/>
          <w:sz w:val="24"/>
          <w:szCs w:val="24"/>
        </w:rPr>
        <w:t>savukārt kasācijas instances tiesa nevar pārsniegt kasācijas protesta apjomu, lai pasliktinātu apsūdzētā stāvokli lietā,</w:t>
      </w:r>
      <w:r w:rsidR="00435438" w:rsidRPr="00B03202">
        <w:rPr>
          <w:rFonts w:ascii="Times New Roman" w:eastAsia="Calibri" w:hAnsi="Times New Roman" w:cs="Times New Roman"/>
          <w:color w:val="000000" w:themeColor="text1"/>
          <w:sz w:val="24"/>
          <w:szCs w:val="24"/>
        </w:rPr>
        <w:t xml:space="preserve"> Senāts atzīst, ka kasācijas protestā ietvertā norāde uz Kriminālprocesa likuma 128.panta otrās daļas pārk</w:t>
      </w:r>
      <w:r w:rsidR="00B03202">
        <w:rPr>
          <w:rFonts w:ascii="Times New Roman" w:eastAsia="Calibri" w:hAnsi="Times New Roman" w:cs="Times New Roman"/>
          <w:color w:val="000000" w:themeColor="text1"/>
          <w:sz w:val="24"/>
          <w:szCs w:val="24"/>
        </w:rPr>
        <w:t xml:space="preserve">āpumu saistībā ar liecinieka </w:t>
      </w:r>
      <w:r w:rsidR="00406415">
        <w:rPr>
          <w:rFonts w:ascii="Times New Roman" w:eastAsia="Calibri" w:hAnsi="Times New Roman" w:cs="Times New Roman"/>
          <w:color w:val="000000" w:themeColor="text1"/>
          <w:sz w:val="24"/>
          <w:szCs w:val="24"/>
        </w:rPr>
        <w:t>[pers. B]</w:t>
      </w:r>
      <w:r w:rsidR="00435438" w:rsidRPr="00B03202">
        <w:rPr>
          <w:rFonts w:ascii="Times New Roman" w:eastAsia="Calibri" w:hAnsi="Times New Roman" w:cs="Times New Roman"/>
          <w:color w:val="000000" w:themeColor="text1"/>
          <w:sz w:val="24"/>
          <w:szCs w:val="24"/>
        </w:rPr>
        <w:t xml:space="preserve"> liecību vērtējumu ir nepamatota.</w:t>
      </w:r>
    </w:p>
    <w:p w14:paraId="24FCEACC" w14:textId="641AA5C0" w:rsidR="00435438" w:rsidRPr="00B03202" w:rsidRDefault="00435438" w:rsidP="00435438">
      <w:pPr>
        <w:spacing w:after="0" w:line="276" w:lineRule="auto"/>
        <w:ind w:firstLine="720"/>
        <w:jc w:val="both"/>
        <w:rPr>
          <w:rFonts w:ascii="Times New Roman" w:hAnsi="Times New Roman" w:cs="Times New Roman"/>
          <w:color w:val="000000" w:themeColor="text1"/>
          <w:sz w:val="24"/>
          <w:szCs w:val="24"/>
        </w:rPr>
      </w:pPr>
      <w:r w:rsidRPr="00B03202">
        <w:rPr>
          <w:rFonts w:ascii="Times New Roman" w:hAnsi="Times New Roman" w:cs="Times New Roman"/>
          <w:color w:val="000000" w:themeColor="text1"/>
          <w:sz w:val="24"/>
          <w:szCs w:val="24"/>
        </w:rPr>
        <w:t xml:space="preserve">Senāts norāda, ka apelācijas instances tiesai, skatot lietu no jauna un izlemjot </w:t>
      </w:r>
      <w:r w:rsidR="00406415">
        <w:rPr>
          <w:rFonts w:ascii="Times New Roman" w:hAnsi="Times New Roman" w:cs="Times New Roman"/>
          <w:color w:val="000000" w:themeColor="text1"/>
          <w:sz w:val="24"/>
          <w:szCs w:val="24"/>
        </w:rPr>
        <w:t>[pers. A]</w:t>
      </w:r>
      <w:r w:rsidRPr="00B03202">
        <w:rPr>
          <w:rFonts w:ascii="Times New Roman" w:hAnsi="Times New Roman" w:cs="Times New Roman"/>
          <w:color w:val="000000" w:themeColor="text1"/>
          <w:sz w:val="24"/>
          <w:szCs w:val="24"/>
        </w:rPr>
        <w:t xml:space="preserve"> uzrādītās apsūdzības pamatotību, ir saistošs šajā lietā paustais Senāta atzinums par </w:t>
      </w:r>
      <w:r w:rsidR="007833F6">
        <w:rPr>
          <w:rFonts w:ascii="Times New Roman" w:hAnsi="Times New Roman" w:cs="Times New Roman"/>
          <w:color w:val="000000" w:themeColor="text1"/>
          <w:sz w:val="24"/>
          <w:szCs w:val="24"/>
        </w:rPr>
        <w:t>[pers. B]</w:t>
      </w:r>
      <w:r w:rsidRPr="00B03202">
        <w:rPr>
          <w:rFonts w:ascii="Times New Roman" w:hAnsi="Times New Roman" w:cs="Times New Roman"/>
          <w:color w:val="000000" w:themeColor="text1"/>
          <w:sz w:val="24"/>
          <w:szCs w:val="24"/>
        </w:rPr>
        <w:t xml:space="preserve"> liecību izmantošanu pierādīšanā.</w:t>
      </w:r>
    </w:p>
    <w:p w14:paraId="15C86615" w14:textId="77777777" w:rsidR="00435438" w:rsidRPr="00435438" w:rsidRDefault="00435438" w:rsidP="00D23E7E">
      <w:pPr>
        <w:spacing w:after="0" w:line="276" w:lineRule="auto"/>
        <w:ind w:firstLine="720"/>
        <w:jc w:val="both"/>
        <w:rPr>
          <w:rFonts w:ascii="Times New Roman" w:hAnsi="Times New Roman" w:cs="Times New Roman"/>
          <w:sz w:val="24"/>
          <w:szCs w:val="24"/>
        </w:rPr>
      </w:pPr>
    </w:p>
    <w:p w14:paraId="44010287" w14:textId="3B371C80" w:rsidR="00D23E7E" w:rsidRPr="00435438" w:rsidRDefault="00D23E7E" w:rsidP="00D23E7E">
      <w:pPr>
        <w:spacing w:after="0" w:line="276" w:lineRule="auto"/>
        <w:ind w:firstLine="720"/>
        <w:jc w:val="both"/>
        <w:rPr>
          <w:rFonts w:ascii="Times New Roman" w:hAnsi="Times New Roman" w:cs="Times New Roman"/>
          <w:sz w:val="24"/>
          <w:szCs w:val="24"/>
        </w:rPr>
      </w:pPr>
      <w:r w:rsidRPr="00435438">
        <w:rPr>
          <w:rFonts w:ascii="Times New Roman" w:hAnsi="Times New Roman" w:cs="Times New Roman"/>
          <w:sz w:val="24"/>
          <w:szCs w:val="24"/>
        </w:rPr>
        <w:t xml:space="preserve">[8] Apelācijas instances tiesa </w:t>
      </w:r>
      <w:r w:rsidR="00406415">
        <w:rPr>
          <w:rFonts w:ascii="Times New Roman" w:eastAsia="Calibri" w:hAnsi="Times New Roman" w:cs="Times New Roman"/>
          <w:sz w:val="24"/>
          <w:szCs w:val="24"/>
        </w:rPr>
        <w:t>[pers. A]</w:t>
      </w:r>
      <w:r w:rsidRPr="00435438">
        <w:rPr>
          <w:rFonts w:ascii="Times New Roman" w:eastAsia="Calibri" w:hAnsi="Times New Roman" w:cs="Times New Roman"/>
          <w:sz w:val="24"/>
          <w:szCs w:val="24"/>
        </w:rPr>
        <w:t xml:space="preserve"> </w:t>
      </w:r>
      <w:r w:rsidRPr="00435438">
        <w:rPr>
          <w:rFonts w:ascii="Times New Roman" w:hAnsi="Times New Roman" w:cs="Times New Roman"/>
          <w:sz w:val="24"/>
          <w:szCs w:val="24"/>
        </w:rPr>
        <w:t xml:space="preserve">drošības līdzekli – apcietinājumu – ir atcēlusi. Senāts atzīst, ka šajā kriminālprocesa stadijā drošības līdzekļa piemērošanai apsūdzētajam nav tiesiska pamata. </w:t>
      </w:r>
    </w:p>
    <w:p w14:paraId="75CAD925" w14:textId="77777777" w:rsidR="00D23E7E" w:rsidRPr="00435438" w:rsidRDefault="00D23E7E" w:rsidP="00D23E7E">
      <w:pPr>
        <w:spacing w:after="0" w:line="276" w:lineRule="auto"/>
        <w:ind w:firstLine="720"/>
        <w:jc w:val="both"/>
        <w:rPr>
          <w:rFonts w:ascii="Times New Roman" w:hAnsi="Times New Roman" w:cs="Times New Roman"/>
          <w:sz w:val="24"/>
          <w:szCs w:val="24"/>
        </w:rPr>
      </w:pPr>
    </w:p>
    <w:p w14:paraId="01F9540F" w14:textId="77777777" w:rsidR="00D23E7E" w:rsidRPr="00435438" w:rsidRDefault="00D23E7E" w:rsidP="00D23E7E">
      <w:pPr>
        <w:tabs>
          <w:tab w:val="left" w:pos="0"/>
          <w:tab w:val="left" w:pos="709"/>
        </w:tabs>
        <w:spacing w:line="276" w:lineRule="auto"/>
        <w:jc w:val="center"/>
        <w:rPr>
          <w:rFonts w:ascii="Times New Roman" w:hAnsi="Times New Roman" w:cs="Times New Roman"/>
          <w:b/>
          <w:sz w:val="24"/>
          <w:szCs w:val="24"/>
        </w:rPr>
      </w:pPr>
      <w:r w:rsidRPr="00435438">
        <w:rPr>
          <w:rFonts w:ascii="Times New Roman" w:hAnsi="Times New Roman" w:cs="Times New Roman"/>
          <w:b/>
          <w:sz w:val="24"/>
          <w:szCs w:val="24"/>
        </w:rPr>
        <w:t>Rezolutīvā daļa</w:t>
      </w:r>
    </w:p>
    <w:p w14:paraId="551A816A" w14:textId="77777777" w:rsidR="00D23E7E" w:rsidRPr="00435438" w:rsidRDefault="00D23E7E" w:rsidP="00D23E7E">
      <w:pPr>
        <w:tabs>
          <w:tab w:val="left" w:pos="0"/>
          <w:tab w:val="left" w:pos="709"/>
        </w:tabs>
        <w:spacing w:line="276" w:lineRule="auto"/>
        <w:jc w:val="both"/>
        <w:rPr>
          <w:rFonts w:ascii="Times New Roman" w:hAnsi="Times New Roman" w:cs="Times New Roman"/>
          <w:sz w:val="24"/>
          <w:szCs w:val="24"/>
        </w:rPr>
      </w:pPr>
    </w:p>
    <w:p w14:paraId="6365914B" w14:textId="3183F8A9" w:rsidR="00B03202" w:rsidRDefault="00D23E7E" w:rsidP="00406415">
      <w:pPr>
        <w:tabs>
          <w:tab w:val="left" w:pos="0"/>
          <w:tab w:val="left" w:pos="709"/>
        </w:tabs>
        <w:spacing w:line="276" w:lineRule="auto"/>
        <w:jc w:val="both"/>
        <w:rPr>
          <w:rFonts w:ascii="Times New Roman" w:hAnsi="Times New Roman" w:cs="Times New Roman"/>
          <w:sz w:val="24"/>
          <w:szCs w:val="24"/>
        </w:rPr>
      </w:pPr>
      <w:r w:rsidRPr="00435438">
        <w:rPr>
          <w:rFonts w:ascii="Times New Roman" w:hAnsi="Times New Roman" w:cs="Times New Roman"/>
          <w:sz w:val="24"/>
          <w:szCs w:val="24"/>
        </w:rPr>
        <w:lastRenderedPageBreak/>
        <w:tab/>
        <w:t xml:space="preserve"> Pamatojoties uz Kriminālprocesa likuma 585. un </w:t>
      </w:r>
      <w:proofErr w:type="gramStart"/>
      <w:r w:rsidRPr="00435438">
        <w:rPr>
          <w:rFonts w:ascii="Times New Roman" w:hAnsi="Times New Roman" w:cs="Times New Roman"/>
          <w:sz w:val="24"/>
          <w:szCs w:val="24"/>
        </w:rPr>
        <w:t>587.pantu</w:t>
      </w:r>
      <w:proofErr w:type="gramEnd"/>
      <w:r w:rsidRPr="00435438">
        <w:rPr>
          <w:rFonts w:ascii="Times New Roman" w:hAnsi="Times New Roman" w:cs="Times New Roman"/>
          <w:sz w:val="24"/>
          <w:szCs w:val="24"/>
        </w:rPr>
        <w:t>, tiesa</w:t>
      </w:r>
    </w:p>
    <w:p w14:paraId="2EE74708" w14:textId="77777777" w:rsidR="00406415" w:rsidRPr="00406415" w:rsidRDefault="00406415" w:rsidP="00406415">
      <w:pPr>
        <w:tabs>
          <w:tab w:val="left" w:pos="0"/>
          <w:tab w:val="left" w:pos="709"/>
        </w:tabs>
        <w:spacing w:line="276" w:lineRule="auto"/>
        <w:jc w:val="both"/>
        <w:rPr>
          <w:rFonts w:ascii="Times New Roman" w:hAnsi="Times New Roman" w:cs="Times New Roman"/>
          <w:sz w:val="24"/>
          <w:szCs w:val="24"/>
        </w:rPr>
      </w:pPr>
    </w:p>
    <w:p w14:paraId="4A83DF5C" w14:textId="77777777" w:rsidR="00D23E7E" w:rsidRPr="00435438" w:rsidRDefault="00E23F78" w:rsidP="00D23E7E">
      <w:pPr>
        <w:tabs>
          <w:tab w:val="left" w:pos="0"/>
          <w:tab w:val="left" w:pos="6660"/>
        </w:tabs>
        <w:spacing w:line="276" w:lineRule="auto"/>
        <w:jc w:val="center"/>
        <w:rPr>
          <w:rFonts w:ascii="Times New Roman" w:hAnsi="Times New Roman" w:cs="Times New Roman"/>
          <w:b/>
          <w:sz w:val="24"/>
          <w:szCs w:val="24"/>
        </w:rPr>
      </w:pPr>
      <w:r w:rsidRPr="00435438">
        <w:rPr>
          <w:rFonts w:ascii="Times New Roman" w:hAnsi="Times New Roman" w:cs="Times New Roman"/>
          <w:b/>
          <w:sz w:val="24"/>
          <w:szCs w:val="24"/>
        </w:rPr>
        <w:t>n</w:t>
      </w:r>
      <w:r w:rsidR="00D23E7E" w:rsidRPr="00435438">
        <w:rPr>
          <w:rFonts w:ascii="Times New Roman" w:hAnsi="Times New Roman" w:cs="Times New Roman"/>
          <w:b/>
          <w:sz w:val="24"/>
          <w:szCs w:val="24"/>
        </w:rPr>
        <w:t>olēma</w:t>
      </w:r>
      <w:r w:rsidRPr="00435438">
        <w:rPr>
          <w:rFonts w:ascii="Times New Roman" w:hAnsi="Times New Roman" w:cs="Times New Roman"/>
          <w:b/>
          <w:sz w:val="24"/>
          <w:szCs w:val="24"/>
        </w:rPr>
        <w:t>:</w:t>
      </w:r>
    </w:p>
    <w:p w14:paraId="401CA297" w14:textId="77777777" w:rsidR="00D23E7E" w:rsidRPr="00435438" w:rsidRDefault="00D23E7E" w:rsidP="00D23E7E">
      <w:pPr>
        <w:tabs>
          <w:tab w:val="left" w:pos="0"/>
          <w:tab w:val="left" w:pos="6660"/>
        </w:tabs>
        <w:spacing w:line="276" w:lineRule="auto"/>
        <w:jc w:val="center"/>
        <w:rPr>
          <w:rFonts w:ascii="Times New Roman" w:hAnsi="Times New Roman" w:cs="Times New Roman"/>
          <w:b/>
          <w:sz w:val="24"/>
          <w:szCs w:val="24"/>
        </w:rPr>
      </w:pPr>
    </w:p>
    <w:p w14:paraId="2596505A" w14:textId="77777777" w:rsidR="00D23E7E" w:rsidRPr="00435438" w:rsidRDefault="00D23E7E" w:rsidP="00B03202">
      <w:pPr>
        <w:tabs>
          <w:tab w:val="left" w:pos="0"/>
          <w:tab w:val="left" w:pos="6660"/>
        </w:tabs>
        <w:spacing w:after="0" w:line="276" w:lineRule="auto"/>
        <w:jc w:val="both"/>
        <w:rPr>
          <w:rFonts w:ascii="Times New Roman" w:hAnsi="Times New Roman" w:cs="Times New Roman"/>
          <w:sz w:val="24"/>
          <w:szCs w:val="24"/>
        </w:rPr>
      </w:pPr>
      <w:r w:rsidRPr="00435438">
        <w:rPr>
          <w:rFonts w:ascii="Times New Roman" w:hAnsi="Times New Roman" w:cs="Times New Roman"/>
          <w:b/>
          <w:sz w:val="24"/>
          <w:szCs w:val="24"/>
        </w:rPr>
        <w:t xml:space="preserve">             </w:t>
      </w:r>
      <w:r w:rsidRPr="00435438">
        <w:rPr>
          <w:rFonts w:ascii="Times New Roman" w:hAnsi="Times New Roman" w:cs="Times New Roman"/>
          <w:sz w:val="24"/>
          <w:szCs w:val="24"/>
        </w:rPr>
        <w:t xml:space="preserve">atcelt pilnībā </w:t>
      </w:r>
      <w:r w:rsidRPr="00435438">
        <w:rPr>
          <w:rFonts w:ascii="Times New Roman" w:eastAsia="Calibri" w:hAnsi="Times New Roman" w:cs="Times New Roman"/>
          <w:sz w:val="24"/>
          <w:szCs w:val="24"/>
        </w:rPr>
        <w:t xml:space="preserve">Rīgas apgabaltiesas </w:t>
      </w:r>
      <w:proofErr w:type="gramStart"/>
      <w:r w:rsidRPr="00435438">
        <w:rPr>
          <w:rFonts w:ascii="Times New Roman" w:eastAsia="Calibri" w:hAnsi="Times New Roman" w:cs="Times New Roman"/>
          <w:sz w:val="24"/>
          <w:szCs w:val="24"/>
        </w:rPr>
        <w:t>2019.gada</w:t>
      </w:r>
      <w:proofErr w:type="gramEnd"/>
      <w:r w:rsidRPr="00435438">
        <w:rPr>
          <w:rFonts w:ascii="Times New Roman" w:eastAsia="Calibri" w:hAnsi="Times New Roman" w:cs="Times New Roman"/>
          <w:sz w:val="24"/>
          <w:szCs w:val="24"/>
        </w:rPr>
        <w:t xml:space="preserve"> 24.oktobra spriedumu </w:t>
      </w:r>
      <w:r w:rsidRPr="00435438">
        <w:rPr>
          <w:rFonts w:ascii="Times New Roman" w:hAnsi="Times New Roman" w:cs="Times New Roman"/>
          <w:sz w:val="24"/>
          <w:szCs w:val="24"/>
        </w:rPr>
        <w:t xml:space="preserve">un lietu nosūtīt jaunai izskatīšanai </w:t>
      </w:r>
      <w:r w:rsidRPr="00435438">
        <w:rPr>
          <w:rFonts w:ascii="Times New Roman" w:eastAsia="Calibri" w:hAnsi="Times New Roman" w:cs="Times New Roman"/>
          <w:sz w:val="24"/>
          <w:szCs w:val="24"/>
        </w:rPr>
        <w:t>Rīgas</w:t>
      </w:r>
      <w:r w:rsidRPr="00435438">
        <w:rPr>
          <w:rFonts w:ascii="Times New Roman" w:hAnsi="Times New Roman" w:cs="Times New Roman"/>
          <w:sz w:val="24"/>
          <w:szCs w:val="24"/>
        </w:rPr>
        <w:t xml:space="preserve"> apgabaltiesā.</w:t>
      </w:r>
    </w:p>
    <w:p w14:paraId="665963C2" w14:textId="4C4D27AD" w:rsidR="00090A9E" w:rsidRPr="00406415" w:rsidRDefault="00D23E7E" w:rsidP="00406415">
      <w:pPr>
        <w:tabs>
          <w:tab w:val="left" w:pos="0"/>
          <w:tab w:val="left" w:pos="6660"/>
        </w:tabs>
        <w:spacing w:after="0" w:line="276" w:lineRule="auto"/>
        <w:jc w:val="both"/>
        <w:rPr>
          <w:rFonts w:ascii="Times New Roman" w:hAnsi="Times New Roman" w:cs="Times New Roman"/>
          <w:b/>
          <w:sz w:val="24"/>
          <w:szCs w:val="24"/>
        </w:rPr>
      </w:pPr>
      <w:r w:rsidRPr="00435438">
        <w:rPr>
          <w:rFonts w:ascii="Times New Roman" w:hAnsi="Times New Roman" w:cs="Times New Roman"/>
          <w:sz w:val="24"/>
          <w:szCs w:val="24"/>
        </w:rPr>
        <w:t xml:space="preserve">            </w:t>
      </w:r>
      <w:r w:rsidRPr="00435438">
        <w:rPr>
          <w:rFonts w:ascii="Times New Roman" w:hAnsi="Times New Roman" w:cs="Times New Roman"/>
          <w:b/>
          <w:sz w:val="24"/>
          <w:szCs w:val="24"/>
        </w:rPr>
        <w:t xml:space="preserve"> </w:t>
      </w:r>
      <w:r w:rsidRPr="00435438">
        <w:rPr>
          <w:rFonts w:ascii="Times New Roman" w:hAnsi="Times New Roman" w:cs="Times New Roman"/>
          <w:sz w:val="24"/>
          <w:szCs w:val="24"/>
        </w:rPr>
        <w:t>Lēmums nav pārsūdzams.</w:t>
      </w:r>
    </w:p>
    <w:sectPr w:rsidR="00090A9E" w:rsidRPr="00406415" w:rsidSect="00B03202">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70A73" w14:textId="77777777" w:rsidR="00D01F00" w:rsidRDefault="00D01F00">
      <w:pPr>
        <w:spacing w:after="0" w:line="240" w:lineRule="auto"/>
      </w:pPr>
      <w:r>
        <w:separator/>
      </w:r>
    </w:p>
  </w:endnote>
  <w:endnote w:type="continuationSeparator" w:id="0">
    <w:p w14:paraId="58FC5211" w14:textId="77777777" w:rsidR="00D01F00" w:rsidRDefault="00D0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952059"/>
      <w:docPartObj>
        <w:docPartGallery w:val="Page Numbers (Bottom of Page)"/>
        <w:docPartUnique/>
      </w:docPartObj>
    </w:sdtPr>
    <w:sdtEndPr>
      <w:rPr>
        <w:rFonts w:ascii="Times New Roman" w:hAnsi="Times New Roman" w:cs="Times New Roman"/>
        <w:sz w:val="24"/>
        <w:szCs w:val="24"/>
      </w:rPr>
    </w:sdtEndPr>
    <w:sdtContent>
      <w:sdt>
        <w:sdtPr>
          <w:id w:val="1728636285"/>
          <w:docPartObj>
            <w:docPartGallery w:val="Page Numbers (Top of Page)"/>
            <w:docPartUnique/>
          </w:docPartObj>
        </w:sdtPr>
        <w:sdtEndPr>
          <w:rPr>
            <w:rFonts w:ascii="Times New Roman" w:hAnsi="Times New Roman" w:cs="Times New Roman"/>
            <w:sz w:val="24"/>
            <w:szCs w:val="24"/>
          </w:rPr>
        </w:sdtEndPr>
        <w:sdtContent>
          <w:p w14:paraId="105299E4" w14:textId="77777777" w:rsidR="00D23E7E" w:rsidRPr="00847FDA" w:rsidRDefault="00D23E7E">
            <w:pPr>
              <w:pStyle w:val="Footer"/>
              <w:jc w:val="center"/>
              <w:rPr>
                <w:rFonts w:ascii="Times New Roman" w:hAnsi="Times New Roman" w:cs="Times New Roman"/>
                <w:sz w:val="24"/>
                <w:szCs w:val="24"/>
              </w:rPr>
            </w:pPr>
            <w:r w:rsidRPr="00847FDA">
              <w:rPr>
                <w:rFonts w:ascii="Times New Roman" w:hAnsi="Times New Roman" w:cs="Times New Roman"/>
                <w:bCs/>
                <w:sz w:val="24"/>
                <w:szCs w:val="24"/>
              </w:rPr>
              <w:fldChar w:fldCharType="begin"/>
            </w:r>
            <w:r w:rsidRPr="00847FDA">
              <w:rPr>
                <w:rFonts w:ascii="Times New Roman" w:hAnsi="Times New Roman" w:cs="Times New Roman"/>
                <w:bCs/>
                <w:sz w:val="24"/>
                <w:szCs w:val="24"/>
              </w:rPr>
              <w:instrText xml:space="preserve"> PAGE </w:instrText>
            </w:r>
            <w:r w:rsidRPr="00847FDA">
              <w:rPr>
                <w:rFonts w:ascii="Times New Roman" w:hAnsi="Times New Roman" w:cs="Times New Roman"/>
                <w:bCs/>
                <w:sz w:val="24"/>
                <w:szCs w:val="24"/>
              </w:rPr>
              <w:fldChar w:fldCharType="separate"/>
            </w:r>
            <w:r w:rsidR="00960FA6">
              <w:rPr>
                <w:rFonts w:ascii="Times New Roman" w:hAnsi="Times New Roman" w:cs="Times New Roman"/>
                <w:bCs/>
                <w:noProof/>
                <w:sz w:val="24"/>
                <w:szCs w:val="24"/>
              </w:rPr>
              <w:t>5</w:t>
            </w:r>
            <w:r w:rsidRPr="00847FDA">
              <w:rPr>
                <w:rFonts w:ascii="Times New Roman" w:hAnsi="Times New Roman" w:cs="Times New Roman"/>
                <w:bCs/>
                <w:sz w:val="24"/>
                <w:szCs w:val="24"/>
              </w:rPr>
              <w:fldChar w:fldCharType="end"/>
            </w:r>
            <w:r w:rsidRPr="00847FDA">
              <w:rPr>
                <w:rFonts w:ascii="Times New Roman" w:hAnsi="Times New Roman" w:cs="Times New Roman"/>
                <w:sz w:val="24"/>
                <w:szCs w:val="24"/>
              </w:rPr>
              <w:t xml:space="preserve"> no </w:t>
            </w:r>
            <w:r w:rsidRPr="00847FDA">
              <w:rPr>
                <w:rFonts w:ascii="Times New Roman" w:hAnsi="Times New Roman" w:cs="Times New Roman"/>
                <w:bCs/>
                <w:sz w:val="24"/>
                <w:szCs w:val="24"/>
              </w:rPr>
              <w:fldChar w:fldCharType="begin"/>
            </w:r>
            <w:r w:rsidRPr="00847FDA">
              <w:rPr>
                <w:rFonts w:ascii="Times New Roman" w:hAnsi="Times New Roman" w:cs="Times New Roman"/>
                <w:bCs/>
                <w:sz w:val="24"/>
                <w:szCs w:val="24"/>
              </w:rPr>
              <w:instrText xml:space="preserve"> NUMPAGES  </w:instrText>
            </w:r>
            <w:r w:rsidRPr="00847FDA">
              <w:rPr>
                <w:rFonts w:ascii="Times New Roman" w:hAnsi="Times New Roman" w:cs="Times New Roman"/>
                <w:bCs/>
                <w:sz w:val="24"/>
                <w:szCs w:val="24"/>
              </w:rPr>
              <w:fldChar w:fldCharType="separate"/>
            </w:r>
            <w:r w:rsidR="00960FA6">
              <w:rPr>
                <w:rFonts w:ascii="Times New Roman" w:hAnsi="Times New Roman" w:cs="Times New Roman"/>
                <w:bCs/>
                <w:noProof/>
                <w:sz w:val="24"/>
                <w:szCs w:val="24"/>
              </w:rPr>
              <w:t>5</w:t>
            </w:r>
            <w:r w:rsidRPr="00847FDA">
              <w:rPr>
                <w:rFonts w:ascii="Times New Roman" w:hAnsi="Times New Roman" w:cs="Times New Roman"/>
                <w:bCs/>
                <w:sz w:val="24"/>
                <w:szCs w:val="24"/>
              </w:rPr>
              <w:fldChar w:fldCharType="end"/>
            </w:r>
          </w:p>
        </w:sdtContent>
      </w:sdt>
    </w:sdtContent>
  </w:sdt>
  <w:p w14:paraId="4BE681EA" w14:textId="77777777" w:rsidR="00D23E7E" w:rsidRDefault="00D23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6237C" w14:textId="77777777" w:rsidR="00D01F00" w:rsidRDefault="00D01F00">
      <w:pPr>
        <w:spacing w:after="0" w:line="240" w:lineRule="auto"/>
      </w:pPr>
      <w:r>
        <w:separator/>
      </w:r>
    </w:p>
  </w:footnote>
  <w:footnote w:type="continuationSeparator" w:id="0">
    <w:p w14:paraId="3F334015" w14:textId="77777777" w:rsidR="00D01F00" w:rsidRDefault="00D01F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E7E"/>
    <w:rsid w:val="00090A9E"/>
    <w:rsid w:val="0011062F"/>
    <w:rsid w:val="001F25C1"/>
    <w:rsid w:val="00231F89"/>
    <w:rsid w:val="002F2475"/>
    <w:rsid w:val="00315915"/>
    <w:rsid w:val="00354668"/>
    <w:rsid w:val="00406415"/>
    <w:rsid w:val="00434CC9"/>
    <w:rsid w:val="00435438"/>
    <w:rsid w:val="00451CF9"/>
    <w:rsid w:val="00637C95"/>
    <w:rsid w:val="007531D2"/>
    <w:rsid w:val="007833F6"/>
    <w:rsid w:val="007E3078"/>
    <w:rsid w:val="008136C5"/>
    <w:rsid w:val="00895551"/>
    <w:rsid w:val="0093125F"/>
    <w:rsid w:val="00960FA6"/>
    <w:rsid w:val="00987D4E"/>
    <w:rsid w:val="00987D56"/>
    <w:rsid w:val="00A00DBD"/>
    <w:rsid w:val="00AC3C51"/>
    <w:rsid w:val="00B03202"/>
    <w:rsid w:val="00B74B00"/>
    <w:rsid w:val="00BA60B4"/>
    <w:rsid w:val="00D01F00"/>
    <w:rsid w:val="00D23E7E"/>
    <w:rsid w:val="00DA5F49"/>
    <w:rsid w:val="00E13210"/>
    <w:rsid w:val="00E23F78"/>
    <w:rsid w:val="00EC00C5"/>
    <w:rsid w:val="00F60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20E0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7E"/>
    <w:pPr>
      <w:spacing w:line="256" w:lineRule="auto"/>
    </w:pPr>
    <w:rPr>
      <w:rFonts w:asciiTheme="minorHAnsi" w:hAnsiTheme="minorHAnsi"/>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3E7E"/>
    <w:pPr>
      <w:spacing w:after="0" w:line="240" w:lineRule="auto"/>
    </w:pPr>
    <w:rPr>
      <w:rFonts w:asciiTheme="minorHAnsi" w:hAnsiTheme="minorHAnsi"/>
      <w:sz w:val="22"/>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23E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3E7E"/>
    <w:rPr>
      <w:rFonts w:asciiTheme="minorHAnsi" w:hAnsiTheme="minorHAnsi"/>
      <w:sz w:val="22"/>
      <w:lang w:val="lv-LV"/>
    </w:rPr>
  </w:style>
  <w:style w:type="character" w:styleId="Hyperlink">
    <w:name w:val="Hyperlink"/>
    <w:basedOn w:val="DefaultParagraphFont"/>
    <w:uiPriority w:val="99"/>
    <w:unhideWhenUsed/>
    <w:rsid w:val="00D23E7E"/>
    <w:rPr>
      <w:color w:val="0000FF"/>
      <w:u w:val="single"/>
    </w:rPr>
  </w:style>
  <w:style w:type="paragraph" w:styleId="BalloonText">
    <w:name w:val="Balloon Text"/>
    <w:basedOn w:val="Normal"/>
    <w:link w:val="BalloonTextChar"/>
    <w:uiPriority w:val="99"/>
    <w:semiHidden/>
    <w:unhideWhenUsed/>
    <w:rsid w:val="00D23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E7E"/>
    <w:rPr>
      <w:rFonts w:ascii="Segoe UI" w:hAnsi="Segoe UI" w:cs="Segoe UI"/>
      <w:sz w:val="18"/>
      <w:szCs w:val="18"/>
      <w:lang w:val="lv-LV"/>
    </w:rPr>
  </w:style>
  <w:style w:type="character" w:styleId="UnresolvedMention">
    <w:name w:val="Unresolved Mention"/>
    <w:basedOn w:val="DefaultParagraphFont"/>
    <w:uiPriority w:val="99"/>
    <w:semiHidden/>
    <w:unhideWhenUsed/>
    <w:rsid w:val="001F25C1"/>
    <w:rPr>
      <w:color w:val="605E5C"/>
      <w:shd w:val="clear" w:color="auto" w:fill="E1DFDD"/>
    </w:rPr>
  </w:style>
  <w:style w:type="paragraph" w:styleId="ListParagraph">
    <w:name w:val="List Paragraph"/>
    <w:basedOn w:val="Normal"/>
    <w:uiPriority w:val="34"/>
    <w:qFormat/>
    <w:rsid w:val="001F25C1"/>
    <w:pPr>
      <w:spacing w:after="0" w:line="276" w:lineRule="auto"/>
      <w:ind w:left="720"/>
      <w:contextualSpacing/>
      <w:jc w:val="both"/>
    </w:pPr>
    <w:rPr>
      <w:rFonts w:ascii="Times New Roman" w:hAnsi="Times New Roman"/>
      <w:sz w:val="24"/>
    </w:rPr>
  </w:style>
  <w:style w:type="paragraph" w:styleId="Header">
    <w:name w:val="header"/>
    <w:basedOn w:val="Normal"/>
    <w:link w:val="HeaderChar"/>
    <w:uiPriority w:val="99"/>
    <w:unhideWhenUsed/>
    <w:rsid w:val="00637C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7C95"/>
    <w:rPr>
      <w:rFonts w:asciiTheme="minorHAnsi" w:hAnsiTheme="minorHAnsi"/>
      <w:sz w:val="22"/>
      <w:lang w:val="lv-LV"/>
    </w:rPr>
  </w:style>
  <w:style w:type="character" w:styleId="FollowedHyperlink">
    <w:name w:val="FollowedHyperlink"/>
    <w:basedOn w:val="DefaultParagraphFont"/>
    <w:uiPriority w:val="99"/>
    <w:semiHidden/>
    <w:unhideWhenUsed/>
    <w:rsid w:val="00DA5F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213882">
      <w:bodyDiv w:val="1"/>
      <w:marLeft w:val="0"/>
      <w:marRight w:val="0"/>
      <w:marTop w:val="0"/>
      <w:marBottom w:val="0"/>
      <w:divBdr>
        <w:top w:val="none" w:sz="0" w:space="0" w:color="auto"/>
        <w:left w:val="none" w:sz="0" w:space="0" w:color="auto"/>
        <w:bottom w:val="none" w:sz="0" w:space="0" w:color="auto"/>
        <w:right w:val="none" w:sz="0" w:space="0" w:color="auto"/>
      </w:divBdr>
      <w:divsChild>
        <w:div w:id="924874494">
          <w:marLeft w:val="0"/>
          <w:marRight w:val="0"/>
          <w:marTop w:val="0"/>
          <w:marBottom w:val="0"/>
          <w:divBdr>
            <w:top w:val="none" w:sz="0" w:space="0" w:color="auto"/>
            <w:left w:val="none" w:sz="0" w:space="0" w:color="auto"/>
            <w:bottom w:val="none" w:sz="0" w:space="0" w:color="auto"/>
            <w:right w:val="none" w:sz="0" w:space="0" w:color="auto"/>
          </w:divBdr>
          <w:divsChild>
            <w:div w:id="70603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14298.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8128</Words>
  <Characters>4633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2020-09-18T04:32:00Z</dcterms:created>
  <dcterms:modified xsi:type="dcterms:W3CDTF">2020-09-18T04:32:00Z</dcterms:modified>
</cp:coreProperties>
</file>