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D037F" w14:textId="32AF7BCE" w:rsidR="00E86498" w:rsidRPr="00027E38" w:rsidRDefault="00C246AF" w:rsidP="00027E38">
      <w:pPr>
        <w:spacing w:line="276" w:lineRule="auto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szCs w:val="24"/>
        </w:rPr>
        <w:t>Maksa par centralizēto apkuri, ja nav konstatējama patvarība autonomas apkures sistēmas ierīkošanā dzīvoklī</w:t>
      </w:r>
    </w:p>
    <w:p w14:paraId="112D602F" w14:textId="0508B57A" w:rsidR="00C246AF" w:rsidRPr="00027E38" w:rsidRDefault="00C246AF" w:rsidP="00027E38">
      <w:pPr>
        <w:spacing w:line="276" w:lineRule="auto"/>
        <w:rPr>
          <w:rFonts w:cs="Times New Roman"/>
          <w:b/>
          <w:bCs/>
          <w:szCs w:val="24"/>
        </w:rPr>
      </w:pPr>
    </w:p>
    <w:p w14:paraId="693ECDC0" w14:textId="77777777" w:rsidR="00C246AF" w:rsidRPr="00027E38" w:rsidRDefault="00C246AF" w:rsidP="002734BB">
      <w:pPr>
        <w:shd w:val="clear" w:color="auto" w:fill="FFFFFF"/>
        <w:spacing w:line="276" w:lineRule="auto"/>
        <w:jc w:val="center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color w:val="000000"/>
          <w:szCs w:val="24"/>
        </w:rPr>
        <w:t xml:space="preserve">Latvijas </w:t>
      </w:r>
      <w:r w:rsidRPr="00027E38">
        <w:rPr>
          <w:rFonts w:cs="Times New Roman"/>
          <w:b/>
          <w:bCs/>
          <w:szCs w:val="24"/>
        </w:rPr>
        <w:t>Republikas Senāta</w:t>
      </w:r>
    </w:p>
    <w:p w14:paraId="296826C1" w14:textId="0C538FC7" w:rsidR="00C246AF" w:rsidRPr="00027E38" w:rsidRDefault="00C246AF" w:rsidP="002734B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Cs w:val="24"/>
        </w:rPr>
      </w:pPr>
      <w:r w:rsidRPr="00027E38">
        <w:rPr>
          <w:rFonts w:cs="Times New Roman"/>
          <w:b/>
          <w:bCs/>
          <w:color w:val="000000"/>
          <w:szCs w:val="24"/>
        </w:rPr>
        <w:t>Civillietu departamenta</w:t>
      </w:r>
    </w:p>
    <w:p w14:paraId="1BA37216" w14:textId="1F564B2E" w:rsidR="00C246AF" w:rsidRPr="00027E38" w:rsidRDefault="00C246AF" w:rsidP="002734B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Cs w:val="24"/>
        </w:rPr>
      </w:pPr>
      <w:r w:rsidRPr="00027E38">
        <w:rPr>
          <w:rFonts w:cs="Times New Roman"/>
          <w:b/>
          <w:bCs/>
          <w:color w:val="000000"/>
          <w:szCs w:val="24"/>
        </w:rPr>
        <w:t>2020.gada 18.decembra</w:t>
      </w:r>
    </w:p>
    <w:p w14:paraId="685C83C4" w14:textId="77777777" w:rsidR="00C246AF" w:rsidRPr="00027E38" w:rsidRDefault="00C246AF" w:rsidP="002734B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Cs w:val="24"/>
        </w:rPr>
      </w:pPr>
      <w:r w:rsidRPr="00027E38">
        <w:rPr>
          <w:rFonts w:cs="Times New Roman"/>
          <w:b/>
          <w:bCs/>
          <w:color w:val="000000"/>
          <w:szCs w:val="24"/>
        </w:rPr>
        <w:t>SPRIEDUMS</w:t>
      </w:r>
    </w:p>
    <w:p w14:paraId="4037E4DF" w14:textId="1D26C49C" w:rsidR="00C246AF" w:rsidRPr="00027E38" w:rsidRDefault="00C246AF" w:rsidP="002734BB">
      <w:pPr>
        <w:shd w:val="clear" w:color="auto" w:fill="FFFFFF"/>
        <w:spacing w:line="276" w:lineRule="auto"/>
        <w:jc w:val="center"/>
        <w:rPr>
          <w:rFonts w:cs="Times New Roman"/>
          <w:b/>
          <w:bCs/>
          <w:color w:val="000000"/>
          <w:szCs w:val="24"/>
        </w:rPr>
      </w:pPr>
      <w:r w:rsidRPr="00027E38">
        <w:rPr>
          <w:rFonts w:cs="Times New Roman"/>
          <w:b/>
          <w:bCs/>
          <w:color w:val="000000"/>
          <w:szCs w:val="24"/>
        </w:rPr>
        <w:t>Lieta Nr. C32229117, SKC-1468/2020</w:t>
      </w:r>
    </w:p>
    <w:p w14:paraId="3B5423B7" w14:textId="04D2C517" w:rsidR="00C246AF" w:rsidRPr="00027E38" w:rsidRDefault="00011AB9" w:rsidP="002734BB">
      <w:pPr>
        <w:spacing w:line="276" w:lineRule="auto"/>
        <w:jc w:val="center"/>
        <w:rPr>
          <w:rFonts w:cs="Times New Roman"/>
          <w:color w:val="0563C1" w:themeColor="hyperlink"/>
          <w:szCs w:val="24"/>
          <w:u w:val="single"/>
        </w:rPr>
      </w:pPr>
      <w:hyperlink r:id="rId6" w:history="1">
        <w:r w:rsidR="00C246AF" w:rsidRPr="00027E38">
          <w:rPr>
            <w:rFonts w:cs="Times New Roman"/>
            <w:color w:val="0563C1" w:themeColor="hyperlink"/>
            <w:szCs w:val="24"/>
            <w:u w:val="single"/>
          </w:rPr>
          <w:t>ECLI:LV:AT:2020:1218.C32229117.13.S</w:t>
        </w:r>
      </w:hyperlink>
    </w:p>
    <w:p w14:paraId="3A26B681" w14:textId="7A343AA4" w:rsidR="00C246AF" w:rsidRPr="00027E38" w:rsidRDefault="00C246AF" w:rsidP="002734BB">
      <w:pPr>
        <w:spacing w:line="276" w:lineRule="auto"/>
        <w:jc w:val="center"/>
        <w:rPr>
          <w:rFonts w:cs="Times New Roman"/>
          <w:b/>
          <w:bCs/>
          <w:szCs w:val="24"/>
        </w:rPr>
      </w:pPr>
    </w:p>
    <w:p w14:paraId="56098A7E" w14:textId="77777777" w:rsidR="00C246AF" w:rsidRPr="00027E38" w:rsidRDefault="00C246AF" w:rsidP="002734BB">
      <w:pPr>
        <w:autoSpaceDE w:val="0"/>
        <w:autoSpaceDN w:val="0"/>
        <w:adjustRightInd w:val="0"/>
        <w:spacing w:line="276" w:lineRule="auto"/>
        <w:ind w:left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Senāts šādā sastāvā:</w:t>
      </w:r>
    </w:p>
    <w:p w14:paraId="4712E5EE" w14:textId="77777777" w:rsidR="00C246AF" w:rsidRPr="00027E38" w:rsidRDefault="00C246AF" w:rsidP="002734BB">
      <w:pPr>
        <w:autoSpaceDE w:val="0"/>
        <w:autoSpaceDN w:val="0"/>
        <w:adjustRightInd w:val="0"/>
        <w:spacing w:line="276" w:lineRule="auto"/>
        <w:ind w:left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senatore referente Ināra Garda,</w:t>
      </w:r>
    </w:p>
    <w:p w14:paraId="3B0BB35A" w14:textId="77777777" w:rsidR="00C246AF" w:rsidRPr="00027E38" w:rsidRDefault="00C246AF" w:rsidP="002734BB">
      <w:pPr>
        <w:autoSpaceDE w:val="0"/>
        <w:autoSpaceDN w:val="0"/>
        <w:adjustRightInd w:val="0"/>
        <w:spacing w:line="276" w:lineRule="auto"/>
        <w:ind w:left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senatore Dzintra Balta,</w:t>
      </w:r>
    </w:p>
    <w:p w14:paraId="4AEC6002" w14:textId="77777777" w:rsidR="00C246AF" w:rsidRPr="00027E38" w:rsidRDefault="00C246AF" w:rsidP="002734BB">
      <w:pPr>
        <w:autoSpaceDE w:val="0"/>
        <w:autoSpaceDN w:val="0"/>
        <w:adjustRightInd w:val="0"/>
        <w:spacing w:line="276" w:lineRule="auto"/>
        <w:ind w:left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senatore Anda Briede</w:t>
      </w:r>
    </w:p>
    <w:p w14:paraId="669F6DF7" w14:textId="0BD03F46" w:rsidR="00C246AF" w:rsidRDefault="00C246AF" w:rsidP="002734BB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 xml:space="preserve">izskatīja rakstveida procesā civillietu sakarā ar </w:t>
      </w:r>
      <w:r w:rsidR="002734BB">
        <w:rPr>
          <w:rFonts w:cs="Times New Roman"/>
          <w:szCs w:val="24"/>
        </w:rPr>
        <w:t>[pers. A]</w:t>
      </w:r>
      <w:r w:rsidRPr="00027E38">
        <w:rPr>
          <w:rFonts w:cs="Times New Roman"/>
          <w:szCs w:val="24"/>
        </w:rPr>
        <w:t xml:space="preserve"> kasācijas sūdzību par Rīgas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apgabaltiesas Civillietu tiesas kolēģijas 2020.gada 26.augusta spriedumu biedrības „</w:t>
      </w:r>
      <w:r w:rsidR="00CE3646">
        <w:rPr>
          <w:rFonts w:cs="Times New Roman"/>
          <w:szCs w:val="24"/>
        </w:rPr>
        <w:t>[</w:t>
      </w:r>
      <w:r w:rsidR="002734BB">
        <w:rPr>
          <w:rFonts w:cs="Times New Roman"/>
          <w:szCs w:val="24"/>
        </w:rPr>
        <w:t>Nosaukums</w:t>
      </w:r>
      <w:r w:rsidR="00CE3646">
        <w:rPr>
          <w:rFonts w:cs="Times New Roman"/>
          <w:szCs w:val="24"/>
        </w:rPr>
        <w:t>]</w:t>
      </w:r>
      <w:r w:rsidRPr="00027E38">
        <w:rPr>
          <w:rFonts w:cs="Times New Roman"/>
          <w:szCs w:val="24"/>
        </w:rPr>
        <w:t xml:space="preserve">” prasībā pret </w:t>
      </w:r>
      <w:r w:rsidR="002734BB">
        <w:rPr>
          <w:rFonts w:cs="Times New Roman"/>
          <w:szCs w:val="24"/>
        </w:rPr>
        <w:t>[pers. A]</w:t>
      </w:r>
      <w:r w:rsidRPr="00027E38">
        <w:rPr>
          <w:rFonts w:cs="Times New Roman"/>
          <w:szCs w:val="24"/>
        </w:rPr>
        <w:t xml:space="preserve"> par parāda piedziņu.</w:t>
      </w:r>
    </w:p>
    <w:p w14:paraId="2FA42E9D" w14:textId="77777777" w:rsidR="002734BB" w:rsidRPr="00027E38" w:rsidRDefault="002734BB" w:rsidP="00027E38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0D4A8DBA" w14:textId="489D0318" w:rsidR="00C246AF" w:rsidRDefault="00C246AF" w:rsidP="002734BB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szCs w:val="24"/>
        </w:rPr>
        <w:t>Aprakstošā daļa</w:t>
      </w:r>
    </w:p>
    <w:p w14:paraId="4A8C8330" w14:textId="77777777" w:rsidR="002734BB" w:rsidRPr="00027E38" w:rsidRDefault="002734BB" w:rsidP="002734BB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</w:p>
    <w:p w14:paraId="2AC13FB9" w14:textId="2F94B382" w:rsidR="00C246AF" w:rsidRPr="00027E38" w:rsidRDefault="00C246AF" w:rsidP="002734BB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[1] Biedrība „</w:t>
      </w:r>
      <w:r w:rsidR="00CE3646">
        <w:rPr>
          <w:rFonts w:cs="Times New Roman"/>
          <w:szCs w:val="24"/>
        </w:rPr>
        <w:t>[</w:t>
      </w:r>
      <w:r w:rsidR="002734BB">
        <w:rPr>
          <w:rFonts w:cs="Times New Roman"/>
          <w:szCs w:val="24"/>
        </w:rPr>
        <w:t>Nosaukums</w:t>
      </w:r>
      <w:r w:rsidR="00CE3646">
        <w:rPr>
          <w:rFonts w:cs="Times New Roman"/>
          <w:szCs w:val="24"/>
        </w:rPr>
        <w:t>]</w:t>
      </w:r>
      <w:r w:rsidR="002734BB">
        <w:rPr>
          <w:rFonts w:cs="Times New Roman"/>
          <w:szCs w:val="24"/>
        </w:rPr>
        <w:t>”</w:t>
      </w:r>
      <w:r w:rsidRPr="00027E38">
        <w:rPr>
          <w:rFonts w:cs="Times New Roman"/>
          <w:szCs w:val="24"/>
        </w:rPr>
        <w:t xml:space="preserve"> 2017.gada 16.augustā cēlusi tiesā prasību pret </w:t>
      </w:r>
      <w:r w:rsidR="002734BB">
        <w:rPr>
          <w:rFonts w:cs="Times New Roman"/>
          <w:szCs w:val="24"/>
        </w:rPr>
        <w:t>[pers. A]</w:t>
      </w:r>
      <w:r w:rsidRPr="00027E38">
        <w:rPr>
          <w:rFonts w:cs="Times New Roman"/>
          <w:szCs w:val="24"/>
        </w:rPr>
        <w:t xml:space="preserve"> par parāda piedziņu.</w:t>
      </w:r>
    </w:p>
    <w:p w14:paraId="52B66B1B" w14:textId="77777777" w:rsidR="00C246AF" w:rsidRPr="00027E38" w:rsidRDefault="00C246AF" w:rsidP="002734BB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Prasības pieteikumā un tā vēlākajos precizējumos norādīti šādi apstākļi un pamatojums.</w:t>
      </w:r>
    </w:p>
    <w:p w14:paraId="4B57C4E0" w14:textId="7D49C024" w:rsidR="00C246AF" w:rsidRPr="00027E38" w:rsidRDefault="00C246AF" w:rsidP="002734BB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[1.1] Prasītāja, pamatojoties uz 2016.gada 1.septembra dzīvokļu īpašnieku savstarpējo līgumu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 xml:space="preserve">par daudzdzīvokļu dzīvojamās mājas </w:t>
      </w:r>
      <w:r w:rsidR="002734BB">
        <w:rPr>
          <w:rFonts w:cs="Times New Roman"/>
          <w:szCs w:val="24"/>
        </w:rPr>
        <w:t>[adrese]</w:t>
      </w:r>
      <w:r w:rsidRPr="00027E38">
        <w:rPr>
          <w:rFonts w:cs="Times New Roman"/>
          <w:szCs w:val="24"/>
        </w:rPr>
        <w:t>, pārvaldīšanu un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apsaimniekošanu (turpmāk – apsaimniekošanas līgums), ir minētā nekustamā īpašuma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pārvaldniece. Atbilstoši šā līguma 2.12.punktam pārvaldniece dzīvokļu īpašnieku vārdā ir noslēgusi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līgumus ar pakalpojumu sniedzējiem, lai dzīvojamā mājā nodrošinātu apkuri, auksto ūdeni, gāzi,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kanalizāciju, atkritumu izvešanu, elektroenerģiju koplietošanas telpās. Siltumenerģijas piegādes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līgums noslēgts ar SIA „Saulkrastu komunālserviss”, jo dzīvojamai mājai ir centralizēta</w:t>
      </w:r>
      <w:r w:rsidR="002734BB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siltumapgāde.</w:t>
      </w:r>
    </w:p>
    <w:p w14:paraId="7B45ACF6" w14:textId="36F232F9" w:rsidR="00C246AF" w:rsidRPr="00027E38" w:rsidRDefault="00C246AF" w:rsidP="002734BB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Apsaimniekošanas līguma 4.1.punktā noteikts dzīvokļu īpašnieku pienākums segt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pārvaldīšanas un apsaimniekošanas maksu, kā arī saskaņā ar līguma 4.2.punktu papildus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norēķināties par komunālajiem pakalpojumiem, maksājumiem remonta uzkrājumu fondā, zemes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nomu, apdrošināšanu.</w:t>
      </w:r>
    </w:p>
    <w:p w14:paraId="373A781C" w14:textId="6A9FE9DE" w:rsidR="00C246AF" w:rsidRPr="00027E38" w:rsidRDefault="00C246AF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[1.2] Atbildētāja ir dzīvokļa īpašuma Nr.</w:t>
      </w:r>
      <w:r w:rsidR="00604ED6">
        <w:rPr>
          <w:rFonts w:cs="Times New Roman"/>
          <w:szCs w:val="24"/>
        </w:rPr>
        <w:t> </w:t>
      </w:r>
      <w:r w:rsidRPr="00027E38">
        <w:rPr>
          <w:rFonts w:cs="Times New Roman"/>
          <w:szCs w:val="24"/>
        </w:rPr>
        <w:t xml:space="preserve">16, </w:t>
      </w:r>
      <w:r w:rsidR="00CE3646">
        <w:rPr>
          <w:rFonts w:cs="Times New Roman"/>
          <w:szCs w:val="24"/>
        </w:rPr>
        <w:t>[adrese]</w:t>
      </w:r>
      <w:r w:rsidRPr="00027E38">
        <w:rPr>
          <w:rFonts w:cs="Times New Roman"/>
          <w:szCs w:val="24"/>
        </w:rPr>
        <w:t>, 57,65 m</w:t>
      </w:r>
      <w:r w:rsidRPr="002734BB">
        <w:rPr>
          <w:rFonts w:cs="Times New Roman"/>
          <w:szCs w:val="24"/>
          <w:vertAlign w:val="superscript"/>
        </w:rPr>
        <w:t>2</w:t>
      </w:r>
      <w:r w:rsidRPr="00027E38">
        <w:rPr>
          <w:rFonts w:cs="Times New Roman"/>
          <w:szCs w:val="24"/>
        </w:rPr>
        <w:t xml:space="preserve"> platībā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ar pie tā piederošajām kopīpašuma 5765/122599 domājamām daļām no daudzdzīvokļu mājas,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īpašniece, kura nav parakstījusi 2016.gada 1.septembra apsaimniekošanas līgumu, kā arī nav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piedalījusies dzīvokļu īpašnieku kopības lēmumu pieņemšanā, taču minētais līgums viņai ir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saistošs.</w:t>
      </w:r>
    </w:p>
    <w:p w14:paraId="13CD5BAA" w14:textId="7606291B" w:rsidR="00027E38" w:rsidRPr="00027E38" w:rsidRDefault="00C246AF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[1.3] Kopš prasītāja ir uzņēmusies dzīvojamās mājas apsaimniekošanu, nav pieņemts</w:t>
      </w:r>
      <w:r w:rsidR="00027E38" w:rsidRPr="00027E38">
        <w:rPr>
          <w:rFonts w:cs="Times New Roman"/>
          <w:szCs w:val="24"/>
        </w:rPr>
        <w:t xml:space="preserve"> dzīvokļu īpašnieku kopības lēmums par atļauju atbildētājai ierīkot alternatīvo apkuri viņas dzīvoklī.</w:t>
      </w:r>
      <w:r w:rsidR="00604ED6">
        <w:rPr>
          <w:rFonts w:cs="Times New Roman"/>
          <w:szCs w:val="24"/>
        </w:rPr>
        <w:t xml:space="preserve"> </w:t>
      </w:r>
      <w:r w:rsidR="00027E38" w:rsidRPr="00027E38">
        <w:rPr>
          <w:rFonts w:cs="Times New Roman"/>
          <w:szCs w:val="24"/>
        </w:rPr>
        <w:t>Prasītājas rīcībā nav ziņu, ka šāds lēmums ticis pieņemts iepriekš. Līdz ar to atbildētājai ir</w:t>
      </w:r>
      <w:r w:rsidR="00AD06D7">
        <w:rPr>
          <w:rFonts w:cs="Times New Roman"/>
          <w:szCs w:val="24"/>
        </w:rPr>
        <w:t xml:space="preserve"> </w:t>
      </w:r>
      <w:r w:rsidR="00027E38" w:rsidRPr="00027E38">
        <w:rPr>
          <w:rFonts w:cs="Times New Roman"/>
          <w:szCs w:val="24"/>
        </w:rPr>
        <w:t>pienākums veikt samaksu par siltumenerģiju (apkuri).</w:t>
      </w:r>
    </w:p>
    <w:p w14:paraId="73A4F8EF" w14:textId="15C98F24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[1.4] Atbildētāja par dzīvojamās mājas uzturēšanu, apsaimniekošanu un sniegtajiem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pakalpojumiem norēķinājusies daļēji, sakarā ar to uz 2020.gada 14.janvāri izveidojies parāds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2767,49 EUR.</w:t>
      </w:r>
    </w:p>
    <w:p w14:paraId="572CE8CB" w14:textId="30394F05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lastRenderedPageBreak/>
        <w:t>Prasītāja, pamatojoties uz Civillikuma 1651. un 1756.pantu, aprēķinājusi likumiskos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nokavējuma procentus 294,90 EUR par laiku no 2016.gada 16.oktobra līdz 2020.gada 14.janvārim.</w:t>
      </w:r>
    </w:p>
    <w:p w14:paraId="0A9AB5AF" w14:textId="5BCD20C6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Saskaņā ar apsaimniekošanas līguma 4.9.punktu, Civillikuma 1716. un 1720.pantu prasītāja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aprēķinājusi līgumsodu 48,13 EUR – 0,5 % apmērā no parāda summas par katru nokavēto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maksājumu dienu.</w:t>
      </w:r>
    </w:p>
    <w:p w14:paraId="0B89DA83" w14:textId="77777777" w:rsidR="00CE3646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[1.5] Prasība pamatota ar Civillikuma 1401., 1402.pantu, ,,Dzīvokļa īpašuma likuma” 8.panta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pirmo daļu, 10.panta pirmās daļas 1., 2., 3. un 8.punktu, 13.pantu, 16.panta trešo daļu.</w:t>
      </w:r>
      <w:r w:rsidR="00AD06D7">
        <w:rPr>
          <w:rFonts w:cs="Times New Roman"/>
          <w:szCs w:val="24"/>
        </w:rPr>
        <w:t xml:space="preserve"> </w:t>
      </w:r>
    </w:p>
    <w:p w14:paraId="3C47381C" w14:textId="77777777" w:rsidR="00CE3646" w:rsidRDefault="00CE3646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</w:p>
    <w:p w14:paraId="07CF4C9F" w14:textId="64FF98C5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[2] Ar Rīgas pilsētas Vidzemes priekšpilsētas tiesas 2020.gada 27.februāra spriedumu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biedrības ,,</w:t>
      </w:r>
      <w:r w:rsidR="00CE3646">
        <w:rPr>
          <w:rFonts w:cs="Times New Roman"/>
          <w:szCs w:val="24"/>
        </w:rPr>
        <w:t>[Nosaukums]</w:t>
      </w:r>
      <w:r w:rsidRPr="00027E38">
        <w:rPr>
          <w:rFonts w:cs="Times New Roman"/>
          <w:szCs w:val="24"/>
        </w:rPr>
        <w:t>” prasība apmierināta daļēji:</w:t>
      </w:r>
    </w:p>
    <w:p w14:paraId="443A4202" w14:textId="16B7CA42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1) no atbildētājas prasītājas labā piedzīts pamatparāds 474,09 EUR par dzīvojamās mājas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pārvaldīšanu un apsaimniekošanu, sniegtajiem pakalpojumiem un maksājumiem remonta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uzkrājumu fondā par laiku no 2016.gada oktobra līdz 2019.gada novembrim, likumiskie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nokavējuma procenti 62,51 EUR par laiku no 2016.gada 1.decembra līdz 2020.gada 14.janvārim un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tiesāšanās izdevumi 174,11 EUR;</w:t>
      </w:r>
    </w:p>
    <w:p w14:paraId="37862F82" w14:textId="0FE9D179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2) atzītas prasītājas tiesības saņemt no atbildētājas likumiskos 6 % gadā no neatmaksātā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pamatparāda par laiku līdz sprieduma izpildei;</w:t>
      </w:r>
    </w:p>
    <w:p w14:paraId="31D96957" w14:textId="77777777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3) no prasītājas atbildētājas labā piedzīti tiesas izdevumi 3,54 EUR;</w:t>
      </w:r>
    </w:p>
    <w:p w14:paraId="47B7D75D" w14:textId="14751DA6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4) valsts ienākumos piedzīti ar lietas izskatīšanu saistītie izdevumi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 atbildētājas – 1,67 EUR, bet no prasītājas – 8,03 EUR;</w:t>
      </w:r>
    </w:p>
    <w:p w14:paraId="63F30E15" w14:textId="6BF2558B" w:rsid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5) noraidīta prasība daļā par pamatparāda 2293,40 EUR par laiku no 2016.gada oktobra līdz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2019.gada novembrim, likumisko nokavējuma procentu 232,39 EUR un līgumsoda 48,13 EUR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piedziņu.</w:t>
      </w:r>
    </w:p>
    <w:p w14:paraId="77D0B292" w14:textId="77777777" w:rsidR="00AD06D7" w:rsidRPr="00027E38" w:rsidRDefault="00AD06D7" w:rsidP="00027E38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2A0CF7F9" w14:textId="5CE16F62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[3] Izskatījusi lietu sakarā ar prasītājas apelācijas sūdzību prasības noraidītajā daļā, Rīgas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apgabaltiesas Civillietu tiesas kolēģija ar 2020.gada 26.augusta spriedumu prasību apmierinājusi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daļēji:</w:t>
      </w:r>
    </w:p>
    <w:p w14:paraId="7DA3D7AF" w14:textId="5CC11CA4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1) piedzinusi no atbildētājas par labu prasītājai pamatparādu par siltumenerģiju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2293,40 EUR par laiku no 2016.gada oktobra līdz 2019.gada novembrim, likumiskos nokavējuma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procentus 318,49 EUR par laiku no 2016.gada 1.decembra līdz 2020.gada 24.jūlijam, tiesas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izdevumus 634,64 EUR un ar lietas vešanu saistītos izdevumus 564,51 EUR;</w:t>
      </w:r>
    </w:p>
    <w:p w14:paraId="501C7E02" w14:textId="3A318BF7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2) noteikusi prasītājai tiesības saņemt no atbildētājas likumiskos 6 % gadā no piespriestās, bet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nesamaksātās pamatparāda summas 2293,40 EUR par laiku līdz sprieduma izpildei;</w:t>
      </w:r>
    </w:p>
    <w:p w14:paraId="701AE1B3" w14:textId="77777777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3) noraidījusi prasību daļā par līgumsoda 48,13 EUR piedziņu;</w:t>
      </w:r>
    </w:p>
    <w:p w14:paraId="78D194E6" w14:textId="50BB1DB2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4) atstājusi bez izskatīšanas prasību daļā par pamatparāda 749,72 EUR par dzīvojamās mājas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apsaimniekošanu, uzturēšanu un komunālajiem pakalpojumiem par laiku no 2019.gada novembra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līdz 2020.gada 24.jūlijam un līgumsoda 51,38 EUR piedziņu;</w:t>
      </w:r>
    </w:p>
    <w:p w14:paraId="08F1DE17" w14:textId="01A40EAD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5) piedzinusi valsts ienākumos ar lietas izskatīšanu saistītos izdevumus no atbildētājas – 13,04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EUR un no prasītājas – 0,20 EUR.</w:t>
      </w:r>
    </w:p>
    <w:p w14:paraId="7F974FA3" w14:textId="0F720F40" w:rsidR="00C246AF" w:rsidRPr="00027E38" w:rsidRDefault="00027E38" w:rsidP="00AD06D7">
      <w:pPr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Spriedums pamatots ar šādiem argumentiem.</w:t>
      </w:r>
    </w:p>
    <w:p w14:paraId="7CEEFB51" w14:textId="4515445D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[3.1] Pirmās instances tiesas spriedums pārsūdzēts prasības noraidītajā daļā, t.i., par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siltumenerģijas parāda 2293,40 EUR par laiku no 2016.gada oktobra līdz 2019.gada novembrim,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likumisko nokavējuma procentu 318,49 EUR un līgumsoda 99,51 EUR piedziņu.</w:t>
      </w:r>
    </w:p>
    <w:p w14:paraId="5C329244" w14:textId="17D634BE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lastRenderedPageBreak/>
        <w:t>Nav pamatoti pārsūdzētajā spriedumā izdarītie secinājumi, ka atbildētājai nav pienākums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apmaksāt siltumenerģijas pakalpojumu, kuru viņa nesaņem, jo dzīvoklis ir atslēgts no centralizētās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siltumapgādes sistēmas un tajā ierīkota krāsns apkure.</w:t>
      </w:r>
    </w:p>
    <w:p w14:paraId="68116C59" w14:textId="27EACD2E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Atbildētāja lieto dzīvokli no 1995.gada, bet 1999.gada 27.decembrī to privatizēja. Līdz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privatizācijai dzīvoklis bija Saulkrastu pašvaldības īpašumā. Lietā nepastāv strīds, ka atbildētājai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piederošais dzīvoklis atslēgts no centralizētās siltumapgādes sistēmas 1998.gada 30.oktobrī,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ierīkojot malkas krāsns apkuri, ko apliecina pašvaldības darbinieka atzīme 1995.gada 14.novembra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dzīvojamās telpas īres līgumā un pieņemšanas – nodošanas aktā.</w:t>
      </w:r>
    </w:p>
    <w:p w14:paraId="529B4203" w14:textId="21DDB315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[3.2] Laikā līdz 2011.gada 1.janvārim dzīvokļa īpašnieka pienākumi bija noteikti likumā ,,Par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dzīvokļa īpašumu”, savukārt no 2011.gada 1.janvāra dzīvokļa īpašnieka tiesības un pienākumus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regulē Dzīvokļa īpašuma likums.</w:t>
      </w:r>
    </w:p>
    <w:p w14:paraId="3DBA6B43" w14:textId="5E3810EB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Atbilstoši likuma „Par dzīvokļa īpašumu” (</w:t>
      </w:r>
      <w:r w:rsidRPr="00027E38">
        <w:rPr>
          <w:rFonts w:cs="Times New Roman"/>
          <w:i/>
          <w:iCs/>
          <w:szCs w:val="24"/>
        </w:rPr>
        <w:t>redakcijā no 1997.gada 19.februāra līdz</w:t>
      </w:r>
      <w:r w:rsidR="00AD06D7"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1998.gada 16.novembrim</w:t>
      </w:r>
      <w:r w:rsidRPr="00027E38">
        <w:rPr>
          <w:rFonts w:cs="Times New Roman"/>
          <w:szCs w:val="24"/>
        </w:rPr>
        <w:t>) 14.panta trešajai daļai, Būvniecības likuma (</w:t>
      </w:r>
      <w:r w:rsidRPr="00027E38">
        <w:rPr>
          <w:rFonts w:cs="Times New Roman"/>
          <w:i/>
          <w:iCs/>
          <w:szCs w:val="24"/>
        </w:rPr>
        <w:t>redakcijā no 1997.gada</w:t>
      </w:r>
      <w:r w:rsidR="00AD06D7"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4.novembra līdz 2002.gada 2.aprīlim</w:t>
      </w:r>
      <w:r w:rsidRPr="00027E38">
        <w:rPr>
          <w:rFonts w:cs="Times New Roman"/>
          <w:szCs w:val="24"/>
        </w:rPr>
        <w:t>) 1.panta 12.punktam, 7.panta 3. un 4.punktam, 13.panta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pirmajai daļai un Ministru kabineta 1997.gada 1.aprīļa noteikumu Nr. 112 ,,Vispārīgie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būvnoteikumi” (</w:t>
      </w:r>
      <w:r w:rsidRPr="00027E38">
        <w:rPr>
          <w:rFonts w:cs="Times New Roman"/>
          <w:i/>
          <w:iCs/>
          <w:szCs w:val="24"/>
        </w:rPr>
        <w:t>redakcijā no 1997.gada 1.jūlija līdz 2000.gada 5.maijam</w:t>
      </w:r>
      <w:r w:rsidRPr="00027E38">
        <w:rPr>
          <w:rFonts w:cs="Times New Roman"/>
          <w:szCs w:val="24"/>
        </w:rPr>
        <w:t>) 31., 41.9. un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58.punktam, lai atteikšanās no siltumenerģijas centralizētas piegādes būtu tiesiska, bija jāsaņem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visu pārējo dzīvokļu īpašnieku piekrišana, bet pēc tam – arī būvvaldes saskaņojums.</w:t>
      </w:r>
    </w:p>
    <w:p w14:paraId="15234017" w14:textId="2D2A67A3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Lietā netiek apstrīdēts, ka 1998.gada 30.oktobrī, kad notika centralizētās apkures atslēgšana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atbildētājas dzīvoklī, visas dzīvojamās mājas īpašniece bija Saulkrastu pašvaldība. Pašvaldībai,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atslēdzot centralizēto apkuri atbildētājas dzīvoklī, nevajadzēja saņemt pārējo dzīvokļu īpašnieku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piekrišanu. Savukārt, ja atslēgšanos veikusi atbildētāja, viņai bija nepieciešama pašvaldības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piekrišana. Taču abos minētajos gadījumos vajadzīgs attiecīgs saskaņojums ar būvvaldi par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centralizētās siltumenerģijas padeves pārtraukšanu un alternatīvās apkures ierīkošanu.</w:t>
      </w:r>
    </w:p>
    <w:p w14:paraId="635AB13F" w14:textId="37DBF2D8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[3.3] Izvērtējot atbildētājas iebildumus par to, ka dzīvoklī esošos radiatorus demontējusi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pašvaldība, un šīs darbības ir veiktas laikā, kad atbildētāja bijusi dzīvokļa īrniece, ņemams vērā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Augstākās tiesas 2011.gada tiesu prakses apkopojumā ,,Kopīpašums” norādītais, ka dzīvokļu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īpašnieku dzīvojamās mājas apkures komunikācijas ir funkcionāli nedalāmi mājas elementi un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atzīstami par dzīvojamās mājas kopīpašuma daļu, tādēļ patvarīga, ar dzīvokļu īpašnieku kopību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nesaskaņota atslēgšanās no apkures sistēmas atzīstama par prettiesisku un nav pamats dzīvokļa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īpašnieka atbrīvošanai no pienākuma samaksāt par siltumenerģiju. Turklāt ņemama vērā arī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judikatūrā paustā atziņa, ka neatkarīgi no tā, ka atslēgšanās no centralizētās apkures sistēmas ir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notikusi vēl pirms dzīvokļa iegādes, dzīvokļa īpašniekam, ja tas nespēj pierādīt, ka atslēgšanās no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apkures sistēmas dzīvoklī veikta tiesiski, ir jānorēķinās par apkuri (</w:t>
      </w:r>
      <w:r w:rsidRPr="00027E38">
        <w:rPr>
          <w:rFonts w:cs="Times New Roman"/>
          <w:i/>
          <w:iCs/>
          <w:szCs w:val="24"/>
        </w:rPr>
        <w:t>Senāta 2016.gada 18.marta</w:t>
      </w:r>
      <w:r w:rsidR="00AD06D7"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spriedums lietā Nr. SKC-31/2016, 2019.gada 19.jūnija spriedums lietā Nr. SKC-213/2019</w:t>
      </w:r>
      <w:r w:rsidRPr="00027E38">
        <w:rPr>
          <w:rFonts w:cs="Times New Roman"/>
          <w:szCs w:val="24"/>
        </w:rPr>
        <w:t>).</w:t>
      </w:r>
    </w:p>
    <w:p w14:paraId="608C987C" w14:textId="5F79918C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 xml:space="preserve">Atbildētājas argumenti, ka pirmās instances tiesā uzklausītās liecinieces </w:t>
      </w:r>
      <w:r w:rsidR="00CE3646">
        <w:rPr>
          <w:rFonts w:cs="Times New Roman"/>
          <w:szCs w:val="24"/>
        </w:rPr>
        <w:t>[pers. B]</w:t>
      </w:r>
      <w:r w:rsidRPr="00027E38">
        <w:rPr>
          <w:rFonts w:cs="Times New Roman"/>
          <w:szCs w:val="24"/>
        </w:rPr>
        <w:t xml:space="preserve"> liecība un atzīme dzīvokļa īres līgumā par centralizētās apkures neesamību atbrīvo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atbildētāju no pienākuma segt siltumenerģijas izmaksas, ir kļūdaini, jo tieši atbildētājas kā dzīvokļa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īpašnieces pienākums ir alternatīvās apkures legalizācija. Proti, nav nozīmes tam, kurš atslēdzis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dzīvokli no centralizētās apkures sistēmas, bet nozīme ir tam, vai atslēgšanās notikusi, ievērojot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normatīvajos aktos noteikto kārtību.</w:t>
      </w:r>
    </w:p>
    <w:p w14:paraId="74FD2124" w14:textId="06C60185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Lai gan maksas par siltumenerģiju neiekļaušana iepriekšējā apsaimniekotāja rēķinos atbilst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pierādījumiem lietā, minētais neapstiprina normatīvā regulējuma ievērošanu par atslēgšanos no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centralizētās apkures un alternatīvās apkures ierīkošanu.</w:t>
      </w:r>
    </w:p>
    <w:p w14:paraId="11EBBCFE" w14:textId="0F66F9AD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lastRenderedPageBreak/>
        <w:t>Apstrīdot prasītājas apgalvojumu, ka dzīvokļa atslēgšana no centralizētās apkures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notikusi nelegāli, atbildētāja nav ievērojusi Civilprocesa likuma 93.panta pirmajā daļā noteikto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pienākumu pierādīt savu iebildumu pamatotību. Lietā nav iesniegti pierādījumi, ka atbildētāja būtu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veikusi darbības viņas dzīvoklī ierīkotās alternatīvās apkures legalizēšanai.</w:t>
      </w:r>
    </w:p>
    <w:p w14:paraId="073E251A" w14:textId="19369B53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No Saulkrastu novada domes 2018.gada 5.oktobra un 2020.gada 3.janvāra vēstules redzams,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ka: Saulkrastu novada būvvaldes rīcībā nav projekta dokumentācijas par apkures sistēmas pārbūvi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vai demontāžu atbildētājas dzīvoklī; būvvaldē nav iesniegti dokumenti par dzīvojamās mājas, kurā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atrodas atbildētājas dzīvoklis, centralizētās apkures sistēmas izmaiņām.</w:t>
      </w:r>
    </w:p>
    <w:p w14:paraId="783A5A41" w14:textId="78377474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Lietā nav pierādījumu, ka atbildētājai piederošais dzīvoklis no kopējās apkures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atvienots likumīgi, ievērojot pārbūves brīdī spēkā esošo normatīvo aktu prasības, kas uzliek par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pienākumu atbildētājai norēķināties par siltumenerģiju.</w:t>
      </w:r>
    </w:p>
    <w:p w14:paraId="415CF902" w14:textId="3428427A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[3.4] Pamatparāda aprēķins par apkuri atbilst prasītājas izrakstītajiem rēķiniem. Atbildētāja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nav izteikusi iebildumus pret šo parāda aprēķinu pēc būtības, kā arī atbilstoši Civillikuma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1838.pantam nav pierādījusi samaksas veikšanu. Tādējādi no atbildētājas piedzenams pamatparāds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2293,40 EUR par apkuri, kas izveidojies laikā no 2016.gada oktobra līdz 2019.gada novembrim.</w:t>
      </w:r>
    </w:p>
    <w:p w14:paraId="37629AA5" w14:textId="29ECBEC9" w:rsid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Vienlaikus no atbildētājas par minēto maksājumu kavējumu atbilstoši Civillikuma 1759. un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1765.pantam piedzenami likumiskie nokavējuma procenti 318,49 EUR par laiku no 2016.gada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1.decembra līdz 2020.gada 24.jūlijam.</w:t>
      </w:r>
    </w:p>
    <w:p w14:paraId="00CDBEB0" w14:textId="77777777" w:rsidR="00AD06D7" w:rsidRPr="00027E38" w:rsidRDefault="00AD06D7" w:rsidP="00027E38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3913A317" w14:textId="0D1932E2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[4] Par minēto spriedumu prasības apmierinātajā daļā atbildētāja iesniegusi kasācijas sūdzību,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kurā lūgusi spriedumu šajā daļā atcelt un nodot lietu jaunai izskatīšanai apelācijas instances tiesā.</w:t>
      </w:r>
    </w:p>
    <w:p w14:paraId="41646D77" w14:textId="77777777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Kasācijas sūdzība pamatota ar tālāk norādītajiem argumentiem.</w:t>
      </w:r>
    </w:p>
    <w:p w14:paraId="616600C6" w14:textId="2C93BFFD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[4.1] Apelācijas instances tiesa pārkāpusi Civilprocesa likuma 97.pantu, jo spriedums nav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balstīts uz pierādījumiem par patvarīgu vai nelikumīgu centralizētās siltumapgādes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atslēgšanu atbildētājas dzīvoklim.</w:t>
      </w:r>
    </w:p>
    <w:p w14:paraId="4BD75A6F" w14:textId="4CBEBC48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Apelācijas instances tiesa atstājusi bez ievērības faktu, ka laikā no 1995.gada līdz 1999.gadam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atbildētāja nebija dzīvokļa īpašniece, bet tikai īrniece. Siltumapgādes atslēgšanu dzīvoklī veikusi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pašvaldība saskaņā ar tā brīža spēkā esošajiem normatīvajiem aktiem. Lietā ir pierādījumi, ka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dzīvojamā ēka, kurā atrodas atbildētājai piederošais dzīvoklis, ir būvēta tā, ka tajā pastāv iespēja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telpas apkurināt ar malku. Par pierādījumu nelikumīgai centralizētas siltumapgādes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atslēgšanai nav uzskatāms apstāklis, ka prasītāja nav saņēmusi attiecīgus dokumentus no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pašvaldības. Apkure atbildētājai piederošajā dzīvoklī atslēgta laikā, kad dzīvokļa īpašniece bija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pašvaldība, atslēgšanas brīdī nepastāvēja dzīvokļu īpašnieku kopība, kuras piekrišana būtu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nepieciešama šo darbību veikšanai. Tiesa nav vērtējusi, ka siltumapgāde no centralizētās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nav iespējama, jo koplietošanas telpās siltuma padeve uz atbildētājas dzīvokli ir noslēgta, un viņa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nesaņem šo pakalpojumu.</w:t>
      </w:r>
    </w:p>
    <w:p w14:paraId="6BC700AC" w14:textId="102308E8" w:rsid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[4.2] Tiesa strīdus situācijai nav sniegusi pareizu juridisko novērtējumu, un piemērojusi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materiālo tiesību normas, kas nebija spēkā civiltiesisko attiecību pastāvēšanas laikā. Tiesa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nepamatoti uz lietas faktiskajiem apstākļiem attiecinājusi un piemērojusi likuma „Par dzīvokļa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īpašumu” 14.panta trešo daļu, Būvniecības likuma un Ministru kabineta 1997.gada 1.aprīļa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noteikumu Nr. 112 ,,Vispārīgie būvnoteikumi” normas, jo no centralizētās siltumapgādes sistēmas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dzīvoklis atvienots 1998.gadā, kad minētās normas nebija pieņemtas. Fakts, ka prasītāja no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 xml:space="preserve">pašvaldības nav saņēmusi dokumentus par siltumapgādes atslēgšanu, nedod pamatu </w:t>
      </w:r>
      <w:r w:rsidRPr="00027E38">
        <w:rPr>
          <w:rFonts w:cs="Times New Roman"/>
          <w:szCs w:val="24"/>
        </w:rPr>
        <w:lastRenderedPageBreak/>
        <w:t>apšaubīt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pašvaldības rīcības atbilstību normatīvo aktu prasībām, tostarp darbību saskaņošanu ar tās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institūciju – būvvaldi.</w:t>
      </w:r>
    </w:p>
    <w:p w14:paraId="43D8FC93" w14:textId="77777777" w:rsidR="00AD06D7" w:rsidRPr="00027E38" w:rsidRDefault="00AD06D7" w:rsidP="00027E38">
      <w:pPr>
        <w:spacing w:line="276" w:lineRule="auto"/>
        <w:rPr>
          <w:rFonts w:cs="Times New Roman"/>
          <w:szCs w:val="24"/>
        </w:rPr>
      </w:pPr>
    </w:p>
    <w:p w14:paraId="42E965DD" w14:textId="7F44F447" w:rsid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[5] Prasītāja Civilprocesa likuma 460.panta pirmajā daļā noteiktajā termiņā nav iesniegusi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paskaidrojumus sakarā ar atbildētājas kasācijas sūdzību.</w:t>
      </w:r>
    </w:p>
    <w:p w14:paraId="0367B712" w14:textId="77777777" w:rsidR="00AD06D7" w:rsidRPr="00027E38" w:rsidRDefault="00AD06D7" w:rsidP="00027E38">
      <w:pPr>
        <w:autoSpaceDE w:val="0"/>
        <w:autoSpaceDN w:val="0"/>
        <w:adjustRightInd w:val="0"/>
        <w:spacing w:line="276" w:lineRule="auto"/>
        <w:rPr>
          <w:rFonts w:cs="Times New Roman"/>
          <w:szCs w:val="24"/>
        </w:rPr>
      </w:pPr>
    </w:p>
    <w:p w14:paraId="0EF59D10" w14:textId="77777777" w:rsidR="00027E38" w:rsidRPr="00027E38" w:rsidRDefault="00027E38" w:rsidP="00AD06D7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szCs w:val="24"/>
        </w:rPr>
        <w:t>Motīvu daļa</w:t>
      </w:r>
    </w:p>
    <w:p w14:paraId="7E4D6559" w14:textId="77777777" w:rsidR="00AD06D7" w:rsidRDefault="00AD06D7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</w:p>
    <w:p w14:paraId="5F7C1894" w14:textId="034EBA4A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[6] Pārbaudījis sprieduma likumību attiecībā uz personu, kas to pārsūdzējusi, un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argumentiem, kas minēti kasācijas sūdzībā, kā to noteic Civilprocesa likuma 473.panta pirmā daļa,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Senāts atzīst, ka pārsūdzētais spriedums prasības apmierinātajā daļā ir atceļams.</w:t>
      </w:r>
    </w:p>
    <w:p w14:paraId="5484BCE0" w14:textId="77777777" w:rsidR="00AD06D7" w:rsidRDefault="00AD06D7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</w:p>
    <w:p w14:paraId="5E6C2C69" w14:textId="0F3738A5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[7] Izskatāmajā lietā pastāv strīds starp daudzdzīvokļu dzīvojamās mājas pārvaldnieku un šīs</w:t>
      </w:r>
      <w:r w:rsidR="00AD06D7"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mājas dzīvokļa īpašnieku saistībā ar maksājumiem par apkuri. Proti, prasītājas ieskatā, atbildētājai,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kura nav pierādījusi dzīvokļa atslēgšanas no centralizētās apkures sistēmas un alternatīvās apkures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ierīkošanas likumību, ir jānorēķinās par siltumenerģijas pakalpojumu.</w:t>
      </w:r>
    </w:p>
    <w:p w14:paraId="7AE220C3" w14:textId="4D76E386" w:rsidR="00027E38" w:rsidRPr="00027E38" w:rsidRDefault="00027E38" w:rsidP="00AD06D7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Savukārt atbildētāja uzskata, ka viņai nav jāmaksā par reāli nesaņemto apkures pakalpojumu,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jo apkuri dzīvoklim atslēgusi pašvaldība, būdama dzīvojamās mājas īpašniece. Līdz ar to dzīvokļa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atslēgšana no centralizētās siltumapgādes sistēmas, ierīkojot dzīvoklī malkas krāsns apkuri, notikusi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atbilstoši normatīvo aktu prasībām.</w:t>
      </w:r>
    </w:p>
    <w:p w14:paraId="34B34385" w14:textId="4DC08E9B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[7.1] Atbilstoši likuma „Par dzīvokļa īpašumu” (</w:t>
      </w:r>
      <w:r w:rsidRPr="00027E38">
        <w:rPr>
          <w:rFonts w:cs="Times New Roman"/>
          <w:i/>
          <w:iCs/>
          <w:szCs w:val="24"/>
        </w:rPr>
        <w:t>spēkā no 1995.gada 26.oktobra līdz</w:t>
      </w:r>
      <w:r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2010.gada 31.decembrim</w:t>
      </w:r>
      <w:r w:rsidRPr="00027E38">
        <w:rPr>
          <w:rFonts w:cs="Times New Roman"/>
          <w:szCs w:val="24"/>
        </w:rPr>
        <w:t>) 14.panta trešajai daļai dzīvokļa īpašnieks bez citu dzīvokļu īpašnieku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piekrišanas ir tiesīgs būvniecību reglamentējošajos normatīvajos aktos noteiktajā kārtībā pārplānot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un pārbūvēt savu dzīvokli un tajā esošās komunikāciju daļas, ciktāl tas neskar citu dzīvokļu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īpašnieku intereses. Ja tiek pārplānotas un pārbūvētas dzīvokļa vai komunikāciju daļas, kas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funkcionāli nedalāmi saistītas ar visas mājas ekspluatāciju, nepieciešama pārējo dzīvokļu īpašnieku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vai dzīvokļu īpašnieku sabiedrības piekrišana, kas noformējama sabiedrības statūtos vai savstarpējā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līgumā noteiktajā kārtībā, un to dzīvokļu īpašnieku piekrišana, kuri nav dzīvokļu īpašnieku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sabiedrības dalībnieki.</w:t>
      </w:r>
    </w:p>
    <w:p w14:paraId="005CE328" w14:textId="75906AF2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Ar 2011.gada 1.janvāri likumdevējs ikvienu jautājumu, kas attiecas uz kopīpašumā esošo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daļu, nodevis dzīvokļu īpašnieku kompetencē, paredzot, ka pieņemt lēmumu par atsevišķā īpašuma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robežās esošo dzīvojamās mājas kopīpašuma elementu pārbūves un restaurācijas kārtību ir tiesīga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vienīgi dzīvokļu īpašnieku kopība (Dzīvokļa īpašuma likuma 16.panta otrās daļas 2.1 punkts).</w:t>
      </w:r>
    </w:p>
    <w:p w14:paraId="5D18E07A" w14:textId="44E880D2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Šāds regulējums sistēmiski sasaucas ar Civillikuma 1068.pantu, kas paredz, ka rīcībai ar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kopīpašuma priekšmetu nepieciešams visu kopīpašnieku akcepts, pretējā gadījumā tā nav spēkā, un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Enerģētikas likuma 50.pantu (</w:t>
      </w:r>
      <w:r w:rsidRPr="00027E38">
        <w:rPr>
          <w:rFonts w:cs="Times New Roman"/>
          <w:i/>
          <w:iCs/>
          <w:szCs w:val="24"/>
        </w:rPr>
        <w:t>redakcijā, kas stājās spēkā 2001.gada 1.jūnijā</w:t>
      </w:r>
      <w:r w:rsidRPr="00027E38">
        <w:rPr>
          <w:rFonts w:cs="Times New Roman"/>
          <w:szCs w:val="24"/>
        </w:rPr>
        <w:t>), kas ēku un būvju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īpašniekiem, nevis atsevišķa dzīvokļa īpašniekam, piešķir tiesības izvēlēties siltumapgādes veidu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(</w:t>
      </w:r>
      <w:r w:rsidRPr="00027E38">
        <w:rPr>
          <w:rFonts w:cs="Times New Roman"/>
          <w:i/>
          <w:iCs/>
          <w:szCs w:val="24"/>
        </w:rPr>
        <w:t>līdz minētajam datumam izdevīgākā siltumapgādes veida izvēles tiesības likums paredzēja</w:t>
      </w:r>
      <w:r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enerģijas lietotājiem, ievērojot attiecīgās pašvaldības izdotos saistošos noteikumus un</w:t>
      </w:r>
      <w:r>
        <w:rPr>
          <w:rFonts w:cs="Times New Roman"/>
          <w:i/>
          <w:iCs/>
          <w:szCs w:val="24"/>
        </w:rPr>
        <w:t xml:space="preserve"> </w:t>
      </w:r>
      <w:r w:rsidRPr="00027E38">
        <w:rPr>
          <w:rFonts w:cs="Times New Roman"/>
          <w:i/>
          <w:iCs/>
          <w:szCs w:val="24"/>
        </w:rPr>
        <w:t>administratīvās teritorijas siltumapgādes attīstības perspektīvu</w:t>
      </w:r>
      <w:r w:rsidRPr="00027E38">
        <w:rPr>
          <w:rFonts w:cs="Times New Roman"/>
          <w:szCs w:val="24"/>
        </w:rPr>
        <w:t>).</w:t>
      </w:r>
    </w:p>
    <w:p w14:paraId="1E2BF172" w14:textId="62245CFC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Ņemot vērā celtās prasības priekšmetu un pamatu, kā arī šo jautājumu reglamentējošās tiesību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normas, strīda pareizai izšķiršanai, lietā primāri noskaidrojams, vai atbildētājai piederošais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dzīvoklis no centralizētās siltumapgādes sistēmas atvienots likumīgi.</w:t>
      </w:r>
    </w:p>
    <w:p w14:paraId="16DA5345" w14:textId="77777777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Pārsūdzētajā spriedumā atbilde uz šo jautājumu nav atrodama.</w:t>
      </w:r>
    </w:p>
    <w:p w14:paraId="1089A5FE" w14:textId="710D82AD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szCs w:val="24"/>
        </w:rPr>
        <w:lastRenderedPageBreak/>
        <w:t>[7.2] Tiesai, kā tas izriet no Civilprocesa likuma 8. un 97.panta, 193.panta piektās daļas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noteikumiem, ir pienākums pamatot spriedumu, sniedzot izvērstu, nepārprotamu juridisko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argumentāciju, kurā atspoguļots konkrētā strīda atrisināšanai piemērojamo materiālo tiesību normu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izvēles process, sākot ar lietā būtisku faktisko apstākļu noskaidrošanu, kas balstīta uz pierādījumu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objektīvu novērtējumu to kopumā, un beidzot ar loģiskā secībā izdarīta gala slēdziena formulēšanu.</w:t>
      </w:r>
    </w:p>
    <w:p w14:paraId="49B90037" w14:textId="13BD3BDD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Tiesas pienākums, izšķirot ikvienu strīdu, ir vispusīgi izvērtēt, vai pušu norādītie apstākļi, kas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ietilpst pierādīšanas priekšmetā, guvuši apstiprinājumu, un kādas juridiskās sekas piemērojamās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materiālo tiesību normas sastāvs saista ar lietas iztiesāšanas gaitā noskaidrotiem faktiem.</w:t>
      </w:r>
    </w:p>
    <w:p w14:paraId="54B82807" w14:textId="25827DCA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Senāts atzīst, ka tiesa šo pienākumu nav izpildījusi, un piekrīt norādei kasācijas sūdzībā uz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Civilprocesa likuma 97.panta pārkāpumu, jo pārsūdzētā sprieduma motīvu daļā ietvertā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argumentācija nav balstīta uz pierādījumiem par patvarīgu vai nelikumīgu centralizētās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siltumapgādes sistēmas atvienošanu atbildētājas dzīvoklim.</w:t>
      </w:r>
    </w:p>
    <w:p w14:paraId="41D56460" w14:textId="0976B26F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Vērtējot atbildētājas pienākumu norēķināties par siltumenerģijas pakalpojumu, tiesai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izskatāmajā lietā bija jākonstatē nozīmīgs apstāklis, proti, brīdis, kad ir notikusi atslēgšanās no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kopējās apkures sistēmas, jo no minētā ir atkarīgi pierādāmie strīda pamata fakti.</w:t>
      </w:r>
    </w:p>
    <w:p w14:paraId="65A71790" w14:textId="0FFF27AA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 xml:space="preserve">[7.3] No pirmās instances tiesas sēdē nopratinātās liecinieces </w:t>
      </w:r>
      <w:r w:rsidR="00EB19E5">
        <w:rPr>
          <w:rFonts w:cs="Times New Roman"/>
          <w:color w:val="000000"/>
          <w:szCs w:val="24"/>
        </w:rPr>
        <w:t>[pers. B]</w:t>
      </w:r>
      <w:r w:rsidRPr="00027E38">
        <w:rPr>
          <w:rFonts w:cs="Times New Roman"/>
          <w:color w:val="000000"/>
          <w:szCs w:val="24"/>
        </w:rPr>
        <w:t xml:space="preserve"> liecības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(</w:t>
      </w:r>
      <w:r w:rsidRPr="00027E38">
        <w:rPr>
          <w:rFonts w:cs="Times New Roman"/>
          <w:i/>
          <w:iCs/>
          <w:color w:val="000000"/>
          <w:szCs w:val="24"/>
        </w:rPr>
        <w:t>2020.gada 29.janvāra tiesas sēdes skaņu ieraksts</w:t>
      </w:r>
      <w:r w:rsidRPr="00027E38">
        <w:rPr>
          <w:rFonts w:cs="Times New Roman"/>
          <w:color w:val="000000"/>
          <w:szCs w:val="24"/>
        </w:rPr>
        <w:t>), dzīvokļa īres līguma 1.2.punktā izdarītās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atzīmes par centralizētas apkures sistēmas atslēgšanu dzīvoklī (</w:t>
      </w:r>
      <w:r w:rsidRPr="00027E38">
        <w:rPr>
          <w:rFonts w:cs="Times New Roman"/>
          <w:i/>
          <w:iCs/>
          <w:color w:val="000000"/>
          <w:szCs w:val="24"/>
        </w:rPr>
        <w:t>lietas 1.sēj. 98.lp.</w:t>
      </w:r>
      <w:r w:rsidRPr="00027E38">
        <w:rPr>
          <w:rFonts w:cs="Times New Roman"/>
          <w:color w:val="000000"/>
          <w:szCs w:val="24"/>
        </w:rPr>
        <w:t>), kā arī lietas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materiāliem pievienotajiem iepriekšējās dzīvojamās mājas apsaimniekotājas SIA ,,Saulkrastu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komunālserviss” atbildētājai izrakstītajiem rēķiniem (</w:t>
      </w:r>
      <w:r w:rsidRPr="00027E38">
        <w:rPr>
          <w:rFonts w:cs="Times New Roman"/>
          <w:i/>
          <w:iCs/>
          <w:color w:val="000000"/>
          <w:szCs w:val="24"/>
        </w:rPr>
        <w:t>lietas 1.sēj. 45.-48.lp.</w:t>
      </w:r>
      <w:r w:rsidRPr="00027E38">
        <w:rPr>
          <w:rFonts w:cs="Times New Roman"/>
          <w:color w:val="000000"/>
          <w:szCs w:val="24"/>
        </w:rPr>
        <w:t>) izriet, ka: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1)</w:t>
      </w:r>
      <w:r>
        <w:rPr>
          <w:rFonts w:cs="Times New Roman"/>
          <w:color w:val="000000"/>
          <w:szCs w:val="24"/>
        </w:rPr>
        <w:t> </w:t>
      </w:r>
      <w:r w:rsidRPr="00027E38">
        <w:rPr>
          <w:rFonts w:cs="Times New Roman"/>
          <w:color w:val="000000"/>
          <w:szCs w:val="24"/>
        </w:rPr>
        <w:t>centralizētā siltumapgādes sistēma atbildētājas dzīvoklim atslēgta 1998.gada 30.oktobrī, kad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atbildētāja bija šī dzīvokļa īrniece; 2) dzīvokļa atslēgšanu no kopējās apkures sistēmas, ierīkojot tajā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malkas apkuri, veica pašvaldība, kura bija dzīvojamās mājas īpašniece; 3) pašvaldība sniedza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palīdzību atbildētājai malkas iegādei; 4) pēc dzīvokļa privatizācijas iepriekšējais dzīvojamās mājas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apsaimniekotājs bija informēts par tajā ierīkoto alternatīvo apkuri un šīs pārbūves sekām, tādēļ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neiekļāva maksu par apkuri atbildētājai izrakstītajos rēķinos.</w:t>
      </w:r>
    </w:p>
    <w:p w14:paraId="6B450A1C" w14:textId="19A4C221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Šos apstākļus tiesa pieminējusi spriedumā, tomēr juridisko novērtējumu iepriekš minēto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normu kontekstā nav devusi.</w:t>
      </w:r>
    </w:p>
    <w:p w14:paraId="101E05FD" w14:textId="585355BA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Kā izriet no pārsūdzētā sprieduma motīvu daļas satura, apelācijas instances tiesa saistījusi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atbildētājas pienākumu no 2016.gada oktobra norēķināties par apkuri ar normatīvajos aktos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noteiktās kārtības neievērošanu alternatīvās apkures ierīkošanai, kas nav legalizēta. Minētā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secinājuma pamatošanai Civillietu tiesas kolēģija izmantojusi atsauci uz judikatūrā (Senāta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2016.gada 18.marta spriedumā lietā Nr. SKC-31/2016 (C29711810) un 2019.gada 19.jūnija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spriedumā lietā Nr. SKC-213/2019 (</w:t>
      </w:r>
      <w:r w:rsidRPr="00027E38">
        <w:rPr>
          <w:rFonts w:cs="Times New Roman"/>
          <w:color w:val="000081"/>
          <w:szCs w:val="24"/>
        </w:rPr>
        <w:t xml:space="preserve">ECLI:LV:AT:2019:0619.C16060812.4.S)) </w:t>
      </w:r>
      <w:r w:rsidRPr="00027E38">
        <w:rPr>
          <w:rFonts w:cs="Times New Roman"/>
          <w:color w:val="000000"/>
          <w:szCs w:val="24"/>
        </w:rPr>
        <w:t>izteiktajām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atziņām, kas attiecas uz dzīvokļa īpašnieka pienākumu samaksāt par piegādāto siltumenerģiju, ja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notikusi patvarīga, ar pārējiem dzīvokļu īpašniekiem nesaskaņota atslēgšanās no apkures sistēmas.</w:t>
      </w:r>
    </w:p>
    <w:p w14:paraId="0A5D912B" w14:textId="2C5A7493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Šāda pieeja atklāj apelācijas instances tiesas maldīgo izpratni par judikatūras pielietošanas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metodi.</w:t>
      </w:r>
    </w:p>
    <w:p w14:paraId="1F78BFF6" w14:textId="2E753071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[7.4] Civilprocesa likuma 5.panta sestā daļa noteic, ka tiesa, piemērojot tiesību normas, ņem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vērā judikatūru, ar ko saprot „tiesu nolēmumos atrodamās juridiskās atziņas, kas ir vispārināmas un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līdz ar to pielietojamas ne vien konkrētajā, bet arī citos gadījumos” (sk. </w:t>
      </w:r>
      <w:r w:rsidRPr="00027E38">
        <w:rPr>
          <w:rFonts w:cs="Times New Roman"/>
          <w:i/>
          <w:iCs/>
          <w:color w:val="000000"/>
          <w:szCs w:val="24"/>
        </w:rPr>
        <w:t>Levits E. Judikatūra –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027E38">
        <w:rPr>
          <w:rFonts w:cs="Times New Roman"/>
          <w:i/>
          <w:iCs/>
          <w:color w:val="000000"/>
          <w:szCs w:val="24"/>
        </w:rPr>
        <w:t>pamati, problēmas, piemērošana. Latvijas Republikas Augstākās tiesas Biļetens, Nr.1/2010,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027E38">
        <w:rPr>
          <w:rFonts w:cs="Times New Roman"/>
          <w:i/>
          <w:iCs/>
          <w:color w:val="000000"/>
          <w:szCs w:val="24"/>
        </w:rPr>
        <w:t>32.lpp.</w:t>
      </w:r>
      <w:r w:rsidRPr="00027E38">
        <w:rPr>
          <w:rFonts w:cs="Times New Roman"/>
          <w:color w:val="000000"/>
          <w:szCs w:val="24"/>
        </w:rPr>
        <w:t>).</w:t>
      </w:r>
    </w:p>
    <w:p w14:paraId="36FFED5F" w14:textId="4A500DD1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lastRenderedPageBreak/>
        <w:t>Šajā normā ietvertā noteikuma mērķis ir nodrošināt tiesas spriešanas taisnīgumu, vienveidību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un tiesisko stabilitāti.</w:t>
      </w:r>
    </w:p>
    <w:p w14:paraId="4324C8FC" w14:textId="3FCA7AF3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Judikatūrā nostiprinātas juridiskās tēzes jeb tās pašas tiesas vai augstākas nacionālās tiesu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instances, starptautisko tiesu tiesību normu piemērošanas un interpretācijas praksi jāņem vērā tikai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tad, ja izšķiramā strīda faktisko un tiesisko apstākļu vērtējošas salīdzināšanas ceļā tiek konstatēts to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saturisks identiskums (būtiska līdzība) ar iepriekš jau izspriestas lietas apstākļiem. Tā kā tiesas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nolēmumam jābūt pamatotam ar tiesību normu, judikatūra </w:t>
      </w:r>
      <w:r w:rsidRPr="00027E38">
        <w:rPr>
          <w:rFonts w:cs="Times New Roman"/>
          <w:szCs w:val="24"/>
        </w:rPr>
        <w:t>izmantojama secinājuma par šīs normas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piemērošanas (iztulkošanas) juridiskajiem aspektiem argumentēšanai. Tas nozīmē, ka: ,,[..] nevar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izspriest lietu pēc būtības uz kāda cita tiesas nolēmuma pamata” (sk. </w:t>
      </w:r>
      <w:r w:rsidRPr="00027E38">
        <w:rPr>
          <w:rFonts w:cs="Times New Roman"/>
          <w:i/>
          <w:iCs/>
          <w:color w:val="000000"/>
          <w:szCs w:val="24"/>
        </w:rPr>
        <w:t>Senāta 2007.gada 24.oktobra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027E38">
        <w:rPr>
          <w:rFonts w:cs="Times New Roman"/>
          <w:i/>
          <w:iCs/>
          <w:color w:val="000000"/>
          <w:szCs w:val="24"/>
        </w:rPr>
        <w:t>sprieduma lietā Nr. SKC-722/2007 (C33068105) motīvu daļu</w:t>
      </w:r>
      <w:r w:rsidRPr="00027E38">
        <w:rPr>
          <w:rFonts w:cs="Times New Roman"/>
          <w:color w:val="000000"/>
          <w:szCs w:val="24"/>
        </w:rPr>
        <w:t>), lai arī pieņemta līdzīgā tiesiskā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strīdā, jo nav pieļaujama atsauce uz konkrētu lietu kā tiesu praksi, neizanalizējot agrāk taisītā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spriedumā ietverto apsvērumu saturu un neminot, kā izšķiramā strīda apstākļi sasaucas ar iepriekš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izskatītajā lietā pastāvējušiem faktiskajiem un tiesiskajiem apstākļiem (sal., piemēram, </w:t>
      </w:r>
      <w:r w:rsidRPr="00027E38">
        <w:rPr>
          <w:rFonts w:cs="Times New Roman"/>
          <w:i/>
          <w:iCs/>
          <w:color w:val="000000"/>
          <w:szCs w:val="24"/>
        </w:rPr>
        <w:t>Senāta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027E38">
        <w:rPr>
          <w:rFonts w:cs="Times New Roman"/>
          <w:i/>
          <w:iCs/>
          <w:color w:val="000000"/>
          <w:szCs w:val="24"/>
        </w:rPr>
        <w:t>2007.gada 28.februāra sprieduma lietā Nr. SKC-89/2007 (C30269404) motīvu daļa, 2017.gada</w:t>
      </w:r>
      <w:r>
        <w:rPr>
          <w:rFonts w:cs="Times New Roman"/>
          <w:i/>
          <w:iCs/>
          <w:color w:val="000000"/>
          <w:szCs w:val="24"/>
        </w:rPr>
        <w:t xml:space="preserve"> </w:t>
      </w:r>
      <w:r w:rsidRPr="00027E38">
        <w:rPr>
          <w:rFonts w:cs="Times New Roman"/>
          <w:i/>
          <w:iCs/>
          <w:color w:val="000000"/>
          <w:szCs w:val="24"/>
        </w:rPr>
        <w:t>17.marta spriedumu lietā Nr.</w:t>
      </w:r>
      <w:r w:rsidR="00C9666E">
        <w:rPr>
          <w:rFonts w:cs="Times New Roman"/>
          <w:i/>
          <w:iCs/>
          <w:color w:val="000000"/>
          <w:szCs w:val="24"/>
        </w:rPr>
        <w:t> </w:t>
      </w:r>
      <w:r w:rsidRPr="00027E38">
        <w:rPr>
          <w:rFonts w:cs="Times New Roman"/>
          <w:i/>
          <w:iCs/>
          <w:color w:val="000000"/>
          <w:szCs w:val="24"/>
        </w:rPr>
        <w:t>SKC-90/2017 (C33188110) 11.3.punktu</w:t>
      </w:r>
      <w:r w:rsidRPr="00027E38">
        <w:rPr>
          <w:rFonts w:cs="Times New Roman"/>
          <w:color w:val="000000"/>
          <w:szCs w:val="24"/>
        </w:rPr>
        <w:t>).</w:t>
      </w:r>
    </w:p>
    <w:p w14:paraId="745B7732" w14:textId="714A0C85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Tādējādi, lai tiesai, vērtējot aktuālo tiesību jautājumu, būtu pamats izmantot judikatūrā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izteiktās atziņas, primāri noskaidrojams, vai pastāv faktisko un tiesisko apstākļu būtiska līdzība ar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iepriekš izspriestā lietā nodibinātajiem (sk. </w:t>
      </w:r>
      <w:r w:rsidRPr="00027E38">
        <w:rPr>
          <w:rFonts w:cs="Times New Roman"/>
          <w:i/>
          <w:iCs/>
          <w:color w:val="000000"/>
          <w:szCs w:val="24"/>
        </w:rPr>
        <w:t>Senāta 2019.gada 4.marta sprieduma lietā Nr. SKC-44/2019 (</w:t>
      </w:r>
      <w:r w:rsidRPr="00027E38">
        <w:rPr>
          <w:rFonts w:cs="Times New Roman"/>
          <w:i/>
          <w:iCs/>
          <w:color w:val="000081"/>
          <w:szCs w:val="24"/>
        </w:rPr>
        <w:t xml:space="preserve">ECLI:LV:AT:2019:0304.C30477415.1.S) </w:t>
      </w:r>
      <w:r w:rsidRPr="00027E38">
        <w:rPr>
          <w:rFonts w:cs="Times New Roman"/>
          <w:i/>
          <w:iCs/>
          <w:color w:val="000000"/>
          <w:szCs w:val="24"/>
        </w:rPr>
        <w:t>7.4.1.punktu</w:t>
      </w:r>
      <w:r w:rsidRPr="00027E38">
        <w:rPr>
          <w:rFonts w:cs="Times New Roman"/>
          <w:color w:val="000000"/>
          <w:szCs w:val="24"/>
        </w:rPr>
        <w:t>).</w:t>
      </w:r>
    </w:p>
    <w:p w14:paraId="36D2CB74" w14:textId="0C5E1CB8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Apelācijas instances tiesa norādīto uzdevumu nav izpildījusi, jo, iepazīstoties ar minētajiem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Senāta spriedumiem, konstatējams, ka lietās Nr. SKC-31/2016 un Nr. SKC-213/2019 apelācijas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instances tiesa, izvērtējot atbildētāja pienākumu norēķināties par apkuri, bija nodibinājusi atšķirīgus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apstākļus. Proti, šajās lietās atbildētājs bija iegādājies no iepriekšējā īpašnieka dzīvokli bez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centralizētas apkures sistēmas, kas tika demontēta jau pēc dzīvojamās mājas privatizācijas procesa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pabeigšanas, kad alternatīvās apkures sistēmas ierīkošanai bija nepieciešama pārējo mājas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kopīpašnieku piekrišana, proti, konstatēta patvarība autonomas apkures sistēmas ierīkošanā.</w:t>
      </w:r>
    </w:p>
    <w:p w14:paraId="1397F21E" w14:textId="647AEA93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Līdz ar to Senāts uzskata, ka apelācijas instances tiesai nebija pamata atsaukties uz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minētajiem judikatūras piemēriem.</w:t>
      </w:r>
    </w:p>
    <w:p w14:paraId="679FDFB5" w14:textId="47703820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[7.5] Atbilstoši Augstākās tiesas 2011.gada tiesu prakses apkopojumā ,,Kopīpašums”, uz kuru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spriedumā atsaukusies apelācijas instances tiesa, norādītajam dzīvokļa īpašnieks no pienākuma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samaksāt par piegādāto siltumenerģiju nav atbrīvojams, ja notikusi patvarīga, ar pārējiem dzīvokļu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īpašniekiem nesaskaņota atslēgšanās no apkures sistēmas. Tātad, ja atbildētājam piederošā dzīvokļa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telpas no kopējās apkures sistēmas atvienotas likumīgi (ievērojot pārbūves brīdī spēkā esošo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normatīvo aktu prasības), nevar runāt par patvarību un citu mājas dzīvokļu īpašnieku tiesību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aizskārumu no atbildētāja puses. Likumīgi veiktas pārbūves sekas pārējiem dzīvokļa īpašniekiem ir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saistošas un viņiem tās jārespektē.</w:t>
      </w:r>
    </w:p>
    <w:p w14:paraId="36CF44EB" w14:textId="201C59D5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Atbildētājas patvarīga atslēgšanās no kopējās apkures sistēmas spriedumā nav konstatēta.</w:t>
      </w:r>
      <w:r w:rsidR="00604ED6"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Gluži pretēji, apelācijas instances tiesa nodibinājusi un tas apstiprinās ar pierādījumiem, ka dzīvokļa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atvienošanu no centralizētās apkures sistēmas, ierīkojot dzīvoklī krāsns apkuri, veica Saulkrastu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pašvaldība, kuras īpašumā atradās dzīvojamā māja, turklāt laikā, kad atbildētāja bija šī dzīvokļa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īrniece. No spriedumā ietvertās argumentācijas nav saprotams, kāpēc pēc dzīvokļa, kurā jau bija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ierīkota krāsns apkure, privatizācijas, atbildētāja nevarēja paļauties uz pašvaldības rīcības (veiktās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pārbūves) tiesiskumu alternatīvās apkures ierīkošanā, it īpaši situācijā, kad pašvaldība sniedza viņai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 xml:space="preserve">palīdzību malkas iegādei un iepriekšējais apsaimniekotājs neprasīja </w:t>
      </w:r>
      <w:r w:rsidRPr="00027E38">
        <w:rPr>
          <w:rFonts w:cs="Times New Roman"/>
          <w:color w:val="000000"/>
          <w:szCs w:val="24"/>
        </w:rPr>
        <w:lastRenderedPageBreak/>
        <w:t>no viņas samaksu par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nesaņemto pakalpojumu – apkuri – līdz pat 2016.gada oktobrim, t.i., vairāk nekā septiņpadsmit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gadus. Tas nozīmē, ka visus šos gadus pārējie dzīvokļu īpašnieki ir respektējuši pašvaldības veiktās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pārbūves sekas. Tādējādi, nekonstatējot atbildētājas prettiesisku rīcību, parāda par apkuri piedziņa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liecina par to, ka lieta izskatīta, nenoskaidrojot strīda izšķiršanā nozīmīgus apstākļus (Civilprocesa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likuma 8.pants), kas varēja novest pie lietas nepareizas izspriešanas.</w:t>
      </w:r>
    </w:p>
    <w:p w14:paraId="644FC4D6" w14:textId="2CDBBAB0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[7.6] Iepriekš izklāstīto argumentu kopums ļauj secināt, ka apelācijas instances tiesas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spriedumu pārsūdzētajā daļā nevar atzīt par pamatotu, tādēļ tas atceļams.</w:t>
      </w:r>
    </w:p>
    <w:p w14:paraId="099132F3" w14:textId="156EF418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color w:val="000000"/>
          <w:szCs w:val="24"/>
        </w:rPr>
      </w:pPr>
      <w:r w:rsidRPr="00027E38">
        <w:rPr>
          <w:rFonts w:cs="Times New Roman"/>
          <w:color w:val="000000"/>
          <w:szCs w:val="24"/>
        </w:rPr>
        <w:t>Tā kā tiesāšanās izdevumu atlīdzināšana atkarīga no tiesas apmierinātā prasījuma apmēra,</w:t>
      </w:r>
      <w:r>
        <w:rPr>
          <w:rFonts w:cs="Times New Roman"/>
          <w:color w:val="000000"/>
          <w:szCs w:val="24"/>
        </w:rPr>
        <w:t xml:space="preserve"> </w:t>
      </w:r>
      <w:r w:rsidRPr="00027E38">
        <w:rPr>
          <w:rFonts w:cs="Times New Roman"/>
          <w:color w:val="000000"/>
          <w:szCs w:val="24"/>
        </w:rPr>
        <w:t>vienlaicīgi atceļams spriedums par tiesāšanās izdevumu piedziņu.</w:t>
      </w:r>
    </w:p>
    <w:p w14:paraId="1A24757B" w14:textId="77777777" w:rsidR="00027E38" w:rsidRPr="00027E38" w:rsidRDefault="00027E38" w:rsidP="00027E38">
      <w:pPr>
        <w:autoSpaceDE w:val="0"/>
        <w:autoSpaceDN w:val="0"/>
        <w:adjustRightInd w:val="0"/>
        <w:spacing w:before="120" w:after="120" w:line="276" w:lineRule="auto"/>
        <w:jc w:val="center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szCs w:val="24"/>
        </w:rPr>
        <w:t>Rezolutīvā daļa</w:t>
      </w:r>
    </w:p>
    <w:p w14:paraId="03BBAD94" w14:textId="77777777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Pamatojoties uz Civilprocesa likuma 474.panta 2.punktu, Senāts</w:t>
      </w:r>
    </w:p>
    <w:p w14:paraId="51FEBB97" w14:textId="77777777" w:rsidR="00027E38" w:rsidRPr="00027E38" w:rsidRDefault="00027E38" w:rsidP="00027E38">
      <w:pPr>
        <w:autoSpaceDE w:val="0"/>
        <w:autoSpaceDN w:val="0"/>
        <w:adjustRightInd w:val="0"/>
        <w:spacing w:before="120" w:after="120" w:line="276" w:lineRule="auto"/>
        <w:jc w:val="center"/>
        <w:rPr>
          <w:rFonts w:cs="Times New Roman"/>
          <w:b/>
          <w:bCs/>
          <w:szCs w:val="24"/>
        </w:rPr>
      </w:pPr>
      <w:r w:rsidRPr="00027E38">
        <w:rPr>
          <w:rFonts w:cs="Times New Roman"/>
          <w:b/>
          <w:bCs/>
          <w:szCs w:val="24"/>
        </w:rPr>
        <w:t>nosprieda</w:t>
      </w:r>
    </w:p>
    <w:p w14:paraId="161EF277" w14:textId="2EDA5D4F" w:rsidR="00027E38" w:rsidRPr="00027E38" w:rsidRDefault="00027E38" w:rsidP="00027E38">
      <w:pPr>
        <w:autoSpaceDE w:val="0"/>
        <w:autoSpaceDN w:val="0"/>
        <w:adjustRightInd w:val="0"/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Rīgas apgabaltiesas Civillietu tiesas kolēģijas 2020.gada 26.augusta spriedumu daļā, ar kuru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apmierināta prasība un piedzīti tiesāšanās izdevumi, atcelt, un lietu šajā daļā nodot jaunai</w:t>
      </w:r>
      <w:r>
        <w:rPr>
          <w:rFonts w:cs="Times New Roman"/>
          <w:szCs w:val="24"/>
        </w:rPr>
        <w:t xml:space="preserve"> </w:t>
      </w:r>
      <w:r w:rsidRPr="00027E38">
        <w:rPr>
          <w:rFonts w:cs="Times New Roman"/>
          <w:szCs w:val="24"/>
        </w:rPr>
        <w:t>izskatīšanai apelācijas instances tiesā.</w:t>
      </w:r>
    </w:p>
    <w:p w14:paraId="21E037B4" w14:textId="3C4871F5" w:rsidR="00027E38" w:rsidRPr="00027E38" w:rsidRDefault="00027E38" w:rsidP="00027E38">
      <w:pPr>
        <w:spacing w:line="276" w:lineRule="auto"/>
        <w:ind w:firstLine="567"/>
        <w:rPr>
          <w:rFonts w:cs="Times New Roman"/>
          <w:szCs w:val="24"/>
        </w:rPr>
      </w:pPr>
      <w:r w:rsidRPr="00027E38">
        <w:rPr>
          <w:rFonts w:cs="Times New Roman"/>
          <w:szCs w:val="24"/>
        </w:rPr>
        <w:t>Spriedums nav pārsūdzams.</w:t>
      </w:r>
    </w:p>
    <w:sectPr w:rsidR="00027E38" w:rsidRPr="00027E38" w:rsidSect="0056411E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C40D4" w14:textId="77777777" w:rsidR="00011AB9" w:rsidRDefault="00011AB9" w:rsidP="00A70C1B">
      <w:pPr>
        <w:spacing w:line="240" w:lineRule="auto"/>
      </w:pPr>
      <w:r>
        <w:separator/>
      </w:r>
    </w:p>
  </w:endnote>
  <w:endnote w:type="continuationSeparator" w:id="0">
    <w:p w14:paraId="241AFE92" w14:textId="77777777" w:rsidR="00011AB9" w:rsidRDefault="00011AB9" w:rsidP="00A70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0C99A" w14:textId="77777777" w:rsidR="00011AB9" w:rsidRDefault="00011AB9" w:rsidP="00A70C1B">
      <w:pPr>
        <w:spacing w:line="240" w:lineRule="auto"/>
      </w:pPr>
      <w:r>
        <w:separator/>
      </w:r>
    </w:p>
  </w:footnote>
  <w:footnote w:type="continuationSeparator" w:id="0">
    <w:p w14:paraId="7D3386C6" w14:textId="77777777" w:rsidR="00011AB9" w:rsidRDefault="00011AB9" w:rsidP="00A70C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49"/>
    <w:rsid w:val="00011AB9"/>
    <w:rsid w:val="00027E38"/>
    <w:rsid w:val="00084BCC"/>
    <w:rsid w:val="002734BB"/>
    <w:rsid w:val="0056411E"/>
    <w:rsid w:val="00604ED6"/>
    <w:rsid w:val="00A70C1B"/>
    <w:rsid w:val="00AD06D7"/>
    <w:rsid w:val="00C246AF"/>
    <w:rsid w:val="00C9666E"/>
    <w:rsid w:val="00CE3646"/>
    <w:rsid w:val="00E86498"/>
    <w:rsid w:val="00EB19E5"/>
    <w:rsid w:val="00F12242"/>
    <w:rsid w:val="00F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7B4CA"/>
  <w15:chartTrackingRefBased/>
  <w15:docId w15:val="{F3F6FAA1-3F00-4FBC-B4C6-E4540D70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1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1B"/>
  </w:style>
  <w:style w:type="paragraph" w:styleId="Footer">
    <w:name w:val="footer"/>
    <w:basedOn w:val="Normal"/>
    <w:link w:val="FooterChar"/>
    <w:uiPriority w:val="99"/>
    <w:unhideWhenUsed/>
    <w:rsid w:val="00A70C1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s.ta.gov.lv/tisreal?Form=TEMPLATEEDIT&amp;task=new&amp;tasktwo=newtemplfromoriginal&amp;fileid=685347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16149</Words>
  <Characters>9206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Zinaida Indrūna</cp:lastModifiedBy>
  <cp:revision>6</cp:revision>
  <dcterms:created xsi:type="dcterms:W3CDTF">2021-01-12T10:05:00Z</dcterms:created>
  <dcterms:modified xsi:type="dcterms:W3CDTF">2021-01-13T12:29:00Z</dcterms:modified>
</cp:coreProperties>
</file>