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FDD49" w14:textId="2BFA6C46" w:rsidR="00AF1457" w:rsidRPr="007601E9" w:rsidRDefault="00F93305" w:rsidP="00F93305">
      <w:pPr>
        <w:spacing w:after="0" w:line="276" w:lineRule="auto"/>
        <w:jc w:val="both"/>
        <w:rPr>
          <w:b/>
          <w:bCs/>
          <w:vanish/>
          <w:specVanish/>
        </w:rPr>
      </w:pPr>
      <w:r>
        <w:rPr>
          <w:b/>
          <w:bCs/>
        </w:rPr>
        <w:t xml:space="preserve">Pienācīga nepaziņošana apsūdzētajam par lietas iztiesāšanas laiku un vietu vienošanās procesa kārtībā iesniegtā krimināllietā kā būtisks pārkāpums Kriminālprocesa likuma </w:t>
      </w:r>
      <w:proofErr w:type="gramStart"/>
      <w:r>
        <w:rPr>
          <w:b/>
          <w:bCs/>
        </w:rPr>
        <w:t>575.panta</w:t>
      </w:r>
      <w:proofErr w:type="gramEnd"/>
      <w:r>
        <w:rPr>
          <w:b/>
          <w:bCs/>
        </w:rPr>
        <w:t xml:space="preserve"> trešās daļas izpratnē</w:t>
      </w:r>
    </w:p>
    <w:p w14:paraId="4118960B" w14:textId="6EBC242C" w:rsidR="00F93305" w:rsidRDefault="007601E9" w:rsidP="00F93305">
      <w:pPr>
        <w:spacing w:after="0" w:line="276" w:lineRule="auto"/>
        <w:jc w:val="both"/>
        <w:rPr>
          <w:b/>
          <w:bCs/>
        </w:rPr>
      </w:pPr>
      <w:r>
        <w:rPr>
          <w:b/>
          <w:bCs/>
        </w:rPr>
        <w:t xml:space="preserve"> </w:t>
      </w:r>
    </w:p>
    <w:p w14:paraId="42C4AD16" w14:textId="77777777" w:rsidR="00BC57DC" w:rsidRDefault="00BC57DC" w:rsidP="00F93305">
      <w:pPr>
        <w:spacing w:after="0" w:line="276" w:lineRule="auto"/>
        <w:jc w:val="both"/>
        <w:rPr>
          <w:b/>
          <w:bCs/>
        </w:rPr>
      </w:pPr>
    </w:p>
    <w:p w14:paraId="40826D01" w14:textId="1AEEB43B" w:rsidR="00F93305" w:rsidRDefault="00F93305" w:rsidP="00F93305">
      <w:pPr>
        <w:spacing w:after="0" w:line="276" w:lineRule="auto"/>
        <w:jc w:val="both"/>
      </w:pPr>
      <w:bookmarkStart w:id="0" w:name="_Hlk60840392"/>
      <w:r>
        <w:t>Tiesības būt klāt tiesas sēdē ietver personas tiesības būt savlaicīgi un pienācīgi informētai par tiesas sēdes norises laiku un vietu un tiesības ierasties uz tiesas sēdi un pilnvērtīgi piedalīties tiesas sēdē veiktajās procesuālajās darbības pašai vai ar pārstāvja starpniecību.</w:t>
      </w:r>
      <w:bookmarkEnd w:id="0"/>
    </w:p>
    <w:p w14:paraId="5284EF95" w14:textId="6042AC51" w:rsidR="00F93305" w:rsidRDefault="00F93305" w:rsidP="00F93305">
      <w:pPr>
        <w:spacing w:after="0" w:line="276" w:lineRule="auto"/>
        <w:jc w:val="both"/>
      </w:pPr>
    </w:p>
    <w:p w14:paraId="78D978BD" w14:textId="04FAB62E" w:rsidR="00F93305" w:rsidRDefault="00F93305" w:rsidP="00F93305">
      <w:pPr>
        <w:spacing w:after="0" w:line="276" w:lineRule="auto"/>
        <w:jc w:val="both"/>
      </w:pPr>
      <w:r>
        <w:t>Atbilstoši Kriminālprocesa likuma 540.</w:t>
      </w:r>
      <w:r>
        <w:rPr>
          <w:vertAlign w:val="superscript"/>
        </w:rPr>
        <w:t>1</w:t>
      </w:r>
      <w:r>
        <w:t xml:space="preserve"> panta ceturtajai daļai</w:t>
      </w:r>
      <w:r>
        <w:rPr>
          <w:strike/>
          <w:vertAlign w:val="subscript"/>
        </w:rPr>
        <w:t>,</w:t>
      </w:r>
      <w:r>
        <w:t xml:space="preserve"> lietās par pirmstiesas procesā slēgtu vienošanos tiesai jāpieņem lēmums par lietas iztiesāšanu mutvārdu procesā, ja iebildumus pret lietas iztiesāšanu rakstveida procesā iesniedzis prokurors, apsūdzētais, aizstāvis vai cietušais.</w:t>
      </w:r>
    </w:p>
    <w:p w14:paraId="212BA46E" w14:textId="224FDFC3" w:rsidR="00F93305" w:rsidRDefault="00F93305" w:rsidP="00F93305">
      <w:pPr>
        <w:spacing w:after="0" w:line="276" w:lineRule="auto"/>
        <w:jc w:val="both"/>
      </w:pPr>
    </w:p>
    <w:p w14:paraId="6D480079" w14:textId="2A95CE90" w:rsidR="00F93305" w:rsidRPr="00156A2A" w:rsidRDefault="00F93305" w:rsidP="00F93305">
      <w:pPr>
        <w:spacing w:after="0" w:line="276" w:lineRule="auto"/>
        <w:jc w:val="both"/>
        <w:rPr>
          <w:sz w:val="26"/>
          <w:szCs w:val="26"/>
        </w:rPr>
      </w:pPr>
      <w:r>
        <w:t xml:space="preserve">Pienācīgā kārtā nepaziņojot apsūdzētajam par lietas iztiesāšanas laiku un vietu un tādējādi liedzot viņam iesniegt iebildumus pret lietas iztiesāšanu rakstveida procesā, tiesa pārkāpj Kriminālprocesa likuma </w:t>
      </w:r>
      <w:proofErr w:type="gramStart"/>
      <w:r>
        <w:t>15.pantā</w:t>
      </w:r>
      <w:proofErr w:type="gramEnd"/>
      <w:r>
        <w:t xml:space="preserve"> nostiprināto kriminālprocesa pamatprincipu – tiesības uz taisnīgu tiesu,  kas atzīstams par Kriminālprocesa likuma būtisku pārkāpumu šā likuma 575.panta trešās daļas izpratnē.</w:t>
      </w:r>
    </w:p>
    <w:p w14:paraId="7D922C22" w14:textId="574E7B61" w:rsidR="00AF1457" w:rsidRPr="0061527C" w:rsidRDefault="00AF1457" w:rsidP="00F93305">
      <w:pPr>
        <w:pStyle w:val="BodyText2"/>
        <w:spacing w:line="276" w:lineRule="auto"/>
        <w:contextualSpacing/>
        <w:jc w:val="left"/>
        <w:rPr>
          <w:rFonts w:ascii="Times New Roman" w:hAnsi="Times New Roman"/>
          <w:color w:val="000000" w:themeColor="text1"/>
          <w:sz w:val="24"/>
          <w:szCs w:val="24"/>
        </w:rPr>
      </w:pPr>
    </w:p>
    <w:p w14:paraId="75F9E8B5" w14:textId="77777777" w:rsidR="00F93305" w:rsidRPr="00F93305" w:rsidRDefault="00AF1457" w:rsidP="000A7CD8">
      <w:pPr>
        <w:spacing w:line="276" w:lineRule="auto"/>
        <w:ind w:firstLine="652"/>
        <w:contextualSpacing/>
        <w:jc w:val="center"/>
        <w:rPr>
          <w:rFonts w:cs="Times New Roman"/>
          <w:b/>
          <w:color w:val="000000" w:themeColor="text1"/>
          <w:szCs w:val="24"/>
        </w:rPr>
      </w:pPr>
      <w:r w:rsidRPr="00F93305">
        <w:rPr>
          <w:rFonts w:cs="Times New Roman"/>
          <w:b/>
          <w:color w:val="000000" w:themeColor="text1"/>
          <w:szCs w:val="24"/>
        </w:rPr>
        <w:t>Latvijas Republikas Senāt</w:t>
      </w:r>
      <w:r w:rsidR="00F93305" w:rsidRPr="00F93305">
        <w:rPr>
          <w:rFonts w:cs="Times New Roman"/>
          <w:b/>
          <w:color w:val="000000" w:themeColor="text1"/>
          <w:szCs w:val="24"/>
        </w:rPr>
        <w:t>a</w:t>
      </w:r>
      <w:r w:rsidRPr="00F93305">
        <w:rPr>
          <w:rFonts w:cs="Times New Roman"/>
          <w:b/>
          <w:color w:val="000000" w:themeColor="text1"/>
          <w:szCs w:val="24"/>
        </w:rPr>
        <w:t xml:space="preserve"> </w:t>
      </w:r>
    </w:p>
    <w:p w14:paraId="01A86139" w14:textId="77777777" w:rsidR="00F93305" w:rsidRPr="00F93305" w:rsidRDefault="00F93305" w:rsidP="000A7CD8">
      <w:pPr>
        <w:spacing w:line="276" w:lineRule="auto"/>
        <w:ind w:firstLine="652"/>
        <w:contextualSpacing/>
        <w:jc w:val="center"/>
        <w:rPr>
          <w:rFonts w:cs="Times New Roman"/>
          <w:b/>
          <w:color w:val="000000" w:themeColor="text1"/>
          <w:szCs w:val="24"/>
        </w:rPr>
      </w:pPr>
      <w:r w:rsidRPr="00F93305">
        <w:rPr>
          <w:rFonts w:cs="Times New Roman"/>
          <w:b/>
          <w:color w:val="000000" w:themeColor="text1"/>
          <w:szCs w:val="24"/>
        </w:rPr>
        <w:t>Krimināllietu departamenta</w:t>
      </w:r>
    </w:p>
    <w:p w14:paraId="6BB40617" w14:textId="066C3E8D" w:rsidR="00AF1457" w:rsidRPr="00F93305" w:rsidRDefault="00F93305" w:rsidP="000A7CD8">
      <w:pPr>
        <w:spacing w:line="276" w:lineRule="auto"/>
        <w:ind w:firstLine="652"/>
        <w:contextualSpacing/>
        <w:jc w:val="center"/>
        <w:rPr>
          <w:rFonts w:cs="Times New Roman"/>
          <w:b/>
          <w:color w:val="000000" w:themeColor="text1"/>
          <w:szCs w:val="24"/>
        </w:rPr>
      </w:pPr>
      <w:proofErr w:type="gramStart"/>
      <w:r w:rsidRPr="00F93305">
        <w:rPr>
          <w:rFonts w:cs="Times New Roman"/>
          <w:b/>
          <w:color w:val="000000" w:themeColor="text1"/>
          <w:szCs w:val="24"/>
        </w:rPr>
        <w:t>2020.gada</w:t>
      </w:r>
      <w:proofErr w:type="gramEnd"/>
      <w:r w:rsidRPr="00F93305">
        <w:rPr>
          <w:rFonts w:cs="Times New Roman"/>
          <w:b/>
          <w:color w:val="000000" w:themeColor="text1"/>
          <w:szCs w:val="24"/>
        </w:rPr>
        <w:t xml:space="preserve"> 17.decembra</w:t>
      </w:r>
    </w:p>
    <w:p w14:paraId="55072C0E" w14:textId="77777777" w:rsidR="00F93305" w:rsidRPr="00F93305" w:rsidRDefault="00AF1457" w:rsidP="000A7CD8">
      <w:pPr>
        <w:spacing w:line="276" w:lineRule="auto"/>
        <w:ind w:firstLine="652"/>
        <w:contextualSpacing/>
        <w:jc w:val="center"/>
        <w:rPr>
          <w:rFonts w:cs="Times New Roman"/>
          <w:b/>
          <w:szCs w:val="24"/>
        </w:rPr>
      </w:pPr>
      <w:r w:rsidRPr="00F93305">
        <w:rPr>
          <w:rFonts w:cs="Times New Roman"/>
          <w:b/>
          <w:color w:val="000000" w:themeColor="text1"/>
          <w:szCs w:val="24"/>
        </w:rPr>
        <w:t>LĒMUMS</w:t>
      </w:r>
      <w:r w:rsidR="00F93305" w:rsidRPr="00F93305">
        <w:rPr>
          <w:rFonts w:cs="Times New Roman"/>
          <w:b/>
          <w:szCs w:val="24"/>
        </w:rPr>
        <w:t xml:space="preserve"> </w:t>
      </w:r>
    </w:p>
    <w:p w14:paraId="745A965D" w14:textId="0F320209" w:rsidR="00AF1457" w:rsidRPr="00F93305" w:rsidRDefault="00F93305" w:rsidP="000A7CD8">
      <w:pPr>
        <w:spacing w:line="276" w:lineRule="auto"/>
        <w:ind w:firstLine="652"/>
        <w:contextualSpacing/>
        <w:jc w:val="center"/>
        <w:rPr>
          <w:rFonts w:cs="Times New Roman"/>
          <w:b/>
          <w:szCs w:val="24"/>
        </w:rPr>
      </w:pPr>
      <w:r w:rsidRPr="00F93305">
        <w:rPr>
          <w:rFonts w:cs="Times New Roman"/>
          <w:b/>
          <w:szCs w:val="24"/>
        </w:rPr>
        <w:t>Lieta Nr. 11353037519, SKK-489/2020</w:t>
      </w:r>
    </w:p>
    <w:p w14:paraId="0C84CACB" w14:textId="337D39C8" w:rsidR="00F93305" w:rsidRPr="00F93305" w:rsidRDefault="002575C5" w:rsidP="000A7CD8">
      <w:pPr>
        <w:spacing w:line="276" w:lineRule="auto"/>
        <w:ind w:firstLine="652"/>
        <w:contextualSpacing/>
        <w:jc w:val="center"/>
        <w:rPr>
          <w:rFonts w:cs="Times New Roman"/>
          <w:bCs/>
          <w:color w:val="000000" w:themeColor="text1"/>
          <w:szCs w:val="24"/>
        </w:rPr>
      </w:pPr>
      <w:hyperlink r:id="rId7" w:history="1">
        <w:r w:rsidR="00F93305" w:rsidRPr="00F93305">
          <w:rPr>
            <w:rStyle w:val="Hyperlink"/>
            <w:rFonts w:cs="Times New Roman"/>
            <w:bCs/>
            <w:szCs w:val="24"/>
            <w:shd w:val="clear" w:color="auto" w:fill="FFFFFF"/>
          </w:rPr>
          <w:t>ECLI:LV:AT:2020:1217.11353037519.6.L</w:t>
        </w:r>
      </w:hyperlink>
    </w:p>
    <w:p w14:paraId="19D1CEF8" w14:textId="77777777" w:rsidR="00AF1457" w:rsidRPr="0061527C" w:rsidRDefault="00AF1457" w:rsidP="000A7CD8">
      <w:pPr>
        <w:spacing w:line="276" w:lineRule="auto"/>
        <w:ind w:firstLine="652"/>
        <w:contextualSpacing/>
        <w:jc w:val="both"/>
        <w:rPr>
          <w:color w:val="000000" w:themeColor="text1"/>
        </w:rPr>
      </w:pPr>
    </w:p>
    <w:p w14:paraId="20FDC495" w14:textId="77777777" w:rsidR="00AF1457" w:rsidRPr="0061527C" w:rsidRDefault="00AF1457" w:rsidP="000A7CD8">
      <w:pPr>
        <w:spacing w:line="276" w:lineRule="auto"/>
        <w:ind w:firstLine="652"/>
        <w:contextualSpacing/>
        <w:jc w:val="both"/>
        <w:rPr>
          <w:color w:val="000000" w:themeColor="text1"/>
        </w:rPr>
      </w:pPr>
      <w:r w:rsidRPr="0061527C">
        <w:rPr>
          <w:color w:val="000000" w:themeColor="text1"/>
        </w:rPr>
        <w:t xml:space="preserve">Tiesa šādā sastāvā: senatori </w:t>
      </w:r>
      <w:r>
        <w:rPr>
          <w:color w:val="000000" w:themeColor="text1"/>
        </w:rPr>
        <w:t>Aija Branta, Pēteris Opincāns, Inese Laura Zemīte</w:t>
      </w:r>
    </w:p>
    <w:p w14:paraId="426B3C5B" w14:textId="77777777" w:rsidR="00AF1457" w:rsidRDefault="00AF1457" w:rsidP="000A7CD8">
      <w:pPr>
        <w:tabs>
          <w:tab w:val="left" w:pos="-3120"/>
        </w:tabs>
        <w:suppressAutoHyphens/>
        <w:spacing w:line="276" w:lineRule="auto"/>
        <w:ind w:firstLine="652"/>
        <w:contextualSpacing/>
        <w:jc w:val="both"/>
      </w:pPr>
    </w:p>
    <w:p w14:paraId="26F739B0" w14:textId="703845F4" w:rsidR="00AF1457" w:rsidRDefault="00AF1457" w:rsidP="000A7CD8">
      <w:pPr>
        <w:tabs>
          <w:tab w:val="left" w:pos="-3120"/>
        </w:tabs>
        <w:suppressAutoHyphens/>
        <w:spacing w:line="276" w:lineRule="auto"/>
        <w:ind w:firstLine="652"/>
        <w:contextualSpacing/>
        <w:jc w:val="both"/>
      </w:pPr>
      <w:r w:rsidRPr="009E6006">
        <w:t xml:space="preserve">izskatīja </w:t>
      </w:r>
      <w:r>
        <w:t>rakstveida</w:t>
      </w:r>
      <w:r w:rsidRPr="009E6006">
        <w:t xml:space="preserve"> procesā krimināllietu sakarā ar </w:t>
      </w:r>
      <w:r w:rsidR="00437077">
        <w:t>[pers. A]</w:t>
      </w:r>
      <w:r>
        <w:t xml:space="preserve"> kasācijas sūdzību par Rīgas rajona tiesas </w:t>
      </w:r>
      <w:proofErr w:type="gramStart"/>
      <w:r>
        <w:t>2020.gada</w:t>
      </w:r>
      <w:proofErr w:type="gramEnd"/>
      <w:r>
        <w:t xml:space="preserve"> 2.aprīļa spriedumu</w:t>
      </w:r>
      <w:r w:rsidRPr="009E6006">
        <w:t>.</w:t>
      </w:r>
    </w:p>
    <w:p w14:paraId="756CEB7A" w14:textId="77777777" w:rsidR="00AF1457" w:rsidRPr="00AF1457" w:rsidRDefault="00AF1457" w:rsidP="000A7CD8">
      <w:pPr>
        <w:tabs>
          <w:tab w:val="left" w:pos="-3120"/>
        </w:tabs>
        <w:suppressAutoHyphens/>
        <w:spacing w:line="276" w:lineRule="auto"/>
        <w:ind w:firstLine="652"/>
        <w:contextualSpacing/>
        <w:jc w:val="center"/>
        <w:rPr>
          <w:b/>
        </w:rPr>
      </w:pPr>
    </w:p>
    <w:p w14:paraId="6E929FA7" w14:textId="77777777" w:rsidR="00AF1457" w:rsidRPr="00AF1457" w:rsidRDefault="00AF1457" w:rsidP="000A7CD8">
      <w:pPr>
        <w:tabs>
          <w:tab w:val="left" w:pos="-3120"/>
        </w:tabs>
        <w:suppressAutoHyphens/>
        <w:spacing w:line="276" w:lineRule="auto"/>
        <w:ind w:firstLine="652"/>
        <w:contextualSpacing/>
        <w:jc w:val="center"/>
        <w:rPr>
          <w:b/>
        </w:rPr>
      </w:pPr>
      <w:r w:rsidRPr="00AF1457">
        <w:rPr>
          <w:rFonts w:cs="Times New Roman"/>
          <w:b/>
          <w:color w:val="000000" w:themeColor="text1"/>
          <w:szCs w:val="24"/>
        </w:rPr>
        <w:t>Aprakstošā daļa</w:t>
      </w:r>
    </w:p>
    <w:p w14:paraId="0A03BF16" w14:textId="77777777" w:rsidR="00AF1457" w:rsidRPr="00FA5349" w:rsidRDefault="00AF1457" w:rsidP="000A7CD8">
      <w:pPr>
        <w:spacing w:line="276" w:lineRule="auto"/>
        <w:ind w:firstLine="652"/>
        <w:contextualSpacing/>
      </w:pPr>
    </w:p>
    <w:p w14:paraId="4CC65462" w14:textId="3754D037" w:rsidR="00AF1457" w:rsidRPr="005E4F51" w:rsidRDefault="00AF1457" w:rsidP="000A7CD8">
      <w:pPr>
        <w:spacing w:line="276" w:lineRule="auto"/>
        <w:ind w:firstLine="652"/>
        <w:contextualSpacing/>
        <w:jc w:val="both"/>
        <w:rPr>
          <w:rFonts w:cs="Times New Roman"/>
        </w:rPr>
      </w:pPr>
      <w:r w:rsidRPr="00FA5349">
        <w:rPr>
          <w:rFonts w:cs="Times New Roman"/>
          <w:szCs w:val="24"/>
        </w:rPr>
        <w:t>[1]</w:t>
      </w:r>
      <w:r w:rsidRPr="00FA5349">
        <w:rPr>
          <w:rFonts w:cs="Times New Roman"/>
          <w:szCs w:val="24"/>
          <w:shd w:val="clear" w:color="auto" w:fill="FFFFFF"/>
        </w:rPr>
        <w:t xml:space="preserve"> </w:t>
      </w:r>
      <w:r>
        <w:rPr>
          <w:rFonts w:cs="Times New Roman"/>
          <w:szCs w:val="24"/>
          <w:shd w:val="clear" w:color="auto" w:fill="FFFFFF"/>
        </w:rPr>
        <w:t xml:space="preserve">Ar </w:t>
      </w:r>
      <w:r>
        <w:t xml:space="preserve">Rīgas rajona tiesas </w:t>
      </w:r>
      <w:proofErr w:type="gramStart"/>
      <w:r>
        <w:t>2020.gada</w:t>
      </w:r>
      <w:proofErr w:type="gramEnd"/>
      <w:r>
        <w:t xml:space="preserve"> 2.aprīļa </w:t>
      </w:r>
      <w:r w:rsidRPr="00AC7EDE">
        <w:rPr>
          <w:rFonts w:cs="Times New Roman"/>
        </w:rPr>
        <w:t>spriedumu</w:t>
      </w:r>
      <w:r>
        <w:rPr>
          <w:rFonts w:cs="Times New Roman"/>
        </w:rPr>
        <w:t xml:space="preserve"> apstiprināta starp Rīgas rajona prokuratūras prokurori</w:t>
      </w:r>
      <w:r w:rsidR="003B23F7">
        <w:rPr>
          <w:rFonts w:cs="Times New Roman"/>
        </w:rPr>
        <w:t xml:space="preserve"> Daci Auziņu</w:t>
      </w:r>
      <w:r>
        <w:rPr>
          <w:rFonts w:cs="Times New Roman"/>
        </w:rPr>
        <w:t xml:space="preserve"> un apsūdzēto </w:t>
      </w:r>
      <w:r w:rsidR="00437077">
        <w:rPr>
          <w:rFonts w:cs="Times New Roman"/>
        </w:rPr>
        <w:t>[pers. A]</w:t>
      </w:r>
      <w:r>
        <w:rPr>
          <w:rFonts w:cs="Times New Roman"/>
        </w:rPr>
        <w:t xml:space="preserve"> </w:t>
      </w:r>
      <w:r w:rsidR="003B23F7">
        <w:rPr>
          <w:rFonts w:cs="Times New Roman"/>
        </w:rPr>
        <w:t>2020.gada 10.martā</w:t>
      </w:r>
      <w:r>
        <w:rPr>
          <w:rFonts w:cs="Times New Roman"/>
        </w:rPr>
        <w:t xml:space="preserve"> noslēgtā vienošanās par vainas atzīšanu un sodu. </w:t>
      </w:r>
    </w:p>
    <w:p w14:paraId="6F9FFF94" w14:textId="49839630" w:rsidR="00AF1457" w:rsidRPr="00FA5349" w:rsidRDefault="00437077" w:rsidP="000A7CD8">
      <w:pPr>
        <w:spacing w:line="276" w:lineRule="auto"/>
        <w:ind w:firstLine="652"/>
        <w:contextualSpacing/>
        <w:jc w:val="both"/>
        <w:rPr>
          <w:rFonts w:cs="Times New Roman"/>
          <w:szCs w:val="24"/>
        </w:rPr>
      </w:pPr>
      <w:r>
        <w:rPr>
          <w:rFonts w:cs="Times New Roman"/>
          <w:szCs w:val="24"/>
        </w:rPr>
        <w:t>[Pers. A]</w:t>
      </w:r>
      <w:r w:rsidR="00AF1457" w:rsidRPr="00FA5349">
        <w:rPr>
          <w:rFonts w:cs="Times New Roman"/>
          <w:szCs w:val="24"/>
        </w:rPr>
        <w:t xml:space="preserve">, personas kods </w:t>
      </w:r>
      <w:r>
        <w:rPr>
          <w:rFonts w:cs="Times New Roman"/>
          <w:szCs w:val="24"/>
        </w:rPr>
        <w:t>[..]</w:t>
      </w:r>
      <w:r w:rsidR="00AF1457" w:rsidRPr="00FA5349">
        <w:rPr>
          <w:rFonts w:cs="Times New Roman"/>
          <w:szCs w:val="24"/>
        </w:rPr>
        <w:t>,</w:t>
      </w:r>
    </w:p>
    <w:p w14:paraId="681CB1A5" w14:textId="77777777" w:rsidR="003B23F7" w:rsidRDefault="00AF1457" w:rsidP="000A7CD8">
      <w:pPr>
        <w:spacing w:line="276" w:lineRule="auto"/>
        <w:ind w:firstLine="652"/>
        <w:contextualSpacing/>
        <w:jc w:val="both"/>
        <w:rPr>
          <w:rFonts w:cs="Times New Roman"/>
          <w:szCs w:val="24"/>
        </w:rPr>
      </w:pPr>
      <w:r w:rsidRPr="00FA5349">
        <w:rPr>
          <w:rFonts w:cs="Times New Roman"/>
          <w:szCs w:val="24"/>
        </w:rPr>
        <w:t xml:space="preserve">atzīts par vainīgu Krimināllikuma </w:t>
      </w:r>
      <w:proofErr w:type="gramStart"/>
      <w:r w:rsidR="003B23F7">
        <w:rPr>
          <w:rFonts w:cs="Times New Roman"/>
          <w:szCs w:val="24"/>
        </w:rPr>
        <w:t>175.panta</w:t>
      </w:r>
      <w:proofErr w:type="gramEnd"/>
      <w:r w:rsidR="003B23F7">
        <w:rPr>
          <w:rFonts w:cs="Times New Roman"/>
          <w:szCs w:val="24"/>
        </w:rPr>
        <w:t xml:space="preserve"> pirmajā daļā</w:t>
      </w:r>
      <w:r w:rsidRPr="00FA5349">
        <w:rPr>
          <w:rFonts w:cs="Times New Roman"/>
          <w:szCs w:val="24"/>
        </w:rPr>
        <w:t xml:space="preserve"> paredzētajā noziedzīgajā nodarījumā un sodīts ar </w:t>
      </w:r>
      <w:r>
        <w:rPr>
          <w:rFonts w:cs="Times New Roman"/>
          <w:szCs w:val="24"/>
        </w:rPr>
        <w:t xml:space="preserve">brīvības atņemšanu uz </w:t>
      </w:r>
      <w:r w:rsidR="003B23F7">
        <w:rPr>
          <w:rFonts w:cs="Times New Roman"/>
          <w:szCs w:val="24"/>
        </w:rPr>
        <w:t>6</w:t>
      </w:r>
      <w:r>
        <w:rPr>
          <w:rFonts w:cs="Times New Roman"/>
          <w:szCs w:val="24"/>
        </w:rPr>
        <w:t xml:space="preserve"> mēnešiem.</w:t>
      </w:r>
    </w:p>
    <w:p w14:paraId="2FD801E6" w14:textId="2E1D63F6" w:rsidR="003B23F7" w:rsidRDefault="00AF1457" w:rsidP="000A7CD8">
      <w:pPr>
        <w:spacing w:line="276" w:lineRule="auto"/>
        <w:ind w:firstLine="652"/>
        <w:contextualSpacing/>
        <w:jc w:val="both"/>
        <w:rPr>
          <w:rFonts w:cs="Times New Roman"/>
          <w:szCs w:val="24"/>
        </w:rPr>
      </w:pPr>
      <w:r>
        <w:rPr>
          <w:rFonts w:cs="Times New Roman"/>
          <w:szCs w:val="24"/>
        </w:rPr>
        <w:t xml:space="preserve">Saskaņā ar Krimināllikuma </w:t>
      </w:r>
      <w:proofErr w:type="gramStart"/>
      <w:r>
        <w:rPr>
          <w:rFonts w:cs="Times New Roman"/>
          <w:szCs w:val="24"/>
        </w:rPr>
        <w:t>5</w:t>
      </w:r>
      <w:r w:rsidR="003B23F7">
        <w:rPr>
          <w:rFonts w:cs="Times New Roman"/>
          <w:szCs w:val="24"/>
        </w:rPr>
        <w:t>1</w:t>
      </w:r>
      <w:r>
        <w:rPr>
          <w:rFonts w:cs="Times New Roman"/>
          <w:szCs w:val="24"/>
        </w:rPr>
        <w:t>.panta</w:t>
      </w:r>
      <w:proofErr w:type="gramEnd"/>
      <w:r>
        <w:rPr>
          <w:rFonts w:cs="Times New Roman"/>
          <w:szCs w:val="24"/>
        </w:rPr>
        <w:t xml:space="preserve"> pirmo daļu</w:t>
      </w:r>
      <w:r w:rsidR="003B23F7">
        <w:rPr>
          <w:rFonts w:cs="Times New Roman"/>
          <w:szCs w:val="24"/>
        </w:rPr>
        <w:t xml:space="preserve"> galīgais sods </w:t>
      </w:r>
      <w:r w:rsidR="00437077">
        <w:rPr>
          <w:rFonts w:cs="Times New Roman"/>
          <w:szCs w:val="24"/>
        </w:rPr>
        <w:t>[pers. </w:t>
      </w:r>
      <w:r w:rsidR="00437077">
        <w:t>A]</w:t>
      </w:r>
      <w:r w:rsidR="003B23F7">
        <w:rPr>
          <w:rFonts w:cs="Times New Roman"/>
          <w:szCs w:val="24"/>
        </w:rPr>
        <w:t xml:space="preserve"> </w:t>
      </w:r>
      <w:r>
        <w:rPr>
          <w:rFonts w:cs="Times New Roman"/>
          <w:szCs w:val="24"/>
        </w:rPr>
        <w:t xml:space="preserve">noteikts </w:t>
      </w:r>
      <w:r>
        <w:t xml:space="preserve">brīvības atņemšana uz </w:t>
      </w:r>
      <w:r w:rsidR="003B23F7">
        <w:t>1 gadu 7 mēnešiem un policijas kontrole uz 3 gadiem.</w:t>
      </w:r>
    </w:p>
    <w:p w14:paraId="0CCDB12B" w14:textId="487507AE" w:rsidR="003B23F7" w:rsidRDefault="003B23F7" w:rsidP="000A7CD8">
      <w:pPr>
        <w:spacing w:line="276" w:lineRule="auto"/>
        <w:ind w:firstLine="652"/>
        <w:contextualSpacing/>
        <w:jc w:val="both"/>
        <w:rPr>
          <w:rFonts w:cs="Times New Roman"/>
          <w:color w:val="000000" w:themeColor="text1"/>
          <w:szCs w:val="24"/>
        </w:rPr>
      </w:pPr>
      <w:r>
        <w:rPr>
          <w:rFonts w:cs="Times New Roman"/>
          <w:color w:val="000000" w:themeColor="text1"/>
          <w:szCs w:val="24"/>
        </w:rPr>
        <w:t xml:space="preserve">No </w:t>
      </w:r>
      <w:r w:rsidR="00437077">
        <w:rPr>
          <w:rFonts w:cs="Times New Roman"/>
          <w:color w:val="000000" w:themeColor="text1"/>
          <w:szCs w:val="24"/>
        </w:rPr>
        <w:t>[pers. A]</w:t>
      </w:r>
      <w:r>
        <w:rPr>
          <w:rFonts w:cs="Times New Roman"/>
          <w:color w:val="000000" w:themeColor="text1"/>
          <w:szCs w:val="24"/>
        </w:rPr>
        <w:t xml:space="preserve"> cietušās </w:t>
      </w:r>
      <w:r w:rsidR="00437077">
        <w:rPr>
          <w:rFonts w:cs="Times New Roman"/>
          <w:color w:val="000000" w:themeColor="text1"/>
          <w:szCs w:val="24"/>
        </w:rPr>
        <w:t>[pers. B]</w:t>
      </w:r>
      <w:r>
        <w:rPr>
          <w:rFonts w:cs="Times New Roman"/>
          <w:color w:val="000000" w:themeColor="text1"/>
          <w:szCs w:val="24"/>
        </w:rPr>
        <w:t xml:space="preserve"> labā piedzīta materiālā kaitējuma kompensācija 1650 </w:t>
      </w:r>
      <w:proofErr w:type="spellStart"/>
      <w:r w:rsidRPr="003B23F7">
        <w:rPr>
          <w:rFonts w:cs="Times New Roman"/>
          <w:i/>
          <w:color w:val="000000" w:themeColor="text1"/>
          <w:szCs w:val="24"/>
        </w:rPr>
        <w:t>euro</w:t>
      </w:r>
      <w:proofErr w:type="spellEnd"/>
      <w:r>
        <w:rPr>
          <w:rFonts w:cs="Times New Roman"/>
          <w:color w:val="000000" w:themeColor="text1"/>
          <w:szCs w:val="24"/>
        </w:rPr>
        <w:t>.</w:t>
      </w:r>
    </w:p>
    <w:p w14:paraId="4A128594" w14:textId="77777777" w:rsidR="006F7731" w:rsidRDefault="006F7731" w:rsidP="000A7CD8">
      <w:pPr>
        <w:spacing w:line="276" w:lineRule="auto"/>
        <w:ind w:firstLine="652"/>
        <w:contextualSpacing/>
        <w:jc w:val="both"/>
        <w:rPr>
          <w:rFonts w:cs="Times New Roman"/>
        </w:rPr>
      </w:pPr>
      <w:r>
        <w:rPr>
          <w:rFonts w:cs="Times New Roman"/>
        </w:rPr>
        <w:t xml:space="preserve">Rīgas rajona tiesas </w:t>
      </w:r>
      <w:proofErr w:type="gramStart"/>
      <w:r>
        <w:rPr>
          <w:rFonts w:cs="Times New Roman"/>
        </w:rPr>
        <w:t>2020.gada</w:t>
      </w:r>
      <w:proofErr w:type="gramEnd"/>
      <w:r>
        <w:rPr>
          <w:rFonts w:cs="Times New Roman"/>
        </w:rPr>
        <w:t xml:space="preserve"> 2.aprīļa saīsinātais spriedums stājies spēkā 2020.gada 15.aprīlī.</w:t>
      </w:r>
    </w:p>
    <w:p w14:paraId="439B5921" w14:textId="77777777" w:rsidR="003B23F7" w:rsidRDefault="003B23F7" w:rsidP="000A7CD8">
      <w:pPr>
        <w:spacing w:line="276" w:lineRule="auto"/>
        <w:ind w:firstLine="652"/>
        <w:contextualSpacing/>
        <w:jc w:val="both"/>
        <w:rPr>
          <w:rFonts w:cs="Times New Roman"/>
          <w:color w:val="000000" w:themeColor="text1"/>
          <w:szCs w:val="24"/>
        </w:rPr>
      </w:pPr>
    </w:p>
    <w:p w14:paraId="39B72313" w14:textId="07204DCE" w:rsidR="003B23F7" w:rsidRDefault="003B23F7" w:rsidP="000A7CD8">
      <w:pPr>
        <w:spacing w:line="276" w:lineRule="auto"/>
        <w:ind w:firstLine="652"/>
        <w:contextualSpacing/>
        <w:jc w:val="both"/>
        <w:rPr>
          <w:rFonts w:cs="Times New Roman"/>
        </w:rPr>
      </w:pPr>
      <w:r>
        <w:rPr>
          <w:rFonts w:cs="Times New Roman"/>
          <w:color w:val="000000" w:themeColor="text1"/>
          <w:szCs w:val="24"/>
        </w:rPr>
        <w:lastRenderedPageBreak/>
        <w:t xml:space="preserve">[2] </w:t>
      </w:r>
      <w:r w:rsidR="004A4600">
        <w:rPr>
          <w:rFonts w:cs="Times New Roman"/>
          <w:szCs w:val="24"/>
          <w:shd w:val="clear" w:color="auto" w:fill="FFFFFF"/>
        </w:rPr>
        <w:t xml:space="preserve">Ar </w:t>
      </w:r>
      <w:r w:rsidR="004A4600">
        <w:t xml:space="preserve">Rīgas rajona tiesas </w:t>
      </w:r>
      <w:proofErr w:type="gramStart"/>
      <w:r w:rsidR="004A4600">
        <w:t>2020.gada</w:t>
      </w:r>
      <w:proofErr w:type="gramEnd"/>
      <w:r w:rsidR="004A4600">
        <w:t xml:space="preserve"> 2.aprīļa </w:t>
      </w:r>
      <w:r w:rsidR="004A4600" w:rsidRPr="00AC7EDE">
        <w:rPr>
          <w:rFonts w:cs="Times New Roman"/>
        </w:rPr>
        <w:t>spriedumu</w:t>
      </w:r>
      <w:r w:rsidR="004A4600">
        <w:rPr>
          <w:rFonts w:cs="Times New Roman"/>
        </w:rPr>
        <w:t xml:space="preserve"> </w:t>
      </w:r>
      <w:r w:rsidR="00437077">
        <w:rPr>
          <w:rFonts w:cs="Times New Roman"/>
        </w:rPr>
        <w:t>[pers. A]</w:t>
      </w:r>
      <w:r w:rsidR="004A4600">
        <w:rPr>
          <w:rFonts w:cs="Times New Roman"/>
        </w:rPr>
        <w:t xml:space="preserve"> atzīts par vainīgu un sodīts pēc Krimināllikuma 175.panta pirmās daļas par svešas kustamas mantas slepenu nolaupīšanu (zādzību).</w:t>
      </w:r>
    </w:p>
    <w:p w14:paraId="41C972CF" w14:textId="77777777" w:rsidR="004A4600" w:rsidRDefault="004A4600" w:rsidP="000A7CD8">
      <w:pPr>
        <w:spacing w:line="276" w:lineRule="auto"/>
        <w:ind w:firstLine="652"/>
        <w:contextualSpacing/>
        <w:jc w:val="both"/>
        <w:rPr>
          <w:rFonts w:cs="Times New Roman"/>
        </w:rPr>
      </w:pPr>
    </w:p>
    <w:p w14:paraId="6846400B" w14:textId="15F107EB" w:rsidR="00676C9E" w:rsidRDefault="006F7731" w:rsidP="000A7CD8">
      <w:pPr>
        <w:spacing w:line="276" w:lineRule="auto"/>
        <w:ind w:firstLine="652"/>
        <w:contextualSpacing/>
        <w:jc w:val="both"/>
        <w:rPr>
          <w:rFonts w:cs="Times New Roman"/>
        </w:rPr>
      </w:pPr>
      <w:r>
        <w:rPr>
          <w:rFonts w:cs="Times New Roman"/>
        </w:rPr>
        <w:t xml:space="preserve">[3] </w:t>
      </w:r>
      <w:r w:rsidR="00A44D57">
        <w:rPr>
          <w:rFonts w:cs="Times New Roman"/>
        </w:rPr>
        <w:t xml:space="preserve">Ar Rīgas rajona tiesas </w:t>
      </w:r>
      <w:r w:rsidR="00204D93">
        <w:rPr>
          <w:rFonts w:cs="Times New Roman"/>
        </w:rPr>
        <w:t xml:space="preserve">tiesneses </w:t>
      </w:r>
      <w:proofErr w:type="gramStart"/>
      <w:r w:rsidR="00A44D57">
        <w:rPr>
          <w:rFonts w:cs="Times New Roman"/>
        </w:rPr>
        <w:t>2020.gada</w:t>
      </w:r>
      <w:proofErr w:type="gramEnd"/>
      <w:r w:rsidR="00A44D57">
        <w:rPr>
          <w:rFonts w:cs="Times New Roman"/>
        </w:rPr>
        <w:t xml:space="preserve"> 18.maija lēmumu</w:t>
      </w:r>
      <w:r w:rsidR="006C4C13">
        <w:rPr>
          <w:rFonts w:cs="Times New Roman"/>
        </w:rPr>
        <w:t xml:space="preserve"> atjaunots </w:t>
      </w:r>
      <w:r w:rsidR="00A44D57">
        <w:rPr>
          <w:rFonts w:cs="Times New Roman"/>
        </w:rPr>
        <w:t>nokavētais procesuālais termiņš lūguma iesniegšanai par pil</w:t>
      </w:r>
      <w:r w:rsidR="006C4C13">
        <w:rPr>
          <w:rFonts w:cs="Times New Roman"/>
        </w:rPr>
        <w:t xml:space="preserve">na 2020.gada 2.aprīļa sprieduma </w:t>
      </w:r>
      <w:r w:rsidR="00A44D57">
        <w:rPr>
          <w:rFonts w:cs="Times New Roman"/>
        </w:rPr>
        <w:t>sagatavošanu.</w:t>
      </w:r>
    </w:p>
    <w:p w14:paraId="5AC9740C" w14:textId="77777777" w:rsidR="007A2480" w:rsidRDefault="007A2480" w:rsidP="000A7CD8">
      <w:pPr>
        <w:spacing w:line="276" w:lineRule="auto"/>
        <w:ind w:firstLine="652"/>
        <w:contextualSpacing/>
        <w:jc w:val="both"/>
        <w:rPr>
          <w:rFonts w:cs="Times New Roman"/>
        </w:rPr>
      </w:pPr>
    </w:p>
    <w:p w14:paraId="6A13E5D2" w14:textId="41162732" w:rsidR="00204D93" w:rsidRDefault="00204D93" w:rsidP="000A7CD8">
      <w:pPr>
        <w:spacing w:line="276" w:lineRule="auto"/>
        <w:ind w:firstLine="652"/>
        <w:contextualSpacing/>
        <w:jc w:val="both"/>
        <w:rPr>
          <w:rFonts w:cs="Times New Roman"/>
        </w:rPr>
      </w:pPr>
      <w:r>
        <w:rPr>
          <w:rFonts w:cs="Times New Roman"/>
        </w:rPr>
        <w:t xml:space="preserve">[4] Ar Rīgas rajona tiesas tiesneses </w:t>
      </w:r>
      <w:proofErr w:type="gramStart"/>
      <w:r>
        <w:rPr>
          <w:rFonts w:cs="Times New Roman"/>
        </w:rPr>
        <w:t>2020.gada</w:t>
      </w:r>
      <w:proofErr w:type="gramEnd"/>
      <w:r>
        <w:rPr>
          <w:rFonts w:cs="Times New Roman"/>
        </w:rPr>
        <w:t xml:space="preserve"> 28.maija lēmumu pieņemta </w:t>
      </w:r>
      <w:r w:rsidR="00437077">
        <w:rPr>
          <w:rFonts w:cs="Times New Roman"/>
        </w:rPr>
        <w:t>[pers. A]</w:t>
      </w:r>
      <w:r>
        <w:rPr>
          <w:rFonts w:cs="Times New Roman"/>
        </w:rPr>
        <w:t xml:space="preserve"> kasācijas sūdzība par Rīgas rajona tiesas 2020.gada 2.aprīļa spriedumu</w:t>
      </w:r>
      <w:r w:rsidR="00676C9E">
        <w:rPr>
          <w:rFonts w:cs="Times New Roman"/>
        </w:rPr>
        <w:t>,</w:t>
      </w:r>
      <w:r>
        <w:rPr>
          <w:rFonts w:cs="Times New Roman"/>
        </w:rPr>
        <w:t xml:space="preserve"> un </w:t>
      </w:r>
      <w:r w:rsidR="00244EA0">
        <w:rPr>
          <w:rFonts w:cs="Times New Roman"/>
        </w:rPr>
        <w:t xml:space="preserve">apturēta </w:t>
      </w:r>
      <w:r>
        <w:rPr>
          <w:rFonts w:cs="Times New Roman"/>
        </w:rPr>
        <w:t>sprieduma izpilde.</w:t>
      </w:r>
    </w:p>
    <w:p w14:paraId="1864A4D9" w14:textId="77777777" w:rsidR="00204D93" w:rsidRDefault="00204D93" w:rsidP="000A7CD8">
      <w:pPr>
        <w:spacing w:line="276" w:lineRule="auto"/>
        <w:ind w:firstLine="652"/>
        <w:contextualSpacing/>
        <w:jc w:val="both"/>
        <w:rPr>
          <w:rFonts w:cs="Times New Roman"/>
        </w:rPr>
      </w:pPr>
    </w:p>
    <w:p w14:paraId="6814E076" w14:textId="7FDC22C6" w:rsidR="00995A8B" w:rsidRDefault="00A44D57" w:rsidP="000A7CD8">
      <w:pPr>
        <w:spacing w:line="276" w:lineRule="auto"/>
        <w:ind w:firstLine="652"/>
        <w:contextualSpacing/>
        <w:jc w:val="both"/>
        <w:rPr>
          <w:rFonts w:cs="Times New Roman"/>
        </w:rPr>
      </w:pPr>
      <w:r>
        <w:rPr>
          <w:rFonts w:cs="Times New Roman"/>
        </w:rPr>
        <w:t>[</w:t>
      </w:r>
      <w:r w:rsidR="00204D93">
        <w:rPr>
          <w:rFonts w:cs="Times New Roman"/>
        </w:rPr>
        <w:t>5</w:t>
      </w:r>
      <w:r>
        <w:rPr>
          <w:rFonts w:cs="Times New Roman"/>
        </w:rPr>
        <w:t xml:space="preserve">] </w:t>
      </w:r>
      <w:r w:rsidR="006F7731">
        <w:rPr>
          <w:rFonts w:cs="Times New Roman"/>
        </w:rPr>
        <w:t>Kasācijas sūdzīb</w:t>
      </w:r>
      <w:r w:rsidR="00204D93">
        <w:rPr>
          <w:rFonts w:cs="Times New Roman"/>
        </w:rPr>
        <w:t>ā</w:t>
      </w:r>
      <w:r w:rsidR="006F7731">
        <w:rPr>
          <w:rFonts w:cs="Times New Roman"/>
        </w:rPr>
        <w:t xml:space="preserve"> </w:t>
      </w:r>
      <w:r w:rsidR="00437077">
        <w:rPr>
          <w:rFonts w:cs="Times New Roman"/>
        </w:rPr>
        <w:t>[pers. A]</w:t>
      </w:r>
      <w:r w:rsidR="00FF0A3A">
        <w:rPr>
          <w:rFonts w:cs="Times New Roman"/>
        </w:rPr>
        <w:t xml:space="preserve"> lūdz </w:t>
      </w:r>
      <w:r w:rsidR="00912715">
        <w:rPr>
          <w:rFonts w:cs="Times New Roman"/>
        </w:rPr>
        <w:t xml:space="preserve">pilnībā </w:t>
      </w:r>
      <w:r w:rsidR="007A2480">
        <w:rPr>
          <w:rFonts w:cs="Times New Roman"/>
        </w:rPr>
        <w:t xml:space="preserve">atcelt </w:t>
      </w:r>
      <w:r w:rsidR="006F7731">
        <w:rPr>
          <w:rFonts w:cs="Times New Roman"/>
        </w:rPr>
        <w:t>Rīgas rajona ties</w:t>
      </w:r>
      <w:r w:rsidR="00FF0A3A">
        <w:rPr>
          <w:rFonts w:cs="Times New Roman"/>
        </w:rPr>
        <w:t xml:space="preserve">as </w:t>
      </w:r>
      <w:proofErr w:type="gramStart"/>
      <w:r w:rsidR="00FF0A3A">
        <w:rPr>
          <w:rFonts w:cs="Times New Roman"/>
        </w:rPr>
        <w:t>2020.gada</w:t>
      </w:r>
      <w:proofErr w:type="gramEnd"/>
      <w:r w:rsidR="00FF0A3A">
        <w:rPr>
          <w:rFonts w:cs="Times New Roman"/>
        </w:rPr>
        <w:t xml:space="preserve"> 2.aprīļa spriedumu</w:t>
      </w:r>
      <w:r w:rsidR="006F7731">
        <w:rPr>
          <w:rFonts w:cs="Times New Roman"/>
        </w:rPr>
        <w:t xml:space="preserve"> un nosūtīt</w:t>
      </w:r>
      <w:r w:rsidR="00DD493A">
        <w:rPr>
          <w:rFonts w:cs="Times New Roman"/>
        </w:rPr>
        <w:t xml:space="preserve"> lietu</w:t>
      </w:r>
      <w:r w:rsidR="006F7731">
        <w:rPr>
          <w:rFonts w:cs="Times New Roman"/>
        </w:rPr>
        <w:t xml:space="preserve"> jaunai izskatīšanai pirmās instances tiesā. </w:t>
      </w:r>
    </w:p>
    <w:p w14:paraId="2A3457A6" w14:textId="62C1B8C3" w:rsidR="00CA3897" w:rsidRDefault="006F7731" w:rsidP="00A36822">
      <w:pPr>
        <w:spacing w:line="276" w:lineRule="auto"/>
        <w:ind w:firstLine="652"/>
        <w:contextualSpacing/>
        <w:jc w:val="both"/>
      </w:pPr>
      <w:r w:rsidRPr="00995A8B">
        <w:rPr>
          <w:rFonts w:cs="Times New Roman"/>
        </w:rPr>
        <w:t xml:space="preserve">Pamatojot savu lūgumu, </w:t>
      </w:r>
      <w:r w:rsidR="00437077">
        <w:rPr>
          <w:rFonts w:cs="Times New Roman"/>
        </w:rPr>
        <w:t>[pers. A]</w:t>
      </w:r>
      <w:r w:rsidRPr="00995A8B">
        <w:rPr>
          <w:rFonts w:cs="Times New Roman"/>
        </w:rPr>
        <w:t xml:space="preserve"> norāda,</w:t>
      </w:r>
      <w:r w:rsidR="00400916">
        <w:rPr>
          <w:rFonts w:cs="Times New Roman"/>
        </w:rPr>
        <w:t xml:space="preserve"> ka </w:t>
      </w:r>
      <w:proofErr w:type="gramStart"/>
      <w:r w:rsidR="00400916">
        <w:t>2020.gada</w:t>
      </w:r>
      <w:proofErr w:type="gramEnd"/>
      <w:r w:rsidR="00400916">
        <w:t xml:space="preserve"> 10.martā </w:t>
      </w:r>
      <w:r w:rsidR="008A4A13">
        <w:t xml:space="preserve">viņš </w:t>
      </w:r>
      <w:r w:rsidR="00400916">
        <w:t>noslēdzis vienošanos ar prokurori par vai</w:t>
      </w:r>
      <w:r w:rsidR="008A4A13">
        <w:t>nas atzīšanu un sodu.</w:t>
      </w:r>
      <w:r w:rsidR="00F23304">
        <w:t xml:space="preserve"> </w:t>
      </w:r>
      <w:r w:rsidR="00241B90">
        <w:t xml:space="preserve">Lai gan atradies apcietinājumā citā </w:t>
      </w:r>
      <w:r w:rsidR="009B5D59">
        <w:t>proces</w:t>
      </w:r>
      <w:r w:rsidR="00241B90">
        <w:t xml:space="preserve">ā, </w:t>
      </w:r>
      <w:r w:rsidR="00F23304">
        <w:t xml:space="preserve">par ko bija informēts procesa virzītājs, </w:t>
      </w:r>
      <w:r w:rsidR="00241B90">
        <w:t xml:space="preserve">paziņojums par lietas iztiesāšanas laiku un vietu nosūtīts uz viņa deklarēto dzīvesvietu. </w:t>
      </w:r>
      <w:r w:rsidR="007767E4">
        <w:t>Ņemot vērā, ka</w:t>
      </w:r>
      <w:r w:rsidR="00815AC3">
        <w:t xml:space="preserve"> </w:t>
      </w:r>
      <w:r w:rsidR="00437077">
        <w:t>[pers. A]</w:t>
      </w:r>
      <w:r w:rsidR="007767E4">
        <w:t xml:space="preserve"> nav saņēmis</w:t>
      </w:r>
      <w:r w:rsidR="00241B90">
        <w:t xml:space="preserve"> minēto paziņojumu,</w:t>
      </w:r>
      <w:r w:rsidR="000B1F3F">
        <w:t xml:space="preserve"> nav </w:t>
      </w:r>
      <w:r w:rsidR="00CA3897">
        <w:t xml:space="preserve">zinājis par lietas iztiesāšanas laiku un vietu, nav </w:t>
      </w:r>
      <w:r w:rsidR="000B1F3F">
        <w:t>varējis iesniegt lūgumu par</w:t>
      </w:r>
      <w:r w:rsidR="00A41A30">
        <w:t xml:space="preserve"> aizstāvja</w:t>
      </w:r>
      <w:r w:rsidR="00241B90">
        <w:t xml:space="preserve"> uzaicināšanu, iebildumus pret lietas iztiesāšanu rakstveida procesā</w:t>
      </w:r>
      <w:r w:rsidR="007A2480">
        <w:t xml:space="preserve">, kā arī iebildumus pret </w:t>
      </w:r>
      <w:r w:rsidR="00844A46">
        <w:t xml:space="preserve">noslēgto </w:t>
      </w:r>
      <w:r w:rsidR="007A2480">
        <w:t>vienošanos</w:t>
      </w:r>
      <w:r w:rsidR="00815AC3">
        <w:t>, tiesa</w:t>
      </w:r>
      <w:r w:rsidR="009B5D59">
        <w:t xml:space="preserve"> tādējādi</w:t>
      </w:r>
      <w:r w:rsidR="00A36822">
        <w:t xml:space="preserve"> pārkāpusi viņa</w:t>
      </w:r>
      <w:r w:rsidR="009B5D59">
        <w:t xml:space="preserve"> tiesības uz taisnīgu tiesu.</w:t>
      </w:r>
    </w:p>
    <w:p w14:paraId="3F54D988" w14:textId="77777777" w:rsidR="00CA3897" w:rsidRDefault="00CA3897" w:rsidP="00A36822">
      <w:pPr>
        <w:spacing w:line="276" w:lineRule="auto"/>
        <w:ind w:firstLine="652"/>
        <w:contextualSpacing/>
        <w:jc w:val="both"/>
      </w:pPr>
    </w:p>
    <w:p w14:paraId="48F59065" w14:textId="77777777" w:rsidR="00CA3897" w:rsidRDefault="00CA3897" w:rsidP="00CA3897">
      <w:pPr>
        <w:spacing w:line="276" w:lineRule="auto"/>
        <w:ind w:firstLine="652"/>
        <w:contextualSpacing/>
        <w:jc w:val="center"/>
        <w:rPr>
          <w:rFonts w:cs="Times New Roman"/>
          <w:b/>
          <w:color w:val="000000" w:themeColor="text1"/>
          <w:szCs w:val="24"/>
        </w:rPr>
      </w:pPr>
      <w:r w:rsidRPr="0061527C">
        <w:rPr>
          <w:rFonts w:cs="Times New Roman"/>
          <w:b/>
          <w:color w:val="000000" w:themeColor="text1"/>
          <w:szCs w:val="24"/>
        </w:rPr>
        <w:t>Motīvu daļa</w:t>
      </w:r>
    </w:p>
    <w:p w14:paraId="0FB13E86" w14:textId="77777777" w:rsidR="00CA3897" w:rsidRDefault="00CA3897" w:rsidP="00CA3897">
      <w:pPr>
        <w:spacing w:line="276" w:lineRule="auto"/>
        <w:ind w:firstLine="652"/>
        <w:contextualSpacing/>
        <w:jc w:val="center"/>
        <w:rPr>
          <w:rFonts w:cs="Times New Roman"/>
          <w:b/>
          <w:color w:val="000000" w:themeColor="text1"/>
          <w:szCs w:val="24"/>
        </w:rPr>
      </w:pPr>
    </w:p>
    <w:p w14:paraId="7CAA0559" w14:textId="31752482" w:rsidR="00A05A31" w:rsidRDefault="00CA3897" w:rsidP="00CA3897">
      <w:pPr>
        <w:spacing w:line="276" w:lineRule="auto"/>
        <w:ind w:firstLine="652"/>
        <w:contextualSpacing/>
        <w:jc w:val="both"/>
      </w:pPr>
      <w:r w:rsidRPr="006F7731">
        <w:rPr>
          <w:rFonts w:cs="Times New Roman"/>
          <w:color w:val="000000" w:themeColor="text1"/>
          <w:szCs w:val="24"/>
        </w:rPr>
        <w:t>[</w:t>
      </w:r>
      <w:r>
        <w:rPr>
          <w:rFonts w:cs="Times New Roman"/>
          <w:color w:val="000000" w:themeColor="text1"/>
          <w:szCs w:val="24"/>
        </w:rPr>
        <w:t>6</w:t>
      </w:r>
      <w:r w:rsidRPr="006F7731">
        <w:rPr>
          <w:rFonts w:cs="Times New Roman"/>
          <w:color w:val="000000" w:themeColor="text1"/>
          <w:szCs w:val="24"/>
        </w:rPr>
        <w:t xml:space="preserve">] </w:t>
      </w:r>
      <w:r>
        <w:t xml:space="preserve">Senāts atzīst, ka apsūdzētā </w:t>
      </w:r>
      <w:r w:rsidR="00437077">
        <w:t>[pers. A]</w:t>
      </w:r>
      <w:r>
        <w:t xml:space="preserve"> kasācijas sūdzība ir apmierināma, bet Rīgas rajona tiesas </w:t>
      </w:r>
      <w:proofErr w:type="gramStart"/>
      <w:r>
        <w:t>2020.gada</w:t>
      </w:r>
      <w:proofErr w:type="gramEnd"/>
      <w:r>
        <w:t xml:space="preserve"> 2.aprīļa </w:t>
      </w:r>
      <w:r>
        <w:rPr>
          <w:rFonts w:cs="Times New Roman"/>
        </w:rPr>
        <w:t xml:space="preserve">spriedums </w:t>
      </w:r>
      <w:r>
        <w:t>atceļams pilnībā un lieta nosūtāma jaunai izskatīšanai pirmās instances tiesā.</w:t>
      </w:r>
    </w:p>
    <w:p w14:paraId="1B18C0BF" w14:textId="77777777" w:rsidR="00CA3897" w:rsidRDefault="00CA3897" w:rsidP="00CA3897">
      <w:pPr>
        <w:spacing w:line="276" w:lineRule="auto"/>
        <w:ind w:firstLine="652"/>
        <w:contextualSpacing/>
        <w:jc w:val="both"/>
      </w:pPr>
    </w:p>
    <w:p w14:paraId="219C2178" w14:textId="1833113A" w:rsidR="007F0242" w:rsidRPr="00594805" w:rsidRDefault="00A05A31" w:rsidP="00A05A31">
      <w:pPr>
        <w:spacing w:line="276" w:lineRule="auto"/>
        <w:ind w:firstLine="652"/>
        <w:contextualSpacing/>
        <w:jc w:val="both"/>
      </w:pPr>
      <w:r>
        <w:t xml:space="preserve">[7] </w:t>
      </w:r>
      <w:r w:rsidR="00CA3897">
        <w:t>Senāts</w:t>
      </w:r>
      <w:r w:rsidR="007F0242">
        <w:t xml:space="preserve"> konstatē, ka</w:t>
      </w:r>
      <w:r w:rsidR="007F0242">
        <w:rPr>
          <w:rFonts w:cs="Times New Roman"/>
        </w:rPr>
        <w:t xml:space="preserve"> </w:t>
      </w:r>
      <w:proofErr w:type="gramStart"/>
      <w:r w:rsidR="007F0242">
        <w:rPr>
          <w:rFonts w:cs="Times New Roman"/>
        </w:rPr>
        <w:t>2020.gada</w:t>
      </w:r>
      <w:proofErr w:type="gramEnd"/>
      <w:r w:rsidR="007F0242">
        <w:rPr>
          <w:rFonts w:cs="Times New Roman"/>
        </w:rPr>
        <w:t xml:space="preserve"> 10.martā starp prokurori D. Auziņu un apsūdzēto </w:t>
      </w:r>
      <w:r w:rsidR="006E368E">
        <w:rPr>
          <w:rFonts w:cs="Times New Roman"/>
        </w:rPr>
        <w:t>[pers. A]</w:t>
      </w:r>
      <w:r w:rsidR="007F0242">
        <w:rPr>
          <w:rFonts w:cs="Times New Roman"/>
        </w:rPr>
        <w:t xml:space="preserve"> noslēgta vienošanās par vainas atzīšanu un sodu. </w:t>
      </w:r>
      <w:r w:rsidR="00521132">
        <w:rPr>
          <w:rFonts w:cs="Times New Roman"/>
        </w:rPr>
        <w:t xml:space="preserve">Saskaņā ar </w:t>
      </w:r>
      <w:r w:rsidR="00521132">
        <w:t>v</w:t>
      </w:r>
      <w:r w:rsidR="007F0242">
        <w:t>ienošan</w:t>
      </w:r>
      <w:r w:rsidR="00912715">
        <w:t>ās protokolu</w:t>
      </w:r>
      <w:r w:rsidR="007F0242">
        <w:t xml:space="preserve"> </w:t>
      </w:r>
      <w:r w:rsidR="006E368E">
        <w:t>[pers. A]</w:t>
      </w:r>
      <w:r w:rsidR="007F0242">
        <w:t xml:space="preserve"> ir izdarījis Krimināllikuma </w:t>
      </w:r>
      <w:proofErr w:type="gramStart"/>
      <w:r w:rsidR="007F0242">
        <w:t>175.panta</w:t>
      </w:r>
      <w:proofErr w:type="gramEnd"/>
      <w:r w:rsidR="007F0242">
        <w:t xml:space="preserve"> pirmajā daļā paredzēto noziedzīgo nodarījumu.</w:t>
      </w:r>
    </w:p>
    <w:p w14:paraId="7DBCAF10" w14:textId="3E0589E2" w:rsidR="007F0242" w:rsidRDefault="007F0242" w:rsidP="000A7CD8">
      <w:pPr>
        <w:spacing w:line="276" w:lineRule="auto"/>
        <w:ind w:firstLine="652"/>
        <w:contextualSpacing/>
        <w:jc w:val="both"/>
      </w:pPr>
      <w:r>
        <w:t xml:space="preserve">Pēc vienošanās noslēgšanas prokurore </w:t>
      </w:r>
      <w:proofErr w:type="gramStart"/>
      <w:r>
        <w:t>2020.gada</w:t>
      </w:r>
      <w:proofErr w:type="gramEnd"/>
      <w:r>
        <w:t xml:space="preserve"> 11.martā krimināllietas materiālus kopā ar vienošanās protokolu nosūtījusi pirmās instances tiesai, ierosinot tai apstiprināt noslēgto vienošanos. </w:t>
      </w:r>
      <w:r w:rsidR="00521132">
        <w:t xml:space="preserve">Apsūdzētajam </w:t>
      </w:r>
      <w:r w:rsidR="006E368E">
        <w:t>[pers. A]</w:t>
      </w:r>
      <w:r>
        <w:t xml:space="preserve"> uz Daugavgrīvas cietumu nosūtīts paziņojums par krimināl</w:t>
      </w:r>
      <w:r w:rsidR="00912715">
        <w:t>lietas</w:t>
      </w:r>
      <w:r>
        <w:t xml:space="preserve"> no</w:t>
      </w:r>
      <w:r w:rsidR="00912715">
        <w:t>sūtīšanu</w:t>
      </w:r>
      <w:r>
        <w:t xml:space="preserve"> Rīgas rajona tiesai, kā arī izraksts no Kriminālprocesa likuma par apsūdzētā tiesībām vienošanās procesā.</w:t>
      </w:r>
    </w:p>
    <w:p w14:paraId="4A94FB0A" w14:textId="65EDABCD" w:rsidR="00A05A31" w:rsidRDefault="001D4E2D" w:rsidP="00A05A31">
      <w:pPr>
        <w:spacing w:line="276" w:lineRule="auto"/>
        <w:ind w:firstLine="652"/>
        <w:contextualSpacing/>
        <w:jc w:val="both"/>
        <w:rPr>
          <w:rFonts w:cs="Times New Roman"/>
          <w:szCs w:val="20"/>
          <w:shd w:val="clear" w:color="auto" w:fill="FFFFFF"/>
        </w:rPr>
      </w:pPr>
      <w:r>
        <w:t>Pirmās instances tiesas tiesnese</w:t>
      </w:r>
      <w:r w:rsidR="00A36822">
        <w:t>,</w:t>
      </w:r>
      <w:r w:rsidR="007F0242">
        <w:t xml:space="preserve"> pamatojoties uz Kriminālprocesa likuma 540.</w:t>
      </w:r>
      <w:proofErr w:type="gramStart"/>
      <w:r w:rsidR="007F0242" w:rsidRPr="007F0242">
        <w:rPr>
          <w:vertAlign w:val="superscript"/>
        </w:rPr>
        <w:t>1</w:t>
      </w:r>
      <w:r w:rsidR="007F0242">
        <w:t>pantu</w:t>
      </w:r>
      <w:proofErr w:type="gramEnd"/>
      <w:r w:rsidR="007F0242">
        <w:t xml:space="preserve">, </w:t>
      </w:r>
      <w:r w:rsidR="00A36822">
        <w:t xml:space="preserve">2020.gada 17.martā </w:t>
      </w:r>
      <w:r w:rsidR="007F0242">
        <w:t>pieņēmusi lēmumu par krimināllietas iztiesāšanu rakstveidā vienošanās procesā 2020.gada 2.aprīlī</w:t>
      </w:r>
      <w:r w:rsidR="00F742F6">
        <w:t xml:space="preserve"> un par saīsinātā sprieduma pieejamības dienu šajā pašā datumā</w:t>
      </w:r>
      <w:r w:rsidR="007F0242">
        <w:t>.</w:t>
      </w:r>
      <w:r w:rsidR="00594805">
        <w:t xml:space="preserve"> </w:t>
      </w:r>
      <w:r>
        <w:t xml:space="preserve">Par pieņemto lēmumu </w:t>
      </w:r>
      <w:proofErr w:type="gramStart"/>
      <w:r w:rsidR="00594805">
        <w:t>2020.gada</w:t>
      </w:r>
      <w:proofErr w:type="gramEnd"/>
      <w:r w:rsidR="00594805">
        <w:t xml:space="preserve"> 18.martā paziņots apsūdzētajam</w:t>
      </w:r>
      <w:r w:rsidR="00F604D9">
        <w:t xml:space="preserve"> </w:t>
      </w:r>
      <w:r w:rsidR="006E368E">
        <w:t>[pers. A]</w:t>
      </w:r>
      <w:r w:rsidR="00594805">
        <w:t xml:space="preserve">, </w:t>
      </w:r>
      <w:r w:rsidR="00FF0A3A">
        <w:t>paziņojumu</w:t>
      </w:r>
      <w:r w:rsidR="00594805">
        <w:t xml:space="preserve"> nosūtot uz </w:t>
      </w:r>
      <w:r w:rsidR="00F604D9">
        <w:t>viņa</w:t>
      </w:r>
      <w:r w:rsidR="00594805">
        <w:t xml:space="preserve"> deklarēto dzīvesviet</w:t>
      </w:r>
      <w:r>
        <w:t>u</w:t>
      </w:r>
      <w:r w:rsidR="00594805">
        <w:rPr>
          <w:rFonts w:cs="Times New Roman"/>
          <w:szCs w:val="20"/>
          <w:shd w:val="clear" w:color="auto" w:fill="FFFFFF"/>
        </w:rPr>
        <w:t>.</w:t>
      </w:r>
    </w:p>
    <w:p w14:paraId="6A399D18" w14:textId="13264222" w:rsidR="00CA3897" w:rsidRDefault="00AE6F6E" w:rsidP="00CA3897">
      <w:pPr>
        <w:spacing w:line="276" w:lineRule="auto"/>
        <w:ind w:firstLine="652"/>
        <w:contextualSpacing/>
        <w:jc w:val="both"/>
      </w:pPr>
      <w:r>
        <w:t xml:space="preserve"> </w:t>
      </w:r>
      <w:r w:rsidR="00CA3897">
        <w:t>No lietas materiāliem konstatējams, ka c</w:t>
      </w:r>
      <w:r w:rsidR="001D4E2D">
        <w:t xml:space="preserve">itā kriminālprocesā </w:t>
      </w:r>
      <w:proofErr w:type="gramStart"/>
      <w:r w:rsidR="00D2188C">
        <w:t>2019.gada</w:t>
      </w:r>
      <w:proofErr w:type="gramEnd"/>
      <w:r w:rsidR="00D2188C">
        <w:t xml:space="preserve"> 4.decembrī </w:t>
      </w:r>
      <w:r w:rsidR="006E368E">
        <w:t>[pers. A]</w:t>
      </w:r>
      <w:r w:rsidR="001D4E2D">
        <w:t xml:space="preserve"> piemērots drošības līdzeklis –</w:t>
      </w:r>
      <w:r w:rsidR="007E0177">
        <w:t xml:space="preserve"> </w:t>
      </w:r>
      <w:r w:rsidR="001D4E2D">
        <w:t xml:space="preserve">apcietinājums. Apcietinājumā </w:t>
      </w:r>
      <w:r w:rsidR="004B5F07">
        <w:t>[pers. A]</w:t>
      </w:r>
      <w:r w:rsidR="001D4E2D">
        <w:t xml:space="preserve"> atrad</w:t>
      </w:r>
      <w:r w:rsidR="00F604D9">
        <w:t>ie</w:t>
      </w:r>
      <w:r w:rsidR="001D4E2D">
        <w:t xml:space="preserve">s </w:t>
      </w:r>
      <w:r w:rsidR="007E0177">
        <w:t xml:space="preserve">līdz </w:t>
      </w:r>
      <w:proofErr w:type="gramStart"/>
      <w:r w:rsidR="007E0177">
        <w:t>2020.gada</w:t>
      </w:r>
      <w:proofErr w:type="gramEnd"/>
      <w:r w:rsidR="007E0177">
        <w:t xml:space="preserve"> 26.martam</w:t>
      </w:r>
      <w:r w:rsidR="00E07FF4">
        <w:t xml:space="preserve">. </w:t>
      </w:r>
      <w:r w:rsidR="00E07FF4">
        <w:rPr>
          <w:rFonts w:cs="Times New Roman"/>
          <w:szCs w:val="20"/>
          <w:shd w:val="clear" w:color="auto" w:fill="FFFFFF"/>
        </w:rPr>
        <w:t xml:space="preserve">Līdz ar to </w:t>
      </w:r>
      <w:r w:rsidR="006E368E">
        <w:rPr>
          <w:rFonts w:cs="Times New Roman"/>
          <w:szCs w:val="20"/>
          <w:shd w:val="clear" w:color="auto" w:fill="FFFFFF"/>
        </w:rPr>
        <w:t>[pers. A]</w:t>
      </w:r>
      <w:r w:rsidR="00E07FF4">
        <w:rPr>
          <w:rFonts w:cs="Times New Roman"/>
          <w:szCs w:val="20"/>
          <w:shd w:val="clear" w:color="auto" w:fill="FFFFFF"/>
        </w:rPr>
        <w:t xml:space="preserve"> nav saņēmis </w:t>
      </w:r>
      <w:r w:rsidR="00E07FF4">
        <w:t xml:space="preserve">tiesneses </w:t>
      </w:r>
      <w:proofErr w:type="gramStart"/>
      <w:r w:rsidR="00E07FF4">
        <w:t>2020.gada</w:t>
      </w:r>
      <w:proofErr w:type="gramEnd"/>
      <w:r w:rsidR="00E07FF4">
        <w:t xml:space="preserve"> 17.marta lēmumu, </w:t>
      </w:r>
      <w:r w:rsidR="008D0156">
        <w:t xml:space="preserve">kurš tika nosūtīts uz viņa deklarēto dzīvesvietu un </w:t>
      </w:r>
      <w:r w:rsidR="00E07FF4">
        <w:t>kurā atbilstoši Kriminālprocesa likuma 540</w:t>
      </w:r>
      <w:r w:rsidR="00E07FF4">
        <w:rPr>
          <w:vertAlign w:val="superscript"/>
        </w:rPr>
        <w:t>1</w:t>
      </w:r>
      <w:r w:rsidR="00E07FF4">
        <w:t xml:space="preserve">.panta otrajā daļā noteiktajam bija norādīts lietas iztiesāšanas laiks un vieta, </w:t>
      </w:r>
      <w:r w:rsidR="0060326C">
        <w:t xml:space="preserve">nolēmuma </w:t>
      </w:r>
      <w:r w:rsidR="0060326C">
        <w:lastRenderedPageBreak/>
        <w:t xml:space="preserve">pieejamības diena, kā arī </w:t>
      </w:r>
      <w:r w:rsidR="00E07FF4">
        <w:t>izskaidrotas tiesības 10 dienu laikā pieteikt noraidījumu tiesas sastāvam un iesniegt iebildumus pret lietas iztiesāšanu rakstveida procesā</w:t>
      </w:r>
      <w:r w:rsidR="0060326C">
        <w:t>.</w:t>
      </w:r>
      <w:r w:rsidR="00CA3897">
        <w:t xml:space="preserve"> </w:t>
      </w:r>
    </w:p>
    <w:p w14:paraId="0D0314BA" w14:textId="77777777" w:rsidR="00CA3897" w:rsidRDefault="00CA3897" w:rsidP="00E81EEB">
      <w:pPr>
        <w:spacing w:line="276" w:lineRule="auto"/>
        <w:ind w:firstLine="652"/>
        <w:contextualSpacing/>
        <w:jc w:val="both"/>
      </w:pPr>
    </w:p>
    <w:p w14:paraId="18065361" w14:textId="7B9DFE7C" w:rsidR="0073291E" w:rsidRDefault="00A00B87" w:rsidP="0073291E">
      <w:pPr>
        <w:spacing w:line="276" w:lineRule="auto"/>
        <w:ind w:firstLine="652"/>
        <w:contextualSpacing/>
        <w:jc w:val="both"/>
      </w:pPr>
      <w:r>
        <w:t>[8] T</w:t>
      </w:r>
      <w:r w:rsidR="00A36822">
        <w:t xml:space="preserve">iesības uz taisnīgu tiesu, kas nostiprinātas Latvijas Republikas Satversmes </w:t>
      </w:r>
      <w:proofErr w:type="gramStart"/>
      <w:r w:rsidR="00A36822">
        <w:t>92.pantā</w:t>
      </w:r>
      <w:proofErr w:type="gramEnd"/>
      <w:r w:rsidR="00A36822">
        <w:t>, ir vienas no būtiskākajām pamattiesībām, jo no šo tiesību pienācīgas nodrošināšanas lielā mērā ir atkarīga pārējo cilvēktiesību un pamatbrīvību aizsardzība</w:t>
      </w:r>
      <w:r w:rsidR="00E81EEB">
        <w:t xml:space="preserve"> (</w:t>
      </w:r>
      <w:r w:rsidR="00E81EEB">
        <w:rPr>
          <w:i/>
          <w:iCs/>
        </w:rPr>
        <w:t xml:space="preserve">Čepāne I. Tiesības uz taisnīgu tiesu kā personas pamattiesības. Jurista Vārds, </w:t>
      </w:r>
      <w:proofErr w:type="gramStart"/>
      <w:r w:rsidR="00E81EEB">
        <w:rPr>
          <w:i/>
          <w:iCs/>
        </w:rPr>
        <w:t>2005.gada</w:t>
      </w:r>
      <w:proofErr w:type="gramEnd"/>
      <w:r w:rsidR="00E81EEB">
        <w:rPr>
          <w:i/>
          <w:iCs/>
        </w:rPr>
        <w:t xml:space="preserve"> 27.septembris</w:t>
      </w:r>
      <w:r w:rsidR="00E81EEB">
        <w:t>).</w:t>
      </w:r>
    </w:p>
    <w:p w14:paraId="04700263" w14:textId="448B8793" w:rsidR="00A36822" w:rsidRPr="00984498" w:rsidRDefault="0004511C" w:rsidP="00984498">
      <w:pPr>
        <w:spacing w:line="276" w:lineRule="auto"/>
        <w:ind w:firstLine="652"/>
        <w:contextualSpacing/>
        <w:jc w:val="both"/>
      </w:pPr>
      <w:r>
        <w:t xml:space="preserve">Satversmes tiesa vairākās lietās ir uzsvērusi, ka </w:t>
      </w:r>
      <w:r w:rsidR="0073291E">
        <w:t>t</w:t>
      </w:r>
      <w:r w:rsidR="00F742F6">
        <w:t>iesību uz taisnīgu tiesu garantijām ir jābūt efektīvām, praksē saprātīgi īstenojamām, ne teorētiskām (</w:t>
      </w:r>
      <w:r w:rsidR="00F742F6" w:rsidRPr="00815AC3">
        <w:rPr>
          <w:i/>
          <w:iCs/>
        </w:rPr>
        <w:t xml:space="preserve">Satversmes tiesas </w:t>
      </w:r>
      <w:proofErr w:type="gramStart"/>
      <w:r w:rsidR="00F742F6" w:rsidRPr="00815AC3">
        <w:rPr>
          <w:i/>
          <w:iCs/>
        </w:rPr>
        <w:t>200</w:t>
      </w:r>
      <w:r w:rsidR="00BA451E" w:rsidRPr="00815AC3">
        <w:rPr>
          <w:i/>
          <w:iCs/>
        </w:rPr>
        <w:t>8</w:t>
      </w:r>
      <w:r w:rsidR="00F742F6" w:rsidRPr="00815AC3">
        <w:rPr>
          <w:i/>
        </w:rPr>
        <w:t>.gada</w:t>
      </w:r>
      <w:proofErr w:type="gramEnd"/>
      <w:r w:rsidR="00BA451E" w:rsidRPr="00815AC3">
        <w:rPr>
          <w:i/>
          <w:iCs/>
        </w:rPr>
        <w:t xml:space="preserve"> </w:t>
      </w:r>
      <w:r w:rsidR="00F742F6" w:rsidRPr="00815AC3">
        <w:rPr>
          <w:i/>
        </w:rPr>
        <w:t xml:space="preserve"> </w:t>
      </w:r>
      <w:r w:rsidR="00BA451E" w:rsidRPr="00815AC3">
        <w:rPr>
          <w:i/>
          <w:iCs/>
        </w:rPr>
        <w:t xml:space="preserve">9.maija </w:t>
      </w:r>
      <w:r w:rsidR="00F742F6" w:rsidRPr="00815AC3">
        <w:rPr>
          <w:i/>
        </w:rPr>
        <w:t>spriedums lietā Nr.</w:t>
      </w:r>
      <w:r w:rsidR="00DF7333" w:rsidRPr="00815AC3">
        <w:rPr>
          <w:i/>
        </w:rPr>
        <w:t> </w:t>
      </w:r>
      <w:r w:rsidR="00BA451E" w:rsidRPr="00815AC3">
        <w:rPr>
          <w:i/>
          <w:iCs/>
        </w:rPr>
        <w:t>2007-24-01</w:t>
      </w:r>
      <w:r w:rsidR="00F742F6" w:rsidRPr="00815AC3">
        <w:rPr>
          <w:i/>
        </w:rPr>
        <w:t>,</w:t>
      </w:r>
      <w:r w:rsidR="004F27C0" w:rsidRPr="00815AC3">
        <w:rPr>
          <w:i/>
        </w:rPr>
        <w:t xml:space="preserve"> </w:t>
      </w:r>
      <w:r w:rsidR="004F27C0" w:rsidRPr="00815AC3">
        <w:rPr>
          <w:i/>
          <w:iCs/>
        </w:rPr>
        <w:t>12.punkts</w:t>
      </w:r>
      <w:r w:rsidR="00BA451E" w:rsidRPr="00815AC3">
        <w:rPr>
          <w:i/>
          <w:iCs/>
        </w:rPr>
        <w:t>,</w:t>
      </w:r>
      <w:r w:rsidR="00F742F6" w:rsidRPr="00815AC3">
        <w:rPr>
          <w:i/>
        </w:rPr>
        <w:t xml:space="preserve"> </w:t>
      </w:r>
      <w:r w:rsidR="004F27C0" w:rsidRPr="00815AC3">
        <w:rPr>
          <w:i/>
          <w:iCs/>
        </w:rPr>
        <w:t>2010.gada 30</w:t>
      </w:r>
      <w:r w:rsidR="00DF7333" w:rsidRPr="00815AC3">
        <w:rPr>
          <w:i/>
          <w:iCs/>
        </w:rPr>
        <w:t>.</w:t>
      </w:r>
      <w:r w:rsidR="00BA451E" w:rsidRPr="00815AC3">
        <w:rPr>
          <w:i/>
          <w:iCs/>
        </w:rPr>
        <w:t xml:space="preserve">maija </w:t>
      </w:r>
      <w:r w:rsidR="004F27C0" w:rsidRPr="00815AC3">
        <w:rPr>
          <w:i/>
          <w:iCs/>
        </w:rPr>
        <w:t>spriedums lietā Nr.</w:t>
      </w:r>
      <w:r w:rsidR="00E4496E" w:rsidRPr="00815AC3">
        <w:rPr>
          <w:i/>
          <w:iCs/>
        </w:rPr>
        <w:t>2009</w:t>
      </w:r>
      <w:r w:rsidR="00BA451E" w:rsidRPr="00815AC3">
        <w:rPr>
          <w:i/>
          <w:iCs/>
        </w:rPr>
        <w:t>-85-01, 10.punkts</w:t>
      </w:r>
      <w:r w:rsidR="00F742F6">
        <w:t>).</w:t>
      </w:r>
    </w:p>
    <w:p w14:paraId="0C891765" w14:textId="2F9FC08A" w:rsidR="00844A46" w:rsidRDefault="00844A46" w:rsidP="00844A46">
      <w:pPr>
        <w:spacing w:line="276" w:lineRule="auto"/>
        <w:ind w:firstLine="652"/>
        <w:contextualSpacing/>
        <w:jc w:val="both"/>
      </w:pPr>
      <w:r>
        <w:t xml:space="preserve">Tiesības uz taisnīgu tiesu, kas ir kriminālprocesa pamatprincips, noteiktas Kriminālprocesa likuma </w:t>
      </w:r>
      <w:proofErr w:type="gramStart"/>
      <w:r>
        <w:t>15.pantā</w:t>
      </w:r>
      <w:proofErr w:type="gramEnd"/>
      <w:r>
        <w:t>, proti, ikvienam ir tiesības uz lietas izskatīšanu taisnīgā, objektīvā un neatkarīgā tiesā.</w:t>
      </w:r>
    </w:p>
    <w:p w14:paraId="0F14FEEC" w14:textId="66BDA28C" w:rsidR="00BF66C2" w:rsidRDefault="0073291E" w:rsidP="00BF66C2">
      <w:pPr>
        <w:spacing w:line="276" w:lineRule="auto"/>
        <w:ind w:firstLine="652"/>
        <w:contextualSpacing/>
        <w:jc w:val="both"/>
      </w:pPr>
      <w:r>
        <w:t>Senāts norāda, ka t</w:t>
      </w:r>
      <w:r w:rsidR="00BF66C2">
        <w:t>iesības uz taisnīgu tiesu</w:t>
      </w:r>
      <w:r w:rsidR="0004511C">
        <w:t xml:space="preserve"> </w:t>
      </w:r>
      <w:r w:rsidR="00BF66C2">
        <w:t xml:space="preserve">ietver </w:t>
      </w:r>
      <w:r w:rsidR="00A53FFE">
        <w:t xml:space="preserve">tostarp </w:t>
      </w:r>
      <w:r w:rsidR="00BF66C2">
        <w:t xml:space="preserve">arī tiesības būt klāt tiesas sēdē un tiesības uz mutvārdu procesu. Tiesības būt klāt tiesas sēdē ietver personas tiesības būt savlaicīgi un pienācīgi informētai par tiesas sēdes norises laiku un vietu un tiesības ierasties uz tiesas sēdi un pilnvērtīgi piedalīties tiesas sēdē veiktajās procesuālajās darbības pašai vai ar pārstāvja starpniecību. Minētais uzliek pienākumu valstij nodrošināt attiecīgu </w:t>
      </w:r>
      <w:proofErr w:type="spellStart"/>
      <w:r w:rsidR="00BF66C2">
        <w:t>procesuāltiesisko</w:t>
      </w:r>
      <w:proofErr w:type="spellEnd"/>
      <w:r w:rsidR="00BF66C2">
        <w:t xml:space="preserve"> regulējumu, kā arī aizliegumu tiesai izskatīt lietu, ja procesa dalībnieks nav ieradies, jo viņam par tiesas sēdi nav paziņots.</w:t>
      </w:r>
    </w:p>
    <w:p w14:paraId="6619BF3B" w14:textId="0CC2F262" w:rsidR="005747CF" w:rsidRDefault="00A53FFE" w:rsidP="00A00B87">
      <w:pPr>
        <w:spacing w:line="276" w:lineRule="auto"/>
        <w:ind w:firstLine="652"/>
        <w:contextualSpacing/>
        <w:jc w:val="both"/>
      </w:pPr>
      <w:r>
        <w:t>Vienlaikus Senāts norāda, ka t</w:t>
      </w:r>
      <w:r w:rsidR="00956E96">
        <w:t>iesības uz lietas iztiesāšanu mutvārdu procesā nav absolūtas</w:t>
      </w:r>
      <w:r w:rsidR="00844A46">
        <w:t>.</w:t>
      </w:r>
      <w:r w:rsidR="00BF66C2">
        <w:t xml:space="preserve"> </w:t>
      </w:r>
      <w:r w:rsidR="00BA451E">
        <w:t>Kriminālprocesa likuma 49.</w:t>
      </w:r>
      <w:r w:rsidR="00956E96">
        <w:t>nodaļā</w:t>
      </w:r>
      <w:r w:rsidR="00BA451E">
        <w:t xml:space="preserve">, kas </w:t>
      </w:r>
      <w:r w:rsidR="00AE68D8">
        <w:t>reglament</w:t>
      </w:r>
      <w:r w:rsidR="0073291E">
        <w:t>ē</w:t>
      </w:r>
      <w:r w:rsidR="00BA451E">
        <w:t xml:space="preserve"> tiesvedības īpatnības attiecībā uz pirmstiesas procesā slēgtu vienošanos</w:t>
      </w:r>
      <w:r w:rsidR="00AE68D8">
        <w:t>,</w:t>
      </w:r>
      <w:r w:rsidR="00956E96">
        <w:t xml:space="preserve"> </w:t>
      </w:r>
      <w:r w:rsidR="00BA451E">
        <w:t>likumdevējs</w:t>
      </w:r>
      <w:r w:rsidR="00BF66C2">
        <w:t xml:space="preserve"> </w:t>
      </w:r>
      <w:r>
        <w:t>šīs nodaļas</w:t>
      </w:r>
      <w:r w:rsidR="00BA451E">
        <w:t xml:space="preserve"> 540.</w:t>
      </w:r>
      <w:proofErr w:type="gramStart"/>
      <w:r w:rsidR="00BA451E">
        <w:rPr>
          <w:vertAlign w:val="superscript"/>
        </w:rPr>
        <w:t>1</w:t>
      </w:r>
      <w:r w:rsidR="00BA451E">
        <w:t>panta</w:t>
      </w:r>
      <w:proofErr w:type="gramEnd"/>
      <w:r w:rsidR="00BA451E">
        <w:t xml:space="preserve"> ceturtajā daļā noteicis</w:t>
      </w:r>
      <w:r w:rsidR="00BF66C2">
        <w:t xml:space="preserve">, ka </w:t>
      </w:r>
      <w:r w:rsidR="00844A46">
        <w:t>tiesai jāpieņem lēmums par lietas iztiesāšanu mutvārdu procesā, ja</w:t>
      </w:r>
      <w:r w:rsidR="00BA451E">
        <w:t xml:space="preserve"> iebildumus</w:t>
      </w:r>
      <w:r w:rsidR="00BF66C2">
        <w:t xml:space="preserve"> pret lietas iztiesāšanu rakstveida procesā iesniedzis prokurors, apsūdzētais, aizstāvis vai cietuš</w:t>
      </w:r>
      <w:r w:rsidR="008D0156">
        <w:t xml:space="preserve">ais. </w:t>
      </w:r>
    </w:p>
    <w:p w14:paraId="7304D6BD" w14:textId="1EAA3278" w:rsidR="00B4717F" w:rsidRDefault="005747CF" w:rsidP="00B4717F">
      <w:pPr>
        <w:spacing w:line="276" w:lineRule="auto"/>
        <w:ind w:firstLine="652"/>
        <w:contextualSpacing/>
        <w:jc w:val="both"/>
      </w:pPr>
      <w:r>
        <w:tab/>
      </w:r>
      <w:r w:rsidR="00B4717F" w:rsidRPr="005747CF">
        <w:rPr>
          <w:rFonts w:asciiTheme="majorBidi" w:hAnsiTheme="majorBidi" w:cstheme="majorBidi"/>
        </w:rPr>
        <w:t xml:space="preserve">Kriminālprocesa likuma </w:t>
      </w:r>
      <w:proofErr w:type="gramStart"/>
      <w:r w:rsidR="00B4717F" w:rsidRPr="005747CF">
        <w:rPr>
          <w:rFonts w:asciiTheme="majorBidi" w:hAnsiTheme="majorBidi" w:cstheme="majorBidi"/>
        </w:rPr>
        <w:t>541.pa</w:t>
      </w:r>
      <w:r w:rsidR="00DA0F64">
        <w:rPr>
          <w:rFonts w:asciiTheme="majorBidi" w:hAnsiTheme="majorBidi" w:cstheme="majorBidi"/>
        </w:rPr>
        <w:t>n</w:t>
      </w:r>
      <w:r w:rsidR="00B4717F" w:rsidRPr="005747CF">
        <w:rPr>
          <w:rFonts w:asciiTheme="majorBidi" w:hAnsiTheme="majorBidi" w:cstheme="majorBidi"/>
        </w:rPr>
        <w:t>ta</w:t>
      </w:r>
      <w:proofErr w:type="gramEnd"/>
      <w:r w:rsidR="00B4717F" w:rsidRPr="005747CF">
        <w:rPr>
          <w:rFonts w:asciiTheme="majorBidi" w:hAnsiTheme="majorBidi" w:cstheme="majorBidi"/>
        </w:rPr>
        <w:t xml:space="preserve"> otrajā daļā noteikt</w:t>
      </w:r>
      <w:r w:rsidR="00B4717F">
        <w:rPr>
          <w:rFonts w:asciiTheme="majorBidi" w:hAnsiTheme="majorBidi" w:cstheme="majorBidi"/>
        </w:rPr>
        <w:t>s</w:t>
      </w:r>
      <w:r w:rsidR="00B4717F" w:rsidRPr="005747CF">
        <w:rPr>
          <w:rFonts w:asciiTheme="majorBidi" w:hAnsiTheme="majorBidi" w:cstheme="majorBidi"/>
        </w:rPr>
        <w:t xml:space="preserve">, </w:t>
      </w:r>
      <w:r w:rsidR="00B4717F">
        <w:rPr>
          <w:rFonts w:asciiTheme="majorBidi" w:hAnsiTheme="majorBidi" w:cstheme="majorBidi"/>
        </w:rPr>
        <w:t xml:space="preserve">ka </w:t>
      </w:r>
      <w:r w:rsidR="00B4717F" w:rsidRPr="005747CF">
        <w:rPr>
          <w:rFonts w:asciiTheme="majorBidi" w:hAnsiTheme="majorBidi" w:cstheme="majorBidi"/>
        </w:rPr>
        <w:t>tiesai iztiesāšanas laikā ir pienākums noskaidrot</w:t>
      </w:r>
      <w:r w:rsidR="00B4717F">
        <w:rPr>
          <w:rFonts w:asciiTheme="majorBidi" w:hAnsiTheme="majorBidi" w:cstheme="majorBidi"/>
        </w:rPr>
        <w:t>,</w:t>
      </w:r>
      <w:r w:rsidR="00B4717F" w:rsidRPr="005747CF">
        <w:rPr>
          <w:rFonts w:asciiTheme="majorBidi" w:hAnsiTheme="majorBidi" w:cstheme="majorBidi"/>
        </w:rPr>
        <w:t xml:space="preserve"> vai apsūdzētais saprot, kāda noziedzīga nodarījuma izdarīšanā viņš tiek apsūdzēts, vai atzīst sevi par vainīgu, vai vienošanos parakstījis apzināti un labprātīgi, saprot tās sekas un piekrīt, ka tiks </w:t>
      </w:r>
      <w:r w:rsidR="00B4717F" w:rsidRPr="005747CF">
        <w:t>ievērota noslēgtā vienošanās. Minēto apstākļu noskaidrošana nedrīkst būt formāla, jo, izlemjot apstiprināt noslēgto vienošanos, tiesai jāgūst pārliecību, ka apsūdzētais atzīst sevi par vainīgu un saprot vienošanās tiesiskās sekas</w:t>
      </w:r>
      <w:r w:rsidR="00FF755C">
        <w:t xml:space="preserve"> (</w:t>
      </w:r>
      <w:r w:rsidR="00FF755C" w:rsidRPr="0083787B">
        <w:rPr>
          <w:i/>
        </w:rPr>
        <w:t xml:space="preserve">Augstākās tiesas </w:t>
      </w:r>
      <w:r w:rsidR="00FF755C">
        <w:rPr>
          <w:i/>
        </w:rPr>
        <w:t>2019.gada 21.marta lēmums lietā </w:t>
      </w:r>
      <w:r w:rsidR="00FF755C" w:rsidRPr="0083787B">
        <w:rPr>
          <w:i/>
        </w:rPr>
        <w:t>Nr. SKK-</w:t>
      </w:r>
      <w:r w:rsidR="00FF755C">
        <w:rPr>
          <w:i/>
        </w:rPr>
        <w:t> </w:t>
      </w:r>
      <w:r w:rsidR="00FF755C" w:rsidRPr="0083787B">
        <w:rPr>
          <w:i/>
        </w:rPr>
        <w:t>173/2019, ECLI:LV:AT:2019:0321.11089101018.4.L</w:t>
      </w:r>
      <w:r w:rsidR="00FF755C">
        <w:t>).</w:t>
      </w:r>
    </w:p>
    <w:p w14:paraId="4DED4C8B" w14:textId="11CB2589" w:rsidR="00A00B87" w:rsidRDefault="00A53FFE" w:rsidP="004A729B">
      <w:pPr>
        <w:spacing w:line="276" w:lineRule="auto"/>
        <w:ind w:firstLine="652"/>
        <w:contextualSpacing/>
        <w:jc w:val="both"/>
      </w:pPr>
      <w:r>
        <w:t xml:space="preserve">Kā norādīts apsūdzētā </w:t>
      </w:r>
      <w:r w:rsidR="006E368E">
        <w:t>[pers. A]</w:t>
      </w:r>
      <w:r>
        <w:t xml:space="preserve"> kasācijas sūdzībā, nebūdams informēts par </w:t>
      </w:r>
      <w:r w:rsidR="004A729B">
        <w:t>lietas iztiesāšanas</w:t>
      </w:r>
      <w:r>
        <w:t xml:space="preserve"> laiku un vietu</w:t>
      </w:r>
      <w:r w:rsidR="00941E84">
        <w:t>, viņš nav varējis</w:t>
      </w:r>
      <w:r w:rsidR="0022602F">
        <w:t xml:space="preserve"> </w:t>
      </w:r>
      <w:r w:rsidR="00941E84">
        <w:t>īstenot Kriminālprocesa likuma 540.</w:t>
      </w:r>
      <w:proofErr w:type="gramStart"/>
      <w:r w:rsidR="0022602F">
        <w:rPr>
          <w:vertAlign w:val="superscript"/>
        </w:rPr>
        <w:t>1</w:t>
      </w:r>
      <w:r w:rsidR="00941E84">
        <w:t>panta</w:t>
      </w:r>
      <w:proofErr w:type="gramEnd"/>
      <w:r w:rsidR="00941E84">
        <w:t xml:space="preserve"> </w:t>
      </w:r>
      <w:r w:rsidR="00E27A3C">
        <w:t xml:space="preserve">otrajā </w:t>
      </w:r>
      <w:r w:rsidR="00941E84">
        <w:t>daļā noteiktās tiesības, proti, iebilst pret lietas iztiesāšanu rakstveida procesā</w:t>
      </w:r>
      <w:r w:rsidR="0022602F">
        <w:t xml:space="preserve"> un</w:t>
      </w:r>
      <w:r w:rsidR="00941E84">
        <w:t xml:space="preserve"> atteikties no noslēgtās vienošanās.</w:t>
      </w:r>
    </w:p>
    <w:p w14:paraId="3DF88740" w14:textId="40336EAF" w:rsidR="00386F56" w:rsidRDefault="0004511C" w:rsidP="004A729B">
      <w:pPr>
        <w:spacing w:line="276" w:lineRule="auto"/>
        <w:ind w:firstLine="652"/>
        <w:contextualSpacing/>
        <w:jc w:val="both"/>
      </w:pPr>
      <w:r w:rsidRPr="002F078B">
        <w:rPr>
          <w:rFonts w:ascii="TimesNewRomanPSMT" w:hAnsi="TimesNewRomanPSMT" w:cs="TimesNewRomanPSMT"/>
          <w:szCs w:val="24"/>
        </w:rPr>
        <w:t xml:space="preserve">Ievērojot minēto, </w:t>
      </w:r>
      <w:r w:rsidR="00480F80">
        <w:rPr>
          <w:rFonts w:ascii="TimesNewRomanPSMT" w:hAnsi="TimesNewRomanPSMT" w:cs="TimesNewRomanPSMT"/>
          <w:szCs w:val="24"/>
        </w:rPr>
        <w:t>Senāts</w:t>
      </w:r>
      <w:r w:rsidRPr="002F078B">
        <w:rPr>
          <w:rFonts w:ascii="TimesNewRomanPSMT" w:hAnsi="TimesNewRomanPSMT" w:cs="TimesNewRomanPSMT"/>
          <w:szCs w:val="24"/>
        </w:rPr>
        <w:t xml:space="preserve"> atzīst, </w:t>
      </w:r>
      <w:r w:rsidR="002F078B">
        <w:rPr>
          <w:rFonts w:ascii="TimesNewRomanPSMT" w:hAnsi="TimesNewRomanPSMT" w:cs="TimesNewRomanPSMT"/>
          <w:szCs w:val="24"/>
        </w:rPr>
        <w:t>ka</w:t>
      </w:r>
      <w:r w:rsidR="0060326C">
        <w:rPr>
          <w:rFonts w:ascii="TimesNewRomanPSMT" w:hAnsi="TimesNewRomanPSMT" w:cs="TimesNewRomanPSMT"/>
          <w:szCs w:val="24"/>
        </w:rPr>
        <w:t>,</w:t>
      </w:r>
      <w:r w:rsidR="002F078B">
        <w:rPr>
          <w:rFonts w:ascii="TimesNewRomanPSMT" w:hAnsi="TimesNewRomanPSMT" w:cs="TimesNewRomanPSMT"/>
          <w:szCs w:val="24"/>
        </w:rPr>
        <w:t xml:space="preserve"> </w:t>
      </w:r>
      <w:r w:rsidR="00480F80">
        <w:rPr>
          <w:rFonts w:ascii="TimesNewRomanPSMT" w:hAnsi="TimesNewRomanPSMT" w:cs="TimesNewRomanPSMT"/>
          <w:szCs w:val="24"/>
        </w:rPr>
        <w:t>pienācīgā kārtā nepaziņojot apsūdzētajam</w:t>
      </w:r>
      <w:r w:rsidR="002F078B">
        <w:rPr>
          <w:rFonts w:ascii="TimesNewRomanPSMT" w:hAnsi="TimesNewRomanPSMT" w:cs="TimesNewRomanPSMT"/>
          <w:szCs w:val="24"/>
        </w:rPr>
        <w:t xml:space="preserve"> </w:t>
      </w:r>
      <w:r w:rsidR="006E368E">
        <w:rPr>
          <w:rFonts w:ascii="TimesNewRomanPSMT" w:hAnsi="TimesNewRomanPSMT" w:cs="TimesNewRomanPSMT"/>
          <w:szCs w:val="24"/>
        </w:rPr>
        <w:t>[pers. A]</w:t>
      </w:r>
      <w:r w:rsidR="00480F80">
        <w:rPr>
          <w:rFonts w:ascii="TimesNewRomanPSMT" w:hAnsi="TimesNewRomanPSMT" w:cs="TimesNewRomanPSMT"/>
          <w:szCs w:val="24"/>
        </w:rPr>
        <w:t xml:space="preserve"> par lietas iztiesāšanas laiku un vietu un tādējādi liedzot viņam </w:t>
      </w:r>
      <w:r w:rsidR="002F078B">
        <w:rPr>
          <w:rFonts w:ascii="TimesNewRomanPSMT" w:hAnsi="TimesNewRomanPSMT" w:cs="TimesNewRomanPSMT"/>
          <w:szCs w:val="24"/>
        </w:rPr>
        <w:t xml:space="preserve">Kriminālprocesa likuma </w:t>
      </w:r>
      <w:r w:rsidR="00BE5145">
        <w:rPr>
          <w:rFonts w:ascii="TimesNewRomanPSMT" w:hAnsi="TimesNewRomanPSMT" w:cs="TimesNewRomanPSMT"/>
          <w:szCs w:val="24"/>
        </w:rPr>
        <w:t>540.</w:t>
      </w:r>
      <w:proofErr w:type="gramStart"/>
      <w:r w:rsidR="00BE5145" w:rsidRPr="00984498">
        <w:rPr>
          <w:rFonts w:ascii="TimesNewRomanPSMT" w:hAnsi="TimesNewRomanPSMT" w:cs="TimesNewRomanPSMT"/>
          <w:szCs w:val="24"/>
          <w:vertAlign w:val="superscript"/>
        </w:rPr>
        <w:t>1</w:t>
      </w:r>
      <w:r w:rsidR="00480F80">
        <w:rPr>
          <w:rFonts w:ascii="TimesNewRomanPSMT" w:hAnsi="TimesNewRomanPSMT" w:cs="TimesNewRomanPSMT"/>
          <w:szCs w:val="24"/>
        </w:rPr>
        <w:t>pant</w:t>
      </w:r>
      <w:r w:rsidR="00BE5145">
        <w:rPr>
          <w:rFonts w:ascii="TimesNewRomanPSMT" w:hAnsi="TimesNewRomanPSMT" w:cs="TimesNewRomanPSMT"/>
          <w:szCs w:val="24"/>
        </w:rPr>
        <w:t>a</w:t>
      </w:r>
      <w:proofErr w:type="gramEnd"/>
      <w:r w:rsidR="00BE5145">
        <w:rPr>
          <w:rFonts w:ascii="TimesNewRomanPSMT" w:hAnsi="TimesNewRomanPSMT" w:cs="TimesNewRomanPSMT"/>
          <w:szCs w:val="24"/>
        </w:rPr>
        <w:t xml:space="preserve"> otrajā daļā </w:t>
      </w:r>
      <w:r w:rsidR="002F078B">
        <w:rPr>
          <w:rFonts w:ascii="TimesNewRomanPSMT" w:hAnsi="TimesNewRomanPSMT" w:cs="TimesNewRomanPSMT"/>
          <w:szCs w:val="24"/>
        </w:rPr>
        <w:t>noteikto</w:t>
      </w:r>
      <w:r w:rsidR="00480F80">
        <w:rPr>
          <w:rFonts w:ascii="TimesNewRomanPSMT" w:hAnsi="TimesNewRomanPSMT" w:cs="TimesNewRomanPSMT"/>
          <w:szCs w:val="24"/>
        </w:rPr>
        <w:t xml:space="preserve"> tiesību īstenošanu,</w:t>
      </w:r>
      <w:r w:rsidR="002F078B">
        <w:rPr>
          <w:rFonts w:ascii="TimesNewRomanPSMT" w:hAnsi="TimesNewRomanPSMT" w:cs="TimesNewRomanPSMT"/>
          <w:szCs w:val="24"/>
        </w:rPr>
        <w:t xml:space="preserve"> tiesa ir</w:t>
      </w:r>
      <w:r w:rsidR="00480F80">
        <w:rPr>
          <w:rFonts w:ascii="TimesNewRomanPSMT" w:hAnsi="TimesNewRomanPSMT" w:cs="TimesNewRomanPSMT"/>
          <w:szCs w:val="24"/>
        </w:rPr>
        <w:t xml:space="preserve"> </w:t>
      </w:r>
      <w:r w:rsidRPr="002F078B">
        <w:rPr>
          <w:rFonts w:ascii="TimesNewRomanPSMT" w:hAnsi="TimesNewRomanPSMT" w:cs="TimesNewRomanPSMT"/>
          <w:szCs w:val="24"/>
        </w:rPr>
        <w:t xml:space="preserve">pārkāpusi </w:t>
      </w:r>
      <w:r w:rsidRPr="0022602F">
        <w:rPr>
          <w:rFonts w:ascii="TimesNewRomanPSMT" w:hAnsi="TimesNewRomanPSMT" w:cs="TimesNewRomanPSMT"/>
          <w:szCs w:val="24"/>
        </w:rPr>
        <w:t>Kriminālprocesa likuma 15.pantā nostiprināto</w:t>
      </w:r>
      <w:r>
        <w:rPr>
          <w:rFonts w:ascii="TimesNewRomanPSMT" w:hAnsi="TimesNewRomanPSMT" w:cs="TimesNewRomanPSMT"/>
          <w:szCs w:val="24"/>
        </w:rPr>
        <w:t xml:space="preserve"> </w:t>
      </w:r>
      <w:r w:rsidRPr="0022602F">
        <w:rPr>
          <w:rFonts w:ascii="TimesNewRomanPSMT" w:hAnsi="TimesNewRomanPSMT" w:cs="TimesNewRomanPSMT"/>
          <w:szCs w:val="24"/>
        </w:rPr>
        <w:t>kriminālprocesa pamatprincipu – tiesības uz taisnīgu tiesu.</w:t>
      </w:r>
      <w:r w:rsidR="0022602F" w:rsidRPr="0022602F">
        <w:rPr>
          <w:rFonts w:ascii="TimesNewRomanPSMT" w:hAnsi="TimesNewRomanPSMT" w:cs="TimesNewRomanPSMT"/>
          <w:szCs w:val="24"/>
        </w:rPr>
        <w:t xml:space="preserve"> </w:t>
      </w:r>
      <w:r w:rsidRPr="0022602F">
        <w:rPr>
          <w:rFonts w:ascii="TimesNewRomanPSMT" w:hAnsi="TimesNewRomanPSMT" w:cs="TimesNewRomanPSMT"/>
          <w:szCs w:val="24"/>
        </w:rPr>
        <w:t>Kriminālprocesa pamatprincip</w:t>
      </w:r>
      <w:r w:rsidR="0022602F">
        <w:rPr>
          <w:rFonts w:ascii="TimesNewRomanPSMT" w:hAnsi="TimesNewRomanPSMT" w:cs="TimesNewRomanPSMT"/>
          <w:szCs w:val="24"/>
        </w:rPr>
        <w:t>u</w:t>
      </w:r>
      <w:r>
        <w:rPr>
          <w:rFonts w:ascii="TimesNewRomanPSMT" w:hAnsi="TimesNewRomanPSMT" w:cs="TimesNewRomanPSMT"/>
          <w:szCs w:val="24"/>
        </w:rPr>
        <w:t xml:space="preserve"> </w:t>
      </w:r>
      <w:r w:rsidRPr="0022602F">
        <w:rPr>
          <w:rFonts w:ascii="TimesNewRomanPSMT" w:hAnsi="TimesNewRomanPSMT" w:cs="TimesNewRomanPSMT"/>
          <w:szCs w:val="24"/>
        </w:rPr>
        <w:t>pārkāpums</w:t>
      </w:r>
      <w:r w:rsidR="002F078B" w:rsidRPr="0022602F">
        <w:rPr>
          <w:rFonts w:ascii="TimesNewRomanPSMT" w:hAnsi="TimesNewRomanPSMT" w:cs="TimesNewRomanPSMT"/>
          <w:szCs w:val="24"/>
        </w:rPr>
        <w:t xml:space="preserve"> </w:t>
      </w:r>
      <w:r w:rsidRPr="0022602F">
        <w:rPr>
          <w:rFonts w:ascii="TimesNewRomanPSMT" w:hAnsi="TimesNewRomanPSMT" w:cs="TimesNewRomanPSMT"/>
          <w:szCs w:val="24"/>
        </w:rPr>
        <w:t>atzīstams par Kriminālprocesa likuma būtisku pārkāpumu šā likuma 575.panta trešās</w:t>
      </w:r>
      <w:r>
        <w:rPr>
          <w:rFonts w:ascii="TimesNewRomanPSMT" w:hAnsi="TimesNewRomanPSMT" w:cs="TimesNewRomanPSMT"/>
          <w:szCs w:val="24"/>
        </w:rPr>
        <w:t xml:space="preserve"> </w:t>
      </w:r>
      <w:r w:rsidRPr="0022602F">
        <w:rPr>
          <w:rFonts w:ascii="TimesNewRomanPSMT" w:hAnsi="TimesNewRomanPSMT" w:cs="TimesNewRomanPSMT"/>
          <w:szCs w:val="24"/>
        </w:rPr>
        <w:t>daļas izpratnē</w:t>
      </w:r>
      <w:r w:rsidR="0022602F">
        <w:rPr>
          <w:rFonts w:ascii="TimesNewRomanPSMT" w:hAnsi="TimesNewRomanPSMT" w:cs="TimesNewRomanPSMT"/>
          <w:szCs w:val="24"/>
        </w:rPr>
        <w:t>, kura</w:t>
      </w:r>
      <w:r w:rsidR="007A2480" w:rsidRPr="0022602F">
        <w:rPr>
          <w:rFonts w:ascii="TimesNewRomanPSMT" w:hAnsi="TimesNewRomanPSMT" w:cs="TimesNewRomanPSMT"/>
          <w:szCs w:val="24"/>
        </w:rPr>
        <w:t xml:space="preserve"> </w:t>
      </w:r>
      <w:r w:rsidRPr="0022602F">
        <w:rPr>
          <w:rFonts w:ascii="TimesNewRomanPSMT" w:hAnsi="TimesNewRomanPSMT" w:cs="TimesNewRomanPSMT"/>
          <w:szCs w:val="24"/>
        </w:rPr>
        <w:t xml:space="preserve">dēļ </w:t>
      </w:r>
      <w:r w:rsidR="007A2480" w:rsidRPr="0022602F">
        <w:rPr>
          <w:rFonts w:ascii="TimesNewRomanPSMT" w:hAnsi="TimesNewRomanPSMT" w:cs="TimesNewRomanPSMT"/>
          <w:szCs w:val="24"/>
        </w:rPr>
        <w:t>pirmās</w:t>
      </w:r>
      <w:r w:rsidRPr="0022602F">
        <w:rPr>
          <w:rFonts w:ascii="TimesNewRomanPSMT" w:hAnsi="TimesNewRomanPSMT" w:cs="TimesNewRomanPSMT"/>
          <w:szCs w:val="24"/>
        </w:rPr>
        <w:t xml:space="preserve"> instances tiesas spriedums</w:t>
      </w:r>
      <w:r w:rsidR="007A2480" w:rsidRPr="0022602F">
        <w:rPr>
          <w:rFonts w:ascii="TimesNewRomanPSMT" w:hAnsi="TimesNewRomanPSMT" w:cs="TimesNewRomanPSMT"/>
          <w:szCs w:val="24"/>
        </w:rPr>
        <w:t xml:space="preserve"> </w:t>
      </w:r>
      <w:r w:rsidRPr="0022602F">
        <w:rPr>
          <w:rFonts w:ascii="TimesNewRomanPSMT" w:hAnsi="TimesNewRomanPSMT" w:cs="TimesNewRomanPSMT"/>
          <w:szCs w:val="24"/>
        </w:rPr>
        <w:t>atceļams un lieta nosūtāma jaunai</w:t>
      </w:r>
      <w:r>
        <w:rPr>
          <w:rFonts w:ascii="TimesNewRomanPSMT" w:hAnsi="TimesNewRomanPSMT" w:cs="TimesNewRomanPSMT"/>
          <w:szCs w:val="24"/>
        </w:rPr>
        <w:t xml:space="preserve"> </w:t>
      </w:r>
      <w:r w:rsidRPr="0022602F">
        <w:rPr>
          <w:rFonts w:ascii="TimesNewRomanPSMT" w:hAnsi="TimesNewRomanPSMT" w:cs="TimesNewRomanPSMT"/>
          <w:szCs w:val="24"/>
        </w:rPr>
        <w:t xml:space="preserve">izskatīšanai </w:t>
      </w:r>
      <w:r w:rsidR="007A2480" w:rsidRPr="0022602F">
        <w:rPr>
          <w:rFonts w:ascii="TimesNewRomanPSMT" w:hAnsi="TimesNewRomanPSMT" w:cs="TimesNewRomanPSMT"/>
          <w:szCs w:val="24"/>
        </w:rPr>
        <w:t xml:space="preserve">pirmās </w:t>
      </w:r>
      <w:r w:rsidRPr="0022602F">
        <w:rPr>
          <w:rFonts w:ascii="TimesNewRomanPSMT" w:hAnsi="TimesNewRomanPSMT" w:cs="TimesNewRomanPSMT"/>
          <w:szCs w:val="24"/>
        </w:rPr>
        <w:t xml:space="preserve"> instances tiesā</w:t>
      </w:r>
      <w:r w:rsidR="004A729B">
        <w:t>.</w:t>
      </w:r>
    </w:p>
    <w:p w14:paraId="0534C080" w14:textId="77777777" w:rsidR="004A729B" w:rsidRPr="00791081" w:rsidRDefault="004A729B" w:rsidP="004A729B">
      <w:pPr>
        <w:spacing w:line="276" w:lineRule="auto"/>
        <w:ind w:firstLine="652"/>
        <w:contextualSpacing/>
        <w:jc w:val="both"/>
      </w:pPr>
    </w:p>
    <w:p w14:paraId="7C9E3597" w14:textId="77777777" w:rsidR="007D03F9" w:rsidRDefault="007D03F9" w:rsidP="000A7CD8">
      <w:pPr>
        <w:spacing w:line="276" w:lineRule="auto"/>
        <w:ind w:firstLine="652"/>
        <w:contextualSpacing/>
        <w:jc w:val="both"/>
      </w:pPr>
      <w:r>
        <w:t>[</w:t>
      </w:r>
      <w:r w:rsidR="007D4390">
        <w:t>9</w:t>
      </w:r>
      <w:r>
        <w:t xml:space="preserve">] Kriminālprocesa likuma </w:t>
      </w:r>
      <w:proofErr w:type="gramStart"/>
      <w:r>
        <w:t>588.panta</w:t>
      </w:r>
      <w:proofErr w:type="gramEnd"/>
      <w:r>
        <w:t xml:space="preserve"> 3.</w:t>
      </w:r>
      <w:r w:rsidRPr="00FC2CAB">
        <w:rPr>
          <w:vertAlign w:val="superscript"/>
        </w:rPr>
        <w:t>1</w:t>
      </w:r>
      <w:r>
        <w:t>daļa noteic, ka gadījumā, ja kasācijas instances tiesa pieņem šā likuma 587.panta pirmās daļas 2.punktā paredzēto lēmumu, tas ir, atceļ nolēmumu pilnībā vai daļā, tā izlemj arī jautājumu par drošības līdzekli.</w:t>
      </w:r>
    </w:p>
    <w:p w14:paraId="5C7AE282" w14:textId="0CAA3A97" w:rsidR="007D03F9" w:rsidRDefault="007D03F9" w:rsidP="000A7CD8">
      <w:pPr>
        <w:spacing w:line="276" w:lineRule="auto"/>
        <w:ind w:firstLine="652"/>
        <w:contextualSpacing/>
        <w:jc w:val="both"/>
      </w:pPr>
      <w:r>
        <w:t xml:space="preserve">Apsūdzētajam </w:t>
      </w:r>
      <w:r w:rsidR="006E368E">
        <w:t>[pers. A]</w:t>
      </w:r>
      <w:r>
        <w:t xml:space="preserve"> drošības līdzeklis lietā nav piemērots</w:t>
      </w:r>
      <w:r w:rsidR="00F613AD">
        <w:t>.</w:t>
      </w:r>
    </w:p>
    <w:p w14:paraId="71506A6B" w14:textId="0581F478" w:rsidR="007D03F9" w:rsidRPr="00DD3352" w:rsidRDefault="007D03F9" w:rsidP="000A7CD8">
      <w:pPr>
        <w:spacing w:line="276" w:lineRule="auto"/>
        <w:ind w:firstLine="652"/>
        <w:contextualSpacing/>
        <w:jc w:val="both"/>
      </w:pPr>
      <w:r>
        <w:t xml:space="preserve">Senāts atzīst, ka drošības līdzekļa piemērošanai </w:t>
      </w:r>
      <w:r w:rsidR="006E368E">
        <w:t>[pers. A]</w:t>
      </w:r>
      <w:r>
        <w:t xml:space="preserve"> šajā kriminālprocesa stadijā nav tiesiska pamata.</w:t>
      </w:r>
    </w:p>
    <w:p w14:paraId="350F78DE" w14:textId="77777777" w:rsidR="007D03F9" w:rsidRPr="00486708" w:rsidRDefault="007D03F9" w:rsidP="000A7CD8">
      <w:pPr>
        <w:spacing w:line="276" w:lineRule="auto"/>
        <w:ind w:firstLine="652"/>
        <w:contextualSpacing/>
        <w:jc w:val="both"/>
        <w:rPr>
          <w:rFonts w:cs="Times New Roman"/>
          <w:b/>
          <w:color w:val="000000" w:themeColor="text1"/>
          <w:szCs w:val="24"/>
        </w:rPr>
      </w:pPr>
    </w:p>
    <w:p w14:paraId="2D9CA900" w14:textId="77777777" w:rsidR="007D03F9" w:rsidRDefault="007D03F9" w:rsidP="000A7CD8">
      <w:pPr>
        <w:spacing w:line="276" w:lineRule="auto"/>
        <w:ind w:firstLine="652"/>
        <w:contextualSpacing/>
        <w:jc w:val="center"/>
        <w:rPr>
          <w:b/>
        </w:rPr>
      </w:pPr>
      <w:r w:rsidRPr="006F7731">
        <w:rPr>
          <w:b/>
        </w:rPr>
        <w:t>Rezolutīvā daļa</w:t>
      </w:r>
    </w:p>
    <w:p w14:paraId="6E0C425C" w14:textId="77777777" w:rsidR="007D03F9" w:rsidRPr="006F7731" w:rsidRDefault="007D03F9" w:rsidP="000A7CD8">
      <w:pPr>
        <w:spacing w:line="276" w:lineRule="auto"/>
        <w:ind w:firstLine="652"/>
        <w:contextualSpacing/>
        <w:jc w:val="center"/>
        <w:rPr>
          <w:b/>
        </w:rPr>
      </w:pPr>
    </w:p>
    <w:p w14:paraId="675AA9B2" w14:textId="77777777" w:rsidR="000A7CD8" w:rsidRDefault="007D03F9" w:rsidP="000A7CD8">
      <w:pPr>
        <w:spacing w:line="276" w:lineRule="auto"/>
        <w:ind w:firstLine="652"/>
        <w:contextualSpacing/>
        <w:jc w:val="both"/>
      </w:pPr>
      <w:r>
        <w:t xml:space="preserve">Pamatojoties uz Kriminālprocesa likuma </w:t>
      </w:r>
      <w:proofErr w:type="gramStart"/>
      <w:r>
        <w:t>585.pantu</w:t>
      </w:r>
      <w:proofErr w:type="gramEnd"/>
      <w:r>
        <w:t xml:space="preserve"> un 587.panta pirmās daļas 2.punktu, tiesa</w:t>
      </w:r>
    </w:p>
    <w:p w14:paraId="1C2D0F9F" w14:textId="77777777" w:rsidR="000A7CD8" w:rsidRDefault="000A7CD8" w:rsidP="000A7CD8">
      <w:pPr>
        <w:spacing w:line="276" w:lineRule="auto"/>
        <w:ind w:firstLine="652"/>
        <w:contextualSpacing/>
        <w:jc w:val="both"/>
      </w:pPr>
    </w:p>
    <w:p w14:paraId="07BD0734" w14:textId="77777777" w:rsidR="007D03F9" w:rsidRDefault="007D03F9" w:rsidP="000A7CD8">
      <w:pPr>
        <w:spacing w:line="276" w:lineRule="auto"/>
        <w:ind w:firstLine="652"/>
        <w:contextualSpacing/>
        <w:jc w:val="center"/>
        <w:rPr>
          <w:b/>
        </w:rPr>
      </w:pPr>
      <w:r w:rsidRPr="006F7731">
        <w:rPr>
          <w:b/>
        </w:rPr>
        <w:t>nolēma:</w:t>
      </w:r>
    </w:p>
    <w:p w14:paraId="79CA1175" w14:textId="77777777" w:rsidR="007D03F9" w:rsidRPr="006F7731" w:rsidRDefault="007D03F9" w:rsidP="000A7CD8">
      <w:pPr>
        <w:spacing w:line="276" w:lineRule="auto"/>
        <w:ind w:firstLine="652"/>
        <w:contextualSpacing/>
        <w:jc w:val="center"/>
        <w:rPr>
          <w:b/>
        </w:rPr>
      </w:pPr>
    </w:p>
    <w:p w14:paraId="580C9EDA" w14:textId="77777777" w:rsidR="007D03F9" w:rsidRDefault="007D03F9" w:rsidP="000A7CD8">
      <w:pPr>
        <w:spacing w:line="276" w:lineRule="auto"/>
        <w:ind w:firstLine="652"/>
        <w:contextualSpacing/>
        <w:jc w:val="both"/>
      </w:pPr>
      <w:r>
        <w:t>atcelt pilnībā</w:t>
      </w:r>
      <w:r w:rsidRPr="006F7731">
        <w:t xml:space="preserve"> </w:t>
      </w:r>
      <w:r>
        <w:t xml:space="preserve">Rīgas rajona tiesas </w:t>
      </w:r>
      <w:proofErr w:type="gramStart"/>
      <w:r>
        <w:t>2020.gada</w:t>
      </w:r>
      <w:proofErr w:type="gramEnd"/>
      <w:r>
        <w:t xml:space="preserve"> 2.aprīļa </w:t>
      </w:r>
      <w:r w:rsidRPr="00AC7EDE">
        <w:rPr>
          <w:rFonts w:cs="Times New Roman"/>
        </w:rPr>
        <w:t>spriedumu</w:t>
      </w:r>
      <w:r>
        <w:rPr>
          <w:rFonts w:cs="Times New Roman"/>
        </w:rPr>
        <w:t xml:space="preserve"> </w:t>
      </w:r>
      <w:r>
        <w:t>un lietu nosūtīt jaunai izskatīšanai Rīgas rajona tiesā.</w:t>
      </w:r>
    </w:p>
    <w:p w14:paraId="0121D902" w14:textId="658C480E" w:rsidR="007D03F9" w:rsidRPr="009C7FB8" w:rsidRDefault="007D03F9" w:rsidP="006E368E">
      <w:pPr>
        <w:spacing w:line="276" w:lineRule="auto"/>
        <w:ind w:firstLine="652"/>
        <w:contextualSpacing/>
        <w:jc w:val="both"/>
      </w:pPr>
      <w:r>
        <w:t xml:space="preserve">Lēmums nav pārsūdzams. </w:t>
      </w:r>
    </w:p>
    <w:sectPr w:rsidR="007D03F9" w:rsidRPr="009C7FB8" w:rsidSect="00594805">
      <w:footerReference w:type="default" r:id="rId8"/>
      <w:pgSz w:w="11906" w:h="16838"/>
      <w:pgMar w:top="1134"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3A608" w14:textId="77777777" w:rsidR="00C73A63" w:rsidRDefault="00C73A63" w:rsidP="00A44D57">
      <w:pPr>
        <w:spacing w:after="0" w:line="240" w:lineRule="auto"/>
      </w:pPr>
      <w:r>
        <w:separator/>
      </w:r>
    </w:p>
  </w:endnote>
  <w:endnote w:type="continuationSeparator" w:id="0">
    <w:p w14:paraId="2D56ED26" w14:textId="77777777" w:rsidR="00C73A63" w:rsidRDefault="00C73A63" w:rsidP="00A4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616345"/>
      <w:docPartObj>
        <w:docPartGallery w:val="Page Numbers (Bottom of Page)"/>
        <w:docPartUnique/>
      </w:docPartObj>
    </w:sdtPr>
    <w:sdtEndPr/>
    <w:sdtContent>
      <w:sdt>
        <w:sdtPr>
          <w:id w:val="1728636285"/>
          <w:docPartObj>
            <w:docPartGallery w:val="Page Numbers (Top of Page)"/>
            <w:docPartUnique/>
          </w:docPartObj>
        </w:sdtPr>
        <w:sdtEndPr/>
        <w:sdtContent>
          <w:p w14:paraId="7DEA0BD8" w14:textId="77777777" w:rsidR="00A44D57" w:rsidRDefault="00A44D57">
            <w:pPr>
              <w:pStyle w:val="Footer"/>
              <w:jc w:val="center"/>
            </w:pPr>
            <w:r w:rsidRPr="00A44D57">
              <w:rPr>
                <w:bCs/>
                <w:szCs w:val="24"/>
              </w:rPr>
              <w:fldChar w:fldCharType="begin"/>
            </w:r>
            <w:r w:rsidRPr="00A44D57">
              <w:rPr>
                <w:bCs/>
              </w:rPr>
              <w:instrText xml:space="preserve"> PAGE </w:instrText>
            </w:r>
            <w:r w:rsidRPr="00A44D57">
              <w:rPr>
                <w:bCs/>
                <w:szCs w:val="24"/>
              </w:rPr>
              <w:fldChar w:fldCharType="separate"/>
            </w:r>
            <w:r w:rsidR="00E74AAB">
              <w:rPr>
                <w:bCs/>
                <w:noProof/>
              </w:rPr>
              <w:t>4</w:t>
            </w:r>
            <w:r w:rsidRPr="00A44D57">
              <w:rPr>
                <w:bCs/>
                <w:szCs w:val="24"/>
              </w:rPr>
              <w:fldChar w:fldCharType="end"/>
            </w:r>
            <w:r w:rsidRPr="00A44D57">
              <w:t xml:space="preserve"> no </w:t>
            </w:r>
            <w:r w:rsidRPr="00A44D57">
              <w:rPr>
                <w:bCs/>
                <w:szCs w:val="24"/>
              </w:rPr>
              <w:fldChar w:fldCharType="begin"/>
            </w:r>
            <w:r w:rsidRPr="00A44D57">
              <w:rPr>
                <w:bCs/>
              </w:rPr>
              <w:instrText xml:space="preserve"> NUMPAGES  </w:instrText>
            </w:r>
            <w:r w:rsidRPr="00A44D57">
              <w:rPr>
                <w:bCs/>
                <w:szCs w:val="24"/>
              </w:rPr>
              <w:fldChar w:fldCharType="separate"/>
            </w:r>
            <w:r w:rsidR="00E74AAB">
              <w:rPr>
                <w:bCs/>
                <w:noProof/>
              </w:rPr>
              <w:t>4</w:t>
            </w:r>
            <w:r w:rsidRPr="00A44D57">
              <w:rPr>
                <w:bCs/>
                <w:szCs w:val="24"/>
              </w:rPr>
              <w:fldChar w:fldCharType="end"/>
            </w:r>
          </w:p>
        </w:sdtContent>
      </w:sdt>
    </w:sdtContent>
  </w:sdt>
  <w:p w14:paraId="16D56863" w14:textId="77777777" w:rsidR="00A44D57" w:rsidRDefault="00A44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FB2D1" w14:textId="77777777" w:rsidR="00C73A63" w:rsidRDefault="00C73A63" w:rsidP="00A44D57">
      <w:pPr>
        <w:spacing w:after="0" w:line="240" w:lineRule="auto"/>
      </w:pPr>
      <w:r>
        <w:separator/>
      </w:r>
    </w:p>
  </w:footnote>
  <w:footnote w:type="continuationSeparator" w:id="0">
    <w:p w14:paraId="36355078" w14:textId="77777777" w:rsidR="00C73A63" w:rsidRDefault="00C73A63" w:rsidP="00A44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D1781"/>
    <w:multiLevelType w:val="hybridMultilevel"/>
    <w:tmpl w:val="5CC8ED2C"/>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57"/>
    <w:rsid w:val="00010729"/>
    <w:rsid w:val="000224AB"/>
    <w:rsid w:val="00043895"/>
    <w:rsid w:val="0004511C"/>
    <w:rsid w:val="000A7CD8"/>
    <w:rsid w:val="000B1F3F"/>
    <w:rsid w:val="000E0DF6"/>
    <w:rsid w:val="000E6CBD"/>
    <w:rsid w:val="001039EA"/>
    <w:rsid w:val="001059AE"/>
    <w:rsid w:val="00151813"/>
    <w:rsid w:val="001700ED"/>
    <w:rsid w:val="001C44DA"/>
    <w:rsid w:val="001D4E2D"/>
    <w:rsid w:val="001D64E9"/>
    <w:rsid w:val="00204D93"/>
    <w:rsid w:val="00224A4F"/>
    <w:rsid w:val="0022602F"/>
    <w:rsid w:val="00241B90"/>
    <w:rsid w:val="00244EA0"/>
    <w:rsid w:val="002575C5"/>
    <w:rsid w:val="00277F4E"/>
    <w:rsid w:val="002934C1"/>
    <w:rsid w:val="002F078B"/>
    <w:rsid w:val="002F7065"/>
    <w:rsid w:val="00300ECB"/>
    <w:rsid w:val="0034366E"/>
    <w:rsid w:val="003620F4"/>
    <w:rsid w:val="00383E7E"/>
    <w:rsid w:val="00386F56"/>
    <w:rsid w:val="003A3FCF"/>
    <w:rsid w:val="003B23F7"/>
    <w:rsid w:val="00400916"/>
    <w:rsid w:val="00403CAC"/>
    <w:rsid w:val="004148CC"/>
    <w:rsid w:val="00422C4E"/>
    <w:rsid w:val="00426470"/>
    <w:rsid w:val="004369DA"/>
    <w:rsid w:val="00437077"/>
    <w:rsid w:val="0046631D"/>
    <w:rsid w:val="00480F80"/>
    <w:rsid w:val="004A4600"/>
    <w:rsid w:val="004A729B"/>
    <w:rsid w:val="004B5F07"/>
    <w:rsid w:val="004C2DEE"/>
    <w:rsid w:val="004C41A9"/>
    <w:rsid w:val="004F27C0"/>
    <w:rsid w:val="004F71E4"/>
    <w:rsid w:val="00501B6A"/>
    <w:rsid w:val="00521132"/>
    <w:rsid w:val="00523CA6"/>
    <w:rsid w:val="00534815"/>
    <w:rsid w:val="005747CF"/>
    <w:rsid w:val="00594805"/>
    <w:rsid w:val="005A2383"/>
    <w:rsid w:val="005C151E"/>
    <w:rsid w:val="005D093A"/>
    <w:rsid w:val="005D5BB1"/>
    <w:rsid w:val="00602BF3"/>
    <w:rsid w:val="0060326C"/>
    <w:rsid w:val="006051E8"/>
    <w:rsid w:val="00607BBF"/>
    <w:rsid w:val="00632E43"/>
    <w:rsid w:val="006649DE"/>
    <w:rsid w:val="00676C9E"/>
    <w:rsid w:val="0068443B"/>
    <w:rsid w:val="006871A8"/>
    <w:rsid w:val="0069254F"/>
    <w:rsid w:val="006A4394"/>
    <w:rsid w:val="006B2F70"/>
    <w:rsid w:val="006B42E6"/>
    <w:rsid w:val="006C3FBE"/>
    <w:rsid w:val="006C4C13"/>
    <w:rsid w:val="006E368E"/>
    <w:rsid w:val="006F7731"/>
    <w:rsid w:val="007272DA"/>
    <w:rsid w:val="0073291E"/>
    <w:rsid w:val="00751EFE"/>
    <w:rsid w:val="00753852"/>
    <w:rsid w:val="007601E9"/>
    <w:rsid w:val="007767E4"/>
    <w:rsid w:val="00791081"/>
    <w:rsid w:val="007A2480"/>
    <w:rsid w:val="007A59E2"/>
    <w:rsid w:val="007D03F9"/>
    <w:rsid w:val="007D4390"/>
    <w:rsid w:val="007E0177"/>
    <w:rsid w:val="007E0390"/>
    <w:rsid w:val="007F0242"/>
    <w:rsid w:val="00815AC3"/>
    <w:rsid w:val="00815B8A"/>
    <w:rsid w:val="0083787B"/>
    <w:rsid w:val="00844A46"/>
    <w:rsid w:val="00847D8E"/>
    <w:rsid w:val="0088449E"/>
    <w:rsid w:val="008A16B5"/>
    <w:rsid w:val="008A4A13"/>
    <w:rsid w:val="008D0156"/>
    <w:rsid w:val="008D75B4"/>
    <w:rsid w:val="00912715"/>
    <w:rsid w:val="00941E84"/>
    <w:rsid w:val="009447E2"/>
    <w:rsid w:val="00956919"/>
    <w:rsid w:val="00956E96"/>
    <w:rsid w:val="0097203A"/>
    <w:rsid w:val="00984498"/>
    <w:rsid w:val="00995A8B"/>
    <w:rsid w:val="00997CAE"/>
    <w:rsid w:val="009B5D59"/>
    <w:rsid w:val="009C7FB8"/>
    <w:rsid w:val="00A00B87"/>
    <w:rsid w:val="00A05A31"/>
    <w:rsid w:val="00A2707C"/>
    <w:rsid w:val="00A36822"/>
    <w:rsid w:val="00A41214"/>
    <w:rsid w:val="00A41A30"/>
    <w:rsid w:val="00A44D57"/>
    <w:rsid w:val="00A53FFE"/>
    <w:rsid w:val="00A62F9A"/>
    <w:rsid w:val="00AC58DD"/>
    <w:rsid w:val="00AE68D8"/>
    <w:rsid w:val="00AE6F6E"/>
    <w:rsid w:val="00AE7B5A"/>
    <w:rsid w:val="00AF1457"/>
    <w:rsid w:val="00B4717F"/>
    <w:rsid w:val="00B83AE1"/>
    <w:rsid w:val="00B86296"/>
    <w:rsid w:val="00B96A88"/>
    <w:rsid w:val="00B9768B"/>
    <w:rsid w:val="00BA451E"/>
    <w:rsid w:val="00BB0886"/>
    <w:rsid w:val="00BC57DC"/>
    <w:rsid w:val="00BE5145"/>
    <w:rsid w:val="00BF66C2"/>
    <w:rsid w:val="00C0719F"/>
    <w:rsid w:val="00C20C18"/>
    <w:rsid w:val="00C41DD7"/>
    <w:rsid w:val="00C73A63"/>
    <w:rsid w:val="00C848F3"/>
    <w:rsid w:val="00CA3897"/>
    <w:rsid w:val="00CE11DF"/>
    <w:rsid w:val="00CF491F"/>
    <w:rsid w:val="00D003A9"/>
    <w:rsid w:val="00D06D91"/>
    <w:rsid w:val="00D2188C"/>
    <w:rsid w:val="00D24DCE"/>
    <w:rsid w:val="00D3161F"/>
    <w:rsid w:val="00D84442"/>
    <w:rsid w:val="00DA0F64"/>
    <w:rsid w:val="00DA3076"/>
    <w:rsid w:val="00DC6AF7"/>
    <w:rsid w:val="00DD3352"/>
    <w:rsid w:val="00DD3C99"/>
    <w:rsid w:val="00DD493A"/>
    <w:rsid w:val="00DF3DC5"/>
    <w:rsid w:val="00DF7333"/>
    <w:rsid w:val="00E07FF4"/>
    <w:rsid w:val="00E27A3C"/>
    <w:rsid w:val="00E4176D"/>
    <w:rsid w:val="00E42D29"/>
    <w:rsid w:val="00E4496E"/>
    <w:rsid w:val="00E74AAB"/>
    <w:rsid w:val="00E81EEB"/>
    <w:rsid w:val="00ED00D1"/>
    <w:rsid w:val="00F23304"/>
    <w:rsid w:val="00F545F6"/>
    <w:rsid w:val="00F604D9"/>
    <w:rsid w:val="00F613AD"/>
    <w:rsid w:val="00F71DA8"/>
    <w:rsid w:val="00F742F6"/>
    <w:rsid w:val="00F80F06"/>
    <w:rsid w:val="00F93305"/>
    <w:rsid w:val="00FB3B88"/>
    <w:rsid w:val="00FC2CAB"/>
    <w:rsid w:val="00FF0A3A"/>
    <w:rsid w:val="00FF75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5A0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457"/>
  </w:style>
  <w:style w:type="paragraph" w:styleId="Heading2">
    <w:name w:val="heading 2"/>
    <w:basedOn w:val="Normal"/>
    <w:next w:val="Normal"/>
    <w:link w:val="Heading2Char"/>
    <w:qFormat/>
    <w:rsid w:val="00AF1457"/>
    <w:pPr>
      <w:keepNext/>
      <w:spacing w:before="240" w:after="60" w:line="240"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457"/>
    <w:rPr>
      <w:rFonts w:ascii="Arial" w:eastAsia="Calibri" w:hAnsi="Arial" w:cs="Arial"/>
      <w:b/>
      <w:bCs/>
      <w:i/>
      <w:iCs/>
      <w:sz w:val="28"/>
      <w:szCs w:val="28"/>
    </w:rPr>
  </w:style>
  <w:style w:type="character" w:customStyle="1" w:styleId="BodyText2Char">
    <w:name w:val="Body Text 2 Char"/>
    <w:link w:val="BodyText2"/>
    <w:semiHidden/>
    <w:locked/>
    <w:rsid w:val="00AF1457"/>
    <w:rPr>
      <w:rFonts w:ascii="Garamond" w:eastAsia="Calibri" w:hAnsi="Garamond"/>
      <w:sz w:val="28"/>
      <w:szCs w:val="28"/>
    </w:rPr>
  </w:style>
  <w:style w:type="paragraph" w:styleId="BodyText2">
    <w:name w:val="Body Text 2"/>
    <w:basedOn w:val="Normal"/>
    <w:link w:val="BodyText2Char"/>
    <w:semiHidden/>
    <w:rsid w:val="00AF1457"/>
    <w:pPr>
      <w:spacing w:after="0" w:line="240" w:lineRule="auto"/>
      <w:jc w:val="right"/>
    </w:pPr>
    <w:rPr>
      <w:rFonts w:ascii="Garamond" w:eastAsia="Calibri" w:hAnsi="Garamond"/>
      <w:sz w:val="28"/>
      <w:szCs w:val="28"/>
    </w:rPr>
  </w:style>
  <w:style w:type="character" w:customStyle="1" w:styleId="BodyText2Char1">
    <w:name w:val="Body Text 2 Char1"/>
    <w:basedOn w:val="DefaultParagraphFont"/>
    <w:uiPriority w:val="99"/>
    <w:semiHidden/>
    <w:rsid w:val="00AF1457"/>
  </w:style>
  <w:style w:type="paragraph" w:styleId="Header">
    <w:name w:val="header"/>
    <w:basedOn w:val="Normal"/>
    <w:link w:val="HeaderChar"/>
    <w:uiPriority w:val="99"/>
    <w:unhideWhenUsed/>
    <w:rsid w:val="00A44D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4D57"/>
  </w:style>
  <w:style w:type="paragraph" w:styleId="Footer">
    <w:name w:val="footer"/>
    <w:basedOn w:val="Normal"/>
    <w:link w:val="FooterChar"/>
    <w:uiPriority w:val="99"/>
    <w:unhideWhenUsed/>
    <w:rsid w:val="00A44D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4D57"/>
  </w:style>
  <w:style w:type="table" w:styleId="TableGrid">
    <w:name w:val="Table Grid"/>
    <w:basedOn w:val="TableNormal"/>
    <w:uiPriority w:val="39"/>
    <w:rsid w:val="006F77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A8B"/>
    <w:pPr>
      <w:ind w:left="720"/>
      <w:contextualSpacing/>
    </w:pPr>
  </w:style>
  <w:style w:type="character" w:styleId="Emphasis">
    <w:name w:val="Emphasis"/>
    <w:basedOn w:val="DefaultParagraphFont"/>
    <w:uiPriority w:val="20"/>
    <w:qFormat/>
    <w:rsid w:val="00956919"/>
    <w:rPr>
      <w:i/>
      <w:iCs/>
    </w:rPr>
  </w:style>
  <w:style w:type="paragraph" w:customStyle="1" w:styleId="naiskr">
    <w:name w:val="naiskr"/>
    <w:basedOn w:val="Normal"/>
    <w:rsid w:val="009C7FB8"/>
    <w:pPr>
      <w:spacing w:before="75" w:after="75"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C41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DD7"/>
    <w:rPr>
      <w:rFonts w:ascii="Segoe UI" w:hAnsi="Segoe UI" w:cs="Segoe UI"/>
      <w:sz w:val="18"/>
      <w:szCs w:val="18"/>
    </w:rPr>
  </w:style>
  <w:style w:type="paragraph" w:customStyle="1" w:styleId="tv213">
    <w:name w:val="tv213"/>
    <w:basedOn w:val="Normal"/>
    <w:rsid w:val="00403CAC"/>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E4496E"/>
    <w:rPr>
      <w:sz w:val="16"/>
      <w:szCs w:val="16"/>
    </w:rPr>
  </w:style>
  <w:style w:type="paragraph" w:styleId="CommentText">
    <w:name w:val="annotation text"/>
    <w:basedOn w:val="Normal"/>
    <w:link w:val="CommentTextChar"/>
    <w:uiPriority w:val="99"/>
    <w:unhideWhenUsed/>
    <w:rsid w:val="00E4496E"/>
    <w:pPr>
      <w:spacing w:line="240" w:lineRule="auto"/>
    </w:pPr>
    <w:rPr>
      <w:sz w:val="20"/>
      <w:szCs w:val="20"/>
    </w:rPr>
  </w:style>
  <w:style w:type="character" w:customStyle="1" w:styleId="CommentTextChar">
    <w:name w:val="Comment Text Char"/>
    <w:basedOn w:val="DefaultParagraphFont"/>
    <w:link w:val="CommentText"/>
    <w:uiPriority w:val="99"/>
    <w:rsid w:val="00E4496E"/>
    <w:rPr>
      <w:sz w:val="20"/>
      <w:szCs w:val="20"/>
    </w:rPr>
  </w:style>
  <w:style w:type="paragraph" w:styleId="CommentSubject">
    <w:name w:val="annotation subject"/>
    <w:basedOn w:val="CommentText"/>
    <w:next w:val="CommentText"/>
    <w:link w:val="CommentSubjectChar"/>
    <w:uiPriority w:val="99"/>
    <w:semiHidden/>
    <w:unhideWhenUsed/>
    <w:rsid w:val="00E4496E"/>
    <w:rPr>
      <w:b/>
      <w:bCs/>
    </w:rPr>
  </w:style>
  <w:style w:type="character" w:customStyle="1" w:styleId="CommentSubjectChar">
    <w:name w:val="Comment Subject Char"/>
    <w:basedOn w:val="CommentTextChar"/>
    <w:link w:val="CommentSubject"/>
    <w:uiPriority w:val="99"/>
    <w:semiHidden/>
    <w:rsid w:val="00E4496E"/>
    <w:rPr>
      <w:b/>
      <w:bCs/>
      <w:sz w:val="20"/>
      <w:szCs w:val="20"/>
    </w:rPr>
  </w:style>
  <w:style w:type="character" w:styleId="Hyperlink">
    <w:name w:val="Hyperlink"/>
    <w:basedOn w:val="DefaultParagraphFont"/>
    <w:uiPriority w:val="99"/>
    <w:unhideWhenUsed/>
    <w:rsid w:val="00F93305"/>
    <w:rPr>
      <w:color w:val="0563C1" w:themeColor="hyperlink"/>
      <w:u w:val="single"/>
    </w:rPr>
  </w:style>
  <w:style w:type="character" w:styleId="UnresolvedMention">
    <w:name w:val="Unresolved Mention"/>
    <w:basedOn w:val="DefaultParagraphFont"/>
    <w:uiPriority w:val="99"/>
    <w:semiHidden/>
    <w:unhideWhenUsed/>
    <w:rsid w:val="00F93305"/>
    <w:rPr>
      <w:color w:val="605E5C"/>
      <w:shd w:val="clear" w:color="auto" w:fill="E1DFDD"/>
    </w:rPr>
  </w:style>
  <w:style w:type="character" w:styleId="FollowedHyperlink">
    <w:name w:val="FollowedHyperlink"/>
    <w:basedOn w:val="DefaultParagraphFont"/>
    <w:uiPriority w:val="99"/>
    <w:semiHidden/>
    <w:unhideWhenUsed/>
    <w:rsid w:val="002575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875167">
      <w:bodyDiv w:val="1"/>
      <w:marLeft w:val="0"/>
      <w:marRight w:val="0"/>
      <w:marTop w:val="0"/>
      <w:marBottom w:val="0"/>
      <w:divBdr>
        <w:top w:val="none" w:sz="0" w:space="0" w:color="auto"/>
        <w:left w:val="none" w:sz="0" w:space="0" w:color="auto"/>
        <w:bottom w:val="none" w:sz="0" w:space="0" w:color="auto"/>
        <w:right w:val="none" w:sz="0" w:space="0" w:color="auto"/>
      </w:divBdr>
    </w:div>
    <w:div w:id="18789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39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6221</Words>
  <Characters>3547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2021-01-18T08:31:00Z</dcterms:created>
  <dcterms:modified xsi:type="dcterms:W3CDTF">2021-01-18T08:31:00Z</dcterms:modified>
</cp:coreProperties>
</file>