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DA811" w14:textId="77777777" w:rsidR="00C85C86" w:rsidRPr="0028555F" w:rsidRDefault="00C85C86" w:rsidP="0028555F">
      <w:pPr>
        <w:spacing w:after="0" w:line="276" w:lineRule="auto"/>
        <w:rPr>
          <w:rFonts w:cs="Times New Roman"/>
          <w:b/>
          <w:bCs/>
          <w:szCs w:val="24"/>
        </w:rPr>
      </w:pPr>
      <w:r w:rsidRPr="0028555F">
        <w:rPr>
          <w:rFonts w:cs="Times New Roman"/>
          <w:b/>
          <w:bCs/>
          <w:szCs w:val="24"/>
        </w:rPr>
        <w:t xml:space="preserve">Inženierbūves būvniecībai izsniegtās būvatļaujas pārsūdzēšana </w:t>
      </w:r>
    </w:p>
    <w:p w14:paraId="1A9F2421" w14:textId="599AC5C9" w:rsidR="00E147AD" w:rsidRDefault="00C85C86" w:rsidP="0028555F">
      <w:pPr>
        <w:spacing w:after="0" w:line="276" w:lineRule="auto"/>
        <w:jc w:val="both"/>
        <w:rPr>
          <w:rFonts w:cs="Times New Roman"/>
          <w:szCs w:val="24"/>
        </w:rPr>
      </w:pPr>
      <w:r w:rsidRPr="0028555F">
        <w:rPr>
          <w:rFonts w:cs="Times New Roman"/>
          <w:szCs w:val="24"/>
        </w:rPr>
        <w:t xml:space="preserve">Būvniecības likuma </w:t>
      </w:r>
      <w:proofErr w:type="gramStart"/>
      <w:r w:rsidRPr="0028555F">
        <w:rPr>
          <w:rFonts w:cs="Times New Roman"/>
          <w:szCs w:val="24"/>
        </w:rPr>
        <w:t>14.panta</w:t>
      </w:r>
      <w:proofErr w:type="gramEnd"/>
      <w:r w:rsidRPr="0028555F">
        <w:rPr>
          <w:rFonts w:cs="Times New Roman"/>
          <w:szCs w:val="24"/>
        </w:rPr>
        <w:t xml:space="preserve"> devītās daļas mērķis ir nodrošināt, ka gadījumā, kad ar būvatļauju skartās personas par iespējamo tiesību aizskārumu var neuzzināt būvatļaujas spēkā stāšanās brīdī, tās var iebilst pret būvatļauju vēlāk, nekā tas būtu parastā gadījumā, kad visi nepieciešamie saskaņojumi saņemami (un tātad personas var uzzināt par iespējamo aizskārumu) pirms būvatļaujas izsniegšanas. Proti, šī norma nenoteic, no kura brīža vispār drīkst iebilst pret būvatļauju, bet gan noteic, cik ilgi personām ir tiesības to darīt. Būvniecības likuma 15.panta otrās daļas piemērošanas gadījumā šis termiņš ir viens mēnesis, skaitot no dienas, kad izdarīta atzīme par projektēšanas nosacījumu izpildi.</w:t>
      </w:r>
    </w:p>
    <w:p w14:paraId="21A289F0" w14:textId="77777777" w:rsidR="0028555F" w:rsidRPr="0028555F" w:rsidRDefault="0028555F" w:rsidP="0028555F">
      <w:pPr>
        <w:spacing w:after="0" w:line="276" w:lineRule="auto"/>
        <w:jc w:val="both"/>
        <w:rPr>
          <w:rFonts w:cs="Times New Roman"/>
          <w:b/>
          <w:bCs/>
          <w:szCs w:val="24"/>
        </w:rPr>
      </w:pPr>
    </w:p>
    <w:p w14:paraId="6639CB98" w14:textId="3DC5D46B" w:rsidR="00E147AD" w:rsidRPr="0028555F" w:rsidRDefault="00566A36" w:rsidP="0028555F">
      <w:pPr>
        <w:tabs>
          <w:tab w:val="left" w:pos="1276"/>
        </w:tabs>
        <w:spacing w:after="0" w:line="276" w:lineRule="auto"/>
        <w:jc w:val="center"/>
        <w:rPr>
          <w:rFonts w:cs="Times New Roman"/>
          <w:b/>
          <w:color w:val="auto"/>
          <w:szCs w:val="24"/>
        </w:rPr>
      </w:pPr>
      <w:r w:rsidRPr="0028555F">
        <w:rPr>
          <w:rFonts w:cs="Times New Roman"/>
          <w:b/>
          <w:color w:val="auto"/>
          <w:szCs w:val="24"/>
        </w:rPr>
        <w:t>Latvijas Republikas Senāta</w:t>
      </w:r>
    </w:p>
    <w:p w14:paraId="2229EF16" w14:textId="1DD94A6A" w:rsidR="00566A36" w:rsidRPr="0028555F" w:rsidRDefault="00566A36" w:rsidP="0028555F">
      <w:pPr>
        <w:tabs>
          <w:tab w:val="left" w:pos="1276"/>
        </w:tabs>
        <w:spacing w:after="0" w:line="276" w:lineRule="auto"/>
        <w:jc w:val="center"/>
        <w:rPr>
          <w:rFonts w:cs="Times New Roman"/>
          <w:b/>
          <w:color w:val="auto"/>
          <w:szCs w:val="24"/>
        </w:rPr>
      </w:pPr>
      <w:r w:rsidRPr="0028555F">
        <w:rPr>
          <w:rFonts w:cs="Times New Roman"/>
          <w:b/>
          <w:color w:val="auto"/>
          <w:szCs w:val="24"/>
        </w:rPr>
        <w:t xml:space="preserve">Administratīvo lietu departamenta </w:t>
      </w:r>
    </w:p>
    <w:p w14:paraId="06203D38" w14:textId="44266DC3" w:rsidR="00566A36" w:rsidRPr="0028555F" w:rsidRDefault="00566A36" w:rsidP="0028555F">
      <w:pPr>
        <w:tabs>
          <w:tab w:val="left" w:pos="1276"/>
        </w:tabs>
        <w:spacing w:after="0" w:line="276" w:lineRule="auto"/>
        <w:jc w:val="center"/>
        <w:rPr>
          <w:rFonts w:cs="Times New Roman"/>
          <w:b/>
          <w:color w:val="auto"/>
          <w:szCs w:val="24"/>
        </w:rPr>
      </w:pPr>
      <w:proofErr w:type="gramStart"/>
      <w:r w:rsidRPr="0028555F">
        <w:rPr>
          <w:rFonts w:cs="Times New Roman"/>
          <w:b/>
          <w:color w:val="auto"/>
          <w:szCs w:val="24"/>
        </w:rPr>
        <w:t>2021.gada</w:t>
      </w:r>
      <w:proofErr w:type="gramEnd"/>
      <w:r w:rsidRPr="0028555F">
        <w:rPr>
          <w:rFonts w:cs="Times New Roman"/>
          <w:b/>
          <w:color w:val="auto"/>
          <w:szCs w:val="24"/>
        </w:rPr>
        <w:t xml:space="preserve"> 22.februāra</w:t>
      </w:r>
    </w:p>
    <w:p w14:paraId="52447C9B" w14:textId="77777777" w:rsidR="00E147AD" w:rsidRPr="0028555F" w:rsidRDefault="00E147AD" w:rsidP="0028555F">
      <w:pPr>
        <w:tabs>
          <w:tab w:val="left" w:pos="1276"/>
        </w:tabs>
        <w:spacing w:after="0" w:line="276" w:lineRule="auto"/>
        <w:jc w:val="center"/>
        <w:rPr>
          <w:rFonts w:cs="Times New Roman"/>
          <w:b/>
          <w:color w:val="auto"/>
          <w:szCs w:val="24"/>
        </w:rPr>
      </w:pPr>
      <w:bookmarkStart w:id="0" w:name="OLE_LINK2"/>
      <w:bookmarkStart w:id="1" w:name="OLE_LINK1"/>
      <w:bookmarkEnd w:id="0"/>
      <w:bookmarkEnd w:id="1"/>
      <w:r w:rsidRPr="0028555F">
        <w:rPr>
          <w:rFonts w:cs="Times New Roman"/>
          <w:b/>
          <w:color w:val="auto"/>
          <w:szCs w:val="24"/>
        </w:rPr>
        <w:t>LĒMUMS</w:t>
      </w:r>
    </w:p>
    <w:p w14:paraId="114DA9A9" w14:textId="052151AF" w:rsidR="00566A36" w:rsidRPr="0028555F" w:rsidRDefault="00566A36" w:rsidP="0028555F">
      <w:pPr>
        <w:tabs>
          <w:tab w:val="left" w:pos="567"/>
        </w:tabs>
        <w:spacing w:after="0" w:line="276" w:lineRule="auto"/>
        <w:jc w:val="center"/>
        <w:rPr>
          <w:rFonts w:cs="Times New Roman"/>
          <w:color w:val="auto"/>
          <w:szCs w:val="24"/>
        </w:rPr>
      </w:pPr>
      <w:r w:rsidRPr="0028555F">
        <w:rPr>
          <w:rFonts w:cs="Times New Roman"/>
          <w:color w:val="auto"/>
          <w:szCs w:val="24"/>
        </w:rPr>
        <w:t>Lieta Nr. 680073620, SKA-771/2021</w:t>
      </w:r>
    </w:p>
    <w:p w14:paraId="21146284" w14:textId="2EAF91E0" w:rsidR="00C85C86" w:rsidRPr="0028555F" w:rsidRDefault="0028555F" w:rsidP="0028555F">
      <w:pPr>
        <w:tabs>
          <w:tab w:val="left" w:pos="1276"/>
        </w:tabs>
        <w:spacing w:after="0" w:line="276" w:lineRule="auto"/>
        <w:jc w:val="center"/>
        <w:rPr>
          <w:rFonts w:cs="Times New Roman"/>
          <w:szCs w:val="24"/>
        </w:rPr>
      </w:pPr>
      <w:hyperlink r:id="rId6" w:history="1">
        <w:r w:rsidR="00535B83" w:rsidRPr="0028555F">
          <w:rPr>
            <w:rStyle w:val="Hyperlink"/>
            <w:rFonts w:cs="Times New Roman"/>
            <w:szCs w:val="24"/>
          </w:rPr>
          <w:t>ECLI:LV:AT:2021:0222.SKA077121.4.L</w:t>
        </w:r>
      </w:hyperlink>
      <w:r w:rsidR="00535B83" w:rsidRPr="0028555F">
        <w:rPr>
          <w:rFonts w:cs="Times New Roman"/>
          <w:szCs w:val="24"/>
        </w:rPr>
        <w:t xml:space="preserve"> </w:t>
      </w:r>
    </w:p>
    <w:p w14:paraId="6B0BBC42" w14:textId="77777777" w:rsidR="00535B83" w:rsidRPr="0028555F" w:rsidRDefault="00535B83" w:rsidP="0028555F">
      <w:pPr>
        <w:tabs>
          <w:tab w:val="left" w:pos="1276"/>
        </w:tabs>
        <w:spacing w:after="0" w:line="276" w:lineRule="auto"/>
        <w:jc w:val="center"/>
        <w:rPr>
          <w:rFonts w:cs="Times New Roman"/>
          <w:color w:val="auto"/>
          <w:szCs w:val="24"/>
        </w:rPr>
      </w:pPr>
    </w:p>
    <w:p w14:paraId="257F3126" w14:textId="43A2F8AA" w:rsidR="00E147AD" w:rsidRPr="0028555F" w:rsidRDefault="00E147AD" w:rsidP="0028555F">
      <w:pPr>
        <w:tabs>
          <w:tab w:val="left" w:pos="1276"/>
        </w:tabs>
        <w:spacing w:after="0" w:line="276" w:lineRule="auto"/>
        <w:ind w:firstLine="567"/>
        <w:jc w:val="both"/>
        <w:rPr>
          <w:rFonts w:cs="Times New Roman"/>
          <w:color w:val="auto"/>
          <w:szCs w:val="24"/>
        </w:rPr>
      </w:pPr>
      <w:r w:rsidRPr="0028555F">
        <w:rPr>
          <w:rFonts w:cs="Times New Roman"/>
          <w:color w:val="auto"/>
          <w:szCs w:val="24"/>
        </w:rPr>
        <w:t xml:space="preserve">Tiesa šādā sastāvā: senatores Vēsma Kakste, </w:t>
      </w:r>
      <w:r w:rsidR="00CC1F72" w:rsidRPr="0028555F">
        <w:rPr>
          <w:rFonts w:cs="Times New Roman"/>
          <w:color w:val="auto"/>
          <w:szCs w:val="24"/>
        </w:rPr>
        <w:t>Dzintra Amerika, Diāna Makarova</w:t>
      </w:r>
    </w:p>
    <w:p w14:paraId="1B8D4B9C" w14:textId="77777777" w:rsidR="00E147AD" w:rsidRPr="0028555F" w:rsidRDefault="00E147AD" w:rsidP="0028555F">
      <w:pPr>
        <w:tabs>
          <w:tab w:val="left" w:pos="1276"/>
        </w:tabs>
        <w:spacing w:after="0" w:line="276" w:lineRule="auto"/>
        <w:jc w:val="both"/>
        <w:rPr>
          <w:rFonts w:cs="Times New Roman"/>
          <w:color w:val="auto"/>
          <w:szCs w:val="24"/>
        </w:rPr>
      </w:pPr>
    </w:p>
    <w:p w14:paraId="43281561" w14:textId="3F344B22" w:rsidR="00E147AD" w:rsidRPr="0028555F" w:rsidRDefault="00E147AD" w:rsidP="0028555F">
      <w:pPr>
        <w:tabs>
          <w:tab w:val="left" w:pos="1276"/>
        </w:tabs>
        <w:spacing w:after="0" w:line="276" w:lineRule="auto"/>
        <w:ind w:firstLine="567"/>
        <w:jc w:val="both"/>
        <w:rPr>
          <w:rFonts w:cs="Times New Roman"/>
          <w:color w:val="auto"/>
          <w:szCs w:val="24"/>
        </w:rPr>
      </w:pPr>
      <w:r w:rsidRPr="0028555F">
        <w:rPr>
          <w:rFonts w:cs="Times New Roman"/>
          <w:color w:val="auto"/>
          <w:szCs w:val="24"/>
        </w:rPr>
        <w:t xml:space="preserve">rakstveida procesā izskatīja </w:t>
      </w:r>
      <w:proofErr w:type="gramStart"/>
      <w:r w:rsidR="00566A36" w:rsidRPr="0028555F">
        <w:rPr>
          <w:rFonts w:cs="Times New Roman"/>
          <w:color w:val="auto"/>
          <w:szCs w:val="24"/>
        </w:rPr>
        <w:t>[</w:t>
      </w:r>
      <w:proofErr w:type="gramEnd"/>
      <w:r w:rsidR="00566A36" w:rsidRPr="0028555F">
        <w:rPr>
          <w:rFonts w:cs="Times New Roman"/>
          <w:color w:val="auto"/>
          <w:szCs w:val="24"/>
        </w:rPr>
        <w:t xml:space="preserve">pers. A] </w:t>
      </w:r>
      <w:r w:rsidRPr="0028555F">
        <w:rPr>
          <w:rFonts w:cs="Times New Roman"/>
          <w:color w:val="auto"/>
          <w:szCs w:val="24"/>
        </w:rPr>
        <w:t xml:space="preserve">blakus sūdzību par Administratīvās rajona tiesas tiesneša </w:t>
      </w:r>
      <w:proofErr w:type="gramStart"/>
      <w:r w:rsidRPr="0028555F">
        <w:rPr>
          <w:rFonts w:cs="Times New Roman"/>
          <w:color w:val="auto"/>
          <w:szCs w:val="24"/>
        </w:rPr>
        <w:t>2020.gada</w:t>
      </w:r>
      <w:proofErr w:type="gramEnd"/>
      <w:r w:rsidRPr="0028555F">
        <w:rPr>
          <w:rFonts w:cs="Times New Roman"/>
          <w:color w:val="auto"/>
          <w:szCs w:val="24"/>
        </w:rPr>
        <w:t xml:space="preserve"> 17.decembra lēmumu, ar kuru atteikts pieņemt pieteikumu.</w:t>
      </w:r>
    </w:p>
    <w:p w14:paraId="3A7FFE73" w14:textId="77777777" w:rsidR="00E147AD" w:rsidRPr="0028555F" w:rsidRDefault="00E147AD" w:rsidP="0028555F">
      <w:pPr>
        <w:tabs>
          <w:tab w:val="left" w:pos="1276"/>
        </w:tabs>
        <w:spacing w:after="0" w:line="276" w:lineRule="auto"/>
        <w:ind w:firstLine="567"/>
        <w:jc w:val="both"/>
        <w:rPr>
          <w:rFonts w:cs="Times New Roman"/>
          <w:color w:val="auto"/>
          <w:szCs w:val="24"/>
        </w:rPr>
      </w:pPr>
    </w:p>
    <w:p w14:paraId="5B515B8A" w14:textId="77777777" w:rsidR="00E147AD" w:rsidRPr="0028555F" w:rsidRDefault="00E147AD" w:rsidP="0028555F">
      <w:pPr>
        <w:tabs>
          <w:tab w:val="left" w:pos="1276"/>
        </w:tabs>
        <w:spacing w:after="0" w:line="276" w:lineRule="auto"/>
        <w:jc w:val="center"/>
        <w:rPr>
          <w:rFonts w:cs="Times New Roman"/>
          <w:b/>
          <w:color w:val="auto"/>
          <w:szCs w:val="24"/>
        </w:rPr>
      </w:pPr>
      <w:r w:rsidRPr="0028555F">
        <w:rPr>
          <w:rFonts w:cs="Times New Roman"/>
          <w:b/>
          <w:color w:val="auto"/>
          <w:szCs w:val="24"/>
        </w:rPr>
        <w:t>Aprakstošā daļa</w:t>
      </w:r>
    </w:p>
    <w:p w14:paraId="5B31AE33" w14:textId="77777777" w:rsidR="00E147AD" w:rsidRPr="0028555F" w:rsidRDefault="00E147AD" w:rsidP="0028555F">
      <w:pPr>
        <w:tabs>
          <w:tab w:val="left" w:pos="1276"/>
        </w:tabs>
        <w:spacing w:after="0" w:line="276" w:lineRule="auto"/>
        <w:rPr>
          <w:rFonts w:cs="Times New Roman"/>
          <w:color w:val="auto"/>
          <w:szCs w:val="24"/>
        </w:rPr>
      </w:pPr>
    </w:p>
    <w:p w14:paraId="36FCE1AE" w14:textId="1E66A956" w:rsidR="00944DBD" w:rsidRPr="0028555F" w:rsidRDefault="00E147AD" w:rsidP="0028555F">
      <w:pPr>
        <w:tabs>
          <w:tab w:val="left" w:pos="1276"/>
        </w:tabs>
        <w:spacing w:after="0" w:line="276" w:lineRule="auto"/>
        <w:ind w:firstLine="567"/>
        <w:jc w:val="both"/>
        <w:rPr>
          <w:rFonts w:cs="Times New Roman"/>
          <w:color w:val="auto"/>
          <w:szCs w:val="24"/>
        </w:rPr>
      </w:pPr>
      <w:r w:rsidRPr="0028555F">
        <w:rPr>
          <w:rFonts w:cs="Times New Roman"/>
          <w:color w:val="auto"/>
          <w:szCs w:val="24"/>
        </w:rPr>
        <w:t>[1] </w:t>
      </w:r>
      <w:r w:rsidR="00944DBD" w:rsidRPr="0028555F">
        <w:rPr>
          <w:rFonts w:cs="Times New Roman"/>
          <w:color w:val="auto"/>
          <w:szCs w:val="24"/>
        </w:rPr>
        <w:t xml:space="preserve">Administratīvās rajona tiesas tiesnesis ar </w:t>
      </w:r>
      <w:proofErr w:type="gramStart"/>
      <w:r w:rsidR="00944DBD" w:rsidRPr="0028555F">
        <w:rPr>
          <w:rFonts w:cs="Times New Roman"/>
          <w:color w:val="auto"/>
          <w:szCs w:val="24"/>
        </w:rPr>
        <w:t>2020.gada</w:t>
      </w:r>
      <w:proofErr w:type="gramEnd"/>
      <w:r w:rsidR="00944DBD" w:rsidRPr="0028555F">
        <w:rPr>
          <w:rFonts w:cs="Times New Roman"/>
          <w:color w:val="auto"/>
          <w:szCs w:val="24"/>
        </w:rPr>
        <w:t xml:space="preserve"> 17.decembra lēmumu atteica pieņemt pieteicēja </w:t>
      </w:r>
      <w:r w:rsidR="00566A36" w:rsidRPr="0028555F">
        <w:rPr>
          <w:rFonts w:cs="Times New Roman"/>
          <w:color w:val="auto"/>
          <w:szCs w:val="24"/>
        </w:rPr>
        <w:t xml:space="preserve">[pers. A] </w:t>
      </w:r>
      <w:r w:rsidR="00944DBD" w:rsidRPr="0028555F">
        <w:rPr>
          <w:rFonts w:cs="Times New Roman"/>
          <w:color w:val="auto"/>
          <w:szCs w:val="24"/>
        </w:rPr>
        <w:t xml:space="preserve">pieteikumu par Mārupes novada būvvaldes izsniegtās būvatļaujas Nr. BIS-BV-4.5-2020-509 atcelšanu. </w:t>
      </w:r>
      <w:r w:rsidR="002753F8" w:rsidRPr="0028555F">
        <w:rPr>
          <w:rFonts w:cs="Times New Roman"/>
          <w:color w:val="auto"/>
          <w:szCs w:val="24"/>
        </w:rPr>
        <w:t xml:space="preserve">Lēmums pamatots ar Administratīvā procesa likuma </w:t>
      </w:r>
      <w:proofErr w:type="gramStart"/>
      <w:r w:rsidR="002753F8" w:rsidRPr="0028555F">
        <w:rPr>
          <w:rFonts w:cs="Times New Roman"/>
          <w:color w:val="auto"/>
          <w:szCs w:val="24"/>
        </w:rPr>
        <w:t>191.panta</w:t>
      </w:r>
      <w:proofErr w:type="gramEnd"/>
      <w:r w:rsidR="002753F8" w:rsidRPr="0028555F">
        <w:rPr>
          <w:rFonts w:cs="Times New Roman"/>
          <w:color w:val="auto"/>
          <w:szCs w:val="24"/>
        </w:rPr>
        <w:t xml:space="preserve"> pirmās daļas 1.punktu un tajā norādīti turpmāk minētie apsvērumi.</w:t>
      </w:r>
    </w:p>
    <w:p w14:paraId="48840733" w14:textId="6F92F5D6" w:rsidR="00944DBD" w:rsidRPr="0028555F" w:rsidRDefault="002753F8" w:rsidP="0028555F">
      <w:pPr>
        <w:tabs>
          <w:tab w:val="left" w:pos="1276"/>
        </w:tabs>
        <w:spacing w:after="0" w:line="276" w:lineRule="auto"/>
        <w:ind w:firstLine="567"/>
        <w:jc w:val="both"/>
        <w:rPr>
          <w:rFonts w:cs="Times New Roman"/>
          <w:color w:val="auto"/>
          <w:szCs w:val="24"/>
        </w:rPr>
      </w:pPr>
      <w:r w:rsidRPr="0028555F">
        <w:rPr>
          <w:rFonts w:cs="Times New Roman"/>
          <w:color w:val="auto"/>
          <w:szCs w:val="24"/>
        </w:rPr>
        <w:t>B</w:t>
      </w:r>
      <w:r w:rsidR="00944DBD" w:rsidRPr="0028555F">
        <w:rPr>
          <w:rFonts w:cs="Times New Roman"/>
          <w:color w:val="auto"/>
          <w:szCs w:val="24"/>
        </w:rPr>
        <w:t>ūvatļauja izsniegta pašvaldība</w:t>
      </w:r>
      <w:r w:rsidR="0011471D" w:rsidRPr="0028555F">
        <w:rPr>
          <w:rFonts w:cs="Times New Roman"/>
          <w:color w:val="auto"/>
          <w:szCs w:val="24"/>
        </w:rPr>
        <w:t>i tai piederoša</w:t>
      </w:r>
      <w:r w:rsidR="00944DBD" w:rsidRPr="0028555F">
        <w:rPr>
          <w:rFonts w:cs="Times New Roman"/>
          <w:color w:val="auto"/>
          <w:szCs w:val="24"/>
        </w:rPr>
        <w:t xml:space="preserve"> ceļa C-19</w:t>
      </w:r>
      <w:r w:rsidR="00C67D1B" w:rsidRPr="0028555F">
        <w:rPr>
          <w:rFonts w:cs="Times New Roman"/>
          <w:color w:val="auto"/>
          <w:szCs w:val="24"/>
        </w:rPr>
        <w:t xml:space="preserve"> (Ainavas–</w:t>
      </w:r>
      <w:proofErr w:type="spellStart"/>
      <w:r w:rsidR="00C67D1B" w:rsidRPr="0028555F">
        <w:rPr>
          <w:rFonts w:cs="Times New Roman"/>
          <w:color w:val="auto"/>
          <w:szCs w:val="24"/>
        </w:rPr>
        <w:t>Vecinkas</w:t>
      </w:r>
      <w:proofErr w:type="spellEnd"/>
      <w:r w:rsidR="00C67D1B" w:rsidRPr="0028555F">
        <w:rPr>
          <w:rFonts w:cs="Times New Roman"/>
          <w:color w:val="auto"/>
          <w:szCs w:val="24"/>
        </w:rPr>
        <w:t>)</w:t>
      </w:r>
      <w:r w:rsidR="00944DBD" w:rsidRPr="0028555F">
        <w:rPr>
          <w:rFonts w:cs="Times New Roman"/>
          <w:color w:val="auto"/>
          <w:szCs w:val="24"/>
        </w:rPr>
        <w:t>, kadastra apzīmējums</w:t>
      </w:r>
      <w:r w:rsidR="00535B83" w:rsidRPr="0028555F">
        <w:rPr>
          <w:rFonts w:cs="Times New Roman"/>
          <w:color w:val="auto"/>
          <w:szCs w:val="24"/>
        </w:rPr>
        <w:t xml:space="preserve"> [numurs A.]</w:t>
      </w:r>
      <w:r w:rsidR="003A4B22" w:rsidRPr="0028555F">
        <w:rPr>
          <w:rFonts w:cs="Times New Roman"/>
          <w:color w:val="auto"/>
          <w:szCs w:val="24"/>
        </w:rPr>
        <w:t>,</w:t>
      </w:r>
      <w:r w:rsidR="00944DBD" w:rsidRPr="0028555F">
        <w:rPr>
          <w:rFonts w:cs="Times New Roman"/>
          <w:color w:val="auto"/>
          <w:szCs w:val="24"/>
        </w:rPr>
        <w:t xml:space="preserve"> pārbūvei. </w:t>
      </w:r>
      <w:r w:rsidR="00C67D1B" w:rsidRPr="0028555F">
        <w:rPr>
          <w:rFonts w:cs="Times New Roman"/>
          <w:color w:val="auto"/>
          <w:szCs w:val="24"/>
        </w:rPr>
        <w:t>Būvatļauja</w:t>
      </w:r>
      <w:r w:rsidRPr="0028555F">
        <w:rPr>
          <w:rFonts w:cs="Times New Roman"/>
          <w:color w:val="auto"/>
          <w:szCs w:val="24"/>
        </w:rPr>
        <w:t xml:space="preserve"> </w:t>
      </w:r>
      <w:r w:rsidR="00944DBD" w:rsidRPr="0028555F">
        <w:rPr>
          <w:rFonts w:cs="Times New Roman"/>
          <w:color w:val="auto"/>
          <w:szCs w:val="24"/>
        </w:rPr>
        <w:t>ietver projektēšanas nosacījumu, ka Mārupes novada domei ir jāsaskaņo vai jāinformē par plānotiem būvdarbiem blakus esošo nekustamo īpašumu īpašnieki un kopīpašnieki. Būvatļaujā vēl nav izdarīta atzīme par projektēšanas nosacījumu izpildi.</w:t>
      </w:r>
    </w:p>
    <w:p w14:paraId="0BBB63D4" w14:textId="63543CB7" w:rsidR="0011471D" w:rsidRPr="0028555F" w:rsidRDefault="00944DBD" w:rsidP="0028555F">
      <w:pPr>
        <w:tabs>
          <w:tab w:val="left" w:pos="1276"/>
        </w:tabs>
        <w:spacing w:after="0" w:line="276" w:lineRule="auto"/>
        <w:ind w:firstLine="567"/>
        <w:jc w:val="both"/>
        <w:rPr>
          <w:rFonts w:cs="Times New Roman"/>
          <w:color w:val="auto"/>
          <w:szCs w:val="24"/>
        </w:rPr>
      </w:pPr>
      <w:r w:rsidRPr="0028555F">
        <w:rPr>
          <w:rFonts w:cs="Times New Roman"/>
          <w:color w:val="auto"/>
          <w:szCs w:val="24"/>
        </w:rPr>
        <w:t xml:space="preserve">Atbilstoši Būvniecības likuma </w:t>
      </w:r>
      <w:proofErr w:type="gramStart"/>
      <w:r w:rsidRPr="0028555F">
        <w:rPr>
          <w:rFonts w:cs="Times New Roman"/>
          <w:color w:val="auto"/>
          <w:szCs w:val="24"/>
        </w:rPr>
        <w:t>14.panta</w:t>
      </w:r>
      <w:proofErr w:type="gramEnd"/>
      <w:r w:rsidRPr="0028555F">
        <w:rPr>
          <w:rFonts w:cs="Times New Roman"/>
          <w:color w:val="auto"/>
          <w:szCs w:val="24"/>
        </w:rPr>
        <w:t xml:space="preserve"> devītajai daļai būvatļauju var apstrīdēt vai pārsūdzēt Administratīvā procesa likumā noteiktajā kārtībā</w:t>
      </w:r>
      <w:r w:rsidR="00527F3C" w:rsidRPr="0028555F">
        <w:rPr>
          <w:rFonts w:cs="Times New Roman"/>
          <w:color w:val="auto"/>
          <w:szCs w:val="24"/>
        </w:rPr>
        <w:t xml:space="preserve"> mēneša laikā no šā panta sestās daļas 3.punktā minētās dienas, bet šā panta 15.panta otrajā daļā minētajā gadījumā – no dienas, kad izdarīta atzīme par projektēšanas nosacījumu izpildi.</w:t>
      </w:r>
      <w:r w:rsidR="002753F8" w:rsidRPr="0028555F">
        <w:rPr>
          <w:rFonts w:cs="Times New Roman"/>
          <w:color w:val="auto"/>
          <w:szCs w:val="24"/>
        </w:rPr>
        <w:t xml:space="preserve"> </w:t>
      </w:r>
      <w:r w:rsidR="00DC32F0" w:rsidRPr="0028555F">
        <w:rPr>
          <w:rFonts w:cs="Times New Roman"/>
          <w:color w:val="auto"/>
          <w:szCs w:val="24"/>
        </w:rPr>
        <w:t>Saskaņā ar Būvniecības likuma 15.panta pirmās daļas 2.punktu būvatļauju izdod, ja būvniecības iecere ir saskaņota ar zemesgabala īpašnieku un būves īpašnieku gadījumā, kad būvniecība paredzēta esošā būvē, vai zemesgabala īpašnieks ir informēts gadījumā, kad to prasa normatīvie akti. Vienlaikus Būvniecības likuma 15.panta otrā daļa noteic, ka speciālajos būvnoteikumos paredzētajos gadījumos būvatļauju inženierbūves būvniecībai izdod pirms š</w:t>
      </w:r>
      <w:r w:rsidR="00F947C9" w:rsidRPr="0028555F">
        <w:rPr>
          <w:rFonts w:cs="Times New Roman"/>
          <w:color w:val="auto"/>
          <w:szCs w:val="24"/>
        </w:rPr>
        <w:t>ā</w:t>
      </w:r>
      <w:r w:rsidR="00DC32F0" w:rsidRPr="0028555F">
        <w:rPr>
          <w:rFonts w:cs="Times New Roman"/>
          <w:color w:val="auto"/>
          <w:szCs w:val="24"/>
        </w:rPr>
        <w:t xml:space="preserve"> panta pirmās daļas 2.punktā minēto prasību izpildes un iekļauj attiecīgās prasības būvatļaujas projektēšanas nosacījumos.</w:t>
      </w:r>
      <w:r w:rsidR="0011471D" w:rsidRPr="0028555F">
        <w:rPr>
          <w:rFonts w:cs="Times New Roman"/>
          <w:color w:val="auto"/>
          <w:szCs w:val="24"/>
        </w:rPr>
        <w:t xml:space="preserve"> No Ministru kabineta 2014.gada 14.oktobra noteikumu Nr. 633 „Autoceļu un ielu būvnoteikumi” (turpmāk – noteikumi Nr. 633) 66.punkta un 80.1.4.</w:t>
      </w:r>
      <w:r w:rsidR="00F947C9" w:rsidRPr="0028555F">
        <w:rPr>
          <w:rFonts w:cs="Times New Roman"/>
          <w:color w:val="auto"/>
          <w:szCs w:val="24"/>
        </w:rPr>
        <w:t>apakš</w:t>
      </w:r>
      <w:r w:rsidR="0011471D" w:rsidRPr="0028555F">
        <w:rPr>
          <w:rFonts w:cs="Times New Roman"/>
          <w:color w:val="auto"/>
          <w:szCs w:val="24"/>
        </w:rPr>
        <w:t xml:space="preserve">punkta izriet, ka ceļa </w:t>
      </w:r>
      <w:r w:rsidR="0011471D" w:rsidRPr="0028555F">
        <w:rPr>
          <w:rFonts w:cs="Times New Roman"/>
          <w:color w:val="auto"/>
          <w:szCs w:val="24"/>
        </w:rPr>
        <w:lastRenderedPageBreak/>
        <w:t>pārbūves gadījumā būvatļauju izdod pirms saskaņošanas ar nekustamo īpašumu īpašniekiem, bet prasību par šāda saskaņojuma saņemšanu iekļauj būvatļaujas projektēšanas nosacījumos.</w:t>
      </w:r>
    </w:p>
    <w:p w14:paraId="0CDE79AE" w14:textId="2EF16F0B" w:rsidR="00DC32F0" w:rsidRPr="0028555F" w:rsidRDefault="00DC32F0" w:rsidP="0028555F">
      <w:pPr>
        <w:tabs>
          <w:tab w:val="left" w:pos="1276"/>
        </w:tabs>
        <w:spacing w:after="0" w:line="276" w:lineRule="auto"/>
        <w:ind w:firstLine="567"/>
        <w:jc w:val="both"/>
        <w:rPr>
          <w:rFonts w:cs="Times New Roman"/>
          <w:color w:val="auto"/>
          <w:szCs w:val="24"/>
        </w:rPr>
      </w:pPr>
    </w:p>
    <w:p w14:paraId="1DBA6142" w14:textId="2D3A50F6" w:rsidR="002753F8" w:rsidRPr="0028555F" w:rsidRDefault="002753F8" w:rsidP="0028555F">
      <w:pPr>
        <w:tabs>
          <w:tab w:val="left" w:pos="1276"/>
        </w:tabs>
        <w:spacing w:after="0" w:line="276" w:lineRule="auto"/>
        <w:ind w:firstLine="567"/>
        <w:jc w:val="both"/>
        <w:rPr>
          <w:rFonts w:cs="Times New Roman"/>
          <w:color w:val="auto"/>
          <w:szCs w:val="24"/>
        </w:rPr>
      </w:pPr>
      <w:r w:rsidRPr="0028555F">
        <w:rPr>
          <w:rFonts w:cs="Times New Roman"/>
          <w:color w:val="auto"/>
          <w:szCs w:val="24"/>
        </w:rPr>
        <w:t>Tātad l</w:t>
      </w:r>
      <w:r w:rsidR="00527F3C" w:rsidRPr="0028555F">
        <w:rPr>
          <w:rFonts w:cs="Times New Roman"/>
          <w:color w:val="auto"/>
          <w:szCs w:val="24"/>
        </w:rPr>
        <w:t>ikumdevējs ir nošķīris būvatļaujas apstrīdēšanas sākuma termiņu, jo speciālajos būvnoteikumos paredzētajos gadījumos būvniecības saskaņošana ar zemesgabala īpašnieku notiek laikā no būvatļaujas izdošanas līdz projektēšanas nosacījumu izpildei</w:t>
      </w:r>
      <w:r w:rsidR="00F21FB2" w:rsidRPr="0028555F">
        <w:rPr>
          <w:rFonts w:cs="Times New Roman"/>
          <w:color w:val="auto"/>
          <w:szCs w:val="24"/>
        </w:rPr>
        <w:t>, s</w:t>
      </w:r>
      <w:r w:rsidRPr="0028555F">
        <w:rPr>
          <w:rFonts w:cs="Times New Roman"/>
          <w:color w:val="auto"/>
          <w:szCs w:val="24"/>
        </w:rPr>
        <w:t>avukārt citos gadījumos saskaņošana ar zemesgabala īpašnieku notiek</w:t>
      </w:r>
      <w:r w:rsidR="003A4B22" w:rsidRPr="0028555F">
        <w:rPr>
          <w:rFonts w:cs="Times New Roman"/>
          <w:color w:val="auto"/>
          <w:szCs w:val="24"/>
        </w:rPr>
        <w:t xml:space="preserve">, </w:t>
      </w:r>
      <w:r w:rsidRPr="0028555F">
        <w:rPr>
          <w:rFonts w:cs="Times New Roman"/>
          <w:color w:val="auto"/>
          <w:szCs w:val="24"/>
        </w:rPr>
        <w:t xml:space="preserve">pirms tiek izdota būvatļauja. </w:t>
      </w:r>
    </w:p>
    <w:p w14:paraId="3DBA3DF5" w14:textId="52C06BA4" w:rsidR="00271E41" w:rsidRPr="0028555F" w:rsidRDefault="004D05F6" w:rsidP="0028555F">
      <w:pPr>
        <w:tabs>
          <w:tab w:val="left" w:pos="1276"/>
        </w:tabs>
        <w:spacing w:after="0" w:line="276" w:lineRule="auto"/>
        <w:ind w:firstLine="567"/>
        <w:jc w:val="both"/>
        <w:rPr>
          <w:rFonts w:cs="Times New Roman"/>
          <w:color w:val="auto"/>
          <w:szCs w:val="24"/>
        </w:rPr>
      </w:pPr>
      <w:r w:rsidRPr="0028555F">
        <w:rPr>
          <w:rFonts w:cs="Times New Roman"/>
          <w:color w:val="auto"/>
          <w:szCs w:val="24"/>
        </w:rPr>
        <w:t xml:space="preserve">Konkrētajā gadījumā būvatļauja ir izdota atbilstoši Būvniecības likuma </w:t>
      </w:r>
      <w:proofErr w:type="gramStart"/>
      <w:r w:rsidRPr="0028555F">
        <w:rPr>
          <w:rFonts w:cs="Times New Roman"/>
          <w:color w:val="auto"/>
          <w:szCs w:val="24"/>
        </w:rPr>
        <w:t>15.panta</w:t>
      </w:r>
      <w:proofErr w:type="gramEnd"/>
      <w:r w:rsidRPr="0028555F">
        <w:rPr>
          <w:rFonts w:cs="Times New Roman"/>
          <w:color w:val="auto"/>
          <w:szCs w:val="24"/>
        </w:rPr>
        <w:t xml:space="preserve"> otrajai daļai, tātad pieteicējs būvatļauju var apstrīdēt un pārsūdzēt pēc projektēšanas nosacījumu izpildes atzīmes izdarīšanas būvatļaujā. </w:t>
      </w:r>
      <w:r w:rsidR="00271E41" w:rsidRPr="0028555F">
        <w:rPr>
          <w:rFonts w:cs="Times New Roman"/>
          <w:color w:val="auto"/>
          <w:szCs w:val="24"/>
        </w:rPr>
        <w:t>Kamēr notiek projektēšanas nosacījumu izpilde, tiesai nav pamata pieņemt un izskatīt pieteikumu par būvatļaujas atcelšanu.</w:t>
      </w:r>
    </w:p>
    <w:p w14:paraId="1144FEE3" w14:textId="2DC5BEE3" w:rsidR="00271E41" w:rsidRPr="0028555F" w:rsidRDefault="00271E41" w:rsidP="0028555F">
      <w:pPr>
        <w:tabs>
          <w:tab w:val="left" w:pos="1276"/>
        </w:tabs>
        <w:spacing w:after="0" w:line="276" w:lineRule="auto"/>
        <w:ind w:firstLine="567"/>
        <w:jc w:val="both"/>
        <w:rPr>
          <w:rFonts w:cs="Times New Roman"/>
          <w:color w:val="auto"/>
          <w:szCs w:val="24"/>
        </w:rPr>
      </w:pPr>
    </w:p>
    <w:p w14:paraId="78F9AD3C" w14:textId="04182DE7" w:rsidR="0092001A" w:rsidRPr="0028555F" w:rsidRDefault="00271E41" w:rsidP="0028555F">
      <w:pPr>
        <w:tabs>
          <w:tab w:val="left" w:pos="1276"/>
        </w:tabs>
        <w:spacing w:after="0" w:line="276" w:lineRule="auto"/>
        <w:ind w:firstLine="567"/>
        <w:jc w:val="both"/>
        <w:rPr>
          <w:rFonts w:cs="Times New Roman"/>
          <w:color w:val="auto"/>
          <w:szCs w:val="24"/>
        </w:rPr>
      </w:pPr>
      <w:r w:rsidRPr="0028555F">
        <w:rPr>
          <w:rFonts w:cs="Times New Roman"/>
          <w:color w:val="auto"/>
          <w:szCs w:val="24"/>
        </w:rPr>
        <w:t>[</w:t>
      </w:r>
      <w:r w:rsidR="00530229" w:rsidRPr="0028555F">
        <w:rPr>
          <w:rFonts w:cs="Times New Roman"/>
          <w:color w:val="auto"/>
          <w:szCs w:val="24"/>
        </w:rPr>
        <w:t>2</w:t>
      </w:r>
      <w:r w:rsidRPr="0028555F">
        <w:rPr>
          <w:rFonts w:cs="Times New Roman"/>
          <w:color w:val="auto"/>
          <w:szCs w:val="24"/>
        </w:rPr>
        <w:t>] Pieteicējs iesniedza blakus sūdzību par minēto tiesneša lēmumu, norādot</w:t>
      </w:r>
      <w:r w:rsidR="003A4B22" w:rsidRPr="0028555F">
        <w:rPr>
          <w:rFonts w:cs="Times New Roman"/>
          <w:color w:val="auto"/>
          <w:szCs w:val="24"/>
        </w:rPr>
        <w:t xml:space="preserve">, ka </w:t>
      </w:r>
      <w:r w:rsidR="0092001A" w:rsidRPr="0028555F">
        <w:rPr>
          <w:rFonts w:cs="Times New Roman"/>
          <w:color w:val="auto"/>
          <w:szCs w:val="24"/>
        </w:rPr>
        <w:t xml:space="preserve">lēmumā aplūkoti pieteicēja argumenti </w:t>
      </w:r>
      <w:r w:rsidR="00F947C9" w:rsidRPr="0028555F">
        <w:rPr>
          <w:rFonts w:cs="Times New Roman"/>
          <w:color w:val="auto"/>
          <w:szCs w:val="24"/>
        </w:rPr>
        <w:t xml:space="preserve">tikai </w:t>
      </w:r>
      <w:r w:rsidR="0092001A" w:rsidRPr="0028555F">
        <w:rPr>
          <w:rFonts w:cs="Times New Roman"/>
          <w:color w:val="auto"/>
          <w:szCs w:val="24"/>
        </w:rPr>
        <w:t>par saskaņojuma neesību, bet nav ņemti vērā argumenti par to, ka būvniecība iecerētajā vietā neatbilst arī teritorijas plānojumam, proti, paredzēts, ka ceļš šķērsos pieteicēja zemesgabalu citā vietā, nevis tur, kur teritorijas plānojumā iezīmētas ceļa sarkanās līnijas.</w:t>
      </w:r>
    </w:p>
    <w:p w14:paraId="48459FEB" w14:textId="77777777" w:rsidR="00DC32F0" w:rsidRPr="0028555F" w:rsidRDefault="00DC32F0" w:rsidP="0028555F">
      <w:pPr>
        <w:tabs>
          <w:tab w:val="left" w:pos="1276"/>
        </w:tabs>
        <w:spacing w:after="0" w:line="276" w:lineRule="auto"/>
        <w:jc w:val="both"/>
        <w:rPr>
          <w:rFonts w:cs="Times New Roman"/>
          <w:color w:val="auto"/>
          <w:szCs w:val="24"/>
        </w:rPr>
      </w:pPr>
    </w:p>
    <w:p w14:paraId="2090CE8F" w14:textId="24F0B658" w:rsidR="00DC32F0" w:rsidRPr="0028555F" w:rsidRDefault="00DC32F0" w:rsidP="0028555F">
      <w:pPr>
        <w:spacing w:after="0" w:line="276" w:lineRule="auto"/>
        <w:jc w:val="center"/>
        <w:rPr>
          <w:rFonts w:cs="Times New Roman"/>
          <w:color w:val="auto"/>
          <w:szCs w:val="24"/>
        </w:rPr>
      </w:pPr>
      <w:r w:rsidRPr="0028555F">
        <w:rPr>
          <w:rFonts w:cs="Times New Roman"/>
          <w:b/>
          <w:color w:val="auto"/>
          <w:szCs w:val="24"/>
        </w:rPr>
        <w:t>Motīvu daļa</w:t>
      </w:r>
    </w:p>
    <w:p w14:paraId="507ED922" w14:textId="77777777" w:rsidR="00DC32F0" w:rsidRPr="0028555F" w:rsidRDefault="00DC32F0" w:rsidP="0028555F">
      <w:pPr>
        <w:tabs>
          <w:tab w:val="left" w:pos="1276"/>
        </w:tabs>
        <w:spacing w:after="0" w:line="276" w:lineRule="auto"/>
        <w:ind w:firstLine="567"/>
        <w:jc w:val="both"/>
        <w:rPr>
          <w:rFonts w:cs="Times New Roman"/>
          <w:color w:val="auto"/>
          <w:szCs w:val="24"/>
        </w:rPr>
      </w:pPr>
    </w:p>
    <w:p w14:paraId="33FCFCE8" w14:textId="0690859F" w:rsidR="00DC32F0" w:rsidRPr="0028555F" w:rsidRDefault="00530229" w:rsidP="0028555F">
      <w:pPr>
        <w:tabs>
          <w:tab w:val="left" w:pos="1276"/>
        </w:tabs>
        <w:spacing w:after="0" w:line="276" w:lineRule="auto"/>
        <w:ind w:firstLine="567"/>
        <w:jc w:val="both"/>
        <w:rPr>
          <w:rFonts w:cs="Times New Roman"/>
          <w:color w:val="auto"/>
          <w:szCs w:val="24"/>
        </w:rPr>
      </w:pPr>
      <w:r w:rsidRPr="0028555F">
        <w:rPr>
          <w:rFonts w:cs="Times New Roman"/>
          <w:color w:val="auto"/>
          <w:szCs w:val="24"/>
        </w:rPr>
        <w:t xml:space="preserve">[3] </w:t>
      </w:r>
      <w:r w:rsidR="003A4B22" w:rsidRPr="0028555F">
        <w:rPr>
          <w:rFonts w:cs="Times New Roman"/>
          <w:color w:val="auto"/>
          <w:szCs w:val="24"/>
        </w:rPr>
        <w:t>P</w:t>
      </w:r>
      <w:r w:rsidR="00DC32F0" w:rsidRPr="0028555F">
        <w:rPr>
          <w:rFonts w:cs="Times New Roman"/>
          <w:color w:val="auto"/>
          <w:szCs w:val="24"/>
        </w:rPr>
        <w:t>irmās instances tiesas tiesnesis pamatoti pievērsis uzmanību Būvniecības likum</w:t>
      </w:r>
      <w:r w:rsidR="003A4B22" w:rsidRPr="0028555F">
        <w:rPr>
          <w:rFonts w:cs="Times New Roman"/>
          <w:color w:val="auto"/>
          <w:szCs w:val="24"/>
        </w:rPr>
        <w:t xml:space="preserve">a </w:t>
      </w:r>
      <w:proofErr w:type="gramStart"/>
      <w:r w:rsidR="003A4B22" w:rsidRPr="0028555F">
        <w:rPr>
          <w:rFonts w:cs="Times New Roman"/>
          <w:color w:val="auto"/>
          <w:szCs w:val="24"/>
        </w:rPr>
        <w:t>14.panta</w:t>
      </w:r>
      <w:proofErr w:type="gramEnd"/>
      <w:r w:rsidR="003A4B22" w:rsidRPr="0028555F">
        <w:rPr>
          <w:rFonts w:cs="Times New Roman"/>
          <w:color w:val="auto"/>
          <w:szCs w:val="24"/>
        </w:rPr>
        <w:t xml:space="preserve"> devītajā daļā</w:t>
      </w:r>
      <w:r w:rsidR="00DC32F0" w:rsidRPr="0028555F">
        <w:rPr>
          <w:rFonts w:cs="Times New Roman"/>
          <w:color w:val="auto"/>
          <w:szCs w:val="24"/>
        </w:rPr>
        <w:t xml:space="preserve"> paredzētajai divējādai būvatļauju pārsūdzības kārtībai, tomē</w:t>
      </w:r>
      <w:r w:rsidR="00E81BCB" w:rsidRPr="0028555F">
        <w:rPr>
          <w:rFonts w:cs="Times New Roman"/>
          <w:color w:val="auto"/>
          <w:szCs w:val="24"/>
        </w:rPr>
        <w:t>r, ievērojot turpmāk minēto</w:t>
      </w:r>
      <w:r w:rsidR="003A4B22" w:rsidRPr="0028555F">
        <w:rPr>
          <w:rFonts w:cs="Times New Roman"/>
          <w:color w:val="auto"/>
          <w:szCs w:val="24"/>
        </w:rPr>
        <w:t>s apsvērumus</w:t>
      </w:r>
      <w:r w:rsidR="00E81BCB" w:rsidRPr="0028555F">
        <w:rPr>
          <w:rFonts w:cs="Times New Roman"/>
          <w:color w:val="auto"/>
          <w:szCs w:val="24"/>
        </w:rPr>
        <w:t>, nepamatoti uzskatījis</w:t>
      </w:r>
      <w:r w:rsidR="003A4B22" w:rsidRPr="0028555F">
        <w:rPr>
          <w:rFonts w:cs="Times New Roman"/>
          <w:color w:val="auto"/>
          <w:szCs w:val="24"/>
        </w:rPr>
        <w:t>, ka noteiktā kārtība nav ievērota.</w:t>
      </w:r>
    </w:p>
    <w:p w14:paraId="79C74C4D" w14:textId="77777777" w:rsidR="00DC32F0" w:rsidRPr="0028555F" w:rsidRDefault="00DC32F0" w:rsidP="0028555F">
      <w:pPr>
        <w:tabs>
          <w:tab w:val="left" w:pos="1276"/>
        </w:tabs>
        <w:spacing w:after="0" w:line="276" w:lineRule="auto"/>
        <w:ind w:firstLine="567"/>
        <w:jc w:val="both"/>
        <w:rPr>
          <w:rFonts w:cs="Times New Roman"/>
          <w:color w:val="auto"/>
          <w:szCs w:val="24"/>
        </w:rPr>
      </w:pPr>
    </w:p>
    <w:p w14:paraId="3840203C" w14:textId="5E93ED83" w:rsidR="00E81BCB" w:rsidRPr="0028555F" w:rsidRDefault="00E81BCB" w:rsidP="0028555F">
      <w:pPr>
        <w:tabs>
          <w:tab w:val="left" w:pos="1276"/>
        </w:tabs>
        <w:spacing w:after="0" w:line="276" w:lineRule="auto"/>
        <w:ind w:firstLine="567"/>
        <w:jc w:val="both"/>
        <w:rPr>
          <w:rFonts w:cs="Times New Roman"/>
          <w:color w:val="auto"/>
          <w:szCs w:val="24"/>
        </w:rPr>
      </w:pPr>
      <w:r w:rsidRPr="0028555F">
        <w:rPr>
          <w:rFonts w:cs="Times New Roman"/>
          <w:color w:val="auto"/>
          <w:szCs w:val="24"/>
        </w:rPr>
        <w:t xml:space="preserve">[4] </w:t>
      </w:r>
      <w:r w:rsidR="00232D0A" w:rsidRPr="0028555F">
        <w:rPr>
          <w:rFonts w:cs="Times New Roman"/>
          <w:color w:val="auto"/>
          <w:szCs w:val="24"/>
        </w:rPr>
        <w:t>A</w:t>
      </w:r>
      <w:r w:rsidRPr="0028555F">
        <w:rPr>
          <w:rFonts w:cs="Times New Roman"/>
          <w:color w:val="auto"/>
          <w:szCs w:val="24"/>
        </w:rPr>
        <w:t xml:space="preserve">tbilstoši Būvniecības likuma </w:t>
      </w:r>
      <w:proofErr w:type="gramStart"/>
      <w:r w:rsidRPr="0028555F">
        <w:rPr>
          <w:rFonts w:cs="Times New Roman"/>
          <w:color w:val="auto"/>
          <w:szCs w:val="24"/>
        </w:rPr>
        <w:t>15.panta</w:t>
      </w:r>
      <w:proofErr w:type="gramEnd"/>
      <w:r w:rsidRPr="0028555F">
        <w:rPr>
          <w:rFonts w:cs="Times New Roman"/>
          <w:color w:val="auto"/>
          <w:szCs w:val="24"/>
        </w:rPr>
        <w:t xml:space="preserve"> pirmās daļas 2.punktam viens no priekšno</w:t>
      </w:r>
      <w:r w:rsidR="00F947C9" w:rsidRPr="0028555F">
        <w:rPr>
          <w:rFonts w:cs="Times New Roman"/>
          <w:color w:val="auto"/>
          <w:szCs w:val="24"/>
        </w:rPr>
        <w:t>teikumiem</w:t>
      </w:r>
      <w:r w:rsidRPr="0028555F">
        <w:rPr>
          <w:rFonts w:cs="Times New Roman"/>
          <w:color w:val="auto"/>
          <w:szCs w:val="24"/>
        </w:rPr>
        <w:t xml:space="preserve"> būvatļaujas izsniegšanai ir t</w:t>
      </w:r>
      <w:r w:rsidR="000B1B3B" w:rsidRPr="0028555F">
        <w:rPr>
          <w:rFonts w:cs="Times New Roman"/>
          <w:color w:val="auto"/>
          <w:szCs w:val="24"/>
        </w:rPr>
        <w:t>as</w:t>
      </w:r>
      <w:r w:rsidRPr="0028555F">
        <w:rPr>
          <w:rFonts w:cs="Times New Roman"/>
          <w:color w:val="auto"/>
          <w:szCs w:val="24"/>
        </w:rPr>
        <w:t>, ka būvniecības iecere ir saskaņota ar zemesgabala īpašnieku un būves īpašnieku gadījumā, kad būvniecība paredzēta esošā būvē, vai zemesgabala īpašnieks ir informēts gadījumā, kad to prasa normatīvie akti.</w:t>
      </w:r>
      <w:r w:rsidR="00C95B94" w:rsidRPr="0028555F">
        <w:rPr>
          <w:rFonts w:cs="Times New Roman"/>
          <w:color w:val="auto"/>
          <w:szCs w:val="24"/>
        </w:rPr>
        <w:t xml:space="preserve"> </w:t>
      </w:r>
    </w:p>
    <w:p w14:paraId="21B97CBD" w14:textId="2DE6102C" w:rsidR="00E81BCB" w:rsidRPr="0028555F" w:rsidRDefault="0011471D" w:rsidP="0028555F">
      <w:pPr>
        <w:tabs>
          <w:tab w:val="left" w:pos="1276"/>
        </w:tabs>
        <w:spacing w:after="0" w:line="276" w:lineRule="auto"/>
        <w:ind w:firstLine="567"/>
        <w:jc w:val="both"/>
        <w:rPr>
          <w:rFonts w:cs="Times New Roman"/>
          <w:color w:val="auto"/>
          <w:szCs w:val="24"/>
        </w:rPr>
      </w:pPr>
      <w:r w:rsidRPr="0028555F">
        <w:rPr>
          <w:rFonts w:cs="Times New Roman"/>
          <w:color w:val="auto"/>
          <w:szCs w:val="24"/>
        </w:rPr>
        <w:t xml:space="preserve">Savukārt </w:t>
      </w:r>
      <w:r w:rsidR="00E81BCB" w:rsidRPr="0028555F">
        <w:rPr>
          <w:rFonts w:cs="Times New Roman"/>
          <w:color w:val="auto"/>
          <w:szCs w:val="24"/>
        </w:rPr>
        <w:t xml:space="preserve">Būvniecības likuma </w:t>
      </w:r>
      <w:proofErr w:type="gramStart"/>
      <w:r w:rsidR="00E81BCB" w:rsidRPr="0028555F">
        <w:rPr>
          <w:rFonts w:cs="Times New Roman"/>
          <w:color w:val="auto"/>
          <w:szCs w:val="24"/>
        </w:rPr>
        <w:t>15.panta</w:t>
      </w:r>
      <w:proofErr w:type="gramEnd"/>
      <w:r w:rsidR="00E81BCB" w:rsidRPr="0028555F">
        <w:rPr>
          <w:rFonts w:cs="Times New Roman"/>
          <w:color w:val="auto"/>
          <w:szCs w:val="24"/>
        </w:rPr>
        <w:t xml:space="preserve"> otr</w:t>
      </w:r>
      <w:r w:rsidR="00C95B94" w:rsidRPr="0028555F">
        <w:rPr>
          <w:rFonts w:cs="Times New Roman"/>
          <w:color w:val="auto"/>
          <w:szCs w:val="24"/>
        </w:rPr>
        <w:t>ā</w:t>
      </w:r>
      <w:r w:rsidR="00E81BCB" w:rsidRPr="0028555F">
        <w:rPr>
          <w:rFonts w:cs="Times New Roman"/>
          <w:color w:val="auto"/>
          <w:szCs w:val="24"/>
        </w:rPr>
        <w:t xml:space="preserve"> </w:t>
      </w:r>
      <w:r w:rsidRPr="0028555F">
        <w:rPr>
          <w:rFonts w:cs="Times New Roman"/>
          <w:color w:val="auto"/>
          <w:szCs w:val="24"/>
        </w:rPr>
        <w:t>daļa</w:t>
      </w:r>
      <w:r w:rsidR="00E81BCB" w:rsidRPr="0028555F">
        <w:rPr>
          <w:rFonts w:cs="Times New Roman"/>
          <w:color w:val="auto"/>
          <w:szCs w:val="24"/>
        </w:rPr>
        <w:t xml:space="preserve"> </w:t>
      </w:r>
      <w:r w:rsidRPr="0028555F">
        <w:rPr>
          <w:rFonts w:cs="Times New Roman"/>
          <w:color w:val="auto"/>
          <w:szCs w:val="24"/>
        </w:rPr>
        <w:t xml:space="preserve">noteic: </w:t>
      </w:r>
      <w:r w:rsidR="00E81BCB" w:rsidRPr="0028555F">
        <w:rPr>
          <w:rFonts w:cs="Times New Roman"/>
          <w:color w:val="auto"/>
          <w:szCs w:val="24"/>
        </w:rPr>
        <w:t>speciālajos būvnoteikumos paredzētajos gadījumos būvatļauju inženierbūves būvniecībai izdod pirms šā panta pirmās daļas 2.punktā minēto prasību izpildes un iekļauj attiecīgās prasības būvatļaujas projektēšanas nosacījumos.</w:t>
      </w:r>
    </w:p>
    <w:p w14:paraId="6771BDC3" w14:textId="60047D8D" w:rsidR="00232D0A" w:rsidRPr="0028555F" w:rsidRDefault="00232D0A" w:rsidP="0028555F">
      <w:pPr>
        <w:tabs>
          <w:tab w:val="left" w:pos="1276"/>
        </w:tabs>
        <w:spacing w:after="0" w:line="276" w:lineRule="auto"/>
        <w:ind w:firstLine="567"/>
        <w:jc w:val="both"/>
        <w:rPr>
          <w:rFonts w:cs="Times New Roman"/>
          <w:color w:val="auto"/>
          <w:szCs w:val="24"/>
        </w:rPr>
      </w:pPr>
      <w:r w:rsidRPr="0028555F">
        <w:rPr>
          <w:rFonts w:cs="Times New Roman"/>
          <w:color w:val="auto"/>
          <w:szCs w:val="24"/>
        </w:rPr>
        <w:t>Tātad vispārīgi, ja būvniecība iecerēta uz citai personai piederošas zemes, vispirms saņemams saskaņojums no zemes īpašnieka un tikai tad var saņemt būvatļauju, savukārt atsevišķu inženierbūvju gadījumā (kuras noteic Ministru kabinets) šī secība ir otrāda – vispirms tiek izsniegta būvatļauja, un tikai pēc tam saņemami nepieciešamie saskaņojumi no zemes īpašniekiem.</w:t>
      </w:r>
    </w:p>
    <w:p w14:paraId="004AE702" w14:textId="2FBA2675" w:rsidR="002B0D3C" w:rsidRPr="0028555F" w:rsidRDefault="00141C37" w:rsidP="0028555F">
      <w:pPr>
        <w:tabs>
          <w:tab w:val="left" w:pos="1276"/>
        </w:tabs>
        <w:spacing w:after="0" w:line="276" w:lineRule="auto"/>
        <w:ind w:firstLine="567"/>
        <w:jc w:val="both"/>
        <w:rPr>
          <w:rFonts w:cs="Times New Roman"/>
          <w:color w:val="auto"/>
          <w:szCs w:val="24"/>
        </w:rPr>
      </w:pPr>
      <w:r w:rsidRPr="0028555F">
        <w:rPr>
          <w:rFonts w:cs="Times New Roman"/>
          <w:color w:val="auto"/>
          <w:szCs w:val="24"/>
        </w:rPr>
        <w:t>L</w:t>
      </w:r>
      <w:r w:rsidR="00C95B94" w:rsidRPr="0028555F">
        <w:rPr>
          <w:rFonts w:cs="Times New Roman"/>
          <w:color w:val="auto"/>
          <w:szCs w:val="24"/>
        </w:rPr>
        <w:t>ikumā paredzēti arī atšķirīgi būvatļaujas pārsūdzības noteikumi</w:t>
      </w:r>
      <w:r w:rsidR="00232D0A" w:rsidRPr="0028555F">
        <w:rPr>
          <w:rFonts w:cs="Times New Roman"/>
          <w:color w:val="auto"/>
          <w:szCs w:val="24"/>
        </w:rPr>
        <w:t xml:space="preserve"> atkarībā no tā, kādā secībā saņemami saskaņojumi un izsniedzama būvatļauja</w:t>
      </w:r>
      <w:r w:rsidR="00C95B94" w:rsidRPr="0028555F">
        <w:rPr>
          <w:rFonts w:cs="Times New Roman"/>
          <w:color w:val="auto"/>
          <w:szCs w:val="24"/>
        </w:rPr>
        <w:t xml:space="preserve">. Būvniecības likuma </w:t>
      </w:r>
      <w:proofErr w:type="gramStart"/>
      <w:r w:rsidR="00C95B94" w:rsidRPr="0028555F">
        <w:rPr>
          <w:rFonts w:cs="Times New Roman"/>
          <w:color w:val="auto"/>
          <w:szCs w:val="24"/>
        </w:rPr>
        <w:t>14.panta</w:t>
      </w:r>
      <w:proofErr w:type="gramEnd"/>
      <w:r w:rsidR="00C95B94" w:rsidRPr="0028555F">
        <w:rPr>
          <w:rFonts w:cs="Times New Roman"/>
          <w:color w:val="auto"/>
          <w:szCs w:val="24"/>
        </w:rPr>
        <w:t xml:space="preserve"> devītā daļa noteic, ka  būvatļauju vai atteikumu izdot būvatļauju var apstrīdēt vai pārsūdzēt </w:t>
      </w:r>
      <w:hyperlink r:id="rId7" w:tgtFrame="_blank" w:history="1">
        <w:r w:rsidR="00C95B94" w:rsidRPr="0028555F">
          <w:rPr>
            <w:rFonts w:cs="Times New Roman"/>
            <w:color w:val="auto"/>
            <w:szCs w:val="24"/>
          </w:rPr>
          <w:t>Administratīvā procesa likumā</w:t>
        </w:r>
      </w:hyperlink>
      <w:r w:rsidR="00C95B94" w:rsidRPr="0028555F">
        <w:rPr>
          <w:rFonts w:cs="Times New Roman"/>
          <w:color w:val="auto"/>
          <w:szCs w:val="24"/>
        </w:rPr>
        <w:t> noteiktajā kārtībā mēneša laikā no šā panta sestās daļas 3.punktā minētās dienas (t.i. dienas, kad stājas spēkā būvatļauja vai atteikums izdot būvatļauju), bet šā likuma </w:t>
      </w:r>
      <w:hyperlink r:id="rId8" w:anchor="p15" w:history="1">
        <w:r w:rsidR="00C95B94" w:rsidRPr="0028555F">
          <w:rPr>
            <w:rFonts w:cs="Times New Roman"/>
            <w:color w:val="auto"/>
            <w:szCs w:val="24"/>
          </w:rPr>
          <w:t>15.panta</w:t>
        </w:r>
      </w:hyperlink>
      <w:r w:rsidR="00C95B94" w:rsidRPr="0028555F">
        <w:rPr>
          <w:rFonts w:cs="Times New Roman"/>
          <w:color w:val="auto"/>
          <w:szCs w:val="24"/>
        </w:rPr>
        <w:t> otrajā daļā minētajā gadījumā</w:t>
      </w:r>
      <w:r w:rsidR="0011471D" w:rsidRPr="0028555F">
        <w:rPr>
          <w:rFonts w:cs="Times New Roman"/>
          <w:color w:val="auto"/>
          <w:szCs w:val="24"/>
        </w:rPr>
        <w:t xml:space="preserve"> – </w:t>
      </w:r>
      <w:r w:rsidR="00C95B94" w:rsidRPr="0028555F">
        <w:rPr>
          <w:rFonts w:cs="Times New Roman"/>
          <w:color w:val="auto"/>
          <w:szCs w:val="24"/>
        </w:rPr>
        <w:t xml:space="preserve">no dienas, kad izdarīta atzīme par projektēšanas nosacījumu izpildi. </w:t>
      </w:r>
    </w:p>
    <w:p w14:paraId="515A8B7B" w14:textId="00C9C9C3" w:rsidR="00C95B94" w:rsidRPr="0028555F" w:rsidRDefault="00C95B94" w:rsidP="0028555F">
      <w:pPr>
        <w:tabs>
          <w:tab w:val="left" w:pos="1276"/>
        </w:tabs>
        <w:spacing w:after="0" w:line="276" w:lineRule="auto"/>
        <w:ind w:firstLine="567"/>
        <w:jc w:val="both"/>
        <w:rPr>
          <w:rFonts w:cs="Times New Roman"/>
          <w:color w:val="auto"/>
          <w:szCs w:val="24"/>
        </w:rPr>
      </w:pPr>
    </w:p>
    <w:p w14:paraId="584DDD89" w14:textId="6ABF457F" w:rsidR="00C95B94" w:rsidRPr="0028555F" w:rsidRDefault="00C95B94" w:rsidP="0028555F">
      <w:pPr>
        <w:tabs>
          <w:tab w:val="left" w:pos="1276"/>
        </w:tabs>
        <w:spacing w:after="0" w:line="276" w:lineRule="auto"/>
        <w:ind w:firstLine="567"/>
        <w:jc w:val="both"/>
        <w:rPr>
          <w:rFonts w:cs="Times New Roman"/>
          <w:color w:val="auto"/>
          <w:szCs w:val="24"/>
        </w:rPr>
      </w:pPr>
      <w:r w:rsidRPr="0028555F">
        <w:rPr>
          <w:rFonts w:cs="Times New Roman"/>
          <w:color w:val="auto"/>
          <w:szCs w:val="24"/>
        </w:rPr>
        <w:lastRenderedPageBreak/>
        <w:t>[</w:t>
      </w:r>
      <w:r w:rsidR="00141C37" w:rsidRPr="0028555F">
        <w:rPr>
          <w:rFonts w:cs="Times New Roman"/>
          <w:color w:val="auto"/>
          <w:szCs w:val="24"/>
        </w:rPr>
        <w:t>5</w:t>
      </w:r>
      <w:r w:rsidRPr="0028555F">
        <w:rPr>
          <w:rFonts w:cs="Times New Roman"/>
          <w:color w:val="auto"/>
          <w:szCs w:val="24"/>
        </w:rPr>
        <w:t xml:space="preserve">] </w:t>
      </w:r>
      <w:r w:rsidR="000A04E0" w:rsidRPr="0028555F">
        <w:rPr>
          <w:rFonts w:cs="Times New Roman"/>
          <w:color w:val="auto"/>
          <w:szCs w:val="24"/>
        </w:rPr>
        <w:t xml:space="preserve">No </w:t>
      </w:r>
      <w:r w:rsidR="00232D0A" w:rsidRPr="0028555F">
        <w:rPr>
          <w:rFonts w:cs="Times New Roman"/>
          <w:color w:val="auto"/>
          <w:szCs w:val="24"/>
        </w:rPr>
        <w:t xml:space="preserve">Būvniecības likuma </w:t>
      </w:r>
      <w:r w:rsidR="0011471D" w:rsidRPr="0028555F">
        <w:rPr>
          <w:rFonts w:cs="Times New Roman"/>
          <w:color w:val="auto"/>
          <w:szCs w:val="24"/>
        </w:rPr>
        <w:t>grozījumu</w:t>
      </w:r>
      <w:r w:rsidR="000A04E0" w:rsidRPr="0028555F">
        <w:rPr>
          <w:rFonts w:cs="Times New Roman"/>
          <w:color w:val="auto"/>
          <w:szCs w:val="24"/>
        </w:rPr>
        <w:t xml:space="preserve"> izstrādes materiāliem </w:t>
      </w:r>
      <w:r w:rsidR="000D5193" w:rsidRPr="0028555F">
        <w:rPr>
          <w:rFonts w:cs="Times New Roman"/>
          <w:color w:val="auto"/>
          <w:szCs w:val="24"/>
        </w:rPr>
        <w:t xml:space="preserve">var </w:t>
      </w:r>
      <w:r w:rsidR="00640FF6" w:rsidRPr="0028555F">
        <w:rPr>
          <w:rFonts w:cs="Times New Roman"/>
          <w:color w:val="auto"/>
          <w:szCs w:val="24"/>
        </w:rPr>
        <w:t>netieši secināt,</w:t>
      </w:r>
      <w:r w:rsidR="000A04E0" w:rsidRPr="0028555F">
        <w:rPr>
          <w:rFonts w:cs="Times New Roman"/>
          <w:color w:val="auto"/>
          <w:szCs w:val="24"/>
        </w:rPr>
        <w:t xml:space="preserve"> ka izņēmums no vispārīgās būvatļaujas izsniegšanas kārtības</w:t>
      </w:r>
      <w:r w:rsidR="00A4494C" w:rsidRPr="0028555F">
        <w:rPr>
          <w:rFonts w:cs="Times New Roman"/>
          <w:color w:val="auto"/>
          <w:szCs w:val="24"/>
        </w:rPr>
        <w:t xml:space="preserve">, kad </w:t>
      </w:r>
      <w:r w:rsidR="000A04E0" w:rsidRPr="0028555F">
        <w:rPr>
          <w:rFonts w:cs="Times New Roman"/>
          <w:color w:val="auto"/>
          <w:szCs w:val="24"/>
        </w:rPr>
        <w:t xml:space="preserve">vispirms </w:t>
      </w:r>
      <w:r w:rsidR="00A4494C" w:rsidRPr="0028555F">
        <w:rPr>
          <w:rFonts w:cs="Times New Roman"/>
          <w:color w:val="auto"/>
          <w:szCs w:val="24"/>
        </w:rPr>
        <w:t xml:space="preserve">ir saņemami </w:t>
      </w:r>
      <w:r w:rsidR="000A04E0" w:rsidRPr="0028555F">
        <w:rPr>
          <w:rFonts w:cs="Times New Roman"/>
          <w:color w:val="auto"/>
          <w:szCs w:val="24"/>
        </w:rPr>
        <w:t>saskaņojumi</w:t>
      </w:r>
      <w:r w:rsidR="00A4494C" w:rsidRPr="0028555F">
        <w:rPr>
          <w:rFonts w:cs="Times New Roman"/>
          <w:color w:val="auto"/>
          <w:szCs w:val="24"/>
        </w:rPr>
        <w:t xml:space="preserve"> un </w:t>
      </w:r>
      <w:r w:rsidR="000A04E0" w:rsidRPr="0028555F">
        <w:rPr>
          <w:rFonts w:cs="Times New Roman"/>
          <w:color w:val="auto"/>
          <w:szCs w:val="24"/>
        </w:rPr>
        <w:t>tad būvatļauja</w:t>
      </w:r>
      <w:r w:rsidR="00A4494C" w:rsidRPr="0028555F">
        <w:rPr>
          <w:rFonts w:cs="Times New Roman"/>
          <w:color w:val="auto"/>
          <w:szCs w:val="24"/>
        </w:rPr>
        <w:t xml:space="preserve">, </w:t>
      </w:r>
      <w:r w:rsidR="000D5193" w:rsidRPr="0028555F">
        <w:rPr>
          <w:rFonts w:cs="Times New Roman"/>
          <w:color w:val="auto"/>
          <w:szCs w:val="24"/>
        </w:rPr>
        <w:t xml:space="preserve">izveidots, ņemot vērā Satiksmes ministrijas </w:t>
      </w:r>
      <w:r w:rsidR="00640FF6" w:rsidRPr="0028555F">
        <w:rPr>
          <w:rFonts w:cs="Times New Roman"/>
          <w:color w:val="auto"/>
          <w:szCs w:val="24"/>
        </w:rPr>
        <w:t>sniegtos priekšlikumus par likumprojektu atbildīgajai Saeimas komisijai</w:t>
      </w:r>
      <w:r w:rsidR="000D5193" w:rsidRPr="0028555F">
        <w:rPr>
          <w:rFonts w:cs="Times New Roman"/>
          <w:color w:val="auto"/>
          <w:szCs w:val="24"/>
        </w:rPr>
        <w:t xml:space="preserve">. Satiksmes ministrija </w:t>
      </w:r>
      <w:r w:rsidR="00640FF6" w:rsidRPr="0028555F">
        <w:rPr>
          <w:rFonts w:cs="Times New Roman"/>
          <w:color w:val="auto"/>
          <w:szCs w:val="24"/>
        </w:rPr>
        <w:t>norādīja</w:t>
      </w:r>
      <w:r w:rsidR="000D5193" w:rsidRPr="0028555F">
        <w:rPr>
          <w:rFonts w:cs="Times New Roman"/>
          <w:color w:val="auto"/>
          <w:szCs w:val="24"/>
        </w:rPr>
        <w:t>: „</w:t>
      </w:r>
      <w:r w:rsidR="002B0D3C" w:rsidRPr="0028555F">
        <w:rPr>
          <w:rFonts w:cs="Times New Roman"/>
          <w:color w:val="auto"/>
          <w:szCs w:val="24"/>
        </w:rPr>
        <w:t xml:space="preserve">Saskaņā ar Būvniecības likuma prasībām būvatļauju saņem atbilstoši būvniecības ieceres iesniegumam. Taču apjomīgu un valstij svarīgu objektu, piemēram, </w:t>
      </w:r>
      <w:proofErr w:type="spellStart"/>
      <w:r w:rsidR="002B0D3C" w:rsidRPr="0028555F">
        <w:rPr>
          <w:rFonts w:cs="Times New Roman"/>
          <w:i/>
          <w:iCs/>
          <w:color w:val="auto"/>
          <w:szCs w:val="24"/>
        </w:rPr>
        <w:t>RailBaltica</w:t>
      </w:r>
      <w:proofErr w:type="spellEnd"/>
      <w:r w:rsidR="002B0D3C" w:rsidRPr="0028555F">
        <w:rPr>
          <w:rFonts w:cs="Times New Roman"/>
          <w:color w:val="auto"/>
          <w:szCs w:val="24"/>
        </w:rPr>
        <w:t xml:space="preserve"> un citu transporta infrastruktūras būvju būvniecībai, būvatļauju tikai uz būvniecības ieceres iesnieguma pamata saņemt nav iespējams, jo objektīvi nav iespējams nodrošināt likuma </w:t>
      </w:r>
      <w:proofErr w:type="gramStart"/>
      <w:r w:rsidR="002B0D3C" w:rsidRPr="0028555F">
        <w:rPr>
          <w:rFonts w:cs="Times New Roman"/>
          <w:color w:val="auto"/>
          <w:szCs w:val="24"/>
        </w:rPr>
        <w:t>15.panta</w:t>
      </w:r>
      <w:proofErr w:type="gramEnd"/>
      <w:r w:rsidR="002B0D3C" w:rsidRPr="0028555F">
        <w:rPr>
          <w:rFonts w:cs="Times New Roman"/>
          <w:color w:val="auto"/>
          <w:szCs w:val="24"/>
        </w:rPr>
        <w:t xml:space="preserve"> pirmās daļas 2.punkta prasības attiecībā uz zemes pieejamību. Šādām būvēm zemes pieejamību var nodrošināt pirms būvdarbu uzsākšanas, jo tikai tehniskā projekta ietvaros ir iespējams noteikt precīzas zemes vienības, kas ir nepieciešamas būvniecībai, un veikt to atsavināšanu. Tāpēc lūdzam izvērtēt iespēju transporta būvēm paredzēt izņēmum</w:t>
      </w:r>
      <w:r w:rsidR="00D45027" w:rsidRPr="0028555F">
        <w:rPr>
          <w:rFonts w:cs="Times New Roman"/>
          <w:color w:val="auto"/>
          <w:szCs w:val="24"/>
        </w:rPr>
        <w:t>u</w:t>
      </w:r>
      <w:r w:rsidR="002B0D3C" w:rsidRPr="0028555F">
        <w:rPr>
          <w:rFonts w:cs="Times New Roman"/>
          <w:color w:val="auto"/>
          <w:szCs w:val="24"/>
        </w:rPr>
        <w:t xml:space="preserve"> attiecībā uz zemes pieejamību, papildinot Būvniecības likuma 15.panta pirmās daļas 2.punktu ar palīgteikumu: „izņemot gadījumus, kad būvniecības iecere attiecas uz transporta būvēm”</w:t>
      </w:r>
      <w:r w:rsidR="00C67D1B" w:rsidRPr="0028555F">
        <w:rPr>
          <w:rFonts w:cs="Times New Roman"/>
          <w:color w:val="auto"/>
          <w:szCs w:val="24"/>
        </w:rPr>
        <w:t xml:space="preserve"> (pieejams: </w:t>
      </w:r>
      <w:r w:rsidR="00C67D1B" w:rsidRPr="0028555F">
        <w:rPr>
          <w:rFonts w:cs="Times New Roman"/>
          <w:i/>
          <w:iCs/>
          <w:color w:val="auto"/>
          <w:szCs w:val="24"/>
        </w:rPr>
        <w:t>https://titania.saeima.lv/LIVS11/SaeimaLIVS11.nsf/0/D46177DC47F7B6EFC2257C7B00316FEE?OpenDocument</w:t>
      </w:r>
      <w:r w:rsidR="00C67D1B" w:rsidRPr="0028555F">
        <w:rPr>
          <w:rFonts w:cs="Times New Roman"/>
          <w:color w:val="auto"/>
          <w:szCs w:val="24"/>
        </w:rPr>
        <w:t>).</w:t>
      </w:r>
    </w:p>
    <w:p w14:paraId="2DE3FA28" w14:textId="7FDDB2DE" w:rsidR="00162281" w:rsidRPr="0028555F" w:rsidRDefault="00162281" w:rsidP="0028555F">
      <w:pPr>
        <w:tabs>
          <w:tab w:val="left" w:pos="1276"/>
        </w:tabs>
        <w:spacing w:after="0" w:line="276" w:lineRule="auto"/>
        <w:ind w:firstLine="567"/>
        <w:jc w:val="both"/>
        <w:rPr>
          <w:rFonts w:cs="Times New Roman"/>
          <w:color w:val="auto"/>
          <w:szCs w:val="24"/>
        </w:rPr>
      </w:pPr>
      <w:r w:rsidRPr="0028555F">
        <w:rPr>
          <w:rFonts w:cs="Times New Roman"/>
          <w:color w:val="auto"/>
          <w:szCs w:val="24"/>
        </w:rPr>
        <w:t>P</w:t>
      </w:r>
      <w:r w:rsidR="00B37B65" w:rsidRPr="0028555F">
        <w:rPr>
          <w:rFonts w:cs="Times New Roman"/>
          <w:color w:val="auto"/>
          <w:szCs w:val="24"/>
        </w:rPr>
        <w:t xml:space="preserve">aturot prātā </w:t>
      </w:r>
      <w:r w:rsidR="00640FF6" w:rsidRPr="0028555F">
        <w:rPr>
          <w:rFonts w:cs="Times New Roman"/>
          <w:color w:val="auto"/>
          <w:szCs w:val="24"/>
        </w:rPr>
        <w:t>šos</w:t>
      </w:r>
      <w:r w:rsidR="00B37B65" w:rsidRPr="0028555F">
        <w:rPr>
          <w:rFonts w:cs="Times New Roman"/>
          <w:color w:val="auto"/>
          <w:szCs w:val="24"/>
        </w:rPr>
        <w:t xml:space="preserve"> apsvērumus, var rast loģisku izskaidrojumu tam, kāpēc </w:t>
      </w:r>
      <w:r w:rsidR="00640FF6" w:rsidRPr="0028555F">
        <w:rPr>
          <w:rFonts w:cs="Times New Roman"/>
          <w:color w:val="auto"/>
          <w:szCs w:val="24"/>
        </w:rPr>
        <w:t xml:space="preserve">likumā un </w:t>
      </w:r>
      <w:r w:rsidR="000B1B3B" w:rsidRPr="0028555F">
        <w:rPr>
          <w:rFonts w:cs="Times New Roman"/>
          <w:color w:val="auto"/>
          <w:szCs w:val="24"/>
        </w:rPr>
        <w:t xml:space="preserve">uz tā pamata izdotajos </w:t>
      </w:r>
      <w:r w:rsidR="00640FF6" w:rsidRPr="0028555F">
        <w:rPr>
          <w:rFonts w:cs="Times New Roman"/>
          <w:color w:val="auto"/>
          <w:szCs w:val="24"/>
        </w:rPr>
        <w:t xml:space="preserve">noteikumos Nr. 633 </w:t>
      </w:r>
      <w:r w:rsidR="00B37B65" w:rsidRPr="0028555F">
        <w:rPr>
          <w:rFonts w:cs="Times New Roman"/>
          <w:color w:val="auto"/>
          <w:szCs w:val="24"/>
        </w:rPr>
        <w:t>paredzēta atšķirī</w:t>
      </w:r>
      <w:r w:rsidRPr="0028555F">
        <w:rPr>
          <w:rFonts w:cs="Times New Roman"/>
          <w:color w:val="auto"/>
          <w:szCs w:val="24"/>
        </w:rPr>
        <w:t>g</w:t>
      </w:r>
      <w:r w:rsidR="00B37B65" w:rsidRPr="0028555F">
        <w:rPr>
          <w:rFonts w:cs="Times New Roman"/>
          <w:color w:val="auto"/>
          <w:szCs w:val="24"/>
        </w:rPr>
        <w:t xml:space="preserve">a </w:t>
      </w:r>
      <w:r w:rsidRPr="0028555F">
        <w:rPr>
          <w:rFonts w:cs="Times New Roman"/>
          <w:color w:val="auto"/>
          <w:szCs w:val="24"/>
        </w:rPr>
        <w:t xml:space="preserve">būvatļauju izsniegšanas un pārsūdzības kārtība ceļu būvniecības gadījumā. </w:t>
      </w:r>
      <w:r w:rsidR="000B1B3B" w:rsidRPr="0028555F">
        <w:rPr>
          <w:rFonts w:cs="Times New Roman"/>
          <w:color w:val="auto"/>
          <w:szCs w:val="24"/>
        </w:rPr>
        <w:t>Proti, t</w:t>
      </w:r>
      <w:r w:rsidRPr="0028555F">
        <w:rPr>
          <w:rFonts w:cs="Times New Roman"/>
          <w:color w:val="auto"/>
          <w:szCs w:val="24"/>
        </w:rPr>
        <w:t xml:space="preserve">ās ir apjomīgas </w:t>
      </w:r>
      <w:r w:rsidR="00141C37" w:rsidRPr="0028555F">
        <w:rPr>
          <w:rFonts w:cs="Times New Roman"/>
          <w:color w:val="auto"/>
          <w:szCs w:val="24"/>
        </w:rPr>
        <w:t>inženier</w:t>
      </w:r>
      <w:r w:rsidRPr="0028555F">
        <w:rPr>
          <w:rFonts w:cs="Times New Roman"/>
          <w:color w:val="auto"/>
          <w:szCs w:val="24"/>
        </w:rPr>
        <w:t xml:space="preserve">būves, kas parasti šķērso un robežojas ar daudziem nekustamajiem īpašumiem un bieži pirms tehnisko noteikumu izstrādes </w:t>
      </w:r>
      <w:r w:rsidR="000B1B3B" w:rsidRPr="0028555F">
        <w:rPr>
          <w:rFonts w:cs="Times New Roman"/>
          <w:color w:val="auto"/>
          <w:szCs w:val="24"/>
        </w:rPr>
        <w:t>un</w:t>
      </w:r>
      <w:r w:rsidRPr="0028555F">
        <w:rPr>
          <w:rFonts w:cs="Times New Roman"/>
          <w:color w:val="auto"/>
          <w:szCs w:val="24"/>
        </w:rPr>
        <w:t xml:space="preserve"> būvatļaujas saņemšanas nav iespējams iegūt visus nepieciešamos saskaņojumus </w:t>
      </w:r>
      <w:r w:rsidR="000B1B3B" w:rsidRPr="0028555F">
        <w:rPr>
          <w:rFonts w:cs="Times New Roman"/>
          <w:color w:val="auto"/>
          <w:szCs w:val="24"/>
        </w:rPr>
        <w:t>no zemes īpašniekiem</w:t>
      </w:r>
      <w:proofErr w:type="gramStart"/>
      <w:r w:rsidR="000B1B3B" w:rsidRPr="0028555F">
        <w:rPr>
          <w:rFonts w:cs="Times New Roman"/>
          <w:color w:val="auto"/>
          <w:szCs w:val="24"/>
        </w:rPr>
        <w:t xml:space="preserve"> </w:t>
      </w:r>
      <w:r w:rsidRPr="0028555F">
        <w:rPr>
          <w:rFonts w:cs="Times New Roman"/>
          <w:color w:val="auto"/>
          <w:szCs w:val="24"/>
        </w:rPr>
        <w:t>vai atsavināt nepieciešamo zemi</w:t>
      </w:r>
      <w:r w:rsidR="000B1B3B" w:rsidRPr="0028555F">
        <w:rPr>
          <w:rFonts w:cs="Times New Roman"/>
          <w:color w:val="auto"/>
          <w:szCs w:val="24"/>
        </w:rPr>
        <w:t>, jo vēl nav pilnībā zināms</w:t>
      </w:r>
      <w:proofErr w:type="gramEnd"/>
      <w:r w:rsidR="000B1B3B" w:rsidRPr="0028555F">
        <w:rPr>
          <w:rFonts w:cs="Times New Roman"/>
          <w:color w:val="auto"/>
          <w:szCs w:val="24"/>
        </w:rPr>
        <w:t>, kā (kur) tieši attiecīgā būve tiks izvietota</w:t>
      </w:r>
      <w:r w:rsidRPr="0028555F">
        <w:rPr>
          <w:rFonts w:cs="Times New Roman"/>
          <w:color w:val="auto"/>
          <w:szCs w:val="24"/>
        </w:rPr>
        <w:t xml:space="preserve">. Tas </w:t>
      </w:r>
      <w:r w:rsidR="00640FF6" w:rsidRPr="0028555F">
        <w:rPr>
          <w:rFonts w:cs="Times New Roman"/>
          <w:color w:val="auto"/>
          <w:szCs w:val="24"/>
        </w:rPr>
        <w:t xml:space="preserve">savukārt </w:t>
      </w:r>
      <w:r w:rsidRPr="0028555F">
        <w:rPr>
          <w:rFonts w:cs="Times New Roman"/>
          <w:color w:val="auto"/>
          <w:szCs w:val="24"/>
        </w:rPr>
        <w:t xml:space="preserve">nozīmē, ka personas, kuru tiesiskās intereses būvniecība </w:t>
      </w:r>
      <w:r w:rsidR="00141C37" w:rsidRPr="0028555F">
        <w:rPr>
          <w:rFonts w:cs="Times New Roman"/>
          <w:color w:val="auto"/>
          <w:szCs w:val="24"/>
        </w:rPr>
        <w:t xml:space="preserve">jo īpaši </w:t>
      </w:r>
      <w:r w:rsidRPr="0028555F">
        <w:rPr>
          <w:rFonts w:cs="Times New Roman"/>
          <w:color w:val="auto"/>
          <w:szCs w:val="24"/>
        </w:rPr>
        <w:t xml:space="preserve">varētu skart, proti, zemes īpašnieki, par šo iespējamo aizskārumu vai tā apjomu būvatļaujas izsniegšanas laikā objektīvi var </w:t>
      </w:r>
      <w:r w:rsidR="00A22460" w:rsidRPr="0028555F">
        <w:rPr>
          <w:rFonts w:cs="Times New Roman"/>
          <w:color w:val="auto"/>
          <w:szCs w:val="24"/>
        </w:rPr>
        <w:t>nezināt</w:t>
      </w:r>
      <w:r w:rsidRPr="0028555F">
        <w:rPr>
          <w:rFonts w:cs="Times New Roman"/>
          <w:color w:val="auto"/>
          <w:szCs w:val="24"/>
        </w:rPr>
        <w:t xml:space="preserve">. </w:t>
      </w:r>
      <w:r w:rsidR="00640FF6" w:rsidRPr="0028555F">
        <w:rPr>
          <w:rFonts w:cs="Times New Roman"/>
          <w:color w:val="auto"/>
          <w:szCs w:val="24"/>
        </w:rPr>
        <w:t>N</w:t>
      </w:r>
      <w:r w:rsidRPr="0028555F">
        <w:rPr>
          <w:rFonts w:cs="Times New Roman"/>
          <w:color w:val="auto"/>
          <w:szCs w:val="24"/>
        </w:rPr>
        <w:t xml:space="preserve">eparedzot šādos gadījumos atšķirīgu </w:t>
      </w:r>
      <w:r w:rsidR="00141C37" w:rsidRPr="0028555F">
        <w:rPr>
          <w:rFonts w:cs="Times New Roman"/>
          <w:color w:val="auto"/>
          <w:szCs w:val="24"/>
        </w:rPr>
        <w:t xml:space="preserve">būvatļaujas </w:t>
      </w:r>
      <w:r w:rsidRPr="0028555F">
        <w:rPr>
          <w:rFonts w:cs="Times New Roman"/>
          <w:color w:val="auto"/>
          <w:szCs w:val="24"/>
        </w:rPr>
        <w:t xml:space="preserve">pārsūdzības termiņu </w:t>
      </w:r>
      <w:r w:rsidR="00141C37" w:rsidRPr="0028555F">
        <w:rPr>
          <w:rFonts w:cs="Times New Roman"/>
          <w:color w:val="auto"/>
          <w:szCs w:val="24"/>
        </w:rPr>
        <w:t xml:space="preserve">un </w:t>
      </w:r>
      <w:r w:rsidRPr="0028555F">
        <w:rPr>
          <w:rFonts w:cs="Times New Roman"/>
          <w:color w:val="auto"/>
          <w:szCs w:val="24"/>
        </w:rPr>
        <w:t xml:space="preserve">nosakot, ka </w:t>
      </w:r>
      <w:r w:rsidR="00141C37" w:rsidRPr="0028555F">
        <w:rPr>
          <w:rFonts w:cs="Times New Roman"/>
          <w:color w:val="auto"/>
          <w:szCs w:val="24"/>
        </w:rPr>
        <w:t>tas</w:t>
      </w:r>
      <w:r w:rsidRPr="0028555F">
        <w:rPr>
          <w:rFonts w:cs="Times New Roman"/>
          <w:color w:val="auto"/>
          <w:szCs w:val="24"/>
        </w:rPr>
        <w:t xml:space="preserve"> ir viens mēnesis </w:t>
      </w:r>
      <w:r w:rsidRPr="0028555F">
        <w:rPr>
          <w:rFonts w:cs="Times New Roman"/>
          <w:i/>
          <w:iCs/>
          <w:color w:val="auto"/>
          <w:szCs w:val="24"/>
        </w:rPr>
        <w:t>no būvatļaujas spēkā stāšanās</w:t>
      </w:r>
      <w:r w:rsidR="003A26AF" w:rsidRPr="0028555F">
        <w:rPr>
          <w:rFonts w:cs="Times New Roman"/>
          <w:i/>
          <w:iCs/>
          <w:color w:val="auto"/>
          <w:szCs w:val="24"/>
        </w:rPr>
        <w:t xml:space="preserve"> dienas</w:t>
      </w:r>
      <w:r w:rsidRPr="0028555F">
        <w:rPr>
          <w:rFonts w:cs="Times New Roman"/>
          <w:color w:val="auto"/>
          <w:szCs w:val="24"/>
        </w:rPr>
        <w:t xml:space="preserve">, kā </w:t>
      </w:r>
      <w:r w:rsidR="00141C37" w:rsidRPr="0028555F">
        <w:rPr>
          <w:rFonts w:cs="Times New Roman"/>
          <w:color w:val="auto"/>
          <w:szCs w:val="24"/>
        </w:rPr>
        <w:t>parastos</w:t>
      </w:r>
      <w:r w:rsidRPr="0028555F">
        <w:rPr>
          <w:rFonts w:cs="Times New Roman"/>
          <w:color w:val="auto"/>
          <w:szCs w:val="24"/>
        </w:rPr>
        <w:t xml:space="preserve"> gadījumos, šo personu tiesiskās intereses </w:t>
      </w:r>
      <w:r w:rsidR="000B1B3B" w:rsidRPr="0028555F">
        <w:rPr>
          <w:rFonts w:cs="Times New Roman"/>
          <w:color w:val="auto"/>
          <w:szCs w:val="24"/>
        </w:rPr>
        <w:t>nebūtu</w:t>
      </w:r>
      <w:r w:rsidRPr="0028555F">
        <w:rPr>
          <w:rFonts w:cs="Times New Roman"/>
          <w:color w:val="auto"/>
          <w:szCs w:val="24"/>
        </w:rPr>
        <w:t xml:space="preserve"> iespējams pienācīgi aizsargāt. </w:t>
      </w:r>
      <w:r w:rsidR="00D45027" w:rsidRPr="0028555F">
        <w:rPr>
          <w:rFonts w:cs="Times New Roman"/>
          <w:color w:val="auto"/>
          <w:szCs w:val="24"/>
        </w:rPr>
        <w:t>Acīmredzot t</w:t>
      </w:r>
      <w:r w:rsidRPr="0028555F">
        <w:rPr>
          <w:rFonts w:cs="Times New Roman"/>
          <w:color w:val="auto"/>
          <w:szCs w:val="24"/>
        </w:rPr>
        <w:t>ādēļ attiecībā uz š</w:t>
      </w:r>
      <w:r w:rsidR="003A26AF" w:rsidRPr="0028555F">
        <w:rPr>
          <w:rFonts w:cs="Times New Roman"/>
          <w:color w:val="auto"/>
          <w:szCs w:val="24"/>
        </w:rPr>
        <w:t>iem</w:t>
      </w:r>
      <w:r w:rsidRPr="0028555F">
        <w:rPr>
          <w:rFonts w:cs="Times New Roman"/>
          <w:color w:val="auto"/>
          <w:szCs w:val="24"/>
        </w:rPr>
        <w:t xml:space="preserve"> gadījumiem </w:t>
      </w:r>
      <w:r w:rsidR="00D45027" w:rsidRPr="0028555F">
        <w:rPr>
          <w:rFonts w:cs="Times New Roman"/>
          <w:color w:val="auto"/>
          <w:szCs w:val="24"/>
        </w:rPr>
        <w:t>likumā paredzēts</w:t>
      </w:r>
      <w:r w:rsidRPr="0028555F">
        <w:rPr>
          <w:rFonts w:cs="Times New Roman"/>
          <w:color w:val="auto"/>
          <w:szCs w:val="24"/>
        </w:rPr>
        <w:t xml:space="preserve"> izņēmums no vispārīgās pārsūdzības </w:t>
      </w:r>
      <w:r w:rsidR="003A26AF" w:rsidRPr="0028555F">
        <w:rPr>
          <w:rFonts w:cs="Times New Roman"/>
          <w:color w:val="auto"/>
          <w:szCs w:val="24"/>
        </w:rPr>
        <w:t xml:space="preserve">kārtības </w:t>
      </w:r>
      <w:r w:rsidRPr="0028555F">
        <w:rPr>
          <w:rFonts w:cs="Times New Roman"/>
          <w:color w:val="auto"/>
          <w:szCs w:val="24"/>
        </w:rPr>
        <w:t xml:space="preserve">– noteikts, ka tad, ja saskaņošanas un informēšanas pasākumi veicami </w:t>
      </w:r>
      <w:r w:rsidR="003A26AF" w:rsidRPr="0028555F">
        <w:rPr>
          <w:rFonts w:cs="Times New Roman"/>
          <w:color w:val="auto"/>
          <w:szCs w:val="24"/>
        </w:rPr>
        <w:t xml:space="preserve">tikai </w:t>
      </w:r>
      <w:r w:rsidRPr="0028555F">
        <w:rPr>
          <w:rFonts w:cs="Times New Roman"/>
          <w:color w:val="auto"/>
          <w:szCs w:val="24"/>
        </w:rPr>
        <w:t>pēc būvatļaujas izsniegšanas</w:t>
      </w:r>
      <w:r w:rsidR="000B1B3B" w:rsidRPr="0028555F">
        <w:rPr>
          <w:rFonts w:cs="Times New Roman"/>
          <w:color w:val="auto"/>
          <w:szCs w:val="24"/>
        </w:rPr>
        <w:t xml:space="preserve">, </w:t>
      </w:r>
      <w:r w:rsidRPr="0028555F">
        <w:rPr>
          <w:rFonts w:cs="Times New Roman"/>
          <w:color w:val="auto"/>
          <w:szCs w:val="24"/>
        </w:rPr>
        <w:t xml:space="preserve">būvatļaujas pārsūdzības termiņš ir viens mēnesis </w:t>
      </w:r>
      <w:r w:rsidRPr="0028555F">
        <w:rPr>
          <w:rFonts w:cs="Times New Roman"/>
          <w:i/>
          <w:iCs/>
          <w:color w:val="auto"/>
          <w:szCs w:val="24"/>
        </w:rPr>
        <w:t>no dienas, kad izdarīta atzīme par projektēšanas nosacījumu izpildi</w:t>
      </w:r>
      <w:r w:rsidRPr="0028555F">
        <w:rPr>
          <w:rFonts w:cs="Times New Roman"/>
          <w:color w:val="auto"/>
          <w:szCs w:val="24"/>
        </w:rPr>
        <w:t>, tas ir, būvatļauja var tikt pārsūdzēta vēlākā posmā</w:t>
      </w:r>
      <w:r w:rsidR="000F6D6B" w:rsidRPr="0028555F">
        <w:rPr>
          <w:rFonts w:cs="Times New Roman"/>
          <w:color w:val="auto"/>
          <w:szCs w:val="24"/>
        </w:rPr>
        <w:t>,</w:t>
      </w:r>
      <w:r w:rsidRPr="0028555F">
        <w:rPr>
          <w:rFonts w:cs="Times New Roman"/>
          <w:color w:val="auto"/>
          <w:szCs w:val="24"/>
        </w:rPr>
        <w:t xml:space="preserve"> nekā parasti.</w:t>
      </w:r>
      <w:r w:rsidR="000B1B3B" w:rsidRPr="0028555F">
        <w:rPr>
          <w:rFonts w:cs="Times New Roman"/>
          <w:color w:val="auto"/>
          <w:szCs w:val="24"/>
        </w:rPr>
        <w:t xml:space="preserve"> Tādējādi tiek nodrošināts, ka visas ar būvatļauju iespējami skartās personas var pienācīgi aizsargāt savas tiesiskās intereses</w:t>
      </w:r>
      <w:r w:rsidR="00A4494C" w:rsidRPr="0028555F">
        <w:rPr>
          <w:rFonts w:cs="Times New Roman"/>
          <w:color w:val="auto"/>
          <w:szCs w:val="24"/>
        </w:rPr>
        <w:t> </w:t>
      </w:r>
      <w:r w:rsidR="000B1B3B" w:rsidRPr="0028555F">
        <w:rPr>
          <w:rFonts w:cs="Times New Roman"/>
          <w:color w:val="auto"/>
          <w:szCs w:val="24"/>
        </w:rPr>
        <w:t>–</w:t>
      </w:r>
      <w:r w:rsidR="00A4494C" w:rsidRPr="0028555F">
        <w:rPr>
          <w:rFonts w:cs="Times New Roman"/>
          <w:color w:val="auto"/>
          <w:szCs w:val="24"/>
        </w:rPr>
        <w:t> </w:t>
      </w:r>
      <w:r w:rsidR="000B1B3B" w:rsidRPr="0028555F">
        <w:rPr>
          <w:rFonts w:cs="Times New Roman"/>
          <w:color w:val="auto"/>
          <w:szCs w:val="24"/>
        </w:rPr>
        <w:t>tad, kad tām objektīvi var kļūt zināms par iespējamo aizskārumu.</w:t>
      </w:r>
    </w:p>
    <w:p w14:paraId="3476CB33" w14:textId="77777777" w:rsidR="0011471D" w:rsidRPr="0028555F" w:rsidRDefault="0011471D" w:rsidP="0028555F">
      <w:pPr>
        <w:tabs>
          <w:tab w:val="left" w:pos="1276"/>
        </w:tabs>
        <w:spacing w:after="0" w:line="276" w:lineRule="auto"/>
        <w:ind w:firstLine="567"/>
        <w:jc w:val="both"/>
        <w:rPr>
          <w:rFonts w:cs="Times New Roman"/>
          <w:color w:val="auto"/>
          <w:szCs w:val="24"/>
        </w:rPr>
      </w:pPr>
    </w:p>
    <w:p w14:paraId="740968BC" w14:textId="170D2410" w:rsidR="00D45027" w:rsidRPr="0028555F" w:rsidRDefault="0011471D" w:rsidP="0028555F">
      <w:pPr>
        <w:tabs>
          <w:tab w:val="left" w:pos="1276"/>
        </w:tabs>
        <w:spacing w:after="0" w:line="276" w:lineRule="auto"/>
        <w:ind w:firstLine="567"/>
        <w:jc w:val="both"/>
        <w:rPr>
          <w:rFonts w:cs="Times New Roman"/>
          <w:color w:val="auto"/>
          <w:szCs w:val="24"/>
        </w:rPr>
      </w:pPr>
      <w:r w:rsidRPr="0028555F">
        <w:rPr>
          <w:rFonts w:cs="Times New Roman"/>
          <w:color w:val="auto"/>
          <w:szCs w:val="24"/>
        </w:rPr>
        <w:t>[</w:t>
      </w:r>
      <w:r w:rsidR="006D3EF9" w:rsidRPr="0028555F">
        <w:rPr>
          <w:rFonts w:cs="Times New Roman"/>
          <w:color w:val="auto"/>
          <w:szCs w:val="24"/>
        </w:rPr>
        <w:t>6</w:t>
      </w:r>
      <w:r w:rsidRPr="0028555F">
        <w:rPr>
          <w:rFonts w:cs="Times New Roman"/>
          <w:color w:val="auto"/>
          <w:szCs w:val="24"/>
        </w:rPr>
        <w:t xml:space="preserve">] Ievērojot minēto, </w:t>
      </w:r>
      <w:r w:rsidR="003A26AF" w:rsidRPr="0028555F">
        <w:rPr>
          <w:rFonts w:cs="Times New Roman"/>
          <w:color w:val="auto"/>
          <w:szCs w:val="24"/>
        </w:rPr>
        <w:t xml:space="preserve">secināms, ka Būvniecības likuma </w:t>
      </w:r>
      <w:proofErr w:type="gramStart"/>
      <w:r w:rsidR="003A26AF" w:rsidRPr="0028555F">
        <w:rPr>
          <w:rFonts w:cs="Times New Roman"/>
          <w:color w:val="auto"/>
          <w:szCs w:val="24"/>
        </w:rPr>
        <w:t>14.panta</w:t>
      </w:r>
      <w:proofErr w:type="gramEnd"/>
      <w:r w:rsidR="003A26AF" w:rsidRPr="0028555F">
        <w:rPr>
          <w:rFonts w:cs="Times New Roman"/>
          <w:color w:val="auto"/>
          <w:szCs w:val="24"/>
        </w:rPr>
        <w:t xml:space="preserve"> devītās daļas mērķis </w:t>
      </w:r>
      <w:r w:rsidR="00D45027" w:rsidRPr="0028555F">
        <w:rPr>
          <w:rFonts w:cs="Times New Roman"/>
          <w:color w:val="auto"/>
          <w:szCs w:val="24"/>
        </w:rPr>
        <w:t xml:space="preserve">nav ierobežot ar būvatļauju skarto personu tiesības tādējādi, ka pirms atzīmes saņemšanas par projektēšanas nosacījumu izpildi tās </w:t>
      </w:r>
      <w:r w:rsidR="006D3EF9" w:rsidRPr="0028555F">
        <w:rPr>
          <w:rFonts w:cs="Times New Roman"/>
          <w:color w:val="auto"/>
          <w:szCs w:val="24"/>
        </w:rPr>
        <w:t xml:space="preserve">vispār </w:t>
      </w:r>
      <w:r w:rsidR="00BD20DB" w:rsidRPr="0028555F">
        <w:rPr>
          <w:rFonts w:cs="Times New Roman"/>
          <w:color w:val="auto"/>
          <w:szCs w:val="24"/>
        </w:rPr>
        <w:t>nav tiesīgas</w:t>
      </w:r>
      <w:r w:rsidR="00D45027" w:rsidRPr="0028555F">
        <w:rPr>
          <w:rFonts w:cs="Times New Roman"/>
          <w:color w:val="auto"/>
          <w:szCs w:val="24"/>
        </w:rPr>
        <w:t xml:space="preserve"> vērsties tiesā. Normas mērķis ir nodrošināt, ka gadījumā, kad ar būvatļauju skartās personas par iespējamo tiesību aizskārumu var neuzzināt būvatļaujas spēkā stāšanās brīdī, tās var iebilst pret būvatļauju vēlāk, nekā tas būtu parastā gadījumā, kad visi </w:t>
      </w:r>
      <w:r w:rsidR="00BD20DB" w:rsidRPr="0028555F">
        <w:rPr>
          <w:rFonts w:cs="Times New Roman"/>
          <w:color w:val="auto"/>
          <w:szCs w:val="24"/>
        </w:rPr>
        <w:t xml:space="preserve">nepieciešamie saskaņojumi saņemami (un tātad personas var uzzināt par iespējamo aizskārumu) pirms būvatļaujas izsniegšanas. Citiem vārdiem sakot, norma nenoteic, no kura brīža </w:t>
      </w:r>
      <w:r w:rsidR="006D3EF9" w:rsidRPr="0028555F">
        <w:rPr>
          <w:rFonts w:cs="Times New Roman"/>
          <w:color w:val="auto"/>
          <w:szCs w:val="24"/>
        </w:rPr>
        <w:t xml:space="preserve">vispār </w:t>
      </w:r>
      <w:r w:rsidR="00BD20DB" w:rsidRPr="0028555F">
        <w:rPr>
          <w:rFonts w:cs="Times New Roman"/>
          <w:color w:val="auto"/>
          <w:szCs w:val="24"/>
        </w:rPr>
        <w:t xml:space="preserve">drīkst iebilst pret būvatļauju, bet gan noteic, cik ilgi personām ir tiesības to darīt. </w:t>
      </w:r>
      <w:r w:rsidRPr="0028555F">
        <w:rPr>
          <w:rFonts w:cs="Times New Roman"/>
          <w:color w:val="auto"/>
          <w:szCs w:val="24"/>
        </w:rPr>
        <w:t>Būvniecības likuma 15.panta otrā</w:t>
      </w:r>
      <w:r w:rsidR="00A22460" w:rsidRPr="0028555F">
        <w:rPr>
          <w:rFonts w:cs="Times New Roman"/>
          <w:color w:val="auto"/>
          <w:szCs w:val="24"/>
        </w:rPr>
        <w:t>s</w:t>
      </w:r>
      <w:r w:rsidRPr="0028555F">
        <w:rPr>
          <w:rFonts w:cs="Times New Roman"/>
          <w:color w:val="auto"/>
          <w:szCs w:val="24"/>
        </w:rPr>
        <w:t xml:space="preserve"> daļ</w:t>
      </w:r>
      <w:r w:rsidR="006D3EF9" w:rsidRPr="0028555F">
        <w:rPr>
          <w:rFonts w:cs="Times New Roman"/>
          <w:color w:val="auto"/>
          <w:szCs w:val="24"/>
        </w:rPr>
        <w:t>as</w:t>
      </w:r>
      <w:r w:rsidRPr="0028555F">
        <w:rPr>
          <w:rFonts w:cs="Times New Roman"/>
          <w:color w:val="auto"/>
          <w:szCs w:val="24"/>
        </w:rPr>
        <w:t xml:space="preserve"> </w:t>
      </w:r>
      <w:r w:rsidR="006D3EF9" w:rsidRPr="0028555F">
        <w:rPr>
          <w:rFonts w:cs="Times New Roman"/>
          <w:color w:val="auto"/>
          <w:szCs w:val="24"/>
        </w:rPr>
        <w:t xml:space="preserve">piemērošanas </w:t>
      </w:r>
      <w:r w:rsidRPr="0028555F">
        <w:rPr>
          <w:rFonts w:cs="Times New Roman"/>
          <w:color w:val="auto"/>
          <w:szCs w:val="24"/>
        </w:rPr>
        <w:t>gadījumā šis termiņš ir viens mēnesis, skaitot no dienas, kad izdarīta atzīme par projektēšanas nosacījumu izpildi.</w:t>
      </w:r>
    </w:p>
    <w:p w14:paraId="5041921E" w14:textId="4214830F" w:rsidR="00141C37" w:rsidRPr="0028555F" w:rsidRDefault="00141C37" w:rsidP="0028555F">
      <w:pPr>
        <w:tabs>
          <w:tab w:val="left" w:pos="1276"/>
        </w:tabs>
        <w:spacing w:after="0" w:line="276" w:lineRule="auto"/>
        <w:ind w:firstLine="567"/>
        <w:jc w:val="both"/>
        <w:rPr>
          <w:rFonts w:cs="Times New Roman"/>
          <w:color w:val="auto"/>
          <w:szCs w:val="24"/>
        </w:rPr>
      </w:pPr>
    </w:p>
    <w:p w14:paraId="308E01FE" w14:textId="0D7785C3" w:rsidR="00D901DE" w:rsidRPr="0028555F" w:rsidRDefault="00B63C03" w:rsidP="0028555F">
      <w:pPr>
        <w:tabs>
          <w:tab w:val="left" w:pos="1276"/>
        </w:tabs>
        <w:spacing w:after="0" w:line="276" w:lineRule="auto"/>
        <w:ind w:firstLine="567"/>
        <w:jc w:val="both"/>
        <w:rPr>
          <w:rFonts w:cs="Times New Roman"/>
          <w:color w:val="auto"/>
          <w:szCs w:val="24"/>
        </w:rPr>
      </w:pPr>
      <w:r w:rsidRPr="0028555F">
        <w:rPr>
          <w:rFonts w:cs="Times New Roman"/>
          <w:color w:val="auto"/>
          <w:szCs w:val="24"/>
        </w:rPr>
        <w:t>[</w:t>
      </w:r>
      <w:r w:rsidR="006D3EF9" w:rsidRPr="0028555F">
        <w:rPr>
          <w:rFonts w:cs="Times New Roman"/>
          <w:color w:val="auto"/>
          <w:szCs w:val="24"/>
        </w:rPr>
        <w:t>7</w:t>
      </w:r>
      <w:r w:rsidRPr="0028555F">
        <w:rPr>
          <w:rFonts w:cs="Times New Roman"/>
          <w:color w:val="auto"/>
          <w:szCs w:val="24"/>
        </w:rPr>
        <w:t xml:space="preserve">] </w:t>
      </w:r>
      <w:r w:rsidR="00D901DE" w:rsidRPr="0028555F">
        <w:rPr>
          <w:rFonts w:cs="Times New Roman"/>
          <w:color w:val="auto"/>
          <w:szCs w:val="24"/>
        </w:rPr>
        <w:t xml:space="preserve">Konkrētajā gadījumā būvatļauja izsniegta, piemērojot Būvniecības likuma </w:t>
      </w:r>
      <w:proofErr w:type="gramStart"/>
      <w:r w:rsidR="00D901DE" w:rsidRPr="0028555F">
        <w:rPr>
          <w:rFonts w:cs="Times New Roman"/>
          <w:color w:val="auto"/>
          <w:szCs w:val="24"/>
        </w:rPr>
        <w:t>15.panta</w:t>
      </w:r>
      <w:proofErr w:type="gramEnd"/>
      <w:r w:rsidR="00D901DE" w:rsidRPr="0028555F">
        <w:rPr>
          <w:rFonts w:cs="Times New Roman"/>
          <w:color w:val="auto"/>
          <w:szCs w:val="24"/>
        </w:rPr>
        <w:t xml:space="preserve"> otrajā daļā un noteikumos Nr. 633 paredzēto kārtību – pašvaldībai izsniegta būvatļauja, kurā kā projektēšanas nosacījums paredzēts saņemt nepieciešamos saskaņojumus no trešajām personām vai normatīvajos aktos paredzētajos gadījumos informēt tās.</w:t>
      </w:r>
    </w:p>
    <w:p w14:paraId="25D24085" w14:textId="41BA0415" w:rsidR="00556071" w:rsidRPr="0028555F" w:rsidRDefault="00D901DE" w:rsidP="0028555F">
      <w:pPr>
        <w:tabs>
          <w:tab w:val="left" w:pos="1276"/>
        </w:tabs>
        <w:spacing w:after="0" w:line="276" w:lineRule="auto"/>
        <w:ind w:firstLine="567"/>
        <w:jc w:val="both"/>
        <w:rPr>
          <w:rFonts w:cs="Times New Roman"/>
          <w:color w:val="auto"/>
          <w:szCs w:val="24"/>
        </w:rPr>
      </w:pPr>
      <w:r w:rsidRPr="0028555F">
        <w:rPr>
          <w:rFonts w:cs="Times New Roman"/>
          <w:color w:val="auto"/>
          <w:szCs w:val="24"/>
        </w:rPr>
        <w:t>N</w:t>
      </w:r>
      <w:r w:rsidR="00B63C03" w:rsidRPr="0028555F">
        <w:rPr>
          <w:rFonts w:cs="Times New Roman"/>
          <w:color w:val="auto"/>
          <w:szCs w:val="24"/>
        </w:rPr>
        <w:t>o pieteikuma un tam pievienotajiem dokumentiem var pietiekami pārliecinoši konstatēt, ka ceļš</w:t>
      </w:r>
      <w:r w:rsidR="000B1B3B" w:rsidRPr="0028555F">
        <w:rPr>
          <w:rFonts w:cs="Times New Roman"/>
          <w:color w:val="auto"/>
          <w:szCs w:val="24"/>
        </w:rPr>
        <w:t xml:space="preserve"> C-19</w:t>
      </w:r>
      <w:r w:rsidR="00B63C03" w:rsidRPr="0028555F">
        <w:rPr>
          <w:rFonts w:cs="Times New Roman"/>
          <w:color w:val="auto"/>
          <w:szCs w:val="24"/>
        </w:rPr>
        <w:t xml:space="preserve">, kura pārbūvei izsniegta būvatļauja, šķērso pieteicējam piederošu zemi. Tātad </w:t>
      </w:r>
      <w:r w:rsidR="00556071" w:rsidRPr="0028555F">
        <w:rPr>
          <w:rFonts w:cs="Times New Roman"/>
          <w:color w:val="auto"/>
          <w:szCs w:val="24"/>
        </w:rPr>
        <w:t xml:space="preserve">ir skaidrs, ka būvatļauja skar pieteicēja tiesiskās intereses. </w:t>
      </w:r>
      <w:r w:rsidR="00B63C03" w:rsidRPr="0028555F">
        <w:rPr>
          <w:rFonts w:cs="Times New Roman"/>
          <w:color w:val="auto"/>
          <w:szCs w:val="24"/>
        </w:rPr>
        <w:t xml:space="preserve">Pieteicējs </w:t>
      </w:r>
      <w:r w:rsidR="006D3EF9" w:rsidRPr="0028555F">
        <w:rPr>
          <w:rFonts w:cs="Times New Roman"/>
          <w:color w:val="auto"/>
          <w:szCs w:val="24"/>
        </w:rPr>
        <w:t>uzskata</w:t>
      </w:r>
      <w:r w:rsidR="00556071" w:rsidRPr="0028555F">
        <w:rPr>
          <w:rFonts w:cs="Times New Roman"/>
          <w:color w:val="auto"/>
          <w:szCs w:val="24"/>
        </w:rPr>
        <w:t>, ka būvniecība ar viņu ir jāsaskaņo, nevis pieteicējs tikai jāinformē par iecerētajiem darbiem</w:t>
      </w:r>
      <w:r w:rsidRPr="0028555F">
        <w:rPr>
          <w:rFonts w:cs="Times New Roman"/>
          <w:color w:val="auto"/>
          <w:szCs w:val="24"/>
        </w:rPr>
        <w:t>, kā to savukārt ir darījusi pašvaldība</w:t>
      </w:r>
      <w:r w:rsidR="00556071" w:rsidRPr="0028555F">
        <w:rPr>
          <w:rFonts w:cs="Times New Roman"/>
          <w:color w:val="auto"/>
          <w:szCs w:val="24"/>
        </w:rPr>
        <w:t xml:space="preserve">. </w:t>
      </w:r>
      <w:r w:rsidRPr="0028555F">
        <w:rPr>
          <w:rFonts w:cs="Times New Roman"/>
          <w:color w:val="auto"/>
          <w:szCs w:val="24"/>
        </w:rPr>
        <w:t>P</w:t>
      </w:r>
      <w:r w:rsidR="00556071" w:rsidRPr="0028555F">
        <w:rPr>
          <w:rFonts w:cs="Times New Roman"/>
          <w:color w:val="auto"/>
          <w:szCs w:val="24"/>
        </w:rPr>
        <w:t xml:space="preserve">ieteicējs </w:t>
      </w:r>
      <w:r w:rsidRPr="0028555F">
        <w:rPr>
          <w:rFonts w:cs="Times New Roman"/>
          <w:color w:val="auto"/>
          <w:szCs w:val="24"/>
        </w:rPr>
        <w:t>norādījis arī uz</w:t>
      </w:r>
      <w:r w:rsidR="00556071" w:rsidRPr="0028555F">
        <w:rPr>
          <w:rFonts w:cs="Times New Roman"/>
          <w:color w:val="auto"/>
          <w:szCs w:val="24"/>
        </w:rPr>
        <w:t xml:space="preserve"> </w:t>
      </w:r>
      <w:r w:rsidRPr="0028555F">
        <w:rPr>
          <w:rFonts w:cs="Times New Roman"/>
          <w:color w:val="auto"/>
          <w:szCs w:val="24"/>
        </w:rPr>
        <w:t>būvniecības</w:t>
      </w:r>
      <w:r w:rsidR="00556071" w:rsidRPr="0028555F">
        <w:rPr>
          <w:rFonts w:cs="Times New Roman"/>
          <w:color w:val="auto"/>
          <w:szCs w:val="24"/>
        </w:rPr>
        <w:t xml:space="preserve"> ieceres neatbilstību teritorijas plānojumam</w:t>
      </w:r>
      <w:r w:rsidR="00F257E8" w:rsidRPr="0028555F">
        <w:rPr>
          <w:rFonts w:cs="Times New Roman"/>
          <w:color w:val="auto"/>
          <w:szCs w:val="24"/>
        </w:rPr>
        <w:t>, kas vispārīgi var būt šķērslis būvniecībai neatkarīgi no tā, vai ir izdarīta atzīme par projektēšanas nosacījumu izpildi.</w:t>
      </w:r>
    </w:p>
    <w:p w14:paraId="09F7282E" w14:textId="65F64F22" w:rsidR="00B63C03" w:rsidRPr="0028555F" w:rsidRDefault="00B63C03" w:rsidP="0028555F">
      <w:pPr>
        <w:tabs>
          <w:tab w:val="left" w:pos="1276"/>
        </w:tabs>
        <w:spacing w:after="0" w:line="276" w:lineRule="auto"/>
        <w:ind w:firstLine="567"/>
        <w:jc w:val="both"/>
        <w:rPr>
          <w:rFonts w:cs="Times New Roman"/>
          <w:color w:val="auto"/>
          <w:szCs w:val="24"/>
        </w:rPr>
      </w:pPr>
      <w:r w:rsidRPr="0028555F">
        <w:rPr>
          <w:rFonts w:cs="Times New Roman"/>
          <w:color w:val="auto"/>
          <w:szCs w:val="24"/>
        </w:rPr>
        <w:t>Šādos apstākļos</w:t>
      </w:r>
      <w:r w:rsidR="00A6149F" w:rsidRPr="0028555F">
        <w:rPr>
          <w:rFonts w:cs="Times New Roman"/>
          <w:color w:val="auto"/>
          <w:szCs w:val="24"/>
        </w:rPr>
        <w:t>, ņemot vērā Senāta iepriekš sniegto tiesību normu interpretāciju,</w:t>
      </w:r>
      <w:r w:rsidRPr="0028555F">
        <w:rPr>
          <w:rFonts w:cs="Times New Roman"/>
          <w:color w:val="auto"/>
          <w:szCs w:val="24"/>
        </w:rPr>
        <w:t xml:space="preserve"> nav saskatāms </w:t>
      </w:r>
      <w:r w:rsidR="00A6149F" w:rsidRPr="0028555F">
        <w:rPr>
          <w:rFonts w:cs="Times New Roman"/>
          <w:color w:val="auto"/>
          <w:szCs w:val="24"/>
        </w:rPr>
        <w:t xml:space="preserve">tiesisks </w:t>
      </w:r>
      <w:r w:rsidRPr="0028555F">
        <w:rPr>
          <w:rFonts w:cs="Times New Roman"/>
          <w:color w:val="auto"/>
          <w:szCs w:val="24"/>
        </w:rPr>
        <w:t>pamats liegt pieteicējam jau tagad pārsūdzēt būvatļauju</w:t>
      </w:r>
      <w:r w:rsidR="00556071" w:rsidRPr="0028555F">
        <w:rPr>
          <w:rFonts w:cs="Times New Roman"/>
          <w:color w:val="auto"/>
          <w:szCs w:val="24"/>
        </w:rPr>
        <w:t xml:space="preserve"> un </w:t>
      </w:r>
      <w:r w:rsidRPr="0028555F">
        <w:rPr>
          <w:rFonts w:cs="Times New Roman"/>
          <w:color w:val="auto"/>
          <w:szCs w:val="24"/>
        </w:rPr>
        <w:t xml:space="preserve">likt nogaidīt, kad būvatļaujā tiks izdarīta atzīme par projektēšanas nosacījumu izpildi. </w:t>
      </w:r>
      <w:r w:rsidR="00F257E8" w:rsidRPr="0028555F">
        <w:rPr>
          <w:rFonts w:cs="Times New Roman"/>
          <w:color w:val="auto"/>
          <w:szCs w:val="24"/>
        </w:rPr>
        <w:t xml:space="preserve">Šādas atzīmes saņemšana </w:t>
      </w:r>
      <w:r w:rsidR="00A6149F" w:rsidRPr="0028555F">
        <w:rPr>
          <w:rFonts w:cs="Times New Roman"/>
          <w:color w:val="auto"/>
          <w:szCs w:val="24"/>
        </w:rPr>
        <w:t>nevar mainīt</w:t>
      </w:r>
      <w:r w:rsidR="00F257E8" w:rsidRPr="0028555F">
        <w:rPr>
          <w:rFonts w:cs="Times New Roman"/>
          <w:color w:val="auto"/>
          <w:szCs w:val="24"/>
        </w:rPr>
        <w:t xml:space="preserve"> </w:t>
      </w:r>
      <w:r w:rsidR="00A6149F" w:rsidRPr="0028555F">
        <w:rPr>
          <w:rFonts w:cs="Times New Roman"/>
          <w:color w:val="auto"/>
          <w:szCs w:val="24"/>
        </w:rPr>
        <w:t xml:space="preserve">visus </w:t>
      </w:r>
      <w:r w:rsidR="00F257E8" w:rsidRPr="0028555F">
        <w:rPr>
          <w:rFonts w:cs="Times New Roman"/>
          <w:color w:val="auto"/>
          <w:szCs w:val="24"/>
        </w:rPr>
        <w:t>aspektus, pret kuriem pieteicējs iebilst pieteikumā.</w:t>
      </w:r>
    </w:p>
    <w:p w14:paraId="7D7009E9" w14:textId="05DB8C3C" w:rsidR="003A26AF" w:rsidRPr="0028555F" w:rsidRDefault="006D3EF9" w:rsidP="0028555F">
      <w:pPr>
        <w:tabs>
          <w:tab w:val="left" w:pos="1276"/>
        </w:tabs>
        <w:spacing w:after="0" w:line="276" w:lineRule="auto"/>
        <w:ind w:firstLine="567"/>
        <w:jc w:val="both"/>
        <w:rPr>
          <w:rFonts w:cs="Times New Roman"/>
          <w:color w:val="auto"/>
          <w:szCs w:val="24"/>
        </w:rPr>
      </w:pPr>
      <w:r w:rsidRPr="0028555F">
        <w:rPr>
          <w:rFonts w:cs="Times New Roman"/>
          <w:color w:val="auto"/>
          <w:szCs w:val="24"/>
        </w:rPr>
        <w:t>Turklāt j</w:t>
      </w:r>
      <w:r w:rsidR="003A26AF" w:rsidRPr="0028555F">
        <w:rPr>
          <w:rFonts w:cs="Times New Roman"/>
          <w:color w:val="auto"/>
          <w:szCs w:val="24"/>
        </w:rPr>
        <w:t>āpiez</w:t>
      </w:r>
      <w:r w:rsidRPr="0028555F">
        <w:rPr>
          <w:rFonts w:cs="Times New Roman"/>
          <w:color w:val="auto"/>
          <w:szCs w:val="24"/>
        </w:rPr>
        <w:t>īmē,</w:t>
      </w:r>
      <w:r w:rsidR="003A26AF" w:rsidRPr="0028555F">
        <w:rPr>
          <w:rFonts w:cs="Times New Roman"/>
          <w:color w:val="auto"/>
          <w:szCs w:val="24"/>
        </w:rPr>
        <w:t xml:space="preserve"> ka būvatļauja ir administratīvais akts, to var apstrīdēt un pārsūdzēt. Tā savu tiesisko dabu nemaina atkarībā no tā, vai ir izdarīta atzīme par projektēšanas nosacījumu izpildi.</w:t>
      </w:r>
      <w:r w:rsidR="00C174C7" w:rsidRPr="0028555F">
        <w:rPr>
          <w:rFonts w:cs="Times New Roman"/>
          <w:color w:val="auto"/>
          <w:szCs w:val="24"/>
        </w:rPr>
        <w:t xml:space="preserve"> Līdz ar to apstāklis, ka būvatļauja ir apstrīdēta</w:t>
      </w:r>
      <w:proofErr w:type="gramStart"/>
      <w:r w:rsidR="00C174C7" w:rsidRPr="0028555F">
        <w:rPr>
          <w:rFonts w:cs="Times New Roman"/>
          <w:color w:val="auto"/>
          <w:szCs w:val="24"/>
        </w:rPr>
        <w:t xml:space="preserve"> vai pārsūdzēta</w:t>
      </w:r>
      <w:r w:rsidR="00A6149F" w:rsidRPr="0028555F">
        <w:rPr>
          <w:rFonts w:cs="Times New Roman"/>
          <w:color w:val="auto"/>
          <w:szCs w:val="24"/>
        </w:rPr>
        <w:t>,</w:t>
      </w:r>
      <w:r w:rsidR="00C174C7" w:rsidRPr="0028555F">
        <w:rPr>
          <w:rFonts w:cs="Times New Roman"/>
          <w:color w:val="auto"/>
          <w:szCs w:val="24"/>
        </w:rPr>
        <w:t xml:space="preserve"> pirms </w:t>
      </w:r>
      <w:r w:rsidR="00A6149F" w:rsidRPr="0028555F">
        <w:rPr>
          <w:rFonts w:cs="Times New Roman"/>
          <w:color w:val="auto"/>
          <w:szCs w:val="24"/>
        </w:rPr>
        <w:t xml:space="preserve">izdarīta </w:t>
      </w:r>
      <w:r w:rsidR="00C174C7" w:rsidRPr="0028555F">
        <w:rPr>
          <w:rFonts w:cs="Times New Roman"/>
          <w:color w:val="auto"/>
          <w:szCs w:val="24"/>
        </w:rPr>
        <w:t>atzīme par projektēšanas nosacījumu izpildi</w:t>
      </w:r>
      <w:proofErr w:type="gramEnd"/>
      <w:r w:rsidR="00C174C7" w:rsidRPr="0028555F">
        <w:rPr>
          <w:rFonts w:cs="Times New Roman"/>
          <w:color w:val="auto"/>
          <w:szCs w:val="24"/>
        </w:rPr>
        <w:t xml:space="preserve">, </w:t>
      </w:r>
      <w:r w:rsidR="00B63C03" w:rsidRPr="0028555F">
        <w:rPr>
          <w:rFonts w:cs="Times New Roman"/>
          <w:color w:val="auto"/>
          <w:szCs w:val="24"/>
        </w:rPr>
        <w:t xml:space="preserve">pats par sevi </w:t>
      </w:r>
      <w:r w:rsidR="00C174C7" w:rsidRPr="0028555F">
        <w:rPr>
          <w:rFonts w:cs="Times New Roman"/>
          <w:color w:val="auto"/>
          <w:szCs w:val="24"/>
        </w:rPr>
        <w:t>nevar novest pie secinājuma, ka attiecīgais pieteikums nav izskatāms administratīvā procesa kārtībā.</w:t>
      </w:r>
    </w:p>
    <w:p w14:paraId="149987E3" w14:textId="0EA42FB2" w:rsidR="0080589C" w:rsidRPr="0028555F" w:rsidRDefault="0080589C" w:rsidP="0028555F">
      <w:pPr>
        <w:tabs>
          <w:tab w:val="left" w:pos="1276"/>
        </w:tabs>
        <w:spacing w:after="0" w:line="276" w:lineRule="auto"/>
        <w:ind w:firstLine="567"/>
        <w:jc w:val="both"/>
        <w:rPr>
          <w:rFonts w:cs="Times New Roman"/>
          <w:color w:val="auto"/>
          <w:szCs w:val="24"/>
        </w:rPr>
      </w:pPr>
    </w:p>
    <w:p w14:paraId="4BC66966" w14:textId="4B227308" w:rsidR="0080589C" w:rsidRPr="0028555F" w:rsidRDefault="009A196C" w:rsidP="0028555F">
      <w:pPr>
        <w:tabs>
          <w:tab w:val="left" w:pos="1276"/>
        </w:tabs>
        <w:spacing w:after="0" w:line="276" w:lineRule="auto"/>
        <w:ind w:firstLine="567"/>
        <w:jc w:val="both"/>
        <w:rPr>
          <w:rFonts w:cs="Times New Roman"/>
          <w:color w:val="auto"/>
          <w:szCs w:val="24"/>
        </w:rPr>
      </w:pPr>
      <w:r w:rsidRPr="0028555F">
        <w:rPr>
          <w:rFonts w:cs="Times New Roman"/>
          <w:color w:val="auto"/>
          <w:szCs w:val="24"/>
        </w:rPr>
        <w:t>[</w:t>
      </w:r>
      <w:r w:rsidR="006D3EF9" w:rsidRPr="0028555F">
        <w:rPr>
          <w:rFonts w:cs="Times New Roman"/>
          <w:color w:val="auto"/>
          <w:szCs w:val="24"/>
        </w:rPr>
        <w:t>8</w:t>
      </w:r>
      <w:r w:rsidRPr="0028555F">
        <w:rPr>
          <w:rFonts w:cs="Times New Roman"/>
          <w:color w:val="auto"/>
          <w:szCs w:val="24"/>
        </w:rPr>
        <w:t xml:space="preserve">] </w:t>
      </w:r>
      <w:r w:rsidR="00673EBE" w:rsidRPr="0028555F">
        <w:rPr>
          <w:rFonts w:cs="Times New Roman"/>
          <w:color w:val="auto"/>
          <w:szCs w:val="24"/>
        </w:rPr>
        <w:t>Ievērojot minēto, blakus sūdzība ir apmierināma un pirmās instances tiesas tiesneša lēmums ir atceļams.</w:t>
      </w:r>
    </w:p>
    <w:p w14:paraId="26F6997C" w14:textId="77777777" w:rsidR="00E147AD" w:rsidRPr="0028555F" w:rsidRDefault="00E147AD" w:rsidP="0028555F">
      <w:pPr>
        <w:tabs>
          <w:tab w:val="left" w:pos="1276"/>
        </w:tabs>
        <w:spacing w:after="0" w:line="276" w:lineRule="auto"/>
        <w:jc w:val="both"/>
        <w:rPr>
          <w:rFonts w:cs="Times New Roman"/>
          <w:szCs w:val="24"/>
        </w:rPr>
      </w:pPr>
    </w:p>
    <w:p w14:paraId="5D6AE5FD" w14:textId="77777777" w:rsidR="00E147AD" w:rsidRPr="0028555F" w:rsidRDefault="00E147AD" w:rsidP="0028555F">
      <w:pPr>
        <w:spacing w:after="0" w:line="276" w:lineRule="auto"/>
        <w:jc w:val="center"/>
        <w:rPr>
          <w:rFonts w:cs="Times New Roman"/>
          <w:b/>
          <w:color w:val="auto"/>
          <w:szCs w:val="24"/>
        </w:rPr>
      </w:pPr>
      <w:r w:rsidRPr="0028555F">
        <w:rPr>
          <w:rFonts w:cs="Times New Roman"/>
          <w:b/>
          <w:color w:val="auto"/>
          <w:szCs w:val="24"/>
        </w:rPr>
        <w:t>Rezolutīvā daļa</w:t>
      </w:r>
    </w:p>
    <w:p w14:paraId="690600BC" w14:textId="77777777" w:rsidR="00E147AD" w:rsidRPr="0028555F" w:rsidRDefault="00E147AD" w:rsidP="0028555F">
      <w:pPr>
        <w:tabs>
          <w:tab w:val="left" w:pos="1276"/>
          <w:tab w:val="left" w:pos="2700"/>
          <w:tab w:val="left" w:pos="6660"/>
        </w:tabs>
        <w:spacing w:after="0" w:line="276" w:lineRule="auto"/>
        <w:ind w:firstLine="567"/>
        <w:jc w:val="center"/>
        <w:rPr>
          <w:rFonts w:cs="Times New Roman"/>
          <w:color w:val="auto"/>
          <w:szCs w:val="24"/>
        </w:rPr>
      </w:pPr>
    </w:p>
    <w:p w14:paraId="265726BB" w14:textId="35FE62B7" w:rsidR="00E147AD" w:rsidRPr="0028555F" w:rsidRDefault="00E147AD" w:rsidP="0028555F">
      <w:pPr>
        <w:tabs>
          <w:tab w:val="left" w:pos="567"/>
          <w:tab w:val="left" w:pos="6660"/>
        </w:tabs>
        <w:spacing w:after="0" w:line="276" w:lineRule="auto"/>
        <w:ind w:firstLine="567"/>
        <w:jc w:val="both"/>
        <w:rPr>
          <w:rFonts w:cs="Times New Roman"/>
          <w:color w:val="auto"/>
          <w:szCs w:val="24"/>
        </w:rPr>
      </w:pPr>
      <w:r w:rsidRPr="0028555F">
        <w:rPr>
          <w:rFonts w:cs="Times New Roman"/>
          <w:color w:val="auto"/>
          <w:szCs w:val="24"/>
        </w:rPr>
        <w:t xml:space="preserve">Pamatojoties uz Administratīvā procesa likuma </w:t>
      </w:r>
      <w:r w:rsidR="00C92A83" w:rsidRPr="0028555F">
        <w:rPr>
          <w:rFonts w:cs="Times New Roman"/>
          <w:color w:val="auto"/>
          <w:szCs w:val="24"/>
        </w:rPr>
        <w:t>129.</w:t>
      </w:r>
      <w:proofErr w:type="gramStart"/>
      <w:r w:rsidR="00C92A83" w:rsidRPr="0028555F">
        <w:rPr>
          <w:rFonts w:cs="Times New Roman"/>
          <w:color w:val="auto"/>
          <w:szCs w:val="24"/>
          <w:vertAlign w:val="superscript"/>
        </w:rPr>
        <w:t>1</w:t>
      </w:r>
      <w:r w:rsidR="00C92A83" w:rsidRPr="0028555F">
        <w:rPr>
          <w:rFonts w:cs="Times New Roman"/>
          <w:color w:val="auto"/>
          <w:szCs w:val="24"/>
        </w:rPr>
        <w:t>panta</w:t>
      </w:r>
      <w:proofErr w:type="gramEnd"/>
      <w:r w:rsidR="00C92A83" w:rsidRPr="0028555F">
        <w:rPr>
          <w:rFonts w:cs="Times New Roman"/>
          <w:color w:val="auto"/>
          <w:szCs w:val="24"/>
        </w:rPr>
        <w:t xml:space="preserve"> pirmās daļas 1.punktu, </w:t>
      </w:r>
      <w:r w:rsidRPr="0028555F">
        <w:rPr>
          <w:rFonts w:cs="Times New Roman"/>
          <w:color w:val="auto"/>
          <w:szCs w:val="24"/>
        </w:rPr>
        <w:t xml:space="preserve">323.panta pirmās daļas </w:t>
      </w:r>
      <w:r w:rsidR="00C92A83" w:rsidRPr="0028555F">
        <w:rPr>
          <w:rFonts w:cs="Times New Roman"/>
          <w:color w:val="auto"/>
          <w:szCs w:val="24"/>
        </w:rPr>
        <w:t>2</w:t>
      </w:r>
      <w:r w:rsidRPr="0028555F">
        <w:rPr>
          <w:rFonts w:cs="Times New Roman"/>
          <w:color w:val="auto"/>
          <w:szCs w:val="24"/>
        </w:rPr>
        <w:t>.punktu un 324.panta pirmo daļu, Senāts</w:t>
      </w:r>
    </w:p>
    <w:p w14:paraId="7875A620" w14:textId="77777777" w:rsidR="00E147AD" w:rsidRPr="0028555F" w:rsidRDefault="00E147AD" w:rsidP="0028555F">
      <w:pPr>
        <w:tabs>
          <w:tab w:val="left" w:pos="0"/>
          <w:tab w:val="left" w:pos="2700"/>
          <w:tab w:val="left" w:pos="6660"/>
        </w:tabs>
        <w:spacing w:after="0" w:line="276" w:lineRule="auto"/>
        <w:jc w:val="center"/>
        <w:rPr>
          <w:rFonts w:cs="Times New Roman"/>
          <w:b/>
          <w:color w:val="auto"/>
          <w:szCs w:val="24"/>
        </w:rPr>
      </w:pPr>
    </w:p>
    <w:p w14:paraId="547323CB" w14:textId="77777777" w:rsidR="00E147AD" w:rsidRPr="0028555F" w:rsidRDefault="00E147AD" w:rsidP="0028555F">
      <w:pPr>
        <w:tabs>
          <w:tab w:val="left" w:pos="0"/>
          <w:tab w:val="left" w:pos="2700"/>
          <w:tab w:val="left" w:pos="6660"/>
        </w:tabs>
        <w:spacing w:after="0" w:line="276" w:lineRule="auto"/>
        <w:jc w:val="center"/>
        <w:rPr>
          <w:rFonts w:cs="Times New Roman"/>
          <w:b/>
          <w:color w:val="auto"/>
          <w:szCs w:val="24"/>
        </w:rPr>
      </w:pPr>
      <w:r w:rsidRPr="0028555F">
        <w:rPr>
          <w:rFonts w:cs="Times New Roman"/>
          <w:b/>
          <w:color w:val="auto"/>
          <w:szCs w:val="24"/>
        </w:rPr>
        <w:t>nolēma</w:t>
      </w:r>
    </w:p>
    <w:p w14:paraId="6030FA7C" w14:textId="77777777" w:rsidR="00E147AD" w:rsidRPr="0028555F" w:rsidRDefault="00E147AD" w:rsidP="0028555F">
      <w:pPr>
        <w:tabs>
          <w:tab w:val="left" w:pos="1276"/>
          <w:tab w:val="left" w:pos="2700"/>
          <w:tab w:val="left" w:pos="6660"/>
        </w:tabs>
        <w:spacing w:after="0" w:line="276" w:lineRule="auto"/>
        <w:ind w:firstLine="567"/>
        <w:rPr>
          <w:rFonts w:cs="Times New Roman"/>
          <w:color w:val="auto"/>
          <w:szCs w:val="24"/>
        </w:rPr>
      </w:pPr>
    </w:p>
    <w:p w14:paraId="52065BC9" w14:textId="473B4BEA" w:rsidR="00E147AD" w:rsidRPr="0028555F" w:rsidRDefault="00C92A83" w:rsidP="0028555F">
      <w:pPr>
        <w:tabs>
          <w:tab w:val="left" w:pos="1276"/>
          <w:tab w:val="left" w:pos="2700"/>
          <w:tab w:val="left" w:pos="6660"/>
        </w:tabs>
        <w:spacing w:after="0" w:line="276" w:lineRule="auto"/>
        <w:ind w:firstLine="567"/>
        <w:jc w:val="both"/>
        <w:rPr>
          <w:rFonts w:cs="Times New Roman"/>
          <w:szCs w:val="24"/>
        </w:rPr>
      </w:pPr>
      <w:r w:rsidRPr="0028555F">
        <w:rPr>
          <w:rFonts w:cs="Times New Roman"/>
          <w:color w:val="auto"/>
          <w:szCs w:val="24"/>
        </w:rPr>
        <w:t xml:space="preserve">Atcelt </w:t>
      </w:r>
      <w:r w:rsidR="00E147AD" w:rsidRPr="0028555F">
        <w:rPr>
          <w:rFonts w:cs="Times New Roman"/>
          <w:szCs w:val="24"/>
        </w:rPr>
        <w:t xml:space="preserve">Administratīvās rajona tiesas </w:t>
      </w:r>
      <w:r w:rsidRPr="0028555F">
        <w:rPr>
          <w:rFonts w:cs="Times New Roman"/>
          <w:szCs w:val="24"/>
        </w:rPr>
        <w:t xml:space="preserve">tiesneša </w:t>
      </w:r>
      <w:proofErr w:type="gramStart"/>
      <w:r w:rsidR="00E147AD" w:rsidRPr="0028555F">
        <w:rPr>
          <w:rFonts w:cs="Times New Roman"/>
          <w:szCs w:val="24"/>
        </w:rPr>
        <w:t>2020.gada</w:t>
      </w:r>
      <w:proofErr w:type="gramEnd"/>
      <w:r w:rsidR="00E147AD" w:rsidRPr="0028555F">
        <w:rPr>
          <w:rFonts w:cs="Times New Roman"/>
          <w:szCs w:val="24"/>
        </w:rPr>
        <w:t xml:space="preserve"> </w:t>
      </w:r>
      <w:r w:rsidRPr="0028555F">
        <w:rPr>
          <w:rFonts w:cs="Times New Roman"/>
          <w:szCs w:val="24"/>
        </w:rPr>
        <w:t>17</w:t>
      </w:r>
      <w:r w:rsidR="00E147AD" w:rsidRPr="0028555F">
        <w:rPr>
          <w:rFonts w:cs="Times New Roman"/>
          <w:szCs w:val="24"/>
        </w:rPr>
        <w:t>.decembra lēmumu</w:t>
      </w:r>
      <w:r w:rsidRPr="0028555F">
        <w:rPr>
          <w:rFonts w:cs="Times New Roman"/>
          <w:szCs w:val="24"/>
        </w:rPr>
        <w:t xml:space="preserve"> un nosūtīt pieteikumu Administratīvajai rajona tiesai izlemšanai par pieteikuma virzību.</w:t>
      </w:r>
    </w:p>
    <w:p w14:paraId="48DC389C" w14:textId="6755A30E" w:rsidR="00C92A83" w:rsidRPr="0028555F" w:rsidRDefault="00C92A83" w:rsidP="0028555F">
      <w:pPr>
        <w:tabs>
          <w:tab w:val="left" w:pos="1276"/>
          <w:tab w:val="left" w:pos="2700"/>
          <w:tab w:val="left" w:pos="6660"/>
        </w:tabs>
        <w:spacing w:after="0" w:line="276" w:lineRule="auto"/>
        <w:ind w:firstLine="567"/>
        <w:jc w:val="both"/>
        <w:rPr>
          <w:rFonts w:cs="Times New Roman"/>
          <w:szCs w:val="24"/>
        </w:rPr>
      </w:pPr>
      <w:r w:rsidRPr="0028555F">
        <w:rPr>
          <w:rFonts w:cs="Times New Roman"/>
          <w:szCs w:val="24"/>
        </w:rPr>
        <w:t xml:space="preserve">Atmaksāt </w:t>
      </w:r>
      <w:proofErr w:type="gramStart"/>
      <w:r w:rsidR="00535B83" w:rsidRPr="0028555F">
        <w:rPr>
          <w:rFonts w:cs="Times New Roman"/>
          <w:szCs w:val="24"/>
        </w:rPr>
        <w:t>[</w:t>
      </w:r>
      <w:proofErr w:type="gramEnd"/>
      <w:r w:rsidR="00535B83" w:rsidRPr="0028555F">
        <w:rPr>
          <w:rFonts w:cs="Times New Roman"/>
          <w:szCs w:val="24"/>
        </w:rPr>
        <w:t xml:space="preserve">pers. A] </w:t>
      </w:r>
      <w:r w:rsidRPr="0028555F">
        <w:rPr>
          <w:rFonts w:cs="Times New Roman"/>
          <w:szCs w:val="24"/>
        </w:rPr>
        <w:t xml:space="preserve">drošības naudu </w:t>
      </w:r>
      <w:r w:rsidR="0011471D" w:rsidRPr="0028555F">
        <w:rPr>
          <w:rFonts w:cs="Times New Roman"/>
          <w:szCs w:val="24"/>
        </w:rPr>
        <w:t xml:space="preserve">15 </w:t>
      </w:r>
      <w:proofErr w:type="spellStart"/>
      <w:r w:rsidRPr="0028555F">
        <w:rPr>
          <w:rFonts w:cs="Times New Roman"/>
          <w:i/>
          <w:iCs/>
          <w:szCs w:val="24"/>
        </w:rPr>
        <w:t>euro</w:t>
      </w:r>
      <w:proofErr w:type="spellEnd"/>
      <w:r w:rsidRPr="0028555F">
        <w:rPr>
          <w:rFonts w:cs="Times New Roman"/>
          <w:szCs w:val="24"/>
        </w:rPr>
        <w:t>.</w:t>
      </w:r>
    </w:p>
    <w:p w14:paraId="6DC72F17" w14:textId="5B5D335D" w:rsidR="00087361" w:rsidRPr="0028555F" w:rsidRDefault="00E147AD" w:rsidP="0028555F">
      <w:pPr>
        <w:tabs>
          <w:tab w:val="left" w:pos="1276"/>
          <w:tab w:val="left" w:pos="2700"/>
          <w:tab w:val="left" w:pos="6660"/>
        </w:tabs>
        <w:spacing w:after="0" w:line="276" w:lineRule="auto"/>
        <w:ind w:firstLine="567"/>
        <w:jc w:val="both"/>
        <w:rPr>
          <w:rFonts w:cs="Times New Roman"/>
          <w:color w:val="auto"/>
          <w:szCs w:val="24"/>
        </w:rPr>
      </w:pPr>
      <w:r w:rsidRPr="0028555F">
        <w:rPr>
          <w:rFonts w:cs="Times New Roman"/>
          <w:color w:val="auto"/>
          <w:szCs w:val="24"/>
        </w:rPr>
        <w:t>Lēmums nav pārsūdzams.</w:t>
      </w:r>
    </w:p>
    <w:sectPr w:rsidR="00087361" w:rsidRPr="0028555F" w:rsidSect="00944DBD">
      <w:footerReference w:type="default" r:id="rId9"/>
      <w:pgSz w:w="11906" w:h="16838"/>
      <w:pgMar w:top="1134" w:right="1134" w:bottom="1134" w:left="1701" w:header="0" w:footer="54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05026" w14:textId="77777777" w:rsidR="00D45027" w:rsidRDefault="00D45027">
      <w:pPr>
        <w:spacing w:after="0" w:line="240" w:lineRule="auto"/>
      </w:pPr>
      <w:r>
        <w:separator/>
      </w:r>
    </w:p>
  </w:endnote>
  <w:endnote w:type="continuationSeparator" w:id="0">
    <w:p w14:paraId="79A42416" w14:textId="77777777" w:rsidR="00D45027" w:rsidRDefault="00D45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 w:name="__Fieldmark__171_3260321367"/>
  <w:bookmarkStart w:id="3" w:name="__Fieldmark__667_1373986896"/>
  <w:bookmarkStart w:id="4" w:name="__Fieldmark__363_2235992191"/>
  <w:bookmarkEnd w:id="2"/>
  <w:bookmarkEnd w:id="3"/>
  <w:bookmarkEnd w:id="4"/>
  <w:p w14:paraId="7E016C65" w14:textId="31F0D39C" w:rsidR="00D45027" w:rsidRDefault="00D45027">
    <w:pPr>
      <w:pStyle w:val="Footer"/>
      <w:jc w:val="center"/>
    </w:pPr>
    <w:r>
      <w:fldChar w:fldCharType="begin"/>
    </w:r>
    <w:r>
      <w:instrText>PAGE</w:instrText>
    </w:r>
    <w:r>
      <w:fldChar w:fldCharType="separate"/>
    </w:r>
    <w:r w:rsidR="00BF78B8">
      <w:rPr>
        <w:noProof/>
      </w:rPr>
      <w:t>2</w:t>
    </w:r>
    <w:r>
      <w:fldChar w:fldCharType="end"/>
    </w:r>
    <w:r>
      <w:rPr>
        <w:rStyle w:val="PageNumber"/>
        <w:szCs w:val="24"/>
      </w:rPr>
      <w:t xml:space="preserve"> no </w:t>
    </w:r>
    <w:r>
      <w:rPr>
        <w:noProof/>
      </w:rPr>
      <w:fldChar w:fldCharType="begin"/>
    </w:r>
    <w:r>
      <w:rPr>
        <w:noProof/>
      </w:rPr>
      <w:instrText>SECTIONPAGES   \* MERGEFORMAT</w:instrText>
    </w:r>
    <w:r>
      <w:rPr>
        <w:noProof/>
      </w:rPr>
      <w:fldChar w:fldCharType="separate"/>
    </w:r>
    <w:r w:rsidR="0028555F">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8D668" w14:textId="77777777" w:rsidR="00D45027" w:rsidRDefault="00D45027">
      <w:pPr>
        <w:spacing w:after="0" w:line="240" w:lineRule="auto"/>
      </w:pPr>
      <w:r>
        <w:separator/>
      </w:r>
    </w:p>
  </w:footnote>
  <w:footnote w:type="continuationSeparator" w:id="0">
    <w:p w14:paraId="20600D3D" w14:textId="77777777" w:rsidR="00D45027" w:rsidRDefault="00D450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101"/>
    <w:rsid w:val="0001175A"/>
    <w:rsid w:val="00087361"/>
    <w:rsid w:val="000A04E0"/>
    <w:rsid w:val="000B1B3B"/>
    <w:rsid w:val="000D5193"/>
    <w:rsid w:val="000F6D6B"/>
    <w:rsid w:val="00104603"/>
    <w:rsid w:val="0011471D"/>
    <w:rsid w:val="00141C37"/>
    <w:rsid w:val="00162281"/>
    <w:rsid w:val="001C2FF2"/>
    <w:rsid w:val="00232D0A"/>
    <w:rsid w:val="002703C9"/>
    <w:rsid w:val="00271E41"/>
    <w:rsid w:val="002753F8"/>
    <w:rsid w:val="002809A8"/>
    <w:rsid w:val="0028555F"/>
    <w:rsid w:val="0029488D"/>
    <w:rsid w:val="0029627A"/>
    <w:rsid w:val="002B0D3C"/>
    <w:rsid w:val="0033650E"/>
    <w:rsid w:val="003A26AF"/>
    <w:rsid w:val="003A4B22"/>
    <w:rsid w:val="00474368"/>
    <w:rsid w:val="004A01F0"/>
    <w:rsid w:val="004C60D8"/>
    <w:rsid w:val="004D05F6"/>
    <w:rsid w:val="00527F3C"/>
    <w:rsid w:val="00530229"/>
    <w:rsid w:val="00535B83"/>
    <w:rsid w:val="00556071"/>
    <w:rsid w:val="005567DD"/>
    <w:rsid w:val="00566A36"/>
    <w:rsid w:val="005A6336"/>
    <w:rsid w:val="006105BD"/>
    <w:rsid w:val="0063763D"/>
    <w:rsid w:val="00640816"/>
    <w:rsid w:val="00640FF6"/>
    <w:rsid w:val="00650E9B"/>
    <w:rsid w:val="00663101"/>
    <w:rsid w:val="00673EBE"/>
    <w:rsid w:val="006C2940"/>
    <w:rsid w:val="006D3EF9"/>
    <w:rsid w:val="007B295A"/>
    <w:rsid w:val="0080589C"/>
    <w:rsid w:val="008245D4"/>
    <w:rsid w:val="00872C84"/>
    <w:rsid w:val="00917513"/>
    <w:rsid w:val="0092001A"/>
    <w:rsid w:val="00944DBD"/>
    <w:rsid w:val="00993E01"/>
    <w:rsid w:val="009A196C"/>
    <w:rsid w:val="00A22460"/>
    <w:rsid w:val="00A4494C"/>
    <w:rsid w:val="00A6149F"/>
    <w:rsid w:val="00B06053"/>
    <w:rsid w:val="00B37B65"/>
    <w:rsid w:val="00B63C03"/>
    <w:rsid w:val="00B66EA1"/>
    <w:rsid w:val="00BD01C4"/>
    <w:rsid w:val="00BD20DB"/>
    <w:rsid w:val="00BF78B8"/>
    <w:rsid w:val="00C174C7"/>
    <w:rsid w:val="00C67D1B"/>
    <w:rsid w:val="00C85C86"/>
    <w:rsid w:val="00C92A83"/>
    <w:rsid w:val="00C95B94"/>
    <w:rsid w:val="00CC1F72"/>
    <w:rsid w:val="00D45027"/>
    <w:rsid w:val="00D901DE"/>
    <w:rsid w:val="00DA1E7C"/>
    <w:rsid w:val="00DA42FE"/>
    <w:rsid w:val="00DC32F0"/>
    <w:rsid w:val="00E147AD"/>
    <w:rsid w:val="00E81BCB"/>
    <w:rsid w:val="00EF275F"/>
    <w:rsid w:val="00F21FB2"/>
    <w:rsid w:val="00F257E8"/>
    <w:rsid w:val="00F45706"/>
    <w:rsid w:val="00F947C9"/>
    <w:rsid w:val="00FA5A0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9AF9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7AD"/>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E147AD"/>
  </w:style>
  <w:style w:type="character" w:styleId="PageNumber">
    <w:name w:val="page number"/>
    <w:basedOn w:val="DefaultParagraphFont"/>
    <w:qFormat/>
    <w:rsid w:val="00E147AD"/>
  </w:style>
  <w:style w:type="paragraph" w:styleId="Footer">
    <w:name w:val="footer"/>
    <w:basedOn w:val="Normal"/>
    <w:link w:val="FooterChar"/>
    <w:uiPriority w:val="99"/>
    <w:unhideWhenUsed/>
    <w:rsid w:val="00E147AD"/>
    <w:pPr>
      <w:tabs>
        <w:tab w:val="center" w:pos="4680"/>
        <w:tab w:val="right" w:pos="9360"/>
      </w:tabs>
      <w:spacing w:after="0" w:line="240" w:lineRule="auto"/>
    </w:pPr>
    <w:rPr>
      <w:color w:val="auto"/>
    </w:rPr>
  </w:style>
  <w:style w:type="character" w:customStyle="1" w:styleId="FooterChar1">
    <w:name w:val="Footer Char1"/>
    <w:basedOn w:val="DefaultParagraphFont"/>
    <w:uiPriority w:val="99"/>
    <w:semiHidden/>
    <w:rsid w:val="00E147AD"/>
    <w:rPr>
      <w:color w:val="00000A"/>
    </w:rPr>
  </w:style>
  <w:style w:type="character" w:styleId="Hyperlink">
    <w:name w:val="Hyperlink"/>
    <w:basedOn w:val="DefaultParagraphFont"/>
    <w:uiPriority w:val="99"/>
    <w:unhideWhenUsed/>
    <w:rsid w:val="00C95B94"/>
    <w:rPr>
      <w:color w:val="0000FF"/>
      <w:u w:val="single"/>
    </w:rPr>
  </w:style>
  <w:style w:type="paragraph" w:styleId="Header">
    <w:name w:val="header"/>
    <w:basedOn w:val="Normal"/>
    <w:link w:val="HeaderChar"/>
    <w:uiPriority w:val="99"/>
    <w:unhideWhenUsed/>
    <w:rsid w:val="004A0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1F0"/>
    <w:rPr>
      <w:color w:val="00000A"/>
    </w:rPr>
  </w:style>
  <w:style w:type="character" w:styleId="FollowedHyperlink">
    <w:name w:val="FollowedHyperlink"/>
    <w:basedOn w:val="DefaultParagraphFont"/>
    <w:uiPriority w:val="99"/>
    <w:semiHidden/>
    <w:unhideWhenUsed/>
    <w:rsid w:val="00535B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8572" TargetMode="External"/><Relationship Id="rId3" Type="http://schemas.openxmlformats.org/officeDocument/2006/relationships/webSettings" Target="webSettings.xml"/><Relationship Id="rId7" Type="http://schemas.openxmlformats.org/officeDocument/2006/relationships/hyperlink" Target="https://likumi.lv/ta/id/55567-administrativa-procesa-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222.SKA077121.4.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7903</Words>
  <Characters>4506</Characters>
  <Application>Microsoft Office Word</Application>
  <DocSecurity>0</DocSecurity>
  <Lines>37</Lines>
  <Paragraphs>24</Paragraphs>
  <ScaleCrop>false</ScaleCrop>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2021-03-05T09:50:00Z</dcterms:created>
  <dcterms:modified xsi:type="dcterms:W3CDTF">2021-03-05T11:50:00Z</dcterms:modified>
</cp:coreProperties>
</file>