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A79C" w14:textId="7D8D9CC8" w:rsidR="00FB64D0" w:rsidRPr="00FB64D0" w:rsidRDefault="00FB64D0" w:rsidP="00F7790B">
      <w:pPr>
        <w:spacing w:line="276" w:lineRule="auto"/>
        <w:ind w:left="-284"/>
        <w:jc w:val="both"/>
        <w:rPr>
          <w:b/>
          <w:bCs/>
        </w:rPr>
      </w:pPr>
      <w:r w:rsidRPr="00FB64D0">
        <w:rPr>
          <w:b/>
          <w:bCs/>
        </w:rPr>
        <w:t>Apsūdzētā tiesības noslēgt izlīgumu</w:t>
      </w:r>
      <w:r w:rsidRPr="00FB64D0">
        <w:t xml:space="preserve"> </w:t>
      </w:r>
    </w:p>
    <w:p w14:paraId="0FFC2BF8" w14:textId="77777777" w:rsidR="00FB64D0" w:rsidRPr="00FB64D0" w:rsidRDefault="00FB64D0" w:rsidP="00F7790B">
      <w:pPr>
        <w:spacing w:line="276" w:lineRule="auto"/>
        <w:ind w:left="-284"/>
        <w:jc w:val="both"/>
      </w:pPr>
      <w:r w:rsidRPr="00FB64D0">
        <w:t>Izlīgums pēc būtības ir personu panākta savstarpēja vienošanās, un, izvērtējot tā sekas, procesā iesaistītajām personām ir tiesības, nevis pienākums to slēgt. Persona, neatzīstot savu vainu noziedzīgajā nodarījumā, izmanto savas tiesības neslēgt izlīgumu.</w:t>
      </w:r>
    </w:p>
    <w:p w14:paraId="582F7B4B" w14:textId="77777777" w:rsidR="00FB64D0" w:rsidRPr="00FB64D0" w:rsidRDefault="00FB64D0" w:rsidP="00F7790B">
      <w:pPr>
        <w:spacing w:line="276" w:lineRule="auto"/>
        <w:ind w:left="-284"/>
        <w:jc w:val="both"/>
      </w:pPr>
    </w:p>
    <w:p w14:paraId="79E4C201" w14:textId="77777777" w:rsidR="00FB64D0" w:rsidRPr="00FB64D0" w:rsidRDefault="00FB64D0" w:rsidP="00F7790B">
      <w:pPr>
        <w:spacing w:line="276" w:lineRule="auto"/>
        <w:ind w:left="-284"/>
        <w:jc w:val="both"/>
        <w:rPr>
          <w:b/>
          <w:bCs/>
        </w:rPr>
      </w:pPr>
      <w:r w:rsidRPr="00FB64D0">
        <w:rPr>
          <w:b/>
          <w:bCs/>
        </w:rPr>
        <w:t xml:space="preserve">Krimināllikuma </w:t>
      </w:r>
      <w:proofErr w:type="gramStart"/>
      <w:r w:rsidRPr="00FB64D0">
        <w:rPr>
          <w:b/>
          <w:bCs/>
        </w:rPr>
        <w:t>174.pantā</w:t>
      </w:r>
      <w:proofErr w:type="gramEnd"/>
      <w:r w:rsidRPr="00FB64D0">
        <w:rPr>
          <w:b/>
          <w:bCs/>
        </w:rPr>
        <w:t xml:space="preserve"> paredzētā noziedzīgā nodarījuma speciālais subjekts – persona, no kuras cietušais ir materiāli vai citādi atkarīgs</w:t>
      </w:r>
    </w:p>
    <w:p w14:paraId="7A4B48BF" w14:textId="5C5D1468" w:rsidR="005731AE" w:rsidRPr="00FB64D0" w:rsidRDefault="00FB64D0" w:rsidP="00F7790B">
      <w:pPr>
        <w:spacing w:line="276" w:lineRule="auto"/>
        <w:ind w:left="-284"/>
        <w:jc w:val="both"/>
        <w:rPr>
          <w:b/>
          <w:bCs/>
        </w:rPr>
      </w:pPr>
      <w:r w:rsidRPr="00FB64D0">
        <w:t xml:space="preserve">Apstāklis, ka persona, kura cietsirdīgi vai vardarbīgi apgājusies ar savu nepilngadīgo bērnu, nedzīvo kopā ar viņu, neietekmē cietušā materiālo vai citādu atkarību no šīs personas Krimināllikuma </w:t>
      </w:r>
      <w:proofErr w:type="gramStart"/>
      <w:r w:rsidRPr="00FB64D0">
        <w:t>174.panta</w:t>
      </w:r>
      <w:proofErr w:type="gramEnd"/>
      <w:r w:rsidRPr="00FB64D0">
        <w:t xml:space="preserve"> izpratnē.</w:t>
      </w:r>
    </w:p>
    <w:p w14:paraId="7487E6FC" w14:textId="2DC2140E" w:rsidR="005731AE" w:rsidRPr="00043657" w:rsidRDefault="005731AE" w:rsidP="00F7790B">
      <w:pPr>
        <w:spacing w:line="276" w:lineRule="auto"/>
        <w:rPr>
          <w:rFonts w:eastAsia="Calibri"/>
        </w:rPr>
      </w:pPr>
    </w:p>
    <w:p w14:paraId="1A8EE6FF" w14:textId="77777777" w:rsidR="00536C2F" w:rsidRPr="00536C2F" w:rsidRDefault="005731AE" w:rsidP="005731AE">
      <w:pPr>
        <w:spacing w:line="276" w:lineRule="auto"/>
        <w:jc w:val="center"/>
        <w:rPr>
          <w:b/>
        </w:rPr>
      </w:pPr>
      <w:r w:rsidRPr="00536C2F">
        <w:rPr>
          <w:b/>
        </w:rPr>
        <w:t>Latvijas Republikas Senāt</w:t>
      </w:r>
      <w:r w:rsidR="00536C2F" w:rsidRPr="00536C2F">
        <w:rPr>
          <w:b/>
        </w:rPr>
        <w:t>a</w:t>
      </w:r>
      <w:r w:rsidRPr="00536C2F">
        <w:rPr>
          <w:b/>
        </w:rPr>
        <w:t xml:space="preserve"> </w:t>
      </w:r>
    </w:p>
    <w:p w14:paraId="2BD6BBDD" w14:textId="77777777" w:rsidR="00536C2F" w:rsidRPr="00536C2F" w:rsidRDefault="00536C2F" w:rsidP="005731AE">
      <w:pPr>
        <w:spacing w:line="276" w:lineRule="auto"/>
        <w:jc w:val="center"/>
        <w:rPr>
          <w:b/>
        </w:rPr>
      </w:pPr>
      <w:r w:rsidRPr="00536C2F">
        <w:rPr>
          <w:b/>
        </w:rPr>
        <w:t>Krimināllietu departamenta</w:t>
      </w:r>
    </w:p>
    <w:p w14:paraId="1CB5404B" w14:textId="49C817F1" w:rsidR="005731AE" w:rsidRPr="00536C2F" w:rsidRDefault="00536C2F" w:rsidP="005731AE">
      <w:pPr>
        <w:spacing w:line="276" w:lineRule="auto"/>
        <w:jc w:val="center"/>
        <w:rPr>
          <w:b/>
        </w:rPr>
      </w:pPr>
      <w:proofErr w:type="gramStart"/>
      <w:r w:rsidRPr="00536C2F">
        <w:rPr>
          <w:b/>
        </w:rPr>
        <w:t>2021.gada</w:t>
      </w:r>
      <w:proofErr w:type="gramEnd"/>
      <w:r w:rsidRPr="00536C2F">
        <w:rPr>
          <w:b/>
        </w:rPr>
        <w:t xml:space="preserve"> </w:t>
      </w:r>
      <w:r w:rsidR="00FB64D0">
        <w:rPr>
          <w:b/>
        </w:rPr>
        <w:t>[..]</w:t>
      </w:r>
    </w:p>
    <w:p w14:paraId="1646E64C" w14:textId="0EE9EBEB" w:rsidR="00536C2F" w:rsidRPr="00536C2F" w:rsidRDefault="005731AE" w:rsidP="005731AE">
      <w:pPr>
        <w:spacing w:line="276" w:lineRule="auto"/>
        <w:jc w:val="center"/>
        <w:rPr>
          <w:b/>
        </w:rPr>
      </w:pPr>
      <w:r w:rsidRPr="00536C2F">
        <w:rPr>
          <w:b/>
        </w:rPr>
        <w:t>LĒMUMS</w:t>
      </w:r>
      <w:r w:rsidR="00FB64D0">
        <w:rPr>
          <w:rStyle w:val="FootnoteReference"/>
          <w:b/>
        </w:rPr>
        <w:footnoteReference w:id="1"/>
      </w:r>
      <w:r w:rsidR="00536C2F" w:rsidRPr="00536C2F">
        <w:rPr>
          <w:b/>
        </w:rPr>
        <w:t xml:space="preserve"> </w:t>
      </w:r>
    </w:p>
    <w:p w14:paraId="707042B4" w14:textId="0991C752" w:rsidR="005731AE" w:rsidRPr="00536C2F" w:rsidRDefault="00536C2F" w:rsidP="005731AE">
      <w:pPr>
        <w:spacing w:line="276" w:lineRule="auto"/>
        <w:jc w:val="center"/>
        <w:rPr>
          <w:b/>
        </w:rPr>
      </w:pPr>
      <w:r w:rsidRPr="00536C2F">
        <w:rPr>
          <w:b/>
        </w:rPr>
        <w:t>Lieta Nr. </w:t>
      </w:r>
      <w:r w:rsidR="003C5E13">
        <w:rPr>
          <w:rFonts w:eastAsia="Calibri"/>
          <w:b/>
        </w:rPr>
        <w:t>[..]</w:t>
      </w:r>
      <w:r w:rsidRPr="00536C2F">
        <w:rPr>
          <w:b/>
        </w:rPr>
        <w:t>, SKK-</w:t>
      </w:r>
      <w:r w:rsidR="003C5E13">
        <w:rPr>
          <w:b/>
        </w:rPr>
        <w:t>[D]</w:t>
      </w:r>
      <w:r w:rsidRPr="00536C2F">
        <w:rPr>
          <w:b/>
        </w:rPr>
        <w:t>/2021</w:t>
      </w:r>
    </w:p>
    <w:p w14:paraId="1DBBDBD8" w14:textId="6D682351" w:rsidR="005731AE" w:rsidRPr="00FB64D0" w:rsidRDefault="00FB64D0" w:rsidP="005731AE">
      <w:pPr>
        <w:spacing w:line="276" w:lineRule="auto"/>
        <w:jc w:val="center"/>
      </w:pPr>
      <w:r w:rsidRPr="00FB64D0">
        <w:rPr>
          <w:shd w:val="clear" w:color="auto" w:fill="FFFFFF"/>
        </w:rPr>
        <w:t>ECLI:LV:AT:2021:[..]</w:t>
      </w:r>
    </w:p>
    <w:p w14:paraId="4AEDA909" w14:textId="77777777" w:rsidR="005731AE" w:rsidRPr="00043657" w:rsidRDefault="005731AE" w:rsidP="005731AE">
      <w:pPr>
        <w:spacing w:line="276" w:lineRule="auto"/>
        <w:jc w:val="center"/>
      </w:pPr>
    </w:p>
    <w:p w14:paraId="1A7AA79F" w14:textId="77777777" w:rsidR="005731AE" w:rsidRPr="00043657" w:rsidRDefault="005731AE" w:rsidP="005731AE">
      <w:pPr>
        <w:spacing w:line="276" w:lineRule="auto"/>
        <w:ind w:firstLine="709"/>
        <w:jc w:val="both"/>
        <w:rPr>
          <w:rFonts w:eastAsia="Calibri"/>
        </w:rPr>
      </w:pPr>
      <w:r w:rsidRPr="00043657">
        <w:t xml:space="preserve">Tiesa šādā sastāvā: senatori </w:t>
      </w:r>
      <w:r w:rsidR="003C202D" w:rsidRPr="00043657">
        <w:t>Ivars Bičkovičs</w:t>
      </w:r>
      <w:r w:rsidR="008D5AF3" w:rsidRPr="00043657">
        <w:rPr>
          <w:rFonts w:eastAsia="Calibri"/>
        </w:rPr>
        <w:t>,</w:t>
      </w:r>
      <w:r w:rsidR="003C202D" w:rsidRPr="00043657">
        <w:rPr>
          <w:rFonts w:eastAsia="Calibri"/>
        </w:rPr>
        <w:t xml:space="preserve"> </w:t>
      </w:r>
      <w:r w:rsidR="005D000A" w:rsidRPr="00043657">
        <w:rPr>
          <w:rFonts w:eastAsia="Calibri"/>
        </w:rPr>
        <w:t xml:space="preserve">Artūrs Freibergs, </w:t>
      </w:r>
      <w:r w:rsidR="003C202D" w:rsidRPr="00043657">
        <w:rPr>
          <w:rFonts w:eastAsia="Calibri"/>
        </w:rPr>
        <w:t xml:space="preserve">Sandra Kaija, </w:t>
      </w:r>
    </w:p>
    <w:p w14:paraId="6E7D4112" w14:textId="77777777" w:rsidR="005731AE" w:rsidRPr="00043657" w:rsidRDefault="005731AE" w:rsidP="005731AE">
      <w:pPr>
        <w:suppressAutoHyphens/>
        <w:spacing w:line="276" w:lineRule="auto"/>
        <w:ind w:firstLine="709"/>
        <w:jc w:val="both"/>
        <w:rPr>
          <w:rFonts w:eastAsia="Calibri"/>
        </w:rPr>
      </w:pPr>
    </w:p>
    <w:p w14:paraId="56364639" w14:textId="521A2026" w:rsidR="005731AE" w:rsidRPr="00043657" w:rsidRDefault="005731AE" w:rsidP="005731AE">
      <w:pPr>
        <w:autoSpaceDE w:val="0"/>
        <w:autoSpaceDN w:val="0"/>
        <w:adjustRightInd w:val="0"/>
        <w:spacing w:line="276" w:lineRule="auto"/>
        <w:jc w:val="both"/>
      </w:pPr>
      <w:r w:rsidRPr="00043657">
        <w:rPr>
          <w:rFonts w:eastAsia="Calibri"/>
        </w:rPr>
        <w:t xml:space="preserve">izskatīja rakstveida procesā krimināllietu sakarā </w:t>
      </w:r>
      <w:r w:rsidR="00C836C1" w:rsidRPr="00043657">
        <w:rPr>
          <w:rFonts w:eastAsia="Calibri"/>
        </w:rPr>
        <w:t>ar</w:t>
      </w:r>
      <w:r w:rsidR="004C6CAD" w:rsidRPr="00043657">
        <w:rPr>
          <w:rFonts w:eastAsia="Calibri"/>
        </w:rPr>
        <w:t xml:space="preserve"> apsūdzētā </w:t>
      </w:r>
      <w:r w:rsidR="003C5E13">
        <w:rPr>
          <w:rFonts w:eastAsia="Calibri"/>
        </w:rPr>
        <w:t>[pers. A]</w:t>
      </w:r>
      <w:r w:rsidR="00C836C1" w:rsidRPr="00043657">
        <w:rPr>
          <w:rFonts w:eastAsia="Calibri"/>
        </w:rPr>
        <w:t xml:space="preserve"> </w:t>
      </w:r>
      <w:r w:rsidR="005D000A" w:rsidRPr="00043657">
        <w:t>aizstāvja Alda Pundura</w:t>
      </w:r>
      <w:r w:rsidR="003C202D" w:rsidRPr="00043657">
        <w:t xml:space="preserve"> </w:t>
      </w:r>
      <w:r w:rsidR="00341F4A" w:rsidRPr="00043657">
        <w:t>kasācijas sūdzīb</w:t>
      </w:r>
      <w:r w:rsidR="005D000A" w:rsidRPr="00043657">
        <w:t>u</w:t>
      </w:r>
      <w:r w:rsidR="00663474" w:rsidRPr="00043657">
        <w:t xml:space="preserve"> par </w:t>
      </w:r>
      <w:r w:rsidR="003C5E13">
        <w:t>[..]</w:t>
      </w:r>
      <w:r w:rsidRPr="00043657">
        <w:t xml:space="preserve"> apgabaltiesas </w:t>
      </w:r>
      <w:proofErr w:type="gramStart"/>
      <w:r w:rsidRPr="00043657">
        <w:t>20</w:t>
      </w:r>
      <w:r w:rsidR="00D22157" w:rsidRPr="00043657">
        <w:t>20</w:t>
      </w:r>
      <w:r w:rsidRPr="00043657">
        <w:t>.gada</w:t>
      </w:r>
      <w:proofErr w:type="gramEnd"/>
      <w:r w:rsidRPr="00043657">
        <w:t xml:space="preserve"> </w:t>
      </w:r>
      <w:r w:rsidR="003C5E13">
        <w:t>[..]</w:t>
      </w:r>
      <w:r w:rsidR="008D5AF3" w:rsidRPr="00043657">
        <w:t xml:space="preserve"> </w:t>
      </w:r>
      <w:r w:rsidR="00451200" w:rsidRPr="00043657">
        <w:t>lēmumu</w:t>
      </w:r>
      <w:r w:rsidR="008D5AF3" w:rsidRPr="00043657">
        <w:t xml:space="preserve">. </w:t>
      </w:r>
    </w:p>
    <w:p w14:paraId="7B30EE1E" w14:textId="77777777" w:rsidR="005731AE" w:rsidRPr="00043657" w:rsidRDefault="005731AE" w:rsidP="005731AE">
      <w:pPr>
        <w:spacing w:line="276" w:lineRule="auto"/>
        <w:jc w:val="center"/>
      </w:pPr>
    </w:p>
    <w:p w14:paraId="1F2BE6F1" w14:textId="77777777" w:rsidR="005731AE" w:rsidRPr="00043657" w:rsidRDefault="005731AE" w:rsidP="005731AE">
      <w:pPr>
        <w:spacing w:line="276" w:lineRule="auto"/>
        <w:jc w:val="center"/>
        <w:rPr>
          <w:b/>
        </w:rPr>
      </w:pPr>
      <w:r w:rsidRPr="00043657">
        <w:rPr>
          <w:b/>
        </w:rPr>
        <w:t>Aprakstošā daļa</w:t>
      </w:r>
    </w:p>
    <w:p w14:paraId="724770B5" w14:textId="77777777" w:rsidR="005731AE" w:rsidRPr="00043657" w:rsidRDefault="005731AE" w:rsidP="005731AE">
      <w:pPr>
        <w:spacing w:line="276" w:lineRule="auto"/>
        <w:jc w:val="center"/>
      </w:pPr>
    </w:p>
    <w:p w14:paraId="39BBC2B2" w14:textId="251D6DB2" w:rsidR="001948E4" w:rsidRPr="00043657" w:rsidRDefault="001948E4" w:rsidP="001948E4">
      <w:pPr>
        <w:autoSpaceDE w:val="0"/>
        <w:autoSpaceDN w:val="0"/>
        <w:adjustRightInd w:val="0"/>
        <w:spacing w:line="276" w:lineRule="auto"/>
        <w:ind w:firstLine="720"/>
        <w:jc w:val="both"/>
      </w:pPr>
      <w:r w:rsidRPr="00043657">
        <w:t xml:space="preserve">[1] Ar </w:t>
      </w:r>
      <w:r w:rsidR="003C5E13">
        <w:t>[</w:t>
      </w:r>
      <w:r w:rsidRPr="00043657">
        <w:t>rajona</w:t>
      </w:r>
      <w:r w:rsidR="003C5E13">
        <w:t xml:space="preserve"> (pilsētas)]</w:t>
      </w:r>
      <w:r w:rsidRPr="00043657">
        <w:t xml:space="preserve"> tiesas </w:t>
      </w:r>
      <w:proofErr w:type="gramStart"/>
      <w:r w:rsidRPr="00043657">
        <w:t>20</w:t>
      </w:r>
      <w:r w:rsidR="005D000A" w:rsidRPr="00043657">
        <w:t>20</w:t>
      </w:r>
      <w:r w:rsidRPr="00043657">
        <w:t>.gada</w:t>
      </w:r>
      <w:proofErr w:type="gramEnd"/>
      <w:r w:rsidRPr="00043657">
        <w:t xml:space="preserve"> </w:t>
      </w:r>
      <w:r w:rsidR="003C5E13">
        <w:t>[..]</w:t>
      </w:r>
      <w:r w:rsidRPr="00043657">
        <w:t xml:space="preserve"> spriedumu</w:t>
      </w:r>
    </w:p>
    <w:p w14:paraId="7328F2B7" w14:textId="3AF59EA3" w:rsidR="001948E4" w:rsidRPr="00043657" w:rsidRDefault="003C5E13" w:rsidP="001948E4">
      <w:pPr>
        <w:autoSpaceDE w:val="0"/>
        <w:autoSpaceDN w:val="0"/>
        <w:adjustRightInd w:val="0"/>
        <w:spacing w:line="276" w:lineRule="auto"/>
        <w:ind w:firstLine="720"/>
        <w:jc w:val="both"/>
      </w:pPr>
      <w:r>
        <w:t>[pers. A]</w:t>
      </w:r>
      <w:r w:rsidR="001948E4" w:rsidRPr="00043657">
        <w:t xml:space="preserve">, personas kods </w:t>
      </w:r>
      <w:r>
        <w:t>[..]</w:t>
      </w:r>
      <w:r w:rsidR="001948E4" w:rsidRPr="00043657">
        <w:t>,</w:t>
      </w:r>
    </w:p>
    <w:p w14:paraId="04F43E56" w14:textId="77777777" w:rsidR="001948E4" w:rsidRPr="00043657" w:rsidRDefault="001948E4" w:rsidP="005D000A">
      <w:pPr>
        <w:autoSpaceDE w:val="0"/>
        <w:autoSpaceDN w:val="0"/>
        <w:adjustRightInd w:val="0"/>
        <w:spacing w:line="276" w:lineRule="auto"/>
        <w:ind w:firstLine="720"/>
        <w:jc w:val="both"/>
      </w:pPr>
      <w:r w:rsidRPr="00043657">
        <w:t xml:space="preserve">atzīts par vainīgu Krimināllikuma </w:t>
      </w:r>
      <w:proofErr w:type="gramStart"/>
      <w:r w:rsidR="005D000A" w:rsidRPr="00043657">
        <w:t>174.panta</w:t>
      </w:r>
      <w:proofErr w:type="gramEnd"/>
      <w:r w:rsidR="005D000A" w:rsidRPr="00043657">
        <w:t xml:space="preserve"> pirmajā daļā</w:t>
      </w:r>
      <w:r w:rsidRPr="00043657">
        <w:t xml:space="preserve"> paredzētajā noziedzīgajā nodarījumā un sodīts ar brīvīb</w:t>
      </w:r>
      <w:r w:rsidR="004E63C9" w:rsidRPr="00043657">
        <w:t xml:space="preserve">as atņemšanu uz </w:t>
      </w:r>
      <w:r w:rsidR="005D000A" w:rsidRPr="00043657">
        <w:t xml:space="preserve">4 mēnešiem </w:t>
      </w:r>
      <w:r w:rsidR="004E63C9" w:rsidRPr="00043657">
        <w:t xml:space="preserve">un </w:t>
      </w:r>
      <w:r w:rsidR="00D22157" w:rsidRPr="00043657">
        <w:t xml:space="preserve">probācijas uzraudzību uz </w:t>
      </w:r>
      <w:r w:rsidR="005D000A" w:rsidRPr="00043657">
        <w:t>1 gadu 6 mēnešiem</w:t>
      </w:r>
      <w:r w:rsidR="00D22157" w:rsidRPr="00043657">
        <w:t>.</w:t>
      </w:r>
    </w:p>
    <w:p w14:paraId="2908136E" w14:textId="77777777" w:rsidR="005D000A" w:rsidRPr="00043657" w:rsidRDefault="005D000A" w:rsidP="005D000A">
      <w:pPr>
        <w:autoSpaceDE w:val="0"/>
        <w:autoSpaceDN w:val="0"/>
        <w:adjustRightInd w:val="0"/>
        <w:spacing w:line="276" w:lineRule="auto"/>
        <w:ind w:firstLine="720"/>
        <w:jc w:val="both"/>
      </w:pPr>
      <w:r w:rsidRPr="00043657">
        <w:t xml:space="preserve">Saskaņā ar Krimināllikuma </w:t>
      </w:r>
      <w:proofErr w:type="gramStart"/>
      <w:r w:rsidRPr="00043657">
        <w:t>55.pantu</w:t>
      </w:r>
      <w:proofErr w:type="gramEnd"/>
      <w:r w:rsidRPr="00043657">
        <w:t xml:space="preserve"> brīvības atņemšanas sods noteikts nosacīti ar pārbaudes laiku uz 1 gadu 6 mēnešiem.</w:t>
      </w:r>
    </w:p>
    <w:p w14:paraId="35DE208E" w14:textId="77777777" w:rsidR="005D000A" w:rsidRPr="00043657" w:rsidRDefault="005D000A" w:rsidP="00451200">
      <w:pPr>
        <w:autoSpaceDE w:val="0"/>
        <w:autoSpaceDN w:val="0"/>
        <w:adjustRightInd w:val="0"/>
        <w:spacing w:line="276" w:lineRule="auto"/>
        <w:jc w:val="both"/>
      </w:pPr>
    </w:p>
    <w:p w14:paraId="2593A6E7" w14:textId="1D58CDB4" w:rsidR="00CE5A60" w:rsidRPr="00043657" w:rsidRDefault="00CE5A60" w:rsidP="00D22157">
      <w:pPr>
        <w:autoSpaceDE w:val="0"/>
        <w:autoSpaceDN w:val="0"/>
        <w:adjustRightInd w:val="0"/>
        <w:spacing w:line="276" w:lineRule="auto"/>
        <w:ind w:firstLine="720"/>
        <w:jc w:val="both"/>
      </w:pPr>
      <w:r w:rsidRPr="00043657">
        <w:t xml:space="preserve">[2] Ar </w:t>
      </w:r>
      <w:r w:rsidR="003C5E13">
        <w:t>[</w:t>
      </w:r>
      <w:r w:rsidRPr="00043657">
        <w:t>rajona</w:t>
      </w:r>
      <w:r w:rsidR="003C5E13">
        <w:t xml:space="preserve"> (pilsētas)]</w:t>
      </w:r>
      <w:r w:rsidRPr="00043657">
        <w:t xml:space="preserve"> tiesas </w:t>
      </w:r>
      <w:proofErr w:type="gramStart"/>
      <w:r w:rsidRPr="00043657">
        <w:t>20</w:t>
      </w:r>
      <w:r w:rsidR="005D000A" w:rsidRPr="00043657">
        <w:t>20</w:t>
      </w:r>
      <w:r w:rsidRPr="00043657">
        <w:t>.gada</w:t>
      </w:r>
      <w:proofErr w:type="gramEnd"/>
      <w:r w:rsidRPr="00043657">
        <w:t xml:space="preserve"> </w:t>
      </w:r>
      <w:r w:rsidR="003C5E13">
        <w:t>[..]</w:t>
      </w:r>
      <w:r w:rsidRPr="00043657">
        <w:t xml:space="preserve"> spriedumu </w:t>
      </w:r>
      <w:r w:rsidR="003C5E13">
        <w:t>[pers. A]</w:t>
      </w:r>
      <w:r w:rsidR="005D000A" w:rsidRPr="00043657">
        <w:t xml:space="preserve"> </w:t>
      </w:r>
      <w:r w:rsidRPr="00043657">
        <w:t>atzīt</w:t>
      </w:r>
      <w:r w:rsidR="005D000A" w:rsidRPr="00043657">
        <w:t>s</w:t>
      </w:r>
      <w:r w:rsidRPr="00043657">
        <w:t xml:space="preserve"> par vainīg</w:t>
      </w:r>
      <w:r w:rsidR="005D000A" w:rsidRPr="00043657">
        <w:t>u</w:t>
      </w:r>
      <w:r w:rsidRPr="00043657">
        <w:t xml:space="preserve"> un sodīt</w:t>
      </w:r>
      <w:r w:rsidR="005D000A" w:rsidRPr="00043657">
        <w:t>s</w:t>
      </w:r>
      <w:r w:rsidRPr="00043657">
        <w:t xml:space="preserve"> pēc Krimināllikuma </w:t>
      </w:r>
      <w:r w:rsidR="005D000A" w:rsidRPr="00043657">
        <w:t xml:space="preserve">174.panta pirmās daļas par to, ka viņš, būdams persona, no kuras cietušais ir materiāli un citādi atkarīgs, vardarbīgi apgājās ar nepilngadīgo, nodarot nepilngadīgajam fiziskas ciešanas, bet neradot Krimināllikuma 125. un 126.pantā paredzētās sekas. </w:t>
      </w:r>
    </w:p>
    <w:p w14:paraId="2C76B20D" w14:textId="77777777" w:rsidR="005030F1" w:rsidRPr="00043657" w:rsidRDefault="005030F1" w:rsidP="00D22157">
      <w:pPr>
        <w:autoSpaceDE w:val="0"/>
        <w:autoSpaceDN w:val="0"/>
        <w:adjustRightInd w:val="0"/>
        <w:spacing w:line="276" w:lineRule="auto"/>
        <w:ind w:firstLine="720"/>
        <w:jc w:val="both"/>
      </w:pPr>
    </w:p>
    <w:p w14:paraId="60997729" w14:textId="753F5638" w:rsidR="005030F1" w:rsidRPr="00043657" w:rsidRDefault="005030F1" w:rsidP="00D22157">
      <w:pPr>
        <w:autoSpaceDE w:val="0"/>
        <w:autoSpaceDN w:val="0"/>
        <w:adjustRightInd w:val="0"/>
        <w:spacing w:line="276" w:lineRule="auto"/>
        <w:ind w:firstLine="720"/>
        <w:jc w:val="both"/>
      </w:pPr>
      <w:r w:rsidRPr="00043657">
        <w:t xml:space="preserve">[3] Ar </w:t>
      </w:r>
      <w:r w:rsidR="003C5E13">
        <w:t>[..]</w:t>
      </w:r>
      <w:r w:rsidRPr="00043657">
        <w:t xml:space="preserve"> apgabaltiesas </w:t>
      </w:r>
      <w:proofErr w:type="gramStart"/>
      <w:r w:rsidRPr="00043657">
        <w:t>2020.gada</w:t>
      </w:r>
      <w:proofErr w:type="gramEnd"/>
      <w:r w:rsidRPr="00043657">
        <w:t xml:space="preserve"> </w:t>
      </w:r>
      <w:r w:rsidR="003C5E13">
        <w:t>[..]</w:t>
      </w:r>
      <w:r w:rsidRPr="00043657">
        <w:t xml:space="preserve"> </w:t>
      </w:r>
      <w:r w:rsidR="00451200" w:rsidRPr="00043657">
        <w:t>lēmumu</w:t>
      </w:r>
      <w:r w:rsidRPr="00043657">
        <w:t xml:space="preserve">, iztiesājot krimināllietu apelācijas kārtībā sakarā ar apsūdzētā </w:t>
      </w:r>
      <w:r w:rsidR="003C5E13">
        <w:t>[pers. A]</w:t>
      </w:r>
      <w:r w:rsidR="00451200" w:rsidRPr="00043657">
        <w:t xml:space="preserve"> apelācijas sūdzību, </w:t>
      </w:r>
      <w:r w:rsidR="003C5E13">
        <w:t>[</w:t>
      </w:r>
      <w:r w:rsidR="00451200" w:rsidRPr="00043657">
        <w:t>rajona</w:t>
      </w:r>
      <w:r w:rsidR="003C5E13">
        <w:t xml:space="preserve"> (pilsētas)]</w:t>
      </w:r>
      <w:r w:rsidR="00451200" w:rsidRPr="00043657">
        <w:t xml:space="preserve"> tiesas 2020.gada </w:t>
      </w:r>
      <w:r w:rsidR="003C5E13">
        <w:t>[..]</w:t>
      </w:r>
      <w:r w:rsidR="00451200" w:rsidRPr="00043657">
        <w:t xml:space="preserve"> spriedums atstāts negrozīts. </w:t>
      </w:r>
      <w:r w:rsidRPr="00043657">
        <w:t xml:space="preserve"> </w:t>
      </w:r>
    </w:p>
    <w:p w14:paraId="7A7D42F2" w14:textId="77777777" w:rsidR="00512338" w:rsidRPr="00043657" w:rsidRDefault="00512338" w:rsidP="00451200">
      <w:pPr>
        <w:autoSpaceDE w:val="0"/>
        <w:autoSpaceDN w:val="0"/>
        <w:adjustRightInd w:val="0"/>
        <w:spacing w:line="276" w:lineRule="auto"/>
        <w:jc w:val="both"/>
      </w:pPr>
    </w:p>
    <w:p w14:paraId="327E4310" w14:textId="3108C967" w:rsidR="00512338" w:rsidRPr="00043657" w:rsidRDefault="00512338" w:rsidP="00512338">
      <w:pPr>
        <w:autoSpaceDE w:val="0"/>
        <w:autoSpaceDN w:val="0"/>
        <w:adjustRightInd w:val="0"/>
        <w:spacing w:line="276" w:lineRule="auto"/>
        <w:ind w:firstLine="720"/>
        <w:jc w:val="both"/>
      </w:pPr>
      <w:r w:rsidRPr="00043657">
        <w:lastRenderedPageBreak/>
        <w:t>[</w:t>
      </w:r>
      <w:r w:rsidR="00451200" w:rsidRPr="00043657">
        <w:t>4</w:t>
      </w:r>
      <w:r w:rsidRPr="00043657">
        <w:t xml:space="preserve">] Par </w:t>
      </w:r>
      <w:r w:rsidR="003C5E13">
        <w:t>[..]</w:t>
      </w:r>
      <w:r w:rsidRPr="00043657">
        <w:t xml:space="preserve"> apgabaltiesas </w:t>
      </w:r>
      <w:proofErr w:type="gramStart"/>
      <w:r w:rsidRPr="00043657">
        <w:t>2020.gada</w:t>
      </w:r>
      <w:proofErr w:type="gramEnd"/>
      <w:r w:rsidRPr="00043657">
        <w:t xml:space="preserve"> </w:t>
      </w:r>
      <w:r w:rsidR="003C5E13">
        <w:t>[..]</w:t>
      </w:r>
      <w:r w:rsidRPr="00043657">
        <w:t xml:space="preserve"> </w:t>
      </w:r>
      <w:r w:rsidR="00451200" w:rsidRPr="00043657">
        <w:t>lēmumu</w:t>
      </w:r>
      <w:r w:rsidRPr="00043657">
        <w:t xml:space="preserve"> apsūdzētā </w:t>
      </w:r>
      <w:r w:rsidR="003C5E13">
        <w:t>[pers. A]</w:t>
      </w:r>
      <w:r w:rsidRPr="00043657">
        <w:t xml:space="preserve"> aizstāvis </w:t>
      </w:r>
      <w:r w:rsidR="00451200" w:rsidRPr="00043657">
        <w:t>A.</w:t>
      </w:r>
      <w:r w:rsidR="00C01498" w:rsidRPr="00043657">
        <w:t> </w:t>
      </w:r>
      <w:proofErr w:type="spellStart"/>
      <w:r w:rsidR="00451200" w:rsidRPr="00043657">
        <w:t>Pundurs</w:t>
      </w:r>
      <w:proofErr w:type="spellEnd"/>
      <w:r w:rsidR="007A4EFD" w:rsidRPr="00043657">
        <w:t xml:space="preserve"> iesniedzis kasācijas sūdzību</w:t>
      </w:r>
      <w:r w:rsidRPr="00043657">
        <w:t xml:space="preserve">, kurā lūdz atcelt </w:t>
      </w:r>
      <w:r w:rsidR="003C5E13">
        <w:t>[..]</w:t>
      </w:r>
      <w:r w:rsidRPr="00043657">
        <w:t xml:space="preserve"> apgabaltiesas 2020.gada </w:t>
      </w:r>
      <w:r w:rsidR="003C5E13">
        <w:t>[..]</w:t>
      </w:r>
      <w:r w:rsidRPr="00043657">
        <w:t xml:space="preserve"> </w:t>
      </w:r>
      <w:r w:rsidR="00451200" w:rsidRPr="00043657">
        <w:t xml:space="preserve">lēmumu, attaisnot apsūdzēto un izbeigt kriminālprocesu. </w:t>
      </w:r>
      <w:r w:rsidRPr="00043657">
        <w:t xml:space="preserve">  </w:t>
      </w:r>
    </w:p>
    <w:p w14:paraId="30DF8E1C" w14:textId="77777777" w:rsidR="00512338" w:rsidRPr="00043657" w:rsidRDefault="00512338" w:rsidP="00512338">
      <w:pPr>
        <w:autoSpaceDE w:val="0"/>
        <w:autoSpaceDN w:val="0"/>
        <w:adjustRightInd w:val="0"/>
        <w:spacing w:line="276" w:lineRule="auto"/>
        <w:ind w:firstLine="720"/>
        <w:jc w:val="both"/>
      </w:pPr>
      <w:r w:rsidRPr="00043657">
        <w:t>Savu lūgumu aizstāvis pamatojis ar šādiem argumentiem.</w:t>
      </w:r>
    </w:p>
    <w:p w14:paraId="0B5BA516" w14:textId="226F0BE3" w:rsidR="00A67320" w:rsidRPr="00043657" w:rsidRDefault="00005B8A" w:rsidP="006979BD">
      <w:pPr>
        <w:autoSpaceDE w:val="0"/>
        <w:autoSpaceDN w:val="0"/>
        <w:adjustRightInd w:val="0"/>
        <w:spacing w:line="276" w:lineRule="auto"/>
        <w:ind w:firstLine="720"/>
        <w:jc w:val="both"/>
      </w:pPr>
      <w:r w:rsidRPr="00043657">
        <w:t>[</w:t>
      </w:r>
      <w:r w:rsidR="00C01498" w:rsidRPr="00043657">
        <w:t>4</w:t>
      </w:r>
      <w:r w:rsidRPr="00043657">
        <w:t xml:space="preserve">.1] </w:t>
      </w:r>
      <w:r w:rsidR="0052591F" w:rsidRPr="00043657">
        <w:t xml:space="preserve">Aizstāvja ieskatā </w:t>
      </w:r>
      <w:r w:rsidR="00860EFD" w:rsidRPr="00043657">
        <w:t>kriminālprocess Nr.</w:t>
      </w:r>
      <w:r w:rsidR="003C5E13">
        <w:t>[..]</w:t>
      </w:r>
      <w:r w:rsidR="00860EFD" w:rsidRPr="00043657">
        <w:t xml:space="preserve"> tika uzsākts</w:t>
      </w:r>
      <w:r w:rsidR="00AE385D" w:rsidRPr="00043657">
        <w:t xml:space="preserve"> nepamatoti</w:t>
      </w:r>
      <w:r w:rsidR="00860EFD" w:rsidRPr="00043657">
        <w:t>. Krimināllietas materiālos atrodas n</w:t>
      </w:r>
      <w:r w:rsidR="004C6CAD" w:rsidRPr="00043657">
        <w:t xml:space="preserve">epilngadīgā cietušā pārstāves </w:t>
      </w:r>
      <w:r w:rsidR="003C5E13">
        <w:t>[pers. B]</w:t>
      </w:r>
      <w:r w:rsidR="00860EFD" w:rsidRPr="00043657">
        <w:t xml:space="preserve"> </w:t>
      </w:r>
      <w:proofErr w:type="gramStart"/>
      <w:r w:rsidR="00860EFD" w:rsidRPr="00043657">
        <w:t>2019.gada</w:t>
      </w:r>
      <w:proofErr w:type="gramEnd"/>
      <w:r w:rsidR="00860EFD" w:rsidRPr="00043657">
        <w:t xml:space="preserve"> </w:t>
      </w:r>
      <w:r w:rsidR="003C5E13">
        <w:t>[..]</w:t>
      </w:r>
      <w:r w:rsidR="00860EFD" w:rsidRPr="00043657">
        <w:t xml:space="preserve"> iesniegums, kurā cietušā pārstāve lū</w:t>
      </w:r>
      <w:r w:rsidR="006979BD" w:rsidRPr="00043657">
        <w:t>gusi</w:t>
      </w:r>
      <w:r w:rsidR="00860EFD" w:rsidRPr="00043657">
        <w:t xml:space="preserve"> izbeigt kriminālprocesu, kā arī 2019.gada </w:t>
      </w:r>
      <w:r w:rsidR="003C5E13">
        <w:t>[..]</w:t>
      </w:r>
      <w:r w:rsidR="00860EFD" w:rsidRPr="00043657">
        <w:t xml:space="preserve"> iesniegums bāriņtiesai, kurā </w:t>
      </w:r>
      <w:r w:rsidR="003C5E13">
        <w:t>[pers. B]</w:t>
      </w:r>
      <w:r w:rsidR="00860EFD" w:rsidRPr="00043657">
        <w:t xml:space="preserve"> norād</w:t>
      </w:r>
      <w:r w:rsidR="006979BD" w:rsidRPr="00043657">
        <w:t>ījusi</w:t>
      </w:r>
      <w:r w:rsidR="00860EFD" w:rsidRPr="00043657">
        <w:t>, ka viņa vēlas izlīg</w:t>
      </w:r>
      <w:r w:rsidR="00E01F1E" w:rsidRPr="00043657">
        <w:t>t</w:t>
      </w:r>
      <w:r w:rsidR="00860EFD" w:rsidRPr="00043657">
        <w:t xml:space="preserve"> </w:t>
      </w:r>
      <w:r w:rsidR="00E01F1E" w:rsidRPr="00043657">
        <w:t>ar</w:t>
      </w:r>
      <w:r w:rsidR="00860EFD" w:rsidRPr="00043657">
        <w:t xml:space="preserve"> </w:t>
      </w:r>
      <w:r w:rsidR="003C5E13">
        <w:t>[pers. A]</w:t>
      </w:r>
      <w:r w:rsidR="00860EFD" w:rsidRPr="00043657">
        <w:t xml:space="preserve">. Apelācijas instances tiesā </w:t>
      </w:r>
      <w:r w:rsidR="003C5E13">
        <w:t>[pers. B]</w:t>
      </w:r>
      <w:r w:rsidR="00860EFD" w:rsidRPr="00043657">
        <w:t xml:space="preserve"> liecināj</w:t>
      </w:r>
      <w:r w:rsidR="006979BD" w:rsidRPr="00043657">
        <w:t>usi</w:t>
      </w:r>
      <w:r w:rsidR="00860EFD" w:rsidRPr="00043657">
        <w:t xml:space="preserve">, ka viņa un </w:t>
      </w:r>
      <w:r w:rsidR="003C5E13">
        <w:t>[pers. C]</w:t>
      </w:r>
      <w:r w:rsidR="00860EFD" w:rsidRPr="00043657">
        <w:t xml:space="preserve"> nav vēlējušies, lai pret </w:t>
      </w:r>
      <w:r w:rsidR="003C5E13">
        <w:t>[pers. A]</w:t>
      </w:r>
      <w:r w:rsidR="00860EFD" w:rsidRPr="00043657">
        <w:t xml:space="preserve"> tiktu uzsākts kriminālprocess. </w:t>
      </w:r>
      <w:r w:rsidR="003C5E13">
        <w:t>[Pers. B]</w:t>
      </w:r>
      <w:r w:rsidR="00A67320" w:rsidRPr="00043657">
        <w:t xml:space="preserve"> nav zinājusi, ka iesniegums, kuru viņai lika parakstīt policijā, ir par kriminālprocesa uzsākšanu. Aizstāvis norāda, ka iesniegums no </w:t>
      </w:r>
      <w:r w:rsidR="003C5E13">
        <w:t>[pers. B]</w:t>
      </w:r>
      <w:r w:rsidR="00A67320" w:rsidRPr="00043657">
        <w:t xml:space="preserve"> tika paņemts ar </w:t>
      </w:r>
      <w:r w:rsidR="006979BD" w:rsidRPr="00043657">
        <w:t xml:space="preserve">viltu, tīši noslēpjot no viņas </w:t>
      </w:r>
      <w:r w:rsidR="00A67320" w:rsidRPr="00043657">
        <w:t xml:space="preserve">kādam mērķim šāds iesniegums ir nepieciešams un kādas var būt tā iesniegšanas juridiskās sekas. Aizstāvja ieskatā </w:t>
      </w:r>
      <w:r w:rsidR="003C5E13">
        <w:t>[pers. A]</w:t>
      </w:r>
      <w:r w:rsidR="00A67320" w:rsidRPr="00043657">
        <w:t xml:space="preserve"> bija saucams pie administratīvās atbildības. </w:t>
      </w:r>
    </w:p>
    <w:p w14:paraId="55D8F975" w14:textId="2C0F366C" w:rsidR="00187DE3" w:rsidRPr="00043657" w:rsidRDefault="00187DE3" w:rsidP="00D22157">
      <w:pPr>
        <w:autoSpaceDE w:val="0"/>
        <w:autoSpaceDN w:val="0"/>
        <w:adjustRightInd w:val="0"/>
        <w:spacing w:line="276" w:lineRule="auto"/>
        <w:ind w:firstLine="720"/>
        <w:jc w:val="both"/>
      </w:pPr>
      <w:r w:rsidRPr="00043657">
        <w:t>[</w:t>
      </w:r>
      <w:r w:rsidR="00C01498" w:rsidRPr="00043657">
        <w:t>4</w:t>
      </w:r>
      <w:r w:rsidRPr="00043657">
        <w:t xml:space="preserve">.2] </w:t>
      </w:r>
      <w:r w:rsidR="003D5420" w:rsidRPr="00043657">
        <w:t xml:space="preserve">Pirmās instances tiesas spriedumā ir norādīts, ka cietušā pārstāve gan pirmstiesas procesa laikā, gan tiesā izteica vēlēšanos izlīgt ar </w:t>
      </w:r>
      <w:r w:rsidR="00264A8F" w:rsidRPr="00043657">
        <w:t>ap</w:t>
      </w:r>
      <w:r w:rsidR="003D5420" w:rsidRPr="00043657">
        <w:t>sūdzēto. Apelācijas instances ti</w:t>
      </w:r>
      <w:r w:rsidR="00264A8F" w:rsidRPr="00043657">
        <w:t xml:space="preserve">esā cietušā pārstāve </w:t>
      </w:r>
      <w:r w:rsidR="003C5E13">
        <w:t>[pers. B]</w:t>
      </w:r>
      <w:r w:rsidR="003D5420" w:rsidRPr="00043657">
        <w:t xml:space="preserve"> liecināj</w:t>
      </w:r>
      <w:r w:rsidR="006979BD" w:rsidRPr="00043657">
        <w:t>usi</w:t>
      </w:r>
      <w:r w:rsidR="003D5420" w:rsidRPr="00043657">
        <w:t xml:space="preserve">, ka viņa vēlas izlīgt ar apsūdzēto, jo krimināllietas </w:t>
      </w:r>
      <w:r w:rsidR="006979BD" w:rsidRPr="00043657">
        <w:t xml:space="preserve">dēļ </w:t>
      </w:r>
      <w:r w:rsidR="003D5420" w:rsidRPr="00043657">
        <w:t xml:space="preserve">ir pasliktinājušās viņas un jaunākā dēla </w:t>
      </w:r>
      <w:r w:rsidR="003C5E13">
        <w:t>[pers. C]</w:t>
      </w:r>
      <w:r w:rsidR="003D5420" w:rsidRPr="00043657">
        <w:t xml:space="preserve"> attiecības ar </w:t>
      </w:r>
      <w:r w:rsidR="003C5E13">
        <w:t>[pers. A]</w:t>
      </w:r>
      <w:r w:rsidR="003D5420" w:rsidRPr="00043657">
        <w:t xml:space="preserve">, kā arī pasliktinājušās jaunākā dēla attiecības ar </w:t>
      </w:r>
      <w:proofErr w:type="gramStart"/>
      <w:r w:rsidR="003D5420" w:rsidRPr="00043657">
        <w:t>abiem vecākajiem dēliem</w:t>
      </w:r>
      <w:proofErr w:type="gramEnd"/>
      <w:r w:rsidR="003D5420" w:rsidRPr="00043657">
        <w:t xml:space="preserve">, kuri </w:t>
      </w:r>
      <w:r w:rsidR="002773BA" w:rsidRPr="00043657">
        <w:t>ir</w:t>
      </w:r>
      <w:r w:rsidR="003D5420" w:rsidRPr="00043657">
        <w:t xml:space="preserve"> tēva pusē. Arī pirmstiesas kriminālprocesā </w:t>
      </w:r>
      <w:r w:rsidR="003C5E13">
        <w:t>[pers. A]</w:t>
      </w:r>
      <w:r w:rsidR="0086462E" w:rsidRPr="00043657">
        <w:t xml:space="preserve"> </w:t>
      </w:r>
      <w:r w:rsidR="003D5420" w:rsidRPr="00043657">
        <w:t>vēlēj</w:t>
      </w:r>
      <w:r w:rsidR="006979BD" w:rsidRPr="00043657">
        <w:t>ie</w:t>
      </w:r>
      <w:r w:rsidR="003D5420" w:rsidRPr="00043657">
        <w:t xml:space="preserve">s izlīgt ar cietušo, taču izlīgumam starp cietušo un apsūdzēto traucēja prokurora un tiesas </w:t>
      </w:r>
      <w:r w:rsidR="0086462E" w:rsidRPr="00043657">
        <w:t>izvirzītā</w:t>
      </w:r>
      <w:r w:rsidR="003D5420" w:rsidRPr="00043657">
        <w:t xml:space="preserve"> prasīb</w:t>
      </w:r>
      <w:r w:rsidR="0086462E" w:rsidRPr="00043657">
        <w:t>a</w:t>
      </w:r>
      <w:r w:rsidR="003B1046" w:rsidRPr="00043657">
        <w:t xml:space="preserve"> izlīgumā iekļau</w:t>
      </w:r>
      <w:r w:rsidR="006979BD" w:rsidRPr="00043657">
        <w:t xml:space="preserve">t </w:t>
      </w:r>
      <w:r w:rsidR="003B1046" w:rsidRPr="00043657">
        <w:t>nosacījum</w:t>
      </w:r>
      <w:r w:rsidR="006979BD" w:rsidRPr="00043657">
        <w:t>u</w:t>
      </w:r>
      <w:r w:rsidR="003B1046" w:rsidRPr="00043657">
        <w:t xml:space="preserve">, ka </w:t>
      </w:r>
      <w:r w:rsidR="003C5E13">
        <w:t>[pers. A]</w:t>
      </w:r>
      <w:r w:rsidR="003B1046" w:rsidRPr="00043657">
        <w:t xml:space="preserve"> pilnībā atzīst savu vainu. </w:t>
      </w:r>
    </w:p>
    <w:p w14:paraId="7FE6EDBE" w14:textId="77777777" w:rsidR="003B1046" w:rsidRPr="00043657" w:rsidRDefault="003B1046" w:rsidP="00D22157">
      <w:pPr>
        <w:autoSpaceDE w:val="0"/>
        <w:autoSpaceDN w:val="0"/>
        <w:adjustRightInd w:val="0"/>
        <w:spacing w:line="276" w:lineRule="auto"/>
        <w:ind w:firstLine="720"/>
        <w:jc w:val="both"/>
      </w:pPr>
      <w:r w:rsidRPr="00043657">
        <w:t xml:space="preserve">Kriminālprocesa likuma </w:t>
      </w:r>
      <w:proofErr w:type="gramStart"/>
      <w:r w:rsidRPr="00043657">
        <w:t>66.panta</w:t>
      </w:r>
      <w:proofErr w:type="gramEnd"/>
      <w:r w:rsidRPr="00043657">
        <w:t xml:space="preserve"> pirmās daļas 13.punkts un 97.</w:t>
      </w:r>
      <w:r w:rsidRPr="00043657">
        <w:rPr>
          <w:vertAlign w:val="superscript"/>
        </w:rPr>
        <w:t>1 </w:t>
      </w:r>
      <w:r w:rsidRPr="00043657">
        <w:t>panta pirmās daļas 4.punkts nosaka aizdomās turētā un cietušā tiesības savstarpēji izlīgt. Vienlaikus Kriminālprocesa likums nenosaka</w:t>
      </w:r>
      <w:r w:rsidR="002773BA" w:rsidRPr="00043657">
        <w:t>,</w:t>
      </w:r>
      <w:r w:rsidRPr="00043657">
        <w:t xml:space="preserve"> ka izlīguma gadījumā aizdomās turētajam vai apsūdzētajam ir jāatzīs</w:t>
      </w:r>
      <w:r w:rsidR="002773BA" w:rsidRPr="00043657">
        <w:t>t sava vaina. Aizstāvja ieskatā</w:t>
      </w:r>
      <w:r w:rsidRPr="00043657">
        <w:t xml:space="preserve"> tiesa un prokurors nepamatoti ir noteikuši nosacījumus, kas </w:t>
      </w:r>
      <w:r w:rsidR="00D62E71" w:rsidRPr="00043657">
        <w:t>iekļaujami</w:t>
      </w:r>
      <w:r w:rsidRPr="00043657">
        <w:t xml:space="preserve"> izlīgumā, tādējādi tiesa un prokurors rīkojušies</w:t>
      </w:r>
      <w:r w:rsidR="0008612A" w:rsidRPr="00043657">
        <w:t xml:space="preserve"> pretēji</w:t>
      </w:r>
      <w:r w:rsidRPr="00043657">
        <w:t xml:space="preserve"> </w:t>
      </w:r>
      <w:r w:rsidR="00264A8F" w:rsidRPr="00043657">
        <w:t>K</w:t>
      </w:r>
      <w:r w:rsidRPr="00043657">
        <w:t>riminālprocesa likuma mērķi</w:t>
      </w:r>
      <w:r w:rsidR="0008612A" w:rsidRPr="00043657">
        <w:t>m</w:t>
      </w:r>
      <w:r w:rsidRPr="00043657">
        <w:t xml:space="preserve">. </w:t>
      </w:r>
    </w:p>
    <w:p w14:paraId="593B95F9" w14:textId="57B82A92" w:rsidR="00D22157" w:rsidRPr="00043657" w:rsidRDefault="00A67320" w:rsidP="00D22157">
      <w:pPr>
        <w:autoSpaceDE w:val="0"/>
        <w:autoSpaceDN w:val="0"/>
        <w:adjustRightInd w:val="0"/>
        <w:spacing w:line="276" w:lineRule="auto"/>
        <w:ind w:firstLine="720"/>
        <w:jc w:val="both"/>
      </w:pPr>
      <w:r w:rsidRPr="00043657">
        <w:t>[</w:t>
      </w:r>
      <w:r w:rsidR="00C01498" w:rsidRPr="00043657">
        <w:t>4</w:t>
      </w:r>
      <w:r w:rsidRPr="00043657">
        <w:t>.</w:t>
      </w:r>
      <w:r w:rsidR="00187DE3" w:rsidRPr="00043657">
        <w:t>3</w:t>
      </w:r>
      <w:r w:rsidRPr="00043657">
        <w:t>] Aizstāvis A. </w:t>
      </w:r>
      <w:proofErr w:type="spellStart"/>
      <w:r w:rsidRPr="00043657">
        <w:t>Pundurs</w:t>
      </w:r>
      <w:proofErr w:type="spellEnd"/>
      <w:r w:rsidRPr="00043657">
        <w:t xml:space="preserve"> norāda, ka apsūdzībā pēc</w:t>
      </w:r>
      <w:r w:rsidR="00264A8F" w:rsidRPr="00043657">
        <w:t xml:space="preserve"> iespējas precīzi un pilnīgi jānorāda</w:t>
      </w:r>
      <w:r w:rsidRPr="00043657">
        <w:t xml:space="preserve"> visi notikuma faktiskie apstākļi, kas nosaka noziedzīgā nodarījuma juridisko kvalifikāciju un vainīgumu. Kriminālprocesā ir jāņem vērā apstākļi, kas izslēdz apsūdzētā kriminālatbildību. Aizstāvis norāda, ka apsūdzētais </w:t>
      </w:r>
      <w:r w:rsidR="003C5E13">
        <w:t>[pers. A]</w:t>
      </w:r>
      <w:r w:rsidRPr="00043657">
        <w:t xml:space="preserve"> ir konsekventi liecinājis par to, ka viņš ir aizstāvējies. </w:t>
      </w:r>
      <w:r w:rsidR="006979BD" w:rsidRPr="00043657">
        <w:t>A</w:t>
      </w:r>
      <w:r w:rsidRPr="00043657">
        <w:t xml:space="preserve">psūdzībā nav norādīts fakts, ka </w:t>
      </w:r>
      <w:r w:rsidR="00187DE3" w:rsidRPr="00043657">
        <w:t xml:space="preserve">cietušais sasitis </w:t>
      </w:r>
      <w:r w:rsidR="0041068C">
        <w:t>[pers. A]</w:t>
      </w:r>
      <w:r w:rsidR="00187DE3" w:rsidRPr="00043657">
        <w:t xml:space="preserve"> brilles</w:t>
      </w:r>
      <w:r w:rsidR="006979BD" w:rsidRPr="00043657">
        <w:t>, tādējādi apsūdzība ir atzīstama par nekonkrētu</w:t>
      </w:r>
      <w:r w:rsidR="0008612A" w:rsidRPr="00043657">
        <w:t xml:space="preserve">. </w:t>
      </w:r>
    </w:p>
    <w:p w14:paraId="5DF54659" w14:textId="3ADFEC7D" w:rsidR="007A4EFD" w:rsidRPr="00043657" w:rsidRDefault="00187DE3" w:rsidP="00D22157">
      <w:pPr>
        <w:autoSpaceDE w:val="0"/>
        <w:autoSpaceDN w:val="0"/>
        <w:adjustRightInd w:val="0"/>
        <w:spacing w:line="276" w:lineRule="auto"/>
        <w:ind w:firstLine="720"/>
        <w:jc w:val="both"/>
      </w:pPr>
      <w:r w:rsidRPr="00043657">
        <w:t>[</w:t>
      </w:r>
      <w:r w:rsidR="00C01498" w:rsidRPr="00043657">
        <w:t>4</w:t>
      </w:r>
      <w:r w:rsidRPr="00043657">
        <w:t>.</w:t>
      </w:r>
      <w:r w:rsidR="003B1046" w:rsidRPr="00043657">
        <w:t>4</w:t>
      </w:r>
      <w:r w:rsidRPr="00043657">
        <w:t xml:space="preserve">] </w:t>
      </w:r>
      <w:r w:rsidR="00592C82" w:rsidRPr="00043657">
        <w:t xml:space="preserve">A. Pundura ieskatā </w:t>
      </w:r>
      <w:r w:rsidR="0041068C">
        <w:t>[pers. A]</w:t>
      </w:r>
      <w:r w:rsidR="00592C82" w:rsidRPr="00043657">
        <w:t xml:space="preserve"> nepamatoti atzīts par Krimināllikuma </w:t>
      </w:r>
      <w:proofErr w:type="gramStart"/>
      <w:r w:rsidR="00592C82" w:rsidRPr="00043657">
        <w:t>174.panta</w:t>
      </w:r>
      <w:proofErr w:type="gramEnd"/>
      <w:r w:rsidR="00592C82" w:rsidRPr="00043657">
        <w:t xml:space="preserve"> pirmajā daļā paredzētā noziedzīgā nodarījuma speciālo subjektu</w:t>
      </w:r>
      <w:r w:rsidR="00706FF3" w:rsidRPr="00043657">
        <w:t xml:space="preserve"> – persona, no kuras cietušais ir materiāli vai citādi atkarīgs</w:t>
      </w:r>
      <w:r w:rsidR="00592C82" w:rsidRPr="00043657">
        <w:t xml:space="preserve">. Apstāklis, ka </w:t>
      </w:r>
      <w:r w:rsidR="0041068C">
        <w:t>[pers. A]</w:t>
      </w:r>
      <w:r w:rsidR="00592C82" w:rsidRPr="00043657">
        <w:t xml:space="preserve"> ir pilngadīgs un ir cietušā </w:t>
      </w:r>
      <w:r w:rsidR="0041068C">
        <w:t>[pers. C]</w:t>
      </w:r>
      <w:r w:rsidR="00592C82" w:rsidRPr="00043657">
        <w:t xml:space="preserve"> tēvs un apstāklis, ka </w:t>
      </w:r>
      <w:r w:rsidR="0041068C">
        <w:t>[pers. A]</w:t>
      </w:r>
      <w:r w:rsidR="00592C82" w:rsidRPr="00043657">
        <w:t xml:space="preserve"> maksā tiesas noteiktus uzturlīdzekļus </w:t>
      </w:r>
      <w:r w:rsidR="0041068C">
        <w:t>[pers. C]</w:t>
      </w:r>
      <w:r w:rsidR="00592C82" w:rsidRPr="00043657">
        <w:t xml:space="preserve"> mātei, nedod pamatu uzskatam, ka </w:t>
      </w:r>
      <w:r w:rsidR="0041068C">
        <w:t>[pers. C]</w:t>
      </w:r>
      <w:r w:rsidR="00592C82" w:rsidRPr="00043657">
        <w:t xml:space="preserve"> bija materiāli vai citādi atkarīgs no </w:t>
      </w:r>
      <w:proofErr w:type="gramStart"/>
      <w:r w:rsidR="0041068C">
        <w:t>[</w:t>
      </w:r>
      <w:proofErr w:type="gramEnd"/>
      <w:r w:rsidR="0041068C">
        <w:t>pers. A]</w:t>
      </w:r>
      <w:r w:rsidR="00592C82" w:rsidRPr="00043657">
        <w:t xml:space="preserve">. Cietušais </w:t>
      </w:r>
      <w:r w:rsidR="0041068C">
        <w:t>[pers. C]</w:t>
      </w:r>
      <w:r w:rsidR="00592C82" w:rsidRPr="00043657">
        <w:t xml:space="preserve"> n</w:t>
      </w:r>
      <w:r w:rsidR="00125757" w:rsidRPr="00043657">
        <w:t>odarījuma</w:t>
      </w:r>
      <w:r w:rsidR="00592C82" w:rsidRPr="00043657">
        <w:t xml:space="preserve"> </w:t>
      </w:r>
      <w:r w:rsidR="00125757" w:rsidRPr="00043657">
        <w:t>brīdī</w:t>
      </w:r>
      <w:r w:rsidR="00592C82" w:rsidRPr="00043657">
        <w:t xml:space="preserve"> bija 14 gadus vecs, savam vecumam labi attīstīts, emocionāli nobriedis jaunietis. Turklāt cietušais nedzīvoja kopā ar apsūdzēto, bet dzīvoja ar savu māti </w:t>
      </w:r>
      <w:r w:rsidR="0041068C">
        <w:t>[pers. B]</w:t>
      </w:r>
      <w:r w:rsidR="00592C82" w:rsidRPr="00043657">
        <w:t>. Aizstāvja ieskatā cietušais ir emocionāli atkarīgs no savas mātes, nevis no apsūdzētā.</w:t>
      </w:r>
    </w:p>
    <w:p w14:paraId="2598BCD2" w14:textId="77777777" w:rsidR="003B1046" w:rsidRPr="00043657" w:rsidRDefault="003B1046" w:rsidP="00C84A7B">
      <w:pPr>
        <w:spacing w:line="276" w:lineRule="auto"/>
        <w:jc w:val="center"/>
        <w:rPr>
          <w:b/>
        </w:rPr>
      </w:pPr>
    </w:p>
    <w:p w14:paraId="6F907AC2" w14:textId="77777777" w:rsidR="00C84A7B" w:rsidRPr="00043657" w:rsidRDefault="00C84A7B" w:rsidP="00C84A7B">
      <w:pPr>
        <w:spacing w:line="276" w:lineRule="auto"/>
        <w:jc w:val="center"/>
        <w:rPr>
          <w:b/>
        </w:rPr>
      </w:pPr>
      <w:r w:rsidRPr="00043657">
        <w:rPr>
          <w:b/>
        </w:rPr>
        <w:t>Motīvu daļa</w:t>
      </w:r>
    </w:p>
    <w:p w14:paraId="14C266B4" w14:textId="77777777" w:rsidR="004940C4" w:rsidRPr="00043657" w:rsidRDefault="004940C4" w:rsidP="00977933">
      <w:pPr>
        <w:spacing w:line="276" w:lineRule="auto"/>
        <w:jc w:val="both"/>
        <w:rPr>
          <w:b/>
        </w:rPr>
      </w:pPr>
    </w:p>
    <w:p w14:paraId="00EAD58C" w14:textId="00885721" w:rsidR="00706FF3" w:rsidRPr="00043657" w:rsidRDefault="004940C4" w:rsidP="005D000A">
      <w:pPr>
        <w:spacing w:line="276" w:lineRule="auto"/>
        <w:jc w:val="both"/>
      </w:pPr>
      <w:r w:rsidRPr="00043657">
        <w:rPr>
          <w:b/>
        </w:rPr>
        <w:tab/>
      </w:r>
      <w:r w:rsidRPr="00043657">
        <w:t>[</w:t>
      </w:r>
      <w:r w:rsidR="00C01498" w:rsidRPr="00043657">
        <w:t>5</w:t>
      </w:r>
      <w:r w:rsidRPr="00043657">
        <w:t xml:space="preserve">] Senāts atzīst, ka </w:t>
      </w:r>
      <w:r w:rsidR="00F86E35">
        <w:t>[..]</w:t>
      </w:r>
      <w:r w:rsidR="00706FF3" w:rsidRPr="00043657">
        <w:t xml:space="preserve"> apgabaltiesas </w:t>
      </w:r>
      <w:proofErr w:type="gramStart"/>
      <w:r w:rsidR="00706FF3" w:rsidRPr="00043657">
        <w:t>2020.gada</w:t>
      </w:r>
      <w:proofErr w:type="gramEnd"/>
      <w:r w:rsidR="00706FF3" w:rsidRPr="00043657">
        <w:t xml:space="preserve"> </w:t>
      </w:r>
      <w:r w:rsidR="00F86E35">
        <w:t>[..]</w:t>
      </w:r>
      <w:r w:rsidR="00706FF3" w:rsidRPr="00043657">
        <w:t xml:space="preserve"> lēmums atstājams negrozīts, bet aizstāvja A. Pundura iesniegtā kasācijas sūdzība noraidāma. </w:t>
      </w:r>
    </w:p>
    <w:p w14:paraId="4C0EFA48" w14:textId="05EF56BD" w:rsidR="00327724" w:rsidRPr="00043657" w:rsidRDefault="00FA14FD" w:rsidP="00327724">
      <w:pPr>
        <w:spacing w:line="276" w:lineRule="auto"/>
        <w:jc w:val="both"/>
      </w:pPr>
      <w:r w:rsidRPr="00043657">
        <w:lastRenderedPageBreak/>
        <w:tab/>
      </w:r>
      <w:r w:rsidR="002B7AC2" w:rsidRPr="00043657">
        <w:t>[</w:t>
      </w:r>
      <w:r w:rsidR="00C01498" w:rsidRPr="00043657">
        <w:t>5</w:t>
      </w:r>
      <w:r w:rsidR="002B7AC2" w:rsidRPr="00043657">
        <w:t xml:space="preserve">.1] Kasācijas instances tiesa atzīst, ka </w:t>
      </w:r>
      <w:r w:rsidR="00F86E35">
        <w:t>[..]</w:t>
      </w:r>
      <w:r w:rsidR="002B7AC2" w:rsidRPr="00043657">
        <w:t xml:space="preserve"> apgabaltiesas </w:t>
      </w:r>
      <w:proofErr w:type="gramStart"/>
      <w:r w:rsidR="002B7AC2" w:rsidRPr="00043657">
        <w:t>2020.gada</w:t>
      </w:r>
      <w:proofErr w:type="gramEnd"/>
      <w:r w:rsidR="002B7AC2" w:rsidRPr="00043657">
        <w:t xml:space="preserve"> </w:t>
      </w:r>
      <w:r w:rsidR="00F86E35">
        <w:t>[..]</w:t>
      </w:r>
      <w:r w:rsidR="002B7AC2" w:rsidRPr="00043657">
        <w:t xml:space="preserve"> lēmums ir tiesisks un pamatots, tas atbilst Kriminālprocesa likuma 511. un 512.panta prasībām.</w:t>
      </w:r>
      <w:r w:rsidR="00327724" w:rsidRPr="00043657">
        <w:t xml:space="preserve"> Iztiesājot lietu, apelācijas instances tiesa nav pieļāvusi Krimināllikuma pārkāpumus un Kriminālprocesa likuma būtiskus pārkāpumus, kas varētu būt par pamatu apelācijas instances tiesas nolēmuma atcelšanai vai grozīšanai. Arī apsūdzētā aizstāvja kasācijas sūdzībā nav izklāstīti tādi argumenti, kas varētu būt par pamatu apelācijas instances tiesas nolēmuma atcelšanai. </w:t>
      </w:r>
      <w:r w:rsidR="0050427C" w:rsidRPr="00043657">
        <w:t>Kasācijas s</w:t>
      </w:r>
      <w:r w:rsidR="00327724" w:rsidRPr="00043657">
        <w:t>ūdzībā pamatā atkārtoti apelācijas sūd</w:t>
      </w:r>
      <w:r w:rsidR="0086462E" w:rsidRPr="00043657">
        <w:t>zībā</w:t>
      </w:r>
      <w:r w:rsidR="00327724" w:rsidRPr="00043657">
        <w:t xml:space="preserve"> izteiktie </w:t>
      </w:r>
      <w:r w:rsidR="004C6CAD" w:rsidRPr="00043657">
        <w:t>iebildum</w:t>
      </w:r>
      <w:r w:rsidR="00327724" w:rsidRPr="00043657">
        <w:t>i, kurus, iztiesājot lietu, apelācijas instances tiesa ir izvērtējusi un motivēti noraidījusi.</w:t>
      </w:r>
    </w:p>
    <w:p w14:paraId="75A46C41" w14:textId="77777777" w:rsidR="002B7AC2" w:rsidRPr="00043657" w:rsidRDefault="002B7AC2" w:rsidP="002B7AC2">
      <w:pPr>
        <w:spacing w:line="276" w:lineRule="auto"/>
        <w:ind w:firstLine="720"/>
        <w:jc w:val="both"/>
      </w:pPr>
      <w:r w:rsidRPr="00043657">
        <w:t>[</w:t>
      </w:r>
      <w:r w:rsidR="00800BD7" w:rsidRPr="00043657">
        <w:t>5</w:t>
      </w:r>
      <w:r w:rsidRPr="00043657">
        <w:t xml:space="preserve">.2] Senāts aizstāvja kasācijas sūdzībā norādīto iebildumu par to, ka prokurors un tiesa nepamatoti ir noteikuši nosacījumus, kas jāiekļauj izlīgumā, atzīst par nepamatotu. </w:t>
      </w:r>
    </w:p>
    <w:p w14:paraId="3FD9E596" w14:textId="478CF1DC" w:rsidR="00FA14FD" w:rsidRPr="00043657" w:rsidRDefault="002B7AC2" w:rsidP="002B7AC2">
      <w:pPr>
        <w:spacing w:line="276" w:lineRule="auto"/>
        <w:ind w:firstLine="720"/>
        <w:jc w:val="both"/>
      </w:pPr>
      <w:r w:rsidRPr="00043657">
        <w:t>No lietas materiāliem redzams, ka c</w:t>
      </w:r>
      <w:r w:rsidR="00FA14FD" w:rsidRPr="00043657">
        <w:t xml:space="preserve">ietušā pārstāve </w:t>
      </w:r>
      <w:r w:rsidR="00F86E35">
        <w:t>[pers. B]</w:t>
      </w:r>
      <w:r w:rsidR="00FA14FD" w:rsidRPr="00043657">
        <w:t xml:space="preserve"> apelācijas instances tiesas </w:t>
      </w:r>
      <w:proofErr w:type="gramStart"/>
      <w:r w:rsidR="00FA14FD" w:rsidRPr="00043657">
        <w:t>2020.gada</w:t>
      </w:r>
      <w:proofErr w:type="gramEnd"/>
      <w:r w:rsidR="00FA14FD" w:rsidRPr="00043657">
        <w:t xml:space="preserve"> </w:t>
      </w:r>
      <w:r w:rsidR="00F86E35">
        <w:t>[..]</w:t>
      </w:r>
      <w:r w:rsidR="00FA14FD" w:rsidRPr="00043657">
        <w:t xml:space="preserve"> tiesas sēdē norādījusi, ka piekrīt pirmās instances tiesas spriedumam, bet vienlaikus aicinājusi apsūdzēto </w:t>
      </w:r>
      <w:r w:rsidR="00F86E35">
        <w:t>[pers. A]</w:t>
      </w:r>
      <w:r w:rsidR="00FA14FD" w:rsidRPr="00043657">
        <w:t xml:space="preserve"> noslēgt izlīgumu. </w:t>
      </w:r>
      <w:r w:rsidR="00220B87" w:rsidRPr="00043657">
        <w:t xml:space="preserve">Apsūdzētais tiesas sēdē atteicās atzīt savu vainu, tādējādi arī atteicās slēgt izlīgumu. </w:t>
      </w:r>
    </w:p>
    <w:p w14:paraId="25497B98" w14:textId="77777777" w:rsidR="008A6117" w:rsidRPr="00043657" w:rsidRDefault="002773BA" w:rsidP="00220B87">
      <w:pPr>
        <w:spacing w:line="276" w:lineRule="auto"/>
        <w:ind w:firstLine="720"/>
        <w:jc w:val="both"/>
      </w:pPr>
      <w:r w:rsidRPr="00043657">
        <w:t>Senāts</w:t>
      </w:r>
      <w:r w:rsidR="00220B87" w:rsidRPr="00043657">
        <w:t xml:space="preserve"> norāda, ka, lai arī Kriminālprocesa likums tieši neparedz, ka apsūdzētajam ir jāatzīst savs vainīgums izlīguma gadījumā, </w:t>
      </w:r>
      <w:r w:rsidR="00130798" w:rsidRPr="00043657">
        <w:t>nepieciešamība konstatēt personas vainīgumu</w:t>
      </w:r>
      <w:r w:rsidR="00220B87" w:rsidRPr="00043657">
        <w:t xml:space="preserve"> izriet no Kriminālprocesa </w:t>
      </w:r>
      <w:r w:rsidR="008A6117" w:rsidRPr="00043657">
        <w:t xml:space="preserve">likuma atsevišķām tiesību normām. </w:t>
      </w:r>
    </w:p>
    <w:p w14:paraId="0F17305E" w14:textId="77777777" w:rsidR="00220B87" w:rsidRPr="00043657" w:rsidRDefault="008A6117" w:rsidP="00220B87">
      <w:pPr>
        <w:spacing w:line="276" w:lineRule="auto"/>
        <w:ind w:firstLine="720"/>
        <w:jc w:val="both"/>
      </w:pPr>
      <w:r w:rsidRPr="00043657">
        <w:t xml:space="preserve">Kriminālprocesa </w:t>
      </w:r>
      <w:r w:rsidR="00220B87" w:rsidRPr="00043657">
        <w:t xml:space="preserve">likuma </w:t>
      </w:r>
      <w:proofErr w:type="gramStart"/>
      <w:r w:rsidR="00220B87" w:rsidRPr="00043657">
        <w:t>537</w:t>
      </w:r>
      <w:r w:rsidRPr="00043657">
        <w:t>.panta</w:t>
      </w:r>
      <w:proofErr w:type="gramEnd"/>
      <w:r w:rsidRPr="00043657">
        <w:t xml:space="preserve"> pirmā</w:t>
      </w:r>
      <w:r w:rsidR="00F82247" w:rsidRPr="00043657">
        <w:t xml:space="preserve"> daļa</w:t>
      </w:r>
      <w:r w:rsidR="00220B87" w:rsidRPr="00043657">
        <w:t xml:space="preserve"> noteic, ka gadījumā, ja izlīgumu iesniedz vai par to parakstās tiesas sēdes protokolā pēc tam, kad uzsākta tiesas izmeklēšana, un tiesai nav šaubu par apsūdzētā vainu, tā izmeklēšanu var pārtraukt un pāriet pie tiesas debatēm. </w:t>
      </w:r>
      <w:r w:rsidR="00CA7C0D" w:rsidRPr="00043657">
        <w:t xml:space="preserve">No minētās tiesību normas izriet, ka priekšnosacījums izlīguma pieņemšanai ir šaubu neesamība par apsūdzētā vainīgumu. </w:t>
      </w:r>
    </w:p>
    <w:p w14:paraId="07A737D4" w14:textId="77777777" w:rsidR="008A6117" w:rsidRPr="00043657" w:rsidRDefault="00CA7C0D" w:rsidP="00220B87">
      <w:pPr>
        <w:spacing w:line="276" w:lineRule="auto"/>
        <w:ind w:firstLine="720"/>
        <w:jc w:val="both"/>
      </w:pPr>
      <w:r w:rsidRPr="00043657">
        <w:t xml:space="preserve">Savukārt </w:t>
      </w:r>
      <w:r w:rsidR="008A6117" w:rsidRPr="00043657">
        <w:t xml:space="preserve">Kriminālprocesa likuma </w:t>
      </w:r>
      <w:proofErr w:type="gramStart"/>
      <w:r w:rsidR="008A6117" w:rsidRPr="00043657">
        <w:t>380.pants</w:t>
      </w:r>
      <w:proofErr w:type="gramEnd"/>
      <w:r w:rsidR="008A6117" w:rsidRPr="00043657">
        <w:t xml:space="preserve"> noteic personu nereabilitējošus apstākļus. No minētā panta izriet, ka persona netiek reabilitēta, ja kriminālprocesu izbeidz ar lēmumu, kāds</w:t>
      </w:r>
      <w:r w:rsidR="006E3F37" w:rsidRPr="00043657">
        <w:t xml:space="preserve"> </w:t>
      </w:r>
      <w:r w:rsidR="008A6117" w:rsidRPr="00043657">
        <w:t xml:space="preserve">paredzēts Kriminālprocesa likuma 377.panta 9.punktā vai 379.panta pirmajā daļā. Kriminālprocesa likuma </w:t>
      </w:r>
      <w:proofErr w:type="gramStart"/>
      <w:r w:rsidR="008A6117" w:rsidRPr="00043657">
        <w:t>377.panta</w:t>
      </w:r>
      <w:proofErr w:type="gramEnd"/>
      <w:r w:rsidR="008A6117" w:rsidRPr="00043657">
        <w:t xml:space="preserve"> 9.punkts paredz, ka kriminālprocesu nedrīkst uzsākt, bet uzsākts process jāizbeidz, ja noticis cietušā un aizdomās turētā vai apsūdzētā izlīgums tādā kriminālprocesā, kuru var uzsākt tikai uz cietušās personas pieteikuma pamata un pilnīgi novērsts vai atlīdzināts ar izdarīto noziedzīgo nodarījumu radītais kaitējums. Savukārt Kriminālprocesa likuma 379.panta pirmās daļas 2.punkts noteic, ka izmeklētājs ar uzraugošā prokurora piekrišanu, prokurors vai tiesa var izbeigt kriminālprocesu, ja persona, kas izdarījusi kriminālpārkāpumu vai mazāk smagu noziegumu, ir izlīgusi ar cietušo vai viņa pārstāvi Krimināllikumā noteiktajos gadījumos.</w:t>
      </w:r>
    </w:p>
    <w:p w14:paraId="351583E7" w14:textId="77777777" w:rsidR="008A6117" w:rsidRPr="00043657" w:rsidRDefault="00362E77" w:rsidP="008A6117">
      <w:pPr>
        <w:spacing w:line="276" w:lineRule="auto"/>
        <w:ind w:firstLine="720"/>
        <w:jc w:val="both"/>
      </w:pPr>
      <w:r w:rsidRPr="00043657">
        <w:t>Tādējādi no minētajām Kriminālprocesa likuma normām var secināt</w:t>
      </w:r>
      <w:r w:rsidR="008A6117" w:rsidRPr="00043657">
        <w:t xml:space="preserve">, ka, lai </w:t>
      </w:r>
      <w:r w:rsidR="00CA7C0D" w:rsidRPr="00043657">
        <w:t>izlīgums radītu tiesiskas sekas, ir jākonstatē personas vainīgums</w:t>
      </w:r>
      <w:r w:rsidR="00C410F4" w:rsidRPr="00043657">
        <w:t>, jo</w:t>
      </w:r>
      <w:r w:rsidR="004C6CAD" w:rsidRPr="00043657">
        <w:t xml:space="preserve"> kriminālprocesa izbeigšana uz</w:t>
      </w:r>
      <w:r w:rsidR="008A6117" w:rsidRPr="00043657">
        <w:t xml:space="preserve"> izlīgum</w:t>
      </w:r>
      <w:r w:rsidR="004C6CAD" w:rsidRPr="00043657">
        <w:t>a pamata</w:t>
      </w:r>
      <w:r w:rsidR="008A6117" w:rsidRPr="00043657">
        <w:t xml:space="preserve"> ir personu nereabilitējošs apstāklis. </w:t>
      </w:r>
    </w:p>
    <w:p w14:paraId="1571FE20" w14:textId="77777777" w:rsidR="00325E01" w:rsidRPr="00043657" w:rsidRDefault="00C410F4" w:rsidP="00C410F4">
      <w:pPr>
        <w:spacing w:line="276" w:lineRule="auto"/>
        <w:ind w:firstLine="720"/>
        <w:jc w:val="both"/>
      </w:pPr>
      <w:r w:rsidRPr="00043657">
        <w:t xml:space="preserve">Senāts nepiekrīt kasācijas sūdzības </w:t>
      </w:r>
      <w:r w:rsidR="002773BA" w:rsidRPr="00043657">
        <w:t>iesniedzējam</w:t>
      </w:r>
      <w:r w:rsidRPr="00043657">
        <w:t>, ka</w:t>
      </w:r>
      <w:r w:rsidR="00CA7C0D" w:rsidRPr="00043657">
        <w:t xml:space="preserve"> tiesa pēc savas iniciatīvas ir </w:t>
      </w:r>
      <w:r w:rsidRPr="00043657">
        <w:t>noteikusi nosacījumus, kas iekļaujami izlīgum</w:t>
      </w:r>
      <w:r w:rsidR="00E01F1E" w:rsidRPr="00043657">
        <w:t>ā</w:t>
      </w:r>
      <w:r w:rsidRPr="00043657">
        <w:t xml:space="preserve">. </w:t>
      </w:r>
      <w:r w:rsidR="00DF1435" w:rsidRPr="00043657">
        <w:t>Vainas atzīšanu, kā vienu no i</w:t>
      </w:r>
      <w:r w:rsidRPr="00043657">
        <w:t>zlīguma priekšnoteikum</w:t>
      </w:r>
      <w:r w:rsidR="00DF1435" w:rsidRPr="00043657">
        <w:t>iem</w:t>
      </w:r>
      <w:r w:rsidRPr="00043657">
        <w:t xml:space="preserve"> noteic </w:t>
      </w:r>
      <w:r w:rsidR="00220B87" w:rsidRPr="00043657">
        <w:t>Ministru kabineta noteikum</w:t>
      </w:r>
      <w:r w:rsidR="00DF1435" w:rsidRPr="00043657">
        <w:t xml:space="preserve">u </w:t>
      </w:r>
      <w:r w:rsidR="00220B87" w:rsidRPr="00043657">
        <w:t>Nr.</w:t>
      </w:r>
      <w:r w:rsidR="00325E01" w:rsidRPr="00043657">
        <w:t> </w:t>
      </w:r>
      <w:r w:rsidR="00220B87" w:rsidRPr="00043657">
        <w:t>347 „Izlīguma procesa noteikumi” 3.punkts</w:t>
      </w:r>
      <w:r w:rsidR="00DF1435" w:rsidRPr="00043657">
        <w:t>, kas</w:t>
      </w:r>
      <w:r w:rsidR="00220B87" w:rsidRPr="00043657">
        <w:t xml:space="preserve"> </w:t>
      </w:r>
      <w:r w:rsidR="004C6CAD" w:rsidRPr="00043657">
        <w:t>paredz</w:t>
      </w:r>
      <w:r w:rsidR="00220B87" w:rsidRPr="00043657">
        <w:t>, ka izlīguma process starp personu, kura izdarījusi noziedzīgu nodarījumu, un cietušo iespējams tikai tad, ja persona, kura izdarījusi noziedzīgu nodarījumu, atzīst, ka ir izdarījusi noziedzīgu nodarījumu, un atzīst lietas faktus un iesaistītās puses rakstiski apliecina brīvprātīgu piekrišanu dalībai izlīguma procesā.</w:t>
      </w:r>
      <w:r w:rsidR="00325E01" w:rsidRPr="00043657">
        <w:t xml:space="preserve"> </w:t>
      </w:r>
    </w:p>
    <w:p w14:paraId="512ED6DC" w14:textId="42667A92" w:rsidR="00015E24" w:rsidRPr="00043657" w:rsidRDefault="008561AF" w:rsidP="00325E01">
      <w:pPr>
        <w:spacing w:line="276" w:lineRule="auto"/>
        <w:ind w:firstLine="720"/>
        <w:jc w:val="both"/>
      </w:pPr>
      <w:r w:rsidRPr="00043657">
        <w:t xml:space="preserve">Izlīgums pēc būtības ir </w:t>
      </w:r>
      <w:r w:rsidR="0050427C" w:rsidRPr="00043657">
        <w:t xml:space="preserve">personu </w:t>
      </w:r>
      <w:r w:rsidR="004C6CAD" w:rsidRPr="00043657">
        <w:t>panākta savstarpēja vienošanās</w:t>
      </w:r>
      <w:r w:rsidRPr="00043657">
        <w:t xml:space="preserve">, un, izvērtējot tā sekas, </w:t>
      </w:r>
      <w:r w:rsidR="0050427C" w:rsidRPr="00043657">
        <w:t xml:space="preserve">procesā iesaistītajām personām </w:t>
      </w:r>
      <w:r w:rsidRPr="00043657">
        <w:t xml:space="preserve">ir tiesības, nevis pienākums </w:t>
      </w:r>
      <w:r w:rsidR="00626C94" w:rsidRPr="00043657">
        <w:t xml:space="preserve">to </w:t>
      </w:r>
      <w:r w:rsidRPr="00043657">
        <w:t xml:space="preserve">slēgt. </w:t>
      </w:r>
      <w:r w:rsidR="00C410F4" w:rsidRPr="00043657">
        <w:t xml:space="preserve">Konkrētajā gadījumā apsūdzētais </w:t>
      </w:r>
      <w:r w:rsidR="00F86E35">
        <w:t>[pers. A]</w:t>
      </w:r>
      <w:r w:rsidR="00DF1435" w:rsidRPr="00043657">
        <w:t xml:space="preserve">, neatzīstot savu vainīgumu Krimināllikuma </w:t>
      </w:r>
      <w:proofErr w:type="gramStart"/>
      <w:r w:rsidR="00DF1435" w:rsidRPr="00043657">
        <w:t>174.panta</w:t>
      </w:r>
      <w:proofErr w:type="gramEnd"/>
      <w:r w:rsidR="00DF1435" w:rsidRPr="00043657">
        <w:t xml:space="preserve"> pirmajā daļā </w:t>
      </w:r>
      <w:r w:rsidR="00DF1435" w:rsidRPr="00043657">
        <w:lastRenderedPageBreak/>
        <w:t xml:space="preserve">paredzētajā noziedzīgajā nodarījumā, ir izmantojis savas tiesības neslēgt izlīgumu. </w:t>
      </w:r>
      <w:r w:rsidR="00E01F1E" w:rsidRPr="00043657">
        <w:t>Senāts nekonstatē tiesas vai prokurora nepamatotu iejaukšanos izlīguma noslēgšanas procesā.</w:t>
      </w:r>
    </w:p>
    <w:p w14:paraId="0CF58978" w14:textId="587913FE" w:rsidR="00270887" w:rsidRPr="00043657" w:rsidRDefault="00125757" w:rsidP="00327724">
      <w:pPr>
        <w:spacing w:line="276" w:lineRule="auto"/>
        <w:ind w:firstLine="720"/>
        <w:jc w:val="both"/>
      </w:pPr>
      <w:r w:rsidRPr="00043657">
        <w:t>[</w:t>
      </w:r>
      <w:r w:rsidR="00800BD7" w:rsidRPr="00043657">
        <w:t>5</w:t>
      </w:r>
      <w:r w:rsidRPr="00043657">
        <w:t xml:space="preserve">.3] </w:t>
      </w:r>
      <w:r w:rsidR="00270887" w:rsidRPr="00043657">
        <w:t xml:space="preserve">Aizstāvis kasācijas sūdzībā norāda, ka </w:t>
      </w:r>
      <w:r w:rsidR="00F86E35">
        <w:t>[pers. A]</w:t>
      </w:r>
      <w:r w:rsidR="00270887" w:rsidRPr="00043657">
        <w:t xml:space="preserve"> nepamatoti atzīts par Krimināllikuma </w:t>
      </w:r>
      <w:proofErr w:type="gramStart"/>
      <w:r w:rsidR="00270887" w:rsidRPr="00043657">
        <w:t>174.panta</w:t>
      </w:r>
      <w:proofErr w:type="gramEnd"/>
      <w:r w:rsidR="00270887" w:rsidRPr="00043657">
        <w:t xml:space="preserve"> pirmajā daļā paredzētā noziedzīgā nodarījuma speciālo subjektu – person</w:t>
      </w:r>
      <w:r w:rsidR="00985585" w:rsidRPr="00043657">
        <w:t>u</w:t>
      </w:r>
      <w:r w:rsidR="00270887" w:rsidRPr="00043657">
        <w:t xml:space="preserve">, no kuras cietušais ir materiāli vai citādi atkarīgs. Aizstāvis savu argumentu pamato ar to, ka apsūdzētais nedzīvoja kopā ar cietušo, tādējādi cietušais nebija </w:t>
      </w:r>
      <w:r w:rsidR="006A3EB7" w:rsidRPr="00043657">
        <w:t xml:space="preserve">materiāli </w:t>
      </w:r>
      <w:r w:rsidR="000607ED" w:rsidRPr="00043657">
        <w:t xml:space="preserve">vai citādi </w:t>
      </w:r>
      <w:r w:rsidR="00270887" w:rsidRPr="00043657">
        <w:t xml:space="preserve">atkarīgs no apsūdzētā. </w:t>
      </w:r>
    </w:p>
    <w:p w14:paraId="42A78860" w14:textId="58F4FD43" w:rsidR="006A3EB7" w:rsidRPr="00043657" w:rsidRDefault="00270887" w:rsidP="006A3EB7">
      <w:pPr>
        <w:spacing w:line="276" w:lineRule="auto"/>
        <w:ind w:firstLine="720"/>
        <w:jc w:val="both"/>
      </w:pPr>
      <w:r w:rsidRPr="00043657">
        <w:t>Senāts atzīst, ka apelācijas instances tiesa pamatoti konstatējusi, ka cietušais ir bijis materiāli</w:t>
      </w:r>
      <w:proofErr w:type="gramStart"/>
      <w:r w:rsidRPr="00043657">
        <w:t xml:space="preserve"> vai citādi atkarīgs no apsūdzētā</w:t>
      </w:r>
      <w:proofErr w:type="gramEnd"/>
      <w:r w:rsidRPr="00043657">
        <w:t xml:space="preserve"> </w:t>
      </w:r>
      <w:r w:rsidR="00F86E35">
        <w:t>[pers. A]</w:t>
      </w:r>
      <w:r w:rsidRPr="00043657">
        <w:t xml:space="preserve">. Apelācijas instances tiesa atsaukusies uz Civillikuma </w:t>
      </w:r>
      <w:proofErr w:type="gramStart"/>
      <w:r w:rsidRPr="00043657">
        <w:t>181.panta</w:t>
      </w:r>
      <w:proofErr w:type="gramEnd"/>
      <w:r w:rsidRPr="00043657">
        <w:t xml:space="preserve"> otro daļu, kas noteic, ka </w:t>
      </w:r>
      <w:r w:rsidR="006A3EB7" w:rsidRPr="00043657">
        <w:t>katram vecākam ir pienākums un tiesības uzturēt personiskas attiecības un tiešus kontaktus ar bērnu. Šis noteikums piemērojams arī tad, ja bērns ir šķirts no ģimenes vai nedzīvo kopā ar vienu no vecākiem vai abiem vecākiem. Bērna materiālā atkarība no vecākiem iziet no Civillikuma 179.panta, kas noteic, ka vecāku pienākums ir samērā ar viņu spējām un mantas stāvokli uzturēt bērnu. Šis pienākums gulstas uz tēvu un māti līdz laikam, kad bērns pats var sevi apgādāt. Pienākums gādāt par bērna uzturēšanu neizbeidzas, ja bērns ir šķirts no ģimenes vai nedzīvo kopā ar vienu no vecākiem vai abiem vecākiem.</w:t>
      </w:r>
    </w:p>
    <w:p w14:paraId="3027A52A" w14:textId="2CF62FFB" w:rsidR="00270887" w:rsidRPr="00043657" w:rsidRDefault="0030759E" w:rsidP="006A3EB7">
      <w:pPr>
        <w:spacing w:line="276" w:lineRule="auto"/>
        <w:ind w:firstLine="720"/>
        <w:jc w:val="both"/>
      </w:pPr>
      <w:r w:rsidRPr="00043657">
        <w:t>A</w:t>
      </w:r>
      <w:r w:rsidR="006A3EB7" w:rsidRPr="00043657">
        <w:t xml:space="preserve">pstāklis, ka apsūdzētais ir šķīries no cietušā mātes un nedzīvoja kopā ar cietušo, neietekmē cietušā materiālo </w:t>
      </w:r>
      <w:r w:rsidR="000607ED" w:rsidRPr="00043657">
        <w:t xml:space="preserve">vai citādu </w:t>
      </w:r>
      <w:r w:rsidR="006A3EB7" w:rsidRPr="00043657">
        <w:t>atkarību no apsūdzētā</w:t>
      </w:r>
      <w:r w:rsidR="00327724" w:rsidRPr="00043657">
        <w:t>, jo cietušais ir apsūdzētā dēls</w:t>
      </w:r>
      <w:r w:rsidR="006A3EB7" w:rsidRPr="00043657">
        <w:t xml:space="preserve">. </w:t>
      </w:r>
      <w:r w:rsidR="00F86E35">
        <w:t>[Pers. A]</w:t>
      </w:r>
      <w:r w:rsidR="006A3EB7" w:rsidRPr="00043657">
        <w:t xml:space="preserve"> pamatoti atzīts par Krimināllikuma </w:t>
      </w:r>
      <w:proofErr w:type="gramStart"/>
      <w:r w:rsidR="006A3EB7" w:rsidRPr="00043657">
        <w:t>174.panta</w:t>
      </w:r>
      <w:proofErr w:type="gramEnd"/>
      <w:r w:rsidR="006A3EB7" w:rsidRPr="00043657">
        <w:t xml:space="preserve"> pirmajā daļā paredzētā noziedzīgā nodarījuma speciālo subjektu. </w:t>
      </w:r>
    </w:p>
    <w:p w14:paraId="7BF8115F" w14:textId="6E2FAE56" w:rsidR="00DE3A07" w:rsidRPr="00043657" w:rsidRDefault="005E4094" w:rsidP="008236F0">
      <w:pPr>
        <w:spacing w:line="276" w:lineRule="auto"/>
        <w:ind w:firstLine="720"/>
        <w:jc w:val="both"/>
      </w:pPr>
      <w:r w:rsidRPr="00043657">
        <w:t>[</w:t>
      </w:r>
      <w:r w:rsidR="00800BD7" w:rsidRPr="00043657">
        <w:t>5</w:t>
      </w:r>
      <w:r w:rsidRPr="00043657">
        <w:t xml:space="preserve">.4] </w:t>
      </w:r>
      <w:r w:rsidR="00654E04" w:rsidRPr="00043657">
        <w:t>Gan pirmās instances tiesa, gan apelācijas instances tiesa ir izvērtēju</w:t>
      </w:r>
      <w:r w:rsidR="004C6CAD" w:rsidRPr="00043657">
        <w:t>si</w:t>
      </w:r>
      <w:r w:rsidR="00654E04" w:rsidRPr="00043657">
        <w:t xml:space="preserve"> aizstāvības argumentu par to, ka </w:t>
      </w:r>
      <w:r w:rsidR="00F86E35">
        <w:t>[pers. A]</w:t>
      </w:r>
      <w:r w:rsidR="00654E04" w:rsidRPr="00043657">
        <w:t xml:space="preserve"> rīkojies nepieciešamās aizstāvēšanās apstākļos un pamatoti to noraidījus</w:t>
      </w:r>
      <w:r w:rsidR="0050427C" w:rsidRPr="00043657">
        <w:t>i</w:t>
      </w:r>
      <w:r w:rsidR="00654E04" w:rsidRPr="00043657">
        <w:t xml:space="preserve">. </w:t>
      </w:r>
      <w:r w:rsidR="00DE3A07" w:rsidRPr="00043657">
        <w:t xml:space="preserve">Tiesa ir atzinusi, ka </w:t>
      </w:r>
      <w:r w:rsidR="003A00CC" w:rsidRPr="00043657">
        <w:t xml:space="preserve">apsūdzētā apgalvojums par to, ka nepilngadīgais cietušais viņam uzbrucis, neapstiprinās, un </w:t>
      </w:r>
      <w:r w:rsidR="00F86E35">
        <w:t>[pers. A]</w:t>
      </w:r>
      <w:r w:rsidR="00DE3A07" w:rsidRPr="00043657">
        <w:t xml:space="preserve"> darbības pret </w:t>
      </w:r>
      <w:r w:rsidR="003A00CC" w:rsidRPr="00043657">
        <w:t xml:space="preserve">savu </w:t>
      </w:r>
      <w:r w:rsidR="00DE3A07" w:rsidRPr="00043657">
        <w:t xml:space="preserve">bērnu vērtējamas kā fiziska vardarbība. </w:t>
      </w:r>
      <w:r w:rsidR="008236F0" w:rsidRPr="00043657">
        <w:t xml:space="preserve">Tiesa atzinusi par pierādītu, ka </w:t>
      </w:r>
      <w:r w:rsidR="00F86E35">
        <w:t>[pers. A]</w:t>
      </w:r>
      <w:r w:rsidR="008236F0" w:rsidRPr="00043657">
        <w:t xml:space="preserve">, būdams cietušā tēvs, vardarbīgi apgājās ar nepilngadīgo, nodarot fiziskas ciešanas, kas izpaudās kā sišana ar ādas siksnu vismaz trīs reizes pa cietušā rokām, trīs reizes pa kājām un četras reizes pa vēderu, krūtīm un labo sānu. </w:t>
      </w:r>
      <w:r w:rsidR="008F4957" w:rsidRPr="00043657">
        <w:t>Senātam nav tiesiska pamata apšaubīt apelācijas instances tiesas konstatētos nodarījuma faktiskos apstākļus</w:t>
      </w:r>
      <w:r w:rsidR="00130798" w:rsidRPr="00043657">
        <w:t>. K</w:t>
      </w:r>
      <w:r w:rsidR="008236F0" w:rsidRPr="00043657">
        <w:t>asācijas instances tiesa atbilstoši Kriminālprocesa likuma 569.panta pirmajai un trešajai daļai lietas faktiskos apstākļus neskaidro un lietā iegūtos pierādījumus no jauna neizvērtē.</w:t>
      </w:r>
      <w:r w:rsidR="008F4957" w:rsidRPr="00043657">
        <w:t xml:space="preserve"> </w:t>
      </w:r>
    </w:p>
    <w:p w14:paraId="76BF76E6" w14:textId="41E5F38B" w:rsidR="002C38A2" w:rsidRPr="00043657" w:rsidRDefault="0030759E" w:rsidP="002C38A2">
      <w:pPr>
        <w:spacing w:line="276" w:lineRule="auto"/>
        <w:ind w:firstLine="720"/>
        <w:jc w:val="both"/>
      </w:pPr>
      <w:r w:rsidRPr="00043657">
        <w:t>[</w:t>
      </w:r>
      <w:r w:rsidR="00800BD7" w:rsidRPr="00043657">
        <w:t>5</w:t>
      </w:r>
      <w:r w:rsidRPr="00043657">
        <w:t xml:space="preserve">.5] </w:t>
      </w:r>
      <w:r w:rsidR="00654E04" w:rsidRPr="00043657">
        <w:t>Senāta ieskatā apstā</w:t>
      </w:r>
      <w:r w:rsidR="0050427C" w:rsidRPr="00043657">
        <w:t>klis, ka apsūdzībā nav norādīta cietušā pretdarbība</w:t>
      </w:r>
      <w:r w:rsidR="00654E04" w:rsidRPr="00043657">
        <w:t xml:space="preserve">, neietekmē apsūdzības konkrētību un apsūdzētā tiesības uz aizstāvību. Saskaņā ar Kriminālprocesa likuma </w:t>
      </w:r>
      <w:proofErr w:type="gramStart"/>
      <w:r w:rsidR="00654E04" w:rsidRPr="00043657">
        <w:t>405.panta</w:t>
      </w:r>
      <w:proofErr w:type="gramEnd"/>
      <w:r w:rsidR="00654E04" w:rsidRPr="00043657">
        <w:t xml:space="preserve"> pirmās daļas 2.punktu lēmumā par personas saukšanu pie kriminālatbildības jānorāda inkriminētā noziedzīgā nodarījuma faktiskos apstākļus, kas nosaka juridisko kvalifikāciju. </w:t>
      </w:r>
      <w:r w:rsidR="002C38A2" w:rsidRPr="00043657">
        <w:t xml:space="preserve">Senāts atzīst, ka </w:t>
      </w:r>
      <w:r w:rsidR="00F86E35">
        <w:t>[pers. A]</w:t>
      </w:r>
      <w:r w:rsidR="002C38A2" w:rsidRPr="00043657">
        <w:t xml:space="preserve"> izvirzītā apsūdzība pietiekami pilnīgi atspoguļo viņam inkriminēto noziedzīgo nodarījumu un ļauj pret to aizstāvēties, tādēļ apsūdzētā tiesības uz aizstāvību konkrētajā gadījumā nav pārkāptas.</w:t>
      </w:r>
    </w:p>
    <w:p w14:paraId="2A414C78" w14:textId="60BBD732" w:rsidR="00DD1E44" w:rsidRPr="00043657" w:rsidRDefault="008F4957" w:rsidP="00597DE3">
      <w:pPr>
        <w:spacing w:line="276" w:lineRule="auto"/>
        <w:ind w:firstLine="720"/>
        <w:jc w:val="both"/>
      </w:pPr>
      <w:r w:rsidRPr="00043657">
        <w:t>[</w:t>
      </w:r>
      <w:r w:rsidR="00800BD7" w:rsidRPr="00043657">
        <w:t>5</w:t>
      </w:r>
      <w:r w:rsidRPr="00043657">
        <w:t xml:space="preserve">.6] </w:t>
      </w:r>
      <w:r w:rsidR="006A2838" w:rsidRPr="00043657">
        <w:t xml:space="preserve">Kasācijas sūdzībā norādītais, ka </w:t>
      </w:r>
      <w:r w:rsidR="00F86E35">
        <w:t>[pers. B]</w:t>
      </w:r>
      <w:r w:rsidR="006A2838" w:rsidRPr="00043657">
        <w:t xml:space="preserve"> nav zinājusi, ka iesniegums, kuru viņa rakstīja policijā, ir par kriminālprocesa uzsākšanu,</w:t>
      </w:r>
      <w:r w:rsidR="00AE385D" w:rsidRPr="00043657">
        <w:t xml:space="preserve"> un, ka cietušā pārstāve nav vēlējusies, lai tiktu uzsākts kriminālprocess,</w:t>
      </w:r>
      <w:r w:rsidR="006A2838" w:rsidRPr="00043657">
        <w:t xml:space="preserve"> i</w:t>
      </w:r>
      <w:r w:rsidRPr="00043657">
        <w:t xml:space="preserve">r aizstāvja subjektīvs viedoklis, kas neapstiprinās ar krimināllietas materiāliem. Lietā atrodas </w:t>
      </w:r>
      <w:r w:rsidR="00F86E35">
        <w:t>[pers. B]</w:t>
      </w:r>
      <w:r w:rsidRPr="00043657">
        <w:t xml:space="preserve"> paskaidrojums, kurš iesniegts apelācijas instances tiesā un kurā norādīts, ka</w:t>
      </w:r>
      <w:r w:rsidR="006A2838" w:rsidRPr="00043657">
        <w:t xml:space="preserve"> </w:t>
      </w:r>
      <w:r w:rsidR="00F86E35">
        <w:t>[pers. B]</w:t>
      </w:r>
      <w:r w:rsidR="006A2838" w:rsidRPr="00043657">
        <w:t xml:space="preserve"> piekrīt pirmās instances tiesas</w:t>
      </w:r>
      <w:r w:rsidR="00AE385D" w:rsidRPr="00043657">
        <w:t xml:space="preserve"> notiesājošam</w:t>
      </w:r>
      <w:r w:rsidR="006A2838" w:rsidRPr="00043657">
        <w:t xml:space="preserve"> spriedumam</w:t>
      </w:r>
      <w:r w:rsidR="00AE385D" w:rsidRPr="00043657">
        <w:t xml:space="preserve"> un lūgusi to atstāt negrozītu</w:t>
      </w:r>
      <w:r w:rsidRPr="00043657">
        <w:t xml:space="preserve"> (1.sējuma 149.</w:t>
      </w:r>
      <w:r w:rsidR="00AE385D" w:rsidRPr="00043657">
        <w:t>-153.</w:t>
      </w:r>
      <w:r w:rsidRPr="00043657">
        <w:t>lapa)</w:t>
      </w:r>
      <w:r w:rsidR="00AE385D" w:rsidRPr="00043657">
        <w:t>.</w:t>
      </w:r>
      <w:r w:rsidRPr="00043657">
        <w:t xml:space="preserve"> </w:t>
      </w:r>
    </w:p>
    <w:p w14:paraId="261F5543" w14:textId="37FE551A" w:rsidR="002C38A2" w:rsidRPr="00043657" w:rsidRDefault="00597DE3" w:rsidP="00597DE3">
      <w:pPr>
        <w:spacing w:line="276" w:lineRule="auto"/>
        <w:ind w:firstLine="720"/>
        <w:jc w:val="both"/>
      </w:pPr>
      <w:r w:rsidRPr="00043657">
        <w:lastRenderedPageBreak/>
        <w:t xml:space="preserve">Turklāt nepamatots ir aizstāvja arguments par to, ka, ņemot vērā, ka </w:t>
      </w:r>
      <w:r w:rsidR="00F86E35">
        <w:t>[pers. B]</w:t>
      </w:r>
      <w:r w:rsidRPr="00043657">
        <w:t xml:space="preserve"> nav vēlējusies, lai tiktu uzsākts kriminālprocess, apsūdzētais būtu saucams pie administratīvās atbildības. </w:t>
      </w:r>
      <w:r w:rsidR="00DD1E44" w:rsidRPr="00043657">
        <w:t xml:space="preserve">Konkrētajā gadījumā nav izšķirošas nozīmes </w:t>
      </w:r>
      <w:r w:rsidR="00F86E35">
        <w:t>[pers. B]</w:t>
      </w:r>
      <w:r w:rsidR="00DD1E44" w:rsidRPr="00043657">
        <w:t xml:space="preserve"> pieteikuma par kriminālprocesa uzsākšanas es</w:t>
      </w:r>
      <w:r w:rsidR="00D21030" w:rsidRPr="00043657">
        <w:t>ībai</w:t>
      </w:r>
      <w:r w:rsidR="00DD1E44" w:rsidRPr="00043657">
        <w:t>, jo saskaņā ar</w:t>
      </w:r>
      <w:r w:rsidR="0050427C" w:rsidRPr="00043657">
        <w:t xml:space="preserve"> Kriminālprocesa likuma </w:t>
      </w:r>
      <w:proofErr w:type="gramStart"/>
      <w:r w:rsidR="0050427C" w:rsidRPr="00043657">
        <w:t>7.pantu</w:t>
      </w:r>
      <w:proofErr w:type="gramEnd"/>
      <w:r w:rsidR="00DD1E44" w:rsidRPr="00043657">
        <w:t xml:space="preserve"> par Krimināllikuma 174.panta pirmajā daļā paredzēto noziedzīgo nodarījumu kriminālprocesu veic sabiedrības interesēs neatkarīgi no tās personas gribas, kurai nodarīts kaitējums. </w:t>
      </w:r>
    </w:p>
    <w:p w14:paraId="1B16B1A0" w14:textId="71E14A20" w:rsidR="002C38A2" w:rsidRPr="00043657" w:rsidRDefault="002C38A2" w:rsidP="002C38A2">
      <w:pPr>
        <w:spacing w:line="276" w:lineRule="auto"/>
        <w:ind w:firstLine="720"/>
        <w:jc w:val="both"/>
      </w:pPr>
      <w:r w:rsidRPr="00043657">
        <w:t>[</w:t>
      </w:r>
      <w:r w:rsidR="00800BD7" w:rsidRPr="00043657">
        <w:t>5</w:t>
      </w:r>
      <w:r w:rsidRPr="00043657">
        <w:t>.</w:t>
      </w:r>
      <w:r w:rsidR="00597DE3" w:rsidRPr="00043657">
        <w:t>7</w:t>
      </w:r>
      <w:r w:rsidRPr="00043657">
        <w:t xml:space="preserve">] Ievērojot minēto, Senāts atzīst, ka apsūdzētā </w:t>
      </w:r>
      <w:r w:rsidR="00F86E35">
        <w:t>[pers. A]</w:t>
      </w:r>
      <w:r w:rsidRPr="00043657">
        <w:t xml:space="preserve"> aizstāvja A. Pundura kasācijas sūdzībā norādītie argumenti nav guvuši apstiprinājumu. </w:t>
      </w:r>
    </w:p>
    <w:p w14:paraId="50A90923" w14:textId="77777777" w:rsidR="002C38A2" w:rsidRPr="00043657" w:rsidRDefault="002C38A2" w:rsidP="002C38A2">
      <w:pPr>
        <w:spacing w:line="276" w:lineRule="auto"/>
        <w:ind w:firstLine="720"/>
        <w:jc w:val="both"/>
        <w:rPr>
          <w:rFonts w:eastAsia="Calibri"/>
          <w:b/>
        </w:rPr>
      </w:pPr>
    </w:p>
    <w:p w14:paraId="7FD05E86" w14:textId="77777777" w:rsidR="00C9136F" w:rsidRPr="00043657" w:rsidRDefault="00C9136F" w:rsidP="00C9136F">
      <w:pPr>
        <w:spacing w:line="276" w:lineRule="auto"/>
        <w:jc w:val="center"/>
        <w:rPr>
          <w:rFonts w:eastAsia="Calibri"/>
          <w:b/>
        </w:rPr>
      </w:pPr>
      <w:r w:rsidRPr="00043657">
        <w:rPr>
          <w:rFonts w:eastAsia="Calibri"/>
          <w:b/>
        </w:rPr>
        <w:t>Rezolutīvā daļa</w:t>
      </w:r>
    </w:p>
    <w:p w14:paraId="77C74093" w14:textId="77777777" w:rsidR="00C9136F" w:rsidRPr="00043657" w:rsidRDefault="00C9136F" w:rsidP="00C9136F">
      <w:pPr>
        <w:spacing w:line="276" w:lineRule="auto"/>
        <w:jc w:val="both"/>
        <w:rPr>
          <w:rFonts w:eastAsia="Calibri"/>
        </w:rPr>
      </w:pPr>
    </w:p>
    <w:p w14:paraId="32053805" w14:textId="77777777" w:rsidR="00C9136F" w:rsidRPr="00043657" w:rsidRDefault="00C9136F" w:rsidP="00C9136F">
      <w:pPr>
        <w:spacing w:line="276" w:lineRule="auto"/>
        <w:ind w:firstLine="720"/>
        <w:jc w:val="both"/>
        <w:rPr>
          <w:rFonts w:eastAsia="Calibri"/>
        </w:rPr>
      </w:pPr>
      <w:r w:rsidRPr="00043657">
        <w:rPr>
          <w:rFonts w:eastAsia="Calibri"/>
        </w:rPr>
        <w:t>Pamatojoties uz Kriminālprocesa likuma 585., 587.pantu, tiesa</w:t>
      </w:r>
    </w:p>
    <w:p w14:paraId="0D42F1F5" w14:textId="77777777" w:rsidR="00CC155E" w:rsidRPr="00043657" w:rsidRDefault="00CC155E" w:rsidP="00C9136F">
      <w:pPr>
        <w:spacing w:line="276" w:lineRule="auto"/>
        <w:ind w:firstLine="720"/>
        <w:jc w:val="both"/>
        <w:rPr>
          <w:rFonts w:eastAsia="Calibri"/>
        </w:rPr>
      </w:pPr>
    </w:p>
    <w:p w14:paraId="5C490B2F" w14:textId="77777777" w:rsidR="00C9136F" w:rsidRPr="00043657" w:rsidRDefault="00C9136F" w:rsidP="00641FF4">
      <w:pPr>
        <w:spacing w:line="276" w:lineRule="auto"/>
        <w:jc w:val="center"/>
        <w:rPr>
          <w:rFonts w:eastAsia="Calibri"/>
          <w:b/>
        </w:rPr>
      </w:pPr>
      <w:r w:rsidRPr="00043657">
        <w:rPr>
          <w:rFonts w:eastAsia="Calibri"/>
          <w:b/>
        </w:rPr>
        <w:t>nolēma:</w:t>
      </w:r>
    </w:p>
    <w:p w14:paraId="793EF957" w14:textId="77777777" w:rsidR="00C9136F" w:rsidRPr="00043657" w:rsidRDefault="00C9136F" w:rsidP="00C9136F">
      <w:pPr>
        <w:spacing w:line="276" w:lineRule="auto"/>
        <w:jc w:val="both"/>
        <w:rPr>
          <w:rFonts w:eastAsia="Calibri"/>
        </w:rPr>
      </w:pPr>
    </w:p>
    <w:p w14:paraId="7FF074B0" w14:textId="34F2E8FD" w:rsidR="00DE3A07" w:rsidRPr="00043657" w:rsidRDefault="002C38A2" w:rsidP="002C38A2">
      <w:pPr>
        <w:spacing w:line="276" w:lineRule="auto"/>
        <w:ind w:firstLine="705"/>
        <w:jc w:val="both"/>
        <w:rPr>
          <w:rFonts w:eastAsia="Calibri"/>
        </w:rPr>
      </w:pPr>
      <w:r w:rsidRPr="00043657">
        <w:t xml:space="preserve">atstāt negrozītu </w:t>
      </w:r>
      <w:r w:rsidR="00F86E35">
        <w:t>[..]</w:t>
      </w:r>
      <w:r w:rsidRPr="00043657">
        <w:t xml:space="preserve"> apgabaltiesas </w:t>
      </w:r>
      <w:proofErr w:type="gramStart"/>
      <w:r w:rsidRPr="00043657">
        <w:t>2020.gada</w:t>
      </w:r>
      <w:proofErr w:type="gramEnd"/>
      <w:r w:rsidRPr="00043657">
        <w:t xml:space="preserve"> </w:t>
      </w:r>
      <w:r w:rsidR="00F86E35">
        <w:t>[..]</w:t>
      </w:r>
      <w:r w:rsidRPr="00043657">
        <w:t xml:space="preserve"> lēmumu, bet </w:t>
      </w:r>
      <w:r w:rsidR="0050427C" w:rsidRPr="00043657">
        <w:t xml:space="preserve">apsūdzētā </w:t>
      </w:r>
      <w:r w:rsidR="00F86E35">
        <w:t>[pers. A]</w:t>
      </w:r>
      <w:r w:rsidR="0050427C" w:rsidRPr="00043657">
        <w:t xml:space="preserve"> </w:t>
      </w:r>
      <w:r w:rsidRPr="00043657">
        <w:t>aizstāvja Alda Pundura iesniegto kasācijas sūdzību noraidīt.</w:t>
      </w:r>
    </w:p>
    <w:p w14:paraId="4371B342" w14:textId="0444E52B" w:rsidR="00C9136F" w:rsidRPr="00F86E35" w:rsidRDefault="00D947C6" w:rsidP="00F86E35">
      <w:pPr>
        <w:spacing w:line="276" w:lineRule="auto"/>
        <w:ind w:firstLine="705"/>
        <w:jc w:val="both"/>
        <w:rPr>
          <w:rFonts w:eastAsia="Calibri"/>
        </w:rPr>
      </w:pPr>
      <w:r w:rsidRPr="00043657">
        <w:rPr>
          <w:rFonts w:eastAsia="Calibri"/>
        </w:rPr>
        <w:t xml:space="preserve">Lēmums nav pārsūdzams. </w:t>
      </w:r>
    </w:p>
    <w:sectPr w:rsidR="00C9136F" w:rsidRPr="00F86E35" w:rsidSect="004467E4">
      <w:footerReference w:type="default" r:id="rId8"/>
      <w:pgSz w:w="11906" w:h="16838" w:code="9"/>
      <w:pgMar w:top="1134" w:right="1134" w:bottom="1134" w:left="1701"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F498" w14:textId="77777777" w:rsidR="00220B87" w:rsidRDefault="00220B87" w:rsidP="000E19CA">
      <w:r>
        <w:separator/>
      </w:r>
    </w:p>
  </w:endnote>
  <w:endnote w:type="continuationSeparator" w:id="0">
    <w:p w14:paraId="6EFABF7E" w14:textId="77777777" w:rsidR="00220B87" w:rsidRDefault="00220B87" w:rsidP="000E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898692"/>
      <w:docPartObj>
        <w:docPartGallery w:val="Page Numbers (Bottom of Page)"/>
        <w:docPartUnique/>
      </w:docPartObj>
    </w:sdtPr>
    <w:sdtEndPr/>
    <w:sdtContent>
      <w:p w14:paraId="732E56C1" w14:textId="77777777" w:rsidR="00220B87" w:rsidRDefault="007919D7" w:rsidP="00921254">
        <w:pPr>
          <w:pStyle w:val="Footer"/>
          <w:jc w:val="center"/>
        </w:pPr>
        <w:sdt>
          <w:sdtPr>
            <w:id w:val="106399657"/>
            <w:docPartObj>
              <w:docPartGallery w:val="Page Numbers (Top of Page)"/>
              <w:docPartUnique/>
            </w:docPartObj>
          </w:sdtPr>
          <w:sdtEndPr/>
          <w:sdtContent>
            <w:r w:rsidR="00220B87" w:rsidRPr="000E19CA">
              <w:rPr>
                <w:bCs/>
              </w:rPr>
              <w:fldChar w:fldCharType="begin"/>
            </w:r>
            <w:r w:rsidR="00220B87" w:rsidRPr="000E19CA">
              <w:rPr>
                <w:bCs/>
              </w:rPr>
              <w:instrText xml:space="preserve"> PAGE </w:instrText>
            </w:r>
            <w:r w:rsidR="00220B87" w:rsidRPr="000E19CA">
              <w:rPr>
                <w:bCs/>
              </w:rPr>
              <w:fldChar w:fldCharType="separate"/>
            </w:r>
            <w:r w:rsidR="00B61D92">
              <w:rPr>
                <w:bCs/>
                <w:noProof/>
              </w:rPr>
              <w:t>5</w:t>
            </w:r>
            <w:r w:rsidR="00220B87" w:rsidRPr="000E19CA">
              <w:rPr>
                <w:bCs/>
              </w:rPr>
              <w:fldChar w:fldCharType="end"/>
            </w:r>
            <w:r w:rsidR="00220B87" w:rsidRPr="000E19CA">
              <w:t xml:space="preserve"> no </w:t>
            </w:r>
            <w:r w:rsidR="00220B87" w:rsidRPr="000E19CA">
              <w:rPr>
                <w:bCs/>
              </w:rPr>
              <w:fldChar w:fldCharType="begin"/>
            </w:r>
            <w:r w:rsidR="00220B87" w:rsidRPr="000E19CA">
              <w:rPr>
                <w:bCs/>
              </w:rPr>
              <w:instrText xml:space="preserve"> NUMPAGES  </w:instrText>
            </w:r>
            <w:r w:rsidR="00220B87" w:rsidRPr="000E19CA">
              <w:rPr>
                <w:bCs/>
              </w:rPr>
              <w:fldChar w:fldCharType="separate"/>
            </w:r>
            <w:r w:rsidR="00B61D92">
              <w:rPr>
                <w:bCs/>
                <w:noProof/>
              </w:rPr>
              <w:t>5</w:t>
            </w:r>
            <w:r w:rsidR="00220B87" w:rsidRPr="000E19CA">
              <w:rPr>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ADB6" w14:textId="77777777" w:rsidR="00220B87" w:rsidRDefault="00220B87" w:rsidP="000E19CA">
      <w:r>
        <w:separator/>
      </w:r>
    </w:p>
  </w:footnote>
  <w:footnote w:type="continuationSeparator" w:id="0">
    <w:p w14:paraId="6A585517" w14:textId="77777777" w:rsidR="00220B87" w:rsidRDefault="00220B87" w:rsidP="000E19CA">
      <w:r>
        <w:continuationSeparator/>
      </w:r>
    </w:p>
  </w:footnote>
  <w:footnote w:id="1">
    <w:p w14:paraId="3F0C5E3A" w14:textId="065C3317" w:rsidR="00FB64D0" w:rsidRDefault="00FB64D0">
      <w:pPr>
        <w:pStyle w:val="FootnoteText"/>
      </w:pPr>
      <w:r>
        <w:rPr>
          <w:rStyle w:val="FootnoteReference"/>
        </w:rPr>
        <w:footnoteRef/>
      </w:r>
      <w:r>
        <w:t xml:space="preserve"> Slēgtas lietas statuss. </w:t>
      </w:r>
      <w:r w:rsidRPr="00B95AA6">
        <w:t>Publicēti izvilkumi no nolēmuma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4176"/>
    <w:multiLevelType w:val="hybridMultilevel"/>
    <w:tmpl w:val="124E9A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384D2CF8"/>
    <w:multiLevelType w:val="hybridMultilevel"/>
    <w:tmpl w:val="7B4EEBF0"/>
    <w:lvl w:ilvl="0" w:tplc="FCE2EEB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C5970DD"/>
    <w:multiLevelType w:val="hybridMultilevel"/>
    <w:tmpl w:val="2C948BD4"/>
    <w:lvl w:ilvl="0" w:tplc="96B8A45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5E6E7415"/>
    <w:multiLevelType w:val="hybridMultilevel"/>
    <w:tmpl w:val="FC640E5C"/>
    <w:lvl w:ilvl="0" w:tplc="26B2C98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6B"/>
    <w:rsid w:val="00005B8A"/>
    <w:rsid w:val="00011691"/>
    <w:rsid w:val="00015C5F"/>
    <w:rsid w:val="00015D01"/>
    <w:rsid w:val="00015DB7"/>
    <w:rsid w:val="00015E24"/>
    <w:rsid w:val="00016F1D"/>
    <w:rsid w:val="00022EEE"/>
    <w:rsid w:val="000245BD"/>
    <w:rsid w:val="00043657"/>
    <w:rsid w:val="0004556F"/>
    <w:rsid w:val="00046106"/>
    <w:rsid w:val="000607ED"/>
    <w:rsid w:val="000619E0"/>
    <w:rsid w:val="00062098"/>
    <w:rsid w:val="00071A53"/>
    <w:rsid w:val="000809A9"/>
    <w:rsid w:val="00082A6C"/>
    <w:rsid w:val="00083F74"/>
    <w:rsid w:val="0008612A"/>
    <w:rsid w:val="000977BD"/>
    <w:rsid w:val="000B1040"/>
    <w:rsid w:val="000B43B7"/>
    <w:rsid w:val="000B5F2E"/>
    <w:rsid w:val="000B61A5"/>
    <w:rsid w:val="000C566F"/>
    <w:rsid w:val="000D188A"/>
    <w:rsid w:val="000D242E"/>
    <w:rsid w:val="000E19CA"/>
    <w:rsid w:val="000E2240"/>
    <w:rsid w:val="000E51C4"/>
    <w:rsid w:val="000E6F42"/>
    <w:rsid w:val="001112F9"/>
    <w:rsid w:val="00122F5B"/>
    <w:rsid w:val="00123E20"/>
    <w:rsid w:val="00125757"/>
    <w:rsid w:val="00127978"/>
    <w:rsid w:val="00130798"/>
    <w:rsid w:val="00131C05"/>
    <w:rsid w:val="00141D9B"/>
    <w:rsid w:val="001457CD"/>
    <w:rsid w:val="00147146"/>
    <w:rsid w:val="00151638"/>
    <w:rsid w:val="00155304"/>
    <w:rsid w:val="00156A8A"/>
    <w:rsid w:val="00157DA7"/>
    <w:rsid w:val="00163937"/>
    <w:rsid w:val="0017069F"/>
    <w:rsid w:val="00180A2B"/>
    <w:rsid w:val="00184189"/>
    <w:rsid w:val="00186CF2"/>
    <w:rsid w:val="00187DE3"/>
    <w:rsid w:val="001948E4"/>
    <w:rsid w:val="001A0FBC"/>
    <w:rsid w:val="001A30F5"/>
    <w:rsid w:val="001B4E86"/>
    <w:rsid w:val="001C0A99"/>
    <w:rsid w:val="001C3B59"/>
    <w:rsid w:val="001C5CCF"/>
    <w:rsid w:val="001D5F27"/>
    <w:rsid w:val="001E30EF"/>
    <w:rsid w:val="001E51CE"/>
    <w:rsid w:val="001F4ACF"/>
    <w:rsid w:val="00204F0D"/>
    <w:rsid w:val="002063AA"/>
    <w:rsid w:val="0021300E"/>
    <w:rsid w:val="00213A9E"/>
    <w:rsid w:val="00214D71"/>
    <w:rsid w:val="00215E46"/>
    <w:rsid w:val="00220B87"/>
    <w:rsid w:val="0022415C"/>
    <w:rsid w:val="00225372"/>
    <w:rsid w:val="00226EF0"/>
    <w:rsid w:val="002326CA"/>
    <w:rsid w:val="0024713D"/>
    <w:rsid w:val="00257B41"/>
    <w:rsid w:val="002602BD"/>
    <w:rsid w:val="00264A8F"/>
    <w:rsid w:val="00270887"/>
    <w:rsid w:val="002773BA"/>
    <w:rsid w:val="002858EC"/>
    <w:rsid w:val="00290762"/>
    <w:rsid w:val="00297A99"/>
    <w:rsid w:val="002B0C05"/>
    <w:rsid w:val="002B7AC2"/>
    <w:rsid w:val="002C0ACE"/>
    <w:rsid w:val="002C38A2"/>
    <w:rsid w:val="002D20B3"/>
    <w:rsid w:val="002D3C31"/>
    <w:rsid w:val="002F1C56"/>
    <w:rsid w:val="00303D09"/>
    <w:rsid w:val="0030759E"/>
    <w:rsid w:val="0031061E"/>
    <w:rsid w:val="00320B50"/>
    <w:rsid w:val="00321871"/>
    <w:rsid w:val="00325E01"/>
    <w:rsid w:val="00327724"/>
    <w:rsid w:val="003415CD"/>
    <w:rsid w:val="00341F4A"/>
    <w:rsid w:val="003617B6"/>
    <w:rsid w:val="003623C7"/>
    <w:rsid w:val="00362E77"/>
    <w:rsid w:val="00371D82"/>
    <w:rsid w:val="00377237"/>
    <w:rsid w:val="00386E5B"/>
    <w:rsid w:val="00387A6C"/>
    <w:rsid w:val="003A00CC"/>
    <w:rsid w:val="003A2953"/>
    <w:rsid w:val="003A5BCA"/>
    <w:rsid w:val="003A6582"/>
    <w:rsid w:val="003B1046"/>
    <w:rsid w:val="003B4F16"/>
    <w:rsid w:val="003C202D"/>
    <w:rsid w:val="003C2D1C"/>
    <w:rsid w:val="003C4B9D"/>
    <w:rsid w:val="003C5E13"/>
    <w:rsid w:val="003D5420"/>
    <w:rsid w:val="003D6E8E"/>
    <w:rsid w:val="003D7C20"/>
    <w:rsid w:val="003E0F76"/>
    <w:rsid w:val="003E3664"/>
    <w:rsid w:val="003F6D46"/>
    <w:rsid w:val="00400F30"/>
    <w:rsid w:val="004036AF"/>
    <w:rsid w:val="00405326"/>
    <w:rsid w:val="0041068C"/>
    <w:rsid w:val="00413360"/>
    <w:rsid w:val="00426A36"/>
    <w:rsid w:val="00427A67"/>
    <w:rsid w:val="004414BD"/>
    <w:rsid w:val="004453D7"/>
    <w:rsid w:val="004467E4"/>
    <w:rsid w:val="00451200"/>
    <w:rsid w:val="00463EFB"/>
    <w:rsid w:val="00484395"/>
    <w:rsid w:val="004940C4"/>
    <w:rsid w:val="004B0322"/>
    <w:rsid w:val="004B5354"/>
    <w:rsid w:val="004C4859"/>
    <w:rsid w:val="004C6B39"/>
    <w:rsid w:val="004C6CAD"/>
    <w:rsid w:val="004E23AD"/>
    <w:rsid w:val="004E63C9"/>
    <w:rsid w:val="004F0032"/>
    <w:rsid w:val="004F5413"/>
    <w:rsid w:val="005030F1"/>
    <w:rsid w:val="0050427C"/>
    <w:rsid w:val="00511396"/>
    <w:rsid w:val="00512338"/>
    <w:rsid w:val="0051334C"/>
    <w:rsid w:val="0052591F"/>
    <w:rsid w:val="00533285"/>
    <w:rsid w:val="00534F8D"/>
    <w:rsid w:val="00536C2F"/>
    <w:rsid w:val="00542955"/>
    <w:rsid w:val="005469EF"/>
    <w:rsid w:val="00547C51"/>
    <w:rsid w:val="005731AE"/>
    <w:rsid w:val="00576A73"/>
    <w:rsid w:val="00576E7E"/>
    <w:rsid w:val="00582BB1"/>
    <w:rsid w:val="00583341"/>
    <w:rsid w:val="00592113"/>
    <w:rsid w:val="00592C82"/>
    <w:rsid w:val="00593BBF"/>
    <w:rsid w:val="0059580F"/>
    <w:rsid w:val="0059715B"/>
    <w:rsid w:val="00597DE3"/>
    <w:rsid w:val="005A7875"/>
    <w:rsid w:val="005D000A"/>
    <w:rsid w:val="005D4591"/>
    <w:rsid w:val="005D6812"/>
    <w:rsid w:val="005D6DBC"/>
    <w:rsid w:val="005E0F9A"/>
    <w:rsid w:val="005E4094"/>
    <w:rsid w:val="005E4665"/>
    <w:rsid w:val="005F4E42"/>
    <w:rsid w:val="00606C99"/>
    <w:rsid w:val="00610618"/>
    <w:rsid w:val="00613C54"/>
    <w:rsid w:val="006207B2"/>
    <w:rsid w:val="00626C94"/>
    <w:rsid w:val="00626F50"/>
    <w:rsid w:val="00641FF4"/>
    <w:rsid w:val="00654E04"/>
    <w:rsid w:val="00657A7A"/>
    <w:rsid w:val="006627D9"/>
    <w:rsid w:val="00663474"/>
    <w:rsid w:val="0066392F"/>
    <w:rsid w:val="00672B1E"/>
    <w:rsid w:val="006824F8"/>
    <w:rsid w:val="00683795"/>
    <w:rsid w:val="00691152"/>
    <w:rsid w:val="006979BD"/>
    <w:rsid w:val="006A2838"/>
    <w:rsid w:val="006A3EB7"/>
    <w:rsid w:val="006C3637"/>
    <w:rsid w:val="006C5AE5"/>
    <w:rsid w:val="006C7BB3"/>
    <w:rsid w:val="006D724F"/>
    <w:rsid w:val="006E0C50"/>
    <w:rsid w:val="006E3F37"/>
    <w:rsid w:val="006F7615"/>
    <w:rsid w:val="00701BAF"/>
    <w:rsid w:val="00706FF3"/>
    <w:rsid w:val="00717B7D"/>
    <w:rsid w:val="00723749"/>
    <w:rsid w:val="00724EB9"/>
    <w:rsid w:val="00732D19"/>
    <w:rsid w:val="00733AED"/>
    <w:rsid w:val="00734850"/>
    <w:rsid w:val="007366B9"/>
    <w:rsid w:val="007445C1"/>
    <w:rsid w:val="0075261B"/>
    <w:rsid w:val="00764E26"/>
    <w:rsid w:val="00766E25"/>
    <w:rsid w:val="00775162"/>
    <w:rsid w:val="00787076"/>
    <w:rsid w:val="007919D7"/>
    <w:rsid w:val="00794981"/>
    <w:rsid w:val="007A1327"/>
    <w:rsid w:val="007A1BC7"/>
    <w:rsid w:val="007A4EFD"/>
    <w:rsid w:val="007C228E"/>
    <w:rsid w:val="007C49E9"/>
    <w:rsid w:val="007C7C96"/>
    <w:rsid w:val="007D1674"/>
    <w:rsid w:val="007D5F37"/>
    <w:rsid w:val="007D75F7"/>
    <w:rsid w:val="00800BD7"/>
    <w:rsid w:val="0080211B"/>
    <w:rsid w:val="00815E32"/>
    <w:rsid w:val="00823620"/>
    <w:rsid w:val="008236F0"/>
    <w:rsid w:val="00824653"/>
    <w:rsid w:val="00834DB7"/>
    <w:rsid w:val="00836544"/>
    <w:rsid w:val="00837476"/>
    <w:rsid w:val="0083753E"/>
    <w:rsid w:val="00840A03"/>
    <w:rsid w:val="00846806"/>
    <w:rsid w:val="008561AF"/>
    <w:rsid w:val="00857CED"/>
    <w:rsid w:val="00860EFD"/>
    <w:rsid w:val="00862EAE"/>
    <w:rsid w:val="0086462E"/>
    <w:rsid w:val="00877246"/>
    <w:rsid w:val="00877261"/>
    <w:rsid w:val="008850AE"/>
    <w:rsid w:val="00886B54"/>
    <w:rsid w:val="008902A6"/>
    <w:rsid w:val="00892B27"/>
    <w:rsid w:val="008938EB"/>
    <w:rsid w:val="008A18BA"/>
    <w:rsid w:val="008A2384"/>
    <w:rsid w:val="008A3EE1"/>
    <w:rsid w:val="008A4241"/>
    <w:rsid w:val="008A4CB1"/>
    <w:rsid w:val="008A6117"/>
    <w:rsid w:val="008A63A8"/>
    <w:rsid w:val="008B2068"/>
    <w:rsid w:val="008C07B1"/>
    <w:rsid w:val="008C505F"/>
    <w:rsid w:val="008D2B69"/>
    <w:rsid w:val="008D52BF"/>
    <w:rsid w:val="008D5AF3"/>
    <w:rsid w:val="008E0F01"/>
    <w:rsid w:val="008E1C12"/>
    <w:rsid w:val="008E6323"/>
    <w:rsid w:val="008F28B7"/>
    <w:rsid w:val="008F4957"/>
    <w:rsid w:val="00902A1E"/>
    <w:rsid w:val="009036EF"/>
    <w:rsid w:val="00904AE0"/>
    <w:rsid w:val="00921254"/>
    <w:rsid w:val="0092189F"/>
    <w:rsid w:val="0092533E"/>
    <w:rsid w:val="0092697F"/>
    <w:rsid w:val="00927490"/>
    <w:rsid w:val="00933EF7"/>
    <w:rsid w:val="009354A0"/>
    <w:rsid w:val="00935CFF"/>
    <w:rsid w:val="009449DE"/>
    <w:rsid w:val="009465DD"/>
    <w:rsid w:val="00946E13"/>
    <w:rsid w:val="00954694"/>
    <w:rsid w:val="0096184F"/>
    <w:rsid w:val="00967F4A"/>
    <w:rsid w:val="0097726E"/>
    <w:rsid w:val="00977656"/>
    <w:rsid w:val="00977933"/>
    <w:rsid w:val="009828BA"/>
    <w:rsid w:val="00985585"/>
    <w:rsid w:val="009B0CE5"/>
    <w:rsid w:val="009B1E83"/>
    <w:rsid w:val="009B5164"/>
    <w:rsid w:val="009C2461"/>
    <w:rsid w:val="009C7188"/>
    <w:rsid w:val="009D1F73"/>
    <w:rsid w:val="009D22B5"/>
    <w:rsid w:val="009D44F0"/>
    <w:rsid w:val="009D494D"/>
    <w:rsid w:val="009D6087"/>
    <w:rsid w:val="009D7A25"/>
    <w:rsid w:val="009E7336"/>
    <w:rsid w:val="009F4274"/>
    <w:rsid w:val="00A07BC7"/>
    <w:rsid w:val="00A13E59"/>
    <w:rsid w:val="00A226F9"/>
    <w:rsid w:val="00A2679B"/>
    <w:rsid w:val="00A30AC4"/>
    <w:rsid w:val="00A317EC"/>
    <w:rsid w:val="00A33A00"/>
    <w:rsid w:val="00A35F08"/>
    <w:rsid w:val="00A411F7"/>
    <w:rsid w:val="00A517D7"/>
    <w:rsid w:val="00A54324"/>
    <w:rsid w:val="00A57D0F"/>
    <w:rsid w:val="00A67320"/>
    <w:rsid w:val="00A73AB2"/>
    <w:rsid w:val="00A7794E"/>
    <w:rsid w:val="00A966F0"/>
    <w:rsid w:val="00AA00E5"/>
    <w:rsid w:val="00AA3899"/>
    <w:rsid w:val="00AA41C2"/>
    <w:rsid w:val="00AA4716"/>
    <w:rsid w:val="00AB791F"/>
    <w:rsid w:val="00AC381C"/>
    <w:rsid w:val="00AC45FE"/>
    <w:rsid w:val="00AC6A00"/>
    <w:rsid w:val="00AD167F"/>
    <w:rsid w:val="00AE385D"/>
    <w:rsid w:val="00AE42C3"/>
    <w:rsid w:val="00AF7088"/>
    <w:rsid w:val="00AF73EA"/>
    <w:rsid w:val="00B1281D"/>
    <w:rsid w:val="00B20C31"/>
    <w:rsid w:val="00B211D7"/>
    <w:rsid w:val="00B4371B"/>
    <w:rsid w:val="00B47002"/>
    <w:rsid w:val="00B576C3"/>
    <w:rsid w:val="00B61D92"/>
    <w:rsid w:val="00B6244F"/>
    <w:rsid w:val="00B659F5"/>
    <w:rsid w:val="00B80953"/>
    <w:rsid w:val="00B82BFC"/>
    <w:rsid w:val="00BA5A07"/>
    <w:rsid w:val="00BA5DE8"/>
    <w:rsid w:val="00BC0B6C"/>
    <w:rsid w:val="00BC6621"/>
    <w:rsid w:val="00BD07C8"/>
    <w:rsid w:val="00BD1B59"/>
    <w:rsid w:val="00BD2E32"/>
    <w:rsid w:val="00BE059E"/>
    <w:rsid w:val="00BE6E18"/>
    <w:rsid w:val="00BF2006"/>
    <w:rsid w:val="00BF51FF"/>
    <w:rsid w:val="00C01498"/>
    <w:rsid w:val="00C01537"/>
    <w:rsid w:val="00C10B49"/>
    <w:rsid w:val="00C11DE4"/>
    <w:rsid w:val="00C12E78"/>
    <w:rsid w:val="00C12E7E"/>
    <w:rsid w:val="00C15DC6"/>
    <w:rsid w:val="00C22C90"/>
    <w:rsid w:val="00C25E6F"/>
    <w:rsid w:val="00C410F4"/>
    <w:rsid w:val="00C479AC"/>
    <w:rsid w:val="00C50810"/>
    <w:rsid w:val="00C52206"/>
    <w:rsid w:val="00C530F1"/>
    <w:rsid w:val="00C533FB"/>
    <w:rsid w:val="00C60C36"/>
    <w:rsid w:val="00C65862"/>
    <w:rsid w:val="00C70A4A"/>
    <w:rsid w:val="00C80977"/>
    <w:rsid w:val="00C836C1"/>
    <w:rsid w:val="00C83905"/>
    <w:rsid w:val="00C84A7B"/>
    <w:rsid w:val="00C9136F"/>
    <w:rsid w:val="00C93E56"/>
    <w:rsid w:val="00C96BF2"/>
    <w:rsid w:val="00CA251E"/>
    <w:rsid w:val="00CA4644"/>
    <w:rsid w:val="00CA7C0D"/>
    <w:rsid w:val="00CC155E"/>
    <w:rsid w:val="00CC5D39"/>
    <w:rsid w:val="00CC6B6B"/>
    <w:rsid w:val="00CD11D5"/>
    <w:rsid w:val="00CD61B9"/>
    <w:rsid w:val="00CE5A60"/>
    <w:rsid w:val="00CF143F"/>
    <w:rsid w:val="00D03DE1"/>
    <w:rsid w:val="00D065BF"/>
    <w:rsid w:val="00D21030"/>
    <w:rsid w:val="00D22157"/>
    <w:rsid w:val="00D31B7A"/>
    <w:rsid w:val="00D47DD9"/>
    <w:rsid w:val="00D54678"/>
    <w:rsid w:val="00D62E71"/>
    <w:rsid w:val="00D8159C"/>
    <w:rsid w:val="00D855A6"/>
    <w:rsid w:val="00D90137"/>
    <w:rsid w:val="00D91A4D"/>
    <w:rsid w:val="00D92F2E"/>
    <w:rsid w:val="00D947C6"/>
    <w:rsid w:val="00D95ADC"/>
    <w:rsid w:val="00D96A4A"/>
    <w:rsid w:val="00DA53A1"/>
    <w:rsid w:val="00DB07B8"/>
    <w:rsid w:val="00DB3300"/>
    <w:rsid w:val="00DB5B46"/>
    <w:rsid w:val="00DB6832"/>
    <w:rsid w:val="00DC0707"/>
    <w:rsid w:val="00DC766A"/>
    <w:rsid w:val="00DD1773"/>
    <w:rsid w:val="00DD1E44"/>
    <w:rsid w:val="00DD6FFE"/>
    <w:rsid w:val="00DE0616"/>
    <w:rsid w:val="00DE3A07"/>
    <w:rsid w:val="00DF1435"/>
    <w:rsid w:val="00E01AC4"/>
    <w:rsid w:val="00E01F1E"/>
    <w:rsid w:val="00E35918"/>
    <w:rsid w:val="00E46B91"/>
    <w:rsid w:val="00E46F17"/>
    <w:rsid w:val="00E6365F"/>
    <w:rsid w:val="00E64703"/>
    <w:rsid w:val="00E72E38"/>
    <w:rsid w:val="00E86F1C"/>
    <w:rsid w:val="00E937D8"/>
    <w:rsid w:val="00EA09AD"/>
    <w:rsid w:val="00EE3E6D"/>
    <w:rsid w:val="00EE6EA7"/>
    <w:rsid w:val="00EF4D3B"/>
    <w:rsid w:val="00EF6530"/>
    <w:rsid w:val="00F4086C"/>
    <w:rsid w:val="00F42005"/>
    <w:rsid w:val="00F46CD0"/>
    <w:rsid w:val="00F50AE4"/>
    <w:rsid w:val="00F56808"/>
    <w:rsid w:val="00F62874"/>
    <w:rsid w:val="00F7580D"/>
    <w:rsid w:val="00F76E24"/>
    <w:rsid w:val="00F7790B"/>
    <w:rsid w:val="00F82247"/>
    <w:rsid w:val="00F86E35"/>
    <w:rsid w:val="00F96957"/>
    <w:rsid w:val="00FA14FD"/>
    <w:rsid w:val="00FB64D0"/>
    <w:rsid w:val="00FC5A66"/>
    <w:rsid w:val="00FC5B2A"/>
    <w:rsid w:val="00FD54B0"/>
    <w:rsid w:val="00FE6C09"/>
    <w:rsid w:val="00FF56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58EF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1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F73"/>
    <w:pPr>
      <w:ind w:left="720"/>
      <w:contextualSpacing/>
    </w:pPr>
  </w:style>
  <w:style w:type="table" w:styleId="TableGrid">
    <w:name w:val="Table Grid"/>
    <w:basedOn w:val="TableNormal"/>
    <w:uiPriority w:val="39"/>
    <w:rsid w:val="00C9136F"/>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9CA"/>
    <w:pPr>
      <w:tabs>
        <w:tab w:val="center" w:pos="4153"/>
        <w:tab w:val="right" w:pos="8306"/>
      </w:tabs>
    </w:pPr>
  </w:style>
  <w:style w:type="character" w:customStyle="1" w:styleId="HeaderChar">
    <w:name w:val="Header Char"/>
    <w:basedOn w:val="DefaultParagraphFont"/>
    <w:link w:val="Header"/>
    <w:uiPriority w:val="99"/>
    <w:rsid w:val="000E19CA"/>
    <w:rPr>
      <w:rFonts w:eastAsia="Times New Roman" w:cs="Times New Roman"/>
      <w:szCs w:val="24"/>
    </w:rPr>
  </w:style>
  <w:style w:type="paragraph" w:styleId="Footer">
    <w:name w:val="footer"/>
    <w:basedOn w:val="Normal"/>
    <w:link w:val="FooterChar"/>
    <w:uiPriority w:val="99"/>
    <w:unhideWhenUsed/>
    <w:rsid w:val="000E19CA"/>
    <w:pPr>
      <w:tabs>
        <w:tab w:val="center" w:pos="4153"/>
        <w:tab w:val="right" w:pos="8306"/>
      </w:tabs>
    </w:pPr>
  </w:style>
  <w:style w:type="character" w:customStyle="1" w:styleId="FooterChar">
    <w:name w:val="Footer Char"/>
    <w:basedOn w:val="DefaultParagraphFont"/>
    <w:link w:val="Footer"/>
    <w:uiPriority w:val="99"/>
    <w:rsid w:val="000E19CA"/>
    <w:rPr>
      <w:rFonts w:eastAsia="Times New Roman" w:cs="Times New Roman"/>
      <w:szCs w:val="24"/>
    </w:rPr>
  </w:style>
  <w:style w:type="paragraph" w:styleId="BalloonText">
    <w:name w:val="Balloon Text"/>
    <w:basedOn w:val="Normal"/>
    <w:link w:val="BalloonTextChar"/>
    <w:uiPriority w:val="99"/>
    <w:semiHidden/>
    <w:unhideWhenUsed/>
    <w:rsid w:val="00921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254"/>
    <w:rPr>
      <w:rFonts w:ascii="Segoe UI" w:eastAsia="Times New Roman" w:hAnsi="Segoe UI" w:cs="Segoe UI"/>
      <w:sz w:val="18"/>
      <w:szCs w:val="18"/>
    </w:rPr>
  </w:style>
  <w:style w:type="character" w:styleId="Hyperlink">
    <w:name w:val="Hyperlink"/>
    <w:basedOn w:val="DefaultParagraphFont"/>
    <w:uiPriority w:val="99"/>
    <w:unhideWhenUsed/>
    <w:rsid w:val="00935CFF"/>
    <w:rPr>
      <w:color w:val="0000FF"/>
      <w:u w:val="single"/>
    </w:rPr>
  </w:style>
  <w:style w:type="paragraph" w:styleId="FootnoteText">
    <w:name w:val="footnote text"/>
    <w:basedOn w:val="Normal"/>
    <w:link w:val="FootnoteTextChar"/>
    <w:uiPriority w:val="99"/>
    <w:semiHidden/>
    <w:unhideWhenUsed/>
    <w:rsid w:val="00FB64D0"/>
    <w:rPr>
      <w:sz w:val="20"/>
      <w:szCs w:val="20"/>
    </w:rPr>
  </w:style>
  <w:style w:type="character" w:customStyle="1" w:styleId="FootnoteTextChar">
    <w:name w:val="Footnote Text Char"/>
    <w:basedOn w:val="DefaultParagraphFont"/>
    <w:link w:val="FootnoteText"/>
    <w:uiPriority w:val="99"/>
    <w:semiHidden/>
    <w:rsid w:val="00FB64D0"/>
    <w:rPr>
      <w:rFonts w:eastAsia="Times New Roman" w:cs="Times New Roman"/>
      <w:sz w:val="20"/>
      <w:szCs w:val="20"/>
    </w:rPr>
  </w:style>
  <w:style w:type="character" w:styleId="FootnoteReference">
    <w:name w:val="footnote reference"/>
    <w:basedOn w:val="DefaultParagraphFont"/>
    <w:uiPriority w:val="99"/>
    <w:semiHidden/>
    <w:unhideWhenUsed/>
    <w:rsid w:val="00FB6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C279-AF7B-402B-92EB-B7AAD7F9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9058</Words>
  <Characters>5164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2021-04-29T06:56:00Z</dcterms:created>
  <dcterms:modified xsi:type="dcterms:W3CDTF">2021-04-29T06:56:00Z</dcterms:modified>
</cp:coreProperties>
</file>