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8695" w14:textId="77777777" w:rsidR="001B7ECD" w:rsidRPr="001723F4" w:rsidRDefault="001B7ECD" w:rsidP="001B7ECD">
      <w:pPr>
        <w:shd w:val="clear" w:color="auto" w:fill="FFFFFF"/>
        <w:spacing w:line="276" w:lineRule="auto"/>
        <w:jc w:val="both"/>
        <w:rPr>
          <w:rFonts w:eastAsia="Calibri"/>
          <w:b/>
          <w:bCs/>
          <w:iCs/>
        </w:rPr>
      </w:pPr>
      <w:bookmarkStart w:id="0" w:name="OLE_LINK1"/>
      <w:bookmarkStart w:id="1" w:name="OLE_LINK2"/>
      <w:r w:rsidRPr="001723F4">
        <w:rPr>
          <w:rFonts w:eastAsia="Calibri"/>
          <w:b/>
          <w:bCs/>
          <w:iCs/>
        </w:rPr>
        <w:t>Juridiskās personas maksātnespējas procesa izdevumi, to attiecināmība un pierādīšana</w:t>
      </w:r>
    </w:p>
    <w:p w14:paraId="15FD6C06" w14:textId="731DF00A" w:rsidR="001A777A" w:rsidRPr="001723F4" w:rsidRDefault="001A777A" w:rsidP="001B7ECD">
      <w:pPr>
        <w:pStyle w:val="BodyText2"/>
        <w:spacing w:line="276" w:lineRule="auto"/>
        <w:jc w:val="center"/>
        <w:rPr>
          <w:rFonts w:ascii="Times New Roman" w:hAnsi="Times New Roman"/>
          <w:sz w:val="24"/>
          <w:szCs w:val="24"/>
        </w:rPr>
      </w:pPr>
    </w:p>
    <w:p w14:paraId="1BBE0954" w14:textId="77777777" w:rsidR="0080002B" w:rsidRPr="001723F4" w:rsidRDefault="00BA065F" w:rsidP="001B7ECD">
      <w:pPr>
        <w:spacing w:line="276" w:lineRule="auto"/>
        <w:jc w:val="center"/>
        <w:rPr>
          <w:b/>
        </w:rPr>
      </w:pPr>
      <w:r w:rsidRPr="001723F4">
        <w:rPr>
          <w:b/>
        </w:rPr>
        <w:t xml:space="preserve">Latvijas Republikas </w:t>
      </w:r>
    </w:p>
    <w:p w14:paraId="4E2FC951" w14:textId="6A1EB0AA" w:rsidR="001C087C" w:rsidRPr="001723F4" w:rsidRDefault="0002161B" w:rsidP="001B7ECD">
      <w:pPr>
        <w:spacing w:line="276" w:lineRule="auto"/>
        <w:jc w:val="center"/>
        <w:rPr>
          <w:b/>
        </w:rPr>
      </w:pPr>
      <w:r w:rsidRPr="001723F4">
        <w:rPr>
          <w:b/>
        </w:rPr>
        <w:t>Senāt</w:t>
      </w:r>
      <w:r w:rsidR="001C087C" w:rsidRPr="001723F4">
        <w:rPr>
          <w:b/>
        </w:rPr>
        <w:t>a</w:t>
      </w:r>
      <w:r w:rsidR="0080002B" w:rsidRPr="001723F4">
        <w:rPr>
          <w:b/>
        </w:rPr>
        <w:t xml:space="preserve"> </w:t>
      </w:r>
      <w:r w:rsidR="001C087C" w:rsidRPr="001723F4">
        <w:rPr>
          <w:b/>
        </w:rPr>
        <w:t>Civillietu departamenta</w:t>
      </w:r>
    </w:p>
    <w:p w14:paraId="331CE13C" w14:textId="77777777" w:rsidR="001C087C" w:rsidRPr="001723F4" w:rsidRDefault="001C087C" w:rsidP="001B7ECD">
      <w:pPr>
        <w:spacing w:line="276" w:lineRule="auto"/>
        <w:jc w:val="center"/>
        <w:rPr>
          <w:b/>
          <w:bCs/>
        </w:rPr>
      </w:pPr>
      <w:proofErr w:type="gramStart"/>
      <w:r w:rsidRPr="001723F4">
        <w:rPr>
          <w:b/>
          <w:bCs/>
        </w:rPr>
        <w:t>2021.gada</w:t>
      </w:r>
      <w:proofErr w:type="gramEnd"/>
      <w:r w:rsidRPr="001723F4">
        <w:rPr>
          <w:b/>
          <w:bCs/>
        </w:rPr>
        <w:t xml:space="preserve"> 12.maijā</w:t>
      </w:r>
    </w:p>
    <w:p w14:paraId="63406E30" w14:textId="77777777" w:rsidR="001A777A" w:rsidRPr="001723F4" w:rsidRDefault="001A777A" w:rsidP="001B7ECD">
      <w:pPr>
        <w:spacing w:line="276" w:lineRule="auto"/>
        <w:jc w:val="center"/>
        <w:rPr>
          <w:b/>
        </w:rPr>
      </w:pPr>
      <w:r w:rsidRPr="001723F4">
        <w:rPr>
          <w:b/>
        </w:rPr>
        <w:t>LĒMUMS</w:t>
      </w:r>
    </w:p>
    <w:bookmarkEnd w:id="0"/>
    <w:bookmarkEnd w:id="1"/>
    <w:p w14:paraId="31247B95" w14:textId="77777777" w:rsidR="001C087C" w:rsidRPr="001723F4" w:rsidRDefault="001C087C" w:rsidP="001B7ECD">
      <w:pPr>
        <w:spacing w:line="276" w:lineRule="auto"/>
        <w:jc w:val="center"/>
        <w:rPr>
          <w:b/>
          <w:bCs/>
        </w:rPr>
      </w:pPr>
      <w:r w:rsidRPr="001723F4">
        <w:rPr>
          <w:b/>
          <w:bCs/>
        </w:rPr>
        <w:t>Lieta Nr. C29362320, SPC-23/2021</w:t>
      </w:r>
    </w:p>
    <w:p w14:paraId="7EFA3D5D" w14:textId="4BE34FFD" w:rsidR="001C087C" w:rsidRPr="001723F4" w:rsidRDefault="001C087C" w:rsidP="001B7ECD">
      <w:pPr>
        <w:spacing w:line="276" w:lineRule="auto"/>
        <w:jc w:val="center"/>
      </w:pPr>
      <w:hyperlink r:id="rId8" w:history="1">
        <w:r w:rsidRPr="001723F4">
          <w:rPr>
            <w:rStyle w:val="Hyperlink"/>
            <w:shd w:val="clear" w:color="auto" w:fill="FFFFFF"/>
          </w:rPr>
          <w:t>ECLI:LV:AT:2021:0512.C29362320.6.</w:t>
        </w:r>
      </w:hyperlink>
    </w:p>
    <w:p w14:paraId="4A2203DF" w14:textId="77777777" w:rsidR="001C087C" w:rsidRPr="001723F4" w:rsidRDefault="001C087C" w:rsidP="001B7ECD">
      <w:pPr>
        <w:spacing w:line="276" w:lineRule="auto"/>
        <w:jc w:val="center"/>
      </w:pPr>
    </w:p>
    <w:p w14:paraId="7BEA912B" w14:textId="606432B5" w:rsidR="00F07B0E" w:rsidRPr="001723F4" w:rsidRDefault="0002161B" w:rsidP="001B7ECD">
      <w:pPr>
        <w:spacing w:line="276" w:lineRule="auto"/>
        <w:ind w:firstLine="709"/>
        <w:jc w:val="both"/>
      </w:pPr>
      <w:r w:rsidRPr="001723F4">
        <w:t>Senāt</w:t>
      </w:r>
      <w:r w:rsidR="00945510" w:rsidRPr="001723F4">
        <w:t xml:space="preserve">s </w:t>
      </w:r>
      <w:r w:rsidR="00F07B0E" w:rsidRPr="001723F4">
        <w:t xml:space="preserve">šādā sastāvā: </w:t>
      </w:r>
    </w:p>
    <w:p w14:paraId="70D01B86" w14:textId="77777777" w:rsidR="00F07B0E" w:rsidRPr="001723F4" w:rsidRDefault="00945510" w:rsidP="001B7ECD">
      <w:pPr>
        <w:tabs>
          <w:tab w:val="left" w:pos="0"/>
        </w:tabs>
        <w:spacing w:line="276" w:lineRule="auto"/>
        <w:ind w:firstLine="1418"/>
        <w:jc w:val="both"/>
      </w:pPr>
      <w:r w:rsidRPr="001723F4">
        <w:t>s</w:t>
      </w:r>
      <w:r w:rsidR="0079393D" w:rsidRPr="001723F4">
        <w:t>e</w:t>
      </w:r>
      <w:r w:rsidR="0002161B" w:rsidRPr="001723F4">
        <w:t>natore</w:t>
      </w:r>
      <w:r w:rsidRPr="001723F4">
        <w:t xml:space="preserve"> referente</w:t>
      </w:r>
      <w:r w:rsidR="0079393D" w:rsidRPr="001723F4">
        <w:t xml:space="preserve"> Z</w:t>
      </w:r>
      <w:r w:rsidR="00A90024" w:rsidRPr="001723F4">
        <w:t xml:space="preserve">ane </w:t>
      </w:r>
      <w:r w:rsidR="0079393D" w:rsidRPr="001723F4">
        <w:t>Pētersone</w:t>
      </w:r>
      <w:r w:rsidR="002A52B1" w:rsidRPr="001723F4">
        <w:t>,</w:t>
      </w:r>
    </w:p>
    <w:p w14:paraId="7ABCDC16" w14:textId="53E53A71" w:rsidR="00D24B75" w:rsidRPr="001723F4" w:rsidRDefault="00D24B75" w:rsidP="001B7ECD">
      <w:pPr>
        <w:tabs>
          <w:tab w:val="left" w:pos="3119"/>
        </w:tabs>
        <w:spacing w:line="276" w:lineRule="auto"/>
        <w:ind w:firstLine="1418"/>
        <w:jc w:val="both"/>
      </w:pPr>
      <w:r w:rsidRPr="001723F4">
        <w:t>se</w:t>
      </w:r>
      <w:r w:rsidR="00082F25" w:rsidRPr="001723F4">
        <w:t>natore Anita Čerņ</w:t>
      </w:r>
      <w:r w:rsidR="001E35DD" w:rsidRPr="001723F4">
        <w:t>a</w:t>
      </w:r>
      <w:r w:rsidR="00082F25" w:rsidRPr="001723F4">
        <w:t>vska</w:t>
      </w:r>
      <w:r w:rsidRPr="001723F4">
        <w:t xml:space="preserve">, </w:t>
      </w:r>
    </w:p>
    <w:p w14:paraId="3A54344D" w14:textId="77777777" w:rsidR="00A2098C" w:rsidRPr="001723F4" w:rsidRDefault="00082F25" w:rsidP="001B7ECD">
      <w:pPr>
        <w:tabs>
          <w:tab w:val="left" w:pos="0"/>
        </w:tabs>
        <w:spacing w:line="276" w:lineRule="auto"/>
        <w:ind w:firstLine="1418"/>
        <w:jc w:val="both"/>
      </w:pPr>
      <w:r w:rsidRPr="001723F4">
        <w:t>senators Normunds Salenieks</w:t>
      </w:r>
    </w:p>
    <w:p w14:paraId="4B672EA3" w14:textId="5562493C" w:rsidR="000A5250" w:rsidRPr="001723F4" w:rsidRDefault="00F07B0E" w:rsidP="001B7ECD">
      <w:pPr>
        <w:autoSpaceDE w:val="0"/>
        <w:autoSpaceDN w:val="0"/>
        <w:adjustRightInd w:val="0"/>
        <w:spacing w:line="276" w:lineRule="auto"/>
        <w:ind w:firstLine="709"/>
        <w:jc w:val="both"/>
      </w:pPr>
      <w:r w:rsidRPr="001723F4">
        <w:t xml:space="preserve">izskatīja </w:t>
      </w:r>
      <w:r w:rsidR="00945510" w:rsidRPr="001723F4">
        <w:t xml:space="preserve">rakstveida procesā </w:t>
      </w:r>
      <w:r w:rsidR="00082F25" w:rsidRPr="001723F4">
        <w:t xml:space="preserve">Latvijas Republikas Ģenerālprokuratūras Personu un valsts tiesību aizsardzības departamenta virsprokurora protestu </w:t>
      </w:r>
      <w:r w:rsidR="00082F25" w:rsidRPr="001723F4">
        <w:rPr>
          <w:lang w:eastAsia="lv-LV"/>
        </w:rPr>
        <w:t xml:space="preserve">par Rīgas pilsētas Latgales priekšpilsētas tiesas </w:t>
      </w:r>
      <w:proofErr w:type="gramStart"/>
      <w:r w:rsidR="00082F25" w:rsidRPr="001723F4">
        <w:rPr>
          <w:lang w:eastAsia="lv-LV"/>
        </w:rPr>
        <w:t>2020.gada</w:t>
      </w:r>
      <w:proofErr w:type="gramEnd"/>
      <w:r w:rsidR="00082F25" w:rsidRPr="001723F4">
        <w:rPr>
          <w:lang w:eastAsia="lv-LV"/>
        </w:rPr>
        <w:t xml:space="preserve"> 14.augusta lēmumu lietā M</w:t>
      </w:r>
      <w:r w:rsidR="00082F25" w:rsidRPr="001723F4">
        <w:t xml:space="preserve">aksātnespējas kontroles dienesta sūdzībā </w:t>
      </w:r>
      <w:r w:rsidR="00082F25" w:rsidRPr="001723F4">
        <w:rPr>
          <w:lang w:eastAsia="lv-LV"/>
        </w:rPr>
        <w:t xml:space="preserve">par </w:t>
      </w:r>
      <w:r w:rsidR="00082F25" w:rsidRPr="001723F4">
        <w:t>maksātnespējīgās SIA „</w:t>
      </w:r>
      <w:proofErr w:type="spellStart"/>
      <w:r w:rsidR="00082F25" w:rsidRPr="001723F4">
        <w:t>Baltic</w:t>
      </w:r>
      <w:proofErr w:type="spellEnd"/>
      <w:r w:rsidR="00082F25" w:rsidRPr="001723F4">
        <w:t xml:space="preserve"> </w:t>
      </w:r>
      <w:proofErr w:type="spellStart"/>
      <w:r w:rsidR="00082F25" w:rsidRPr="001723F4">
        <w:t>Polymers</w:t>
      </w:r>
      <w:proofErr w:type="spellEnd"/>
      <w:r w:rsidR="00082F25" w:rsidRPr="001723F4">
        <w:t>” kreditoru sapulces lēmumu atcelšanu</w:t>
      </w:r>
      <w:r w:rsidR="00675596" w:rsidRPr="001723F4">
        <w:t>.</w:t>
      </w:r>
    </w:p>
    <w:p w14:paraId="36A07477" w14:textId="77777777" w:rsidR="001C087C" w:rsidRPr="001723F4" w:rsidRDefault="001C087C" w:rsidP="001B7ECD">
      <w:pPr>
        <w:autoSpaceDE w:val="0"/>
        <w:autoSpaceDN w:val="0"/>
        <w:adjustRightInd w:val="0"/>
        <w:spacing w:line="276" w:lineRule="auto"/>
        <w:ind w:firstLine="709"/>
        <w:jc w:val="both"/>
        <w:rPr>
          <w:lang w:eastAsia="lv-LV"/>
        </w:rPr>
      </w:pPr>
    </w:p>
    <w:p w14:paraId="5074F3B0" w14:textId="19CCA7F6" w:rsidR="001A777A" w:rsidRPr="001723F4" w:rsidRDefault="00675596" w:rsidP="001B7ECD">
      <w:pPr>
        <w:spacing w:line="276" w:lineRule="auto"/>
        <w:jc w:val="center"/>
        <w:rPr>
          <w:b/>
        </w:rPr>
      </w:pPr>
      <w:r w:rsidRPr="001723F4">
        <w:rPr>
          <w:b/>
        </w:rPr>
        <w:t>Aprakstošā daļa</w:t>
      </w:r>
    </w:p>
    <w:p w14:paraId="5B543E3D" w14:textId="77777777" w:rsidR="001C087C" w:rsidRPr="001723F4" w:rsidRDefault="001C087C" w:rsidP="001B7ECD">
      <w:pPr>
        <w:spacing w:line="276" w:lineRule="auto"/>
        <w:jc w:val="center"/>
        <w:rPr>
          <w:b/>
        </w:rPr>
      </w:pPr>
    </w:p>
    <w:p w14:paraId="31B583ED" w14:textId="77777777" w:rsidR="004F0B3C" w:rsidRPr="001723F4" w:rsidRDefault="00C74961" w:rsidP="001B7ECD">
      <w:pPr>
        <w:spacing w:line="276" w:lineRule="auto"/>
        <w:ind w:firstLine="709"/>
        <w:jc w:val="both"/>
      </w:pPr>
      <w:r w:rsidRPr="001723F4">
        <w:t xml:space="preserve">[1] </w:t>
      </w:r>
      <w:r w:rsidR="00082F25" w:rsidRPr="001723F4">
        <w:t xml:space="preserve">Maksātnespējas kontroles dienests </w:t>
      </w:r>
      <w:proofErr w:type="gramStart"/>
      <w:r w:rsidR="00082F25" w:rsidRPr="001723F4">
        <w:t>2020.gada</w:t>
      </w:r>
      <w:proofErr w:type="gramEnd"/>
      <w:r w:rsidR="00082F25" w:rsidRPr="001723F4">
        <w:t xml:space="preserve"> 31.jūlijā iesniedza Rīgas pilsētas Vidzemes priekšpilsētas tiesā sūdzību, lūdzot atcelt maksātnespējīgās SIA</w:t>
      </w:r>
      <w:r w:rsidR="004F0B3C" w:rsidRPr="001723F4">
        <w:t xml:space="preserve"> </w:t>
      </w:r>
      <w:r w:rsidR="00082F25" w:rsidRPr="001723F4">
        <w:t>„</w:t>
      </w:r>
      <w:proofErr w:type="spellStart"/>
      <w:r w:rsidR="00082F25" w:rsidRPr="001723F4">
        <w:t>Baltic</w:t>
      </w:r>
      <w:proofErr w:type="spellEnd"/>
      <w:r w:rsidR="00082F25" w:rsidRPr="001723F4">
        <w:t xml:space="preserve"> </w:t>
      </w:r>
      <w:proofErr w:type="spellStart"/>
      <w:r w:rsidR="00082F25" w:rsidRPr="001723F4">
        <w:t>Polymers</w:t>
      </w:r>
      <w:proofErr w:type="spellEnd"/>
      <w:r w:rsidR="00082F25" w:rsidRPr="001723F4">
        <w:t>” 2020.gada 13.jūlija kredit</w:t>
      </w:r>
      <w:r w:rsidR="002424BA" w:rsidRPr="001723F4">
        <w:t>oru sapulces lēmumus, ar kuriem apstiprināti šādi maksātnespējas procesa izdevumi:</w:t>
      </w:r>
    </w:p>
    <w:p w14:paraId="1B92DE89" w14:textId="77777777" w:rsidR="002424BA" w:rsidRPr="001723F4" w:rsidRDefault="002424BA" w:rsidP="001B7ECD">
      <w:pPr>
        <w:spacing w:line="276" w:lineRule="auto"/>
        <w:ind w:firstLine="709"/>
        <w:jc w:val="both"/>
      </w:pPr>
      <w:r w:rsidRPr="001723F4">
        <w:t>1) par tiesvedības monitoringu 0,90 </w:t>
      </w:r>
      <w:proofErr w:type="spellStart"/>
      <w:r w:rsidRPr="001723F4">
        <w:rPr>
          <w:i/>
        </w:rPr>
        <w:t>euro</w:t>
      </w:r>
      <w:proofErr w:type="spellEnd"/>
      <w:r w:rsidRPr="001723F4">
        <w:rPr>
          <w:i/>
        </w:rPr>
        <w:t xml:space="preserve"> </w:t>
      </w:r>
      <w:r w:rsidRPr="001723F4">
        <w:t xml:space="preserve">apmērā (turpmāk – lēmums Nr. 1); </w:t>
      </w:r>
    </w:p>
    <w:p w14:paraId="6C6FF386" w14:textId="3BAD8320" w:rsidR="002424BA" w:rsidRPr="001723F4" w:rsidRDefault="002424BA" w:rsidP="001B7ECD">
      <w:pPr>
        <w:spacing w:line="276" w:lineRule="auto"/>
        <w:ind w:firstLine="709"/>
        <w:jc w:val="both"/>
      </w:pPr>
      <w:r w:rsidRPr="001723F4">
        <w:t xml:space="preserve">2) par apsardzes pakalpojumiem </w:t>
      </w:r>
      <w:proofErr w:type="gramStart"/>
      <w:r w:rsidRPr="001723F4">
        <w:t>2020.gada</w:t>
      </w:r>
      <w:proofErr w:type="gramEnd"/>
      <w:r w:rsidRPr="001723F4">
        <w:t xml:space="preserve"> jūlijā 1,76 </w:t>
      </w:r>
      <w:proofErr w:type="spellStart"/>
      <w:r w:rsidRPr="001723F4">
        <w:rPr>
          <w:i/>
        </w:rPr>
        <w:t>euro</w:t>
      </w:r>
      <w:proofErr w:type="spellEnd"/>
      <w:r w:rsidRPr="001723F4">
        <w:rPr>
          <w:i/>
        </w:rPr>
        <w:t xml:space="preserve"> </w:t>
      </w:r>
      <w:r w:rsidRPr="001723F4">
        <w:t xml:space="preserve">apmērā (turpmāk – lēmums Nr. 3) un apsardzes pakalpojumiem </w:t>
      </w:r>
      <w:r w:rsidR="00D978CE" w:rsidRPr="001723F4">
        <w:t>laika posm</w:t>
      </w:r>
      <w:r w:rsidRPr="001723F4">
        <w:t>ā no 2020.gada janvāra līdz 2020.gada jūnijam 9,60 </w:t>
      </w:r>
      <w:proofErr w:type="spellStart"/>
      <w:r w:rsidRPr="001723F4">
        <w:rPr>
          <w:i/>
        </w:rPr>
        <w:t>euro</w:t>
      </w:r>
      <w:proofErr w:type="spellEnd"/>
      <w:r w:rsidRPr="001723F4">
        <w:rPr>
          <w:i/>
        </w:rPr>
        <w:t xml:space="preserve"> </w:t>
      </w:r>
      <w:r w:rsidRPr="001723F4">
        <w:t xml:space="preserve">apmērā (turpmāk – lēmums Nr. 5); </w:t>
      </w:r>
    </w:p>
    <w:p w14:paraId="1DDE6001" w14:textId="288B75B3" w:rsidR="002424BA" w:rsidRPr="001723F4" w:rsidRDefault="002424BA" w:rsidP="001B7ECD">
      <w:pPr>
        <w:spacing w:line="276" w:lineRule="auto"/>
        <w:ind w:firstLine="709"/>
        <w:jc w:val="both"/>
      </w:pPr>
      <w:r w:rsidRPr="001723F4">
        <w:t xml:space="preserve">3) par grāmatvedības pakalpojumiem </w:t>
      </w:r>
      <w:r w:rsidR="00D978CE" w:rsidRPr="001723F4">
        <w:t>laika posmā</w:t>
      </w:r>
      <w:r w:rsidRPr="001723F4">
        <w:t xml:space="preserve"> no </w:t>
      </w:r>
      <w:proofErr w:type="gramStart"/>
      <w:r w:rsidRPr="001723F4">
        <w:t>2019.gada</w:t>
      </w:r>
      <w:proofErr w:type="gramEnd"/>
      <w:r w:rsidRPr="001723F4">
        <w:t xml:space="preserve"> janvāra līdz </w:t>
      </w:r>
      <w:r w:rsidR="00000E12" w:rsidRPr="001723F4">
        <w:t xml:space="preserve">2019.gada </w:t>
      </w:r>
      <w:r w:rsidRPr="001723F4">
        <w:t>decembrim 91,84 </w:t>
      </w:r>
      <w:proofErr w:type="spellStart"/>
      <w:r w:rsidRPr="001723F4">
        <w:rPr>
          <w:i/>
        </w:rPr>
        <w:t>euro</w:t>
      </w:r>
      <w:proofErr w:type="spellEnd"/>
      <w:r w:rsidRPr="001723F4">
        <w:rPr>
          <w:i/>
        </w:rPr>
        <w:t xml:space="preserve"> </w:t>
      </w:r>
      <w:r w:rsidRPr="001723F4">
        <w:t xml:space="preserve">apmērā (turpmāk – lēmums Nr. 13) un grāmatvedības pakalpojumiem </w:t>
      </w:r>
      <w:r w:rsidR="00D978CE" w:rsidRPr="001723F4">
        <w:t xml:space="preserve">laika posmā </w:t>
      </w:r>
      <w:r w:rsidRPr="001723F4">
        <w:t>no 2018.gada maija līdz 2018.gada decembrim 61,23 </w:t>
      </w:r>
      <w:proofErr w:type="spellStart"/>
      <w:r w:rsidRPr="001723F4">
        <w:rPr>
          <w:i/>
        </w:rPr>
        <w:t>euro</w:t>
      </w:r>
      <w:proofErr w:type="spellEnd"/>
      <w:r w:rsidRPr="001723F4">
        <w:rPr>
          <w:i/>
        </w:rPr>
        <w:t xml:space="preserve"> </w:t>
      </w:r>
      <w:r w:rsidRPr="001723F4">
        <w:t>apmērā (turpmāk – lēmums Nr. 20);</w:t>
      </w:r>
    </w:p>
    <w:p w14:paraId="7715D7CF" w14:textId="781DD7D9" w:rsidR="002424BA" w:rsidRPr="001723F4" w:rsidRDefault="002424BA" w:rsidP="001B7ECD">
      <w:pPr>
        <w:spacing w:line="276" w:lineRule="auto"/>
        <w:ind w:firstLine="709"/>
        <w:jc w:val="both"/>
      </w:pPr>
      <w:r w:rsidRPr="001723F4">
        <w:t xml:space="preserve">4) par pasta pakalpojumiem </w:t>
      </w:r>
      <w:r w:rsidR="00D978CE" w:rsidRPr="001723F4">
        <w:t xml:space="preserve">laika posmā </w:t>
      </w:r>
      <w:r w:rsidRPr="001723F4">
        <w:t xml:space="preserve">no </w:t>
      </w:r>
      <w:proofErr w:type="gramStart"/>
      <w:r w:rsidRPr="001723F4">
        <w:t>2019.gada</w:t>
      </w:r>
      <w:proofErr w:type="gramEnd"/>
      <w:r w:rsidRPr="001723F4">
        <w:t xml:space="preserve"> marta līdz 2019.gada jūnijam 18,25 </w:t>
      </w:r>
      <w:proofErr w:type="spellStart"/>
      <w:r w:rsidRPr="001723F4">
        <w:rPr>
          <w:i/>
        </w:rPr>
        <w:t>euro</w:t>
      </w:r>
      <w:proofErr w:type="spellEnd"/>
      <w:r w:rsidRPr="001723F4">
        <w:rPr>
          <w:i/>
        </w:rPr>
        <w:t xml:space="preserve"> </w:t>
      </w:r>
      <w:r w:rsidRPr="001723F4">
        <w:t xml:space="preserve">apmērā (turpmāk – lēmums Nr. 17) un pasta pakalpojumiem </w:t>
      </w:r>
      <w:r w:rsidR="00D978CE" w:rsidRPr="001723F4">
        <w:t>laika posmā</w:t>
      </w:r>
      <w:r w:rsidRPr="001723F4">
        <w:t xml:space="preserve"> no 2018.gada jūlija līdz 2018.gada augustam 44,65 </w:t>
      </w:r>
      <w:proofErr w:type="spellStart"/>
      <w:r w:rsidRPr="001723F4">
        <w:rPr>
          <w:i/>
        </w:rPr>
        <w:t>euro</w:t>
      </w:r>
      <w:proofErr w:type="spellEnd"/>
      <w:r w:rsidRPr="001723F4">
        <w:rPr>
          <w:i/>
        </w:rPr>
        <w:t xml:space="preserve"> </w:t>
      </w:r>
      <w:r w:rsidRPr="001723F4">
        <w:t xml:space="preserve">apmērā (turpmāk – lēmums Nr. 24); </w:t>
      </w:r>
    </w:p>
    <w:p w14:paraId="1C050B0D" w14:textId="0E1F4DD2" w:rsidR="002424BA" w:rsidRPr="001723F4" w:rsidRDefault="002424BA" w:rsidP="001B7ECD">
      <w:pPr>
        <w:spacing w:line="276" w:lineRule="auto"/>
        <w:ind w:firstLine="709"/>
        <w:jc w:val="both"/>
      </w:pPr>
      <w:r w:rsidRPr="001723F4">
        <w:t xml:space="preserve">6) par degvielas pakalpojumiem </w:t>
      </w:r>
      <w:r w:rsidR="00D978CE" w:rsidRPr="001723F4">
        <w:t xml:space="preserve">laika posmā </w:t>
      </w:r>
      <w:r w:rsidRPr="001723F4">
        <w:t xml:space="preserve">no </w:t>
      </w:r>
      <w:proofErr w:type="gramStart"/>
      <w:r w:rsidRPr="001723F4">
        <w:t>2019.gada</w:t>
      </w:r>
      <w:proofErr w:type="gramEnd"/>
      <w:r w:rsidRPr="001723F4">
        <w:t xml:space="preserve"> marta līdz 2019.gada decembrim 21,65 </w:t>
      </w:r>
      <w:proofErr w:type="spellStart"/>
      <w:r w:rsidRPr="001723F4">
        <w:rPr>
          <w:i/>
        </w:rPr>
        <w:t>euro</w:t>
      </w:r>
      <w:proofErr w:type="spellEnd"/>
      <w:r w:rsidRPr="001723F4">
        <w:rPr>
          <w:i/>
        </w:rPr>
        <w:t xml:space="preserve"> </w:t>
      </w:r>
      <w:r w:rsidRPr="001723F4">
        <w:t xml:space="preserve">apmērā (turpmāk – lēmums Nr. 18) un degvielas pakalpojumiem </w:t>
      </w:r>
      <w:r w:rsidR="00D978CE" w:rsidRPr="001723F4">
        <w:t>laika posmā</w:t>
      </w:r>
      <w:r w:rsidRPr="001723F4">
        <w:t xml:space="preserve"> no 2018.gada maija līdz 2018.gada novembrim 25,68 </w:t>
      </w:r>
      <w:proofErr w:type="spellStart"/>
      <w:r w:rsidRPr="001723F4">
        <w:rPr>
          <w:i/>
        </w:rPr>
        <w:t>euro</w:t>
      </w:r>
      <w:proofErr w:type="spellEnd"/>
      <w:r w:rsidRPr="001723F4">
        <w:t xml:space="preserve"> apmērā (turpmāk – lēmums Nr. 25).</w:t>
      </w:r>
    </w:p>
    <w:p w14:paraId="0885A61A" w14:textId="77777777" w:rsidR="00082F25" w:rsidRPr="001723F4" w:rsidRDefault="00082F25" w:rsidP="001B7ECD">
      <w:pPr>
        <w:spacing w:line="276" w:lineRule="auto"/>
        <w:ind w:firstLine="709"/>
        <w:jc w:val="both"/>
      </w:pPr>
      <w:r w:rsidRPr="001723F4">
        <w:t>Sūdzībā norādīti šādi apstākļi.</w:t>
      </w:r>
    </w:p>
    <w:p w14:paraId="0A41E5A7" w14:textId="7FA31DCD" w:rsidR="00082F25" w:rsidRPr="001723F4" w:rsidRDefault="00082F25" w:rsidP="001B7ECD">
      <w:pPr>
        <w:spacing w:line="276" w:lineRule="auto"/>
        <w:ind w:firstLine="709"/>
        <w:jc w:val="both"/>
      </w:pPr>
      <w:r w:rsidRPr="001723F4">
        <w:t xml:space="preserve">[1.1] Ar Rīgas pilsētas Latgales priekšpilsētas tiesas </w:t>
      </w:r>
      <w:proofErr w:type="gramStart"/>
      <w:r w:rsidRPr="001723F4">
        <w:t>2018.gada</w:t>
      </w:r>
      <w:proofErr w:type="gramEnd"/>
      <w:r w:rsidRPr="001723F4">
        <w:t xml:space="preserve"> 15.maija spriedumu pasludināts</w:t>
      </w:r>
      <w:r w:rsidR="004F0B3C" w:rsidRPr="001723F4">
        <w:t xml:space="preserve"> SIA „</w:t>
      </w:r>
      <w:proofErr w:type="spellStart"/>
      <w:r w:rsidR="004F0B3C" w:rsidRPr="001723F4">
        <w:t>Baltic</w:t>
      </w:r>
      <w:proofErr w:type="spellEnd"/>
      <w:r w:rsidR="004F0B3C" w:rsidRPr="001723F4">
        <w:t xml:space="preserve"> </w:t>
      </w:r>
      <w:proofErr w:type="spellStart"/>
      <w:r w:rsidR="004F0B3C" w:rsidRPr="001723F4">
        <w:t>Polymers</w:t>
      </w:r>
      <w:proofErr w:type="spellEnd"/>
      <w:r w:rsidR="004F0B3C" w:rsidRPr="001723F4">
        <w:t xml:space="preserve">” </w:t>
      </w:r>
      <w:r w:rsidRPr="001723F4">
        <w:t xml:space="preserve">maksātnespējas process un par </w:t>
      </w:r>
      <w:r w:rsidR="004F0B3C" w:rsidRPr="001723F4">
        <w:t xml:space="preserve">tās </w:t>
      </w:r>
      <w:r w:rsidR="00D978CE" w:rsidRPr="001723F4">
        <w:t xml:space="preserve">maksātnespējas procesa </w:t>
      </w:r>
      <w:r w:rsidRPr="001723F4">
        <w:t>administrator</w:t>
      </w:r>
      <w:r w:rsidR="00D978CE" w:rsidRPr="001723F4">
        <w:t>i</w:t>
      </w:r>
      <w:r w:rsidRPr="001723F4">
        <w:t xml:space="preserve"> iecelta Baiba Didrihsone. </w:t>
      </w:r>
    </w:p>
    <w:p w14:paraId="1D13DF9B" w14:textId="04321747" w:rsidR="00082F25" w:rsidRPr="001723F4" w:rsidRDefault="00082F25" w:rsidP="001B7ECD">
      <w:pPr>
        <w:spacing w:line="276" w:lineRule="auto"/>
        <w:ind w:firstLine="709"/>
        <w:jc w:val="both"/>
      </w:pPr>
      <w:r w:rsidRPr="001723F4">
        <w:t xml:space="preserve">Saskaņā ar Maksātnespējas likuma </w:t>
      </w:r>
      <w:proofErr w:type="gramStart"/>
      <w:r w:rsidRPr="001723F4">
        <w:t>73.panta</w:t>
      </w:r>
      <w:proofErr w:type="gramEnd"/>
      <w:r w:rsidRPr="001723F4">
        <w:t xml:space="preserve"> devīto un desmito daļu administratore iekļāva </w:t>
      </w:r>
      <w:r w:rsidR="004F0B3C" w:rsidRPr="001723F4">
        <w:t>Maksātnespējas kontroles dienestu</w:t>
      </w:r>
      <w:r w:rsidRPr="001723F4">
        <w:t xml:space="preserve"> parādnieces </w:t>
      </w:r>
      <w:r w:rsidR="00D978CE" w:rsidRPr="001723F4">
        <w:t xml:space="preserve">2018.gada 20.decembra </w:t>
      </w:r>
      <w:r w:rsidRPr="001723F4">
        <w:t>kreditoru prasījum</w:t>
      </w:r>
      <w:r w:rsidR="00D978CE" w:rsidRPr="001723F4">
        <w:t>u</w:t>
      </w:r>
      <w:r w:rsidRPr="001723F4">
        <w:t xml:space="preserve"> reģ</w:t>
      </w:r>
      <w:r w:rsidR="004F0B3C" w:rsidRPr="001723F4">
        <w:t xml:space="preserve">istrā ar </w:t>
      </w:r>
      <w:r w:rsidR="00D978CE" w:rsidRPr="001723F4">
        <w:t xml:space="preserve">25 698,60 </w:t>
      </w:r>
      <w:proofErr w:type="spellStart"/>
      <w:r w:rsidR="00D978CE" w:rsidRPr="001723F4">
        <w:rPr>
          <w:i/>
        </w:rPr>
        <w:t>euro</w:t>
      </w:r>
      <w:proofErr w:type="spellEnd"/>
      <w:r w:rsidR="00D978CE" w:rsidRPr="001723F4">
        <w:t xml:space="preserve"> </w:t>
      </w:r>
      <w:r w:rsidR="004F0B3C" w:rsidRPr="001723F4">
        <w:t>kreditora prasījumu</w:t>
      </w:r>
      <w:r w:rsidRPr="001723F4">
        <w:t xml:space="preserve">. </w:t>
      </w:r>
    </w:p>
    <w:p w14:paraId="53919C14" w14:textId="646F46A8" w:rsidR="00082F25" w:rsidRPr="001723F4" w:rsidRDefault="004F0B3C" w:rsidP="001B7ECD">
      <w:pPr>
        <w:spacing w:line="276" w:lineRule="auto"/>
        <w:ind w:firstLine="709"/>
        <w:jc w:val="both"/>
      </w:pPr>
      <w:r w:rsidRPr="001723F4">
        <w:lastRenderedPageBreak/>
        <w:t xml:space="preserve">[1.2] </w:t>
      </w:r>
      <w:proofErr w:type="gramStart"/>
      <w:r w:rsidR="00082F25" w:rsidRPr="001723F4">
        <w:t>2020.gada</w:t>
      </w:r>
      <w:proofErr w:type="gramEnd"/>
      <w:r w:rsidR="00082F25" w:rsidRPr="001723F4">
        <w:t xml:space="preserve"> 13.jūlijā notika parādnieces kreditoru sapulce</w:t>
      </w:r>
      <w:r w:rsidR="004A5448" w:rsidRPr="001723F4">
        <w:t>, kurā</w:t>
      </w:r>
      <w:r w:rsidR="00E51A75" w:rsidRPr="001723F4">
        <w:t xml:space="preserve">, </w:t>
      </w:r>
      <w:r w:rsidR="002424BA" w:rsidRPr="001723F4">
        <w:t>Maksātnespējas kontroles dienestam un Valsts ieņēmumu dienestam balsojot „Pret”, AS „Citadele banka” un SIA „Citadele līzings un faktorings” balsojot „Par”, cit</w:t>
      </w:r>
      <w:r w:rsidR="004A5448" w:rsidRPr="001723F4">
        <w:t>u</w:t>
      </w:r>
      <w:r w:rsidR="002424BA" w:rsidRPr="001723F4">
        <w:t xml:space="preserve"> starpā pieņemti lēmumi par šādu maksātnespējas procesa izdevumu apstiprināšanu: </w:t>
      </w:r>
    </w:p>
    <w:p w14:paraId="141D92AB" w14:textId="18283DC8" w:rsidR="00082F25" w:rsidRPr="001723F4" w:rsidRDefault="004F0B3C" w:rsidP="001B7ECD">
      <w:pPr>
        <w:spacing w:line="276" w:lineRule="auto"/>
        <w:ind w:firstLine="709"/>
        <w:jc w:val="both"/>
      </w:pPr>
      <w:r w:rsidRPr="001723F4">
        <w:t xml:space="preserve">1) tiesvedību monitorings </w:t>
      </w:r>
      <w:r w:rsidR="00082F25" w:rsidRPr="001723F4">
        <w:t>0,90</w:t>
      </w:r>
      <w:r w:rsidRPr="001723F4">
        <w:t> </w:t>
      </w:r>
      <w:proofErr w:type="spellStart"/>
      <w:r w:rsidRPr="001723F4">
        <w:rPr>
          <w:i/>
        </w:rPr>
        <w:t>euro</w:t>
      </w:r>
      <w:proofErr w:type="spellEnd"/>
      <w:r w:rsidR="00082F25" w:rsidRPr="001723F4">
        <w:t xml:space="preserve"> (lēmums Nr.</w:t>
      </w:r>
      <w:r w:rsidR="000566CC" w:rsidRPr="001723F4">
        <w:t> </w:t>
      </w:r>
      <w:r w:rsidR="00082F25" w:rsidRPr="001723F4">
        <w:t xml:space="preserve">1); </w:t>
      </w:r>
    </w:p>
    <w:p w14:paraId="4D907712" w14:textId="08C72FA0" w:rsidR="00082F25" w:rsidRPr="001723F4" w:rsidRDefault="004F0B3C" w:rsidP="001B7ECD">
      <w:pPr>
        <w:spacing w:line="276" w:lineRule="auto"/>
        <w:ind w:firstLine="709"/>
        <w:jc w:val="both"/>
      </w:pPr>
      <w:r w:rsidRPr="001723F4">
        <w:t>2) a</w:t>
      </w:r>
      <w:r w:rsidR="00082F25" w:rsidRPr="001723F4">
        <w:t xml:space="preserve">psardzes pakalpojumu izdevumi </w:t>
      </w:r>
      <w:proofErr w:type="gramStart"/>
      <w:r w:rsidRPr="001723F4">
        <w:t>2020.gad</w:t>
      </w:r>
      <w:r w:rsidR="000566CC" w:rsidRPr="001723F4">
        <w:t>a</w:t>
      </w:r>
      <w:proofErr w:type="gramEnd"/>
      <w:r w:rsidR="000566CC" w:rsidRPr="001723F4">
        <w:t xml:space="preserve"> jūlijā</w:t>
      </w:r>
      <w:r w:rsidRPr="001723F4">
        <w:t xml:space="preserve"> 1,76 </w:t>
      </w:r>
      <w:proofErr w:type="spellStart"/>
      <w:r w:rsidRPr="001723F4">
        <w:rPr>
          <w:i/>
        </w:rPr>
        <w:t>euro</w:t>
      </w:r>
      <w:proofErr w:type="spellEnd"/>
      <w:r w:rsidRPr="001723F4">
        <w:t xml:space="preserve"> (</w:t>
      </w:r>
      <w:r w:rsidR="00082F25" w:rsidRPr="001723F4">
        <w:t>lēmums Nr.</w:t>
      </w:r>
      <w:r w:rsidR="000566CC" w:rsidRPr="001723F4">
        <w:t> </w:t>
      </w:r>
      <w:r w:rsidR="00082F25" w:rsidRPr="001723F4">
        <w:t xml:space="preserve">3); </w:t>
      </w:r>
    </w:p>
    <w:p w14:paraId="3A34DC49" w14:textId="5B0C9FAD" w:rsidR="00082F25" w:rsidRPr="001723F4" w:rsidRDefault="004F0B3C" w:rsidP="001B7ECD">
      <w:pPr>
        <w:spacing w:line="276" w:lineRule="auto"/>
        <w:ind w:firstLine="709"/>
        <w:jc w:val="both"/>
        <w:rPr>
          <w:i/>
        </w:rPr>
      </w:pPr>
      <w:r w:rsidRPr="001723F4">
        <w:t>3) a</w:t>
      </w:r>
      <w:r w:rsidR="00082F25" w:rsidRPr="001723F4">
        <w:t>psardzes pakalpojumu izdevumi</w:t>
      </w:r>
      <w:r w:rsidRPr="001723F4">
        <w:t xml:space="preserve"> par </w:t>
      </w:r>
      <w:r w:rsidR="004A5448" w:rsidRPr="001723F4">
        <w:t>laika posm</w:t>
      </w:r>
      <w:r w:rsidRPr="001723F4">
        <w:t xml:space="preserve">u no </w:t>
      </w:r>
      <w:proofErr w:type="gramStart"/>
      <w:r w:rsidRPr="001723F4">
        <w:t>2020.gada</w:t>
      </w:r>
      <w:proofErr w:type="gramEnd"/>
      <w:r w:rsidRPr="001723F4">
        <w:t xml:space="preserve"> janvāra līdz 2020.gada jūnijam 9,60 </w:t>
      </w:r>
      <w:proofErr w:type="spellStart"/>
      <w:r w:rsidRPr="001723F4">
        <w:rPr>
          <w:i/>
        </w:rPr>
        <w:t>euro</w:t>
      </w:r>
      <w:proofErr w:type="spellEnd"/>
      <w:r w:rsidRPr="001723F4">
        <w:t xml:space="preserve"> </w:t>
      </w:r>
      <w:r w:rsidR="00082F25" w:rsidRPr="001723F4">
        <w:t>(lēmums Nr.</w:t>
      </w:r>
      <w:r w:rsidR="000566CC" w:rsidRPr="001723F4">
        <w:t> </w:t>
      </w:r>
      <w:r w:rsidR="00082F25" w:rsidRPr="001723F4">
        <w:t xml:space="preserve">5); </w:t>
      </w:r>
    </w:p>
    <w:p w14:paraId="18F3A1D5" w14:textId="37FA05CC" w:rsidR="00082F25" w:rsidRPr="001723F4" w:rsidRDefault="004F0B3C" w:rsidP="001B7ECD">
      <w:pPr>
        <w:spacing w:line="276" w:lineRule="auto"/>
        <w:ind w:firstLine="709"/>
        <w:jc w:val="both"/>
      </w:pPr>
      <w:r w:rsidRPr="001723F4">
        <w:t>4) g</w:t>
      </w:r>
      <w:r w:rsidR="00082F25" w:rsidRPr="001723F4">
        <w:t>rāmatvedības pakalpojumu izdevumi</w:t>
      </w:r>
      <w:r w:rsidRPr="001723F4">
        <w:t xml:space="preserve"> par </w:t>
      </w:r>
      <w:r w:rsidR="004A5448" w:rsidRPr="001723F4">
        <w:t>laika posmu</w:t>
      </w:r>
      <w:r w:rsidRPr="001723F4">
        <w:t xml:space="preserve"> no </w:t>
      </w:r>
      <w:proofErr w:type="gramStart"/>
      <w:r w:rsidRPr="001723F4">
        <w:t>2019.gada</w:t>
      </w:r>
      <w:proofErr w:type="gramEnd"/>
      <w:r w:rsidRPr="001723F4">
        <w:t xml:space="preserve"> janvāra līdz decembrim</w:t>
      </w:r>
      <w:r w:rsidR="00082F25" w:rsidRPr="001723F4">
        <w:t xml:space="preserve"> 91,84</w:t>
      </w:r>
      <w:r w:rsidRPr="001723F4">
        <w:t> </w:t>
      </w:r>
      <w:proofErr w:type="spellStart"/>
      <w:r w:rsidRPr="001723F4">
        <w:rPr>
          <w:i/>
        </w:rPr>
        <w:t>euro</w:t>
      </w:r>
      <w:proofErr w:type="spellEnd"/>
      <w:r w:rsidRPr="001723F4">
        <w:rPr>
          <w:i/>
        </w:rPr>
        <w:t xml:space="preserve"> </w:t>
      </w:r>
      <w:r w:rsidRPr="001723F4">
        <w:t>(l</w:t>
      </w:r>
      <w:r w:rsidR="00082F25" w:rsidRPr="001723F4">
        <w:t>ēmums Nr.</w:t>
      </w:r>
      <w:r w:rsidR="000566CC" w:rsidRPr="001723F4">
        <w:t> </w:t>
      </w:r>
      <w:r w:rsidR="00082F25" w:rsidRPr="001723F4">
        <w:t xml:space="preserve">13); </w:t>
      </w:r>
    </w:p>
    <w:p w14:paraId="55941C87" w14:textId="3E8C7ACE" w:rsidR="00082F25" w:rsidRPr="001723F4" w:rsidRDefault="004F0B3C" w:rsidP="001B7ECD">
      <w:pPr>
        <w:spacing w:line="276" w:lineRule="auto"/>
        <w:ind w:firstLine="709"/>
        <w:jc w:val="both"/>
      </w:pPr>
      <w:r w:rsidRPr="001723F4">
        <w:t>5) p</w:t>
      </w:r>
      <w:r w:rsidR="00082F25" w:rsidRPr="001723F4">
        <w:t>asta pakalpojumu izdevumi p</w:t>
      </w:r>
      <w:r w:rsidR="000566CC" w:rsidRPr="001723F4">
        <w:t xml:space="preserve">ar </w:t>
      </w:r>
      <w:r w:rsidR="004A5448" w:rsidRPr="001723F4">
        <w:t>laika posmu</w:t>
      </w:r>
      <w:r w:rsidR="000566CC" w:rsidRPr="001723F4">
        <w:t xml:space="preserve"> no </w:t>
      </w:r>
      <w:proofErr w:type="gramStart"/>
      <w:r w:rsidR="000566CC" w:rsidRPr="001723F4">
        <w:t>2019.gada</w:t>
      </w:r>
      <w:proofErr w:type="gramEnd"/>
      <w:r w:rsidR="000566CC" w:rsidRPr="001723F4">
        <w:t xml:space="preserve"> marta līdz 2019.gada jūnijam 18,25 </w:t>
      </w:r>
      <w:proofErr w:type="spellStart"/>
      <w:r w:rsidR="000566CC" w:rsidRPr="001723F4">
        <w:rPr>
          <w:i/>
        </w:rPr>
        <w:t>euro</w:t>
      </w:r>
      <w:proofErr w:type="spellEnd"/>
      <w:r w:rsidR="000566CC" w:rsidRPr="001723F4">
        <w:rPr>
          <w:i/>
        </w:rPr>
        <w:t xml:space="preserve"> </w:t>
      </w:r>
      <w:r w:rsidR="000566CC" w:rsidRPr="001723F4">
        <w:t>(l</w:t>
      </w:r>
      <w:r w:rsidR="00082F25" w:rsidRPr="001723F4">
        <w:t>ēmums Nr.</w:t>
      </w:r>
      <w:r w:rsidR="000566CC" w:rsidRPr="001723F4">
        <w:t> </w:t>
      </w:r>
      <w:r w:rsidR="00082F25" w:rsidRPr="001723F4">
        <w:t xml:space="preserve">17); </w:t>
      </w:r>
    </w:p>
    <w:p w14:paraId="2E175111" w14:textId="271F7435" w:rsidR="00082F25" w:rsidRPr="001723F4" w:rsidRDefault="000566CC" w:rsidP="001B7ECD">
      <w:pPr>
        <w:spacing w:line="276" w:lineRule="auto"/>
        <w:ind w:firstLine="709"/>
        <w:jc w:val="both"/>
      </w:pPr>
      <w:r w:rsidRPr="001723F4">
        <w:t>6) d</w:t>
      </w:r>
      <w:r w:rsidR="00082F25" w:rsidRPr="001723F4">
        <w:t>egvielas pakalpojumu izdevumi p</w:t>
      </w:r>
      <w:r w:rsidRPr="001723F4">
        <w:t xml:space="preserve">ar </w:t>
      </w:r>
      <w:r w:rsidR="004A5448" w:rsidRPr="001723F4">
        <w:t>laika posmu</w:t>
      </w:r>
      <w:r w:rsidRPr="001723F4">
        <w:t xml:space="preserve"> no </w:t>
      </w:r>
      <w:proofErr w:type="gramStart"/>
      <w:r w:rsidRPr="001723F4">
        <w:t>2019.gada</w:t>
      </w:r>
      <w:proofErr w:type="gramEnd"/>
      <w:r w:rsidRPr="001723F4">
        <w:t xml:space="preserve"> marta līdz 2019.gada decembrim 21,65 </w:t>
      </w:r>
      <w:proofErr w:type="spellStart"/>
      <w:r w:rsidRPr="001723F4">
        <w:rPr>
          <w:i/>
        </w:rPr>
        <w:t>euro</w:t>
      </w:r>
      <w:proofErr w:type="spellEnd"/>
      <w:r w:rsidRPr="001723F4">
        <w:rPr>
          <w:i/>
        </w:rPr>
        <w:t xml:space="preserve"> </w:t>
      </w:r>
      <w:r w:rsidRPr="001723F4">
        <w:t>(l</w:t>
      </w:r>
      <w:r w:rsidR="00082F25" w:rsidRPr="001723F4">
        <w:t>ēmums Nr.</w:t>
      </w:r>
      <w:r w:rsidRPr="001723F4">
        <w:t> </w:t>
      </w:r>
      <w:r w:rsidR="00082F25" w:rsidRPr="001723F4">
        <w:t xml:space="preserve">18); </w:t>
      </w:r>
    </w:p>
    <w:p w14:paraId="4F8DD3D7" w14:textId="1EB12319" w:rsidR="00082F25" w:rsidRPr="001723F4" w:rsidRDefault="000566CC" w:rsidP="001B7ECD">
      <w:pPr>
        <w:spacing w:line="276" w:lineRule="auto"/>
        <w:ind w:firstLine="709"/>
        <w:jc w:val="both"/>
      </w:pPr>
      <w:r w:rsidRPr="001723F4">
        <w:t>7) g</w:t>
      </w:r>
      <w:r w:rsidR="00082F25" w:rsidRPr="001723F4">
        <w:t>rāmatvedības pakalpojumu izdevumi p</w:t>
      </w:r>
      <w:r w:rsidRPr="001723F4">
        <w:t xml:space="preserve">ar </w:t>
      </w:r>
      <w:r w:rsidR="004A5448" w:rsidRPr="001723F4">
        <w:t>laika posmu</w:t>
      </w:r>
      <w:r w:rsidRPr="001723F4">
        <w:t xml:space="preserve"> no </w:t>
      </w:r>
      <w:proofErr w:type="gramStart"/>
      <w:r w:rsidRPr="001723F4">
        <w:t>2018.gada</w:t>
      </w:r>
      <w:proofErr w:type="gramEnd"/>
      <w:r w:rsidRPr="001723F4">
        <w:t xml:space="preserve"> maija līdz 2018.gada decembrim 61,23 </w:t>
      </w:r>
      <w:proofErr w:type="spellStart"/>
      <w:r w:rsidRPr="001723F4">
        <w:rPr>
          <w:i/>
        </w:rPr>
        <w:t>euro</w:t>
      </w:r>
      <w:proofErr w:type="spellEnd"/>
      <w:r w:rsidRPr="001723F4">
        <w:rPr>
          <w:i/>
        </w:rPr>
        <w:t xml:space="preserve"> </w:t>
      </w:r>
      <w:r w:rsidRPr="001723F4">
        <w:t>(l</w:t>
      </w:r>
      <w:r w:rsidR="00082F25" w:rsidRPr="001723F4">
        <w:t>ēmums Nr.</w:t>
      </w:r>
      <w:r w:rsidRPr="001723F4">
        <w:t> </w:t>
      </w:r>
      <w:r w:rsidR="00082F25" w:rsidRPr="001723F4">
        <w:t xml:space="preserve">20); </w:t>
      </w:r>
    </w:p>
    <w:p w14:paraId="0F04B0B5" w14:textId="71E6CC0B" w:rsidR="00082F25" w:rsidRPr="001723F4" w:rsidRDefault="000566CC" w:rsidP="001B7ECD">
      <w:pPr>
        <w:spacing w:line="276" w:lineRule="auto"/>
        <w:ind w:firstLine="709"/>
        <w:jc w:val="both"/>
      </w:pPr>
      <w:r w:rsidRPr="001723F4">
        <w:t>8) pasta pakalpojum</w:t>
      </w:r>
      <w:r w:rsidR="004A5448" w:rsidRPr="001723F4">
        <w:t>u</w:t>
      </w:r>
      <w:r w:rsidRPr="001723F4">
        <w:t xml:space="preserve"> izdevumi par </w:t>
      </w:r>
      <w:r w:rsidR="004A5448" w:rsidRPr="001723F4">
        <w:t>laika posmu</w:t>
      </w:r>
      <w:r w:rsidRPr="001723F4">
        <w:t xml:space="preserve"> no</w:t>
      </w:r>
      <w:r w:rsidR="00082F25" w:rsidRPr="001723F4">
        <w:t xml:space="preserve"> </w:t>
      </w:r>
      <w:proofErr w:type="gramStart"/>
      <w:r w:rsidR="00082F25" w:rsidRPr="001723F4">
        <w:t>20</w:t>
      </w:r>
      <w:r w:rsidRPr="001723F4">
        <w:t>18.gada</w:t>
      </w:r>
      <w:proofErr w:type="gramEnd"/>
      <w:r w:rsidRPr="001723F4">
        <w:t xml:space="preserve"> jūlija līdz 2018.gada augustam 44,65 </w:t>
      </w:r>
      <w:proofErr w:type="spellStart"/>
      <w:r w:rsidRPr="001723F4">
        <w:rPr>
          <w:i/>
        </w:rPr>
        <w:t>euro</w:t>
      </w:r>
      <w:proofErr w:type="spellEnd"/>
      <w:r w:rsidRPr="001723F4">
        <w:rPr>
          <w:i/>
        </w:rPr>
        <w:t xml:space="preserve"> </w:t>
      </w:r>
      <w:r w:rsidR="00082F25" w:rsidRPr="001723F4">
        <w:t>(</w:t>
      </w:r>
      <w:r w:rsidRPr="001723F4">
        <w:t>l</w:t>
      </w:r>
      <w:r w:rsidR="00082F25" w:rsidRPr="001723F4">
        <w:t>ēmums Nr.</w:t>
      </w:r>
      <w:r w:rsidRPr="001723F4">
        <w:t> </w:t>
      </w:r>
      <w:r w:rsidR="00082F25" w:rsidRPr="001723F4">
        <w:t xml:space="preserve">24); </w:t>
      </w:r>
    </w:p>
    <w:p w14:paraId="41FBBBD0" w14:textId="5AFCD52E" w:rsidR="00082F25" w:rsidRPr="001723F4" w:rsidRDefault="000566CC" w:rsidP="001B7ECD">
      <w:pPr>
        <w:spacing w:line="276" w:lineRule="auto"/>
        <w:ind w:firstLine="709"/>
        <w:jc w:val="both"/>
      </w:pPr>
      <w:r w:rsidRPr="001723F4">
        <w:t>9) degvielas pakalpojum</w:t>
      </w:r>
      <w:r w:rsidR="004A5448" w:rsidRPr="001723F4">
        <w:t>u</w:t>
      </w:r>
      <w:r w:rsidRPr="001723F4">
        <w:t xml:space="preserve"> izdevumi par </w:t>
      </w:r>
      <w:r w:rsidR="004A5448" w:rsidRPr="001723F4">
        <w:t>laika posmu</w:t>
      </w:r>
      <w:r w:rsidRPr="001723F4">
        <w:t xml:space="preserve"> no </w:t>
      </w:r>
      <w:proofErr w:type="gramStart"/>
      <w:r w:rsidR="00082F25" w:rsidRPr="001723F4">
        <w:t>2018</w:t>
      </w:r>
      <w:r w:rsidRPr="001723F4">
        <w:t>.gada</w:t>
      </w:r>
      <w:proofErr w:type="gramEnd"/>
      <w:r w:rsidRPr="001723F4">
        <w:t xml:space="preserve"> maija līdz 2018.gada </w:t>
      </w:r>
      <w:r w:rsidR="00082F25" w:rsidRPr="001723F4">
        <w:t>novembri</w:t>
      </w:r>
      <w:r w:rsidRPr="001723F4">
        <w:t xml:space="preserve">m </w:t>
      </w:r>
      <w:r w:rsidR="00082F25" w:rsidRPr="001723F4">
        <w:t>25,68</w:t>
      </w:r>
      <w:r w:rsidRPr="001723F4">
        <w:t> </w:t>
      </w:r>
      <w:proofErr w:type="spellStart"/>
      <w:r w:rsidRPr="001723F4">
        <w:rPr>
          <w:i/>
        </w:rPr>
        <w:t>euro</w:t>
      </w:r>
      <w:proofErr w:type="spellEnd"/>
      <w:r w:rsidRPr="001723F4">
        <w:t xml:space="preserve"> (l</w:t>
      </w:r>
      <w:r w:rsidR="00082F25" w:rsidRPr="001723F4">
        <w:t>ēmums Nr.</w:t>
      </w:r>
      <w:r w:rsidRPr="001723F4">
        <w:t> </w:t>
      </w:r>
      <w:r w:rsidR="00F71C91" w:rsidRPr="001723F4">
        <w:t>25).</w:t>
      </w:r>
    </w:p>
    <w:p w14:paraId="7160ECE8" w14:textId="498E581E" w:rsidR="00082F25" w:rsidRPr="001723F4" w:rsidRDefault="000566CC" w:rsidP="001B7ECD">
      <w:pPr>
        <w:spacing w:line="276" w:lineRule="auto"/>
        <w:ind w:firstLine="709"/>
        <w:jc w:val="both"/>
      </w:pPr>
      <w:r w:rsidRPr="001723F4">
        <w:t>Ar iepriekšminētajiem kreditoru sapulces lēmumiem apstiprināti maksātnespējīgās SIA </w:t>
      </w:r>
      <w:r w:rsidR="00082F25" w:rsidRPr="001723F4">
        <w:t>,,</w:t>
      </w:r>
      <w:proofErr w:type="spellStart"/>
      <w:r w:rsidR="00082F25" w:rsidRPr="001723F4">
        <w:t>Baltic</w:t>
      </w:r>
      <w:proofErr w:type="spellEnd"/>
      <w:r w:rsidR="00082F25" w:rsidRPr="001723F4">
        <w:t xml:space="preserve"> </w:t>
      </w:r>
      <w:proofErr w:type="spellStart"/>
      <w:r w:rsidR="00082F25" w:rsidRPr="001723F4">
        <w:t>Polymers</w:t>
      </w:r>
      <w:proofErr w:type="spellEnd"/>
      <w:r w:rsidR="00082F25" w:rsidRPr="001723F4">
        <w:t>” maksātnespēj</w:t>
      </w:r>
      <w:r w:rsidRPr="001723F4">
        <w:t xml:space="preserve">as procesa izdevumi 275,56 </w:t>
      </w:r>
      <w:proofErr w:type="spellStart"/>
      <w:r w:rsidRPr="001723F4">
        <w:rPr>
          <w:i/>
        </w:rPr>
        <w:t>euro</w:t>
      </w:r>
      <w:proofErr w:type="spellEnd"/>
      <w:r w:rsidRPr="001723F4">
        <w:rPr>
          <w:i/>
        </w:rPr>
        <w:t xml:space="preserve"> </w:t>
      </w:r>
      <w:r w:rsidR="004A5448" w:rsidRPr="001723F4">
        <w:t xml:space="preserve">kopējā </w:t>
      </w:r>
      <w:r w:rsidR="00082F25" w:rsidRPr="001723F4">
        <w:t>apmērā.</w:t>
      </w:r>
    </w:p>
    <w:p w14:paraId="37BC1FD4" w14:textId="1928CED9" w:rsidR="00082F25" w:rsidRPr="001723F4" w:rsidRDefault="000566CC" w:rsidP="001B7ECD">
      <w:pPr>
        <w:spacing w:line="276" w:lineRule="auto"/>
        <w:ind w:firstLine="709"/>
        <w:jc w:val="both"/>
      </w:pPr>
      <w:r w:rsidRPr="001723F4">
        <w:t>[1.</w:t>
      </w:r>
      <w:r w:rsidR="004A5448" w:rsidRPr="001723F4">
        <w:t>3</w:t>
      </w:r>
      <w:r w:rsidRPr="001723F4">
        <w:t xml:space="preserve">] </w:t>
      </w:r>
      <w:r w:rsidR="00F71C91" w:rsidRPr="001723F4">
        <w:t>Minētie l</w:t>
      </w:r>
      <w:r w:rsidR="00082F25" w:rsidRPr="001723F4">
        <w:t xml:space="preserve">ēmumi par maksātnespējas procesa izdevumu apstiprināšanu </w:t>
      </w:r>
      <w:r w:rsidR="00D64937" w:rsidRPr="001723F4">
        <w:t xml:space="preserve">ir pretrunā Maksātnespējas likuma </w:t>
      </w:r>
      <w:proofErr w:type="gramStart"/>
      <w:r w:rsidR="00D64937" w:rsidRPr="001723F4">
        <w:t>1.pantā</w:t>
      </w:r>
      <w:proofErr w:type="gramEnd"/>
      <w:r w:rsidR="00D64937" w:rsidRPr="001723F4">
        <w:t xml:space="preserve"> ietvertajam maksātnespējas procesa mērķim un </w:t>
      </w:r>
      <w:r w:rsidR="00082F25" w:rsidRPr="001723F4">
        <w:t>neatbi</w:t>
      </w:r>
      <w:r w:rsidR="00F71C91" w:rsidRPr="001723F4">
        <w:t>lst kreditoru kopuma interesēm</w:t>
      </w:r>
      <w:r w:rsidR="00D64937" w:rsidRPr="001723F4">
        <w:t xml:space="preserve">, jo </w:t>
      </w:r>
      <w:r w:rsidR="00F71C91" w:rsidRPr="001723F4">
        <w:t>nepamatotu maksātnespējas procesa izmaksu apstiprināšan</w:t>
      </w:r>
      <w:r w:rsidR="00D64937" w:rsidRPr="001723F4">
        <w:t>a</w:t>
      </w:r>
      <w:r w:rsidR="00F71C91" w:rsidRPr="001723F4">
        <w:t xml:space="preserve"> proporcionāli samazina visiem kreditoriem atgūstam</w:t>
      </w:r>
      <w:r w:rsidR="00D64937" w:rsidRPr="001723F4">
        <w:t>o</w:t>
      </w:r>
      <w:r w:rsidR="00F71C91" w:rsidRPr="001723F4">
        <w:t xml:space="preserve"> prasījum</w:t>
      </w:r>
      <w:r w:rsidR="00D64937" w:rsidRPr="001723F4">
        <w:t>u</w:t>
      </w:r>
      <w:r w:rsidR="00F71C91" w:rsidRPr="001723F4">
        <w:t xml:space="preserve"> apmēru. </w:t>
      </w:r>
      <w:r w:rsidR="00131957" w:rsidRPr="001723F4">
        <w:t xml:space="preserve">Saskaņā ar Maksātnespējas likuma </w:t>
      </w:r>
      <w:proofErr w:type="gramStart"/>
      <w:r w:rsidR="00131957" w:rsidRPr="001723F4">
        <w:t>170.panta</w:t>
      </w:r>
      <w:proofErr w:type="gramEnd"/>
      <w:r w:rsidR="00131957" w:rsidRPr="001723F4">
        <w:t xml:space="preserve"> otrās daļas 10.punktu j</w:t>
      </w:r>
      <w:r w:rsidR="00082F25" w:rsidRPr="001723F4">
        <w:t xml:space="preserve">uridiskās personas maksātnespējas procesa izmaksās pieļaujams ietvert tikai tādus izdevumus, </w:t>
      </w:r>
      <w:r w:rsidR="00131957" w:rsidRPr="001723F4">
        <w:t xml:space="preserve">kuri ir pamatoti un saistīti ar konkrētā maksātnespējas procesa nodrošināšanu, proti, </w:t>
      </w:r>
      <w:r w:rsidR="00082F25" w:rsidRPr="001723F4">
        <w:t xml:space="preserve">kurus iespējams attiecināt uz konkrētā maksātnespējas procesa nodrošināšanu. </w:t>
      </w:r>
      <w:r w:rsidRPr="001723F4">
        <w:t>A</w:t>
      </w:r>
      <w:r w:rsidR="00082F25" w:rsidRPr="001723F4">
        <w:t xml:space="preserve">dministratoram jānodrošina caurskatāmība norādīto izdevumu uzskaitē un maksātnespējas procesa izmaksas pamatojošo dokumentu pieejamība maksātnespējas procesa lietā. </w:t>
      </w:r>
    </w:p>
    <w:p w14:paraId="5F48C3F1" w14:textId="140F8954" w:rsidR="008F293F" w:rsidRPr="001723F4" w:rsidRDefault="00082F25" w:rsidP="001B7ECD">
      <w:pPr>
        <w:spacing w:line="276" w:lineRule="auto"/>
        <w:ind w:firstLine="709"/>
        <w:jc w:val="both"/>
      </w:pPr>
      <w:r w:rsidRPr="001723F4">
        <w:t>Administrator</w:t>
      </w:r>
      <w:r w:rsidR="00131957" w:rsidRPr="001723F4">
        <w:t>e</w:t>
      </w:r>
      <w:r w:rsidRPr="001723F4">
        <w:t xml:space="preserve"> kreditorus pirms sapulces sākuma iepazīstināja ar parādnieces maksātnespējas procesa izdevumu</w:t>
      </w:r>
      <w:r w:rsidR="00131957" w:rsidRPr="001723F4">
        <w:t>s</w:t>
      </w:r>
      <w:r w:rsidRPr="001723F4">
        <w:t xml:space="preserve"> pamatojošiem dokumentiem, tomēr, </w:t>
      </w:r>
      <w:r w:rsidR="00131957" w:rsidRPr="001723F4">
        <w:t xml:space="preserve">tos </w:t>
      </w:r>
      <w:r w:rsidRPr="001723F4">
        <w:t>izvērtējot</w:t>
      </w:r>
      <w:r w:rsidR="008F293F" w:rsidRPr="001723F4">
        <w:t>,</w:t>
      </w:r>
      <w:r w:rsidRPr="001723F4">
        <w:t xml:space="preserve"> konstatēts, ka rēķini, čeki un pavadzīmes nav attiecināmi uz parādnieces maksātnespējas procesu. </w:t>
      </w:r>
      <w:r w:rsidR="008F293F" w:rsidRPr="001723F4">
        <w:t>Tie nav izrakstīti uz SIA „</w:t>
      </w:r>
      <w:proofErr w:type="spellStart"/>
      <w:r w:rsidR="008F293F" w:rsidRPr="001723F4">
        <w:t>Baltic</w:t>
      </w:r>
      <w:proofErr w:type="spellEnd"/>
      <w:r w:rsidR="008F293F" w:rsidRPr="001723F4">
        <w:t xml:space="preserve"> </w:t>
      </w:r>
      <w:proofErr w:type="spellStart"/>
      <w:r w:rsidR="008F293F" w:rsidRPr="001723F4">
        <w:t>Polymers</w:t>
      </w:r>
      <w:proofErr w:type="spellEnd"/>
      <w:r w:rsidR="008F293F" w:rsidRPr="001723F4">
        <w:t>” vārda.</w:t>
      </w:r>
    </w:p>
    <w:p w14:paraId="33141630" w14:textId="18DFA0D6" w:rsidR="008F293F" w:rsidRPr="001723F4" w:rsidRDefault="008F293F" w:rsidP="001B7ECD">
      <w:pPr>
        <w:spacing w:line="276" w:lineRule="auto"/>
        <w:ind w:firstLine="709"/>
        <w:jc w:val="both"/>
      </w:pPr>
      <w:r w:rsidRPr="001723F4">
        <w:t xml:space="preserve">[1.4] </w:t>
      </w:r>
      <w:r w:rsidR="00573046" w:rsidRPr="001723F4">
        <w:t>M</w:t>
      </w:r>
      <w:r w:rsidRPr="001723F4">
        <w:t>aksātnespējīgās SIA „</w:t>
      </w:r>
      <w:proofErr w:type="spellStart"/>
      <w:r w:rsidRPr="001723F4">
        <w:t>Baltic</w:t>
      </w:r>
      <w:proofErr w:type="spellEnd"/>
      <w:r w:rsidRPr="001723F4">
        <w:t xml:space="preserve"> </w:t>
      </w:r>
      <w:proofErr w:type="spellStart"/>
      <w:r w:rsidRPr="001723F4">
        <w:t>Polymers</w:t>
      </w:r>
      <w:proofErr w:type="spellEnd"/>
      <w:r w:rsidRPr="001723F4">
        <w:t>” mantas pārdošanas plān</w:t>
      </w:r>
      <w:r w:rsidR="00573046" w:rsidRPr="001723F4">
        <w:t xml:space="preserve">ā norādīts, ka </w:t>
      </w:r>
      <w:proofErr w:type="gramStart"/>
      <w:r w:rsidR="00573046" w:rsidRPr="001723F4">
        <w:t>2018.gada</w:t>
      </w:r>
      <w:proofErr w:type="gramEnd"/>
      <w:r w:rsidR="00573046" w:rsidRPr="001723F4">
        <w:t xml:space="preserve"> 19.jūlijā parādnieces manta sastāvēja tikai no ieķīlātās mantas</w:t>
      </w:r>
      <w:r w:rsidR="00163C8C" w:rsidRPr="001723F4">
        <w:t>, tātad degvielas izdevumi ir attiecināmi tieši uz ieķīlātās mantas apsekošanu</w:t>
      </w:r>
      <w:r w:rsidR="00573046" w:rsidRPr="001723F4">
        <w:t>.</w:t>
      </w:r>
      <w:r w:rsidR="00163C8C" w:rsidRPr="001723F4">
        <w:t xml:space="preserve"> Šādi izdevumi nenodrošinātajiem kreditoriem nav jāsedz, jo tie ir sedzami no naudas līdzekļiem, kas iegūti, atsavinot ieķīlāto mantu, kā tas izriet no Maksātnespējas likuma 116.panta, saskaņā ar kuru administrators par ieķīlātās mantas pārdošanu vienojas ar nodrošināto kreditoru. </w:t>
      </w:r>
    </w:p>
    <w:p w14:paraId="7C7BE0D2" w14:textId="5E56C22C" w:rsidR="008F293F" w:rsidRPr="001723F4" w:rsidRDefault="008F293F" w:rsidP="001B7ECD">
      <w:pPr>
        <w:spacing w:line="276" w:lineRule="auto"/>
        <w:ind w:firstLine="709"/>
        <w:jc w:val="both"/>
      </w:pPr>
      <w:r w:rsidRPr="001723F4">
        <w:t>[1.5] Ja saistībā ar šo izdevumu (apsardze, grāmatvedības pakalpojumi, tiesvedību monitorings, degvielas pakalpojumi) raksturu tos nav iespējams attiecināt uz konkrēt</w:t>
      </w:r>
      <w:r w:rsidR="00BE12CC" w:rsidRPr="001723F4">
        <w:t>o</w:t>
      </w:r>
      <w:r w:rsidRPr="001723F4">
        <w:t xml:space="preserve"> maksātnespējas procesu, neatkarīgi no izpratnes par šo izdevumu samērīgumu tos </w:t>
      </w:r>
      <w:r w:rsidRPr="001723F4">
        <w:lastRenderedPageBreak/>
        <w:t>maksātnespējas procesa izdevumos iekļaut nav pieļaujams</w:t>
      </w:r>
      <w:proofErr w:type="gramStart"/>
      <w:r w:rsidRPr="001723F4">
        <w:t xml:space="preserve"> un</w:t>
      </w:r>
      <w:proofErr w:type="gramEnd"/>
      <w:r w:rsidRPr="001723F4">
        <w:t xml:space="preserve"> administratoram tie ir jāsedz no saviem naudas līdzekļiem. </w:t>
      </w:r>
    </w:p>
    <w:p w14:paraId="0D8875EA" w14:textId="30670D74" w:rsidR="008F293F" w:rsidRPr="001723F4" w:rsidRDefault="008F293F" w:rsidP="001B7ECD">
      <w:pPr>
        <w:spacing w:line="276" w:lineRule="auto"/>
        <w:ind w:firstLine="709"/>
        <w:jc w:val="both"/>
      </w:pPr>
      <w:r w:rsidRPr="001723F4">
        <w:t xml:space="preserve">Norādītie izdevumi ir saistīti ar administratores prakses vietu Maksātnespējas likuma </w:t>
      </w:r>
      <w:proofErr w:type="gramStart"/>
      <w:r w:rsidRPr="001723F4">
        <w:t>170.panta</w:t>
      </w:r>
      <w:proofErr w:type="gramEnd"/>
      <w:r w:rsidRPr="001723F4">
        <w:t xml:space="preserve"> otrās daļas 10.punkta izpratnē.</w:t>
      </w:r>
    </w:p>
    <w:p w14:paraId="2041EE7A" w14:textId="77777777" w:rsidR="00350674" w:rsidRPr="001723F4" w:rsidRDefault="00350674" w:rsidP="001B7ECD">
      <w:pPr>
        <w:spacing w:line="276" w:lineRule="auto"/>
        <w:ind w:firstLine="709"/>
        <w:jc w:val="both"/>
      </w:pPr>
    </w:p>
    <w:p w14:paraId="6CEA1DBA" w14:textId="7CC5006A" w:rsidR="009028DB" w:rsidRPr="001723F4" w:rsidRDefault="00866CD3" w:rsidP="001B7ECD">
      <w:pPr>
        <w:spacing w:line="276" w:lineRule="auto"/>
        <w:ind w:firstLine="709"/>
        <w:jc w:val="both"/>
      </w:pPr>
      <w:r w:rsidRPr="001723F4">
        <w:t xml:space="preserve">[2] </w:t>
      </w:r>
      <w:r w:rsidR="00D51386" w:rsidRPr="001723F4">
        <w:t xml:space="preserve">Ar </w:t>
      </w:r>
      <w:r w:rsidR="001A0DBB" w:rsidRPr="001723F4">
        <w:t xml:space="preserve">Rīgas pilsētas Latgales priekšpilsētas tiesas </w:t>
      </w:r>
      <w:proofErr w:type="gramStart"/>
      <w:r w:rsidR="001A0DBB" w:rsidRPr="001723F4">
        <w:t>2020.gada</w:t>
      </w:r>
      <w:proofErr w:type="gramEnd"/>
      <w:r w:rsidR="001A0DBB" w:rsidRPr="001723F4">
        <w:t xml:space="preserve"> 14.augusta lēmumu sūdzība apmierināta daļēji. Tiesa nolēma atcelt maksātnespējīgās SIA „</w:t>
      </w:r>
      <w:proofErr w:type="spellStart"/>
      <w:r w:rsidR="001A0DBB" w:rsidRPr="001723F4">
        <w:t>Baltic</w:t>
      </w:r>
      <w:proofErr w:type="spellEnd"/>
      <w:r w:rsidR="001A0DBB" w:rsidRPr="001723F4">
        <w:t xml:space="preserve"> </w:t>
      </w:r>
      <w:proofErr w:type="spellStart"/>
      <w:r w:rsidR="001A0DBB" w:rsidRPr="001723F4">
        <w:t>Polymers</w:t>
      </w:r>
      <w:proofErr w:type="spellEnd"/>
      <w:r w:rsidR="001A0DBB" w:rsidRPr="001723F4">
        <w:t xml:space="preserve">” </w:t>
      </w:r>
      <w:proofErr w:type="gramStart"/>
      <w:r w:rsidR="001A0DBB" w:rsidRPr="001723F4">
        <w:t>2020.gada</w:t>
      </w:r>
      <w:proofErr w:type="gramEnd"/>
      <w:r w:rsidR="001A0DBB" w:rsidRPr="001723F4">
        <w:t xml:space="preserve"> 13.jūlija kreditoru sapulces lēmumu</w:t>
      </w:r>
      <w:r w:rsidR="000D034D" w:rsidRPr="001723F4">
        <w:t>s</w:t>
      </w:r>
      <w:r w:rsidR="001A0DBB" w:rsidRPr="001723F4">
        <w:t xml:space="preserve"> Nr. 3 </w:t>
      </w:r>
      <w:r w:rsidR="00113E67" w:rsidRPr="001723F4">
        <w:t xml:space="preserve">un Nr. 5 </w:t>
      </w:r>
      <w:r w:rsidR="001A0DBB" w:rsidRPr="001723F4">
        <w:t>par apsardzes pakalpojumu izdevumiem</w:t>
      </w:r>
      <w:r w:rsidR="00113E67" w:rsidRPr="001723F4">
        <w:t xml:space="preserve">, bet par pārējo lēmumu </w:t>
      </w:r>
      <w:r w:rsidR="000D034D" w:rsidRPr="001723F4">
        <w:t>(</w:t>
      </w:r>
      <w:r w:rsidR="00113E67" w:rsidRPr="001723F4">
        <w:t>Nr. 1, Nr. 13, Nr. 17, Nr. 18, Nr. 20, Nr. 24 un Nr. 25</w:t>
      </w:r>
      <w:r w:rsidR="000D034D" w:rsidRPr="001723F4">
        <w:t>)</w:t>
      </w:r>
      <w:r w:rsidR="00113E67" w:rsidRPr="001723F4">
        <w:t xml:space="preserve"> atcelšanu sūdzību noraidīja. </w:t>
      </w:r>
    </w:p>
    <w:p w14:paraId="6C834D46" w14:textId="737FA4A3" w:rsidR="00B01EE6" w:rsidRPr="001723F4" w:rsidRDefault="00B01EE6" w:rsidP="001B7ECD">
      <w:pPr>
        <w:spacing w:line="276" w:lineRule="auto"/>
        <w:ind w:firstLine="709"/>
        <w:jc w:val="both"/>
      </w:pPr>
      <w:r w:rsidRPr="001723F4">
        <w:t>Lēmum</w:t>
      </w:r>
      <w:r w:rsidR="00B23111" w:rsidRPr="001723F4">
        <w:t>s</w:t>
      </w:r>
      <w:r w:rsidRPr="001723F4">
        <w:t xml:space="preserve"> </w:t>
      </w:r>
      <w:r w:rsidR="0097766C" w:rsidRPr="001723F4">
        <w:t xml:space="preserve">attiecībā uz lēmumiem </w:t>
      </w:r>
      <w:r w:rsidR="000573EC" w:rsidRPr="001723F4">
        <w:t xml:space="preserve">Nr. 1, Nr. 13, Nr. 18, Nr. 20 un Nr. 25 </w:t>
      </w:r>
      <w:r w:rsidR="0097766C" w:rsidRPr="001723F4">
        <w:t xml:space="preserve">par </w:t>
      </w:r>
      <w:r w:rsidR="000573EC" w:rsidRPr="001723F4">
        <w:t xml:space="preserve">tiesvedību monitoringa, grāmatvedības pakalpojumu un degvielas izdevumiem </w:t>
      </w:r>
      <w:r w:rsidRPr="001723F4">
        <w:t xml:space="preserve">pamatots ar šādiem </w:t>
      </w:r>
      <w:r w:rsidR="00E3616E" w:rsidRPr="001723F4">
        <w:t>motīv</w:t>
      </w:r>
      <w:r w:rsidRPr="001723F4">
        <w:t>iem.</w:t>
      </w:r>
    </w:p>
    <w:p w14:paraId="0024308A" w14:textId="79C24DBB" w:rsidR="006F5ACF" w:rsidRPr="001723F4" w:rsidRDefault="001A0DBB" w:rsidP="001B7ECD">
      <w:pPr>
        <w:spacing w:line="276" w:lineRule="auto"/>
        <w:ind w:firstLine="709"/>
        <w:jc w:val="both"/>
      </w:pPr>
      <w:r w:rsidRPr="001723F4">
        <w:t>[2</w:t>
      </w:r>
      <w:r w:rsidR="00B01EE6" w:rsidRPr="001723F4">
        <w:t xml:space="preserve">.1] </w:t>
      </w:r>
      <w:r w:rsidRPr="001723F4">
        <w:t>Kreditoru sapulcē pieņem lēmumu</w:t>
      </w:r>
      <w:r w:rsidR="00A54CD8" w:rsidRPr="001723F4">
        <w:t xml:space="preserve"> </w:t>
      </w:r>
      <w:r w:rsidRPr="001723F4">
        <w:t>par maksātnespējas procesa izdevumu apstiprināšanu.</w:t>
      </w:r>
      <w:r w:rsidR="00C95090" w:rsidRPr="001723F4">
        <w:t xml:space="preserve"> </w:t>
      </w:r>
      <w:r w:rsidRPr="001723F4">
        <w:t>Par kreditoru kopuma interesēm atbilstošu lēmumu nedrīkst uzskatīt jebkuru lēmumu, par kuru ir nobalsojis kreditoru vairākums</w:t>
      </w:r>
      <w:r w:rsidR="001B7686" w:rsidRPr="001723F4">
        <w:t>, jo</w:t>
      </w:r>
      <w:r w:rsidRPr="001723F4">
        <w:t xml:space="preserve"> kreditoru intereses ir objektīvs, nevis subjektīvs lielums. Kreditoru kopuma intereses ir jānoskaidro, izvērtējot lēmuma pieņemšanas faktiskos un tiesiskos apstākļus un noskaidrojot, kāda rīcība objektīvi vislabāk varētu veicināt kreditoru</w:t>
      </w:r>
      <w:r w:rsidR="006F5ACF" w:rsidRPr="001723F4">
        <w:t xml:space="preserve"> likumisko interešu ievērošanu. </w:t>
      </w:r>
    </w:p>
    <w:p w14:paraId="0766DCED" w14:textId="6B5A25E8" w:rsidR="001A0DBB" w:rsidRPr="001723F4" w:rsidRDefault="006F5ACF" w:rsidP="001B7ECD">
      <w:pPr>
        <w:spacing w:line="276" w:lineRule="auto"/>
        <w:ind w:firstLine="709"/>
        <w:jc w:val="both"/>
      </w:pPr>
      <w:r w:rsidRPr="001723F4">
        <w:t>T</w:t>
      </w:r>
      <w:r w:rsidR="00254657" w:rsidRPr="001723F4">
        <w:t>ādējādi ti</w:t>
      </w:r>
      <w:r w:rsidR="00C95090" w:rsidRPr="001723F4">
        <w:t xml:space="preserve">esai </w:t>
      </w:r>
      <w:r w:rsidR="00254657" w:rsidRPr="001723F4">
        <w:t xml:space="preserve">saskaņā ar Maksātnespējas likuma </w:t>
      </w:r>
      <w:proofErr w:type="gramStart"/>
      <w:r w:rsidR="00254657" w:rsidRPr="001723F4">
        <w:t>170.panta</w:t>
      </w:r>
      <w:proofErr w:type="gramEnd"/>
      <w:r w:rsidR="00254657" w:rsidRPr="001723F4">
        <w:t xml:space="preserve"> otrās daļas 10.punktu </w:t>
      </w:r>
      <w:r w:rsidR="00C95090" w:rsidRPr="001723F4">
        <w:t>jāpārbauda</w:t>
      </w:r>
      <w:r w:rsidR="001A0DBB" w:rsidRPr="001723F4">
        <w:t xml:space="preserve">, vai ar </w:t>
      </w:r>
      <w:r w:rsidR="00C95090" w:rsidRPr="001723F4">
        <w:t>SIA „</w:t>
      </w:r>
      <w:proofErr w:type="spellStart"/>
      <w:r w:rsidR="00C95090" w:rsidRPr="001723F4">
        <w:t>Baltic</w:t>
      </w:r>
      <w:proofErr w:type="spellEnd"/>
      <w:r w:rsidR="00C95090" w:rsidRPr="001723F4">
        <w:t xml:space="preserve"> </w:t>
      </w:r>
      <w:proofErr w:type="spellStart"/>
      <w:r w:rsidR="00C95090" w:rsidRPr="001723F4">
        <w:t>Polymers</w:t>
      </w:r>
      <w:proofErr w:type="spellEnd"/>
      <w:r w:rsidR="00C95090" w:rsidRPr="001723F4">
        <w:t>”</w:t>
      </w:r>
      <w:r w:rsidR="001A0DBB" w:rsidRPr="001723F4">
        <w:t xml:space="preserve"> 2020.gada 13.jūlija kreditoru sapulces lēmumu apstiprinātie maksātnespējas procesa izdevumi ir pamatoti un saistīti ar konkrētās juridiskās personas maksātnespējas procesa nodrošināšanu un vai šo izdevumu apstiprināšana nav pretēja kreditoru kopuma interesēm. </w:t>
      </w:r>
    </w:p>
    <w:p w14:paraId="10362BD2" w14:textId="4B034C89" w:rsidR="00952094" w:rsidRPr="001723F4" w:rsidRDefault="00C95090" w:rsidP="001B7ECD">
      <w:pPr>
        <w:spacing w:line="276" w:lineRule="auto"/>
        <w:ind w:firstLine="709"/>
        <w:jc w:val="both"/>
      </w:pPr>
      <w:r w:rsidRPr="001723F4">
        <w:t xml:space="preserve">[2.2] </w:t>
      </w:r>
      <w:r w:rsidR="00952094" w:rsidRPr="001723F4">
        <w:t>Sūdzības iesniedzēja l</w:t>
      </w:r>
      <w:r w:rsidR="00A0353E" w:rsidRPr="001723F4">
        <w:t>ūgusi</w:t>
      </w:r>
      <w:r w:rsidR="00952094" w:rsidRPr="001723F4">
        <w:t xml:space="preserve"> atcelt </w:t>
      </w:r>
      <w:proofErr w:type="gramStart"/>
      <w:r w:rsidR="00952094" w:rsidRPr="001723F4">
        <w:t>2020.gada</w:t>
      </w:r>
      <w:proofErr w:type="gramEnd"/>
      <w:r w:rsidR="00952094" w:rsidRPr="001723F4">
        <w:t xml:space="preserve"> 13.jūlija kreditoru sapulces lēmumu</w:t>
      </w:r>
      <w:r w:rsidR="00DF40BB" w:rsidRPr="001723F4">
        <w:t xml:space="preserve"> Nr. 1</w:t>
      </w:r>
      <w:r w:rsidR="00952094" w:rsidRPr="001723F4">
        <w:t xml:space="preserve">, ar kuru apstiprināti izdevumi tiesvedības monitoringam 0,90 </w:t>
      </w:r>
      <w:proofErr w:type="spellStart"/>
      <w:r w:rsidR="00952094" w:rsidRPr="001723F4">
        <w:rPr>
          <w:i/>
        </w:rPr>
        <w:t>euro</w:t>
      </w:r>
      <w:proofErr w:type="spellEnd"/>
      <w:r w:rsidR="00952094" w:rsidRPr="001723F4">
        <w:rPr>
          <w:i/>
        </w:rPr>
        <w:t xml:space="preserve"> </w:t>
      </w:r>
      <w:r w:rsidR="00952094" w:rsidRPr="001723F4">
        <w:t>apmērā.</w:t>
      </w:r>
    </w:p>
    <w:p w14:paraId="093BD03B" w14:textId="7B3D5D1B" w:rsidR="001A0DBB" w:rsidRPr="001723F4" w:rsidRDefault="00C95090" w:rsidP="001B7ECD">
      <w:pPr>
        <w:spacing w:line="276" w:lineRule="auto"/>
        <w:ind w:firstLine="709"/>
        <w:jc w:val="both"/>
      </w:pPr>
      <w:r w:rsidRPr="001723F4">
        <w:t>Lietas materiālos atrodas</w:t>
      </w:r>
      <w:r w:rsidR="001A0DBB" w:rsidRPr="001723F4">
        <w:t xml:space="preserve"> administratores </w:t>
      </w:r>
      <w:r w:rsidRPr="001723F4">
        <w:t>B</w:t>
      </w:r>
      <w:r w:rsidR="006F5ACF" w:rsidRPr="001723F4">
        <w:t>aibas</w:t>
      </w:r>
      <w:r w:rsidRPr="001723F4">
        <w:t xml:space="preserve"> Didrihsones </w:t>
      </w:r>
      <w:proofErr w:type="gramStart"/>
      <w:r w:rsidR="001A0DBB" w:rsidRPr="001723F4">
        <w:t>2020.gada</w:t>
      </w:r>
      <w:proofErr w:type="gramEnd"/>
      <w:r w:rsidR="001A0DBB" w:rsidRPr="001723F4">
        <w:t xml:space="preserve"> 10.jūlija akts, kurā norādīts, </w:t>
      </w:r>
      <w:r w:rsidRPr="001723F4">
        <w:t xml:space="preserve">ka, lai nodrošinātu ar maksātnespējīgās </w:t>
      </w:r>
      <w:r w:rsidR="001A0DBB" w:rsidRPr="001723F4">
        <w:t>SIA „</w:t>
      </w:r>
      <w:proofErr w:type="spellStart"/>
      <w:r w:rsidR="001A0DBB" w:rsidRPr="001723F4">
        <w:t>Baltic</w:t>
      </w:r>
      <w:proofErr w:type="spellEnd"/>
      <w:r w:rsidR="001A0DBB" w:rsidRPr="001723F4">
        <w:t xml:space="preserve"> </w:t>
      </w:r>
      <w:proofErr w:type="spellStart"/>
      <w:r w:rsidR="001A0DBB" w:rsidRPr="001723F4">
        <w:t>Polymers</w:t>
      </w:r>
      <w:proofErr w:type="spellEnd"/>
      <w:r w:rsidR="001A0DBB" w:rsidRPr="001723F4">
        <w:t>” maksātnespējas procesu saistīto darbību izpildi</w:t>
      </w:r>
      <w:r w:rsidRPr="001723F4">
        <w:t>, tika saņemts pakalpojums</w:t>
      </w:r>
      <w:r w:rsidR="001A0DBB" w:rsidRPr="001723F4">
        <w:t xml:space="preserve"> – tiesvedības monitorings</w:t>
      </w:r>
      <w:r w:rsidRPr="001723F4">
        <w:t xml:space="preserve">, elektroniski saņemot paziņojumus par izmaiņām tiesvedības datos par </w:t>
      </w:r>
      <w:r w:rsidR="00890B65" w:rsidRPr="001723F4">
        <w:t>laiku</w:t>
      </w:r>
      <w:r w:rsidRPr="001723F4">
        <w:t xml:space="preserve"> no 2020.gada 10.jūlija līdz 2021.gada 9.jūlijam</w:t>
      </w:r>
      <w:r w:rsidR="001A0DBB" w:rsidRPr="001723F4">
        <w:t xml:space="preserve">. Šā pakalpojuma attaisnojuma dokuments </w:t>
      </w:r>
      <w:r w:rsidR="00890B65" w:rsidRPr="001723F4">
        <w:t xml:space="preserve">ir </w:t>
      </w:r>
      <w:r w:rsidR="001A0DBB" w:rsidRPr="001723F4">
        <w:t xml:space="preserve">2020.gada 10.jūlija rēķins par 15 </w:t>
      </w:r>
      <w:proofErr w:type="spellStart"/>
      <w:r w:rsidR="001A0DBB" w:rsidRPr="001723F4">
        <w:rPr>
          <w:i/>
        </w:rPr>
        <w:t>euro</w:t>
      </w:r>
      <w:proofErr w:type="spellEnd"/>
      <w:r w:rsidRPr="001723F4">
        <w:t>.</w:t>
      </w:r>
      <w:r w:rsidR="001A0DBB" w:rsidRPr="001723F4">
        <w:t xml:space="preserve"> </w:t>
      </w:r>
    </w:p>
    <w:p w14:paraId="56B00D75" w14:textId="0693CA6D" w:rsidR="001A0DBB" w:rsidRPr="001723F4" w:rsidRDefault="00DE388E" w:rsidP="001B7ECD">
      <w:pPr>
        <w:spacing w:line="276" w:lineRule="auto"/>
        <w:ind w:firstLine="709"/>
        <w:jc w:val="both"/>
      </w:pPr>
      <w:r w:rsidRPr="001723F4">
        <w:t>Š</w:t>
      </w:r>
      <w:r w:rsidR="001A0DBB" w:rsidRPr="001723F4">
        <w:t xml:space="preserve">ie izdevumi ir attiecināmi uz parādnieces maksātnespējas procesu un </w:t>
      </w:r>
      <w:r w:rsidRPr="001723F4">
        <w:t>ir</w:t>
      </w:r>
      <w:r w:rsidR="001A0DBB" w:rsidRPr="001723F4">
        <w:t xml:space="preserve"> pamatoti apstiprināti ar kreditoru sapulces lēmumu, jo administratoram </w:t>
      </w:r>
      <w:r w:rsidRPr="001723F4">
        <w:t xml:space="preserve">maksātnespējas procesā </w:t>
      </w:r>
      <w:r w:rsidR="00C95090" w:rsidRPr="001723F4">
        <w:t xml:space="preserve">ir regulāri jāpārbauda </w:t>
      </w:r>
      <w:r w:rsidR="001A0DBB" w:rsidRPr="001723F4">
        <w:t>maksātnespējīgās personas tiesvedības procesi. Līdz ar to šie izdevumi atzīstami par atbilstošiem normatīvo aktu prasībām</w:t>
      </w:r>
      <w:r w:rsidRPr="001723F4">
        <w:t>,</w:t>
      </w:r>
      <w:r w:rsidR="001A0DBB" w:rsidRPr="001723F4">
        <w:t xml:space="preserve"> un </w:t>
      </w:r>
      <w:r w:rsidRPr="001723F4">
        <w:t>to</w:t>
      </w:r>
      <w:r w:rsidR="001A0DBB" w:rsidRPr="001723F4">
        <w:t xml:space="preserve"> apstiprināšana nav pretēja kreditoru kopuma interesēm. </w:t>
      </w:r>
    </w:p>
    <w:p w14:paraId="1633A909" w14:textId="6AE152CB" w:rsidR="001A0DBB" w:rsidRPr="001723F4" w:rsidRDefault="00C95090" w:rsidP="001B7ECD">
      <w:pPr>
        <w:spacing w:line="276" w:lineRule="auto"/>
        <w:ind w:firstLine="709"/>
        <w:jc w:val="both"/>
      </w:pPr>
      <w:r w:rsidRPr="001723F4">
        <w:t xml:space="preserve">[2.3] </w:t>
      </w:r>
      <w:r w:rsidR="00952094" w:rsidRPr="001723F4">
        <w:t>Sūdzības i</w:t>
      </w:r>
      <w:r w:rsidR="00A0353E" w:rsidRPr="001723F4">
        <w:t>esniedzēja lūgusi</w:t>
      </w:r>
      <w:r w:rsidR="001A0DBB" w:rsidRPr="001723F4">
        <w:t xml:space="preserve"> atcelt </w:t>
      </w:r>
      <w:proofErr w:type="gramStart"/>
      <w:r w:rsidR="00952094" w:rsidRPr="001723F4">
        <w:t>2020.gada</w:t>
      </w:r>
      <w:proofErr w:type="gramEnd"/>
      <w:r w:rsidR="00952094" w:rsidRPr="001723F4">
        <w:t xml:space="preserve"> 13.jūlija </w:t>
      </w:r>
      <w:r w:rsidR="001A0DBB" w:rsidRPr="001723F4">
        <w:t>kreditoru sapulces lēmumus</w:t>
      </w:r>
      <w:r w:rsidR="00DF40BB" w:rsidRPr="001723F4">
        <w:t xml:space="preserve"> Nr. 13 un Nr. 20</w:t>
      </w:r>
      <w:r w:rsidR="004535DD" w:rsidRPr="001723F4">
        <w:t xml:space="preserve">, ar kuriem apstiprināti </w:t>
      </w:r>
      <w:r w:rsidR="001A0DBB" w:rsidRPr="001723F4">
        <w:t xml:space="preserve">grāmatvedības </w:t>
      </w:r>
      <w:r w:rsidR="004535DD" w:rsidRPr="001723F4">
        <w:t>pakalpojumu izdevumi</w:t>
      </w:r>
      <w:r w:rsidR="001A0DBB" w:rsidRPr="001723F4">
        <w:t xml:space="preserve"> </w:t>
      </w:r>
      <w:r w:rsidR="002249FC" w:rsidRPr="001723F4">
        <w:t>laika posmā</w:t>
      </w:r>
      <w:r w:rsidR="001A0DBB" w:rsidRPr="001723F4">
        <w:t xml:space="preserve"> no 2019.gada janvāra līdz 2019.gada decembrim</w:t>
      </w:r>
      <w:r w:rsidR="00A0353E" w:rsidRPr="001723F4">
        <w:t xml:space="preserve"> 91,84 </w:t>
      </w:r>
      <w:proofErr w:type="spellStart"/>
      <w:r w:rsidR="00A0353E" w:rsidRPr="001723F4">
        <w:rPr>
          <w:i/>
        </w:rPr>
        <w:t>euro</w:t>
      </w:r>
      <w:proofErr w:type="spellEnd"/>
      <w:r w:rsidR="00A0353E" w:rsidRPr="001723F4">
        <w:t xml:space="preserve"> apmērā</w:t>
      </w:r>
      <w:r w:rsidR="001A0DBB" w:rsidRPr="001723F4">
        <w:t xml:space="preserve"> un </w:t>
      </w:r>
      <w:r w:rsidR="002249FC" w:rsidRPr="001723F4">
        <w:t xml:space="preserve">laika posmā </w:t>
      </w:r>
      <w:r w:rsidR="001A0DBB" w:rsidRPr="001723F4">
        <w:t>no 2018.gada maija līdz 2018.gada decembrim</w:t>
      </w:r>
      <w:r w:rsidR="00A0353E" w:rsidRPr="001723F4">
        <w:t xml:space="preserve"> 61,23 </w:t>
      </w:r>
      <w:proofErr w:type="spellStart"/>
      <w:r w:rsidR="001A0DBB" w:rsidRPr="001723F4">
        <w:rPr>
          <w:i/>
        </w:rPr>
        <w:t>euro</w:t>
      </w:r>
      <w:proofErr w:type="spellEnd"/>
      <w:r w:rsidR="001A0DBB" w:rsidRPr="001723F4">
        <w:t xml:space="preserve">. </w:t>
      </w:r>
    </w:p>
    <w:p w14:paraId="094004EB" w14:textId="5432932E" w:rsidR="00CF57DE" w:rsidRPr="001723F4" w:rsidRDefault="001A0DBB" w:rsidP="001B7ECD">
      <w:pPr>
        <w:spacing w:line="276" w:lineRule="auto"/>
        <w:ind w:firstLine="709"/>
        <w:jc w:val="both"/>
      </w:pPr>
      <w:r w:rsidRPr="001723F4">
        <w:t xml:space="preserve">Kreditori, kas balsojuši „Pret” </w:t>
      </w:r>
      <w:r w:rsidR="002249FC" w:rsidRPr="001723F4">
        <w:t xml:space="preserve">šo izdevumu apstiprināšanu, </w:t>
      </w:r>
      <w:r w:rsidRPr="001723F4">
        <w:t>norādījuši, ka minēto</w:t>
      </w:r>
      <w:r w:rsidR="00087434" w:rsidRPr="001723F4">
        <w:t>s</w:t>
      </w:r>
      <w:r w:rsidRPr="001723F4">
        <w:t xml:space="preserve"> izdevumu</w:t>
      </w:r>
      <w:r w:rsidR="00087434" w:rsidRPr="001723F4">
        <w:t>s</w:t>
      </w:r>
      <w:r w:rsidRPr="001723F4">
        <w:t xml:space="preserve"> pamatojošie dokumenti nav attiecināmi uz konkrēto maksātnespējas procesu. </w:t>
      </w:r>
      <w:r w:rsidR="00087434" w:rsidRPr="001723F4">
        <w:t>Tomēr m</w:t>
      </w:r>
      <w:r w:rsidR="00A0353E" w:rsidRPr="001723F4">
        <w:t xml:space="preserve">inētie </w:t>
      </w:r>
      <w:r w:rsidRPr="001723F4">
        <w:t xml:space="preserve">izdevumi ietilpst Maksātnespējas likuma </w:t>
      </w:r>
      <w:proofErr w:type="gramStart"/>
      <w:r w:rsidRPr="001723F4">
        <w:t>170.panta</w:t>
      </w:r>
      <w:proofErr w:type="gramEnd"/>
      <w:r w:rsidRPr="001723F4">
        <w:t xml:space="preserve"> otrās daļas 1.punkta tvērumā</w:t>
      </w:r>
      <w:r w:rsidR="00087434" w:rsidRPr="001723F4">
        <w:t>,</w:t>
      </w:r>
      <w:r w:rsidRPr="001723F4">
        <w:t xml:space="preserve"> un admini</w:t>
      </w:r>
      <w:r w:rsidR="00A0353E" w:rsidRPr="001723F4">
        <w:t>stratore tos pamatoti iekļāvusi</w:t>
      </w:r>
      <w:r w:rsidRPr="001723F4">
        <w:t xml:space="preserve"> maksātnespējas procesa izdevumos. </w:t>
      </w:r>
    </w:p>
    <w:p w14:paraId="3345398F" w14:textId="39D94523" w:rsidR="00171EE3" w:rsidRPr="001723F4" w:rsidRDefault="00171EE3" w:rsidP="001B7ECD">
      <w:pPr>
        <w:spacing w:line="276" w:lineRule="auto"/>
        <w:ind w:firstLine="709"/>
        <w:jc w:val="both"/>
      </w:pPr>
      <w:r w:rsidRPr="001723F4">
        <w:lastRenderedPageBreak/>
        <w:t>Administratore iesniegusi</w:t>
      </w:r>
      <w:proofErr w:type="gramStart"/>
      <w:r w:rsidRPr="001723F4">
        <w:t xml:space="preserve">  </w:t>
      </w:r>
      <w:proofErr w:type="gramEnd"/>
      <w:r w:rsidRPr="001723F4">
        <w:t>2020.gada 7.jūlija un 13.jūlija aktus par grāmatvedības nodrošināšanu ar parādnieces maksātnespējas procesu saistīto darbību izpildei un šo aktu sagatavošanu pamatojošos grāmatvedības pakalpojumu uzņēmuma rēķinus par sniegtajiem pakalpojumiem.</w:t>
      </w:r>
    </w:p>
    <w:p w14:paraId="322EF238" w14:textId="643CBD88" w:rsidR="001A0DBB" w:rsidRPr="001723F4" w:rsidRDefault="001A0DBB" w:rsidP="001B7ECD">
      <w:pPr>
        <w:spacing w:line="276" w:lineRule="auto"/>
        <w:ind w:firstLine="709"/>
        <w:jc w:val="both"/>
      </w:pPr>
      <w:r w:rsidRPr="001723F4">
        <w:t xml:space="preserve">Kreditoru </w:t>
      </w:r>
      <w:r w:rsidR="00A0353E" w:rsidRPr="001723F4">
        <w:t xml:space="preserve">sapulces </w:t>
      </w:r>
      <w:r w:rsidRPr="001723F4">
        <w:t>lēmumi Nr.</w:t>
      </w:r>
      <w:r w:rsidR="00A0353E" w:rsidRPr="001723F4">
        <w:t> </w:t>
      </w:r>
      <w:r w:rsidRPr="001723F4">
        <w:t>13 un Nr.</w:t>
      </w:r>
      <w:r w:rsidR="00A0353E" w:rsidRPr="001723F4">
        <w:t> </w:t>
      </w:r>
      <w:r w:rsidR="004535DD" w:rsidRPr="001723F4">
        <w:t>20</w:t>
      </w:r>
      <w:r w:rsidRPr="001723F4">
        <w:t xml:space="preserve"> atbilst normatīvo aktu prasībām un tieši attiecināmi uz parādnieces maksātnespējas procesu, kā arī nav pretēji kreditoru kopuma interesēm. </w:t>
      </w:r>
    </w:p>
    <w:p w14:paraId="3452201D" w14:textId="66C37088" w:rsidR="001A0DBB" w:rsidRPr="001723F4" w:rsidRDefault="00A0353E" w:rsidP="001B7ECD">
      <w:pPr>
        <w:spacing w:line="276" w:lineRule="auto"/>
        <w:ind w:firstLine="709"/>
        <w:jc w:val="both"/>
      </w:pPr>
      <w:r w:rsidRPr="001723F4">
        <w:t>[2.</w:t>
      </w:r>
      <w:r w:rsidR="00300043" w:rsidRPr="001723F4">
        <w:t>4</w:t>
      </w:r>
      <w:r w:rsidRPr="001723F4">
        <w:t>] Sūdzības iesniedzēja lūgusi</w:t>
      </w:r>
      <w:r w:rsidR="001A0DBB" w:rsidRPr="001723F4">
        <w:t xml:space="preserve"> atcelt </w:t>
      </w:r>
      <w:proofErr w:type="gramStart"/>
      <w:r w:rsidRPr="001723F4">
        <w:t>2020.gada</w:t>
      </w:r>
      <w:proofErr w:type="gramEnd"/>
      <w:r w:rsidRPr="001723F4">
        <w:t xml:space="preserve"> 13.jūlija </w:t>
      </w:r>
      <w:r w:rsidR="001A0DBB" w:rsidRPr="001723F4">
        <w:t>kreditoru sapulces lēmumu</w:t>
      </w:r>
      <w:r w:rsidRPr="001723F4">
        <w:t>s</w:t>
      </w:r>
      <w:r w:rsidR="00300043" w:rsidRPr="001723F4">
        <w:t xml:space="preserve"> Nr. 18 un Nr. 25</w:t>
      </w:r>
      <w:r w:rsidR="004535DD" w:rsidRPr="001723F4">
        <w:t>, ar kuriem apstiprināti degvielas pakalpojum</w:t>
      </w:r>
      <w:r w:rsidR="00300043" w:rsidRPr="001723F4">
        <w:t>u</w:t>
      </w:r>
      <w:r w:rsidR="004535DD" w:rsidRPr="001723F4">
        <w:t xml:space="preserve"> izdevumi </w:t>
      </w:r>
      <w:r w:rsidR="00300043" w:rsidRPr="001723F4">
        <w:t>laika posmā</w:t>
      </w:r>
      <w:r w:rsidR="001A0DBB" w:rsidRPr="001723F4">
        <w:t xml:space="preserve"> no 2019.gada marta līdz 2019.gada decembrim 21,65 </w:t>
      </w:r>
      <w:proofErr w:type="spellStart"/>
      <w:r w:rsidR="001A0DBB" w:rsidRPr="001723F4">
        <w:rPr>
          <w:i/>
        </w:rPr>
        <w:t>euro</w:t>
      </w:r>
      <w:proofErr w:type="spellEnd"/>
      <w:r w:rsidR="001A0DBB" w:rsidRPr="001723F4">
        <w:rPr>
          <w:i/>
        </w:rPr>
        <w:t xml:space="preserve"> </w:t>
      </w:r>
      <w:r w:rsidR="001A0DBB" w:rsidRPr="001723F4">
        <w:t xml:space="preserve">apmērā un </w:t>
      </w:r>
      <w:r w:rsidR="00300043" w:rsidRPr="001723F4">
        <w:t>laika posmā</w:t>
      </w:r>
      <w:r w:rsidR="001A0DBB" w:rsidRPr="001723F4">
        <w:t xml:space="preserve"> no 2018.gada maija līdz 2018.gada novembrim 25,68 </w:t>
      </w:r>
      <w:proofErr w:type="spellStart"/>
      <w:r w:rsidR="001A0DBB" w:rsidRPr="001723F4">
        <w:rPr>
          <w:i/>
        </w:rPr>
        <w:t>euro</w:t>
      </w:r>
      <w:proofErr w:type="spellEnd"/>
      <w:r w:rsidR="001A0DBB" w:rsidRPr="001723F4">
        <w:t xml:space="preserve"> apmērā. </w:t>
      </w:r>
    </w:p>
    <w:p w14:paraId="125D7002" w14:textId="3F2BBF73" w:rsidR="001A0DBB" w:rsidRPr="001723F4" w:rsidRDefault="001A0DBB" w:rsidP="001B7ECD">
      <w:pPr>
        <w:spacing w:line="276" w:lineRule="auto"/>
        <w:ind w:firstLine="709"/>
        <w:jc w:val="both"/>
      </w:pPr>
      <w:r w:rsidRPr="001723F4">
        <w:t>Saskaņā ar administratores iesniegt</w:t>
      </w:r>
      <w:r w:rsidR="00A0353E" w:rsidRPr="001723F4">
        <w:t>ajām atskaitēm automašīnai BMW</w:t>
      </w:r>
      <w:r w:rsidR="006B1392" w:rsidRPr="001723F4">
        <w:t xml:space="preserve"> ar</w:t>
      </w:r>
      <w:r w:rsidR="00A0353E" w:rsidRPr="001723F4">
        <w:t xml:space="preserve"> valsts Nr.</w:t>
      </w:r>
      <w:r w:rsidR="006B1392" w:rsidRPr="001723F4">
        <w:t> </w:t>
      </w:r>
      <w:r w:rsidR="001C087C" w:rsidRPr="001723F4">
        <w:t>[..]</w:t>
      </w:r>
      <w:r w:rsidR="00A0353E" w:rsidRPr="001723F4">
        <w:t xml:space="preserve"> </w:t>
      </w:r>
      <w:r w:rsidRPr="001723F4">
        <w:t xml:space="preserve">21,65 </w:t>
      </w:r>
      <w:proofErr w:type="spellStart"/>
      <w:r w:rsidRPr="001723F4">
        <w:rPr>
          <w:i/>
        </w:rPr>
        <w:t>euro</w:t>
      </w:r>
      <w:proofErr w:type="spellEnd"/>
      <w:r w:rsidRPr="001723F4">
        <w:t xml:space="preserve"> </w:t>
      </w:r>
      <w:r w:rsidR="00A0353E" w:rsidRPr="001723F4">
        <w:t>un</w:t>
      </w:r>
      <w:r w:rsidR="00E4776D" w:rsidRPr="001723F4">
        <w:t xml:space="preserve"> 25,68 </w:t>
      </w:r>
      <w:proofErr w:type="spellStart"/>
      <w:r w:rsidR="00E4776D" w:rsidRPr="001723F4">
        <w:rPr>
          <w:i/>
        </w:rPr>
        <w:t>euro</w:t>
      </w:r>
      <w:proofErr w:type="spellEnd"/>
      <w:r w:rsidR="00A0353E" w:rsidRPr="001723F4">
        <w:t xml:space="preserve"> </w:t>
      </w:r>
      <w:r w:rsidRPr="001723F4">
        <w:t>par degvielas p</w:t>
      </w:r>
      <w:r w:rsidR="00E4776D" w:rsidRPr="001723F4">
        <w:t xml:space="preserve">atēriņu par veiktajām darbībām </w:t>
      </w:r>
      <w:r w:rsidRPr="001723F4">
        <w:t>SIA</w:t>
      </w:r>
      <w:r w:rsidR="006B1392" w:rsidRPr="001723F4">
        <w:t> </w:t>
      </w:r>
      <w:r w:rsidRPr="001723F4">
        <w:t>„</w:t>
      </w:r>
      <w:proofErr w:type="spellStart"/>
      <w:r w:rsidRPr="001723F4">
        <w:t>Baltic</w:t>
      </w:r>
      <w:proofErr w:type="spellEnd"/>
      <w:r w:rsidRPr="001723F4">
        <w:t xml:space="preserve"> </w:t>
      </w:r>
      <w:proofErr w:type="spellStart"/>
      <w:r w:rsidRPr="001723F4">
        <w:t>Polymers</w:t>
      </w:r>
      <w:proofErr w:type="spellEnd"/>
      <w:r w:rsidRPr="001723F4">
        <w:t>” maksātnespējas procesa ietvaros ir samērīga summa, ņemot vērā administratores veiktos maršrutus procesa nodrošināšanai</w:t>
      </w:r>
      <w:r w:rsidR="0019633B" w:rsidRPr="001723F4">
        <w:t xml:space="preserve"> </w:t>
      </w:r>
      <w:proofErr w:type="gramStart"/>
      <w:r w:rsidR="0019633B" w:rsidRPr="001723F4">
        <w:t>(</w:t>
      </w:r>
      <w:proofErr w:type="gramEnd"/>
      <w:r w:rsidR="0019633B" w:rsidRPr="001723F4">
        <w:t>kustamās mantas apsekošanai, pārrakstīšanai un nodošanai, informācijas iegūšanai, dokumentu iesniegšanai)</w:t>
      </w:r>
      <w:r w:rsidRPr="001723F4">
        <w:t xml:space="preserve">. </w:t>
      </w:r>
    </w:p>
    <w:p w14:paraId="259EC303" w14:textId="7F817A84" w:rsidR="001A0DBB" w:rsidRPr="001723F4" w:rsidRDefault="00E4776D" w:rsidP="001B7ECD">
      <w:pPr>
        <w:spacing w:line="276" w:lineRule="auto"/>
        <w:ind w:firstLine="709"/>
        <w:jc w:val="both"/>
      </w:pPr>
      <w:r w:rsidRPr="001723F4">
        <w:t>[2.</w:t>
      </w:r>
      <w:r w:rsidR="0080341A" w:rsidRPr="001723F4">
        <w:t>4</w:t>
      </w:r>
      <w:r w:rsidRPr="001723F4">
        <w:t xml:space="preserve">.1] </w:t>
      </w:r>
      <w:r w:rsidR="001A0DBB" w:rsidRPr="001723F4">
        <w:t>Sūdzības iesniedzēja norād</w:t>
      </w:r>
      <w:r w:rsidR="007A04B4" w:rsidRPr="001723F4">
        <w:t>ījusi</w:t>
      </w:r>
      <w:r w:rsidR="001A0DBB" w:rsidRPr="001723F4">
        <w:t xml:space="preserve">, ka degvielas izdevumi attiecināmi tieši </w:t>
      </w:r>
      <w:r w:rsidR="00E05B1F" w:rsidRPr="001723F4">
        <w:t>uz</w:t>
      </w:r>
      <w:r w:rsidR="001A0DBB" w:rsidRPr="001723F4">
        <w:t xml:space="preserve"> ieķīlātās mantas apsekošanu un </w:t>
      </w:r>
      <w:r w:rsidR="0080341A" w:rsidRPr="001723F4">
        <w:t xml:space="preserve">ka </w:t>
      </w:r>
      <w:r w:rsidR="001A0DBB" w:rsidRPr="001723F4">
        <w:t>nenodrošinātajiem kreditoriem šādi izdevumi nav jāapstiprina kreditoru sapulcē</w:t>
      </w:r>
      <w:r w:rsidR="0080341A" w:rsidRPr="001723F4">
        <w:t xml:space="preserve">, jo tie </w:t>
      </w:r>
      <w:r w:rsidR="001A0DBB" w:rsidRPr="001723F4">
        <w:t xml:space="preserve">sedzami no naudas līdzekļiem, kuri iegūti, atsavinot ieķīlāto mantu. </w:t>
      </w:r>
    </w:p>
    <w:p w14:paraId="56AC0C1A" w14:textId="3D950CB9" w:rsidR="00E4776D" w:rsidRPr="001723F4" w:rsidRDefault="001A0DBB" w:rsidP="001B7ECD">
      <w:pPr>
        <w:spacing w:line="276" w:lineRule="auto"/>
        <w:ind w:firstLine="709"/>
        <w:jc w:val="both"/>
      </w:pPr>
      <w:r w:rsidRPr="001723F4">
        <w:t>Minētie iebildumi nav pamatoti, jo papildu</w:t>
      </w:r>
      <w:r w:rsidR="0080341A" w:rsidRPr="001723F4">
        <w:t>s</w:t>
      </w:r>
      <w:r w:rsidRPr="001723F4">
        <w:t xml:space="preserve"> apķīlātās mantas apsekošanai administratore veikusi citas darbības parādnieces maksātnespējas procesa nodrošināšanai, piemēram, juridiskās adreses apsekošan</w:t>
      </w:r>
      <w:r w:rsidR="0080341A" w:rsidRPr="001723F4">
        <w:t>u</w:t>
      </w:r>
      <w:r w:rsidRPr="001723F4">
        <w:t>, informācijas iegūšan</w:t>
      </w:r>
      <w:r w:rsidR="0080341A" w:rsidRPr="001723F4">
        <w:t>u</w:t>
      </w:r>
      <w:r w:rsidR="00E05B1F" w:rsidRPr="001723F4">
        <w:t>,</w:t>
      </w:r>
      <w:r w:rsidRPr="001723F4">
        <w:t xml:space="preserve"> dokumentu iesniegšan</w:t>
      </w:r>
      <w:r w:rsidR="0080341A" w:rsidRPr="001723F4">
        <w:t>u</w:t>
      </w:r>
      <w:r w:rsidR="00E05B1F" w:rsidRPr="001723F4">
        <w:t xml:space="preserve"> un</w:t>
      </w:r>
      <w:r w:rsidRPr="001723F4">
        <w:t xml:space="preserve"> nodošan</w:t>
      </w:r>
      <w:r w:rsidR="0080341A" w:rsidRPr="001723F4">
        <w:t>u</w:t>
      </w:r>
      <w:r w:rsidRPr="001723F4">
        <w:t xml:space="preserve">. </w:t>
      </w:r>
    </w:p>
    <w:p w14:paraId="21591C43" w14:textId="7858B6B2" w:rsidR="001A0DBB" w:rsidRPr="001723F4" w:rsidRDefault="00E4776D" w:rsidP="001B7ECD">
      <w:pPr>
        <w:spacing w:line="276" w:lineRule="auto"/>
        <w:ind w:firstLine="709"/>
        <w:jc w:val="both"/>
      </w:pPr>
      <w:r w:rsidRPr="001723F4">
        <w:t>[2.</w:t>
      </w:r>
      <w:r w:rsidR="0080341A" w:rsidRPr="001723F4">
        <w:t>4</w:t>
      </w:r>
      <w:r w:rsidRPr="001723F4">
        <w:t xml:space="preserve">.2] </w:t>
      </w:r>
      <w:r w:rsidR="001A0DBB" w:rsidRPr="001723F4">
        <w:t>Tāpat</w:t>
      </w:r>
      <w:r w:rsidRPr="001723F4">
        <w:t xml:space="preserve"> sūdzības</w:t>
      </w:r>
      <w:r w:rsidR="001A0DBB" w:rsidRPr="001723F4">
        <w:t xml:space="preserve"> iesniedzēja nepamatoti atsaukusies uz Maksātnespējas likuma </w:t>
      </w:r>
      <w:proofErr w:type="gramStart"/>
      <w:r w:rsidR="001A0DBB" w:rsidRPr="001723F4">
        <w:t>116.pantu</w:t>
      </w:r>
      <w:proofErr w:type="gramEnd"/>
      <w:r w:rsidR="001A0DBB" w:rsidRPr="001723F4">
        <w:t xml:space="preserve">, jo izdevumi par degvielas patēriņu ietilpst Maksātnespējas likuma 170.panta otrās daļas 10.punkta tvērumā, proti, </w:t>
      </w:r>
      <w:r w:rsidR="0080341A" w:rsidRPr="001723F4">
        <w:t xml:space="preserve">tie ir </w:t>
      </w:r>
      <w:r w:rsidR="001A0DBB" w:rsidRPr="001723F4">
        <w:t xml:space="preserve">izdevumi, kas pamatoti un saistīti ar konkrētā juridiskās personas maksātnespējas procesa nodrošināšanu. </w:t>
      </w:r>
    </w:p>
    <w:p w14:paraId="7D82CC8D" w14:textId="77777777" w:rsidR="00314253" w:rsidRPr="001723F4" w:rsidRDefault="0080341A" w:rsidP="001B7ECD">
      <w:pPr>
        <w:spacing w:line="276" w:lineRule="auto"/>
        <w:ind w:firstLine="709"/>
        <w:jc w:val="both"/>
      </w:pPr>
      <w:r w:rsidRPr="001723F4">
        <w:t xml:space="preserve">[2.4.3] </w:t>
      </w:r>
      <w:r w:rsidR="00314253" w:rsidRPr="001723F4">
        <w:t xml:space="preserve">No dzīvē gūtiem novērojumiem secināms, ka komersanti, izsniedzot, piemēram, degvielas kvītis, izsniedz tās tiešajam pakalpojuma saņēmējam. Neviena degvielas uzpildes stacija neizsniegs kvīti uz personas vārda, kas nav pakalpojuma saņēmējs, līdz ar to saprotams, ka kvītis izrakstītas uz administratores, nevis parādnieces vārda. </w:t>
      </w:r>
    </w:p>
    <w:p w14:paraId="729DEF82" w14:textId="401565C8" w:rsidR="001A0DBB" w:rsidRPr="001723F4" w:rsidRDefault="00314253" w:rsidP="001B7ECD">
      <w:pPr>
        <w:spacing w:line="276" w:lineRule="auto"/>
        <w:ind w:firstLine="709"/>
        <w:jc w:val="both"/>
      </w:pPr>
      <w:r w:rsidRPr="001723F4">
        <w:t xml:space="preserve">[2.4.4] </w:t>
      </w:r>
      <w:r w:rsidR="001A0DBB" w:rsidRPr="001723F4">
        <w:t xml:space="preserve">Līdz ar to kreditoru </w:t>
      </w:r>
      <w:r w:rsidR="00E4776D" w:rsidRPr="001723F4">
        <w:t xml:space="preserve">sapulces </w:t>
      </w:r>
      <w:r w:rsidR="001A0DBB" w:rsidRPr="001723F4">
        <w:t>lēmumi Nr.</w:t>
      </w:r>
      <w:r w:rsidR="00E4776D" w:rsidRPr="001723F4">
        <w:t> </w:t>
      </w:r>
      <w:r w:rsidR="001A0DBB" w:rsidRPr="001723F4">
        <w:t>18 un Nr.</w:t>
      </w:r>
      <w:r w:rsidR="00E4776D" w:rsidRPr="001723F4">
        <w:t> </w:t>
      </w:r>
      <w:r w:rsidR="001A0DBB" w:rsidRPr="001723F4">
        <w:t xml:space="preserve">25 atbilst normatīvo aktu prasībām un </w:t>
      </w:r>
      <w:r w:rsidR="007A04B4" w:rsidRPr="001723F4">
        <w:t xml:space="preserve">ir </w:t>
      </w:r>
      <w:r w:rsidR="001A0DBB" w:rsidRPr="001723F4">
        <w:t>tieši attiecināmi uz parādnieces maksātnespējas procesu, kā arī nav pretēji kreditoru kopuma interesēm.</w:t>
      </w:r>
    </w:p>
    <w:p w14:paraId="7F0466A5" w14:textId="6BA7F8AC" w:rsidR="00314253" w:rsidRPr="001723F4" w:rsidRDefault="00E4776D" w:rsidP="001B7ECD">
      <w:pPr>
        <w:spacing w:line="276" w:lineRule="auto"/>
        <w:ind w:firstLine="709"/>
        <w:jc w:val="both"/>
      </w:pPr>
      <w:r w:rsidRPr="001723F4">
        <w:t>[2.</w:t>
      </w:r>
      <w:r w:rsidR="007A04B4" w:rsidRPr="001723F4">
        <w:t>5</w:t>
      </w:r>
      <w:r w:rsidRPr="001723F4">
        <w:t xml:space="preserve">] </w:t>
      </w:r>
      <w:r w:rsidR="00314253" w:rsidRPr="001723F4">
        <w:t>Tiesa piekrīt administratores paskaidrojumiem, ka administrators, kuram ir pienākums vienā prakses vietā nodrošināt vairāku personu maksātnespējas procesu norisi, efektivitātes principa ievērošanu nodrošina, visos procesos koplietojot vienotus tehniskos resursus, tos</w:t>
      </w:r>
      <w:proofErr w:type="gramStart"/>
      <w:r w:rsidR="00314253" w:rsidRPr="001723F4">
        <w:t xml:space="preserve"> attiecinot pēc kalkulācijas</w:t>
      </w:r>
      <w:proofErr w:type="gramEnd"/>
      <w:r w:rsidR="00314253" w:rsidRPr="001723F4">
        <w:t>.</w:t>
      </w:r>
    </w:p>
    <w:p w14:paraId="2E46DED0" w14:textId="66E2B8EE" w:rsidR="001A0DBB" w:rsidRPr="001723F4" w:rsidRDefault="001A0DBB" w:rsidP="001B7ECD">
      <w:pPr>
        <w:spacing w:line="276" w:lineRule="auto"/>
        <w:ind w:firstLine="709"/>
        <w:jc w:val="both"/>
      </w:pPr>
    </w:p>
    <w:p w14:paraId="1BC97D13" w14:textId="4C33B775" w:rsidR="00D02FEF" w:rsidRPr="001723F4" w:rsidRDefault="00D02FEF" w:rsidP="001B7ECD">
      <w:pPr>
        <w:spacing w:line="276" w:lineRule="auto"/>
        <w:ind w:firstLine="709"/>
        <w:jc w:val="both"/>
        <w:rPr>
          <w:lang w:eastAsia="lv-LV"/>
        </w:rPr>
      </w:pPr>
      <w:r w:rsidRPr="001723F4">
        <w:t>[</w:t>
      </w:r>
      <w:r w:rsidR="001A0DBB" w:rsidRPr="001723F4">
        <w:t>3</w:t>
      </w:r>
      <w:r w:rsidRPr="001723F4">
        <w:t xml:space="preserve">] </w:t>
      </w:r>
      <w:r w:rsidR="001A0DBB" w:rsidRPr="001723F4">
        <w:t xml:space="preserve">Latvijas Republikas Ģenerālprokuratūras Personu un valsts tiesību aizsardzības departamenta virsprokurors iesniedza protestu </w:t>
      </w:r>
      <w:r w:rsidR="001A0DBB" w:rsidRPr="001723F4">
        <w:rPr>
          <w:lang w:eastAsia="lv-LV"/>
        </w:rPr>
        <w:t xml:space="preserve">par Rīgas pilsētas Latgales priekšpilsētas tiesas </w:t>
      </w:r>
      <w:proofErr w:type="gramStart"/>
      <w:r w:rsidR="001A0DBB" w:rsidRPr="001723F4">
        <w:rPr>
          <w:lang w:eastAsia="lv-LV"/>
        </w:rPr>
        <w:t>2020.gada</w:t>
      </w:r>
      <w:proofErr w:type="gramEnd"/>
      <w:r w:rsidR="001A0DBB" w:rsidRPr="001723F4">
        <w:rPr>
          <w:lang w:eastAsia="lv-LV"/>
        </w:rPr>
        <w:t xml:space="preserve"> 14.augusta lēmumu</w:t>
      </w:r>
      <w:r w:rsidR="00A30E40" w:rsidRPr="001723F4">
        <w:rPr>
          <w:lang w:eastAsia="lv-LV"/>
        </w:rPr>
        <w:t xml:space="preserve"> daļā, ar kuru noraidīta Maksātnespējas kontroles dienesta sūdzība</w:t>
      </w:r>
      <w:r w:rsidR="00EC5D14" w:rsidRPr="001723F4">
        <w:t xml:space="preserve"> par maksātnespējīgās SIA „</w:t>
      </w:r>
      <w:proofErr w:type="spellStart"/>
      <w:r w:rsidR="00EC5D14" w:rsidRPr="001723F4">
        <w:t>Baltic</w:t>
      </w:r>
      <w:proofErr w:type="spellEnd"/>
      <w:r w:rsidR="00EC5D14" w:rsidRPr="001723F4">
        <w:t xml:space="preserve"> </w:t>
      </w:r>
      <w:proofErr w:type="spellStart"/>
      <w:r w:rsidR="00EC5D14" w:rsidRPr="001723F4">
        <w:t>Polymers</w:t>
      </w:r>
      <w:proofErr w:type="spellEnd"/>
      <w:r w:rsidR="00EC5D14" w:rsidRPr="001723F4">
        <w:t>” kreditoru sapulces 2020.gada 13.jūlija lēmumu Nr. 1, Nr. 13, Nr. 18, Nr. 20 un Nr. 25 atcelšanu</w:t>
      </w:r>
      <w:r w:rsidR="00B01EE6" w:rsidRPr="001723F4">
        <w:rPr>
          <w:lang w:eastAsia="lv-LV"/>
        </w:rPr>
        <w:t>.</w:t>
      </w:r>
    </w:p>
    <w:p w14:paraId="1BD00F88" w14:textId="77777777" w:rsidR="00337655" w:rsidRPr="001723F4" w:rsidRDefault="001A0DBB" w:rsidP="001B7ECD">
      <w:pPr>
        <w:spacing w:line="276" w:lineRule="auto"/>
        <w:ind w:firstLine="709"/>
        <w:jc w:val="both"/>
      </w:pPr>
      <w:r w:rsidRPr="001723F4">
        <w:t>Protests pamatots</w:t>
      </w:r>
      <w:r w:rsidR="00B01EE6" w:rsidRPr="001723F4">
        <w:t xml:space="preserve"> ar šādiem argumentiem.</w:t>
      </w:r>
    </w:p>
    <w:p w14:paraId="17F08EC7" w14:textId="77777777" w:rsidR="001A0DBB" w:rsidRPr="001723F4" w:rsidRDefault="001A0DBB" w:rsidP="001B7ECD">
      <w:pPr>
        <w:spacing w:line="276" w:lineRule="auto"/>
        <w:ind w:firstLine="709"/>
        <w:jc w:val="both"/>
      </w:pPr>
      <w:r w:rsidRPr="001723F4">
        <w:lastRenderedPageBreak/>
        <w:t>[3</w:t>
      </w:r>
      <w:r w:rsidR="00337655" w:rsidRPr="001723F4">
        <w:t xml:space="preserve">.1] </w:t>
      </w:r>
      <w:r w:rsidR="00E4776D" w:rsidRPr="001723F4">
        <w:t xml:space="preserve">Tiesa kļūdaini attiecinājusi </w:t>
      </w:r>
      <w:r w:rsidRPr="001723F4">
        <w:t xml:space="preserve">Maksātnespējas likuma </w:t>
      </w:r>
      <w:proofErr w:type="gramStart"/>
      <w:r w:rsidRPr="001723F4">
        <w:t>170.panta</w:t>
      </w:r>
      <w:proofErr w:type="gramEnd"/>
      <w:r w:rsidRPr="001723F4">
        <w:t xml:space="preserve"> otrās </w:t>
      </w:r>
      <w:r w:rsidR="00E4776D" w:rsidRPr="001723F4">
        <w:t xml:space="preserve">daļas 10.punktā ietverto normu uz </w:t>
      </w:r>
      <w:r w:rsidRPr="001723F4">
        <w:t xml:space="preserve">lietā konstatētajiem apstākļiem, kā arī </w:t>
      </w:r>
      <w:r w:rsidR="00E4776D" w:rsidRPr="001723F4">
        <w:t xml:space="preserve">nav ievērojusi </w:t>
      </w:r>
      <w:r w:rsidRPr="001723F4">
        <w:t xml:space="preserve">Civilprocesa likuma 97.panta pirmās daļas un </w:t>
      </w:r>
      <w:r w:rsidR="00E4776D" w:rsidRPr="001723F4">
        <w:t>230.panta ceturtās daļas prasības, kas novedis</w:t>
      </w:r>
      <w:r w:rsidRPr="001723F4">
        <w:t xml:space="preserve"> pie </w:t>
      </w:r>
      <w:r w:rsidR="00E4776D" w:rsidRPr="001723F4">
        <w:t xml:space="preserve">Maksātnespējas kontroles dienesta sūdzības </w:t>
      </w:r>
      <w:r w:rsidRPr="001723F4">
        <w:t>nepareizas izlemšanas.</w:t>
      </w:r>
    </w:p>
    <w:p w14:paraId="22ED2543" w14:textId="088A0F45" w:rsidR="001A0DBB" w:rsidRPr="001723F4" w:rsidRDefault="00E4776D" w:rsidP="001B7ECD">
      <w:pPr>
        <w:spacing w:line="276" w:lineRule="auto"/>
        <w:ind w:firstLine="709"/>
        <w:jc w:val="both"/>
      </w:pPr>
      <w:r w:rsidRPr="001723F4">
        <w:t>[3.</w:t>
      </w:r>
      <w:r w:rsidR="005E6976" w:rsidRPr="001723F4">
        <w:t>2</w:t>
      </w:r>
      <w:r w:rsidRPr="001723F4">
        <w:t>] T</w:t>
      </w:r>
      <w:r w:rsidR="001A0DBB" w:rsidRPr="001723F4">
        <w:t xml:space="preserve">iesai, lemjot par maksātnespējas procesa izdevumu pamatotību, </w:t>
      </w:r>
      <w:r w:rsidR="00AB1E43" w:rsidRPr="001723F4">
        <w:t xml:space="preserve">atbilstoši Maksātnespējas likuma </w:t>
      </w:r>
      <w:proofErr w:type="gramStart"/>
      <w:r w:rsidR="00AB1E43" w:rsidRPr="001723F4">
        <w:t>170.panta</w:t>
      </w:r>
      <w:proofErr w:type="gramEnd"/>
      <w:r w:rsidR="00AB1E43" w:rsidRPr="001723F4">
        <w:t xml:space="preserve"> otrās daļas 10.punktam </w:t>
      </w:r>
      <w:r w:rsidR="001A0DBB" w:rsidRPr="001723F4">
        <w:t>jāvērtē, vai izdevumi ir pamatoti un saistīti ar konkrētās juridiskās personas maksāt</w:t>
      </w:r>
      <w:r w:rsidRPr="001723F4">
        <w:t>nespējas procesa nodrošināšanu. Ti</w:t>
      </w:r>
      <w:r w:rsidR="001A0DBB" w:rsidRPr="001723F4">
        <w:t>esai jānoskaidro, vai izdevumi ir tieši attiecināmi uz konkrēto juridiskās personas maksātnespējas procesu, vai šādi izdevumi ir bijuši nepieciešami un lietderīgi. No izdevumus pamatojoš</w:t>
      </w:r>
      <w:r w:rsidR="00E05B1F" w:rsidRPr="001723F4">
        <w:t>aj</w:t>
      </w:r>
      <w:r w:rsidR="001A0DBB" w:rsidRPr="001723F4">
        <w:t>iem dokumentiem ir jābūt skaid</w:t>
      </w:r>
      <w:r w:rsidR="00E05B1F" w:rsidRPr="001723F4">
        <w:t>ri saprotamam, kāds pakalpojums</w:t>
      </w:r>
      <w:r w:rsidR="001A0DBB" w:rsidRPr="001723F4">
        <w:t>, kādā apmērā un kad ir ticis sniegts.</w:t>
      </w:r>
    </w:p>
    <w:p w14:paraId="7EBB45AB" w14:textId="7CCCA450" w:rsidR="001A0DBB" w:rsidRPr="001723F4" w:rsidRDefault="00E4776D" w:rsidP="001B7ECD">
      <w:pPr>
        <w:spacing w:line="276" w:lineRule="auto"/>
        <w:ind w:firstLine="709"/>
        <w:jc w:val="both"/>
      </w:pPr>
      <w:r w:rsidRPr="001723F4">
        <w:t>[3.</w:t>
      </w:r>
      <w:r w:rsidR="005E6976" w:rsidRPr="001723F4">
        <w:t>3</w:t>
      </w:r>
      <w:r w:rsidRPr="001723F4">
        <w:t xml:space="preserve">] </w:t>
      </w:r>
      <w:r w:rsidR="001A0DBB" w:rsidRPr="001723F4">
        <w:t>Tiesa secinājusi, ka grāmatvedības pakalpojumu sniegšanu pierāda administratores</w:t>
      </w:r>
      <w:r w:rsidRPr="001723F4">
        <w:t xml:space="preserve"> B</w:t>
      </w:r>
      <w:r w:rsidR="00E05B1F" w:rsidRPr="001723F4">
        <w:t xml:space="preserve">aibas </w:t>
      </w:r>
      <w:r w:rsidRPr="001723F4">
        <w:t xml:space="preserve">Didrihsones </w:t>
      </w:r>
      <w:proofErr w:type="gramStart"/>
      <w:r w:rsidR="001A0DBB" w:rsidRPr="001723F4">
        <w:t>2020.gada</w:t>
      </w:r>
      <w:proofErr w:type="gramEnd"/>
      <w:r w:rsidR="001A0DBB" w:rsidRPr="001723F4">
        <w:t xml:space="preserve"> 7.jūlija </w:t>
      </w:r>
      <w:r w:rsidR="00F956E6" w:rsidRPr="001723F4">
        <w:t>un 2020.gada 13.jūlija akti</w:t>
      </w:r>
      <w:r w:rsidR="001A0DBB" w:rsidRPr="001723F4">
        <w:t xml:space="preserve"> un grāmatvedības pakalpojumu uzņēmuma rēķini par sniegtajiem pakalpojumiem, taču minēto pierādījumu saturu tiesa vispār nav vērtējusi.</w:t>
      </w:r>
    </w:p>
    <w:p w14:paraId="716CA927" w14:textId="523FB4A9" w:rsidR="001A0DBB" w:rsidRPr="001723F4" w:rsidRDefault="001A0DBB" w:rsidP="001B7ECD">
      <w:pPr>
        <w:spacing w:line="276" w:lineRule="auto"/>
        <w:ind w:firstLine="709"/>
        <w:jc w:val="both"/>
      </w:pPr>
      <w:r w:rsidRPr="001723F4">
        <w:t xml:space="preserve">Lietas materiālos esošie grāmatvedības pakalpojumu uzņēmuma rēķini liecina, ka </w:t>
      </w:r>
      <w:r w:rsidR="00F956E6" w:rsidRPr="001723F4">
        <w:t xml:space="preserve">grāmatvedības </w:t>
      </w:r>
      <w:r w:rsidRPr="001723F4">
        <w:t xml:space="preserve">uzņēmums </w:t>
      </w:r>
      <w:proofErr w:type="gramStart"/>
      <w:r w:rsidRPr="001723F4">
        <w:t>2019.gadā</w:t>
      </w:r>
      <w:proofErr w:type="gramEnd"/>
      <w:r w:rsidRPr="001723F4">
        <w:t xml:space="preserve"> un no 2018.gada maija līdz 2018.gada decembrim ir sniedzis grāmatvedības pakalpojumus </w:t>
      </w:r>
      <w:r w:rsidR="00E05B1F" w:rsidRPr="001723F4">
        <w:t xml:space="preserve">administratorei Baibai </w:t>
      </w:r>
      <w:r w:rsidR="00F956E6" w:rsidRPr="001723F4">
        <w:t>Didrihsonei</w:t>
      </w:r>
      <w:r w:rsidRPr="001723F4">
        <w:t>. No šiem rēķiniem nav iespējams secināt, vai un kādā apjomā grāmat</w:t>
      </w:r>
      <w:r w:rsidR="00F956E6" w:rsidRPr="001723F4">
        <w:t xml:space="preserve">vedības pakalpojumi sniegti </w:t>
      </w:r>
      <w:r w:rsidR="00E05B1F" w:rsidRPr="001723F4">
        <w:t xml:space="preserve">saistībā ar </w:t>
      </w:r>
      <w:r w:rsidR="00F956E6" w:rsidRPr="001723F4">
        <w:t>SIA „</w:t>
      </w:r>
      <w:proofErr w:type="spellStart"/>
      <w:r w:rsidR="00F956E6" w:rsidRPr="001723F4">
        <w:t>Baltic</w:t>
      </w:r>
      <w:proofErr w:type="spellEnd"/>
      <w:r w:rsidR="00F956E6" w:rsidRPr="001723F4">
        <w:t xml:space="preserve"> </w:t>
      </w:r>
      <w:proofErr w:type="spellStart"/>
      <w:r w:rsidR="00F956E6" w:rsidRPr="001723F4">
        <w:t>Polymers</w:t>
      </w:r>
      <w:proofErr w:type="spellEnd"/>
      <w:r w:rsidR="00F956E6" w:rsidRPr="001723F4">
        <w:t>”</w:t>
      </w:r>
      <w:r w:rsidRPr="001723F4">
        <w:t xml:space="preserve"> maksātnespējas proces</w:t>
      </w:r>
      <w:r w:rsidR="00E05B1F" w:rsidRPr="001723F4">
        <w:t>u</w:t>
      </w:r>
      <w:r w:rsidRPr="001723F4">
        <w:t>.</w:t>
      </w:r>
    </w:p>
    <w:p w14:paraId="70A23D11" w14:textId="40D8271B" w:rsidR="001A0DBB" w:rsidRPr="001723F4" w:rsidRDefault="001A0DBB" w:rsidP="001B7ECD">
      <w:pPr>
        <w:spacing w:line="276" w:lineRule="auto"/>
        <w:ind w:firstLine="709"/>
        <w:jc w:val="both"/>
      </w:pPr>
      <w:r w:rsidRPr="001723F4">
        <w:t>Savukārt no ad</w:t>
      </w:r>
      <w:r w:rsidR="00F956E6" w:rsidRPr="001723F4">
        <w:t xml:space="preserve">ministratores </w:t>
      </w:r>
      <w:proofErr w:type="gramStart"/>
      <w:r w:rsidR="00F956E6" w:rsidRPr="001723F4">
        <w:t>2020.gada</w:t>
      </w:r>
      <w:proofErr w:type="gramEnd"/>
      <w:r w:rsidR="00F956E6" w:rsidRPr="001723F4">
        <w:t xml:space="preserve"> 7.jūlija</w:t>
      </w:r>
      <w:r w:rsidRPr="001723F4">
        <w:t xml:space="preserve"> un 2020.gada 13.jūlij</w:t>
      </w:r>
      <w:r w:rsidR="00F956E6" w:rsidRPr="001723F4">
        <w:t xml:space="preserve">a </w:t>
      </w:r>
      <w:r w:rsidRPr="001723F4">
        <w:t xml:space="preserve">aktiem </w:t>
      </w:r>
      <w:r w:rsidR="00E05B1F" w:rsidRPr="001723F4">
        <w:t xml:space="preserve">secināms, ka 2019.gadā un </w:t>
      </w:r>
      <w:r w:rsidRPr="001723F4">
        <w:t xml:space="preserve">no 2018.gadā maija līdz 2018.gada decembrim </w:t>
      </w:r>
      <w:r w:rsidR="00F956E6" w:rsidRPr="001723F4">
        <w:t>SIA „</w:t>
      </w:r>
      <w:proofErr w:type="spellStart"/>
      <w:r w:rsidR="00F956E6" w:rsidRPr="001723F4">
        <w:t>Baltic</w:t>
      </w:r>
      <w:proofErr w:type="spellEnd"/>
      <w:r w:rsidR="00F956E6" w:rsidRPr="001723F4">
        <w:t xml:space="preserve"> </w:t>
      </w:r>
      <w:proofErr w:type="spellStart"/>
      <w:r w:rsidR="00F956E6" w:rsidRPr="001723F4">
        <w:t>Polymers</w:t>
      </w:r>
      <w:proofErr w:type="spellEnd"/>
      <w:r w:rsidR="00F956E6" w:rsidRPr="001723F4">
        <w:t>”</w:t>
      </w:r>
      <w:r w:rsidRPr="001723F4">
        <w:t xml:space="preserve"> maksātnespējas procesā grāmatvedības sniegto pakalpojumu apjoms ik mēnesi nemainīgi ir bijis 0,055 (administratores norādītā mērvienība </w:t>
      </w:r>
      <w:r w:rsidR="00F956E6" w:rsidRPr="001723F4">
        <w:t xml:space="preserve">– </w:t>
      </w:r>
      <w:r w:rsidRPr="001723F4">
        <w:t>kWh). Ne</w:t>
      </w:r>
      <w:r w:rsidR="005E6976" w:rsidRPr="001723F4">
        <w:t>dz</w:t>
      </w:r>
      <w:r w:rsidRPr="001723F4">
        <w:t xml:space="preserve"> administratores iesniegtie pierādījumi, ne</w:t>
      </w:r>
      <w:r w:rsidR="005E6976" w:rsidRPr="001723F4">
        <w:t>dz</w:t>
      </w:r>
      <w:r w:rsidRPr="001723F4">
        <w:t xml:space="preserve"> tiesai sniegtie paskaidrojumi nepamato šādu aprēķinu, proti, nav saprotams, uz kādiem datiem šāds sniegto pakalpojumu apjoms balstīts. </w:t>
      </w:r>
    </w:p>
    <w:p w14:paraId="1B0DB7C7" w14:textId="67DFD935" w:rsidR="001A0DBB" w:rsidRPr="001723F4" w:rsidRDefault="001A0DBB" w:rsidP="001B7ECD">
      <w:pPr>
        <w:spacing w:line="276" w:lineRule="auto"/>
        <w:ind w:firstLine="709"/>
        <w:jc w:val="both"/>
      </w:pPr>
      <w:r w:rsidRPr="001723F4">
        <w:t xml:space="preserve">Turklāt, kā redzams </w:t>
      </w:r>
      <w:r w:rsidR="00F956E6" w:rsidRPr="001723F4">
        <w:t>no lietas materiāliem, šāds</w:t>
      </w:r>
      <w:r w:rsidRPr="001723F4">
        <w:t xml:space="preserve"> saņemtā pakalpojuma apjoms ticis norādīts arī saistībā ar izdevumi</w:t>
      </w:r>
      <w:r w:rsidR="00F956E6" w:rsidRPr="001723F4">
        <w:t xml:space="preserve">em par apsardzes pakalpojumiem, </w:t>
      </w:r>
      <w:r w:rsidRPr="001723F4">
        <w:t xml:space="preserve">kas rada pamatotas šaubas par to, vai administratores norādītais grāmatvedības pakalpojumu apjoms </w:t>
      </w:r>
      <w:r w:rsidR="00F956E6" w:rsidRPr="001723F4">
        <w:t>–</w:t>
      </w:r>
      <w:r w:rsidRPr="001723F4">
        <w:t xml:space="preserve"> 0,055</w:t>
      </w:r>
      <w:r w:rsidR="005E6976" w:rsidRPr="001723F4">
        <w:t xml:space="preserve"> –</w:t>
      </w:r>
      <w:r w:rsidRPr="001723F4">
        <w:t xml:space="preserve"> vispār balst</w:t>
      </w:r>
      <w:r w:rsidR="005E6976" w:rsidRPr="001723F4">
        <w:t>īts</w:t>
      </w:r>
      <w:r w:rsidRPr="001723F4">
        <w:t xml:space="preserve"> kādos objektīvos datos.</w:t>
      </w:r>
    </w:p>
    <w:p w14:paraId="785017D8" w14:textId="00591DB1" w:rsidR="00E05B1F" w:rsidRPr="001723F4" w:rsidRDefault="00F956E6" w:rsidP="001B7ECD">
      <w:pPr>
        <w:spacing w:line="276" w:lineRule="auto"/>
        <w:ind w:firstLine="709"/>
        <w:jc w:val="both"/>
      </w:pPr>
      <w:r w:rsidRPr="001723F4">
        <w:t>[3.</w:t>
      </w:r>
      <w:r w:rsidR="00B4042F" w:rsidRPr="001723F4">
        <w:t>4</w:t>
      </w:r>
      <w:r w:rsidRPr="001723F4">
        <w:t xml:space="preserve">] </w:t>
      </w:r>
      <w:r w:rsidR="001A0DBB" w:rsidRPr="001723F4">
        <w:t xml:space="preserve">Arī attiecībā uz izdevumiem </w:t>
      </w:r>
      <w:r w:rsidR="00B4042F" w:rsidRPr="001723F4">
        <w:t>par</w:t>
      </w:r>
      <w:r w:rsidRPr="001723F4">
        <w:t xml:space="preserve"> tiesvedības </w:t>
      </w:r>
      <w:r w:rsidR="00B4042F" w:rsidRPr="001723F4">
        <w:t xml:space="preserve">datu </w:t>
      </w:r>
      <w:r w:rsidRPr="001723F4">
        <w:t>monitoringu</w:t>
      </w:r>
      <w:r w:rsidR="001A0DBB" w:rsidRPr="001723F4">
        <w:t xml:space="preserve"> tiesa nav ņēmusi vērā, ka pakalpojums iegādāts </w:t>
      </w:r>
      <w:r w:rsidR="00B4042F" w:rsidRPr="001723F4">
        <w:t xml:space="preserve">laika posmam </w:t>
      </w:r>
      <w:r w:rsidR="001A0DBB" w:rsidRPr="001723F4">
        <w:t xml:space="preserve">no </w:t>
      </w:r>
      <w:proofErr w:type="gramStart"/>
      <w:r w:rsidR="001A0DBB" w:rsidRPr="001723F4">
        <w:t>2020.gada</w:t>
      </w:r>
      <w:proofErr w:type="gramEnd"/>
      <w:r w:rsidR="001A0DBB" w:rsidRPr="001723F4">
        <w:t xml:space="preserve"> 10.jūlija līdz 2021.gada 9.jūlijam, tātad </w:t>
      </w:r>
      <w:r w:rsidRPr="001723F4">
        <w:t>–</w:t>
      </w:r>
      <w:r w:rsidR="001A0DBB" w:rsidRPr="001723F4">
        <w:t xml:space="preserve"> turpmāka</w:t>
      </w:r>
      <w:r w:rsidR="00B4042F" w:rsidRPr="001723F4">
        <w:t>ja</w:t>
      </w:r>
      <w:r w:rsidRPr="001723F4">
        <w:t>m tiesvedības datu monitoringam</w:t>
      </w:r>
      <w:r w:rsidR="001A0DBB" w:rsidRPr="001723F4">
        <w:t xml:space="preserve">. Administratore aktā norādījusi, ka minētā pakalpojuma apjoms attiecībā uz parādnieku būs 0,06 (administratores norādītā mērvienība </w:t>
      </w:r>
      <w:r w:rsidRPr="001723F4">
        <w:t>–</w:t>
      </w:r>
      <w:r w:rsidR="001A0DBB" w:rsidRPr="001723F4">
        <w:t xml:space="preserve"> </w:t>
      </w:r>
      <w:r w:rsidRPr="001723F4">
        <w:t xml:space="preserve">kWh). </w:t>
      </w:r>
    </w:p>
    <w:p w14:paraId="33AFAF68" w14:textId="77777777" w:rsidR="001A0DBB" w:rsidRPr="001723F4" w:rsidRDefault="00F956E6" w:rsidP="001B7ECD">
      <w:pPr>
        <w:spacing w:line="276" w:lineRule="auto"/>
        <w:ind w:firstLine="709"/>
        <w:jc w:val="both"/>
      </w:pPr>
      <w:r w:rsidRPr="001723F4">
        <w:t>Nav saprotami tiesas apsvērumi</w:t>
      </w:r>
      <w:r w:rsidR="001A0DBB" w:rsidRPr="001723F4">
        <w:t>, uzskatot, ka iespējam</w:t>
      </w:r>
      <w:r w:rsidRPr="001723F4">
        <w:t>o turpmāko tiesvedību monitorings</w:t>
      </w:r>
      <w:r w:rsidR="001A0DBB" w:rsidRPr="001723F4">
        <w:t xml:space="preserve"> </w:t>
      </w:r>
      <w:r w:rsidRPr="001723F4">
        <w:t>SIA „</w:t>
      </w:r>
      <w:proofErr w:type="spellStart"/>
      <w:r w:rsidRPr="001723F4">
        <w:t>Baltic</w:t>
      </w:r>
      <w:proofErr w:type="spellEnd"/>
      <w:r w:rsidRPr="001723F4">
        <w:t xml:space="preserve"> </w:t>
      </w:r>
      <w:proofErr w:type="spellStart"/>
      <w:r w:rsidRPr="001723F4">
        <w:t>Polymers</w:t>
      </w:r>
      <w:proofErr w:type="spellEnd"/>
      <w:r w:rsidRPr="001723F4">
        <w:t xml:space="preserve">” </w:t>
      </w:r>
      <w:r w:rsidR="001A0DBB" w:rsidRPr="001723F4">
        <w:t xml:space="preserve">maksātnespējas procesā izmaksās 0,90 </w:t>
      </w:r>
      <w:proofErr w:type="spellStart"/>
      <w:r w:rsidR="001A0DBB" w:rsidRPr="001723F4">
        <w:rPr>
          <w:i/>
        </w:rPr>
        <w:t>euro</w:t>
      </w:r>
      <w:proofErr w:type="spellEnd"/>
      <w:r w:rsidR="001A0DBB" w:rsidRPr="001723F4">
        <w:t>.</w:t>
      </w:r>
    </w:p>
    <w:p w14:paraId="75E8FF05" w14:textId="2715CEEC" w:rsidR="001A0DBB" w:rsidRPr="001723F4" w:rsidRDefault="00F956E6" w:rsidP="001B7ECD">
      <w:pPr>
        <w:spacing w:line="276" w:lineRule="auto"/>
        <w:ind w:firstLine="709"/>
        <w:jc w:val="both"/>
      </w:pPr>
      <w:r w:rsidRPr="001723F4">
        <w:t>[3.</w:t>
      </w:r>
      <w:r w:rsidR="00B4042F" w:rsidRPr="001723F4">
        <w:t>5</w:t>
      </w:r>
      <w:r w:rsidRPr="001723F4">
        <w:t xml:space="preserve">] </w:t>
      </w:r>
      <w:r w:rsidR="001A0DBB" w:rsidRPr="001723F4">
        <w:t>Tiesai bija jāvērtē Maksātnespējas kontroles dienesta sūdzībā paustie iebildumi par to, ka maksātnespējas procesa izdevumi saistībā ar ieķīlātās mantas apsekošanu nav jāsedz nenodrošinātajiem kreditoriem. Ja maksātnespējas procesa norise un attiecīgās izmaksas ir vērstas uz nodrošinātā kreditora prasījuma apmierināšanu, tad šo izmaksu avotam būtu jābūt naudas līdzekļiem, kas iegūti no ieķīlātās mantas realizācijas.</w:t>
      </w:r>
    </w:p>
    <w:p w14:paraId="068C65A5" w14:textId="27827EE7" w:rsidR="001A0DBB" w:rsidRPr="001723F4" w:rsidRDefault="00F956E6" w:rsidP="001B7ECD">
      <w:pPr>
        <w:spacing w:line="276" w:lineRule="auto"/>
        <w:ind w:firstLine="709"/>
        <w:jc w:val="both"/>
      </w:pPr>
      <w:r w:rsidRPr="001723F4">
        <w:t>Tiesa minētos</w:t>
      </w:r>
      <w:r w:rsidR="001A0DBB" w:rsidRPr="001723F4">
        <w:t xml:space="preserve"> iebildumus noraidījusi, </w:t>
      </w:r>
      <w:r w:rsidR="00B4042F" w:rsidRPr="001723F4">
        <w:t xml:space="preserve">turklāt bez </w:t>
      </w:r>
      <w:r w:rsidR="001A0DBB" w:rsidRPr="001723F4">
        <w:t>motiv</w:t>
      </w:r>
      <w:r w:rsidR="00B4042F" w:rsidRPr="001723F4">
        <w:t>ācijas.</w:t>
      </w:r>
      <w:r w:rsidR="001A0DBB" w:rsidRPr="001723F4">
        <w:t xml:space="preserve"> </w:t>
      </w:r>
      <w:r w:rsidRPr="001723F4">
        <w:t>Savukārt n</w:t>
      </w:r>
      <w:r w:rsidR="001A0DBB" w:rsidRPr="001723F4">
        <w:t xml:space="preserve">orādot, ka papildus apķīlātās mantas </w:t>
      </w:r>
      <w:r w:rsidRPr="001723F4">
        <w:t>apsekošanai administratore</w:t>
      </w:r>
      <w:r w:rsidR="001A0DBB" w:rsidRPr="001723F4">
        <w:t xml:space="preserve"> veikusi arī citas darbības maksātne</w:t>
      </w:r>
      <w:r w:rsidRPr="001723F4">
        <w:t>spējas procesa nodrošināšanai</w:t>
      </w:r>
      <w:r w:rsidR="00AD5C83" w:rsidRPr="001723F4">
        <w:t xml:space="preserve"> (</w:t>
      </w:r>
      <w:r w:rsidR="001A0DBB" w:rsidRPr="001723F4">
        <w:t>juridiskās adreses apsekošan</w:t>
      </w:r>
      <w:r w:rsidR="00AD5C83" w:rsidRPr="001723F4">
        <w:t>u</w:t>
      </w:r>
      <w:r w:rsidR="001A0DBB" w:rsidRPr="001723F4">
        <w:t>, informācijas iegūšan</w:t>
      </w:r>
      <w:r w:rsidR="00AD5C83" w:rsidRPr="001723F4">
        <w:t>u</w:t>
      </w:r>
      <w:r w:rsidR="001A0DBB" w:rsidRPr="001723F4">
        <w:t xml:space="preserve"> un dokumentu </w:t>
      </w:r>
      <w:r w:rsidR="00E05B1F" w:rsidRPr="001723F4">
        <w:lastRenderedPageBreak/>
        <w:t>iesniegšan</w:t>
      </w:r>
      <w:r w:rsidR="00AD5C83" w:rsidRPr="001723F4">
        <w:t>u</w:t>
      </w:r>
      <w:r w:rsidR="00E05B1F" w:rsidRPr="001723F4">
        <w:t xml:space="preserve"> un </w:t>
      </w:r>
      <w:r w:rsidRPr="001723F4">
        <w:t>nodošan</w:t>
      </w:r>
      <w:r w:rsidR="00F57728" w:rsidRPr="001723F4">
        <w:t>u)</w:t>
      </w:r>
      <w:r w:rsidRPr="001723F4">
        <w:t>,</w:t>
      </w:r>
      <w:r w:rsidR="001A0DBB" w:rsidRPr="001723F4">
        <w:t xml:space="preserve"> tiesa </w:t>
      </w:r>
      <w:r w:rsidRPr="001723F4">
        <w:t>vērtējusi</w:t>
      </w:r>
      <w:r w:rsidR="001A0DBB" w:rsidRPr="001723F4">
        <w:t xml:space="preserve"> citus izdevumus saistībā ar degvielas iegādi, nevis izdevumus, kas saistīti ar apķīlātās mantas apsekošanu.</w:t>
      </w:r>
    </w:p>
    <w:p w14:paraId="5324241C" w14:textId="77777777" w:rsidR="001A0DBB" w:rsidRPr="001723F4" w:rsidRDefault="00F956E6" w:rsidP="001B7ECD">
      <w:pPr>
        <w:spacing w:line="276" w:lineRule="auto"/>
        <w:ind w:firstLine="709"/>
        <w:jc w:val="both"/>
      </w:pPr>
      <w:r w:rsidRPr="001723F4">
        <w:t>Ievērojot minēto,</w:t>
      </w:r>
      <w:r w:rsidR="001A0DBB" w:rsidRPr="001723F4">
        <w:t xml:space="preserve"> tiesas lēmums jautājumā par to, vai nenodrošinātajam kreditoriem jāsedz izmaksas, kas saistītas ar apķīlātās mantas apsekošanu, neatbilst Civilprocesa likuma </w:t>
      </w:r>
      <w:proofErr w:type="gramStart"/>
      <w:r w:rsidR="001A0DBB" w:rsidRPr="001723F4">
        <w:t>230.panta</w:t>
      </w:r>
      <w:proofErr w:type="gramEnd"/>
      <w:r w:rsidR="001A0DBB" w:rsidRPr="001723F4">
        <w:t xml:space="preserve"> ceturtās daļas prasībām, kas nosaka tiesai pienākumu sniegt juridisku motivāciju lēmuma pieņemšanā.</w:t>
      </w:r>
    </w:p>
    <w:p w14:paraId="4D61DD93" w14:textId="24124922" w:rsidR="001A0DBB" w:rsidRPr="001723F4" w:rsidRDefault="001A0DBB" w:rsidP="001B7ECD">
      <w:pPr>
        <w:spacing w:line="276" w:lineRule="auto"/>
        <w:ind w:firstLine="709"/>
        <w:jc w:val="both"/>
      </w:pPr>
      <w:r w:rsidRPr="001723F4">
        <w:t>Turklāt</w:t>
      </w:r>
      <w:r w:rsidR="00F956E6" w:rsidRPr="001723F4">
        <w:t>,</w:t>
      </w:r>
      <w:r w:rsidRPr="001723F4">
        <w:t xml:space="preserve"> neesot pierādījumiem </w:t>
      </w:r>
      <w:r w:rsidR="00F956E6" w:rsidRPr="001723F4">
        <w:t xml:space="preserve">lietā </w:t>
      </w:r>
      <w:r w:rsidRPr="001723F4">
        <w:t>par to, kur un konkrēti kādi dokumenti iesniegti un nodoti</w:t>
      </w:r>
      <w:r w:rsidR="00F956E6" w:rsidRPr="001723F4">
        <w:t>, kur un kāda informācija</w:t>
      </w:r>
      <w:r w:rsidRPr="001723F4">
        <w:t xml:space="preserve"> iegūta, tiesa nepamatoti uz maksātnespējas procesa izdevumiem attiecinājusi arī izmaksas saistībā ar degvielas iegādi, lai nodrošinātu informācijas iegūšanu, dokumentu iesniegšanu un nodošanu. </w:t>
      </w:r>
      <w:r w:rsidR="00F956E6" w:rsidRPr="001723F4">
        <w:t>T</w:t>
      </w:r>
      <w:r w:rsidRPr="001723F4">
        <w:t xml:space="preserve">iesa ir formāli norādījusi uz administratores </w:t>
      </w:r>
      <w:r w:rsidR="00F956E6" w:rsidRPr="001723F4">
        <w:t>iesniegto pierādījumu es</w:t>
      </w:r>
      <w:r w:rsidRPr="001723F4">
        <w:t xml:space="preserve">ību, taču tos nav vērtējusi un </w:t>
      </w:r>
      <w:r w:rsidR="00F944C7" w:rsidRPr="001723F4">
        <w:t>to</w:t>
      </w:r>
      <w:r w:rsidRPr="001723F4">
        <w:t xml:space="preserve"> saturā nav iedziļinā</w:t>
      </w:r>
      <w:r w:rsidR="00F944C7" w:rsidRPr="001723F4">
        <w:t>jusies, tādējādi pārkāpjot</w:t>
      </w:r>
      <w:r w:rsidRPr="001723F4">
        <w:t xml:space="preserve"> Civilprocesa likuma </w:t>
      </w:r>
      <w:proofErr w:type="gramStart"/>
      <w:r w:rsidRPr="001723F4">
        <w:t>97.panta</w:t>
      </w:r>
      <w:proofErr w:type="gramEnd"/>
      <w:r w:rsidRPr="001723F4">
        <w:t xml:space="preserve"> pirmās daļas prasības.</w:t>
      </w:r>
    </w:p>
    <w:p w14:paraId="3E7E3B1A" w14:textId="1F8DC658" w:rsidR="001A0DBB" w:rsidRPr="001723F4" w:rsidRDefault="00F956E6" w:rsidP="001B7ECD">
      <w:pPr>
        <w:spacing w:line="276" w:lineRule="auto"/>
        <w:ind w:firstLine="709"/>
        <w:jc w:val="both"/>
      </w:pPr>
      <w:r w:rsidRPr="001723F4">
        <w:t>[3.</w:t>
      </w:r>
      <w:r w:rsidR="003B752F" w:rsidRPr="001723F4">
        <w:t>6</w:t>
      </w:r>
      <w:r w:rsidRPr="001723F4">
        <w:t>] I</w:t>
      </w:r>
      <w:r w:rsidR="001A0DBB" w:rsidRPr="001723F4">
        <w:t>zdevumus, kuru attiecināmību uz konkrēto maksātnespējas procesu nav iespējams pierādīt, nedrīkst iekļaut attiecīgā maksātnespējas procesa izmaksu sarakstā. Maksātnespējas procesa izmaksu caurskatāmība ir viens no veidiem, kā nodrošināt atklātības principa ievērošanu maksātnespējas procesā.</w:t>
      </w:r>
    </w:p>
    <w:p w14:paraId="1CFEF02B" w14:textId="77777777" w:rsidR="001B7ECD" w:rsidRPr="001723F4" w:rsidRDefault="001B7ECD" w:rsidP="001B7ECD">
      <w:pPr>
        <w:spacing w:line="276" w:lineRule="auto"/>
        <w:ind w:firstLine="709"/>
        <w:jc w:val="both"/>
      </w:pPr>
    </w:p>
    <w:p w14:paraId="32388EF4" w14:textId="2246CEFC" w:rsidR="00D51386" w:rsidRPr="001723F4" w:rsidRDefault="00D51386" w:rsidP="001B7ECD">
      <w:pPr>
        <w:spacing w:line="276" w:lineRule="auto"/>
        <w:jc w:val="center"/>
        <w:rPr>
          <w:b/>
          <w:lang w:eastAsia="lv-LV"/>
        </w:rPr>
      </w:pPr>
      <w:r w:rsidRPr="001723F4">
        <w:rPr>
          <w:b/>
          <w:lang w:eastAsia="lv-LV"/>
        </w:rPr>
        <w:t>Motīvu daļa</w:t>
      </w:r>
    </w:p>
    <w:p w14:paraId="117F6946" w14:textId="77777777" w:rsidR="001B7ECD" w:rsidRPr="001723F4" w:rsidRDefault="001B7ECD" w:rsidP="001B7ECD">
      <w:pPr>
        <w:spacing w:line="276" w:lineRule="auto"/>
        <w:jc w:val="center"/>
        <w:rPr>
          <w:b/>
          <w:lang w:eastAsia="lv-LV"/>
        </w:rPr>
      </w:pPr>
    </w:p>
    <w:p w14:paraId="3ED0FC6F" w14:textId="1CCFACFB" w:rsidR="007719F6" w:rsidRPr="001723F4" w:rsidRDefault="00D02FEF" w:rsidP="001B7ECD">
      <w:pPr>
        <w:spacing w:line="276" w:lineRule="auto"/>
        <w:ind w:firstLine="709"/>
        <w:jc w:val="both"/>
      </w:pPr>
      <w:r w:rsidRPr="001723F4">
        <w:t>[</w:t>
      </w:r>
      <w:r w:rsidR="00A30E40" w:rsidRPr="001723F4">
        <w:t>4</w:t>
      </w:r>
      <w:r w:rsidRPr="001723F4">
        <w:t xml:space="preserve">] Iepazinies ar iesniegto </w:t>
      </w:r>
      <w:r w:rsidR="001A0DBB" w:rsidRPr="001723F4">
        <w:t>protestu</w:t>
      </w:r>
      <w:r w:rsidRPr="001723F4">
        <w:t xml:space="preserve"> un pārējiem lietas materiāliem, </w:t>
      </w:r>
      <w:r w:rsidR="00675596" w:rsidRPr="001723F4">
        <w:t xml:space="preserve">Senāts </w:t>
      </w:r>
      <w:r w:rsidRPr="001723F4">
        <w:t>atzīst, ka</w:t>
      </w:r>
      <w:r w:rsidR="007719F6" w:rsidRPr="001723F4">
        <w:t xml:space="preserve"> </w:t>
      </w:r>
      <w:r w:rsidR="00A30E40" w:rsidRPr="001723F4">
        <w:rPr>
          <w:lang w:eastAsia="lv-LV"/>
        </w:rPr>
        <w:t xml:space="preserve">Rīgas pilsētas Latgales priekšpilsētas tiesas </w:t>
      </w:r>
      <w:proofErr w:type="gramStart"/>
      <w:r w:rsidR="00A30E40" w:rsidRPr="001723F4">
        <w:rPr>
          <w:lang w:eastAsia="lv-LV"/>
        </w:rPr>
        <w:t>2020.gada</w:t>
      </w:r>
      <w:proofErr w:type="gramEnd"/>
      <w:r w:rsidR="00A30E40" w:rsidRPr="001723F4">
        <w:rPr>
          <w:lang w:eastAsia="lv-LV"/>
        </w:rPr>
        <w:t xml:space="preserve"> 14.augusta </w:t>
      </w:r>
      <w:r w:rsidR="007719F6" w:rsidRPr="001723F4">
        <w:t>lēmums</w:t>
      </w:r>
      <w:r w:rsidR="00A30E40" w:rsidRPr="001723F4">
        <w:t xml:space="preserve"> </w:t>
      </w:r>
      <w:r w:rsidR="00EC5D14" w:rsidRPr="001723F4">
        <w:t xml:space="preserve">protestētajā </w:t>
      </w:r>
      <w:r w:rsidR="00A30E40" w:rsidRPr="001723F4">
        <w:t>daļā</w:t>
      </w:r>
      <w:r w:rsidR="00EC5D14" w:rsidRPr="001723F4">
        <w:t xml:space="preserve"> </w:t>
      </w:r>
      <w:r w:rsidR="007719F6" w:rsidRPr="001723F4">
        <w:t>ir atceļam</w:t>
      </w:r>
      <w:r w:rsidR="00F26DFF" w:rsidRPr="001723F4">
        <w:t>s</w:t>
      </w:r>
      <w:r w:rsidR="007719F6" w:rsidRPr="001723F4">
        <w:t xml:space="preserve"> un</w:t>
      </w:r>
      <w:r w:rsidR="00F956E6" w:rsidRPr="001723F4">
        <w:t xml:space="preserve"> lieta</w:t>
      </w:r>
      <w:r w:rsidR="00A30E40" w:rsidRPr="001723F4">
        <w:t xml:space="preserve"> šajā daļā nododama jaunai izskatīšanai Rīgas pilsētas Latgales priekšpilsētas ties</w:t>
      </w:r>
      <w:r w:rsidR="00B728EA" w:rsidRPr="001723F4">
        <w:t>ai</w:t>
      </w:r>
      <w:r w:rsidR="00F26DFF" w:rsidRPr="001723F4">
        <w:t>.</w:t>
      </w:r>
    </w:p>
    <w:p w14:paraId="48959F66" w14:textId="492A8512" w:rsidR="00EC5D14" w:rsidRPr="001723F4" w:rsidRDefault="00EC5D14" w:rsidP="001B7ECD">
      <w:pPr>
        <w:spacing w:line="276" w:lineRule="auto"/>
        <w:ind w:firstLine="709"/>
        <w:jc w:val="both"/>
      </w:pPr>
    </w:p>
    <w:p w14:paraId="51792478" w14:textId="77584B05" w:rsidR="00AB1E43" w:rsidRPr="001723F4" w:rsidRDefault="00EC5D14" w:rsidP="001B7ECD">
      <w:pPr>
        <w:spacing w:line="276" w:lineRule="auto"/>
        <w:ind w:firstLine="709"/>
        <w:jc w:val="both"/>
      </w:pPr>
      <w:r w:rsidRPr="001723F4">
        <w:t xml:space="preserve">[5] </w:t>
      </w:r>
      <w:r w:rsidR="00AB1E43" w:rsidRPr="001723F4">
        <w:t xml:space="preserve">Maksātnespējas likuma </w:t>
      </w:r>
      <w:proofErr w:type="gramStart"/>
      <w:r w:rsidR="00AB1E43" w:rsidRPr="001723F4">
        <w:t>170.panta</w:t>
      </w:r>
      <w:proofErr w:type="gramEnd"/>
      <w:r w:rsidR="00AB1E43" w:rsidRPr="001723F4">
        <w:t xml:space="preserve"> otrās daļas </w:t>
      </w:r>
      <w:r w:rsidR="001613FA" w:rsidRPr="001723F4">
        <w:t xml:space="preserve">1.punkts noteic, ka juridiskās personas maksātnespējas procesa izdevumos iekļauj atlīdzību pieaicinātajiem speciālistiem atbilstoši viņu sniegto pakalpojumu būtībai, apjomam un vērtībai pakalpojumu sniegšanas laikā, bet ne lielāku kā atlīdzība par analoģiskiem pakalpojumiem līdzīgās sfērās, </w:t>
      </w:r>
      <w:r w:rsidR="003B6B23" w:rsidRPr="001723F4">
        <w:t>savukārt</w:t>
      </w:r>
      <w:r w:rsidR="001613FA" w:rsidRPr="001723F4">
        <w:t xml:space="preserve"> 10.punkts </w:t>
      </w:r>
      <w:r w:rsidR="00AB1E43" w:rsidRPr="001723F4">
        <w:t>noteic, ka juridiskās personas maksātnespējas procesa izdevumos iekļauj izdevumus, kas pamatoti un saistīti ar konkrētā juridiskās personas maksātnespējas procesa nodrošināšanu.</w:t>
      </w:r>
    </w:p>
    <w:p w14:paraId="2F78E8D6" w14:textId="4748887F" w:rsidR="00AB1E43" w:rsidRPr="001723F4" w:rsidRDefault="00636EA8" w:rsidP="001B7ECD">
      <w:pPr>
        <w:spacing w:line="276" w:lineRule="auto"/>
        <w:ind w:firstLine="709"/>
        <w:jc w:val="both"/>
      </w:pPr>
      <w:r w:rsidRPr="001723F4">
        <w:t>Senāts piekrīt protesta iesniedzējam, ka t</w:t>
      </w:r>
      <w:r w:rsidR="00AB1E43" w:rsidRPr="001723F4">
        <w:t xml:space="preserve">iesai, lemjot par </w:t>
      </w:r>
      <w:r w:rsidRPr="001723F4">
        <w:t xml:space="preserve">minēto </w:t>
      </w:r>
      <w:r w:rsidR="00AB1E43" w:rsidRPr="001723F4">
        <w:t xml:space="preserve">maksātnespējas procesa izdevumu pamatotību, </w:t>
      </w:r>
      <w:r w:rsidRPr="001723F4">
        <w:t xml:space="preserve">ir </w:t>
      </w:r>
      <w:r w:rsidR="00AB1E43" w:rsidRPr="001723F4">
        <w:t>jāvērtē, vai izdevumi ir pamatoti un saistīti ar konkrētās juridiskās personas maksātnespējas procesa nodrošināšanu. Tiesai jānoskaidro</w:t>
      </w:r>
      <w:r w:rsidRPr="001723F4">
        <w:t xml:space="preserve"> ne tikai tas, vai šādi izdevumi ir bijuši</w:t>
      </w:r>
      <w:r w:rsidR="00667549" w:rsidRPr="001723F4">
        <w:t xml:space="preserve"> un ir</w:t>
      </w:r>
      <w:r w:rsidRPr="001723F4">
        <w:t xml:space="preserve"> nepieciešami</w:t>
      </w:r>
      <w:r w:rsidR="00AB1E43" w:rsidRPr="001723F4">
        <w:t xml:space="preserve">, </w:t>
      </w:r>
      <w:r w:rsidRPr="001723F4">
        <w:t xml:space="preserve">bet arī tas, vai </w:t>
      </w:r>
      <w:r w:rsidR="00AB1E43" w:rsidRPr="001723F4">
        <w:t xml:space="preserve">izdevumi </w:t>
      </w:r>
      <w:r w:rsidRPr="001723F4">
        <w:t xml:space="preserve">noteiktā apmērā </w:t>
      </w:r>
      <w:r w:rsidR="00AB1E43" w:rsidRPr="001723F4">
        <w:t xml:space="preserve">ir tieši attiecināmi uz konkrēto juridiskās personas maksātnespējas procesu. No izdevumus pamatojošajiem dokumentiem ir jābūt skaidri saprotamam, kāds pakalpojums, kādā apmērā </w:t>
      </w:r>
      <w:proofErr w:type="gramStart"/>
      <w:r w:rsidR="00AB1E43" w:rsidRPr="001723F4">
        <w:t>un</w:t>
      </w:r>
      <w:proofErr w:type="gramEnd"/>
      <w:r w:rsidR="00AB1E43" w:rsidRPr="001723F4">
        <w:t xml:space="preserve"> kad ir ticis sniegts</w:t>
      </w:r>
      <w:r w:rsidR="00B81C2E" w:rsidRPr="001723F4">
        <w:t>, jo nepamatotu maksātnespējas procesa izmaksu apstiprināšana samazina kreditoru atgūstamo summu apmēru.</w:t>
      </w:r>
    </w:p>
    <w:p w14:paraId="59614866" w14:textId="0239251F" w:rsidR="00583498" w:rsidRPr="001723F4" w:rsidRDefault="008156B0" w:rsidP="001B7ECD">
      <w:pPr>
        <w:spacing w:line="276" w:lineRule="auto"/>
        <w:ind w:firstLine="709"/>
        <w:jc w:val="both"/>
      </w:pPr>
      <w:r w:rsidRPr="001723F4">
        <w:t>[</w:t>
      </w:r>
      <w:r w:rsidR="0025158C" w:rsidRPr="001723F4">
        <w:t>5.1</w:t>
      </w:r>
      <w:r w:rsidRPr="001723F4">
        <w:t xml:space="preserve">] Lai šo uzdevumu izpildītu, tiesai ir jāievēro Civilprocesa likuma prasības par pierādījumu vērtēšanu un nolēmumu pamatošanu. </w:t>
      </w:r>
      <w:r w:rsidR="00583498" w:rsidRPr="001723F4">
        <w:t xml:space="preserve">Piekrītot virsprokurora viedoklim, </w:t>
      </w:r>
      <w:r w:rsidR="00583498" w:rsidRPr="001723F4">
        <w:rPr>
          <w:rFonts w:ascii="TimesNewRomanPSMT" w:hAnsi="TimesNewRomanPSMT" w:cs="TimesNewRomanPSMT"/>
        </w:rPr>
        <w:t xml:space="preserve">Senāts turpmāk norādīto apsvērumu dēļ atzīst, ka tiesas secinājumi par to, ka </w:t>
      </w:r>
      <w:r w:rsidR="00583498" w:rsidRPr="001723F4">
        <w:t xml:space="preserve">lēmumi </w:t>
      </w:r>
      <w:r w:rsidR="000013DD" w:rsidRPr="001723F4">
        <w:t xml:space="preserve">par tiesvedību monitoringa, grāmatvedības pakalpojumu un degvielas izdevumu apstiprināšanu </w:t>
      </w:r>
      <w:r w:rsidR="00583498" w:rsidRPr="001723F4">
        <w:t>ir tieši attiecināmi uz parādnieces maksātnespējas procesu</w:t>
      </w:r>
      <w:r w:rsidR="000013DD" w:rsidRPr="001723F4">
        <w:t xml:space="preserve"> un nav pretēji </w:t>
      </w:r>
      <w:r w:rsidR="00583498" w:rsidRPr="001723F4">
        <w:t>kreditoru kopuma interesēm</w:t>
      </w:r>
      <w:r w:rsidR="00583498" w:rsidRPr="001723F4">
        <w:rPr>
          <w:rFonts w:ascii="TimesNewRomanPSMT" w:hAnsi="TimesNewRomanPSMT" w:cs="TimesNewRomanPSMT"/>
        </w:rPr>
        <w:t xml:space="preserve">, </w:t>
      </w:r>
      <w:r w:rsidR="00583498" w:rsidRPr="001723F4">
        <w:t>ir</w:t>
      </w:r>
      <w:r w:rsidR="00583498" w:rsidRPr="001723F4">
        <w:rPr>
          <w:rFonts w:ascii="TimesNewRomanPSMT" w:hAnsi="TimesNewRomanPSMT" w:cs="TimesNewRomanPSMT"/>
        </w:rPr>
        <w:t xml:space="preserve"> izdarīts bez pietiekama pamata, jo tiesa, pārkāpdama Civilprocesa likuma 97.panta</w:t>
      </w:r>
      <w:r w:rsidR="002A714B" w:rsidRPr="001723F4">
        <w:rPr>
          <w:rFonts w:ascii="TimesNewRomanPSMT" w:hAnsi="TimesNewRomanPSMT" w:cs="TimesNewRomanPSMT"/>
        </w:rPr>
        <w:t xml:space="preserve"> </w:t>
      </w:r>
      <w:r w:rsidR="00583498" w:rsidRPr="001723F4">
        <w:rPr>
          <w:rFonts w:ascii="TimesNewRomanPSMT" w:hAnsi="TimesNewRomanPSMT" w:cs="TimesNewRomanPSMT"/>
        </w:rPr>
        <w:t xml:space="preserve">un </w:t>
      </w:r>
      <w:r w:rsidR="00D25E17" w:rsidRPr="001723F4">
        <w:rPr>
          <w:rFonts w:ascii="TimesNewRomanPSMT" w:hAnsi="TimesNewRomanPSMT" w:cs="TimesNewRomanPSMT"/>
        </w:rPr>
        <w:t>230</w:t>
      </w:r>
      <w:r w:rsidR="00583498" w:rsidRPr="001723F4">
        <w:rPr>
          <w:rFonts w:ascii="TimesNewRomanPSMT" w:hAnsi="TimesNewRomanPSMT" w:cs="TimesNewRomanPSMT"/>
        </w:rPr>
        <w:t xml:space="preserve">.panta </w:t>
      </w:r>
      <w:r w:rsidR="00D25E17" w:rsidRPr="001723F4">
        <w:rPr>
          <w:rFonts w:ascii="TimesNewRomanPSMT" w:hAnsi="TimesNewRomanPSMT" w:cs="TimesNewRomanPSMT"/>
        </w:rPr>
        <w:t>cetur</w:t>
      </w:r>
      <w:r w:rsidR="00583498" w:rsidRPr="001723F4">
        <w:rPr>
          <w:rFonts w:ascii="TimesNewRomanPSMT" w:hAnsi="TimesNewRomanPSMT" w:cs="TimesNewRomanPSMT"/>
        </w:rPr>
        <w:t xml:space="preserve">tās daļas noteikumus, nav devusi pienācīgu vērtējumu </w:t>
      </w:r>
      <w:r w:rsidR="000013DD" w:rsidRPr="001723F4">
        <w:rPr>
          <w:rFonts w:ascii="TimesNewRomanPSMT" w:hAnsi="TimesNewRomanPSMT" w:cs="TimesNewRomanPSMT"/>
        </w:rPr>
        <w:t xml:space="preserve">sūdzības argumentiem un </w:t>
      </w:r>
      <w:r w:rsidR="00583498" w:rsidRPr="001723F4">
        <w:rPr>
          <w:rFonts w:ascii="TimesNewRomanPSMT" w:hAnsi="TimesNewRomanPSMT" w:cs="TimesNewRomanPSMT"/>
        </w:rPr>
        <w:t>liet</w:t>
      </w:r>
      <w:r w:rsidR="000013DD" w:rsidRPr="001723F4">
        <w:rPr>
          <w:rFonts w:ascii="TimesNewRomanPSMT" w:hAnsi="TimesNewRomanPSMT" w:cs="TimesNewRomanPSMT"/>
        </w:rPr>
        <w:t xml:space="preserve">ā iesniegtajiem </w:t>
      </w:r>
      <w:r w:rsidR="00583498" w:rsidRPr="001723F4">
        <w:rPr>
          <w:rFonts w:ascii="TimesNewRomanPSMT" w:hAnsi="TimesNewRomanPSMT" w:cs="TimesNewRomanPSMT"/>
        </w:rPr>
        <w:t>pierādījumiem.</w:t>
      </w:r>
    </w:p>
    <w:p w14:paraId="59648035" w14:textId="16EF1D62" w:rsidR="00583498" w:rsidRPr="001723F4" w:rsidRDefault="00583498" w:rsidP="001B7ECD">
      <w:pPr>
        <w:shd w:val="clear" w:color="auto" w:fill="FFFFFF"/>
        <w:spacing w:line="276" w:lineRule="auto"/>
        <w:ind w:firstLine="709"/>
        <w:jc w:val="both"/>
        <w:rPr>
          <w:rFonts w:ascii="TimesNewRomanPSMT" w:hAnsi="TimesNewRomanPSMT" w:cs="TimesNewRomanPSMT"/>
        </w:rPr>
      </w:pPr>
      <w:r w:rsidRPr="001723F4">
        <w:rPr>
          <w:rFonts w:ascii="TimesNewRomanPSMT" w:hAnsi="TimesNewRomanPSMT" w:cs="TimesNewRomanPSMT"/>
        </w:rPr>
        <w:t xml:space="preserve">Civilprocesa likuma </w:t>
      </w:r>
      <w:proofErr w:type="gramStart"/>
      <w:r w:rsidRPr="001723F4">
        <w:rPr>
          <w:rFonts w:ascii="TimesNewRomanPSMT" w:hAnsi="TimesNewRomanPSMT" w:cs="TimesNewRomanPSMT"/>
        </w:rPr>
        <w:t>97.panta</w:t>
      </w:r>
      <w:proofErr w:type="gramEnd"/>
      <w:r w:rsidRPr="001723F4">
        <w:rPr>
          <w:rFonts w:ascii="TimesNewRomanPSMT" w:hAnsi="TimesNewRomanPSMT" w:cs="TimesNewRomanPSMT"/>
        </w:rPr>
        <w:t xml:space="preserve"> pirmā daļa noteic, ka tiesa novērtē pierādījumus pēc savas iekšējās pārliecības, kas pamatota ar tiesas sēdē vispusīgi, pilnīgi un objektīvi pārbaudītiem </w:t>
      </w:r>
      <w:r w:rsidRPr="001723F4">
        <w:rPr>
          <w:rFonts w:ascii="TimesNewRomanPSMT" w:hAnsi="TimesNewRomanPSMT" w:cs="TimesNewRomanPSMT"/>
        </w:rPr>
        <w:lastRenderedPageBreak/>
        <w:t>pierādījumiem, vadoties no tiesiskās apziņas, kas balstīta uz loģikas likumiem, zinātnes atziņām un dzīvē gūtiem novērojumiem. Šā panta trešajā daļā ietverts noteikums, ka tiesai spriedumā</w:t>
      </w:r>
      <w:r w:rsidR="002A714B" w:rsidRPr="001723F4">
        <w:rPr>
          <w:rFonts w:ascii="TimesNewRomanPSMT" w:hAnsi="TimesNewRomanPSMT" w:cs="TimesNewRomanPSMT"/>
        </w:rPr>
        <w:t xml:space="preserve"> [pēc analoģijas – lēmumā]</w:t>
      </w:r>
      <w:r w:rsidRPr="001723F4">
        <w:rPr>
          <w:rFonts w:ascii="TimesNewRomanPSMT" w:hAnsi="TimesNewRomanPSMT" w:cs="TimesNewRomanPSMT"/>
        </w:rPr>
        <w:t xml:space="preserve"> jānorāda, kādēļ tā vienam pierādījumam devusi priekšroku salīdzinājumā ar citu pierādījumu un atzinusi vienus faktus par pierādītiem, bet citus – par nepierādītiem. </w:t>
      </w:r>
    </w:p>
    <w:p w14:paraId="7F974FBC" w14:textId="77777777" w:rsidR="00583498" w:rsidRPr="001723F4" w:rsidRDefault="00583498" w:rsidP="001B7ECD">
      <w:pPr>
        <w:shd w:val="clear" w:color="auto" w:fill="FFFFFF"/>
        <w:spacing w:line="276" w:lineRule="auto"/>
        <w:ind w:firstLine="709"/>
        <w:jc w:val="both"/>
      </w:pPr>
      <w:r w:rsidRPr="001723F4">
        <w:rPr>
          <w:rFonts w:ascii="TimesNewRomanPSMT" w:hAnsi="TimesNewRomanPSMT" w:cs="TimesNewRomanPSMT"/>
        </w:rPr>
        <w:t>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14:paraId="6ADAE15F" w14:textId="2DF803B7" w:rsidR="00583498" w:rsidRPr="001723F4" w:rsidRDefault="00583498" w:rsidP="001B7ECD">
      <w:pPr>
        <w:shd w:val="clear" w:color="auto" w:fill="FFFFFF"/>
        <w:spacing w:line="276" w:lineRule="auto"/>
        <w:ind w:firstLine="709"/>
        <w:jc w:val="both"/>
        <w:rPr>
          <w:shd w:val="clear" w:color="auto" w:fill="FFFFFF"/>
        </w:rPr>
      </w:pPr>
      <w:r w:rsidRPr="001723F4">
        <w:rPr>
          <w:rFonts w:ascii="TimesNewRomanPSMT" w:hAnsi="TimesNewRomanPSMT" w:cs="TimesNewRomanPSMT"/>
        </w:rPr>
        <w:t xml:space="preserve">Atbilstoši Civilprocesa likuma </w:t>
      </w:r>
      <w:proofErr w:type="gramStart"/>
      <w:r w:rsidR="00D25E17" w:rsidRPr="001723F4">
        <w:rPr>
          <w:rFonts w:ascii="TimesNewRomanPSMT" w:hAnsi="TimesNewRomanPSMT" w:cs="TimesNewRomanPSMT"/>
        </w:rPr>
        <w:t>230</w:t>
      </w:r>
      <w:r w:rsidRPr="001723F4">
        <w:rPr>
          <w:rFonts w:ascii="TimesNewRomanPSMT" w:hAnsi="TimesNewRomanPSMT" w:cs="TimesNewRomanPSMT"/>
        </w:rPr>
        <w:t>.panta</w:t>
      </w:r>
      <w:proofErr w:type="gramEnd"/>
      <w:r w:rsidRPr="001723F4">
        <w:rPr>
          <w:rFonts w:ascii="TimesNewRomanPSMT" w:hAnsi="TimesNewRomanPSMT" w:cs="TimesNewRomanPSMT"/>
        </w:rPr>
        <w:t xml:space="preserve"> </w:t>
      </w:r>
      <w:r w:rsidR="00D25E17" w:rsidRPr="001723F4">
        <w:rPr>
          <w:rFonts w:ascii="TimesNewRomanPSMT" w:hAnsi="TimesNewRomanPSMT" w:cs="TimesNewRomanPSMT"/>
        </w:rPr>
        <w:t>ceturtaj</w:t>
      </w:r>
      <w:r w:rsidRPr="001723F4">
        <w:rPr>
          <w:rFonts w:ascii="TimesNewRomanPSMT" w:hAnsi="TimesNewRomanPSMT" w:cs="TimesNewRomanPSMT"/>
        </w:rPr>
        <w:t xml:space="preserve">ai daļai </w:t>
      </w:r>
      <w:r w:rsidR="00D25E17" w:rsidRPr="001723F4">
        <w:rPr>
          <w:rFonts w:ascii="TimesNewRomanPSMT" w:hAnsi="TimesNewRomanPSMT" w:cs="TimesNewRomanPSMT"/>
        </w:rPr>
        <w:t xml:space="preserve">tiesas lēmuma </w:t>
      </w:r>
      <w:r w:rsidR="00D25E17" w:rsidRPr="001723F4">
        <w:t>m</w:t>
      </w:r>
      <w:r w:rsidR="00D25E17" w:rsidRPr="001723F4">
        <w:rPr>
          <w:shd w:val="clear" w:color="auto" w:fill="FFFFFF"/>
        </w:rPr>
        <w:t>otīvu daļā norāda konstatētos faktus, pierādījumus, uz kuriem pamatoti tiesas secinājumi un argumenti, kā arī normatīvos aktus, pēc kuriem tiesa vadījusies.</w:t>
      </w:r>
    </w:p>
    <w:p w14:paraId="38932421" w14:textId="11AD11CD" w:rsidR="005567E6" w:rsidRPr="001723F4" w:rsidRDefault="005567E6" w:rsidP="001B7ECD">
      <w:pPr>
        <w:shd w:val="clear" w:color="auto" w:fill="FFFFFF"/>
        <w:spacing w:line="276" w:lineRule="auto"/>
        <w:ind w:firstLine="709"/>
        <w:jc w:val="both"/>
        <w:rPr>
          <w:shd w:val="clear" w:color="auto" w:fill="FFFFFF"/>
        </w:rPr>
      </w:pPr>
      <w:r w:rsidRPr="001723F4">
        <w:rPr>
          <w:shd w:val="clear" w:color="auto" w:fill="FFFFFF"/>
        </w:rPr>
        <w:t>Tiesa minētās prasības nav izpildījusi.</w:t>
      </w:r>
    </w:p>
    <w:p w14:paraId="4AB1FFC7" w14:textId="5381004B" w:rsidR="004D5AA4" w:rsidRPr="001723F4" w:rsidRDefault="0025158C" w:rsidP="001B7ECD">
      <w:pPr>
        <w:spacing w:line="276" w:lineRule="auto"/>
        <w:ind w:firstLine="709"/>
        <w:jc w:val="both"/>
        <w:rPr>
          <w:iCs/>
        </w:rPr>
      </w:pPr>
      <w:r w:rsidRPr="001723F4">
        <w:rPr>
          <w:shd w:val="clear" w:color="auto" w:fill="FFFFFF"/>
        </w:rPr>
        <w:t>[5.2]</w:t>
      </w:r>
      <w:r w:rsidR="005567E6" w:rsidRPr="001723F4">
        <w:t xml:space="preserve"> </w:t>
      </w:r>
      <w:r w:rsidR="00254657" w:rsidRPr="001723F4">
        <w:t>Attiecībā uz izdevumiem par tiesvedības datu monitoringu nav strīda, ka šādi izdevumi vispārīgi var būt nepieciešami juridiskās personas maksātnespējas procesa nodrošināšanai. Taču n</w:t>
      </w:r>
      <w:r w:rsidR="005567E6" w:rsidRPr="001723F4">
        <w:t>o protestētā lēmuma nav saprotams, kā</w:t>
      </w:r>
      <w:r w:rsidR="00254657" w:rsidRPr="001723F4">
        <w:t xml:space="preserve">, ņemot vērā </w:t>
      </w:r>
      <w:proofErr w:type="gramStart"/>
      <w:r w:rsidR="00254657" w:rsidRPr="001723F4">
        <w:t>2020.gada</w:t>
      </w:r>
      <w:proofErr w:type="gramEnd"/>
      <w:r w:rsidR="00254657" w:rsidRPr="001723F4">
        <w:t xml:space="preserve"> 10.jūlija </w:t>
      </w:r>
      <w:r w:rsidR="005567E6" w:rsidRPr="001723F4">
        <w:t>rēķin</w:t>
      </w:r>
      <w:r w:rsidR="00254657" w:rsidRPr="001723F4">
        <w:t>u</w:t>
      </w:r>
      <w:r w:rsidR="005567E6" w:rsidRPr="001723F4">
        <w:t xml:space="preserve"> par </w:t>
      </w:r>
      <w:r w:rsidR="00254657" w:rsidRPr="001723F4">
        <w:t xml:space="preserve">15 </w:t>
      </w:r>
      <w:proofErr w:type="spellStart"/>
      <w:r w:rsidR="00254657" w:rsidRPr="001723F4">
        <w:rPr>
          <w:i/>
        </w:rPr>
        <w:t>euro</w:t>
      </w:r>
      <w:proofErr w:type="spellEnd"/>
      <w:r w:rsidR="00254657" w:rsidRPr="001723F4">
        <w:t xml:space="preserve"> samaksu par tiesvedības datu monitoringu, turklāt attiecībā uz nākotnes laika posmu</w:t>
      </w:r>
      <w:r w:rsidR="00F9763D" w:rsidRPr="001723F4">
        <w:t xml:space="preserve"> un bez jebkādas norādes uz SIA „</w:t>
      </w:r>
      <w:proofErr w:type="spellStart"/>
      <w:r w:rsidR="00F9763D" w:rsidRPr="001723F4">
        <w:t>Baltic</w:t>
      </w:r>
      <w:proofErr w:type="spellEnd"/>
      <w:r w:rsidR="00F9763D" w:rsidRPr="001723F4">
        <w:t xml:space="preserve"> </w:t>
      </w:r>
      <w:proofErr w:type="spellStart"/>
      <w:r w:rsidR="00F9763D" w:rsidRPr="001723F4">
        <w:t>Polymers</w:t>
      </w:r>
      <w:proofErr w:type="spellEnd"/>
      <w:r w:rsidR="00F9763D" w:rsidRPr="001723F4">
        <w:t>”</w:t>
      </w:r>
      <w:r w:rsidR="00254657" w:rsidRPr="001723F4">
        <w:t xml:space="preserve">, tiesa </w:t>
      </w:r>
      <w:r w:rsidR="004D5AA4" w:rsidRPr="001723F4">
        <w:t>varēja</w:t>
      </w:r>
      <w:r w:rsidR="00254657" w:rsidRPr="001723F4">
        <w:t xml:space="preserve"> secinā</w:t>
      </w:r>
      <w:r w:rsidR="004D5AA4" w:rsidRPr="001723F4">
        <w:t>t</w:t>
      </w:r>
      <w:r w:rsidR="00254657" w:rsidRPr="001723F4">
        <w:t>,</w:t>
      </w:r>
      <w:r w:rsidR="00F9763D" w:rsidRPr="001723F4">
        <w:t xml:space="preserve"> ka</w:t>
      </w:r>
      <w:r w:rsidR="00254657" w:rsidRPr="001723F4">
        <w:t xml:space="preserve"> uz parādnieces maksātnespējas procesu </w:t>
      </w:r>
      <w:r w:rsidR="004D5AA4" w:rsidRPr="001723F4">
        <w:t xml:space="preserve">ir attiecināmi tieši 0,90 </w:t>
      </w:r>
      <w:proofErr w:type="spellStart"/>
      <w:r w:rsidR="004D5AA4" w:rsidRPr="001723F4">
        <w:rPr>
          <w:i/>
        </w:rPr>
        <w:t>euro</w:t>
      </w:r>
      <w:proofErr w:type="spellEnd"/>
      <w:r w:rsidR="004D5AA4" w:rsidRPr="001723F4">
        <w:rPr>
          <w:iCs/>
        </w:rPr>
        <w:t>. Tātad lēmums šajā daļā nav motivēts.</w:t>
      </w:r>
    </w:p>
    <w:p w14:paraId="5AD01947" w14:textId="102BEBEB" w:rsidR="004D5AA4" w:rsidRPr="001723F4" w:rsidRDefault="004D5AA4" w:rsidP="001B7ECD">
      <w:pPr>
        <w:spacing w:line="276" w:lineRule="auto"/>
        <w:ind w:firstLine="709"/>
        <w:jc w:val="both"/>
      </w:pPr>
      <w:r w:rsidRPr="001723F4">
        <w:rPr>
          <w:iCs/>
        </w:rPr>
        <w:t>[5.3]</w:t>
      </w:r>
      <w:r w:rsidRPr="001723F4">
        <w:t xml:space="preserve"> Tiesa secinājusi, ka grāmatvedības pakalpojumu sniegšanu pierāda administratores Baibas Didrihsones </w:t>
      </w:r>
      <w:proofErr w:type="gramStart"/>
      <w:r w:rsidRPr="001723F4">
        <w:t>2020.gada</w:t>
      </w:r>
      <w:proofErr w:type="gramEnd"/>
      <w:r w:rsidRPr="001723F4">
        <w:t xml:space="preserve"> 7.jūlija un 2020.gada 13.jūlija akti un grāmatvedības pakalpojumu uzņēmuma rēķini par sniegtajiem pakalpojumiem</w:t>
      </w:r>
      <w:r w:rsidR="00F9763D" w:rsidRPr="001723F4">
        <w:t>.</w:t>
      </w:r>
      <w:r w:rsidRPr="001723F4">
        <w:t xml:space="preserve"> </w:t>
      </w:r>
      <w:r w:rsidR="00F9763D" w:rsidRPr="001723F4">
        <w:t>T</w:t>
      </w:r>
      <w:r w:rsidRPr="001723F4">
        <w:t>aču, kā pamatoti norādīts protestā, tiesa minēto dokumentu saturu nav vērtējusi</w:t>
      </w:r>
      <w:r w:rsidR="00A33CB0" w:rsidRPr="001723F4">
        <w:t>, un lēmumā nav motivācijas tam, kādi tieši grāmatvedības pakalpojumi sniegti SIA „</w:t>
      </w:r>
      <w:proofErr w:type="spellStart"/>
      <w:r w:rsidR="00A33CB0" w:rsidRPr="001723F4">
        <w:t>Baltic</w:t>
      </w:r>
      <w:proofErr w:type="spellEnd"/>
      <w:r w:rsidR="00A33CB0" w:rsidRPr="001723F4">
        <w:t xml:space="preserve"> </w:t>
      </w:r>
      <w:proofErr w:type="spellStart"/>
      <w:r w:rsidR="00A33CB0" w:rsidRPr="001723F4">
        <w:t>Polymers</w:t>
      </w:r>
      <w:proofErr w:type="spellEnd"/>
      <w:r w:rsidR="00A33CB0" w:rsidRPr="001723F4">
        <w:t>” maksātnespējas procesā un kādi pierādījumi objektīvi liecina par šo pakalpojumu faktiskajām izmaksām</w:t>
      </w:r>
      <w:r w:rsidRPr="001723F4">
        <w:t>.</w:t>
      </w:r>
    </w:p>
    <w:p w14:paraId="4ADBB55D" w14:textId="78679F78" w:rsidR="004D5AA4" w:rsidRPr="001723F4" w:rsidRDefault="004D5AA4" w:rsidP="001B7ECD">
      <w:pPr>
        <w:spacing w:line="276" w:lineRule="auto"/>
        <w:ind w:firstLine="709"/>
        <w:jc w:val="both"/>
      </w:pPr>
      <w:r w:rsidRPr="001723F4">
        <w:t xml:space="preserve">No aktiem redzams, ka tos sastādījusi pati </w:t>
      </w:r>
      <w:r w:rsidR="00D711FD" w:rsidRPr="001723F4">
        <w:t>Baiba Didrihsone, norādot summas, kuru aprēķinā izmantota aktos plašāk neatklāta un nepaskaidrota daudzuma mērvienība 0,055 (administratores norādītā mērvienība – kWh). Grāmatvedības pakalpojumu uzņēmuma rēķini izrakstīti pakalpojumu saņēmējai Baibai Didrihsonei, un tajos nav nekādu ziņu, vai tie vispār ir attiecināmi uz SIA „</w:t>
      </w:r>
      <w:proofErr w:type="spellStart"/>
      <w:r w:rsidR="00D711FD" w:rsidRPr="001723F4">
        <w:t>Baltic</w:t>
      </w:r>
      <w:proofErr w:type="spellEnd"/>
      <w:r w:rsidR="00D711FD" w:rsidRPr="001723F4">
        <w:t xml:space="preserve"> </w:t>
      </w:r>
      <w:proofErr w:type="spellStart"/>
      <w:r w:rsidR="00D711FD" w:rsidRPr="001723F4">
        <w:t>Polymers</w:t>
      </w:r>
      <w:proofErr w:type="spellEnd"/>
      <w:r w:rsidR="00D711FD" w:rsidRPr="001723F4">
        <w:t>” maksātnespējas procesu. Ne</w:t>
      </w:r>
      <w:r w:rsidR="00A33CB0" w:rsidRPr="001723F4">
        <w:t>dz</w:t>
      </w:r>
      <w:r w:rsidR="00D711FD" w:rsidRPr="001723F4">
        <w:t xml:space="preserve"> šajos aktos, ne</w:t>
      </w:r>
      <w:r w:rsidR="00A33CB0" w:rsidRPr="001723F4">
        <w:t>dz</w:t>
      </w:r>
      <w:r w:rsidR="00D711FD" w:rsidRPr="001723F4">
        <w:t xml:space="preserve"> rēķinos nav atklāts, kādi grāmatvedības pakalpojumi un kādā faktisk</w:t>
      </w:r>
      <w:r w:rsidR="00A33CB0" w:rsidRPr="001723F4">
        <w:t>aj</w:t>
      </w:r>
      <w:r w:rsidR="00D711FD" w:rsidRPr="001723F4">
        <w:t>ā apmērā sniegti tieši SIA „</w:t>
      </w:r>
      <w:proofErr w:type="spellStart"/>
      <w:r w:rsidR="00D711FD" w:rsidRPr="001723F4">
        <w:t>Baltic</w:t>
      </w:r>
      <w:proofErr w:type="spellEnd"/>
      <w:r w:rsidR="00D711FD" w:rsidRPr="001723F4">
        <w:t xml:space="preserve"> </w:t>
      </w:r>
      <w:proofErr w:type="spellStart"/>
      <w:r w:rsidR="00D711FD" w:rsidRPr="001723F4">
        <w:t>Polymers</w:t>
      </w:r>
      <w:proofErr w:type="spellEnd"/>
      <w:r w:rsidR="00D711FD" w:rsidRPr="001723F4">
        <w:t xml:space="preserve">”. </w:t>
      </w:r>
      <w:r w:rsidR="003473F0" w:rsidRPr="001723F4">
        <w:t xml:space="preserve">Līdz ar to nav pamata uzskatīt, ka </w:t>
      </w:r>
      <w:r w:rsidRPr="001723F4">
        <w:t xml:space="preserve">administratores norādītais grāmatvedības pakalpojumu apjoms – 0,055 – </w:t>
      </w:r>
      <w:r w:rsidR="00BB15F7" w:rsidRPr="001723F4">
        <w:t>ir</w:t>
      </w:r>
      <w:r w:rsidRPr="001723F4">
        <w:t xml:space="preserve"> objektīv</w:t>
      </w:r>
      <w:r w:rsidR="00BB15F7" w:rsidRPr="001723F4">
        <w:t>i p</w:t>
      </w:r>
      <w:r w:rsidR="00A33CB0" w:rsidRPr="001723F4">
        <w:t>a</w:t>
      </w:r>
      <w:r w:rsidR="00BB15F7" w:rsidRPr="001723F4">
        <w:t>matots</w:t>
      </w:r>
      <w:r w:rsidRPr="001723F4">
        <w:t>.</w:t>
      </w:r>
    </w:p>
    <w:p w14:paraId="6B94A4E1" w14:textId="0C4D96B8" w:rsidR="002067EC" w:rsidRPr="001723F4" w:rsidRDefault="00F9763D" w:rsidP="001B7ECD">
      <w:pPr>
        <w:spacing w:line="276" w:lineRule="auto"/>
        <w:ind w:firstLine="709"/>
        <w:jc w:val="both"/>
        <w:rPr>
          <w:iCs/>
        </w:rPr>
      </w:pPr>
      <w:r w:rsidRPr="001723F4">
        <w:rPr>
          <w:iCs/>
        </w:rPr>
        <w:t xml:space="preserve">[5.4] </w:t>
      </w:r>
      <w:r w:rsidR="00A33CB0" w:rsidRPr="001723F4">
        <w:rPr>
          <w:iCs/>
        </w:rPr>
        <w:t>Lai gan tiesas lēmumā nav pamatojuma tam, kā veidojas kreditoru sapulcē apstiprinātās summas, n</w:t>
      </w:r>
      <w:r w:rsidR="004D5AA4" w:rsidRPr="001723F4">
        <w:rPr>
          <w:iCs/>
        </w:rPr>
        <w:t xml:space="preserve">o administratores paskaidrojumiem un lietas materiāliem izriet, ka </w:t>
      </w:r>
      <w:r w:rsidR="00A33CB0" w:rsidRPr="001723F4">
        <w:rPr>
          <w:iCs/>
        </w:rPr>
        <w:t>Baiba Didrihsone</w:t>
      </w:r>
      <w:r w:rsidR="004D5AA4" w:rsidRPr="001723F4">
        <w:rPr>
          <w:iCs/>
        </w:rPr>
        <w:t xml:space="preserve"> bez maksātnespējas procesa administratores pienākumiem pilda arī zvērinātas advokātes un </w:t>
      </w:r>
      <w:proofErr w:type="spellStart"/>
      <w:r w:rsidR="004D5AA4" w:rsidRPr="001723F4">
        <w:rPr>
          <w:iCs/>
        </w:rPr>
        <w:t>mediatores</w:t>
      </w:r>
      <w:proofErr w:type="spellEnd"/>
      <w:r w:rsidR="004D5AA4" w:rsidRPr="001723F4">
        <w:rPr>
          <w:iCs/>
        </w:rPr>
        <w:t xml:space="preserve"> pienākumus</w:t>
      </w:r>
      <w:r w:rsidR="00A33CB0" w:rsidRPr="001723F4">
        <w:rPr>
          <w:iCs/>
        </w:rPr>
        <w:t xml:space="preserve"> un no savā praksē visu saņemto pakalpojumu summas uz</w:t>
      </w:r>
      <w:r w:rsidR="00A33CB0" w:rsidRPr="001723F4">
        <w:t xml:space="preserve"> SIA „</w:t>
      </w:r>
      <w:proofErr w:type="spellStart"/>
      <w:r w:rsidR="00A33CB0" w:rsidRPr="001723F4">
        <w:t>Baltic</w:t>
      </w:r>
      <w:proofErr w:type="spellEnd"/>
      <w:r w:rsidR="00A33CB0" w:rsidRPr="001723F4">
        <w:t xml:space="preserve"> </w:t>
      </w:r>
      <w:proofErr w:type="spellStart"/>
      <w:r w:rsidR="00A33CB0" w:rsidRPr="001723F4">
        <w:t>Polymers</w:t>
      </w:r>
      <w:proofErr w:type="spellEnd"/>
      <w:r w:rsidR="00A33CB0" w:rsidRPr="001723F4">
        <w:t xml:space="preserve">” attiecinājusi proporciju, kas </w:t>
      </w:r>
      <w:r w:rsidR="004D5AA4" w:rsidRPr="001723F4">
        <w:rPr>
          <w:iCs/>
        </w:rPr>
        <w:t>rēķin</w:t>
      </w:r>
      <w:r w:rsidR="00A33CB0" w:rsidRPr="001723F4">
        <w:rPr>
          <w:iCs/>
        </w:rPr>
        <w:t xml:space="preserve">āta </w:t>
      </w:r>
      <w:r w:rsidR="004D5AA4" w:rsidRPr="001723F4">
        <w:rPr>
          <w:iCs/>
        </w:rPr>
        <w:t>a</w:t>
      </w:r>
      <w:r w:rsidR="00A33CB0" w:rsidRPr="001723F4">
        <w:rPr>
          <w:iCs/>
        </w:rPr>
        <w:t>tbilstoši administratores patērētajam darba laikam saskaņā ar ikmēneša darba laika uzskaites tabulām.</w:t>
      </w:r>
      <w:r w:rsidR="004D5AA4" w:rsidRPr="001723F4">
        <w:rPr>
          <w:iCs/>
        </w:rPr>
        <w:t xml:space="preserve"> </w:t>
      </w:r>
    </w:p>
    <w:p w14:paraId="29B83780" w14:textId="22976176" w:rsidR="002067EC" w:rsidRPr="001723F4" w:rsidRDefault="002067EC" w:rsidP="001B7ECD">
      <w:pPr>
        <w:spacing w:line="276" w:lineRule="auto"/>
        <w:ind w:firstLine="709"/>
        <w:jc w:val="both"/>
      </w:pPr>
      <w:r w:rsidRPr="001723F4">
        <w:t xml:space="preserve">Tiesa piekritusi administratores paskaidrojumiem, ka administrators, kurš vienā prakses vietā nodrošina vairāku personu maksātnespējas procesu norisi, efektivitātes principa </w:t>
      </w:r>
      <w:r w:rsidRPr="001723F4">
        <w:lastRenderedPageBreak/>
        <w:t>ievērošanu nodrošina, visos procesos koplietojot vienotus tehniskos resursus, tos</w:t>
      </w:r>
      <w:proofErr w:type="gramStart"/>
      <w:r w:rsidRPr="001723F4">
        <w:t xml:space="preserve"> attiecinot pēc kalkulācijas</w:t>
      </w:r>
      <w:proofErr w:type="gramEnd"/>
      <w:r w:rsidRPr="001723F4">
        <w:t>.</w:t>
      </w:r>
    </w:p>
    <w:p w14:paraId="3EDAF0BC" w14:textId="77777777" w:rsidR="00FB1654" w:rsidRPr="001723F4" w:rsidRDefault="002067EC" w:rsidP="001B7ECD">
      <w:pPr>
        <w:spacing w:line="276" w:lineRule="auto"/>
        <w:ind w:firstLine="709"/>
        <w:jc w:val="both"/>
      </w:pPr>
      <w:r w:rsidRPr="001723F4">
        <w:rPr>
          <w:iCs/>
        </w:rPr>
        <w:t xml:space="preserve">Senāts </w:t>
      </w:r>
      <w:r w:rsidR="0009659D" w:rsidRPr="001723F4">
        <w:rPr>
          <w:iCs/>
        </w:rPr>
        <w:t xml:space="preserve">šādam viedoklim nepiekrīt. </w:t>
      </w:r>
      <w:r w:rsidR="00B470F9" w:rsidRPr="001723F4">
        <w:rPr>
          <w:iCs/>
        </w:rPr>
        <w:t>Pirmkārt,</w:t>
      </w:r>
      <w:r w:rsidR="00FB1654" w:rsidRPr="001723F4">
        <w:rPr>
          <w:iCs/>
        </w:rPr>
        <w:t xml:space="preserve"> grāmatvedības pakalpojumus nevar atzīt par </w:t>
      </w:r>
      <w:r w:rsidR="00FB1654" w:rsidRPr="001723F4">
        <w:t>„tehniskiem resursiem”.</w:t>
      </w:r>
    </w:p>
    <w:p w14:paraId="476FAD78" w14:textId="799CA82C" w:rsidR="004D5AA4" w:rsidRPr="001723F4" w:rsidRDefault="00FB1654" w:rsidP="001B7ECD">
      <w:pPr>
        <w:spacing w:line="276" w:lineRule="auto"/>
        <w:ind w:firstLine="709"/>
        <w:jc w:val="both"/>
      </w:pPr>
      <w:r w:rsidRPr="001723F4">
        <w:t xml:space="preserve">Otrkārt, </w:t>
      </w:r>
      <w:r w:rsidR="00B470F9" w:rsidRPr="001723F4">
        <w:rPr>
          <w:iCs/>
        </w:rPr>
        <w:t>lai gan</w:t>
      </w:r>
      <w:r w:rsidRPr="001723F4">
        <w:rPr>
          <w:iCs/>
        </w:rPr>
        <w:t xml:space="preserve"> </w:t>
      </w:r>
      <w:r w:rsidR="00B470F9" w:rsidRPr="001723F4">
        <w:rPr>
          <w:iCs/>
        </w:rPr>
        <w:t xml:space="preserve">vispārīgi administratoram nav aizliegts slēgt vienu līgumu ar grāmatvedības pakalpojumu sniedzēju par šādu pakalpojumu sniegšanu vairākiem uzņēmumiem un apmaksāt vienu rēķinu, </w:t>
      </w:r>
      <w:r w:rsidR="00F84473" w:rsidRPr="001723F4">
        <w:rPr>
          <w:iCs/>
        </w:rPr>
        <w:t xml:space="preserve">tomēr, ja administrators izvēlas šādi rīkoties, </w:t>
      </w:r>
      <w:r w:rsidR="00B470F9" w:rsidRPr="001723F4">
        <w:rPr>
          <w:iCs/>
        </w:rPr>
        <w:t xml:space="preserve">tas neatceļ iepriekšminētās Maksātnespējas likuma </w:t>
      </w:r>
      <w:proofErr w:type="gramStart"/>
      <w:r w:rsidR="00B470F9" w:rsidRPr="001723F4">
        <w:t>170.panta</w:t>
      </w:r>
      <w:proofErr w:type="gramEnd"/>
      <w:r w:rsidR="00B470F9" w:rsidRPr="001723F4">
        <w:t xml:space="preserve"> otrās daļas 1. un 10.punkta prasības un nepieciešamību administratoram pierādīt, kādi pakalpojumi, kādā apjomā un par kādu samaksu sniegti konkrētās juridiskās personas maksātnespējas procesā. Administratoram ir pienākums nodrošināt, lai nedz kreditoriem, nedz sūdzības gadījumā tiesai nebūtu šaubu par konkrēt</w:t>
      </w:r>
      <w:r w:rsidRPr="001723F4">
        <w:t>o</w:t>
      </w:r>
      <w:r w:rsidR="00B470F9" w:rsidRPr="001723F4">
        <w:t xml:space="preserve"> izdevumu attiecināmību uz konkrēto subjektu. Apmaksājot šādus izdevumus</w:t>
      </w:r>
      <w:r w:rsidRPr="001723F4">
        <w:t xml:space="preserve"> un lūdzot tos apstiprināt kā maksātnespējas procesa izdevumus</w:t>
      </w:r>
      <w:r w:rsidR="00B470F9" w:rsidRPr="001723F4">
        <w:t xml:space="preserve">, administrators </w:t>
      </w:r>
      <w:r w:rsidRPr="001723F4">
        <w:t xml:space="preserve">pēc būtības </w:t>
      </w:r>
      <w:r w:rsidR="00B470F9" w:rsidRPr="001723F4">
        <w:t xml:space="preserve">rīkojas ar citas personas līdzekļiem, kas viņam uzliek pienākumu būt īpaši rūpīgam. </w:t>
      </w:r>
      <w:r w:rsidR="00EE6D6A" w:rsidRPr="001723F4">
        <w:t>Protestā pareizi norādīts, ka izdevumus, kuru attiecināmību uz konkrēto maksātnespējas procesu nav iespējams pierādīt, nedrīkst iekļaut maksātnespējas procesa izmaksu sarakstā.</w:t>
      </w:r>
    </w:p>
    <w:p w14:paraId="281A3537" w14:textId="5D7CA06E" w:rsidR="00636BF3" w:rsidRPr="001723F4" w:rsidRDefault="00AB509B" w:rsidP="001B7ECD">
      <w:pPr>
        <w:spacing w:line="276" w:lineRule="auto"/>
        <w:ind w:firstLine="709"/>
        <w:jc w:val="both"/>
      </w:pPr>
      <w:r w:rsidRPr="001723F4">
        <w:t>Treš</w:t>
      </w:r>
      <w:r w:rsidR="00FB1654" w:rsidRPr="001723F4">
        <w:t xml:space="preserve">kārt, par pierādījumu </w:t>
      </w:r>
      <w:r w:rsidR="00B816B1" w:rsidRPr="001723F4">
        <w:t xml:space="preserve">citu personu faktiski sniegtajiem pakalpojumiem </w:t>
      </w:r>
      <w:r w:rsidR="00FB1654" w:rsidRPr="001723F4">
        <w:t>konkrētā uzņēmuma maksātnespējas procesā nevar kalpot administratora darba laiks</w:t>
      </w:r>
      <w:r w:rsidR="00B816B1" w:rsidRPr="001723F4">
        <w:t xml:space="preserve">, jo citu personu sniegto pakalpojumu </w:t>
      </w:r>
      <w:r w:rsidR="00C4607F" w:rsidRPr="001723F4">
        <w:t xml:space="preserve">faktam un </w:t>
      </w:r>
      <w:r w:rsidR="00B816B1" w:rsidRPr="001723F4">
        <w:t>apmēram nav objektīva sakara ar administratora darba laiku</w:t>
      </w:r>
      <w:r w:rsidR="00FB1654" w:rsidRPr="001723F4">
        <w:t xml:space="preserve">. </w:t>
      </w:r>
    </w:p>
    <w:p w14:paraId="603C4F15" w14:textId="50B2E233" w:rsidR="009150B5" w:rsidRPr="001723F4" w:rsidRDefault="009150B5" w:rsidP="001B7ECD">
      <w:pPr>
        <w:spacing w:line="276" w:lineRule="auto"/>
        <w:ind w:firstLine="709"/>
        <w:jc w:val="both"/>
      </w:pPr>
      <w:r w:rsidRPr="001723F4">
        <w:t xml:space="preserve">Administratoru no izdevumu pierādīšanas neatbrīvo arī </w:t>
      </w:r>
      <w:r w:rsidR="008A5933" w:rsidRPr="001723F4">
        <w:t xml:space="preserve">Maksātnespējas likuma </w:t>
      </w:r>
      <w:proofErr w:type="gramStart"/>
      <w:r w:rsidR="008A5933" w:rsidRPr="001723F4">
        <w:t>6.panta</w:t>
      </w:r>
      <w:proofErr w:type="gramEnd"/>
      <w:r w:rsidR="008A5933" w:rsidRPr="001723F4">
        <w:t xml:space="preserve"> 5.punktā minētais </w:t>
      </w:r>
      <w:r w:rsidRPr="001723F4">
        <w:t xml:space="preserve">maksātnespējas procesa efektivitātes princips, jo, lai gan </w:t>
      </w:r>
      <w:r w:rsidRPr="001723F4">
        <w:rPr>
          <w:shd w:val="clear" w:color="auto" w:fill="FFFFFF"/>
        </w:rPr>
        <w:t>procesa ietvaros piemērojami tādi pasākumi, kas ļauj ar vismazāko resursu patēriņu vispilnīgāk sasniegt procesa mērķi, šiem pasākumiem ir jābūt likumīgiem</w:t>
      </w:r>
      <w:r w:rsidRPr="001723F4">
        <w:t xml:space="preserve">. </w:t>
      </w:r>
      <w:r w:rsidR="00EE6D6A" w:rsidRPr="001723F4">
        <w:t xml:space="preserve">Turklāt </w:t>
      </w:r>
      <w:r w:rsidRPr="001723F4">
        <w:t xml:space="preserve">Maksātnespējas procesa izmaksu caurskatāmība ir viens no veidiem, kā nodrošināt Maksātnespējas likuma </w:t>
      </w:r>
      <w:proofErr w:type="gramStart"/>
      <w:r w:rsidRPr="001723F4">
        <w:t>6.panta</w:t>
      </w:r>
      <w:proofErr w:type="gramEnd"/>
      <w:r w:rsidRPr="001723F4">
        <w:t xml:space="preserve"> 7.punktā noteiktā atklātības principa ievērošanu maksātnespējas procesā.</w:t>
      </w:r>
    </w:p>
    <w:p w14:paraId="23E6C4A3" w14:textId="5CC0E31F" w:rsidR="00A16843" w:rsidRPr="001723F4" w:rsidRDefault="00636BF3" w:rsidP="001B7ECD">
      <w:pPr>
        <w:spacing w:line="276" w:lineRule="auto"/>
        <w:ind w:firstLine="709"/>
        <w:jc w:val="both"/>
      </w:pPr>
      <w:r w:rsidRPr="001723F4">
        <w:t>[5.5]</w:t>
      </w:r>
      <w:r w:rsidR="00FB1654" w:rsidRPr="001723F4">
        <w:t xml:space="preserve"> </w:t>
      </w:r>
      <w:r w:rsidR="00A16843" w:rsidRPr="001723F4">
        <w:t>Minētais administratora izdevumu pierādīšanas pienākums un tiesas pienākums pārbaudīt pierādījumus un motivēt lēmumu attiecas arī uz degvielas izdevumiem.</w:t>
      </w:r>
      <w:r w:rsidR="00391B1F" w:rsidRPr="001723F4">
        <w:t xml:space="preserve"> Lēmumā nav Civilprocesa likuma prasībām atbilstoša pierādījumu vērtējumā balstīta tiesas izdarīto secinājumu pamatojuma tam, kādi tieši </w:t>
      </w:r>
      <w:r w:rsidR="00A423E5" w:rsidRPr="001723F4">
        <w:t xml:space="preserve">degvielas </w:t>
      </w:r>
      <w:r w:rsidR="00391B1F" w:rsidRPr="001723F4">
        <w:t>izdevumi, kādēļ un kādā apmērā bija nepieciešami un ir attiecināmi uz SIA „</w:t>
      </w:r>
      <w:proofErr w:type="spellStart"/>
      <w:r w:rsidR="00391B1F" w:rsidRPr="001723F4">
        <w:t>Baltic</w:t>
      </w:r>
      <w:proofErr w:type="spellEnd"/>
      <w:r w:rsidR="00391B1F" w:rsidRPr="001723F4">
        <w:t xml:space="preserve"> </w:t>
      </w:r>
      <w:proofErr w:type="spellStart"/>
      <w:r w:rsidR="00391B1F" w:rsidRPr="001723F4">
        <w:t>Polymers</w:t>
      </w:r>
      <w:proofErr w:type="spellEnd"/>
      <w:r w:rsidR="00391B1F" w:rsidRPr="001723F4">
        <w:t>” maksātnespējas procesa nodrošināšanu.</w:t>
      </w:r>
    </w:p>
    <w:p w14:paraId="1684531D" w14:textId="1924498E" w:rsidR="00A16843" w:rsidRPr="001723F4" w:rsidRDefault="00A16843" w:rsidP="001B7ECD">
      <w:pPr>
        <w:spacing w:line="276" w:lineRule="auto"/>
        <w:ind w:firstLine="709"/>
        <w:jc w:val="both"/>
      </w:pPr>
      <w:r w:rsidRPr="001723F4">
        <w:t>Turklāt, kā pamatoti norādīts protestā, tiesa</w:t>
      </w:r>
      <w:r w:rsidR="00580B15" w:rsidRPr="001723F4">
        <w:t xml:space="preserve"> nav vērtējusi</w:t>
      </w:r>
      <w:r w:rsidRPr="001723F4">
        <w:t xml:space="preserve"> Maksātnespējas kontroles dienesta sūdzībā paust</w:t>
      </w:r>
      <w:r w:rsidR="00580B15" w:rsidRPr="001723F4">
        <w:t>os</w:t>
      </w:r>
      <w:r w:rsidRPr="001723F4">
        <w:t xml:space="preserve"> argument</w:t>
      </w:r>
      <w:r w:rsidR="00580B15" w:rsidRPr="001723F4">
        <w:t>us</w:t>
      </w:r>
      <w:r w:rsidRPr="001723F4">
        <w:t xml:space="preserve"> par to, ka maksātnespējas procesa izdevumi saistībā ar ieķīlātās mantas apsekošanu nav jāsedz nenodrošinātajiem kreditoriem</w:t>
      </w:r>
      <w:r w:rsidR="00391B1F" w:rsidRPr="001723F4">
        <w:t>, jo</w:t>
      </w:r>
      <w:r w:rsidR="00580B15" w:rsidRPr="001723F4">
        <w:t xml:space="preserve"> nenodrošinātajiem kreditoriem nav pamata maksāt par </w:t>
      </w:r>
      <w:r w:rsidRPr="001723F4">
        <w:t xml:space="preserve">maksātnespējas procesa </w:t>
      </w:r>
      <w:r w:rsidR="00580B15" w:rsidRPr="001723F4">
        <w:t xml:space="preserve">darbībām, kas ir </w:t>
      </w:r>
      <w:r w:rsidRPr="001723F4">
        <w:t>vērstas uz nodrošināt</w:t>
      </w:r>
      <w:r w:rsidR="00580B15" w:rsidRPr="001723F4">
        <w:t>o</w:t>
      </w:r>
      <w:r w:rsidRPr="001723F4">
        <w:t xml:space="preserve"> kreditor</w:t>
      </w:r>
      <w:r w:rsidR="00580B15" w:rsidRPr="001723F4">
        <w:t>u</w:t>
      </w:r>
      <w:r w:rsidRPr="001723F4">
        <w:t xml:space="preserve"> prasījum</w:t>
      </w:r>
      <w:r w:rsidR="00580B15" w:rsidRPr="001723F4">
        <w:t>u</w:t>
      </w:r>
      <w:r w:rsidRPr="001723F4">
        <w:t xml:space="preserve"> apmierināšanu.</w:t>
      </w:r>
    </w:p>
    <w:p w14:paraId="6D75454A" w14:textId="152F6D4C" w:rsidR="00A16843" w:rsidRPr="001723F4" w:rsidRDefault="00A16843" w:rsidP="001B7ECD">
      <w:pPr>
        <w:spacing w:line="276" w:lineRule="auto"/>
        <w:ind w:firstLine="709"/>
        <w:jc w:val="both"/>
      </w:pPr>
      <w:r w:rsidRPr="001723F4">
        <w:t>Tiesa</w:t>
      </w:r>
      <w:r w:rsidR="00C04FFB" w:rsidRPr="001723F4">
        <w:t xml:space="preserve"> vienīgi norādījusi, ka </w:t>
      </w:r>
      <w:r w:rsidRPr="001723F4">
        <w:t>papildus apķīlātās mantas apsekošanai administratore veikusi arī citas darbības maksātnespējas procesa nodrošināšanai</w:t>
      </w:r>
      <w:r w:rsidR="00C04FFB" w:rsidRPr="001723F4">
        <w:t xml:space="preserve">, taču </w:t>
      </w:r>
      <w:r w:rsidR="000904BE" w:rsidRPr="001723F4">
        <w:t>tā nav nedz atbilde uz iepriekšminēto sūdzības argumentu, nedz arī ļauj saprast</w:t>
      </w:r>
      <w:r w:rsidR="00C04FFB" w:rsidRPr="001723F4">
        <w:t>, kādēļ kreditoriem tomēr jāsedz visas administratores uzrādītās izmaksas. Turklāt Maksātnespējas kontroles dienests s</w:t>
      </w:r>
      <w:r w:rsidR="000904BE" w:rsidRPr="001723F4">
        <w:t>ūdzībā bija norādījis, ka saskaņā ar maksātnespējīgās SIA „</w:t>
      </w:r>
      <w:proofErr w:type="spellStart"/>
      <w:r w:rsidR="000904BE" w:rsidRPr="001723F4">
        <w:t>Baltic</w:t>
      </w:r>
      <w:proofErr w:type="spellEnd"/>
      <w:r w:rsidR="000904BE" w:rsidRPr="001723F4">
        <w:t xml:space="preserve"> </w:t>
      </w:r>
      <w:proofErr w:type="spellStart"/>
      <w:r w:rsidR="000904BE" w:rsidRPr="001723F4">
        <w:t>Polymers</w:t>
      </w:r>
      <w:proofErr w:type="spellEnd"/>
      <w:r w:rsidR="000904BE" w:rsidRPr="001723F4">
        <w:t xml:space="preserve">” mantas pārdošanas plānu parādnieces manta sastāvēja tikai no ieķīlātās mantas, tātad visi degvielas izdevumi ir attiecināmi tieši uz ieķīlāto mantu. Lai pārliecinātos par šī argumenta pareizību vai nepareizību, tiesa nevarēja aprobežoties ar vispārīgu atsauci uz administratores norādīto braucienu mērķi iegūt informāciju, iesniegt vai nodot dokumentus, bet gan tiesai bija jāpārliecinās, par kādu informāciju un dokumentiem ir runa. </w:t>
      </w:r>
    </w:p>
    <w:p w14:paraId="64BFAEB4" w14:textId="31DA2B29" w:rsidR="00006BE2" w:rsidRPr="001723F4" w:rsidRDefault="000904BE" w:rsidP="001B7ECD">
      <w:pPr>
        <w:spacing w:line="276" w:lineRule="auto"/>
        <w:ind w:firstLine="709"/>
        <w:jc w:val="both"/>
      </w:pPr>
      <w:r w:rsidRPr="001723F4">
        <w:lastRenderedPageBreak/>
        <w:t>[5.6] Ievērojot minēto, tiesa bez pietiekama pamata atzina, ka strīdus izdevumi ir attiecināmi uz SIA „</w:t>
      </w:r>
      <w:proofErr w:type="spellStart"/>
      <w:r w:rsidRPr="001723F4">
        <w:t>Baltic</w:t>
      </w:r>
      <w:proofErr w:type="spellEnd"/>
      <w:r w:rsidRPr="001723F4">
        <w:t xml:space="preserve"> </w:t>
      </w:r>
      <w:proofErr w:type="spellStart"/>
      <w:r w:rsidRPr="001723F4">
        <w:t>Polymers</w:t>
      </w:r>
      <w:proofErr w:type="spellEnd"/>
      <w:r w:rsidRPr="001723F4">
        <w:t>” maksātnespējas procesu, ir atbilstoši normatīvo aktu prasībām un to apstiprināšana nav pretēja kreditoru kopuma interesēm.</w:t>
      </w:r>
    </w:p>
    <w:p w14:paraId="364AA3E0" w14:textId="260DF65A" w:rsidR="00254657" w:rsidRPr="001723F4" w:rsidRDefault="001A6B01" w:rsidP="001B7ECD">
      <w:pPr>
        <w:spacing w:line="276" w:lineRule="auto"/>
        <w:ind w:firstLine="709"/>
        <w:jc w:val="both"/>
      </w:pPr>
      <w:r w:rsidRPr="001723F4">
        <w:rPr>
          <w:color w:val="000000"/>
        </w:rPr>
        <w:t xml:space="preserve">Senāta ieskatā iepriekš izklāstīto argumentu kopums ļauj secināt, ka konstatētie trūkumi materiālo tiesību normu piemērošanā un procesuālie pārkāpumi lietai nozīmīgo apstākļu, </w:t>
      </w:r>
      <w:r w:rsidR="000904BE" w:rsidRPr="001723F4">
        <w:rPr>
          <w:color w:val="000000"/>
        </w:rPr>
        <w:t>sūdzības</w:t>
      </w:r>
      <w:r w:rsidRPr="001723F4">
        <w:rPr>
          <w:color w:val="000000"/>
        </w:rPr>
        <w:t xml:space="preserve"> argumentu un pierādījumu novērtēšanā</w:t>
      </w:r>
      <w:r w:rsidR="000904BE" w:rsidRPr="001723F4">
        <w:rPr>
          <w:color w:val="000000"/>
        </w:rPr>
        <w:t xml:space="preserve"> </w:t>
      </w:r>
      <w:r w:rsidRPr="001723F4">
        <w:rPr>
          <w:color w:val="000000"/>
        </w:rPr>
        <w:t xml:space="preserve">un </w:t>
      </w:r>
      <w:r w:rsidR="000904BE" w:rsidRPr="001723F4">
        <w:rPr>
          <w:color w:val="000000"/>
        </w:rPr>
        <w:t>lēmum</w:t>
      </w:r>
      <w:r w:rsidRPr="001723F4">
        <w:rPr>
          <w:color w:val="000000"/>
        </w:rPr>
        <w:t xml:space="preserve">ā izdarīto secinājumu pamatošanā vērtējami kā tādi, kas varēja novest pie lietas nepareizas izspriešanas. </w:t>
      </w:r>
      <w:r w:rsidR="009B3C0C" w:rsidRPr="001723F4">
        <w:t>Tas dod pamatu lēmuma atcelšanai protestētajā daļā.</w:t>
      </w:r>
    </w:p>
    <w:p w14:paraId="00B09AEA" w14:textId="77777777" w:rsidR="000A04A4" w:rsidRPr="001723F4" w:rsidRDefault="000A04A4" w:rsidP="001B7ECD">
      <w:pPr>
        <w:spacing w:line="276" w:lineRule="auto"/>
        <w:ind w:firstLine="709"/>
        <w:jc w:val="both"/>
      </w:pPr>
    </w:p>
    <w:p w14:paraId="4FEA6B21" w14:textId="56D48CEC" w:rsidR="00521767" w:rsidRPr="001723F4" w:rsidRDefault="00675596" w:rsidP="001B7ECD">
      <w:pPr>
        <w:spacing w:line="276" w:lineRule="auto"/>
        <w:jc w:val="center"/>
        <w:rPr>
          <w:b/>
          <w:lang w:eastAsia="lv-LV"/>
        </w:rPr>
      </w:pPr>
      <w:r w:rsidRPr="001723F4">
        <w:rPr>
          <w:b/>
          <w:lang w:eastAsia="lv-LV"/>
        </w:rPr>
        <w:t>Rezolutīvā daļa</w:t>
      </w:r>
    </w:p>
    <w:p w14:paraId="332F1D2A" w14:textId="77777777" w:rsidR="000A04A4" w:rsidRPr="001723F4" w:rsidRDefault="000A04A4" w:rsidP="001B7ECD">
      <w:pPr>
        <w:spacing w:line="276" w:lineRule="auto"/>
        <w:jc w:val="center"/>
        <w:rPr>
          <w:b/>
          <w:lang w:eastAsia="lv-LV"/>
        </w:rPr>
      </w:pPr>
    </w:p>
    <w:p w14:paraId="6F1CA222" w14:textId="7674FD71" w:rsidR="001338CB" w:rsidRPr="001723F4" w:rsidRDefault="00F445AA" w:rsidP="001B7ECD">
      <w:pPr>
        <w:spacing w:line="276" w:lineRule="auto"/>
        <w:ind w:firstLine="709"/>
        <w:jc w:val="both"/>
      </w:pPr>
      <w:r w:rsidRPr="001723F4">
        <w:t>Ņemot vērā minēto un p</w:t>
      </w:r>
      <w:r w:rsidR="001A777A" w:rsidRPr="001723F4">
        <w:t>amatojoties uz Civilprocesa likuma</w:t>
      </w:r>
      <w:r w:rsidR="002543C3" w:rsidRPr="001723F4">
        <w:t xml:space="preserve"> </w:t>
      </w:r>
      <w:proofErr w:type="gramStart"/>
      <w:r w:rsidR="00465769" w:rsidRPr="001723F4">
        <w:rPr>
          <w:color w:val="000000"/>
        </w:rPr>
        <w:t>474.panta</w:t>
      </w:r>
      <w:proofErr w:type="gramEnd"/>
      <w:r w:rsidR="00465769" w:rsidRPr="001723F4">
        <w:rPr>
          <w:color w:val="000000"/>
        </w:rPr>
        <w:t xml:space="preserve"> 2.punktu, 485.pantu</w:t>
      </w:r>
      <w:r w:rsidR="000551BF" w:rsidRPr="001723F4">
        <w:t>,</w:t>
      </w:r>
      <w:r w:rsidR="0002161B" w:rsidRPr="001723F4">
        <w:t xml:space="preserve"> </w:t>
      </w:r>
      <w:r w:rsidR="00945510" w:rsidRPr="001723F4">
        <w:t>Senāts</w:t>
      </w:r>
    </w:p>
    <w:p w14:paraId="012BC06E" w14:textId="77777777" w:rsidR="000A04A4" w:rsidRPr="001723F4" w:rsidRDefault="000A04A4" w:rsidP="001B7ECD">
      <w:pPr>
        <w:spacing w:line="276" w:lineRule="auto"/>
        <w:ind w:firstLine="709"/>
        <w:jc w:val="both"/>
        <w:rPr>
          <w:b/>
        </w:rPr>
      </w:pPr>
    </w:p>
    <w:p w14:paraId="3884E7B1" w14:textId="527F63C7" w:rsidR="001A777A" w:rsidRPr="001723F4" w:rsidRDefault="00D02FEF" w:rsidP="001B7ECD">
      <w:pPr>
        <w:pStyle w:val="BodyText"/>
        <w:spacing w:after="0" w:line="276" w:lineRule="auto"/>
        <w:jc w:val="center"/>
        <w:rPr>
          <w:b/>
        </w:rPr>
      </w:pPr>
      <w:r w:rsidRPr="001723F4">
        <w:rPr>
          <w:b/>
        </w:rPr>
        <w:t>n</w:t>
      </w:r>
      <w:r w:rsidR="001A777A" w:rsidRPr="001723F4">
        <w:rPr>
          <w:b/>
        </w:rPr>
        <w:t>olē</w:t>
      </w:r>
      <w:r w:rsidR="001338CB" w:rsidRPr="001723F4">
        <w:rPr>
          <w:b/>
        </w:rPr>
        <w:t>m</w:t>
      </w:r>
      <w:r w:rsidR="001A777A" w:rsidRPr="001723F4">
        <w:rPr>
          <w:b/>
        </w:rPr>
        <w:t>a</w:t>
      </w:r>
      <w:r w:rsidRPr="001723F4">
        <w:rPr>
          <w:b/>
        </w:rPr>
        <w:t>:</w:t>
      </w:r>
    </w:p>
    <w:p w14:paraId="7C239F62" w14:textId="77777777" w:rsidR="000A04A4" w:rsidRPr="001723F4" w:rsidRDefault="000A04A4" w:rsidP="001B7ECD">
      <w:pPr>
        <w:pStyle w:val="BodyText"/>
        <w:spacing w:after="0" w:line="276" w:lineRule="auto"/>
        <w:jc w:val="center"/>
        <w:rPr>
          <w:b/>
        </w:rPr>
      </w:pPr>
    </w:p>
    <w:p w14:paraId="5DB93629" w14:textId="6416136C" w:rsidR="00465769" w:rsidRPr="001723F4" w:rsidRDefault="007719F6" w:rsidP="001B7ECD">
      <w:pPr>
        <w:spacing w:line="276" w:lineRule="auto"/>
        <w:ind w:firstLine="720"/>
        <w:jc w:val="both"/>
      </w:pPr>
      <w:r w:rsidRPr="001723F4">
        <w:t xml:space="preserve">atcelt </w:t>
      </w:r>
      <w:r w:rsidR="00465769" w:rsidRPr="001723F4">
        <w:t xml:space="preserve">Rīgas pilsētas Latgales priekšpilsētas tiesas </w:t>
      </w:r>
      <w:proofErr w:type="gramStart"/>
      <w:r w:rsidR="00465769" w:rsidRPr="001723F4">
        <w:t>2020.gada</w:t>
      </w:r>
      <w:proofErr w:type="gramEnd"/>
      <w:r w:rsidR="00465769" w:rsidRPr="001723F4">
        <w:t xml:space="preserve"> </w:t>
      </w:r>
      <w:r w:rsidR="00E05B1F" w:rsidRPr="001723F4">
        <w:t>1</w:t>
      </w:r>
      <w:r w:rsidR="00465769" w:rsidRPr="001723F4">
        <w:t>4.augusta lēmumu daļā, ar kuru noraidīta Maksātnespējas kontroles dienesta sūdzība</w:t>
      </w:r>
      <w:r w:rsidR="00EC5D14" w:rsidRPr="001723F4">
        <w:t xml:space="preserve"> par maksātnespējīgās SIA „</w:t>
      </w:r>
      <w:proofErr w:type="spellStart"/>
      <w:r w:rsidR="00EC5D14" w:rsidRPr="001723F4">
        <w:t>Baltic</w:t>
      </w:r>
      <w:proofErr w:type="spellEnd"/>
      <w:r w:rsidR="00EC5D14" w:rsidRPr="001723F4">
        <w:t xml:space="preserve"> </w:t>
      </w:r>
      <w:proofErr w:type="spellStart"/>
      <w:r w:rsidR="00EC5D14" w:rsidRPr="001723F4">
        <w:t>Polymers</w:t>
      </w:r>
      <w:proofErr w:type="spellEnd"/>
      <w:r w:rsidR="00EC5D14" w:rsidRPr="001723F4">
        <w:t>” kreditoru sapulces 2020.gada 13.jūlija lēmumu Nr. 1, Nr. 13, Nr. 18, Nr. 20 un Nr. 25 atcelšanu</w:t>
      </w:r>
      <w:r w:rsidR="00465769" w:rsidRPr="001723F4">
        <w:t>, un nodot lietu šajā daļā jaunai izskatīšanai Rīgas pilsētas Latgales priekšpilsētas tiesai.</w:t>
      </w:r>
    </w:p>
    <w:p w14:paraId="4EF0D67E" w14:textId="6A1D2344" w:rsidR="00BD4FE8" w:rsidRDefault="001A777A" w:rsidP="0080002B">
      <w:pPr>
        <w:spacing w:line="276" w:lineRule="auto"/>
        <w:ind w:firstLine="720"/>
        <w:jc w:val="both"/>
      </w:pPr>
      <w:r w:rsidRPr="001723F4">
        <w:t>Lēmums nav pārsūdzams.</w:t>
      </w:r>
    </w:p>
    <w:sectPr w:rsidR="00BD4FE8" w:rsidSect="001C087C">
      <w:footerReference w:type="default" r:id="rId9"/>
      <w:pgSz w:w="11906" w:h="16838"/>
      <w:pgMar w:top="1134" w:right="1134"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90EF" w14:textId="77777777" w:rsidR="00AB26FB" w:rsidRDefault="00AB26FB">
      <w:r>
        <w:separator/>
      </w:r>
    </w:p>
  </w:endnote>
  <w:endnote w:type="continuationSeparator" w:id="0">
    <w:p w14:paraId="642B61D3" w14:textId="77777777" w:rsidR="00AB26FB" w:rsidRDefault="00AB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8F71" w14:textId="6BFA4151" w:rsidR="00C04FFB" w:rsidRPr="007F2CF4" w:rsidRDefault="00C04FFB" w:rsidP="00AA3820">
    <w:pPr>
      <w:pStyle w:val="Footer"/>
      <w:jc w:val="center"/>
      <w:rPr>
        <w:rStyle w:val="PageNumber"/>
        <w:sz w:val="22"/>
        <w:szCs w:val="22"/>
      </w:rPr>
    </w:pPr>
    <w:r w:rsidRPr="007F2CF4">
      <w:rPr>
        <w:rStyle w:val="PageNumber"/>
        <w:sz w:val="22"/>
        <w:szCs w:val="22"/>
      </w:rPr>
      <w:fldChar w:fldCharType="begin"/>
    </w:r>
    <w:r w:rsidRPr="007F2CF4">
      <w:rPr>
        <w:rStyle w:val="PageNumber"/>
        <w:sz w:val="22"/>
        <w:szCs w:val="22"/>
      </w:rPr>
      <w:instrText xml:space="preserve">PAGE  </w:instrText>
    </w:r>
    <w:r w:rsidRPr="007F2CF4">
      <w:rPr>
        <w:rStyle w:val="PageNumber"/>
        <w:sz w:val="22"/>
        <w:szCs w:val="22"/>
      </w:rPr>
      <w:fldChar w:fldCharType="separate"/>
    </w:r>
    <w:r>
      <w:rPr>
        <w:rStyle w:val="PageNumber"/>
        <w:noProof/>
        <w:sz w:val="22"/>
        <w:szCs w:val="22"/>
      </w:rPr>
      <w:t>8</w:t>
    </w:r>
    <w:r w:rsidRPr="007F2CF4">
      <w:rPr>
        <w:rStyle w:val="PageNumber"/>
        <w:sz w:val="22"/>
        <w:szCs w:val="22"/>
      </w:rPr>
      <w:fldChar w:fldCharType="end"/>
    </w:r>
    <w:r w:rsidRPr="007F2CF4">
      <w:rPr>
        <w:rStyle w:val="PageNumber"/>
        <w:sz w:val="22"/>
        <w:szCs w:val="22"/>
      </w:rPr>
      <w:t xml:space="preserve"> no </w:t>
    </w:r>
    <w:r w:rsidRPr="007F2CF4">
      <w:rPr>
        <w:rStyle w:val="PageNumber"/>
        <w:sz w:val="22"/>
        <w:szCs w:val="22"/>
      </w:rPr>
      <w:fldChar w:fldCharType="begin"/>
    </w:r>
    <w:r w:rsidRPr="007F2CF4">
      <w:rPr>
        <w:rStyle w:val="PageNumber"/>
        <w:sz w:val="22"/>
        <w:szCs w:val="22"/>
      </w:rPr>
      <w:instrText xml:space="preserve"> SECTIONPAGES   \* MERGEFORMAT </w:instrText>
    </w:r>
    <w:r w:rsidRPr="007F2CF4">
      <w:rPr>
        <w:rStyle w:val="PageNumber"/>
        <w:sz w:val="22"/>
        <w:szCs w:val="22"/>
      </w:rPr>
      <w:fldChar w:fldCharType="separate"/>
    </w:r>
    <w:r w:rsidR="001723F4">
      <w:rPr>
        <w:rStyle w:val="PageNumber"/>
        <w:noProof/>
        <w:sz w:val="22"/>
        <w:szCs w:val="22"/>
      </w:rPr>
      <w:t>9</w:t>
    </w:r>
    <w:r w:rsidRPr="007F2CF4">
      <w:rPr>
        <w:rStyle w:val="PageNumber"/>
        <w:sz w:val="22"/>
        <w:szCs w:val="22"/>
      </w:rPr>
      <w:fldChar w:fldCharType="end"/>
    </w:r>
  </w:p>
  <w:p w14:paraId="604694B3" w14:textId="77777777" w:rsidR="00C04FFB" w:rsidRDefault="00C04FFB" w:rsidP="009A4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23EE" w14:textId="77777777" w:rsidR="00AB26FB" w:rsidRDefault="00AB26FB">
      <w:r>
        <w:separator/>
      </w:r>
    </w:p>
  </w:footnote>
  <w:footnote w:type="continuationSeparator" w:id="0">
    <w:p w14:paraId="501B9BF9" w14:textId="77777777" w:rsidR="00AB26FB" w:rsidRDefault="00AB2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D7E"/>
    <w:multiLevelType w:val="singleLevel"/>
    <w:tmpl w:val="2F3A4D18"/>
    <w:lvl w:ilvl="0">
      <w:start w:val="2"/>
      <w:numFmt w:val="decimal"/>
      <w:lvlText w:val="%1."/>
      <w:legacy w:legacy="1" w:legacySpace="0" w:legacyIndent="341"/>
      <w:lvlJc w:val="left"/>
      <w:rPr>
        <w:rFonts w:ascii="Times New Roman" w:hAnsi="Times New Roman" w:cs="Times New Roman" w:hint="default"/>
      </w:rPr>
    </w:lvl>
  </w:abstractNum>
  <w:abstractNum w:abstractNumId="1"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76C54"/>
    <w:multiLevelType w:val="hybridMultilevel"/>
    <w:tmpl w:val="512C7AD8"/>
    <w:lvl w:ilvl="0" w:tplc="74DCBC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28F45AFC"/>
    <w:multiLevelType w:val="singleLevel"/>
    <w:tmpl w:val="8D2E8F04"/>
    <w:lvl w:ilvl="0">
      <w:start w:val="3"/>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644B91"/>
    <w:multiLevelType w:val="hybridMultilevel"/>
    <w:tmpl w:val="717863D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45D701CF"/>
    <w:multiLevelType w:val="singleLevel"/>
    <w:tmpl w:val="4566C1D2"/>
    <w:lvl w:ilvl="0">
      <w:start w:val="1"/>
      <w:numFmt w:val="decimal"/>
      <w:lvlText w:val="%1."/>
      <w:legacy w:legacy="1" w:legacySpace="0" w:legacyIndent="331"/>
      <w:lvlJc w:val="left"/>
      <w:rPr>
        <w:rFonts w:ascii="Times New Roman" w:hAnsi="Times New Roman" w:cs="Times New Roman" w:hint="default"/>
      </w:rPr>
    </w:lvl>
  </w:abstractNum>
  <w:abstractNum w:abstractNumId="9"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0"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9922C81"/>
    <w:multiLevelType w:val="singleLevel"/>
    <w:tmpl w:val="280CC768"/>
    <w:lvl w:ilvl="0">
      <w:start w:val="5"/>
      <w:numFmt w:val="decimal"/>
      <w:lvlText w:val="%1."/>
      <w:legacy w:legacy="1" w:legacySpace="0" w:legacyIndent="322"/>
      <w:lvlJc w:val="left"/>
      <w:rPr>
        <w:rFonts w:ascii="Times New Roman" w:hAnsi="Times New Roman" w:cs="Times New Roman" w:hint="default"/>
      </w:rPr>
    </w:lvl>
  </w:abstractNum>
  <w:abstractNum w:abstractNumId="14"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
  </w:num>
  <w:num w:numId="2">
    <w:abstractNumId w:val="9"/>
  </w:num>
  <w:num w:numId="3">
    <w:abstractNumId w:val="14"/>
  </w:num>
  <w:num w:numId="4">
    <w:abstractNumId w:val="12"/>
  </w:num>
  <w:num w:numId="5">
    <w:abstractNumId w:val="5"/>
  </w:num>
  <w:num w:numId="6">
    <w:abstractNumId w:val="11"/>
  </w:num>
  <w:num w:numId="7">
    <w:abstractNumId w:val="10"/>
  </w:num>
  <w:num w:numId="8">
    <w:abstractNumId w:val="8"/>
  </w:num>
  <w:num w:numId="9">
    <w:abstractNumId w:val="4"/>
  </w:num>
  <w:num w:numId="10">
    <w:abstractNumId w:val="0"/>
  </w:num>
  <w:num w:numId="11">
    <w:abstractNumId w:val="13"/>
  </w:num>
  <w:num w:numId="12">
    <w:abstractNumId w:val="6"/>
  </w:num>
  <w:num w:numId="13">
    <w:abstractNumId w:val="7"/>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E12"/>
    <w:rsid w:val="00000F7A"/>
    <w:rsid w:val="000013DD"/>
    <w:rsid w:val="000032F2"/>
    <w:rsid w:val="0000359A"/>
    <w:rsid w:val="00003857"/>
    <w:rsid w:val="00004EDF"/>
    <w:rsid w:val="00006319"/>
    <w:rsid w:val="00006BE2"/>
    <w:rsid w:val="00011EBB"/>
    <w:rsid w:val="000134B7"/>
    <w:rsid w:val="000203A3"/>
    <w:rsid w:val="0002161B"/>
    <w:rsid w:val="00024533"/>
    <w:rsid w:val="00024A6F"/>
    <w:rsid w:val="00030254"/>
    <w:rsid w:val="0003069C"/>
    <w:rsid w:val="000347FC"/>
    <w:rsid w:val="00036534"/>
    <w:rsid w:val="00044A48"/>
    <w:rsid w:val="000513EF"/>
    <w:rsid w:val="000551BF"/>
    <w:rsid w:val="000566CC"/>
    <w:rsid w:val="000573EC"/>
    <w:rsid w:val="0006175C"/>
    <w:rsid w:val="0006281E"/>
    <w:rsid w:val="00073A5E"/>
    <w:rsid w:val="000740B7"/>
    <w:rsid w:val="000762EE"/>
    <w:rsid w:val="000807F1"/>
    <w:rsid w:val="00082370"/>
    <w:rsid w:val="00082F25"/>
    <w:rsid w:val="00083A0F"/>
    <w:rsid w:val="00087434"/>
    <w:rsid w:val="000904BE"/>
    <w:rsid w:val="00090C20"/>
    <w:rsid w:val="00094FC8"/>
    <w:rsid w:val="0009659D"/>
    <w:rsid w:val="000A04A4"/>
    <w:rsid w:val="000A5250"/>
    <w:rsid w:val="000C3948"/>
    <w:rsid w:val="000C5658"/>
    <w:rsid w:val="000D034D"/>
    <w:rsid w:val="000E2E8A"/>
    <w:rsid w:val="000E422C"/>
    <w:rsid w:val="000E6142"/>
    <w:rsid w:val="000E6EEC"/>
    <w:rsid w:val="000F0720"/>
    <w:rsid w:val="000F345B"/>
    <w:rsid w:val="000F7591"/>
    <w:rsid w:val="00103087"/>
    <w:rsid w:val="001050D5"/>
    <w:rsid w:val="00105150"/>
    <w:rsid w:val="00113E67"/>
    <w:rsid w:val="00114B9A"/>
    <w:rsid w:val="00120D26"/>
    <w:rsid w:val="001241A7"/>
    <w:rsid w:val="00131957"/>
    <w:rsid w:val="001338CB"/>
    <w:rsid w:val="00135098"/>
    <w:rsid w:val="0013540B"/>
    <w:rsid w:val="00137B87"/>
    <w:rsid w:val="001554A8"/>
    <w:rsid w:val="001613FA"/>
    <w:rsid w:val="00162FB7"/>
    <w:rsid w:val="00163C8C"/>
    <w:rsid w:val="00171EE3"/>
    <w:rsid w:val="001723F4"/>
    <w:rsid w:val="00173535"/>
    <w:rsid w:val="001934F4"/>
    <w:rsid w:val="0019407B"/>
    <w:rsid w:val="00194739"/>
    <w:rsid w:val="0019633B"/>
    <w:rsid w:val="00197567"/>
    <w:rsid w:val="0019783F"/>
    <w:rsid w:val="001A0DBB"/>
    <w:rsid w:val="001A4DA5"/>
    <w:rsid w:val="001A5DFD"/>
    <w:rsid w:val="001A5FA2"/>
    <w:rsid w:val="001A6B01"/>
    <w:rsid w:val="001A777A"/>
    <w:rsid w:val="001A7957"/>
    <w:rsid w:val="001B2AE0"/>
    <w:rsid w:val="001B5CCB"/>
    <w:rsid w:val="001B7686"/>
    <w:rsid w:val="001B7ECD"/>
    <w:rsid w:val="001C087C"/>
    <w:rsid w:val="001C22B0"/>
    <w:rsid w:val="001C4526"/>
    <w:rsid w:val="001C514B"/>
    <w:rsid w:val="001C60A4"/>
    <w:rsid w:val="001D2AE6"/>
    <w:rsid w:val="001D2D78"/>
    <w:rsid w:val="001E0FBC"/>
    <w:rsid w:val="001E1D09"/>
    <w:rsid w:val="001E35DD"/>
    <w:rsid w:val="001F1EDA"/>
    <w:rsid w:val="001F1F3F"/>
    <w:rsid w:val="001F6076"/>
    <w:rsid w:val="00203F73"/>
    <w:rsid w:val="002067EC"/>
    <w:rsid w:val="00210671"/>
    <w:rsid w:val="0021270F"/>
    <w:rsid w:val="002134B1"/>
    <w:rsid w:val="0021682C"/>
    <w:rsid w:val="00216EF1"/>
    <w:rsid w:val="002206F3"/>
    <w:rsid w:val="0022274A"/>
    <w:rsid w:val="002249FC"/>
    <w:rsid w:val="002260D6"/>
    <w:rsid w:val="00227182"/>
    <w:rsid w:val="00231896"/>
    <w:rsid w:val="00232664"/>
    <w:rsid w:val="00236B5F"/>
    <w:rsid w:val="002420E2"/>
    <w:rsid w:val="002424BA"/>
    <w:rsid w:val="002507F9"/>
    <w:rsid w:val="0025158C"/>
    <w:rsid w:val="002543C3"/>
    <w:rsid w:val="00254657"/>
    <w:rsid w:val="002551A9"/>
    <w:rsid w:val="002617D8"/>
    <w:rsid w:val="002623C3"/>
    <w:rsid w:val="00263042"/>
    <w:rsid w:val="00264E65"/>
    <w:rsid w:val="00265438"/>
    <w:rsid w:val="002743D6"/>
    <w:rsid w:val="00276D78"/>
    <w:rsid w:val="00277356"/>
    <w:rsid w:val="00280617"/>
    <w:rsid w:val="00285EB6"/>
    <w:rsid w:val="00294511"/>
    <w:rsid w:val="00294F41"/>
    <w:rsid w:val="002A1E37"/>
    <w:rsid w:val="002A52B1"/>
    <w:rsid w:val="002A714B"/>
    <w:rsid w:val="002A7533"/>
    <w:rsid w:val="002C1747"/>
    <w:rsid w:val="002E4BE2"/>
    <w:rsid w:val="00300043"/>
    <w:rsid w:val="00304538"/>
    <w:rsid w:val="00314253"/>
    <w:rsid w:val="00316C2F"/>
    <w:rsid w:val="00320D9B"/>
    <w:rsid w:val="00321E5C"/>
    <w:rsid w:val="0032308A"/>
    <w:rsid w:val="00324006"/>
    <w:rsid w:val="0032589A"/>
    <w:rsid w:val="00330601"/>
    <w:rsid w:val="00337655"/>
    <w:rsid w:val="00344893"/>
    <w:rsid w:val="003473F0"/>
    <w:rsid w:val="00350674"/>
    <w:rsid w:val="00353588"/>
    <w:rsid w:val="003537B8"/>
    <w:rsid w:val="0035679B"/>
    <w:rsid w:val="0036340F"/>
    <w:rsid w:val="00363A1B"/>
    <w:rsid w:val="00364FDF"/>
    <w:rsid w:val="00374BBC"/>
    <w:rsid w:val="00385EB5"/>
    <w:rsid w:val="00391B1F"/>
    <w:rsid w:val="003955EC"/>
    <w:rsid w:val="00396BDD"/>
    <w:rsid w:val="003A0770"/>
    <w:rsid w:val="003A1D62"/>
    <w:rsid w:val="003A5A39"/>
    <w:rsid w:val="003A7AB0"/>
    <w:rsid w:val="003A7CCB"/>
    <w:rsid w:val="003B6B23"/>
    <w:rsid w:val="003B752F"/>
    <w:rsid w:val="003B774B"/>
    <w:rsid w:val="003C1983"/>
    <w:rsid w:val="003C2A4E"/>
    <w:rsid w:val="003C3CFC"/>
    <w:rsid w:val="003E204D"/>
    <w:rsid w:val="003E338E"/>
    <w:rsid w:val="003E4B0B"/>
    <w:rsid w:val="003E5B39"/>
    <w:rsid w:val="003F3ED6"/>
    <w:rsid w:val="00405C79"/>
    <w:rsid w:val="00406ABC"/>
    <w:rsid w:val="00412B77"/>
    <w:rsid w:val="00416CCD"/>
    <w:rsid w:val="004277A8"/>
    <w:rsid w:val="00427A02"/>
    <w:rsid w:val="00427F25"/>
    <w:rsid w:val="00450626"/>
    <w:rsid w:val="004535DD"/>
    <w:rsid w:val="00455938"/>
    <w:rsid w:val="00455A87"/>
    <w:rsid w:val="0045704A"/>
    <w:rsid w:val="00465769"/>
    <w:rsid w:val="004707B0"/>
    <w:rsid w:val="00473011"/>
    <w:rsid w:val="004747FA"/>
    <w:rsid w:val="004764FA"/>
    <w:rsid w:val="00481832"/>
    <w:rsid w:val="00481FBC"/>
    <w:rsid w:val="004835CD"/>
    <w:rsid w:val="00496D67"/>
    <w:rsid w:val="004A5448"/>
    <w:rsid w:val="004B6033"/>
    <w:rsid w:val="004C47EE"/>
    <w:rsid w:val="004C6EFE"/>
    <w:rsid w:val="004C7093"/>
    <w:rsid w:val="004D02B2"/>
    <w:rsid w:val="004D0CF4"/>
    <w:rsid w:val="004D3747"/>
    <w:rsid w:val="004D37D0"/>
    <w:rsid w:val="004D5A11"/>
    <w:rsid w:val="004D5AA4"/>
    <w:rsid w:val="004F0B3C"/>
    <w:rsid w:val="0050163D"/>
    <w:rsid w:val="00501D1F"/>
    <w:rsid w:val="005044F5"/>
    <w:rsid w:val="00511C8B"/>
    <w:rsid w:val="00516406"/>
    <w:rsid w:val="00521767"/>
    <w:rsid w:val="00523D0A"/>
    <w:rsid w:val="00525DD0"/>
    <w:rsid w:val="0052694C"/>
    <w:rsid w:val="005272C1"/>
    <w:rsid w:val="00531C60"/>
    <w:rsid w:val="00540A2E"/>
    <w:rsid w:val="00544500"/>
    <w:rsid w:val="005462FB"/>
    <w:rsid w:val="005561F2"/>
    <w:rsid w:val="005567E6"/>
    <w:rsid w:val="00560337"/>
    <w:rsid w:val="005623CD"/>
    <w:rsid w:val="00562724"/>
    <w:rsid w:val="00563BAB"/>
    <w:rsid w:val="00571014"/>
    <w:rsid w:val="00573046"/>
    <w:rsid w:val="00580B15"/>
    <w:rsid w:val="00581D44"/>
    <w:rsid w:val="00583498"/>
    <w:rsid w:val="00592631"/>
    <w:rsid w:val="00593957"/>
    <w:rsid w:val="005A3845"/>
    <w:rsid w:val="005B78C0"/>
    <w:rsid w:val="005C2752"/>
    <w:rsid w:val="005C2AF9"/>
    <w:rsid w:val="005C64D2"/>
    <w:rsid w:val="005D646C"/>
    <w:rsid w:val="005E36F2"/>
    <w:rsid w:val="005E6976"/>
    <w:rsid w:val="00600D35"/>
    <w:rsid w:val="00614172"/>
    <w:rsid w:val="00615AF6"/>
    <w:rsid w:val="00617737"/>
    <w:rsid w:val="00621F03"/>
    <w:rsid w:val="006234CB"/>
    <w:rsid w:val="00626AA5"/>
    <w:rsid w:val="00627FE6"/>
    <w:rsid w:val="00630EA0"/>
    <w:rsid w:val="00634BA4"/>
    <w:rsid w:val="00635DBD"/>
    <w:rsid w:val="00636BF3"/>
    <w:rsid w:val="00636EA8"/>
    <w:rsid w:val="00640FA7"/>
    <w:rsid w:val="00641F12"/>
    <w:rsid w:val="00645182"/>
    <w:rsid w:val="006509D0"/>
    <w:rsid w:val="00651B15"/>
    <w:rsid w:val="00660251"/>
    <w:rsid w:val="00660467"/>
    <w:rsid w:val="00660BA7"/>
    <w:rsid w:val="006612E5"/>
    <w:rsid w:val="00661923"/>
    <w:rsid w:val="00662288"/>
    <w:rsid w:val="0066297B"/>
    <w:rsid w:val="00667549"/>
    <w:rsid w:val="00670D3B"/>
    <w:rsid w:val="0067201C"/>
    <w:rsid w:val="0067283B"/>
    <w:rsid w:val="00675596"/>
    <w:rsid w:val="00682234"/>
    <w:rsid w:val="00686510"/>
    <w:rsid w:val="00690A4E"/>
    <w:rsid w:val="006921FE"/>
    <w:rsid w:val="006935D4"/>
    <w:rsid w:val="00694EDB"/>
    <w:rsid w:val="006A5E57"/>
    <w:rsid w:val="006A5E77"/>
    <w:rsid w:val="006A712C"/>
    <w:rsid w:val="006B1392"/>
    <w:rsid w:val="006B25E9"/>
    <w:rsid w:val="006B6262"/>
    <w:rsid w:val="006C2A66"/>
    <w:rsid w:val="006E385E"/>
    <w:rsid w:val="006E7188"/>
    <w:rsid w:val="006F14BF"/>
    <w:rsid w:val="006F5ACF"/>
    <w:rsid w:val="0070169A"/>
    <w:rsid w:val="00714A06"/>
    <w:rsid w:val="00714D26"/>
    <w:rsid w:val="00721037"/>
    <w:rsid w:val="00721466"/>
    <w:rsid w:val="00727AFC"/>
    <w:rsid w:val="00730880"/>
    <w:rsid w:val="0073423C"/>
    <w:rsid w:val="007344FD"/>
    <w:rsid w:val="00735693"/>
    <w:rsid w:val="00740E8C"/>
    <w:rsid w:val="007542EB"/>
    <w:rsid w:val="00755303"/>
    <w:rsid w:val="007572EB"/>
    <w:rsid w:val="007576A7"/>
    <w:rsid w:val="007645A9"/>
    <w:rsid w:val="00766829"/>
    <w:rsid w:val="007716B7"/>
    <w:rsid w:val="007719F6"/>
    <w:rsid w:val="007724A9"/>
    <w:rsid w:val="00772D4E"/>
    <w:rsid w:val="00782B89"/>
    <w:rsid w:val="007852D3"/>
    <w:rsid w:val="0078620D"/>
    <w:rsid w:val="00790B87"/>
    <w:rsid w:val="007919A0"/>
    <w:rsid w:val="00791FAE"/>
    <w:rsid w:val="0079393D"/>
    <w:rsid w:val="00793A40"/>
    <w:rsid w:val="00795DD3"/>
    <w:rsid w:val="0079794D"/>
    <w:rsid w:val="007A045D"/>
    <w:rsid w:val="007A04B4"/>
    <w:rsid w:val="007A38E7"/>
    <w:rsid w:val="007B7015"/>
    <w:rsid w:val="007C23C9"/>
    <w:rsid w:val="007C3A3F"/>
    <w:rsid w:val="007D1E39"/>
    <w:rsid w:val="007E5B5A"/>
    <w:rsid w:val="007E672A"/>
    <w:rsid w:val="007F1891"/>
    <w:rsid w:val="007F2CF4"/>
    <w:rsid w:val="007F6765"/>
    <w:rsid w:val="0080002B"/>
    <w:rsid w:val="00801352"/>
    <w:rsid w:val="00802DB5"/>
    <w:rsid w:val="0080341A"/>
    <w:rsid w:val="00803F7E"/>
    <w:rsid w:val="00810B55"/>
    <w:rsid w:val="008122C0"/>
    <w:rsid w:val="008156B0"/>
    <w:rsid w:val="00816512"/>
    <w:rsid w:val="00820702"/>
    <w:rsid w:val="00824A30"/>
    <w:rsid w:val="00832FAB"/>
    <w:rsid w:val="00834C8D"/>
    <w:rsid w:val="008370EE"/>
    <w:rsid w:val="00841FAE"/>
    <w:rsid w:val="00843DF7"/>
    <w:rsid w:val="008473F3"/>
    <w:rsid w:val="00854E87"/>
    <w:rsid w:val="00855789"/>
    <w:rsid w:val="0085778F"/>
    <w:rsid w:val="00866CD3"/>
    <w:rsid w:val="00876625"/>
    <w:rsid w:val="00884524"/>
    <w:rsid w:val="00884E90"/>
    <w:rsid w:val="0088595D"/>
    <w:rsid w:val="00885E36"/>
    <w:rsid w:val="00890B65"/>
    <w:rsid w:val="0089533E"/>
    <w:rsid w:val="008A19C3"/>
    <w:rsid w:val="008A5933"/>
    <w:rsid w:val="008A6A11"/>
    <w:rsid w:val="008B6528"/>
    <w:rsid w:val="008B6DBA"/>
    <w:rsid w:val="008C62E8"/>
    <w:rsid w:val="008D2977"/>
    <w:rsid w:val="008D5C17"/>
    <w:rsid w:val="008D60D5"/>
    <w:rsid w:val="008E5805"/>
    <w:rsid w:val="008E64A5"/>
    <w:rsid w:val="008F0BFC"/>
    <w:rsid w:val="008F293F"/>
    <w:rsid w:val="008F600F"/>
    <w:rsid w:val="009028DB"/>
    <w:rsid w:val="009127F5"/>
    <w:rsid w:val="009139F7"/>
    <w:rsid w:val="009150B5"/>
    <w:rsid w:val="009219E0"/>
    <w:rsid w:val="009227B3"/>
    <w:rsid w:val="00931E44"/>
    <w:rsid w:val="00933635"/>
    <w:rsid w:val="00935ABA"/>
    <w:rsid w:val="0093652D"/>
    <w:rsid w:val="00937294"/>
    <w:rsid w:val="009400C4"/>
    <w:rsid w:val="00944D87"/>
    <w:rsid w:val="00945510"/>
    <w:rsid w:val="00952094"/>
    <w:rsid w:val="00952576"/>
    <w:rsid w:val="00960008"/>
    <w:rsid w:val="0097766C"/>
    <w:rsid w:val="00977FCE"/>
    <w:rsid w:val="00984EF2"/>
    <w:rsid w:val="00991652"/>
    <w:rsid w:val="00993336"/>
    <w:rsid w:val="00995474"/>
    <w:rsid w:val="00996621"/>
    <w:rsid w:val="009A263E"/>
    <w:rsid w:val="009A3AD6"/>
    <w:rsid w:val="009A4311"/>
    <w:rsid w:val="009A44FE"/>
    <w:rsid w:val="009A5136"/>
    <w:rsid w:val="009A6144"/>
    <w:rsid w:val="009B0624"/>
    <w:rsid w:val="009B0A0C"/>
    <w:rsid w:val="009B1092"/>
    <w:rsid w:val="009B1BA6"/>
    <w:rsid w:val="009B2360"/>
    <w:rsid w:val="009B3C0C"/>
    <w:rsid w:val="009B6353"/>
    <w:rsid w:val="009B78D8"/>
    <w:rsid w:val="009C3E8C"/>
    <w:rsid w:val="009C6F43"/>
    <w:rsid w:val="009D1130"/>
    <w:rsid w:val="009D3D81"/>
    <w:rsid w:val="009D694E"/>
    <w:rsid w:val="009D6C42"/>
    <w:rsid w:val="009E23A6"/>
    <w:rsid w:val="009E26BE"/>
    <w:rsid w:val="009E7CAF"/>
    <w:rsid w:val="009F18BF"/>
    <w:rsid w:val="009F3CAD"/>
    <w:rsid w:val="009F5B65"/>
    <w:rsid w:val="00A02829"/>
    <w:rsid w:val="00A0353E"/>
    <w:rsid w:val="00A14F25"/>
    <w:rsid w:val="00A15FD1"/>
    <w:rsid w:val="00A16843"/>
    <w:rsid w:val="00A20171"/>
    <w:rsid w:val="00A20419"/>
    <w:rsid w:val="00A2098C"/>
    <w:rsid w:val="00A24115"/>
    <w:rsid w:val="00A24690"/>
    <w:rsid w:val="00A30E40"/>
    <w:rsid w:val="00A30FD1"/>
    <w:rsid w:val="00A32A74"/>
    <w:rsid w:val="00A33CB0"/>
    <w:rsid w:val="00A378E2"/>
    <w:rsid w:val="00A41886"/>
    <w:rsid w:val="00A423E5"/>
    <w:rsid w:val="00A44A59"/>
    <w:rsid w:val="00A50A27"/>
    <w:rsid w:val="00A54CD8"/>
    <w:rsid w:val="00A6538A"/>
    <w:rsid w:val="00A76529"/>
    <w:rsid w:val="00A824FA"/>
    <w:rsid w:val="00A831F3"/>
    <w:rsid w:val="00A85DC0"/>
    <w:rsid w:val="00A87DD7"/>
    <w:rsid w:val="00A90024"/>
    <w:rsid w:val="00A902A9"/>
    <w:rsid w:val="00A93902"/>
    <w:rsid w:val="00AA3820"/>
    <w:rsid w:val="00AA4272"/>
    <w:rsid w:val="00AA5285"/>
    <w:rsid w:val="00AA7846"/>
    <w:rsid w:val="00AB1A2B"/>
    <w:rsid w:val="00AB1E43"/>
    <w:rsid w:val="00AB26FB"/>
    <w:rsid w:val="00AB509B"/>
    <w:rsid w:val="00AC11F9"/>
    <w:rsid w:val="00AC4812"/>
    <w:rsid w:val="00AD50A7"/>
    <w:rsid w:val="00AD5C83"/>
    <w:rsid w:val="00AF0C8B"/>
    <w:rsid w:val="00AF3A23"/>
    <w:rsid w:val="00AF5265"/>
    <w:rsid w:val="00B01EE6"/>
    <w:rsid w:val="00B12342"/>
    <w:rsid w:val="00B1730A"/>
    <w:rsid w:val="00B23111"/>
    <w:rsid w:val="00B26F1D"/>
    <w:rsid w:val="00B349AF"/>
    <w:rsid w:val="00B4042F"/>
    <w:rsid w:val="00B40F77"/>
    <w:rsid w:val="00B413A5"/>
    <w:rsid w:val="00B43861"/>
    <w:rsid w:val="00B4643A"/>
    <w:rsid w:val="00B470F9"/>
    <w:rsid w:val="00B560DF"/>
    <w:rsid w:val="00B5765F"/>
    <w:rsid w:val="00B60E2A"/>
    <w:rsid w:val="00B64AD7"/>
    <w:rsid w:val="00B6680C"/>
    <w:rsid w:val="00B728EA"/>
    <w:rsid w:val="00B73C66"/>
    <w:rsid w:val="00B75171"/>
    <w:rsid w:val="00B77831"/>
    <w:rsid w:val="00B803AE"/>
    <w:rsid w:val="00B816B1"/>
    <w:rsid w:val="00B81904"/>
    <w:rsid w:val="00B81C2E"/>
    <w:rsid w:val="00B94C21"/>
    <w:rsid w:val="00BA065F"/>
    <w:rsid w:val="00BB15F7"/>
    <w:rsid w:val="00BB2922"/>
    <w:rsid w:val="00BB4261"/>
    <w:rsid w:val="00BC3BC9"/>
    <w:rsid w:val="00BD0C68"/>
    <w:rsid w:val="00BD4FE8"/>
    <w:rsid w:val="00BD5AD1"/>
    <w:rsid w:val="00BE12CC"/>
    <w:rsid w:val="00C02293"/>
    <w:rsid w:val="00C04F83"/>
    <w:rsid w:val="00C04FFB"/>
    <w:rsid w:val="00C05322"/>
    <w:rsid w:val="00C06494"/>
    <w:rsid w:val="00C13466"/>
    <w:rsid w:val="00C14F2E"/>
    <w:rsid w:val="00C2096F"/>
    <w:rsid w:val="00C219FC"/>
    <w:rsid w:val="00C24550"/>
    <w:rsid w:val="00C356C2"/>
    <w:rsid w:val="00C42544"/>
    <w:rsid w:val="00C4607F"/>
    <w:rsid w:val="00C73E78"/>
    <w:rsid w:val="00C7409F"/>
    <w:rsid w:val="00C74961"/>
    <w:rsid w:val="00C74F44"/>
    <w:rsid w:val="00C8625F"/>
    <w:rsid w:val="00C9185E"/>
    <w:rsid w:val="00C942E6"/>
    <w:rsid w:val="00C95090"/>
    <w:rsid w:val="00CA12C4"/>
    <w:rsid w:val="00CA59D8"/>
    <w:rsid w:val="00CB2B9A"/>
    <w:rsid w:val="00CC44BB"/>
    <w:rsid w:val="00CC5CFE"/>
    <w:rsid w:val="00CC6A23"/>
    <w:rsid w:val="00CD17BD"/>
    <w:rsid w:val="00CD2162"/>
    <w:rsid w:val="00CD2401"/>
    <w:rsid w:val="00CD3A5C"/>
    <w:rsid w:val="00CD5EA0"/>
    <w:rsid w:val="00CE5B1D"/>
    <w:rsid w:val="00CF57DE"/>
    <w:rsid w:val="00D021B6"/>
    <w:rsid w:val="00D02FEF"/>
    <w:rsid w:val="00D04BAE"/>
    <w:rsid w:val="00D06334"/>
    <w:rsid w:val="00D06549"/>
    <w:rsid w:val="00D06F81"/>
    <w:rsid w:val="00D07788"/>
    <w:rsid w:val="00D07C19"/>
    <w:rsid w:val="00D10DE5"/>
    <w:rsid w:val="00D1435A"/>
    <w:rsid w:val="00D144F6"/>
    <w:rsid w:val="00D21945"/>
    <w:rsid w:val="00D21A54"/>
    <w:rsid w:val="00D22F8E"/>
    <w:rsid w:val="00D24144"/>
    <w:rsid w:val="00D24B75"/>
    <w:rsid w:val="00D25122"/>
    <w:rsid w:val="00D25E17"/>
    <w:rsid w:val="00D261DA"/>
    <w:rsid w:val="00D305B3"/>
    <w:rsid w:val="00D429DA"/>
    <w:rsid w:val="00D43336"/>
    <w:rsid w:val="00D4477B"/>
    <w:rsid w:val="00D503B7"/>
    <w:rsid w:val="00D51386"/>
    <w:rsid w:val="00D56DCC"/>
    <w:rsid w:val="00D64937"/>
    <w:rsid w:val="00D6788F"/>
    <w:rsid w:val="00D711FD"/>
    <w:rsid w:val="00D725FF"/>
    <w:rsid w:val="00D73678"/>
    <w:rsid w:val="00D739AF"/>
    <w:rsid w:val="00D84061"/>
    <w:rsid w:val="00D8487C"/>
    <w:rsid w:val="00D95FAB"/>
    <w:rsid w:val="00D978CE"/>
    <w:rsid w:val="00DB0361"/>
    <w:rsid w:val="00DB1AC1"/>
    <w:rsid w:val="00DB4163"/>
    <w:rsid w:val="00DB4D2A"/>
    <w:rsid w:val="00DB71F0"/>
    <w:rsid w:val="00DB7438"/>
    <w:rsid w:val="00DB7B17"/>
    <w:rsid w:val="00DC11ED"/>
    <w:rsid w:val="00DC777D"/>
    <w:rsid w:val="00DE1A6C"/>
    <w:rsid w:val="00DE2CA0"/>
    <w:rsid w:val="00DE388E"/>
    <w:rsid w:val="00DE4B84"/>
    <w:rsid w:val="00DF128C"/>
    <w:rsid w:val="00DF3456"/>
    <w:rsid w:val="00DF3D88"/>
    <w:rsid w:val="00DF40BB"/>
    <w:rsid w:val="00DF4673"/>
    <w:rsid w:val="00E00403"/>
    <w:rsid w:val="00E03E11"/>
    <w:rsid w:val="00E05B1F"/>
    <w:rsid w:val="00E12D10"/>
    <w:rsid w:val="00E15F37"/>
    <w:rsid w:val="00E2043F"/>
    <w:rsid w:val="00E21CBE"/>
    <w:rsid w:val="00E35135"/>
    <w:rsid w:val="00E3616E"/>
    <w:rsid w:val="00E426E8"/>
    <w:rsid w:val="00E4513B"/>
    <w:rsid w:val="00E4776D"/>
    <w:rsid w:val="00E5003A"/>
    <w:rsid w:val="00E51A75"/>
    <w:rsid w:val="00E52160"/>
    <w:rsid w:val="00E52807"/>
    <w:rsid w:val="00E55466"/>
    <w:rsid w:val="00E568F7"/>
    <w:rsid w:val="00E729E4"/>
    <w:rsid w:val="00E72ED5"/>
    <w:rsid w:val="00E748ED"/>
    <w:rsid w:val="00E752BF"/>
    <w:rsid w:val="00E8310E"/>
    <w:rsid w:val="00E87784"/>
    <w:rsid w:val="00E91202"/>
    <w:rsid w:val="00E92161"/>
    <w:rsid w:val="00E945AD"/>
    <w:rsid w:val="00EA1335"/>
    <w:rsid w:val="00EA4A53"/>
    <w:rsid w:val="00EA6783"/>
    <w:rsid w:val="00EA73A8"/>
    <w:rsid w:val="00EB06A9"/>
    <w:rsid w:val="00EB106A"/>
    <w:rsid w:val="00EB2B34"/>
    <w:rsid w:val="00EC0E22"/>
    <w:rsid w:val="00EC1EAD"/>
    <w:rsid w:val="00EC5D14"/>
    <w:rsid w:val="00EC634D"/>
    <w:rsid w:val="00ED4D27"/>
    <w:rsid w:val="00EE3B9D"/>
    <w:rsid w:val="00EE6D6A"/>
    <w:rsid w:val="00EF5D7A"/>
    <w:rsid w:val="00EF6609"/>
    <w:rsid w:val="00F00ABC"/>
    <w:rsid w:val="00F02265"/>
    <w:rsid w:val="00F03068"/>
    <w:rsid w:val="00F0379A"/>
    <w:rsid w:val="00F05E6C"/>
    <w:rsid w:val="00F07B0E"/>
    <w:rsid w:val="00F128CD"/>
    <w:rsid w:val="00F20D94"/>
    <w:rsid w:val="00F20E1F"/>
    <w:rsid w:val="00F20F8A"/>
    <w:rsid w:val="00F23D68"/>
    <w:rsid w:val="00F26DFF"/>
    <w:rsid w:val="00F40B63"/>
    <w:rsid w:val="00F40CAB"/>
    <w:rsid w:val="00F445AA"/>
    <w:rsid w:val="00F4493C"/>
    <w:rsid w:val="00F54064"/>
    <w:rsid w:val="00F55599"/>
    <w:rsid w:val="00F57728"/>
    <w:rsid w:val="00F62A94"/>
    <w:rsid w:val="00F6602F"/>
    <w:rsid w:val="00F70A84"/>
    <w:rsid w:val="00F71C91"/>
    <w:rsid w:val="00F75EE5"/>
    <w:rsid w:val="00F83C7D"/>
    <w:rsid w:val="00F84473"/>
    <w:rsid w:val="00F879E5"/>
    <w:rsid w:val="00F87CB3"/>
    <w:rsid w:val="00F944C7"/>
    <w:rsid w:val="00F956E6"/>
    <w:rsid w:val="00F9763D"/>
    <w:rsid w:val="00FA18D4"/>
    <w:rsid w:val="00FB1654"/>
    <w:rsid w:val="00FB7675"/>
    <w:rsid w:val="00FC607A"/>
    <w:rsid w:val="00FD069A"/>
    <w:rsid w:val="00FD27CA"/>
    <w:rsid w:val="00FD4154"/>
    <w:rsid w:val="00FE5472"/>
    <w:rsid w:val="00FE5573"/>
    <w:rsid w:val="00FE5B8A"/>
    <w:rsid w:val="00FF2467"/>
    <w:rsid w:val="00FF3E13"/>
    <w:rsid w:val="00FF41A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2AA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basedOn w:val="DefaultParagraphFont"/>
    <w:link w:val="BodyText"/>
    <w:rsid w:val="00945510"/>
    <w:rPr>
      <w:sz w:val="24"/>
      <w:szCs w:val="24"/>
      <w:lang w:eastAsia="en-US"/>
    </w:rPr>
  </w:style>
  <w:style w:type="paragraph" w:customStyle="1" w:styleId="tv213">
    <w:name w:val="tv213"/>
    <w:basedOn w:val="Normal"/>
    <w:rsid w:val="001B2AE0"/>
    <w:pPr>
      <w:spacing w:before="100" w:beforeAutospacing="1" w:after="100" w:afterAutospacing="1"/>
    </w:pPr>
    <w:rPr>
      <w:lang w:val="en-US"/>
    </w:rPr>
  </w:style>
  <w:style w:type="character" w:styleId="Hyperlink">
    <w:name w:val="Hyperlink"/>
    <w:basedOn w:val="DefaultParagraphFont"/>
    <w:uiPriority w:val="99"/>
    <w:unhideWhenUsed/>
    <w:rsid w:val="001B2AE0"/>
    <w:rPr>
      <w:color w:val="0000FF"/>
      <w:u w:val="single"/>
    </w:rPr>
  </w:style>
  <w:style w:type="paragraph" w:styleId="ListParagraph">
    <w:name w:val="List Paragraph"/>
    <w:basedOn w:val="Normal"/>
    <w:uiPriority w:val="99"/>
    <w:qFormat/>
    <w:rsid w:val="00082F25"/>
    <w:pPr>
      <w:spacing w:after="200" w:line="276" w:lineRule="auto"/>
      <w:ind w:left="720"/>
    </w:pPr>
    <w:rPr>
      <w:rFonts w:eastAsia="Calibri"/>
    </w:rPr>
  </w:style>
  <w:style w:type="character" w:styleId="CommentReference">
    <w:name w:val="annotation reference"/>
    <w:basedOn w:val="DefaultParagraphFont"/>
    <w:uiPriority w:val="99"/>
    <w:unhideWhenUsed/>
    <w:rsid w:val="001B7ECD"/>
    <w:rPr>
      <w:sz w:val="16"/>
      <w:szCs w:val="16"/>
    </w:rPr>
  </w:style>
  <w:style w:type="paragraph" w:styleId="CommentText">
    <w:name w:val="annotation text"/>
    <w:basedOn w:val="Normal"/>
    <w:link w:val="CommentTextChar1"/>
    <w:uiPriority w:val="99"/>
    <w:unhideWhenUsed/>
    <w:rsid w:val="001B7EC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rsid w:val="001B7ECD"/>
    <w:rPr>
      <w:lang w:eastAsia="en-US"/>
    </w:rPr>
  </w:style>
  <w:style w:type="character" w:customStyle="1" w:styleId="CommentTextChar1">
    <w:name w:val="Comment Text Char1"/>
    <w:basedOn w:val="DefaultParagraphFont"/>
    <w:link w:val="CommentText"/>
    <w:uiPriority w:val="99"/>
    <w:rsid w:val="001B7ECD"/>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82099">
      <w:bodyDiv w:val="1"/>
      <w:marLeft w:val="0"/>
      <w:marRight w:val="0"/>
      <w:marTop w:val="0"/>
      <w:marBottom w:val="0"/>
      <w:divBdr>
        <w:top w:val="none" w:sz="0" w:space="0" w:color="auto"/>
        <w:left w:val="none" w:sz="0" w:space="0" w:color="auto"/>
        <w:bottom w:val="none" w:sz="0" w:space="0" w:color="auto"/>
        <w:right w:val="none" w:sz="0" w:space="0" w:color="auto"/>
      </w:divBdr>
    </w:div>
    <w:div w:id="867572581">
      <w:bodyDiv w:val="1"/>
      <w:marLeft w:val="0"/>
      <w:marRight w:val="0"/>
      <w:marTop w:val="0"/>
      <w:marBottom w:val="0"/>
      <w:divBdr>
        <w:top w:val="none" w:sz="0" w:space="0" w:color="auto"/>
        <w:left w:val="none" w:sz="0" w:space="0" w:color="auto"/>
        <w:bottom w:val="none" w:sz="0" w:space="0" w:color="auto"/>
        <w:right w:val="none" w:sz="0" w:space="0" w:color="auto"/>
      </w:divBdr>
    </w:div>
    <w:div w:id="11060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2CF73-5E4E-48A9-974E-2BA9DB98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3487</Words>
  <Characters>24808</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2021-05-27T14:00:00Z</dcterms:created>
  <dcterms:modified xsi:type="dcterms:W3CDTF">2021-05-27T14:33:00Z</dcterms:modified>
</cp:coreProperties>
</file>