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58A6" w14:textId="77777777" w:rsidR="000B170A" w:rsidRPr="00AB1521" w:rsidRDefault="000B170A" w:rsidP="000B170A">
      <w:pPr>
        <w:spacing w:line="276" w:lineRule="auto"/>
        <w:jc w:val="both"/>
        <w:rPr>
          <w:b/>
        </w:rPr>
      </w:pPr>
      <w:r w:rsidRPr="00AB1521">
        <w:rPr>
          <w:b/>
        </w:rPr>
        <w:t>Kriminālprocesa vajadzībām veikta tiesu psihiatriskā ekspertīze nav ārstniecība</w:t>
      </w:r>
      <w:r w:rsidRPr="00AB1521">
        <w:t xml:space="preserve"> </w:t>
      </w:r>
      <w:r w:rsidRPr="00AB1521">
        <w:rPr>
          <w:b/>
        </w:rPr>
        <w:t>Ārstniecības likuma izpratnē</w:t>
      </w:r>
    </w:p>
    <w:p w14:paraId="57A6BA63" w14:textId="77777777" w:rsidR="000B170A" w:rsidRPr="00AB1521" w:rsidRDefault="000B170A" w:rsidP="000B170A">
      <w:pPr>
        <w:spacing w:line="276" w:lineRule="auto"/>
        <w:jc w:val="both"/>
      </w:pPr>
      <w:r w:rsidRPr="00AB1521">
        <w:t>Ar vispārējās jurisdikcijas tiesas lēmumu krimināllietā apsūdzētajam noteikta papildu stacionārā tiesu psihiatriskā ekspertīze. Ekspertīzes veikšana uzdota VSIA „Rīgas psihiatrijas un narkoloģijas centrs” ekspertiem.</w:t>
      </w:r>
    </w:p>
    <w:p w14:paraId="3249445A" w14:textId="77777777" w:rsidR="000B170A" w:rsidRPr="00AB1521" w:rsidRDefault="000B170A" w:rsidP="000B170A">
      <w:pPr>
        <w:spacing w:line="276" w:lineRule="auto"/>
        <w:jc w:val="both"/>
      </w:pPr>
      <w:r w:rsidRPr="00AB1521">
        <w:t xml:space="preserve">Ārstniecība un tiesu ekspertīze var tikt veikta vienā iestādē, taču tās ir atšķirīgas darbības, kuras regulē dažādi tiesību akti. Ārstniecību regulē Ārstniecības likums, Pacientu tiesību likums un saskaņā ar tiem izdotie normatīvie akti, savukārt ekspertīzes veikšanu – Tiesu ekspertu likums un saskaņā ar to izdotie normatīvie akti. </w:t>
      </w:r>
    </w:p>
    <w:p w14:paraId="3FD0091C" w14:textId="77777777" w:rsidR="000B170A" w:rsidRPr="00AB1521" w:rsidRDefault="000B170A" w:rsidP="000B170A">
      <w:pPr>
        <w:spacing w:line="276" w:lineRule="auto"/>
        <w:jc w:val="both"/>
        <w:rPr>
          <w:b/>
        </w:rPr>
      </w:pPr>
      <w:r w:rsidRPr="00AB1521">
        <w:t xml:space="preserve">Saskaņā ar Ministru kabineta </w:t>
      </w:r>
      <w:proofErr w:type="gramStart"/>
      <w:r w:rsidRPr="00AB1521">
        <w:t>2016.gada</w:t>
      </w:r>
      <w:proofErr w:type="gramEnd"/>
      <w:r w:rsidRPr="00AB1521">
        <w:t xml:space="preserve"> 20.decembra noteikumu Nr. 835 „Noteikumi par tiesu ekspertīžu iestāžu sarakstu un tiesu ekspertu specialitāšu klasifikatoru” 2.6.apakšpunktu un 2.pielikuma 23.punktu VSIA „Rīgas psihiatrijas un narkoloģijas centrs” ir tiesu ekspertīzes iestāde, kuras kompetencē ir personas psihiskā stāvokļa izpēte (tiesu psihiatriskā ekspertīze). Tādējādi, veicot tiesu psihiatrisko ekspertīzi, VSIA „Rīgas psihiatrijas un narkoloģijas centrs” darbojas kā tiesu ekspertīzes iestāde, kuras eksperti veic attiecīgo ekspertīzi. VSIA „Rīgas psihiatrijas un narkoloģijas centrs” uzdevums ir noskaidrot personas psihiskās veselības stāvokli, kas ietver arī ekspertu secinājumus par personai esošajiem veselības traucējumiem (diagnozi). Ekspertīzes veicēju mērķis nav, pamatojoties uz pacienta sūdzībām par veselības traucējumiem un veiktajiem izmeklējumiem, uzstādīt diagnozi un lietot tai atbilstošu ārstēšanas metodi, kā tas ir parastā gadījumā, pacientam saņemot veselības aprūpes pakalpojumus. Veicot tiesu psihiatrisko ekspertīzi, VSIA „Rīgas psihiatrijas un narkoloģijas centrs” pienākums nav nodrošināt, uzturēt un atjaunot personas veselību, un tas nesniedz veselības aprūpes pakalpojumus Ārstniecības likuma izpratnē.</w:t>
      </w:r>
    </w:p>
    <w:p w14:paraId="2AFA5DE6" w14:textId="77777777" w:rsidR="000B170A" w:rsidRPr="00AB1521" w:rsidRDefault="000B170A" w:rsidP="000B170A">
      <w:pPr>
        <w:spacing w:line="276" w:lineRule="auto"/>
      </w:pPr>
    </w:p>
    <w:p w14:paraId="61F11B84" w14:textId="77777777" w:rsidR="000B170A" w:rsidRPr="00AB1521" w:rsidRDefault="000B170A" w:rsidP="000B170A">
      <w:pPr>
        <w:spacing w:line="276" w:lineRule="auto"/>
        <w:jc w:val="both"/>
        <w:rPr>
          <w:b/>
        </w:rPr>
      </w:pPr>
      <w:r w:rsidRPr="00AB1521">
        <w:rPr>
          <w:b/>
        </w:rPr>
        <w:t>Subjektīvās tiesības prasīt atlīdzinājumu no Ārstniecības riska fonda par iespējamu kaitējumu, kas nodarīts ar tiesu psihiatriskās ekspertīzes ietvaros noteiktu diagnozi</w:t>
      </w:r>
    </w:p>
    <w:p w14:paraId="79B9846C" w14:textId="77777777" w:rsidR="000B170A" w:rsidRPr="00AB1521" w:rsidRDefault="000B170A" w:rsidP="000B170A">
      <w:pPr>
        <w:spacing w:line="276" w:lineRule="auto"/>
        <w:jc w:val="both"/>
      </w:pPr>
      <w:r w:rsidRPr="00AB1521">
        <w:t xml:space="preserve">Ārstniecības riska fonds ir veidots kā pacientu tiesību aizsardzības institūts. Ārstniecības riska fondā ar atlīdzības pieteikumu var vērsties persona – pacients, kas ir tiesīgs prasīt atlīdzību no fonda saskaņā ar Pacientu tiesību likuma </w:t>
      </w:r>
      <w:proofErr w:type="gramStart"/>
      <w:r w:rsidRPr="00AB1521">
        <w:t>16.panta</w:t>
      </w:r>
      <w:proofErr w:type="gramEnd"/>
      <w:r w:rsidRPr="00AB1521">
        <w:t xml:space="preserve"> pirmo daļu. Pacientu tiesību likuma </w:t>
      </w:r>
      <w:proofErr w:type="gramStart"/>
      <w:r w:rsidRPr="00AB1521">
        <w:t>16.panta</w:t>
      </w:r>
      <w:proofErr w:type="gramEnd"/>
      <w:r w:rsidRPr="00AB1521">
        <w:t xml:space="preserve"> pirmajā daļā noteikts, ka pacientam ir tiesības uz atlīdzību par viņa dzīvībai vai veselībai nodarīto kaitējumu (arī nemantisko kaitējumu), kuru ar savu darbību vai bezdarbību nodarījušas ārstniecības iestādē strādājošās ārstniecības personas vai ir radījuši apstākļi ārstniecības laikā.</w:t>
      </w:r>
    </w:p>
    <w:p w14:paraId="5D1A0B88" w14:textId="77777777" w:rsidR="000B170A" w:rsidRPr="00AB1521" w:rsidRDefault="000B170A" w:rsidP="000B170A">
      <w:pPr>
        <w:spacing w:line="276" w:lineRule="auto"/>
        <w:jc w:val="both"/>
      </w:pPr>
      <w:r w:rsidRPr="00AB1521">
        <w:t>Veicot tiesu psihiatrisko ekspertīzi, netiek sniegti veselības aprūpes pakalpojumi Ārstniecības likuma izpratnē. Līdz ar to personai nav subjektīvo tiesību prasīt atlīdzinājumu no Ārstniecības riska fonda saistībā ar tiesu psihiatriskajā ekspertīzē noteikto diagnozi.</w:t>
      </w:r>
    </w:p>
    <w:p w14:paraId="4B395A9D" w14:textId="77777777" w:rsidR="000B170A" w:rsidRPr="009336F7" w:rsidRDefault="000B170A" w:rsidP="000B170A">
      <w:pPr>
        <w:pStyle w:val="BodyText2"/>
        <w:spacing w:after="0" w:line="276" w:lineRule="auto"/>
      </w:pPr>
    </w:p>
    <w:p w14:paraId="408C86E5" w14:textId="77777777" w:rsidR="003706A8" w:rsidRDefault="003706A8" w:rsidP="003706A8">
      <w:pPr>
        <w:tabs>
          <w:tab w:val="left" w:pos="1276"/>
        </w:tabs>
        <w:spacing w:line="276" w:lineRule="auto"/>
        <w:jc w:val="center"/>
        <w:rPr>
          <w:rFonts w:eastAsia="Calibri"/>
          <w:b/>
          <w:lang w:eastAsia="en-US"/>
        </w:rPr>
      </w:pPr>
      <w:r w:rsidRPr="001435E0">
        <w:rPr>
          <w:rFonts w:eastAsia="Calibri"/>
          <w:b/>
          <w:lang w:eastAsia="en-US"/>
        </w:rPr>
        <w:t>Latvijas Republikas Sen</w:t>
      </w:r>
      <w:r>
        <w:rPr>
          <w:rFonts w:eastAsia="Calibri"/>
          <w:b/>
          <w:lang w:eastAsia="en-US"/>
        </w:rPr>
        <w:t>ā</w:t>
      </w:r>
      <w:r w:rsidRPr="001435E0">
        <w:rPr>
          <w:rFonts w:eastAsia="Calibri"/>
          <w:b/>
          <w:lang w:eastAsia="en-US"/>
        </w:rPr>
        <w:t>t</w:t>
      </w:r>
      <w:r>
        <w:rPr>
          <w:rFonts w:eastAsia="Calibri"/>
          <w:b/>
          <w:lang w:eastAsia="en-US"/>
        </w:rPr>
        <w:t>a</w:t>
      </w:r>
    </w:p>
    <w:p w14:paraId="6A1FD4D5" w14:textId="77777777" w:rsidR="003706A8" w:rsidRDefault="003706A8" w:rsidP="003706A8">
      <w:pPr>
        <w:tabs>
          <w:tab w:val="left" w:pos="1276"/>
        </w:tabs>
        <w:spacing w:line="276" w:lineRule="auto"/>
        <w:jc w:val="center"/>
        <w:rPr>
          <w:rFonts w:eastAsia="Calibri"/>
          <w:b/>
          <w:lang w:eastAsia="en-US"/>
        </w:rPr>
      </w:pPr>
      <w:r>
        <w:rPr>
          <w:rFonts w:eastAsia="Calibri"/>
          <w:b/>
          <w:lang w:eastAsia="en-US"/>
        </w:rPr>
        <w:t>Administratīvo lietu departamenta</w:t>
      </w:r>
    </w:p>
    <w:p w14:paraId="6234E0D2" w14:textId="77777777" w:rsidR="003706A8" w:rsidRPr="001435E0" w:rsidRDefault="003706A8" w:rsidP="003706A8">
      <w:pPr>
        <w:tabs>
          <w:tab w:val="left" w:pos="1276"/>
        </w:tabs>
        <w:spacing w:line="276" w:lineRule="auto"/>
        <w:jc w:val="center"/>
        <w:rPr>
          <w:rFonts w:eastAsia="Calibri"/>
          <w:b/>
          <w:lang w:eastAsia="en-US"/>
        </w:rPr>
      </w:pPr>
      <w:proofErr w:type="gramStart"/>
      <w:r>
        <w:rPr>
          <w:rFonts w:eastAsia="Calibri"/>
          <w:b/>
          <w:lang w:eastAsia="en-US"/>
        </w:rPr>
        <w:t>2021.gada</w:t>
      </w:r>
      <w:proofErr w:type="gramEnd"/>
      <w:r>
        <w:rPr>
          <w:rFonts w:eastAsia="Calibri"/>
          <w:b/>
          <w:lang w:eastAsia="en-US"/>
        </w:rPr>
        <w:t xml:space="preserve"> [..]</w:t>
      </w:r>
    </w:p>
    <w:p w14:paraId="0F4A847D" w14:textId="29CE443E" w:rsidR="000B170A" w:rsidRPr="000B170A" w:rsidRDefault="000B170A" w:rsidP="003706A8">
      <w:pPr>
        <w:spacing w:line="276" w:lineRule="auto"/>
        <w:jc w:val="center"/>
        <w:rPr>
          <w:b/>
        </w:rPr>
      </w:pPr>
      <w:r w:rsidRPr="000B170A">
        <w:rPr>
          <w:b/>
        </w:rPr>
        <w:t>SPRIEDUMS</w:t>
      </w:r>
      <w:r w:rsidRPr="000B170A">
        <w:rPr>
          <w:rStyle w:val="FootnoteReference"/>
          <w:b/>
        </w:rPr>
        <w:footnoteReference w:id="1"/>
      </w:r>
    </w:p>
    <w:p w14:paraId="38C956AC" w14:textId="342A5CD6" w:rsidR="000B170A" w:rsidRPr="000B170A" w:rsidRDefault="000B170A" w:rsidP="003706A8">
      <w:pPr>
        <w:spacing w:line="276" w:lineRule="auto"/>
        <w:ind w:firstLine="567"/>
        <w:jc w:val="center"/>
        <w:rPr>
          <w:b/>
        </w:rPr>
      </w:pPr>
      <w:r w:rsidRPr="000B170A">
        <w:rPr>
          <w:b/>
        </w:rPr>
        <w:t>Lieta Nr. [..], SKA- [A]/2021</w:t>
      </w:r>
    </w:p>
    <w:p w14:paraId="32102799" w14:textId="40AD254E" w:rsidR="002A791B" w:rsidRPr="00E730D2" w:rsidRDefault="000B170A" w:rsidP="003706A8">
      <w:pPr>
        <w:spacing w:line="276" w:lineRule="auto"/>
        <w:ind w:firstLine="567"/>
        <w:jc w:val="center"/>
      </w:pPr>
      <w:r>
        <w:t>ECLI:AT:2021:[..]</w:t>
      </w:r>
    </w:p>
    <w:p w14:paraId="30CBE7C8" w14:textId="69065129" w:rsidR="002A791B" w:rsidRPr="00E730D2" w:rsidRDefault="002A791B" w:rsidP="00F349AE">
      <w:pPr>
        <w:tabs>
          <w:tab w:val="left" w:pos="5599"/>
        </w:tabs>
        <w:spacing w:line="276" w:lineRule="auto"/>
        <w:ind w:firstLine="567"/>
        <w:jc w:val="both"/>
      </w:pPr>
      <w:r w:rsidRPr="00E730D2">
        <w:t>Tiesa šādā sastāvā: senator</w:t>
      </w:r>
      <w:r w:rsidR="00C3361A">
        <w:t>i</w:t>
      </w:r>
      <w:r w:rsidRPr="00E730D2">
        <w:t xml:space="preserve"> Veronika Krūmiņ</w:t>
      </w:r>
      <w:r w:rsidR="00F349AE" w:rsidRPr="00E730D2">
        <w:t xml:space="preserve">a, </w:t>
      </w:r>
      <w:r w:rsidR="00C3361A" w:rsidRPr="006A0219">
        <w:t>Anita Kovaļevska,</w:t>
      </w:r>
      <w:r w:rsidR="00C3361A">
        <w:t xml:space="preserve"> Valters Poķis</w:t>
      </w:r>
    </w:p>
    <w:p w14:paraId="1987BD46" w14:textId="77777777" w:rsidR="002A791B" w:rsidRPr="00E730D2" w:rsidRDefault="002A791B" w:rsidP="002A791B">
      <w:pPr>
        <w:spacing w:line="276" w:lineRule="auto"/>
        <w:ind w:firstLine="567"/>
        <w:jc w:val="both"/>
      </w:pPr>
    </w:p>
    <w:p w14:paraId="6F955E44" w14:textId="73C4884B" w:rsidR="009229FB" w:rsidRPr="005E1A90" w:rsidRDefault="002A791B" w:rsidP="005E1A90">
      <w:pPr>
        <w:spacing w:line="276" w:lineRule="auto"/>
        <w:ind w:firstLine="567"/>
        <w:jc w:val="both"/>
      </w:pPr>
      <w:r w:rsidRPr="00E730D2">
        <w:lastRenderedPageBreak/>
        <w:t xml:space="preserve">rakstveida procesā </w:t>
      </w:r>
      <w:r w:rsidRPr="005B6E2C">
        <w:t>izskatīja</w:t>
      </w:r>
      <w:r w:rsidRPr="00E730D2">
        <w:t xml:space="preserve"> </w:t>
      </w:r>
      <w:r w:rsidR="000431CA">
        <w:t xml:space="preserve">administratīvo lietu, kas ierosināta, pamatojoties uz </w:t>
      </w:r>
      <w:proofErr w:type="gramStart"/>
      <w:r w:rsidR="000B170A">
        <w:t>[</w:t>
      </w:r>
      <w:proofErr w:type="gramEnd"/>
      <w:r w:rsidR="000B170A">
        <w:t xml:space="preserve">pers. A] </w:t>
      </w:r>
      <w:r w:rsidR="000431CA" w:rsidRPr="000431CA">
        <w:t>pieteikumu par atlīdzības izmaksu no Ārstniecības riska fonda</w:t>
      </w:r>
      <w:r w:rsidR="000431CA">
        <w:t xml:space="preserve">, sakarā ar </w:t>
      </w:r>
      <w:proofErr w:type="gramStart"/>
      <w:r w:rsidR="000B170A">
        <w:t>[</w:t>
      </w:r>
      <w:proofErr w:type="gramEnd"/>
      <w:r w:rsidR="000B170A">
        <w:t xml:space="preserve">pers. A] </w:t>
      </w:r>
      <w:r w:rsidR="00B241E3">
        <w:t>kasācijas sūdzību par Administratīvā</w:t>
      </w:r>
      <w:r w:rsidR="00565D19">
        <w:t>s</w:t>
      </w:r>
      <w:r w:rsidR="00B241E3">
        <w:t xml:space="preserve"> apgabaltiesas </w:t>
      </w:r>
      <w:proofErr w:type="gramStart"/>
      <w:r w:rsidR="00B241E3">
        <w:t>2020.gada</w:t>
      </w:r>
      <w:proofErr w:type="gramEnd"/>
      <w:r w:rsidR="00B241E3">
        <w:t xml:space="preserve"> </w:t>
      </w:r>
      <w:r w:rsidR="000B170A">
        <w:t xml:space="preserve">[..] </w:t>
      </w:r>
      <w:r w:rsidR="00B241E3">
        <w:t>spriedumu</w:t>
      </w:r>
      <w:r w:rsidR="000431CA">
        <w:t>.</w:t>
      </w:r>
    </w:p>
    <w:p w14:paraId="691B54EE" w14:textId="77777777" w:rsidR="00C3361A" w:rsidRDefault="00C3361A" w:rsidP="002A791B">
      <w:pPr>
        <w:spacing w:line="276" w:lineRule="auto"/>
        <w:jc w:val="center"/>
        <w:rPr>
          <w:b/>
        </w:rPr>
      </w:pPr>
    </w:p>
    <w:p w14:paraId="7BA73678" w14:textId="77777777" w:rsidR="002A791B" w:rsidRPr="00E730D2" w:rsidRDefault="002A791B" w:rsidP="002A791B">
      <w:pPr>
        <w:spacing w:line="276" w:lineRule="auto"/>
        <w:jc w:val="center"/>
        <w:rPr>
          <w:b/>
        </w:rPr>
      </w:pPr>
      <w:r w:rsidRPr="00E730D2">
        <w:rPr>
          <w:b/>
        </w:rPr>
        <w:t>Aprakstošā daļa</w:t>
      </w:r>
    </w:p>
    <w:p w14:paraId="58E19646" w14:textId="77777777" w:rsidR="002A791B" w:rsidRPr="00E730D2" w:rsidRDefault="002A791B" w:rsidP="002A791B">
      <w:pPr>
        <w:spacing w:line="276" w:lineRule="auto"/>
        <w:ind w:firstLine="567"/>
        <w:jc w:val="both"/>
      </w:pPr>
    </w:p>
    <w:p w14:paraId="6F7B8396" w14:textId="41FB680C" w:rsidR="000A2C0B" w:rsidRDefault="002A791B" w:rsidP="00B241E3">
      <w:pPr>
        <w:spacing w:line="276" w:lineRule="auto"/>
        <w:ind w:firstLine="567"/>
        <w:jc w:val="both"/>
      </w:pPr>
      <w:r w:rsidRPr="00E730D2">
        <w:t>[1] </w:t>
      </w:r>
      <w:r w:rsidR="00F5091F">
        <w:t>Ar</w:t>
      </w:r>
      <w:r w:rsidR="00B241E3">
        <w:t xml:space="preserve"> </w:t>
      </w:r>
      <w:r w:rsidR="000B170A">
        <w:t xml:space="preserve">[..] </w:t>
      </w:r>
      <w:r w:rsidR="00B241E3">
        <w:t xml:space="preserve">apgabaltiesas Krimināllietu tiesas kolēģijas </w:t>
      </w:r>
      <w:proofErr w:type="gramStart"/>
      <w:r w:rsidR="00F5091F">
        <w:t>2018.gada</w:t>
      </w:r>
      <w:proofErr w:type="gramEnd"/>
      <w:r w:rsidR="00F5091F">
        <w:t xml:space="preserve"> </w:t>
      </w:r>
      <w:r w:rsidR="000B170A">
        <w:t xml:space="preserve">[..] </w:t>
      </w:r>
      <w:r w:rsidR="00F5091F">
        <w:t xml:space="preserve">lēmumu </w:t>
      </w:r>
      <w:r w:rsidR="007378B2" w:rsidRPr="002C6799">
        <w:t>(</w:t>
      </w:r>
      <w:r w:rsidR="002C6799" w:rsidRPr="002C6799">
        <w:rPr>
          <w:i/>
        </w:rPr>
        <w:t>ECLI:LV:RAT:</w:t>
      </w:r>
      <w:r w:rsidR="000B170A">
        <w:rPr>
          <w:i/>
        </w:rPr>
        <w:t>[..]</w:t>
      </w:r>
      <w:r w:rsidR="007378B2">
        <w:t xml:space="preserve">) </w:t>
      </w:r>
      <w:r w:rsidR="00F5091F">
        <w:t>krimināllietā Nr.</w:t>
      </w:r>
      <w:r w:rsidR="006A1313">
        <w:t> </w:t>
      </w:r>
      <w:r w:rsidR="000B170A">
        <w:t xml:space="preserve">[..] </w:t>
      </w:r>
      <w:r w:rsidR="00F5091F">
        <w:t xml:space="preserve">apsūdzētajam </w:t>
      </w:r>
      <w:proofErr w:type="gramStart"/>
      <w:r w:rsidR="000B170A">
        <w:t>[</w:t>
      </w:r>
      <w:proofErr w:type="gramEnd"/>
      <w:r w:rsidR="000B170A">
        <w:t xml:space="preserve">pers. A] </w:t>
      </w:r>
      <w:r w:rsidR="00F5091F">
        <w:t>(šajā lietā – pieteicējs) noteikta papildu stacionārā tiesu psihiatriskā ekspertīze. Ekspertīzes veikšana uzdota VSIA „Rīgas psihiatrijas un narkoloģijas centrs” (turpmāk –</w:t>
      </w:r>
      <w:r w:rsidR="005B6E2C">
        <w:t xml:space="preserve"> C</w:t>
      </w:r>
      <w:r w:rsidR="00F5091F">
        <w:t xml:space="preserve">entrs) ekspertiem. Ekspertīzes veikšanai pieteicējs no </w:t>
      </w:r>
      <w:proofErr w:type="gramStart"/>
      <w:r w:rsidR="00F5091F">
        <w:t>2019.gada</w:t>
      </w:r>
      <w:proofErr w:type="gramEnd"/>
      <w:r w:rsidR="00F5091F">
        <w:t xml:space="preserve"> </w:t>
      </w:r>
      <w:r w:rsidR="000B170A">
        <w:t xml:space="preserve">[..] </w:t>
      </w:r>
      <w:r w:rsidR="00F5091F">
        <w:t xml:space="preserve">līdz </w:t>
      </w:r>
      <w:r w:rsidR="000B170A">
        <w:t xml:space="preserve">[..] </w:t>
      </w:r>
      <w:r w:rsidR="00F5091F">
        <w:t xml:space="preserve">atradās </w:t>
      </w:r>
      <w:r w:rsidR="005B6E2C">
        <w:t>C</w:t>
      </w:r>
      <w:r w:rsidR="00F5091F">
        <w:t xml:space="preserve">entrā. Ekspertīzē secināts, ka pieteicējs neslimo ar psihisku slimību, taču viņam ir psihiski traucējumi – asociāla personība (sk. </w:t>
      </w:r>
      <w:r w:rsidR="000B170A">
        <w:rPr>
          <w:i/>
        </w:rPr>
        <w:t xml:space="preserve">[..] </w:t>
      </w:r>
      <w:r w:rsidR="00387FBC">
        <w:rPr>
          <w:i/>
        </w:rPr>
        <w:t>apgabaltiesas K</w:t>
      </w:r>
      <w:r w:rsidR="003C05E9" w:rsidRPr="0092661E">
        <w:rPr>
          <w:i/>
        </w:rPr>
        <w:t xml:space="preserve">rimināllietu </w:t>
      </w:r>
      <w:r w:rsidR="00387FBC">
        <w:rPr>
          <w:i/>
        </w:rPr>
        <w:t xml:space="preserve">tiesas </w:t>
      </w:r>
      <w:r w:rsidR="003C05E9" w:rsidRPr="0092661E">
        <w:rPr>
          <w:i/>
        </w:rPr>
        <w:t xml:space="preserve">kolēģijas </w:t>
      </w:r>
      <w:proofErr w:type="gramStart"/>
      <w:r w:rsidR="003C05E9" w:rsidRPr="0092661E">
        <w:rPr>
          <w:i/>
        </w:rPr>
        <w:t>2019.gada</w:t>
      </w:r>
      <w:proofErr w:type="gramEnd"/>
      <w:r w:rsidR="003C05E9" w:rsidRPr="0092661E">
        <w:rPr>
          <w:i/>
        </w:rPr>
        <w:t xml:space="preserve"> </w:t>
      </w:r>
      <w:r w:rsidR="000B170A">
        <w:rPr>
          <w:i/>
        </w:rPr>
        <w:t xml:space="preserve">[..] </w:t>
      </w:r>
      <w:r w:rsidR="003C05E9" w:rsidRPr="0092661E">
        <w:rPr>
          <w:i/>
        </w:rPr>
        <w:t>lēmumu minētajā krimināllietā</w:t>
      </w:r>
      <w:r w:rsidR="003C05E9">
        <w:t xml:space="preserve"> </w:t>
      </w:r>
      <w:r w:rsidR="003C05E9" w:rsidRPr="002C6799">
        <w:t>(</w:t>
      </w:r>
      <w:r w:rsidR="002C6799" w:rsidRPr="002C6799">
        <w:rPr>
          <w:i/>
        </w:rPr>
        <w:t>ECLI:LV:RAT:2019:</w:t>
      </w:r>
      <w:r w:rsidR="000B170A">
        <w:rPr>
          <w:i/>
        </w:rPr>
        <w:t>[..]</w:t>
      </w:r>
      <w:r w:rsidR="002C6799">
        <w:rPr>
          <w:i/>
        </w:rPr>
        <w:t>)</w:t>
      </w:r>
      <w:r w:rsidR="003C05E9" w:rsidRPr="002C6799">
        <w:t>)</w:t>
      </w:r>
      <w:r w:rsidR="003C05E9">
        <w:t>.</w:t>
      </w:r>
      <w:r w:rsidR="003C05E9" w:rsidRPr="003C05E9">
        <w:t xml:space="preserve"> </w:t>
      </w:r>
    </w:p>
    <w:p w14:paraId="5B385B9B" w14:textId="77777777" w:rsidR="007378B2" w:rsidRDefault="007378B2" w:rsidP="00B241E3">
      <w:pPr>
        <w:spacing w:line="276" w:lineRule="auto"/>
        <w:ind w:firstLine="567"/>
        <w:jc w:val="both"/>
      </w:pPr>
    </w:p>
    <w:p w14:paraId="1C1F2BD8" w14:textId="26D8A080" w:rsidR="007378B2" w:rsidRDefault="007378B2" w:rsidP="00B241E3">
      <w:pPr>
        <w:spacing w:line="276" w:lineRule="auto"/>
        <w:ind w:firstLine="567"/>
        <w:jc w:val="both"/>
      </w:pPr>
      <w:r>
        <w:t>[2]</w:t>
      </w:r>
      <w:r w:rsidR="006A1313">
        <w:t> </w:t>
      </w:r>
      <w:r w:rsidR="00880A70">
        <w:t>Pieteicējs</w:t>
      </w:r>
      <w:r w:rsidR="00FA5B58">
        <w:t xml:space="preserve"> </w:t>
      </w:r>
      <w:r w:rsidR="00880A70">
        <w:t>vērsās Veselības inspekcijā par atlīdz</w:t>
      </w:r>
      <w:r w:rsidR="005B6E2C">
        <w:t>ības</w:t>
      </w:r>
      <w:r w:rsidR="00880A70">
        <w:t xml:space="preserve"> izmaksu no Ārstniecības riska fonda </w:t>
      </w:r>
      <w:r w:rsidR="005B6E2C">
        <w:t xml:space="preserve">par </w:t>
      </w:r>
      <w:r w:rsidR="00880A70" w:rsidRPr="00FA5B58">
        <w:t>kaitējumu</w:t>
      </w:r>
      <w:r w:rsidR="00C67B37">
        <w:t>, kas</w:t>
      </w:r>
      <w:r w:rsidR="00880A70">
        <w:t xml:space="preserve"> </w:t>
      </w:r>
      <w:r w:rsidR="00C67B37">
        <w:t>pieteicēja</w:t>
      </w:r>
      <w:r w:rsidR="00660E6D">
        <w:t xml:space="preserve">m </w:t>
      </w:r>
      <w:r w:rsidR="00F50C31">
        <w:t xml:space="preserve">esot </w:t>
      </w:r>
      <w:r w:rsidR="00C67B37">
        <w:t>nodarīt</w:t>
      </w:r>
      <w:r w:rsidR="00660E6D">
        <w:t>s</w:t>
      </w:r>
      <w:r w:rsidR="00C67B37">
        <w:t xml:space="preserve"> </w:t>
      </w:r>
      <w:r w:rsidR="00880A70">
        <w:t>ar ekspertīz</w:t>
      </w:r>
      <w:r w:rsidR="00E718B9">
        <w:t>ē</w:t>
      </w:r>
      <w:r w:rsidR="00880A70">
        <w:t xml:space="preserve"> viņam noteikto diagnozi</w:t>
      </w:r>
      <w:r w:rsidR="00C67B37">
        <w:t xml:space="preserve"> (asociāla personība)</w:t>
      </w:r>
      <w:r w:rsidR="00880A70">
        <w:t xml:space="preserve"> </w:t>
      </w:r>
      <w:r w:rsidR="00880A70" w:rsidRPr="00977FBE">
        <w:t>un nepareizu ārstēšanu.</w:t>
      </w:r>
      <w:r w:rsidR="00C26500">
        <w:t xml:space="preserve"> Pieteicējs viņam nodarīto kaitējumu pamato ar to, ka </w:t>
      </w:r>
      <w:r w:rsidR="00C4631A">
        <w:t xml:space="preserve">viņam noteiktā </w:t>
      </w:r>
      <w:r w:rsidR="00C26500">
        <w:t xml:space="preserve">diagnoze </w:t>
      </w:r>
      <w:r w:rsidR="00C26500" w:rsidRPr="00C26500">
        <w:t>neparedz ārstēšanu; citas diagnozes līdz ar to vairs netiek ārstētas; pasliktinājusies psihiskā veselība; uzstādītās diagnozes dēļ esot saņēmis nicinājumu n</w:t>
      </w:r>
      <w:r w:rsidR="00EF61AC">
        <w:t>o ārstiem un citiem apkārtējiem,</w:t>
      </w:r>
      <w:r w:rsidR="00C26500" w:rsidRPr="00C26500">
        <w:t xml:space="preserve"> izjukušas attiecības ar meiteni; viņu neņem darbā; nevar iestāties politiskajā partijā; nevar iziet apsardzes darbinieku kursus; valsts vairs neapmaksā medikamentus; </w:t>
      </w:r>
      <w:r w:rsidR="00C26500" w:rsidRPr="001B52F1">
        <w:t>psihiatri neārstē krievu bāreņus</w:t>
      </w:r>
      <w:r w:rsidR="00C26500" w:rsidRPr="00C26500">
        <w:t>.</w:t>
      </w:r>
    </w:p>
    <w:p w14:paraId="10757068" w14:textId="5B6115DA" w:rsidR="00C67B37" w:rsidRDefault="00C67B37" w:rsidP="00B241E3">
      <w:pPr>
        <w:spacing w:line="276" w:lineRule="auto"/>
        <w:ind w:firstLine="567"/>
        <w:jc w:val="both"/>
      </w:pPr>
      <w:r>
        <w:t xml:space="preserve">Veselības inspekcija ar </w:t>
      </w:r>
      <w:proofErr w:type="gramStart"/>
      <w:r>
        <w:t>2019.gada</w:t>
      </w:r>
      <w:proofErr w:type="gramEnd"/>
      <w:r>
        <w:t xml:space="preserve"> </w:t>
      </w:r>
      <w:r w:rsidR="00350B30">
        <w:t xml:space="preserve">[..] </w:t>
      </w:r>
      <w:r>
        <w:t xml:space="preserve">lēmumu atteica izskatīt pieteicēja atlīdzības iesniegumu, jo </w:t>
      </w:r>
      <w:r w:rsidR="00660E6D">
        <w:t>iesniegumā</w:t>
      </w:r>
      <w:r>
        <w:t xml:space="preserve"> nav norādīts, kādā veidā pieteicēja veselībai </w:t>
      </w:r>
      <w:r w:rsidR="005E54E2">
        <w:t>vai</w:t>
      </w:r>
      <w:r>
        <w:t xml:space="preserve"> dzīvībai nodarīts kaitējums. Veselības ministrija atstāja negrozītu inspekcijas lēmumu, jo secināja, ka arī pēc ministrijas pieprasījuma piet</w:t>
      </w:r>
      <w:r w:rsidR="00595962">
        <w:t>e</w:t>
      </w:r>
      <w:r>
        <w:t xml:space="preserve">icējs nav sniedzis tādu informāciju, kas dotu pamatu uzskatīt, ka, iespējams, pieteicēja dzīvībai vai veselībai nodarīts kaitējums. </w:t>
      </w:r>
      <w:r w:rsidR="005E54E2">
        <w:t>Norādīts, ka t</w:t>
      </w:r>
      <w:r>
        <w:t xml:space="preserve">ikai diagnozes noteikšana nerada kaitējumu. </w:t>
      </w:r>
    </w:p>
    <w:p w14:paraId="5EFEAC68" w14:textId="77777777" w:rsidR="00105D8E" w:rsidRDefault="00105D8E" w:rsidP="00B241E3">
      <w:pPr>
        <w:spacing w:line="276" w:lineRule="auto"/>
        <w:ind w:firstLine="567"/>
        <w:jc w:val="both"/>
      </w:pPr>
    </w:p>
    <w:p w14:paraId="039C99D9" w14:textId="1E609F9B" w:rsidR="008D7E4E" w:rsidRDefault="00105D8E" w:rsidP="00B241E3">
      <w:pPr>
        <w:spacing w:line="276" w:lineRule="auto"/>
        <w:ind w:firstLine="567"/>
        <w:jc w:val="both"/>
      </w:pPr>
      <w:r>
        <w:t>[3]</w:t>
      </w:r>
      <w:r w:rsidR="006A1313">
        <w:t> </w:t>
      </w:r>
      <w:r w:rsidR="008D7E4E">
        <w:t xml:space="preserve">Pieteicējs vērsās </w:t>
      </w:r>
      <w:r w:rsidR="002A2F6B">
        <w:t>a</w:t>
      </w:r>
      <w:r w:rsidR="008D7E4E">
        <w:t>dministratīvajā tiesā.</w:t>
      </w:r>
    </w:p>
    <w:p w14:paraId="6B28EA45" w14:textId="56B10AAE" w:rsidR="00105D8E" w:rsidRDefault="00105D8E" w:rsidP="00B241E3">
      <w:pPr>
        <w:spacing w:line="276" w:lineRule="auto"/>
        <w:ind w:firstLine="567"/>
        <w:jc w:val="both"/>
      </w:pPr>
      <w:r>
        <w:t>Apelācijas instanc</w:t>
      </w:r>
      <w:r w:rsidR="00F50C31">
        <w:t>es tiesā</w:t>
      </w:r>
      <w:r>
        <w:t xml:space="preserve"> pēc būtības izskatot pieteicēja pieteikumu par atlīdzinājuma izmaksu no Ārstniecības riska fonda, Administratīvā apgabaltiesa</w:t>
      </w:r>
      <w:r w:rsidR="005E54E2">
        <w:t xml:space="preserve"> </w:t>
      </w:r>
      <w:r>
        <w:t xml:space="preserve">ar </w:t>
      </w:r>
      <w:proofErr w:type="gramStart"/>
      <w:r>
        <w:t>2020.gada</w:t>
      </w:r>
      <w:proofErr w:type="gramEnd"/>
      <w:r>
        <w:t xml:space="preserve"> </w:t>
      </w:r>
      <w:r w:rsidR="00350B30">
        <w:t xml:space="preserve">[..] </w:t>
      </w:r>
      <w:r>
        <w:t xml:space="preserve">spriedumu </w:t>
      </w:r>
      <w:r w:rsidR="00E718B9">
        <w:t xml:space="preserve">pieteikumu </w:t>
      </w:r>
      <w:r w:rsidR="00295213">
        <w:t>noraidīja</w:t>
      </w:r>
      <w:r w:rsidR="005E54E2">
        <w:t xml:space="preserve">. </w:t>
      </w:r>
      <w:r w:rsidR="002400FA">
        <w:t>Apgabalt</w:t>
      </w:r>
      <w:r w:rsidR="00245ED1">
        <w:t xml:space="preserve">iesa secināja, ka </w:t>
      </w:r>
      <w:r w:rsidR="002400FA">
        <w:t xml:space="preserve">vienīgais mērķis pieteicēja ievietošanai </w:t>
      </w:r>
      <w:r w:rsidR="00F50C31">
        <w:t>C</w:t>
      </w:r>
      <w:r w:rsidR="002400FA">
        <w:t>entrā bija ekspertīzes veikšana, nevis pieteicēja ārstēšana un saistībā ar diagnozes noteikšanu nav konstatējams kaitējums pieteicēja veselībai, kas ir pamata nosacījums atlīdzības pieteikuma izskatīšanai Veselības inspekcijā.</w:t>
      </w:r>
      <w:r w:rsidR="005E54E2" w:rsidRPr="005E54E2">
        <w:t xml:space="preserve"> </w:t>
      </w:r>
    </w:p>
    <w:p w14:paraId="30B6FE78" w14:textId="77777777" w:rsidR="00BD20DF" w:rsidRDefault="00BD20DF" w:rsidP="00B241E3">
      <w:pPr>
        <w:spacing w:line="276" w:lineRule="auto"/>
        <w:ind w:firstLine="567"/>
        <w:jc w:val="both"/>
      </w:pPr>
    </w:p>
    <w:p w14:paraId="774D1583" w14:textId="70E931E3" w:rsidR="00BD20DF" w:rsidRDefault="00BD20DF" w:rsidP="00B241E3">
      <w:pPr>
        <w:spacing w:line="276" w:lineRule="auto"/>
        <w:ind w:firstLine="567"/>
        <w:jc w:val="both"/>
      </w:pPr>
      <w:r>
        <w:t>[4]</w:t>
      </w:r>
      <w:r w:rsidR="006A1313">
        <w:t> </w:t>
      </w:r>
      <w:r>
        <w:t xml:space="preserve">Pieteicējs par apgabaltiesas spriedumu </w:t>
      </w:r>
      <w:r w:rsidR="00E718B9">
        <w:t xml:space="preserve">iesniedza </w:t>
      </w:r>
      <w:r>
        <w:t>kasācijas sūdzību.</w:t>
      </w:r>
    </w:p>
    <w:p w14:paraId="44D977D8" w14:textId="77777777" w:rsidR="00565D19" w:rsidRDefault="00565D19" w:rsidP="00B241E3">
      <w:pPr>
        <w:spacing w:line="276" w:lineRule="auto"/>
        <w:ind w:firstLine="567"/>
        <w:jc w:val="both"/>
      </w:pPr>
    </w:p>
    <w:p w14:paraId="4F5EC723" w14:textId="26EE25B8" w:rsidR="00832B1A" w:rsidRDefault="00565D19" w:rsidP="005862E5">
      <w:pPr>
        <w:spacing w:line="276" w:lineRule="auto"/>
        <w:ind w:firstLine="567"/>
        <w:jc w:val="both"/>
      </w:pPr>
      <w:r>
        <w:t>[5]</w:t>
      </w:r>
      <w:r w:rsidR="006A1313">
        <w:t> </w:t>
      </w:r>
      <w:r w:rsidR="00832B1A">
        <w:t>Procesa dalībnieki a</w:t>
      </w:r>
      <w:r w:rsidR="005862E5">
        <w:t>icināt</w:t>
      </w:r>
      <w:r w:rsidR="00832B1A">
        <w:t>i</w:t>
      </w:r>
      <w:r w:rsidR="005862E5">
        <w:t xml:space="preserve"> sniegt viedokli par pieteicēja subjektīvajām tiesībām prasīt atlīdzību no Ārstniecības riska fonda</w:t>
      </w:r>
      <w:r w:rsidR="004C0C37">
        <w:t>.</w:t>
      </w:r>
    </w:p>
    <w:p w14:paraId="65D76748" w14:textId="2483178A" w:rsidR="00565D19" w:rsidRDefault="005862E5" w:rsidP="005862E5">
      <w:pPr>
        <w:spacing w:line="276" w:lineRule="auto"/>
        <w:ind w:firstLine="567"/>
        <w:jc w:val="both"/>
      </w:pPr>
      <w:r>
        <w:t>Veselības ministrija sniedza viedokli, ka, atrodoties ārstniecības iestādē psihiatriskās ekspertīzes veik</w:t>
      </w:r>
      <w:r w:rsidR="002A26AB">
        <w:t>šanai kriminālprocesa vajadzībām</w:t>
      </w:r>
      <w:r>
        <w:t>, personai var tikt nodrošināta iepriekš ambulatori nozīmētas ārstēšanas turpināšana, taču tā nav saistāma ar ekspertīzes veikšanu. Šādā situācijā personai nav subjektīvo tiesību vērsties Ārstniecības riska fondā.</w:t>
      </w:r>
    </w:p>
    <w:p w14:paraId="1D520147" w14:textId="6F257FB2" w:rsidR="00565D19" w:rsidRDefault="00565D19" w:rsidP="00B241E3">
      <w:pPr>
        <w:spacing w:line="276" w:lineRule="auto"/>
        <w:ind w:firstLine="567"/>
        <w:jc w:val="both"/>
      </w:pPr>
      <w:r>
        <w:lastRenderedPageBreak/>
        <w:t>Veselības inspekcija uzskata, ka</w:t>
      </w:r>
      <w:r w:rsidR="002A26AB">
        <w:t xml:space="preserve"> </w:t>
      </w:r>
      <w:r w:rsidR="00F7489B">
        <w:t xml:space="preserve">ekspertīzes veikšana kriminālprocesa vajadzībām nav atzīstama par ārstniecības procesa sastāvdaļu. </w:t>
      </w:r>
      <w:r w:rsidR="002E2C23">
        <w:t>Lai</w:t>
      </w:r>
      <w:r w:rsidR="00F7489B">
        <w:t xml:space="preserve"> gan ekspertīzes </w:t>
      </w:r>
      <w:r w:rsidR="00E718B9">
        <w:t xml:space="preserve">laikā </w:t>
      </w:r>
      <w:r w:rsidR="00F7489B">
        <w:t>tika veikta pieteicēja slimību diagnostika, tomēr netika veikta to ārstēšana. Atlīdzības pamats ir ar ārstniecību nodarīts kaitējums personas veselībai. Pieteicējam nav subjektīvo tiesību prasīt atlīdzinājumu no fonda</w:t>
      </w:r>
      <w:r w:rsidR="004C0C37">
        <w:t>.</w:t>
      </w:r>
    </w:p>
    <w:p w14:paraId="0F68A83C" w14:textId="10863C97" w:rsidR="00565D19" w:rsidRPr="00E730D2" w:rsidRDefault="00F7489B" w:rsidP="00B241E3">
      <w:pPr>
        <w:spacing w:line="276" w:lineRule="auto"/>
        <w:ind w:firstLine="567"/>
        <w:jc w:val="both"/>
      </w:pPr>
      <w:r>
        <w:t>Ne pieteicējs, ne viņa aizgādnis aicinājumam sniegt viedokli nav atsaukušies.</w:t>
      </w:r>
    </w:p>
    <w:p w14:paraId="707406D4" w14:textId="77777777" w:rsidR="002A791B" w:rsidRPr="00E730D2" w:rsidRDefault="002A791B" w:rsidP="002A791B">
      <w:pPr>
        <w:spacing w:line="276" w:lineRule="auto"/>
        <w:ind w:firstLine="567"/>
        <w:jc w:val="both"/>
      </w:pPr>
    </w:p>
    <w:p w14:paraId="2E36DE3D" w14:textId="77777777" w:rsidR="002A791B" w:rsidRPr="00E730D2" w:rsidRDefault="002A791B" w:rsidP="002A791B">
      <w:pPr>
        <w:spacing w:line="276" w:lineRule="auto"/>
        <w:jc w:val="center"/>
        <w:rPr>
          <w:b/>
        </w:rPr>
      </w:pPr>
      <w:r w:rsidRPr="00E730D2">
        <w:rPr>
          <w:b/>
        </w:rPr>
        <w:t>Motīvu daļa</w:t>
      </w:r>
    </w:p>
    <w:p w14:paraId="09F8A14E" w14:textId="77777777" w:rsidR="002A791B" w:rsidRPr="00E730D2" w:rsidRDefault="002A791B" w:rsidP="002A791B">
      <w:pPr>
        <w:spacing w:line="276" w:lineRule="auto"/>
        <w:ind w:firstLine="567"/>
        <w:jc w:val="both"/>
      </w:pPr>
    </w:p>
    <w:p w14:paraId="47CDD511" w14:textId="2442C4D1" w:rsidR="00691798" w:rsidRDefault="002A791B" w:rsidP="004E0E68">
      <w:pPr>
        <w:spacing w:line="276" w:lineRule="auto"/>
        <w:ind w:firstLine="567"/>
        <w:jc w:val="both"/>
      </w:pPr>
      <w:r w:rsidRPr="00E730D2">
        <w:t>[</w:t>
      </w:r>
      <w:r w:rsidR="00565D19">
        <w:t>6</w:t>
      </w:r>
      <w:r w:rsidRPr="00E730D2">
        <w:t>]</w:t>
      </w:r>
      <w:r w:rsidR="000D5EBE" w:rsidRPr="00E730D2">
        <w:t> </w:t>
      </w:r>
      <w:r w:rsidR="00691798" w:rsidRPr="00691798">
        <w:t>Senāts, izvērtējis pārsūdzēto apgabaltiesas spriedumu, turpmāk norādīto apsvērumu dēļ atzīst, ka</w:t>
      </w:r>
      <w:r w:rsidR="00EF61AC">
        <w:t xml:space="preserve"> </w:t>
      </w:r>
      <w:r w:rsidR="00EF61AC" w:rsidRPr="001D6E94">
        <w:t xml:space="preserve">pieteicēja kasācijas sūdzība nav pamatota un </w:t>
      </w:r>
      <w:r w:rsidR="00691798" w:rsidRPr="001D6E94">
        <w:t xml:space="preserve">spriedums ir </w:t>
      </w:r>
      <w:r w:rsidR="00EF61AC" w:rsidRPr="001D6E94">
        <w:t>atstājams spēkā.</w:t>
      </w:r>
    </w:p>
    <w:p w14:paraId="79FD1DC1" w14:textId="77777777" w:rsidR="00691798" w:rsidRDefault="00691798" w:rsidP="004E0E68">
      <w:pPr>
        <w:spacing w:line="276" w:lineRule="auto"/>
        <w:ind w:firstLine="567"/>
        <w:jc w:val="both"/>
      </w:pPr>
    </w:p>
    <w:p w14:paraId="06D715B5" w14:textId="08B91E38" w:rsidR="00C47391" w:rsidRDefault="00C47391" w:rsidP="00C47391">
      <w:pPr>
        <w:spacing w:line="276" w:lineRule="auto"/>
        <w:ind w:firstLine="567"/>
        <w:jc w:val="both"/>
      </w:pPr>
      <w:r>
        <w:t>[7] S</w:t>
      </w:r>
      <w:r w:rsidRPr="00124FFF">
        <w:t xml:space="preserve">trīdus periodā </w:t>
      </w:r>
      <w:r>
        <w:t xml:space="preserve">pieteicējs uzturējās Centrā, lai viņam tiktu veikta ekspertīze. Iemesls ekspertīzes veikšanai bija nepieciešamība </w:t>
      </w:r>
      <w:r w:rsidRPr="00124FFF">
        <w:t>kriminālprocesa vajadzībām</w:t>
      </w:r>
      <w:r>
        <w:t xml:space="preserve"> noskaidrot pieteicēja aktuālo psihiskās veselības stāvokli (</w:t>
      </w:r>
      <w:r w:rsidRPr="00FE39E8">
        <w:rPr>
          <w:i/>
        </w:rPr>
        <w:t xml:space="preserve">jau minētais </w:t>
      </w:r>
      <w:r w:rsidR="00350B30">
        <w:rPr>
          <w:i/>
        </w:rPr>
        <w:t xml:space="preserve">[..] </w:t>
      </w:r>
      <w:r w:rsidRPr="00FE39E8">
        <w:rPr>
          <w:i/>
        </w:rPr>
        <w:t xml:space="preserve">apgabaltiesas Krimināllietu tiesas kolēģijas </w:t>
      </w:r>
      <w:proofErr w:type="gramStart"/>
      <w:r w:rsidRPr="00FE39E8">
        <w:rPr>
          <w:i/>
        </w:rPr>
        <w:t>2018.gada</w:t>
      </w:r>
      <w:proofErr w:type="gramEnd"/>
      <w:r w:rsidRPr="00FE39E8">
        <w:rPr>
          <w:i/>
        </w:rPr>
        <w:t xml:space="preserve"> </w:t>
      </w:r>
      <w:r w:rsidR="00350B30">
        <w:rPr>
          <w:i/>
        </w:rPr>
        <w:t xml:space="preserve">[..] </w:t>
      </w:r>
      <w:r w:rsidRPr="00FE39E8">
        <w:rPr>
          <w:i/>
        </w:rPr>
        <w:t>lēmums</w:t>
      </w:r>
      <w:r>
        <w:t>).</w:t>
      </w:r>
    </w:p>
    <w:p w14:paraId="0A3F40D5" w14:textId="6AC697CA" w:rsidR="00C47391" w:rsidRDefault="00C47391" w:rsidP="00C47391">
      <w:pPr>
        <w:spacing w:line="276" w:lineRule="auto"/>
        <w:ind w:firstLine="567"/>
        <w:jc w:val="both"/>
      </w:pPr>
      <w:r>
        <w:t xml:space="preserve">Tiesu ekspertu profesionālo darbību regulē Tiesu ekspertu likums. Atbilstoši šā likuma </w:t>
      </w:r>
      <w:proofErr w:type="gramStart"/>
      <w:r>
        <w:t>11.panta</w:t>
      </w:r>
      <w:proofErr w:type="gramEnd"/>
      <w:r>
        <w:t xml:space="preserve"> otrajai daļai tiesu ekspertīžu iestāžu sarakstu un katras iestādes tiesu ekspertu specialitātes apstiprina Ministru kabinets. Centrs saskaņā ar Ministru kabineta </w:t>
      </w:r>
      <w:proofErr w:type="gramStart"/>
      <w:r>
        <w:t>2016.ga</w:t>
      </w:r>
      <w:r w:rsidR="00522CD9">
        <w:t>da</w:t>
      </w:r>
      <w:proofErr w:type="gramEnd"/>
      <w:r w:rsidR="00522CD9">
        <w:t xml:space="preserve"> 20.decembra noteikumu Nr. 835 „Noteikumi par tiesu ekspertīžu iestāžu sarakstu un tiesu ekspertu specialitāšu klasifikatoru”</w:t>
      </w:r>
      <w:r>
        <w:t xml:space="preserve"> 2.6.apakšpunktu ir tiesu ekspertīzes iestāde. Savukārt saskaņā ar šo noteikumu 2.pielikuma 23.punktu Centra kompetencē ir personas psihiskā stāvokļa izpēte (tiesu psihiatriskā ekspertīze). </w:t>
      </w:r>
      <w:proofErr w:type="gramStart"/>
      <w:r w:rsidR="00EB26A4">
        <w:t>Tādējādi</w:t>
      </w:r>
      <w:r w:rsidR="00542B71">
        <w:t>,</w:t>
      </w:r>
      <w:proofErr w:type="gramEnd"/>
      <w:r>
        <w:t xml:space="preserve"> veicot tiesu psihiatrisko ekspertīzi, Centrs darbojas kā tiesu ekspertīzes iestāde, kuras eksperti veic attiecīgo ekspertīzi. </w:t>
      </w:r>
      <w:r w:rsidR="009F60C0">
        <w:t>Tiesu ekspertu darbību</w:t>
      </w:r>
      <w:r w:rsidR="00542B71">
        <w:t xml:space="preserve"> uzrauga un kontrolē Tiesu ekspe</w:t>
      </w:r>
      <w:r w:rsidR="009F60C0">
        <w:t>rtu padome (</w:t>
      </w:r>
      <w:r w:rsidR="009F60C0" w:rsidRPr="001B52F1">
        <w:rPr>
          <w:i/>
          <w:iCs/>
        </w:rPr>
        <w:t xml:space="preserve">Tiesu ekspertu likuma </w:t>
      </w:r>
      <w:proofErr w:type="gramStart"/>
      <w:r w:rsidR="009F60C0" w:rsidRPr="001B52F1">
        <w:rPr>
          <w:i/>
          <w:iCs/>
        </w:rPr>
        <w:t>18.panta</w:t>
      </w:r>
      <w:proofErr w:type="gramEnd"/>
      <w:r w:rsidR="009F60C0" w:rsidRPr="001B52F1">
        <w:rPr>
          <w:i/>
          <w:iCs/>
        </w:rPr>
        <w:t xml:space="preserve"> pirmās daļas 4.punkts</w:t>
      </w:r>
      <w:r w:rsidR="009F60C0">
        <w:t>). Uzraudzības un kontroles funkcijas nodrošināšanai Tiesu ekspertu padome pieprasa tiesu eksperta atzinuma kopiju (</w:t>
      </w:r>
      <w:r w:rsidR="009F60C0" w:rsidRPr="001B52F1">
        <w:rPr>
          <w:i/>
          <w:iCs/>
        </w:rPr>
        <w:t>6.punkts</w:t>
      </w:r>
      <w:r w:rsidR="009F60C0">
        <w:t>), kā arī izskata iesniegumus un sūdzības par tiesu ekspertu darbību (</w:t>
      </w:r>
      <w:r w:rsidR="009F60C0" w:rsidRPr="001B52F1">
        <w:rPr>
          <w:i/>
          <w:iCs/>
        </w:rPr>
        <w:t>9.punkts</w:t>
      </w:r>
      <w:r w:rsidR="009F60C0">
        <w:t xml:space="preserve">). </w:t>
      </w:r>
      <w:r>
        <w:t>Tiesu ekspertu padomes lēmumus var apstrīdēt Tieslietu ministrijā un pārsūdzēt Administratīvā procesa likumā noteiktajā kārtībā</w:t>
      </w:r>
      <w:r w:rsidR="009F60C0">
        <w:t xml:space="preserve"> (</w:t>
      </w:r>
      <w:proofErr w:type="gramStart"/>
      <w:r w:rsidR="009F60C0" w:rsidRPr="001B52F1">
        <w:rPr>
          <w:i/>
          <w:iCs/>
        </w:rPr>
        <w:t>18.panta</w:t>
      </w:r>
      <w:proofErr w:type="gramEnd"/>
      <w:r w:rsidR="009F60C0" w:rsidRPr="001B52F1">
        <w:rPr>
          <w:i/>
          <w:iCs/>
        </w:rPr>
        <w:t xml:space="preserve"> otrā daļa</w:t>
      </w:r>
      <w:r w:rsidR="009F60C0">
        <w:t>)</w:t>
      </w:r>
      <w:r>
        <w:t>.</w:t>
      </w:r>
      <w:r w:rsidR="0058363B">
        <w:t xml:space="preserve"> </w:t>
      </w:r>
    </w:p>
    <w:p w14:paraId="15A6C16B" w14:textId="77777777" w:rsidR="00C47391" w:rsidRDefault="00C47391" w:rsidP="004E0E68">
      <w:pPr>
        <w:spacing w:line="276" w:lineRule="auto"/>
        <w:ind w:firstLine="567"/>
        <w:jc w:val="both"/>
      </w:pPr>
    </w:p>
    <w:p w14:paraId="666D1613" w14:textId="6422B7B5" w:rsidR="002344C9" w:rsidRDefault="00BD4EFA" w:rsidP="00D45068">
      <w:pPr>
        <w:spacing w:line="276" w:lineRule="auto"/>
        <w:ind w:firstLine="567"/>
        <w:jc w:val="both"/>
      </w:pPr>
      <w:r>
        <w:t>[8] </w:t>
      </w:r>
      <w:r w:rsidR="006B751A">
        <w:t>Ārstniecības riska fond</w:t>
      </w:r>
      <w:r w:rsidR="00BC4B58">
        <w:t xml:space="preserve">s ir veidots kā </w:t>
      </w:r>
      <w:r w:rsidR="00BC4B58" w:rsidRPr="00BC4B58">
        <w:t>pacientu tiesību aizsardzības institūts</w:t>
      </w:r>
      <w:r w:rsidR="00617172">
        <w:t xml:space="preserve"> </w:t>
      </w:r>
      <w:r w:rsidR="00BC4B58" w:rsidRPr="00F07038">
        <w:t>(</w:t>
      </w:r>
      <w:r w:rsidR="002C6799" w:rsidRPr="00F07038">
        <w:rPr>
          <w:i/>
        </w:rPr>
        <w:t>Ministru kabineta noteikumu „Ārstniecības riska fonda darbības not</w:t>
      </w:r>
      <w:r w:rsidR="00542B71">
        <w:rPr>
          <w:i/>
        </w:rPr>
        <w:t>eikumi” projekta sākotnējās (</w:t>
      </w:r>
      <w:proofErr w:type="spellStart"/>
      <w:r w:rsidR="00542B71">
        <w:rPr>
          <w:i/>
        </w:rPr>
        <w:t>ex</w:t>
      </w:r>
      <w:proofErr w:type="spellEnd"/>
      <w:r w:rsidR="00542B71">
        <w:rPr>
          <w:i/>
        </w:rPr>
        <w:noBreakHyphen/>
      </w:r>
      <w:proofErr w:type="spellStart"/>
      <w:r w:rsidR="002C6799" w:rsidRPr="00F07038">
        <w:rPr>
          <w:i/>
        </w:rPr>
        <w:t>ante</w:t>
      </w:r>
      <w:proofErr w:type="spellEnd"/>
      <w:r w:rsidR="002C6799" w:rsidRPr="00F07038">
        <w:rPr>
          <w:i/>
        </w:rPr>
        <w:t>) ietekmes novērtējuma ziņojums</w:t>
      </w:r>
      <w:r w:rsidR="00BC4B58" w:rsidRPr="00F07038">
        <w:rPr>
          <w:i/>
        </w:rPr>
        <w:t xml:space="preserve"> </w:t>
      </w:r>
      <w:r w:rsidR="009768C2" w:rsidRPr="00F07038">
        <w:rPr>
          <w:i/>
        </w:rPr>
        <w:t>(anotācija)</w:t>
      </w:r>
      <w:r w:rsidR="009768C2">
        <w:t>).</w:t>
      </w:r>
      <w:r w:rsidR="00542B71">
        <w:t xml:space="preserve"> </w:t>
      </w:r>
      <w:r w:rsidR="006B751A">
        <w:t>Ārstniecības risk</w:t>
      </w:r>
      <w:r w:rsidR="00617172">
        <w:t>a</w:t>
      </w:r>
      <w:r w:rsidR="006B751A">
        <w:t xml:space="preserve"> fondā ar atlīdzības pieteikumu </w:t>
      </w:r>
      <w:r w:rsidR="004160FD">
        <w:t>var vērsties persona – p</w:t>
      </w:r>
      <w:r w:rsidR="006B751A" w:rsidRPr="006B751A">
        <w:t xml:space="preserve">acients, kas </w:t>
      </w:r>
      <w:r w:rsidR="004160FD" w:rsidRPr="004160FD">
        <w:t xml:space="preserve">ir tiesīgs prasīt atlīdzību no fonda </w:t>
      </w:r>
      <w:r w:rsidR="006B751A" w:rsidRPr="006B751A">
        <w:t>saskaņā ar Pacientu tiesību likuma 16.panta pirmo daļu</w:t>
      </w:r>
      <w:r w:rsidR="004160FD">
        <w:t xml:space="preserve"> (</w:t>
      </w:r>
      <w:r w:rsidR="00247B2E" w:rsidRPr="00F07038">
        <w:rPr>
          <w:i/>
        </w:rPr>
        <w:t xml:space="preserve">Ministru kabineta 2013.gada 5.novembra </w:t>
      </w:r>
      <w:r w:rsidR="004160FD" w:rsidRPr="00F07038">
        <w:rPr>
          <w:i/>
        </w:rPr>
        <w:t xml:space="preserve">noteikumu </w:t>
      </w:r>
      <w:r w:rsidR="00247B2E" w:rsidRPr="00F07038">
        <w:rPr>
          <w:i/>
        </w:rPr>
        <w:t>Nr.</w:t>
      </w:r>
      <w:r w:rsidR="006A1313">
        <w:rPr>
          <w:i/>
        </w:rPr>
        <w:t> </w:t>
      </w:r>
      <w:r w:rsidR="00247B2E" w:rsidRPr="00F07038">
        <w:rPr>
          <w:i/>
        </w:rPr>
        <w:t xml:space="preserve">1268 „Ārstniecības riska fonda darbības noteikumi” (turpmāk – </w:t>
      </w:r>
      <w:r w:rsidR="00BB3AFB" w:rsidRPr="00F07038">
        <w:rPr>
          <w:i/>
        </w:rPr>
        <w:t>Ārstniecības riska fonda</w:t>
      </w:r>
      <w:r w:rsidR="00247B2E" w:rsidRPr="00F07038">
        <w:rPr>
          <w:i/>
        </w:rPr>
        <w:t xml:space="preserve"> noteikumi) </w:t>
      </w:r>
      <w:r w:rsidR="004160FD" w:rsidRPr="00F07038">
        <w:rPr>
          <w:i/>
        </w:rPr>
        <w:t>3.punkts</w:t>
      </w:r>
      <w:r w:rsidR="004160FD">
        <w:t>).</w:t>
      </w:r>
      <w:r w:rsidR="00EF4C03">
        <w:t xml:space="preserve"> </w:t>
      </w:r>
      <w:r w:rsidR="006B751A">
        <w:t>Pacientu tiesību likuma 16.panta pirm</w:t>
      </w:r>
      <w:r w:rsidR="00595962">
        <w:t>aj</w:t>
      </w:r>
      <w:r w:rsidR="006B751A">
        <w:t>ā daļā notei</w:t>
      </w:r>
      <w:r w:rsidR="00973CD8">
        <w:t>kts</w:t>
      </w:r>
      <w:r w:rsidR="006B751A">
        <w:t>, ka p</w:t>
      </w:r>
      <w:r w:rsidR="006B751A" w:rsidRPr="006B751A">
        <w:t xml:space="preserve">acientam ir tiesības uz atlīdzību par viņa dzīvībai vai veselībai nodarīto kaitējumu (arī </w:t>
      </w:r>
      <w:r w:rsidR="004B7111">
        <w:t>nemantisko</w:t>
      </w:r>
      <w:r w:rsidR="006B751A" w:rsidRPr="006B751A">
        <w:t xml:space="preserve"> kaitējumu), kuru ar savu darbību vai bezdarbību nodarījušas ārstniecības iestādē strādājošās ārstniecības personas vai </w:t>
      </w:r>
      <w:r w:rsidR="004B7111">
        <w:t xml:space="preserve">ir </w:t>
      </w:r>
      <w:r w:rsidR="006B751A" w:rsidRPr="006B751A">
        <w:t>radījuši apstākļi ārstniecības laikā</w:t>
      </w:r>
      <w:r w:rsidR="00F07038">
        <w:t xml:space="preserve">. </w:t>
      </w:r>
    </w:p>
    <w:p w14:paraId="71BD70E8" w14:textId="24024CC8" w:rsidR="00124FFF" w:rsidRDefault="00124FFF" w:rsidP="00BB3AFB">
      <w:pPr>
        <w:spacing w:line="276" w:lineRule="auto"/>
        <w:ind w:firstLine="567"/>
        <w:jc w:val="both"/>
      </w:pPr>
    </w:p>
    <w:p w14:paraId="19E6E807" w14:textId="37F05F61" w:rsidR="000A6B74" w:rsidRDefault="00A029EE" w:rsidP="00BB3AFB">
      <w:pPr>
        <w:spacing w:line="276" w:lineRule="auto"/>
        <w:ind w:firstLine="567"/>
        <w:jc w:val="both"/>
      </w:pPr>
      <w:r>
        <w:t xml:space="preserve">[9] Lai gan ārstniecība un tiesu ekspertīze var tikt veikta vienā iestādē, </w:t>
      </w:r>
      <w:r w:rsidR="000A6B74">
        <w:t xml:space="preserve">kā izriet </w:t>
      </w:r>
      <w:r w:rsidR="00522CD9">
        <w:t xml:space="preserve">no šā sprieduma 7. un 8.punkta, </w:t>
      </w:r>
      <w:r>
        <w:t xml:space="preserve">tās ir atšķirīgas darbības, kuras regulē </w:t>
      </w:r>
      <w:r w:rsidR="000A6B74">
        <w:t xml:space="preserve">dažādi tiesību akti. Ārstniecību regulē Ārstniecības likums, Pacientu </w:t>
      </w:r>
      <w:r w:rsidR="00522CD9">
        <w:t>tiesību</w:t>
      </w:r>
      <w:r w:rsidR="000A6B74">
        <w:t xml:space="preserve"> likums un saskaņā ar tiem izdotie normatīvie akti, savukārt ekspertīzes veikšanu – Tiesu ekspertu likums un saskaņā ar to izdotie normatīvie akti.</w:t>
      </w:r>
      <w:r w:rsidR="00EF4C03">
        <w:t xml:space="preserve"> </w:t>
      </w:r>
    </w:p>
    <w:p w14:paraId="0D29ABD9" w14:textId="5FBA0336" w:rsidR="00111594" w:rsidRDefault="00861F52" w:rsidP="00F578A3">
      <w:pPr>
        <w:spacing w:line="276" w:lineRule="auto"/>
        <w:ind w:firstLine="567"/>
        <w:jc w:val="both"/>
      </w:pPr>
      <w:r>
        <w:lastRenderedPageBreak/>
        <w:t>Senatoru kolēģija konstatē,</w:t>
      </w:r>
      <w:r w:rsidR="00124FFF">
        <w:t xml:space="preserve"> </w:t>
      </w:r>
      <w:r>
        <w:t>k</w:t>
      </w:r>
      <w:r w:rsidR="00124FFF">
        <w:t>a</w:t>
      </w:r>
      <w:r w:rsidR="00B10A33">
        <w:t xml:space="preserve"> pieteicēja</w:t>
      </w:r>
      <w:r w:rsidR="00AB074F">
        <w:t>m</w:t>
      </w:r>
      <w:r w:rsidR="00B10A33">
        <w:t xml:space="preserve"> </w:t>
      </w:r>
      <w:r w:rsidR="00DA31BC">
        <w:t xml:space="preserve">Centrā </w:t>
      </w:r>
      <w:r>
        <w:t>n</w:t>
      </w:r>
      <w:r w:rsidR="007845A5">
        <w:t xml:space="preserve">etika sniegti veselības aprūpes </w:t>
      </w:r>
      <w:r>
        <w:t xml:space="preserve">pakalpojumi </w:t>
      </w:r>
      <w:r w:rsidR="00913339">
        <w:t>Ā</w:t>
      </w:r>
      <w:r>
        <w:t xml:space="preserve">rstniecības likuma izpratnē, tas ir, </w:t>
      </w:r>
      <w:r w:rsidR="007845A5">
        <w:t>C</w:t>
      </w:r>
      <w:r>
        <w:t>entra pienākums nebija nodrošināt</w:t>
      </w:r>
      <w:r w:rsidR="00AE0F79">
        <w:t>, uzturēt un atjaunot pieteicēja veselību</w:t>
      </w:r>
      <w:r w:rsidR="00D61F41">
        <w:t>. Tā uzdevums bija</w:t>
      </w:r>
      <w:r>
        <w:t xml:space="preserve"> noskaidrot </w:t>
      </w:r>
      <w:r w:rsidR="00D61F41">
        <w:t>pieteicēja</w:t>
      </w:r>
      <w:r>
        <w:t xml:space="preserve"> psihiskās veselības stāvokli</w:t>
      </w:r>
      <w:r w:rsidR="00B10A33">
        <w:t xml:space="preserve">, kas ietver arī ekspertu secinājumus par pieteicējam </w:t>
      </w:r>
      <w:r w:rsidR="00F9623A">
        <w:t>esošajiem</w:t>
      </w:r>
      <w:r w:rsidR="00B10A33">
        <w:t xml:space="preserve"> veselības traucējumiem (diagnozi)</w:t>
      </w:r>
      <w:r>
        <w:t xml:space="preserve">. </w:t>
      </w:r>
      <w:r w:rsidR="00AE0F79">
        <w:t>Ekspertīzes veicēju</w:t>
      </w:r>
      <w:r w:rsidR="00734414">
        <w:t xml:space="preserve"> mērķis nebija, pamatojoties uz pacienta sūdzībām par veselības traucējumiem un veiktajiem izmeklējumiem, uzstādīt diagnozi un </w:t>
      </w:r>
      <w:r w:rsidR="00AE0F79">
        <w:t>lietot</w:t>
      </w:r>
      <w:r w:rsidR="00734414">
        <w:t xml:space="preserve"> tai atbilstošu ārstēšanas metodi, kā tas ir parastā gadījumā</w:t>
      </w:r>
      <w:r w:rsidR="00AE0F79">
        <w:t>, pacientam saņemot veselības aprūpes pakalpojumus</w:t>
      </w:r>
      <w:r w:rsidR="00734414">
        <w:t xml:space="preserve">. </w:t>
      </w:r>
      <w:r>
        <w:t>Pieteicējam arī netika piemērota ārstēšana</w:t>
      </w:r>
      <w:r w:rsidR="00913339">
        <w:t xml:space="preserve"> sakarā ar kādiem veselības traucējumiem</w:t>
      </w:r>
      <w:r>
        <w:t xml:space="preserve">. </w:t>
      </w:r>
    </w:p>
    <w:p w14:paraId="2BF58518" w14:textId="13AA125A" w:rsidR="004B3B56" w:rsidRDefault="00111594" w:rsidP="004B3B56">
      <w:pPr>
        <w:spacing w:line="276" w:lineRule="auto"/>
        <w:ind w:firstLine="567"/>
        <w:jc w:val="both"/>
      </w:pPr>
      <w:r>
        <w:t>Minētos secinājumus</w:t>
      </w:r>
      <w:r w:rsidR="00861F52">
        <w:t xml:space="preserve"> apliecina </w:t>
      </w:r>
      <w:r w:rsidR="0087560C">
        <w:t xml:space="preserve">gan </w:t>
      </w:r>
      <w:r>
        <w:t xml:space="preserve">ekspertīzes </w:t>
      </w:r>
      <w:r w:rsidR="00FF37C9">
        <w:t>mērķis – noskaidrot pieteicēja psihiskās veselības stāvokli, uzdodot ekspertiem konkrētus jautājumus</w:t>
      </w:r>
      <w:r w:rsidR="00505B21">
        <w:t xml:space="preserve"> –</w:t>
      </w:r>
      <w:r w:rsidR="00FF37C9">
        <w:t>,</w:t>
      </w:r>
      <w:r>
        <w:t xml:space="preserve"> </w:t>
      </w:r>
      <w:r w:rsidR="0087560C">
        <w:t>gan</w:t>
      </w:r>
      <w:r>
        <w:t xml:space="preserve"> </w:t>
      </w:r>
      <w:r w:rsidR="00861F52">
        <w:t xml:space="preserve">arī </w:t>
      </w:r>
      <w:r w:rsidR="007845A5">
        <w:t>C</w:t>
      </w:r>
      <w:r w:rsidR="00861F52">
        <w:t>entra apgabaltiesai sniegtā atbilde (</w:t>
      </w:r>
      <w:r w:rsidR="00861F52" w:rsidRPr="00861F52">
        <w:rPr>
          <w:i/>
        </w:rPr>
        <w:t xml:space="preserve">lietas </w:t>
      </w:r>
      <w:proofErr w:type="gramStart"/>
      <w:r w:rsidR="00861F52" w:rsidRPr="00861F52">
        <w:rPr>
          <w:i/>
        </w:rPr>
        <w:t>169.lapa</w:t>
      </w:r>
      <w:proofErr w:type="gramEnd"/>
      <w:r w:rsidR="00861F52">
        <w:t>), ka ekspertīzes laikā pieteicējs saņēma medikamentus vispārējai stāvokļa stabilizācijai – simptomātisku miega traucējumu un garastāvokļa svārstību mazināšanai</w:t>
      </w:r>
      <w:r w:rsidR="00AB074F">
        <w:t xml:space="preserve"> –</w:t>
      </w:r>
      <w:r w:rsidR="00861F52">
        <w:t>, ko viņam jau iepriekš regulāri izrakstījis psihiatrs ambulatori.</w:t>
      </w:r>
      <w:r w:rsidR="004B3B56">
        <w:t xml:space="preserve"> </w:t>
      </w:r>
    </w:p>
    <w:p w14:paraId="67D52641" w14:textId="39241BB2" w:rsidR="00A93306" w:rsidRDefault="00B709F2" w:rsidP="00A93306">
      <w:pPr>
        <w:spacing w:line="276" w:lineRule="auto"/>
        <w:ind w:firstLine="567"/>
        <w:jc w:val="both"/>
      </w:pPr>
      <w:r>
        <w:t xml:space="preserve">Tātad </w:t>
      </w:r>
      <w:r w:rsidR="00505B21">
        <w:t xml:space="preserve">laikā </w:t>
      </w:r>
      <w:r>
        <w:t xml:space="preserve">no </w:t>
      </w:r>
      <w:proofErr w:type="gramStart"/>
      <w:r>
        <w:t>2019.gada</w:t>
      </w:r>
      <w:proofErr w:type="gramEnd"/>
      <w:r>
        <w:t xml:space="preserve"> </w:t>
      </w:r>
      <w:r w:rsidR="00927F87">
        <w:t xml:space="preserve">[..] </w:t>
      </w:r>
      <w:r>
        <w:t xml:space="preserve">līdz </w:t>
      </w:r>
      <w:r w:rsidR="00927F87">
        <w:t xml:space="preserve">[..] </w:t>
      </w:r>
      <w:r>
        <w:t xml:space="preserve">pieteicējam </w:t>
      </w:r>
      <w:r w:rsidR="007845A5">
        <w:t>C</w:t>
      </w:r>
      <w:r w:rsidRPr="00B709F2">
        <w:t>entrā</w:t>
      </w:r>
      <w:r>
        <w:t xml:space="preserve"> netika veikta ārstēšana. Secīgi </w:t>
      </w:r>
      <w:r w:rsidR="00600C64">
        <w:t>pieteicējam nav tiesību prasīt atlīdzinājumu no Ārstniecības riska fonda.</w:t>
      </w:r>
      <w:r w:rsidR="00A93306">
        <w:t xml:space="preserve"> </w:t>
      </w:r>
    </w:p>
    <w:p w14:paraId="6276FCB3" w14:textId="77777777" w:rsidR="004B3B56" w:rsidRDefault="004B3B56" w:rsidP="004B3B56">
      <w:pPr>
        <w:spacing w:line="276" w:lineRule="auto"/>
        <w:ind w:firstLine="567"/>
        <w:jc w:val="both"/>
      </w:pPr>
    </w:p>
    <w:p w14:paraId="2AC9A9E2" w14:textId="4B219B61" w:rsidR="003C0E1F" w:rsidRPr="001D6E94" w:rsidRDefault="00A93306" w:rsidP="00AB074F">
      <w:pPr>
        <w:spacing w:line="276" w:lineRule="auto"/>
        <w:ind w:firstLine="567"/>
        <w:jc w:val="both"/>
      </w:pPr>
      <w:r w:rsidRPr="001D6E94">
        <w:t>[</w:t>
      </w:r>
      <w:r w:rsidR="00691798" w:rsidRPr="001D6E94">
        <w:t>1</w:t>
      </w:r>
      <w:r w:rsidR="00AB074F" w:rsidRPr="001D6E94">
        <w:t>0</w:t>
      </w:r>
      <w:r w:rsidRPr="001D6E94">
        <w:t>]</w:t>
      </w:r>
      <w:r w:rsidR="001B52F1">
        <w:t> </w:t>
      </w:r>
      <w:r w:rsidRPr="001D6E94">
        <w:t xml:space="preserve">Iepriekš minētie apsvērumi ir pamats </w:t>
      </w:r>
      <w:r w:rsidR="00AC41FA" w:rsidRPr="001D6E94">
        <w:t xml:space="preserve">secināt, ka </w:t>
      </w:r>
      <w:r w:rsidR="00B93E67" w:rsidRPr="001D6E94">
        <w:t>izskatāmā gadījuma apstākļos pieteicējam nav</w:t>
      </w:r>
      <w:r w:rsidR="00BA165E" w:rsidRPr="001D6E94">
        <w:t xml:space="preserve"> subjektīvo</w:t>
      </w:r>
      <w:r w:rsidR="00B93E67" w:rsidRPr="001D6E94">
        <w:t xml:space="preserve"> tiesību prasīt atlīdzinājumu no Ārstniecības riska fonda.</w:t>
      </w:r>
      <w:r w:rsidR="00AB074F" w:rsidRPr="001D6E94">
        <w:t xml:space="preserve"> </w:t>
      </w:r>
    </w:p>
    <w:p w14:paraId="0B281147" w14:textId="4CF5EAAF" w:rsidR="00B93E67" w:rsidRDefault="003C0E1F" w:rsidP="00AB074F">
      <w:pPr>
        <w:spacing w:line="276" w:lineRule="auto"/>
        <w:ind w:firstLine="567"/>
        <w:jc w:val="both"/>
      </w:pPr>
      <w:r w:rsidRPr="001D6E94">
        <w:t>J</w:t>
      </w:r>
      <w:r w:rsidR="00F03A3C" w:rsidRPr="001D6E94">
        <w:t>autājums par pieteicēja tiesībām uz atlīdzinājumu ir izskatīts divās tiesu instancēs</w:t>
      </w:r>
      <w:r w:rsidR="006C7E41" w:rsidRPr="001D6E94">
        <w:t>, šādas tiesības</w:t>
      </w:r>
      <w:r w:rsidRPr="001D6E94">
        <w:t>, kaut uz cita pamata,</w:t>
      </w:r>
      <w:r w:rsidR="006C7E41" w:rsidRPr="001D6E94">
        <w:t xml:space="preserve"> neatzīstot</w:t>
      </w:r>
      <w:r w:rsidRPr="001D6E94">
        <w:t>.</w:t>
      </w:r>
      <w:r w:rsidR="006C7E41" w:rsidRPr="001D6E94">
        <w:t xml:space="preserve"> </w:t>
      </w:r>
      <w:r w:rsidRPr="001D6E94">
        <w:t xml:space="preserve">Tā kā </w:t>
      </w:r>
      <w:r w:rsidR="006C7E41" w:rsidRPr="001D6E94">
        <w:t>kasācijas sūdzībā nav norādīts neviens arguments, kas būtu par pamatu apgabaltiesas sprieduma atcelšanai, spriedums atstājams spēkā.</w:t>
      </w:r>
      <w:r w:rsidR="00F03A3C">
        <w:t xml:space="preserve"> </w:t>
      </w:r>
    </w:p>
    <w:p w14:paraId="3353C4C7" w14:textId="77777777" w:rsidR="00580D8E" w:rsidRPr="00A93306" w:rsidRDefault="00580D8E" w:rsidP="006C7E41">
      <w:pPr>
        <w:spacing w:line="276" w:lineRule="auto"/>
        <w:jc w:val="both"/>
      </w:pPr>
    </w:p>
    <w:p w14:paraId="0F72E68F" w14:textId="77777777" w:rsidR="002A791B" w:rsidRPr="00E730D2" w:rsidRDefault="002A791B" w:rsidP="002A791B">
      <w:pPr>
        <w:spacing w:line="276" w:lineRule="auto"/>
        <w:jc w:val="center"/>
      </w:pPr>
      <w:r w:rsidRPr="00E730D2">
        <w:rPr>
          <w:b/>
        </w:rPr>
        <w:t>Rezolutīvā daļa</w:t>
      </w:r>
    </w:p>
    <w:p w14:paraId="4603BA37" w14:textId="77777777" w:rsidR="002A791B" w:rsidRPr="00E730D2" w:rsidRDefault="002A791B" w:rsidP="002A791B">
      <w:pPr>
        <w:spacing w:line="276" w:lineRule="auto"/>
        <w:ind w:firstLine="567"/>
        <w:jc w:val="both"/>
      </w:pPr>
    </w:p>
    <w:p w14:paraId="2E5F2A2D" w14:textId="2270375E" w:rsidR="00A93306" w:rsidRDefault="000431CA" w:rsidP="007845A5">
      <w:pPr>
        <w:spacing w:line="276" w:lineRule="auto"/>
        <w:ind w:firstLine="567"/>
        <w:jc w:val="both"/>
        <w:rPr>
          <w:lang w:eastAsia="en-US"/>
        </w:rPr>
      </w:pPr>
      <w:r w:rsidRPr="000431CA">
        <w:rPr>
          <w:lang w:eastAsia="en-US"/>
        </w:rPr>
        <w:t xml:space="preserve">Pamatojoties uz Administratīvā procesa likuma </w:t>
      </w:r>
      <w:proofErr w:type="gramStart"/>
      <w:r w:rsidR="005B6E2C" w:rsidRPr="005B6E2C">
        <w:rPr>
          <w:lang w:eastAsia="en-US"/>
        </w:rPr>
        <w:t>348.panta</w:t>
      </w:r>
      <w:proofErr w:type="gramEnd"/>
      <w:r w:rsidR="005B6E2C" w:rsidRPr="005B6E2C">
        <w:rPr>
          <w:lang w:eastAsia="en-US"/>
        </w:rPr>
        <w:t xml:space="preserve"> pirmās daļas </w:t>
      </w:r>
      <w:r w:rsidR="000F6B84">
        <w:rPr>
          <w:lang w:eastAsia="en-US"/>
        </w:rPr>
        <w:t>1</w:t>
      </w:r>
      <w:r w:rsidR="005B6E2C" w:rsidRPr="005B6E2C">
        <w:rPr>
          <w:lang w:eastAsia="en-US"/>
        </w:rPr>
        <w:t xml:space="preserve">.punktu </w:t>
      </w:r>
      <w:r w:rsidRPr="000431CA">
        <w:rPr>
          <w:lang w:eastAsia="en-US"/>
        </w:rPr>
        <w:t xml:space="preserve">un 351.pantu, </w:t>
      </w:r>
      <w:r>
        <w:rPr>
          <w:lang w:eastAsia="en-US"/>
        </w:rPr>
        <w:t>Senāts</w:t>
      </w:r>
    </w:p>
    <w:p w14:paraId="6857975F" w14:textId="77777777" w:rsidR="00C6365B" w:rsidRDefault="00C6365B" w:rsidP="007845A5">
      <w:pPr>
        <w:spacing w:line="276" w:lineRule="auto"/>
        <w:ind w:firstLine="567"/>
        <w:jc w:val="both"/>
        <w:rPr>
          <w:lang w:eastAsia="en-US"/>
        </w:rPr>
      </w:pPr>
    </w:p>
    <w:p w14:paraId="2310EDEE" w14:textId="18B6910C" w:rsidR="002A791B" w:rsidRPr="00E730D2" w:rsidRDefault="002A791B" w:rsidP="002A791B">
      <w:pPr>
        <w:spacing w:line="276" w:lineRule="auto"/>
        <w:jc w:val="center"/>
        <w:rPr>
          <w:b/>
          <w:bCs/>
          <w:spacing w:val="70"/>
        </w:rPr>
      </w:pPr>
      <w:r w:rsidRPr="00E730D2">
        <w:rPr>
          <w:b/>
        </w:rPr>
        <w:t>no</w:t>
      </w:r>
      <w:bookmarkStart w:id="0" w:name="Dropdown12"/>
      <w:r w:rsidR="005B6E2C">
        <w:rPr>
          <w:b/>
        </w:rPr>
        <w:t>sprieda</w:t>
      </w:r>
    </w:p>
    <w:p w14:paraId="5B8486D2" w14:textId="1E2A540E" w:rsidR="002A791B" w:rsidRDefault="002A791B" w:rsidP="002A791B">
      <w:pPr>
        <w:spacing w:line="276" w:lineRule="auto"/>
        <w:ind w:firstLine="567"/>
        <w:rPr>
          <w:b/>
          <w:bCs/>
          <w:spacing w:val="70"/>
        </w:rPr>
      </w:pPr>
    </w:p>
    <w:bookmarkEnd w:id="0"/>
    <w:p w14:paraId="2B6666A4" w14:textId="438F9E60" w:rsidR="005B6E2C" w:rsidRDefault="005B6E2C" w:rsidP="005B6E2C">
      <w:pPr>
        <w:spacing w:line="276" w:lineRule="auto"/>
        <w:ind w:firstLine="567"/>
        <w:jc w:val="both"/>
      </w:pPr>
      <w:r>
        <w:t>At</w:t>
      </w:r>
      <w:r w:rsidR="000F6B84">
        <w:t>stāt negrozītu</w:t>
      </w:r>
      <w:r>
        <w:t xml:space="preserve"> Administratīvās apgabaltiesas </w:t>
      </w:r>
      <w:proofErr w:type="gramStart"/>
      <w:r>
        <w:t>2020.gada</w:t>
      </w:r>
      <w:proofErr w:type="gramEnd"/>
      <w:r>
        <w:t xml:space="preserve"> </w:t>
      </w:r>
      <w:r w:rsidR="00927F87">
        <w:t xml:space="preserve">[..] </w:t>
      </w:r>
      <w:r>
        <w:t>spriedumu</w:t>
      </w:r>
      <w:r w:rsidR="000F6B84">
        <w:t xml:space="preserve">, bet </w:t>
      </w:r>
      <w:r w:rsidR="00927F87">
        <w:t xml:space="preserve">[pers. A] </w:t>
      </w:r>
      <w:r w:rsidR="000F6B84">
        <w:t>kasācijas sūdzību noraidīt.</w:t>
      </w:r>
    </w:p>
    <w:p w14:paraId="14AA120A" w14:textId="5541DBA4" w:rsidR="00DA31BC" w:rsidRPr="00E730D2" w:rsidRDefault="005B6E2C" w:rsidP="00927F87">
      <w:pPr>
        <w:spacing w:line="276" w:lineRule="auto"/>
        <w:ind w:firstLine="567"/>
        <w:jc w:val="both"/>
      </w:pPr>
      <w:r>
        <w:t>Spriedums nav pārsūdzams.</w:t>
      </w:r>
    </w:p>
    <w:sectPr w:rsidR="00DA31BC" w:rsidRPr="00E730D2" w:rsidSect="005E1A90">
      <w:footerReference w:type="default" r:id="rId7"/>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EFF4" w14:textId="77777777" w:rsidR="004063BC" w:rsidRDefault="004063BC">
      <w:r>
        <w:separator/>
      </w:r>
    </w:p>
  </w:endnote>
  <w:endnote w:type="continuationSeparator" w:id="0">
    <w:p w14:paraId="3E362504" w14:textId="77777777" w:rsidR="004063BC" w:rsidRDefault="0040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78CB5F5B" w14:textId="77777777" w:rsidR="00981800" w:rsidRDefault="00AA21B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44622">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44622">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5273" w14:textId="77777777" w:rsidR="004063BC" w:rsidRDefault="004063BC">
      <w:r>
        <w:separator/>
      </w:r>
    </w:p>
  </w:footnote>
  <w:footnote w:type="continuationSeparator" w:id="0">
    <w:p w14:paraId="77FD40E3" w14:textId="77777777" w:rsidR="004063BC" w:rsidRDefault="004063BC">
      <w:r>
        <w:continuationSeparator/>
      </w:r>
    </w:p>
  </w:footnote>
  <w:footnote w:id="1">
    <w:p w14:paraId="09B102C9" w14:textId="525E47AC" w:rsidR="000B170A" w:rsidRDefault="000B170A">
      <w:pPr>
        <w:pStyle w:val="FootnoteText"/>
      </w:pPr>
      <w:r>
        <w:rPr>
          <w:rStyle w:val="FootnoteReference"/>
        </w:rPr>
        <w:footnoteRef/>
      </w:r>
      <w: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1B"/>
    <w:rsid w:val="000144D7"/>
    <w:rsid w:val="000162B2"/>
    <w:rsid w:val="000173F0"/>
    <w:rsid w:val="000250D3"/>
    <w:rsid w:val="000431CA"/>
    <w:rsid w:val="00043B8A"/>
    <w:rsid w:val="00057077"/>
    <w:rsid w:val="000606CB"/>
    <w:rsid w:val="00062B66"/>
    <w:rsid w:val="0008151F"/>
    <w:rsid w:val="00087093"/>
    <w:rsid w:val="000877A8"/>
    <w:rsid w:val="000A2C0B"/>
    <w:rsid w:val="000A6B74"/>
    <w:rsid w:val="000B170A"/>
    <w:rsid w:val="000D5EBE"/>
    <w:rsid w:val="000E6AF0"/>
    <w:rsid w:val="000F6B84"/>
    <w:rsid w:val="0010110C"/>
    <w:rsid w:val="00105D8E"/>
    <w:rsid w:val="0011066D"/>
    <w:rsid w:val="00111594"/>
    <w:rsid w:val="001137C0"/>
    <w:rsid w:val="001153DD"/>
    <w:rsid w:val="00124FFF"/>
    <w:rsid w:val="00136E21"/>
    <w:rsid w:val="00142931"/>
    <w:rsid w:val="00144419"/>
    <w:rsid w:val="00182EED"/>
    <w:rsid w:val="00190CE7"/>
    <w:rsid w:val="001A352C"/>
    <w:rsid w:val="001B33AA"/>
    <w:rsid w:val="001B52F1"/>
    <w:rsid w:val="001B7833"/>
    <w:rsid w:val="001C58C7"/>
    <w:rsid w:val="001D6E94"/>
    <w:rsid w:val="001E5214"/>
    <w:rsid w:val="0021284C"/>
    <w:rsid w:val="00215CB8"/>
    <w:rsid w:val="002344C9"/>
    <w:rsid w:val="002400FA"/>
    <w:rsid w:val="00245ED1"/>
    <w:rsid w:val="00247B2E"/>
    <w:rsid w:val="002500C1"/>
    <w:rsid w:val="00251F08"/>
    <w:rsid w:val="00277211"/>
    <w:rsid w:val="00283E0E"/>
    <w:rsid w:val="00293FD7"/>
    <w:rsid w:val="00295213"/>
    <w:rsid w:val="002A0471"/>
    <w:rsid w:val="002A26AB"/>
    <w:rsid w:val="002A2E11"/>
    <w:rsid w:val="002A2F6B"/>
    <w:rsid w:val="002A791B"/>
    <w:rsid w:val="002B3925"/>
    <w:rsid w:val="002B60ED"/>
    <w:rsid w:val="002C655A"/>
    <w:rsid w:val="002C6799"/>
    <w:rsid w:val="002E2C23"/>
    <w:rsid w:val="002E7592"/>
    <w:rsid w:val="002F2530"/>
    <w:rsid w:val="00300599"/>
    <w:rsid w:val="00307190"/>
    <w:rsid w:val="00311134"/>
    <w:rsid w:val="0031406B"/>
    <w:rsid w:val="003248D0"/>
    <w:rsid w:val="0032540F"/>
    <w:rsid w:val="00330EBD"/>
    <w:rsid w:val="00331DD1"/>
    <w:rsid w:val="00347B94"/>
    <w:rsid w:val="00350B30"/>
    <w:rsid w:val="003556BB"/>
    <w:rsid w:val="003621A7"/>
    <w:rsid w:val="003706A8"/>
    <w:rsid w:val="00381060"/>
    <w:rsid w:val="0038464F"/>
    <w:rsid w:val="00387FBC"/>
    <w:rsid w:val="003922B8"/>
    <w:rsid w:val="003A03AB"/>
    <w:rsid w:val="003A3D6F"/>
    <w:rsid w:val="003B4FD2"/>
    <w:rsid w:val="003C05E9"/>
    <w:rsid w:val="003C08FE"/>
    <w:rsid w:val="003C0E1F"/>
    <w:rsid w:val="003D30CE"/>
    <w:rsid w:val="003D3DEA"/>
    <w:rsid w:val="003E5B17"/>
    <w:rsid w:val="004010D0"/>
    <w:rsid w:val="00402B26"/>
    <w:rsid w:val="004063BC"/>
    <w:rsid w:val="00406B6B"/>
    <w:rsid w:val="004155FB"/>
    <w:rsid w:val="004160FD"/>
    <w:rsid w:val="0043418B"/>
    <w:rsid w:val="004367BE"/>
    <w:rsid w:val="00437357"/>
    <w:rsid w:val="0044664B"/>
    <w:rsid w:val="004531B4"/>
    <w:rsid w:val="004668F4"/>
    <w:rsid w:val="004764C3"/>
    <w:rsid w:val="0048602E"/>
    <w:rsid w:val="00495B25"/>
    <w:rsid w:val="004B3B56"/>
    <w:rsid w:val="004B7111"/>
    <w:rsid w:val="004B7622"/>
    <w:rsid w:val="004C0C37"/>
    <w:rsid w:val="004C6F34"/>
    <w:rsid w:val="004E0E68"/>
    <w:rsid w:val="0050075B"/>
    <w:rsid w:val="00505B21"/>
    <w:rsid w:val="00522CD9"/>
    <w:rsid w:val="00523A05"/>
    <w:rsid w:val="00542B71"/>
    <w:rsid w:val="00565D19"/>
    <w:rsid w:val="005667F2"/>
    <w:rsid w:val="00580D8E"/>
    <w:rsid w:val="0058363B"/>
    <w:rsid w:val="0058511F"/>
    <w:rsid w:val="005855FE"/>
    <w:rsid w:val="005862E5"/>
    <w:rsid w:val="00590AA3"/>
    <w:rsid w:val="00595962"/>
    <w:rsid w:val="005968A2"/>
    <w:rsid w:val="005B6E2C"/>
    <w:rsid w:val="005E1A90"/>
    <w:rsid w:val="005E54E2"/>
    <w:rsid w:val="005F02D7"/>
    <w:rsid w:val="005F7FA1"/>
    <w:rsid w:val="00600C64"/>
    <w:rsid w:val="00604C93"/>
    <w:rsid w:val="0061396D"/>
    <w:rsid w:val="00617172"/>
    <w:rsid w:val="006214B0"/>
    <w:rsid w:val="006225DB"/>
    <w:rsid w:val="006247E2"/>
    <w:rsid w:val="006322E6"/>
    <w:rsid w:val="0064052B"/>
    <w:rsid w:val="00656100"/>
    <w:rsid w:val="00660E6D"/>
    <w:rsid w:val="00671B62"/>
    <w:rsid w:val="00672797"/>
    <w:rsid w:val="00672C84"/>
    <w:rsid w:val="00687E07"/>
    <w:rsid w:val="00691798"/>
    <w:rsid w:val="006A0219"/>
    <w:rsid w:val="006A1313"/>
    <w:rsid w:val="006A1F3C"/>
    <w:rsid w:val="006A6252"/>
    <w:rsid w:val="006B751A"/>
    <w:rsid w:val="006C7E41"/>
    <w:rsid w:val="00700EBB"/>
    <w:rsid w:val="007014AC"/>
    <w:rsid w:val="00705581"/>
    <w:rsid w:val="00734414"/>
    <w:rsid w:val="007378B2"/>
    <w:rsid w:val="00744622"/>
    <w:rsid w:val="00745DDC"/>
    <w:rsid w:val="00746411"/>
    <w:rsid w:val="00750C40"/>
    <w:rsid w:val="00763032"/>
    <w:rsid w:val="00763533"/>
    <w:rsid w:val="00764D21"/>
    <w:rsid w:val="007710DF"/>
    <w:rsid w:val="007845A5"/>
    <w:rsid w:val="0079094A"/>
    <w:rsid w:val="007A1426"/>
    <w:rsid w:val="007A676F"/>
    <w:rsid w:val="007F394B"/>
    <w:rsid w:val="00832B1A"/>
    <w:rsid w:val="00834818"/>
    <w:rsid w:val="00847702"/>
    <w:rsid w:val="008533DB"/>
    <w:rsid w:val="0085493B"/>
    <w:rsid w:val="00861F52"/>
    <w:rsid w:val="00866BAC"/>
    <w:rsid w:val="0087560C"/>
    <w:rsid w:val="00880A70"/>
    <w:rsid w:val="00882E25"/>
    <w:rsid w:val="0088616E"/>
    <w:rsid w:val="00892588"/>
    <w:rsid w:val="008A1232"/>
    <w:rsid w:val="008A5914"/>
    <w:rsid w:val="008B0203"/>
    <w:rsid w:val="008C3B4E"/>
    <w:rsid w:val="008D7E4E"/>
    <w:rsid w:val="008E1425"/>
    <w:rsid w:val="008E2DB1"/>
    <w:rsid w:val="00913339"/>
    <w:rsid w:val="009136E3"/>
    <w:rsid w:val="0091726B"/>
    <w:rsid w:val="009229FB"/>
    <w:rsid w:val="0092661E"/>
    <w:rsid w:val="00927F87"/>
    <w:rsid w:val="009336F7"/>
    <w:rsid w:val="0094724D"/>
    <w:rsid w:val="00970DB1"/>
    <w:rsid w:val="00973CD8"/>
    <w:rsid w:val="009768C2"/>
    <w:rsid w:val="00977FBE"/>
    <w:rsid w:val="00984C08"/>
    <w:rsid w:val="009904A6"/>
    <w:rsid w:val="00997AE8"/>
    <w:rsid w:val="009F60C0"/>
    <w:rsid w:val="009F734F"/>
    <w:rsid w:val="00A029EE"/>
    <w:rsid w:val="00A11A0D"/>
    <w:rsid w:val="00A1273E"/>
    <w:rsid w:val="00A50898"/>
    <w:rsid w:val="00A56A26"/>
    <w:rsid w:val="00A62CAF"/>
    <w:rsid w:val="00A670F7"/>
    <w:rsid w:val="00A714BA"/>
    <w:rsid w:val="00A71852"/>
    <w:rsid w:val="00A93306"/>
    <w:rsid w:val="00A94C77"/>
    <w:rsid w:val="00AA21BF"/>
    <w:rsid w:val="00AA4852"/>
    <w:rsid w:val="00AB074F"/>
    <w:rsid w:val="00AB089E"/>
    <w:rsid w:val="00AB272A"/>
    <w:rsid w:val="00AB75AA"/>
    <w:rsid w:val="00AC41FA"/>
    <w:rsid w:val="00AC4ACD"/>
    <w:rsid w:val="00AE0F79"/>
    <w:rsid w:val="00B011E1"/>
    <w:rsid w:val="00B0571B"/>
    <w:rsid w:val="00B10A33"/>
    <w:rsid w:val="00B1677D"/>
    <w:rsid w:val="00B22AAB"/>
    <w:rsid w:val="00B241E3"/>
    <w:rsid w:val="00B24C64"/>
    <w:rsid w:val="00B310DB"/>
    <w:rsid w:val="00B33808"/>
    <w:rsid w:val="00B653F8"/>
    <w:rsid w:val="00B70191"/>
    <w:rsid w:val="00B709F2"/>
    <w:rsid w:val="00B93E67"/>
    <w:rsid w:val="00BA165E"/>
    <w:rsid w:val="00BA452F"/>
    <w:rsid w:val="00BA5275"/>
    <w:rsid w:val="00BB3527"/>
    <w:rsid w:val="00BB3AFB"/>
    <w:rsid w:val="00BC2444"/>
    <w:rsid w:val="00BC4B58"/>
    <w:rsid w:val="00BD20DF"/>
    <w:rsid w:val="00BD4EFA"/>
    <w:rsid w:val="00BE6CF8"/>
    <w:rsid w:val="00BF018E"/>
    <w:rsid w:val="00C04167"/>
    <w:rsid w:val="00C26500"/>
    <w:rsid w:val="00C3361A"/>
    <w:rsid w:val="00C34623"/>
    <w:rsid w:val="00C4631A"/>
    <w:rsid w:val="00C47391"/>
    <w:rsid w:val="00C47EBD"/>
    <w:rsid w:val="00C47F1E"/>
    <w:rsid w:val="00C63649"/>
    <w:rsid w:val="00C6365B"/>
    <w:rsid w:val="00C67B37"/>
    <w:rsid w:val="00C70885"/>
    <w:rsid w:val="00C779B3"/>
    <w:rsid w:val="00C9076F"/>
    <w:rsid w:val="00C91011"/>
    <w:rsid w:val="00C950B5"/>
    <w:rsid w:val="00CB05B1"/>
    <w:rsid w:val="00CC0B57"/>
    <w:rsid w:val="00CC100E"/>
    <w:rsid w:val="00CC672F"/>
    <w:rsid w:val="00CE1811"/>
    <w:rsid w:val="00CE3FEB"/>
    <w:rsid w:val="00CE6FE3"/>
    <w:rsid w:val="00CE7294"/>
    <w:rsid w:val="00D06566"/>
    <w:rsid w:val="00D157D5"/>
    <w:rsid w:val="00D2173C"/>
    <w:rsid w:val="00D45068"/>
    <w:rsid w:val="00D457F4"/>
    <w:rsid w:val="00D462EE"/>
    <w:rsid w:val="00D47756"/>
    <w:rsid w:val="00D5749A"/>
    <w:rsid w:val="00D61F41"/>
    <w:rsid w:val="00D7112B"/>
    <w:rsid w:val="00D93E4E"/>
    <w:rsid w:val="00DA31BC"/>
    <w:rsid w:val="00DB4D4B"/>
    <w:rsid w:val="00DB5CF9"/>
    <w:rsid w:val="00DD4BC8"/>
    <w:rsid w:val="00DE115B"/>
    <w:rsid w:val="00DE6C52"/>
    <w:rsid w:val="00E25645"/>
    <w:rsid w:val="00E41FC0"/>
    <w:rsid w:val="00E51F2A"/>
    <w:rsid w:val="00E5369D"/>
    <w:rsid w:val="00E6034F"/>
    <w:rsid w:val="00E63A49"/>
    <w:rsid w:val="00E718B9"/>
    <w:rsid w:val="00E730D2"/>
    <w:rsid w:val="00E80B01"/>
    <w:rsid w:val="00EB26A4"/>
    <w:rsid w:val="00EC0EE2"/>
    <w:rsid w:val="00EC0FC5"/>
    <w:rsid w:val="00EC74A1"/>
    <w:rsid w:val="00ED14B8"/>
    <w:rsid w:val="00ED3E0A"/>
    <w:rsid w:val="00EE23E0"/>
    <w:rsid w:val="00EF4C03"/>
    <w:rsid w:val="00EF61AC"/>
    <w:rsid w:val="00F00501"/>
    <w:rsid w:val="00F03A3C"/>
    <w:rsid w:val="00F07038"/>
    <w:rsid w:val="00F10D3D"/>
    <w:rsid w:val="00F247B5"/>
    <w:rsid w:val="00F26BCF"/>
    <w:rsid w:val="00F349AE"/>
    <w:rsid w:val="00F353F5"/>
    <w:rsid w:val="00F35ED9"/>
    <w:rsid w:val="00F46164"/>
    <w:rsid w:val="00F5091F"/>
    <w:rsid w:val="00F50C31"/>
    <w:rsid w:val="00F578A3"/>
    <w:rsid w:val="00F71AC4"/>
    <w:rsid w:val="00F7489B"/>
    <w:rsid w:val="00F94EA7"/>
    <w:rsid w:val="00F953F3"/>
    <w:rsid w:val="00F9623A"/>
    <w:rsid w:val="00FA5B58"/>
    <w:rsid w:val="00FA5F78"/>
    <w:rsid w:val="00FC471C"/>
    <w:rsid w:val="00FE39E8"/>
    <w:rsid w:val="00FE6F53"/>
    <w:rsid w:val="00FF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5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791B"/>
    <w:pPr>
      <w:spacing w:after="120" w:line="480" w:lineRule="auto"/>
    </w:pPr>
    <w:rPr>
      <w:lang w:val="x-none"/>
    </w:rPr>
  </w:style>
  <w:style w:type="character" w:customStyle="1" w:styleId="BodyText2Char">
    <w:name w:val="Body Text 2 Char"/>
    <w:basedOn w:val="DefaultParagraphFont"/>
    <w:link w:val="BodyText2"/>
    <w:rsid w:val="002A791B"/>
    <w:rPr>
      <w:rFonts w:eastAsia="Times New Roman" w:cs="Times New Roman"/>
      <w:szCs w:val="24"/>
      <w:lang w:val="x-none" w:eastAsia="ru-RU"/>
    </w:rPr>
  </w:style>
  <w:style w:type="paragraph" w:styleId="Footer">
    <w:name w:val="footer"/>
    <w:basedOn w:val="Normal"/>
    <w:link w:val="FooterChar"/>
    <w:uiPriority w:val="99"/>
    <w:unhideWhenUsed/>
    <w:rsid w:val="002A791B"/>
    <w:pPr>
      <w:tabs>
        <w:tab w:val="center" w:pos="4153"/>
        <w:tab w:val="right" w:pos="8306"/>
      </w:tabs>
    </w:pPr>
  </w:style>
  <w:style w:type="character" w:customStyle="1" w:styleId="FooterChar">
    <w:name w:val="Footer Char"/>
    <w:basedOn w:val="DefaultParagraphFont"/>
    <w:link w:val="Footer"/>
    <w:uiPriority w:val="99"/>
    <w:rsid w:val="002A791B"/>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56A26"/>
    <w:rPr>
      <w:sz w:val="16"/>
      <w:szCs w:val="16"/>
    </w:rPr>
  </w:style>
  <w:style w:type="paragraph" w:styleId="CommentText">
    <w:name w:val="annotation text"/>
    <w:basedOn w:val="Normal"/>
    <w:link w:val="CommentTextChar"/>
    <w:uiPriority w:val="99"/>
    <w:semiHidden/>
    <w:unhideWhenUsed/>
    <w:rsid w:val="00A56A26"/>
    <w:rPr>
      <w:sz w:val="20"/>
      <w:szCs w:val="20"/>
    </w:rPr>
  </w:style>
  <w:style w:type="character" w:customStyle="1" w:styleId="CommentTextChar">
    <w:name w:val="Comment Text Char"/>
    <w:basedOn w:val="DefaultParagraphFont"/>
    <w:link w:val="CommentText"/>
    <w:uiPriority w:val="99"/>
    <w:semiHidden/>
    <w:rsid w:val="00A56A2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56A26"/>
    <w:rPr>
      <w:b/>
      <w:bCs/>
    </w:rPr>
  </w:style>
  <w:style w:type="character" w:customStyle="1" w:styleId="CommentSubjectChar">
    <w:name w:val="Comment Subject Char"/>
    <w:basedOn w:val="CommentTextChar"/>
    <w:link w:val="CommentSubject"/>
    <w:uiPriority w:val="99"/>
    <w:semiHidden/>
    <w:rsid w:val="00A56A26"/>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A56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26"/>
    <w:rPr>
      <w:rFonts w:ascii="Segoe UI" w:eastAsia="Times New Roman" w:hAnsi="Segoe UI" w:cs="Segoe UI"/>
      <w:sz w:val="18"/>
      <w:szCs w:val="18"/>
      <w:lang w:val="lv-LV" w:eastAsia="ru-RU"/>
    </w:rPr>
  </w:style>
  <w:style w:type="character" w:styleId="Hyperlink">
    <w:name w:val="Hyperlink"/>
    <w:basedOn w:val="DefaultParagraphFont"/>
    <w:uiPriority w:val="99"/>
    <w:semiHidden/>
    <w:unhideWhenUsed/>
    <w:rsid w:val="009904A6"/>
    <w:rPr>
      <w:color w:val="0000FF"/>
      <w:u w:val="single"/>
    </w:rPr>
  </w:style>
  <w:style w:type="paragraph" w:styleId="FootnoteText">
    <w:name w:val="footnote text"/>
    <w:basedOn w:val="Normal"/>
    <w:link w:val="FootnoteTextChar"/>
    <w:uiPriority w:val="99"/>
    <w:semiHidden/>
    <w:unhideWhenUsed/>
    <w:rsid w:val="000B170A"/>
    <w:rPr>
      <w:sz w:val="20"/>
      <w:szCs w:val="20"/>
    </w:rPr>
  </w:style>
  <w:style w:type="character" w:customStyle="1" w:styleId="FootnoteTextChar">
    <w:name w:val="Footnote Text Char"/>
    <w:basedOn w:val="DefaultParagraphFont"/>
    <w:link w:val="FootnoteText"/>
    <w:uiPriority w:val="99"/>
    <w:semiHidden/>
    <w:rsid w:val="000B170A"/>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0B1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9CF3-B67C-4DA8-BB03-7D038AC2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7539</Words>
  <Characters>4298</Characters>
  <Application>Microsoft Office Word</Application>
  <DocSecurity>0</DocSecurity>
  <Lines>35</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2021-05-26T12:15:00Z</dcterms:created>
  <dcterms:modified xsi:type="dcterms:W3CDTF">2021-06-07T14:28:00Z</dcterms:modified>
</cp:coreProperties>
</file>