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B6D94" w14:textId="77777777" w:rsidR="009D7161" w:rsidRDefault="009D7161" w:rsidP="009D7161">
      <w:pPr>
        <w:autoSpaceDE w:val="0"/>
        <w:autoSpaceDN w:val="0"/>
        <w:spacing w:line="276" w:lineRule="auto"/>
        <w:rPr>
          <w:rFonts w:ascii="TimesNewRomanPSMT" w:hAnsi="TimesNewRomanPSMT"/>
          <w:lang w:eastAsia="en-US"/>
        </w:rPr>
      </w:pPr>
      <w:r>
        <w:rPr>
          <w:rFonts w:ascii="TimesNewRomanPSMT" w:hAnsi="TimesNewRomanPSMT"/>
          <w:b/>
          <w:bCs/>
        </w:rPr>
        <w:t>Pagaidu aizsardzības līdzekļu piemērošanas pamats</w:t>
      </w:r>
    </w:p>
    <w:p w14:paraId="65A69C4F" w14:textId="77777777" w:rsidR="009D7161" w:rsidRDefault="009D7161" w:rsidP="009D7161">
      <w:pPr>
        <w:autoSpaceDE w:val="0"/>
        <w:autoSpaceDN w:val="0"/>
        <w:spacing w:line="276" w:lineRule="auto"/>
        <w:jc w:val="both"/>
        <w:rPr>
          <w:rFonts w:ascii="TimesNewRomanPSMT" w:hAnsi="TimesNewRomanPSMT"/>
          <w:lang w:eastAsia="en-US"/>
        </w:rPr>
      </w:pPr>
      <w:r>
        <w:rPr>
          <w:rFonts w:ascii="TimesNewRomanPSMT" w:hAnsi="TimesNewRomanPSMT"/>
        </w:rPr>
        <w:t>Pagaidu aizsardzības līdzekļu piemērošanas pamats ir divu kumulatīvu kritēriju iestāšanās: pirmkārt, tiesas konstatējums, ka tad, ja pagaidu aizsardzības līdzekļi netiktu piemēroti, varētu rasties būtisks kaitējums vai zaud</w:t>
      </w:r>
      <w:bookmarkStart w:id="0" w:name="_GoBack"/>
      <w:bookmarkEnd w:id="0"/>
      <w:r>
        <w:rPr>
          <w:rFonts w:ascii="TimesNewRomanPSMT" w:hAnsi="TimesNewRomanPSMT"/>
        </w:rPr>
        <w:t xml:space="preserve">ējumi, kuru novēršana vai atlīdzināšana būtu ievērojami apgrūtināta vai prasītu nesamērīgus resursus (subjektīvais kritērijs), un, otrkārt, secinājums, ka pārsūdzētais lēmums ir </w:t>
      </w:r>
      <w:proofErr w:type="spellStart"/>
      <w:r>
        <w:rPr>
          <w:rFonts w:ascii="TimesNewRomanPSMT" w:hAnsi="TimesNewRomanPSMT"/>
        </w:rPr>
        <w:t>pirmšķietami</w:t>
      </w:r>
      <w:proofErr w:type="spellEnd"/>
      <w:r>
        <w:rPr>
          <w:rFonts w:ascii="TimesNewRomanPSMT" w:hAnsi="TimesNewRomanPSMT"/>
        </w:rPr>
        <w:t xml:space="preserve"> prettiesisks (objektīvais kritērijs). Proti, ja tiek konstatēts, ka neizpildās objektīvais vai subjektīvais kritērijs pagaidu aizsardzības līdzekļa piemērošanai, tad lūgums par pagaidu aizsardzības līdzekļa piemērošanu ir noraidāms.</w:t>
      </w:r>
    </w:p>
    <w:p w14:paraId="4AFF8499" w14:textId="77777777" w:rsidR="009D7161" w:rsidRPr="00A44316" w:rsidRDefault="009D7161" w:rsidP="009D7161">
      <w:pPr>
        <w:pStyle w:val="BodyText2"/>
        <w:spacing w:after="0" w:line="276" w:lineRule="auto"/>
      </w:pPr>
    </w:p>
    <w:p w14:paraId="765AF8A4" w14:textId="0996A9E8" w:rsidR="006F5D3B" w:rsidRPr="009D7161" w:rsidRDefault="006F5D3B" w:rsidP="009D7161">
      <w:pPr>
        <w:spacing w:line="276" w:lineRule="auto"/>
        <w:jc w:val="center"/>
        <w:rPr>
          <w:b/>
        </w:rPr>
      </w:pPr>
      <w:r w:rsidRPr="009D7161">
        <w:rPr>
          <w:b/>
        </w:rPr>
        <w:t xml:space="preserve">Latvijas Republikas </w:t>
      </w:r>
      <w:r w:rsidR="009D7161" w:rsidRPr="009D7161">
        <w:rPr>
          <w:b/>
        </w:rPr>
        <w:t>Senāta</w:t>
      </w:r>
    </w:p>
    <w:p w14:paraId="41342C5C" w14:textId="6F182CC6" w:rsidR="009D7161" w:rsidRPr="009D7161" w:rsidRDefault="009D7161" w:rsidP="009D7161">
      <w:pPr>
        <w:spacing w:line="276" w:lineRule="auto"/>
        <w:jc w:val="center"/>
        <w:rPr>
          <w:b/>
        </w:rPr>
      </w:pPr>
      <w:r w:rsidRPr="009D7161">
        <w:rPr>
          <w:b/>
        </w:rPr>
        <w:t>Administratīvo lietu departamenta</w:t>
      </w:r>
    </w:p>
    <w:p w14:paraId="53B6D363" w14:textId="3F638011" w:rsidR="009D7161" w:rsidRPr="009D7161" w:rsidRDefault="009D7161" w:rsidP="009D7161">
      <w:pPr>
        <w:spacing w:line="276" w:lineRule="auto"/>
        <w:jc w:val="center"/>
        <w:rPr>
          <w:b/>
        </w:rPr>
      </w:pPr>
      <w:proofErr w:type="gramStart"/>
      <w:r w:rsidRPr="009D7161">
        <w:rPr>
          <w:b/>
        </w:rPr>
        <w:t>2021.gada</w:t>
      </w:r>
      <w:proofErr w:type="gramEnd"/>
      <w:r w:rsidRPr="009D7161">
        <w:rPr>
          <w:b/>
        </w:rPr>
        <w:t xml:space="preserve"> 30.aprīļa</w:t>
      </w:r>
    </w:p>
    <w:p w14:paraId="1B019AD9" w14:textId="7791D851" w:rsidR="003047F5" w:rsidRPr="009D7161" w:rsidRDefault="003047F5" w:rsidP="009D7161">
      <w:pPr>
        <w:spacing w:line="276" w:lineRule="auto"/>
        <w:jc w:val="center"/>
        <w:rPr>
          <w:b/>
        </w:rPr>
      </w:pPr>
      <w:r w:rsidRPr="009D7161">
        <w:rPr>
          <w:b/>
        </w:rPr>
        <w:t>LĒMUMS</w:t>
      </w:r>
    </w:p>
    <w:p w14:paraId="331BB732" w14:textId="77777777" w:rsidR="009D7161" w:rsidRPr="009D7161" w:rsidRDefault="009D7161" w:rsidP="009D7161">
      <w:pPr>
        <w:spacing w:line="276" w:lineRule="auto"/>
        <w:jc w:val="center"/>
        <w:rPr>
          <w:b/>
          <w:lang w:eastAsia="lv-LV"/>
        </w:rPr>
      </w:pPr>
      <w:r w:rsidRPr="009D7161">
        <w:rPr>
          <w:b/>
        </w:rPr>
        <w:t>Lieta Nr. A420136121</w:t>
      </w:r>
      <w:r w:rsidRPr="009D7161">
        <w:rPr>
          <w:b/>
          <w:lang w:eastAsia="lv-LV"/>
        </w:rPr>
        <w:t>, SKA-983/2021</w:t>
      </w:r>
    </w:p>
    <w:p w14:paraId="6734DDB2" w14:textId="106698C5" w:rsidR="009D7161" w:rsidRPr="009D7161" w:rsidRDefault="009D7161" w:rsidP="009D7161">
      <w:pPr>
        <w:spacing w:line="276" w:lineRule="auto"/>
        <w:jc w:val="center"/>
      </w:pPr>
      <w:hyperlink r:id="rId7" w:history="1">
        <w:r w:rsidRPr="009D7161">
          <w:rPr>
            <w:rStyle w:val="Hyperlink"/>
          </w:rPr>
          <w:t>ECLI:LV:AT:2021:0430.A420136121.8.L</w:t>
        </w:r>
      </w:hyperlink>
      <w:r w:rsidRPr="009D7161">
        <w:t xml:space="preserve"> </w:t>
      </w:r>
    </w:p>
    <w:p w14:paraId="7E08797B" w14:textId="77777777" w:rsidR="003047F5" w:rsidRPr="00A44316" w:rsidRDefault="003047F5" w:rsidP="009D7161">
      <w:pPr>
        <w:spacing w:line="276" w:lineRule="auto"/>
      </w:pPr>
    </w:p>
    <w:p w14:paraId="26297293" w14:textId="7CA717A9" w:rsidR="00A6596A" w:rsidRPr="00A44316" w:rsidRDefault="0015480A" w:rsidP="009D7161">
      <w:pPr>
        <w:spacing w:line="276" w:lineRule="auto"/>
        <w:ind w:firstLine="567"/>
        <w:jc w:val="both"/>
      </w:pPr>
      <w:r w:rsidRPr="00A44316">
        <w:t>Tiesa šādā sastāvā: senato</w:t>
      </w:r>
      <w:r w:rsidR="00586A8E" w:rsidRPr="00A44316">
        <w:t xml:space="preserve">res Ieva Višķere, Lauma </w:t>
      </w:r>
      <w:proofErr w:type="spellStart"/>
      <w:r w:rsidR="00586A8E" w:rsidRPr="00A44316">
        <w:t>Paegļkalna</w:t>
      </w:r>
      <w:proofErr w:type="spellEnd"/>
      <w:r w:rsidR="00586A8E" w:rsidRPr="00A44316">
        <w:t>, Rudīte Vīduša</w:t>
      </w:r>
    </w:p>
    <w:p w14:paraId="2807957F" w14:textId="77777777" w:rsidR="003047F5" w:rsidRPr="00A44316" w:rsidRDefault="003047F5" w:rsidP="009D7161">
      <w:pPr>
        <w:spacing w:line="276" w:lineRule="auto"/>
        <w:ind w:firstLine="567"/>
        <w:jc w:val="both"/>
      </w:pPr>
    </w:p>
    <w:p w14:paraId="45FEDFF2" w14:textId="211BBAD3" w:rsidR="003047F5" w:rsidRPr="00A44316" w:rsidRDefault="009F6F33" w:rsidP="009D7161">
      <w:pPr>
        <w:spacing w:line="276" w:lineRule="auto"/>
        <w:ind w:firstLine="567"/>
        <w:jc w:val="both"/>
      </w:pPr>
      <w:r w:rsidRPr="00A44316">
        <w:t xml:space="preserve">rakstveida procesā izskatīja </w:t>
      </w:r>
      <w:r w:rsidR="00E63265" w:rsidRPr="00A44316">
        <w:t>pilnsabiedrības „ĒDIENS &amp; KM.LV”</w:t>
      </w:r>
      <w:r w:rsidR="001F40A0" w:rsidRPr="00A44316">
        <w:t xml:space="preserve"> blakus sūdzību par </w:t>
      </w:r>
      <w:r w:rsidR="003135C6" w:rsidRPr="00A44316">
        <w:t xml:space="preserve">Administratīvās </w:t>
      </w:r>
      <w:r w:rsidR="00E63265" w:rsidRPr="00A44316">
        <w:t xml:space="preserve">rajona tiesas </w:t>
      </w:r>
      <w:proofErr w:type="gramStart"/>
      <w:r w:rsidR="00E63265" w:rsidRPr="00A44316">
        <w:t>2021.gada</w:t>
      </w:r>
      <w:proofErr w:type="gramEnd"/>
      <w:r w:rsidR="00E63265" w:rsidRPr="00A44316">
        <w:t xml:space="preserve"> 31.marta</w:t>
      </w:r>
      <w:r w:rsidR="001F40A0" w:rsidRPr="00A44316">
        <w:t xml:space="preserve"> lēmumu</w:t>
      </w:r>
      <w:r w:rsidR="00D10538" w:rsidRPr="00A44316">
        <w:t>, ar kuru</w:t>
      </w:r>
      <w:r w:rsidR="00E63265" w:rsidRPr="00A44316">
        <w:t xml:space="preserve"> </w:t>
      </w:r>
      <w:r w:rsidR="00CA276C" w:rsidRPr="00A44316">
        <w:t>noraidīts pilnsabiedrības „ĒDIENS &amp; KM.LV” pagaidu aizsardzības lūgums.</w:t>
      </w:r>
    </w:p>
    <w:p w14:paraId="5DE22EF3" w14:textId="77777777" w:rsidR="00A6596A" w:rsidRPr="00A44316" w:rsidRDefault="00A6596A" w:rsidP="009D7161">
      <w:pPr>
        <w:spacing w:line="276" w:lineRule="auto"/>
        <w:ind w:firstLine="567"/>
        <w:jc w:val="both"/>
      </w:pPr>
    </w:p>
    <w:p w14:paraId="49301551" w14:textId="77777777" w:rsidR="003047F5" w:rsidRPr="00A44316" w:rsidRDefault="003047F5" w:rsidP="009D7161">
      <w:pPr>
        <w:spacing w:line="276" w:lineRule="auto"/>
        <w:jc w:val="center"/>
        <w:rPr>
          <w:b/>
        </w:rPr>
      </w:pPr>
      <w:r w:rsidRPr="00A44316">
        <w:rPr>
          <w:b/>
        </w:rPr>
        <w:t>Aprakstošā daļa</w:t>
      </w:r>
    </w:p>
    <w:p w14:paraId="54AE93A0" w14:textId="77777777" w:rsidR="003047F5" w:rsidRPr="00A44316" w:rsidRDefault="003047F5" w:rsidP="009D7161">
      <w:pPr>
        <w:spacing w:line="276" w:lineRule="auto"/>
        <w:ind w:firstLine="567"/>
        <w:jc w:val="both"/>
      </w:pPr>
    </w:p>
    <w:p w14:paraId="7B2E35A3" w14:textId="7A36E863" w:rsidR="00A04F47" w:rsidRPr="00A44316" w:rsidRDefault="003047F5" w:rsidP="009D7161">
      <w:pPr>
        <w:spacing w:line="276" w:lineRule="auto"/>
        <w:ind w:firstLine="567"/>
        <w:jc w:val="both"/>
      </w:pPr>
      <w:r w:rsidRPr="00A44316">
        <w:t>[1]</w:t>
      </w:r>
      <w:r w:rsidR="00A8303F" w:rsidRPr="00A44316">
        <w:t> Ieslodzījuma vietu pārvalde (turpmāk – pasūtītāja) izsludināja atklātu konkursu „Ēdināšanas pakalpojumu sniegšana ieslodzītajiem”</w:t>
      </w:r>
      <w:r w:rsidR="0027407B" w:rsidRPr="00A44316">
        <w:t>, kurā piedāvājumus iesniedza pieci pretendenti, tostarp pieteicēja pilnsabiedrība „ĒDIENS &amp; KM.LV”</w:t>
      </w:r>
      <w:r w:rsidR="00A8303F" w:rsidRPr="00A44316">
        <w:t>.</w:t>
      </w:r>
      <w:r w:rsidR="0027407B" w:rsidRPr="00A44316">
        <w:t xml:space="preserve"> </w:t>
      </w:r>
    </w:p>
    <w:p w14:paraId="48623ABD" w14:textId="1A8ABC80" w:rsidR="003047F5" w:rsidRPr="00A44316" w:rsidRDefault="00A04F47" w:rsidP="009D7161">
      <w:pPr>
        <w:spacing w:line="276" w:lineRule="auto"/>
        <w:ind w:firstLine="567"/>
        <w:jc w:val="both"/>
      </w:pPr>
      <w:r w:rsidRPr="00A44316">
        <w:t>Pasūtītājas</w:t>
      </w:r>
      <w:r w:rsidR="00E22D9A" w:rsidRPr="00A44316">
        <w:t xml:space="preserve"> iepirkumu komisija</w:t>
      </w:r>
      <w:r w:rsidRPr="00A44316">
        <w:t xml:space="preserve"> ar </w:t>
      </w:r>
      <w:proofErr w:type="gramStart"/>
      <w:r w:rsidR="0027407B" w:rsidRPr="00A44316">
        <w:t>2021.gada</w:t>
      </w:r>
      <w:proofErr w:type="gramEnd"/>
      <w:r w:rsidR="0027407B" w:rsidRPr="00A44316">
        <w:t xml:space="preserve"> 18.janvāra </w:t>
      </w:r>
      <w:r w:rsidR="002D7E4F" w:rsidRPr="00A44316">
        <w:t>lēmumu</w:t>
      </w:r>
      <w:r w:rsidR="00546B2D" w:rsidRPr="00A44316">
        <w:t xml:space="preserve"> </w:t>
      </w:r>
      <w:r w:rsidR="002D7E4F" w:rsidRPr="00A44316">
        <w:t>pieteicējas piedāvājum</w:t>
      </w:r>
      <w:r w:rsidRPr="00A44316">
        <w:t>u</w:t>
      </w:r>
      <w:r w:rsidR="002D7E4F" w:rsidRPr="00A44316">
        <w:t xml:space="preserve"> </w:t>
      </w:r>
      <w:r w:rsidRPr="00A44316">
        <w:t>atzina</w:t>
      </w:r>
      <w:r w:rsidR="002D7E4F" w:rsidRPr="00A44316">
        <w:t xml:space="preserve"> par neatbilstošu iepirkuma nolikuma 4.1.1.punktā ietvertajai pieredzes prasībai</w:t>
      </w:r>
      <w:r w:rsidR="00E251C3" w:rsidRPr="00A44316">
        <w:t xml:space="preserve"> un</w:t>
      </w:r>
      <w:r w:rsidR="002D7E4F" w:rsidRPr="00A44316">
        <w:t xml:space="preserve"> </w:t>
      </w:r>
      <w:r w:rsidR="00383B39" w:rsidRPr="00A44316">
        <w:t>izslēdza pieteicēju</w:t>
      </w:r>
      <w:r w:rsidR="002D7E4F" w:rsidRPr="00A44316">
        <w:t xml:space="preserve"> no turpmākās dalības iepirkumā</w:t>
      </w:r>
      <w:r w:rsidR="002276D5" w:rsidRPr="00A44316">
        <w:t xml:space="preserve">. </w:t>
      </w:r>
      <w:r w:rsidR="00DA6569" w:rsidRPr="00A44316">
        <w:t xml:space="preserve">Par </w:t>
      </w:r>
      <w:r w:rsidR="002276D5" w:rsidRPr="00A44316">
        <w:t xml:space="preserve">iepirkuma uzvarētāju </w:t>
      </w:r>
      <w:r w:rsidR="00DA6569" w:rsidRPr="00A44316">
        <w:t>komisija atzina</w:t>
      </w:r>
      <w:r w:rsidR="002276D5" w:rsidRPr="00A44316">
        <w:t xml:space="preserve"> sabiedrīb</w:t>
      </w:r>
      <w:r w:rsidR="00DA6569" w:rsidRPr="00A44316">
        <w:t>u</w:t>
      </w:r>
      <w:r w:rsidR="002276D5" w:rsidRPr="00A44316">
        <w:t xml:space="preserve"> ar ierobežotu atbildību „ALEKS UN V”, kura bija</w:t>
      </w:r>
      <w:proofErr w:type="gramStart"/>
      <w:r w:rsidR="002276D5" w:rsidRPr="00A44316">
        <w:t xml:space="preserve"> iesniegusi saimnieciski visizdevīgāko piedāvājumu</w:t>
      </w:r>
      <w:r w:rsidR="00D26EB3" w:rsidRPr="00A44316">
        <w:t xml:space="preserve"> </w:t>
      </w:r>
      <w:r w:rsidR="00642B8A" w:rsidRPr="00A44316">
        <w:t>visās</w:t>
      </w:r>
      <w:proofErr w:type="gramEnd"/>
      <w:r w:rsidR="00642B8A" w:rsidRPr="00A44316">
        <w:t xml:space="preserve"> iepirkuma daļās </w:t>
      </w:r>
      <w:r w:rsidR="00D26EB3" w:rsidRPr="00A44316">
        <w:t>(lietā pieaicināta trešās personas statusā)</w:t>
      </w:r>
      <w:r w:rsidR="002276D5" w:rsidRPr="00A44316">
        <w:t>.</w:t>
      </w:r>
    </w:p>
    <w:p w14:paraId="28932EF5" w14:textId="09995DD5" w:rsidR="00451A07" w:rsidRPr="00A44316" w:rsidRDefault="00B61C05" w:rsidP="009D7161">
      <w:pPr>
        <w:spacing w:line="276" w:lineRule="auto"/>
        <w:ind w:firstLine="567"/>
        <w:jc w:val="both"/>
      </w:pPr>
      <w:r w:rsidRPr="00A44316">
        <w:t xml:space="preserve">Nepiekrītot minētajam, pieteicēja </w:t>
      </w:r>
      <w:r w:rsidR="00FA7CF8" w:rsidRPr="00A44316">
        <w:t>vērsās</w:t>
      </w:r>
      <w:r w:rsidRPr="00A44316">
        <w:t xml:space="preserve"> Iepirkumu uzraudzības biro</w:t>
      </w:r>
      <w:r w:rsidR="00FA7CF8" w:rsidRPr="00A44316">
        <w:t>jā</w:t>
      </w:r>
      <w:r w:rsidRPr="00A44316">
        <w:t xml:space="preserve"> (turpmāk – birojs)</w:t>
      </w:r>
      <w:r w:rsidR="00FA7CF8" w:rsidRPr="00A44316">
        <w:t xml:space="preserve">, kurš ar </w:t>
      </w:r>
      <w:proofErr w:type="gramStart"/>
      <w:r w:rsidR="00FA7CF8" w:rsidRPr="00A44316">
        <w:t>2</w:t>
      </w:r>
      <w:r w:rsidRPr="00A44316">
        <w:t>021.gada</w:t>
      </w:r>
      <w:proofErr w:type="gramEnd"/>
      <w:r w:rsidRPr="00A44316">
        <w:t xml:space="preserve"> 25.februāra </w:t>
      </w:r>
      <w:r w:rsidR="0027529C" w:rsidRPr="00A44316">
        <w:t>lēmumu Nr. 4-1.2/21-37</w:t>
      </w:r>
      <w:r w:rsidR="004C466A" w:rsidRPr="00A44316">
        <w:t xml:space="preserve"> (turpmāk – pārsūdzētais lēmums)</w:t>
      </w:r>
      <w:r w:rsidR="0027529C" w:rsidRPr="00A44316">
        <w:t xml:space="preserve"> </w:t>
      </w:r>
      <w:r w:rsidR="00D26EB3" w:rsidRPr="00A44316">
        <w:t>pasūtītājas iepirkumu komisijas lēmumu atstāja negrozītu un atļāva pasūtītājai slēgt iepirkuma līgumu ar trešo personu.</w:t>
      </w:r>
    </w:p>
    <w:p w14:paraId="67DA40E5" w14:textId="6D90284C" w:rsidR="00451A07" w:rsidRPr="00A44316" w:rsidRDefault="00451A07" w:rsidP="009D7161">
      <w:pPr>
        <w:spacing w:line="276" w:lineRule="auto"/>
        <w:ind w:firstLine="567"/>
        <w:jc w:val="both"/>
      </w:pPr>
    </w:p>
    <w:p w14:paraId="0AC8E437" w14:textId="77777777" w:rsidR="002617C7" w:rsidRPr="00A44316" w:rsidRDefault="00451A07" w:rsidP="009D7161">
      <w:pPr>
        <w:spacing w:line="276" w:lineRule="auto"/>
        <w:ind w:firstLine="567"/>
        <w:jc w:val="both"/>
      </w:pPr>
      <w:r w:rsidRPr="00A44316">
        <w:t>[2] Pieteicēja vērsās tiesā ar pieteikumu par pārsūdzētā lēmuma atcelšanu, vienlaikus lūdzot tiesu piemērot pagaidu aizsardzīb</w:t>
      </w:r>
      <w:r w:rsidR="002617C7" w:rsidRPr="00A44316">
        <w:t>u – apturēt pārsūdzētā lēmuma darbību.</w:t>
      </w:r>
    </w:p>
    <w:p w14:paraId="61D24464" w14:textId="6CDA9272" w:rsidR="009319F3" w:rsidRPr="00A44316" w:rsidRDefault="009319F3" w:rsidP="009D7161">
      <w:pPr>
        <w:spacing w:line="276" w:lineRule="auto"/>
        <w:jc w:val="both"/>
      </w:pPr>
    </w:p>
    <w:p w14:paraId="18310000" w14:textId="473C1EDD" w:rsidR="009319F3" w:rsidRPr="00A44316" w:rsidRDefault="009319F3" w:rsidP="009D7161">
      <w:pPr>
        <w:spacing w:line="276" w:lineRule="auto"/>
        <w:ind w:firstLine="567"/>
        <w:jc w:val="both"/>
      </w:pPr>
      <w:r w:rsidRPr="00A44316">
        <w:t xml:space="preserve">[3] Administratīvā rajona tiesa ar </w:t>
      </w:r>
      <w:proofErr w:type="gramStart"/>
      <w:r w:rsidRPr="00A44316">
        <w:t>2021.gada</w:t>
      </w:r>
      <w:proofErr w:type="gramEnd"/>
      <w:r w:rsidRPr="00A44316">
        <w:t xml:space="preserve"> 31.marta lēmumu noraidīja pieteicējas pagaidu aizsardzības lūgumu. Lēmums pamatots ar turpmāk norādītajiem argumentiem.</w:t>
      </w:r>
    </w:p>
    <w:p w14:paraId="6878D8F4" w14:textId="02303DA7" w:rsidR="009319F3" w:rsidRPr="00A44316" w:rsidRDefault="009319F3" w:rsidP="009D7161">
      <w:pPr>
        <w:spacing w:line="276" w:lineRule="auto"/>
        <w:ind w:firstLine="567"/>
        <w:jc w:val="both"/>
      </w:pPr>
      <w:r w:rsidRPr="00A44316">
        <w:t>[3.1] </w:t>
      </w:r>
      <w:r w:rsidR="007E2101" w:rsidRPr="00A44316">
        <w:t xml:space="preserve">Konkrētajā gadījumā ir konstatējama pieteicējas vajadzība pēc pagaidu aizsardzības jeb pagaidu aizsardzības piemērošanas subjektīvais kritērijs, tādējādi izvērtējams, vai pieteicējas pieteikums ir </w:t>
      </w:r>
      <w:proofErr w:type="spellStart"/>
      <w:r w:rsidR="007E2101" w:rsidRPr="00A44316">
        <w:t>pirmšķietami</w:t>
      </w:r>
      <w:proofErr w:type="spellEnd"/>
      <w:r w:rsidR="007E2101" w:rsidRPr="00A44316">
        <w:t xml:space="preserve"> pamatots</w:t>
      </w:r>
      <w:r w:rsidR="00397C46" w:rsidRPr="00A44316">
        <w:t xml:space="preserve"> – proti, vai pieteicējas piedāvājums </w:t>
      </w:r>
      <w:proofErr w:type="spellStart"/>
      <w:r w:rsidR="00397C46" w:rsidRPr="00A44316">
        <w:lastRenderedPageBreak/>
        <w:t>pirmšķietami</w:t>
      </w:r>
      <w:proofErr w:type="spellEnd"/>
      <w:r w:rsidR="00397C46" w:rsidRPr="00A44316">
        <w:t xml:space="preserve"> prettiesiski atzīts par neatbilstošu iepirkuma nolikuma 4.1.1.punktā ietvertajai prasībai par pretendenta pieredzi noteikta skaita ēdiena porciju pagatavošanā.</w:t>
      </w:r>
    </w:p>
    <w:p w14:paraId="78DCD703" w14:textId="258B5D18" w:rsidR="007E2101" w:rsidRPr="00A44316" w:rsidRDefault="007E2101" w:rsidP="009D7161">
      <w:pPr>
        <w:spacing w:line="276" w:lineRule="auto"/>
        <w:ind w:firstLine="567"/>
        <w:jc w:val="both"/>
      </w:pPr>
      <w:r w:rsidRPr="00A44316">
        <w:t>[3.2] </w:t>
      </w:r>
      <w:r w:rsidR="00684F6D" w:rsidRPr="00A44316">
        <w:t xml:space="preserve">Pieteicēja ir pilnsabiedrība, kuru veido divi komersanti </w:t>
      </w:r>
      <w:r w:rsidR="00386357" w:rsidRPr="00A44316">
        <w:t>– SIA „</w:t>
      </w:r>
      <w:proofErr w:type="spellStart"/>
      <w:r w:rsidR="00386357" w:rsidRPr="00A44316">
        <w:t>Ēdiens.lv</w:t>
      </w:r>
      <w:proofErr w:type="spellEnd"/>
      <w:r w:rsidR="00386357" w:rsidRPr="00A44316">
        <w:t xml:space="preserve">” un </w:t>
      </w:r>
      <w:r w:rsidR="00A92307" w:rsidRPr="00A44316">
        <w:t xml:space="preserve">Lietuvas komersants </w:t>
      </w:r>
      <w:r w:rsidR="00386357" w:rsidRPr="00A44316">
        <w:t>SI „Bruneros”. Pieteicēja piedāvājumā</w:t>
      </w:r>
      <w:r w:rsidR="00452210" w:rsidRPr="00A44316">
        <w:t xml:space="preserve">, apliecinot, ka tai ir nepieciešamā pieredze ēdiena porciju pagatavošanā, </w:t>
      </w:r>
      <w:proofErr w:type="spellStart"/>
      <w:r w:rsidR="00452210" w:rsidRPr="00A44316">
        <w:t>citstarp</w:t>
      </w:r>
      <w:proofErr w:type="spellEnd"/>
      <w:r w:rsidR="00452210" w:rsidRPr="00A44316">
        <w:t xml:space="preserve"> ir atsaukusies uz SI „Bruneros”</w:t>
      </w:r>
      <w:r w:rsidR="00397C46" w:rsidRPr="00A44316">
        <w:t xml:space="preserve"> pieredzi. Tomēr, kā</w:t>
      </w:r>
      <w:r w:rsidR="00FE463A" w:rsidRPr="00A44316">
        <w:t xml:space="preserve"> </w:t>
      </w:r>
      <w:proofErr w:type="spellStart"/>
      <w:r w:rsidR="00FE463A" w:rsidRPr="00A44316">
        <w:t>pirmšķietami</w:t>
      </w:r>
      <w:proofErr w:type="spellEnd"/>
      <w:r w:rsidR="00397C46" w:rsidRPr="00A44316">
        <w:t xml:space="preserve"> izriet no pierādījumiem lietā, minētais komersants iepirkuma līguma izpildes gaitā faktiski neiesaistīties ēdiena porciju gatavošanā. Tāpēc tā pieredze nav ņemama vērā</w:t>
      </w:r>
      <w:r w:rsidR="00603B6A" w:rsidRPr="00A44316">
        <w:t>, vērtējot, vai pieteicējai ir strīdus</w:t>
      </w:r>
      <w:r w:rsidR="000C1970" w:rsidRPr="00A44316">
        <w:t xml:space="preserve"> nolikuma normā ietvertajai</w:t>
      </w:r>
      <w:r w:rsidR="00603B6A" w:rsidRPr="00A44316">
        <w:t xml:space="preserve"> prasībai atbilstoša pieredze ēdiena porciju pagatavošanā.</w:t>
      </w:r>
    </w:p>
    <w:p w14:paraId="33279E87" w14:textId="2EAFC5EE" w:rsidR="00397C46" w:rsidRPr="00A44316" w:rsidRDefault="00397C46" w:rsidP="009D7161">
      <w:pPr>
        <w:spacing w:line="276" w:lineRule="auto"/>
        <w:ind w:firstLine="567"/>
        <w:jc w:val="both"/>
      </w:pPr>
      <w:r w:rsidRPr="00A44316">
        <w:t>[3.3] </w:t>
      </w:r>
      <w:r w:rsidR="0082334B" w:rsidRPr="00A44316">
        <w:t xml:space="preserve">Pieteicēja minētajam nepiekrīt, </w:t>
      </w:r>
      <w:r w:rsidR="00C15B79" w:rsidRPr="00A44316">
        <w:t>norādot, ka</w:t>
      </w:r>
      <w:r w:rsidR="0082334B" w:rsidRPr="00A44316">
        <w:t xml:space="preserve"> abiem tās biedriem kopā ir nepieciešamā pieredze ēdiena porciju pagatavošanā, un šajā sakarā uzsver, ka konkrētajā gadījumā pretendents konkursā ir pieteicēja kā pilnsabiedrība. Tomēr no </w:t>
      </w:r>
      <w:r w:rsidR="008F11C0" w:rsidRPr="00A44316">
        <w:t xml:space="preserve">šā </w:t>
      </w:r>
      <w:r w:rsidR="0082334B" w:rsidRPr="00A44316">
        <w:t>apstākļa vien ir pārsteidzīgi secināt, ka pieteicējas biedru pieredze automātiski ir uzskatāma arī par pieteicējas kā pilnsabiedrības pieredzi.</w:t>
      </w:r>
      <w:r w:rsidR="000C1970" w:rsidRPr="00A44316">
        <w:t xml:space="preserve"> Jebkurā gadījumā izšķiroši ir tieši tas, vai konkrētais pilnsabiedrības biedrs, uz kura pieredzi ēdiena porciju gatavošanā pieteicēja atsaucas, faktiski gatavos ēdiena porcijas arī iepirkuma līguma izpildes gaitā. </w:t>
      </w:r>
      <w:r w:rsidR="009B4408" w:rsidRPr="00A44316">
        <w:t>Tā kā konkrētajā gadījumā</w:t>
      </w:r>
      <w:r w:rsidR="000C1970" w:rsidRPr="00A44316">
        <w:t xml:space="preserve"> tas nav konstatējams, pieteicējas piedāvājums</w:t>
      </w:r>
      <w:r w:rsidR="009B7BE5" w:rsidRPr="00A44316">
        <w:t xml:space="preserve"> </w:t>
      </w:r>
      <w:proofErr w:type="spellStart"/>
      <w:r w:rsidR="009B7BE5" w:rsidRPr="00A44316">
        <w:t>pirmšķietami</w:t>
      </w:r>
      <w:proofErr w:type="spellEnd"/>
      <w:r w:rsidR="009B7BE5" w:rsidRPr="00A44316">
        <w:t xml:space="preserve"> neatbilst</w:t>
      </w:r>
      <w:r w:rsidR="000C1970" w:rsidRPr="00A44316">
        <w:t xml:space="preserve"> strīdus nolikuma normā ietvertajai prasībai</w:t>
      </w:r>
      <w:r w:rsidR="009B7BE5" w:rsidRPr="00A44316">
        <w:t>.</w:t>
      </w:r>
    </w:p>
    <w:p w14:paraId="55AEB1B5" w14:textId="7FEED8D8" w:rsidR="009319F3" w:rsidRPr="00A44316" w:rsidRDefault="009319F3" w:rsidP="009D7161">
      <w:pPr>
        <w:spacing w:line="276" w:lineRule="auto"/>
        <w:ind w:firstLine="567"/>
        <w:jc w:val="both"/>
      </w:pPr>
    </w:p>
    <w:p w14:paraId="5900F489" w14:textId="140EC44E" w:rsidR="008D61D2" w:rsidRPr="00A44316" w:rsidRDefault="008D61D2" w:rsidP="009D7161">
      <w:pPr>
        <w:spacing w:line="276" w:lineRule="auto"/>
        <w:ind w:firstLine="567"/>
        <w:jc w:val="both"/>
      </w:pPr>
      <w:r w:rsidRPr="00A44316">
        <w:t>[4] Pieteicēja par minēto Administratīvās rajona tiesas lēmumu iesniedza blakus sūdzību,</w:t>
      </w:r>
      <w:r w:rsidR="00174202" w:rsidRPr="00A44316">
        <w:t xml:space="preserve"> uzsverot, ka konkrētajā gadījumā par pretendentu iepirkumā ir uzskatāma pieteicēja kā pilnsabiedrība, un tātad ir vērtējama tieši pilnsabiedrības atbilstība iepirkuma nolikuma prasībām. </w:t>
      </w:r>
      <w:proofErr w:type="gramStart"/>
      <w:r w:rsidR="00174202" w:rsidRPr="00A44316">
        <w:t>Tā kā pilnsabiedrības biedri attiecībās ar trešajām personām</w:t>
      </w:r>
      <w:r w:rsidR="004D31F3" w:rsidRPr="00A44316">
        <w:t xml:space="preserve">, tostarp pasūtītāju, </w:t>
      </w:r>
      <w:r w:rsidR="00174202" w:rsidRPr="00A44316">
        <w:t xml:space="preserve">ir </w:t>
      </w:r>
      <w:r w:rsidR="00365F11" w:rsidRPr="00A44316">
        <w:t xml:space="preserve">solidāri </w:t>
      </w:r>
      <w:r w:rsidR="00174202" w:rsidRPr="00A44316">
        <w:t>atbildīgi, pieteicējas iekšējam darbu sadalījuma</w:t>
      </w:r>
      <w:r w:rsidR="00A2174C" w:rsidRPr="00A44316">
        <w:t>m</w:t>
      </w:r>
      <w:r w:rsidR="00174202" w:rsidRPr="00A44316">
        <w:t xml:space="preserve"> iepirkuma līguma izpildes gaitā</w:t>
      </w:r>
      <w:proofErr w:type="gramEnd"/>
      <w:r w:rsidR="00174202" w:rsidRPr="00A44316">
        <w:t xml:space="preserve"> nav nekādas tiesiskas nozīmes, turklāt tas jebkurā gadījumā ir tikai provizoriskais darbu sadalījums, kas nepieciešamības gadījumā var tikt mainīts.</w:t>
      </w:r>
      <w:r w:rsidR="00A2174C" w:rsidRPr="00A44316">
        <w:t xml:space="preserve"> </w:t>
      </w:r>
    </w:p>
    <w:p w14:paraId="4DDE6A6D" w14:textId="77777777" w:rsidR="00451A07" w:rsidRPr="00A44316" w:rsidRDefault="00451A07" w:rsidP="009D7161">
      <w:pPr>
        <w:spacing w:line="276" w:lineRule="auto"/>
        <w:ind w:firstLine="567"/>
        <w:jc w:val="both"/>
      </w:pPr>
    </w:p>
    <w:p w14:paraId="1900DA50" w14:textId="77777777" w:rsidR="003047F5" w:rsidRPr="00A44316" w:rsidRDefault="003047F5" w:rsidP="009D7161">
      <w:pPr>
        <w:spacing w:line="276" w:lineRule="auto"/>
        <w:jc w:val="center"/>
        <w:rPr>
          <w:b/>
        </w:rPr>
      </w:pPr>
      <w:r w:rsidRPr="00A44316">
        <w:rPr>
          <w:b/>
        </w:rPr>
        <w:t>Motīvu daļa</w:t>
      </w:r>
    </w:p>
    <w:p w14:paraId="50C3E4A3" w14:textId="77777777" w:rsidR="003047F5" w:rsidRPr="00A44316" w:rsidRDefault="003047F5" w:rsidP="009D7161">
      <w:pPr>
        <w:spacing w:line="276" w:lineRule="auto"/>
        <w:ind w:firstLine="567"/>
        <w:jc w:val="both"/>
      </w:pPr>
    </w:p>
    <w:p w14:paraId="06271630" w14:textId="457D5285" w:rsidR="003047F5" w:rsidRPr="00A44316" w:rsidRDefault="003047F5" w:rsidP="009D7161">
      <w:pPr>
        <w:spacing w:line="276" w:lineRule="auto"/>
        <w:ind w:firstLine="567"/>
        <w:jc w:val="both"/>
      </w:pPr>
      <w:r w:rsidRPr="00A44316">
        <w:t>[</w:t>
      </w:r>
      <w:r w:rsidR="00A92307" w:rsidRPr="00A44316">
        <w:t>5</w:t>
      </w:r>
      <w:r w:rsidRPr="00A44316">
        <w:t>]</w:t>
      </w:r>
      <w:r w:rsidR="00154070" w:rsidRPr="00A44316">
        <w:t xml:space="preserve"> Atbilstoši Administratīvā procesa likuma </w:t>
      </w:r>
      <w:proofErr w:type="gramStart"/>
      <w:r w:rsidR="00154070" w:rsidRPr="00A44316">
        <w:t>185.pantam</w:t>
      </w:r>
      <w:proofErr w:type="gramEnd"/>
      <w:r w:rsidR="00154070" w:rsidRPr="00A44316">
        <w:t xml:space="preserve"> pagaidu aizsardzības līdzekļu piemērošanas pamats ir divu kumulatīvu kritēriju iestāšanās: pirmkārt, tiesas konstatējums, ka tad, ja pagaidu aizsardzības līdzekļi netiktu piemēroti, varētu rasties būtisks kaitējums vai zaudējumi, kuru novēršana vai atlīdzināšana būtu ievērojami apgrūtināta vai prasītu nesamērīgus resursus (subjektīvais kritērijs), un, otrkārt, secinājums, ka pārsūdzētais lēmums ir </w:t>
      </w:r>
      <w:proofErr w:type="spellStart"/>
      <w:r w:rsidR="00154070" w:rsidRPr="00A44316">
        <w:t>pirmšķietami</w:t>
      </w:r>
      <w:proofErr w:type="spellEnd"/>
      <w:r w:rsidR="00154070" w:rsidRPr="00A44316">
        <w:t xml:space="preserve"> prettiesisks (objektīvais kritērijs).</w:t>
      </w:r>
    </w:p>
    <w:p w14:paraId="635AD13C" w14:textId="542E4318" w:rsidR="00154070" w:rsidRPr="00A44316" w:rsidRDefault="00154070" w:rsidP="009D7161">
      <w:pPr>
        <w:spacing w:line="276" w:lineRule="auto"/>
        <w:ind w:firstLine="567"/>
        <w:jc w:val="both"/>
      </w:pPr>
      <w:r w:rsidRPr="00A44316">
        <w:t>Ievērojot pieteicējas blakus sūdzībā norādīto argumentu būtību, blakus sūdzības izskatīšanas ietvaros noskaidrojams, vai pirmās instances tiesa</w:t>
      </w:r>
      <w:proofErr w:type="gramStart"/>
      <w:r w:rsidRPr="00A44316">
        <w:t xml:space="preserve"> pamatoti secinājusi</w:t>
      </w:r>
      <w:proofErr w:type="gramEnd"/>
      <w:r w:rsidRPr="00A44316">
        <w:t xml:space="preserve">, ka </w:t>
      </w:r>
      <w:r w:rsidR="00032C64" w:rsidRPr="00A44316">
        <w:t xml:space="preserve">pārsūdzētais lēmums </w:t>
      </w:r>
      <w:proofErr w:type="spellStart"/>
      <w:r w:rsidR="00645043" w:rsidRPr="00A44316">
        <w:t>pirmšķietami</w:t>
      </w:r>
      <w:proofErr w:type="spellEnd"/>
      <w:r w:rsidR="00645043" w:rsidRPr="00A44316">
        <w:t xml:space="preserve"> ir tiesisks</w:t>
      </w:r>
      <w:r w:rsidR="00032C64" w:rsidRPr="00A44316">
        <w:t xml:space="preserve"> </w:t>
      </w:r>
      <w:r w:rsidRPr="00A44316">
        <w:t xml:space="preserve">un tātad – nav konstatējams pagaidu aizsardzības </w:t>
      </w:r>
      <w:r w:rsidR="002B7EC0" w:rsidRPr="00A44316">
        <w:t xml:space="preserve">līdzekļu </w:t>
      </w:r>
      <w:r w:rsidRPr="00A44316">
        <w:t>piemērošanas objektīvais kritērijs</w:t>
      </w:r>
      <w:r w:rsidR="00CB7EE8" w:rsidRPr="00A44316">
        <w:t>.</w:t>
      </w:r>
    </w:p>
    <w:p w14:paraId="605C135D" w14:textId="498BF534" w:rsidR="009343AB" w:rsidRPr="00A44316" w:rsidRDefault="009343AB" w:rsidP="009D7161">
      <w:pPr>
        <w:spacing w:line="276" w:lineRule="auto"/>
        <w:ind w:firstLine="567"/>
        <w:jc w:val="both"/>
      </w:pPr>
    </w:p>
    <w:p w14:paraId="70C32598" w14:textId="64B97AFF" w:rsidR="00645043" w:rsidRPr="00A44316" w:rsidRDefault="009343AB" w:rsidP="009D7161">
      <w:pPr>
        <w:spacing w:line="276" w:lineRule="auto"/>
        <w:ind w:firstLine="567"/>
        <w:jc w:val="both"/>
      </w:pPr>
      <w:r w:rsidRPr="00A44316">
        <w:t>[</w:t>
      </w:r>
      <w:r w:rsidR="00A92307" w:rsidRPr="00A44316">
        <w:t>6</w:t>
      </w:r>
      <w:r w:rsidRPr="00A44316">
        <w:t>] </w:t>
      </w:r>
      <w:r w:rsidR="009C51E0" w:rsidRPr="00A44316">
        <w:t>Ar pārsūdzēto lēmumu pieteicējas piedāvājums atzīts par neatbilstošu</w:t>
      </w:r>
      <w:r w:rsidR="000B54C6" w:rsidRPr="00A44316">
        <w:t xml:space="preserve"> iepirkuma nolikuma 4.1.1.punktā ietvertajai pieredzes prasībai.</w:t>
      </w:r>
    </w:p>
    <w:p w14:paraId="194AA1E9" w14:textId="05F9D23C" w:rsidR="009343AB" w:rsidRPr="00A44316" w:rsidRDefault="000B54C6" w:rsidP="009D7161">
      <w:pPr>
        <w:spacing w:line="276" w:lineRule="auto"/>
        <w:ind w:firstLine="567"/>
        <w:jc w:val="both"/>
      </w:pPr>
      <w:r w:rsidRPr="00A44316">
        <w:t>Minētā iepirkuma nolikuma norma</w:t>
      </w:r>
      <w:r w:rsidR="003B14B4" w:rsidRPr="00A44316">
        <w:t xml:space="preserve"> paredzēja, ka pretendentam </w:t>
      </w:r>
      <w:r w:rsidR="00221C29" w:rsidRPr="00A44316">
        <w:t xml:space="preserve">ir </w:t>
      </w:r>
      <w:r w:rsidR="003B14B4" w:rsidRPr="00A44316">
        <w:t>jāiesniedz apliecinājums, ka pretendents pēdējo trīs gadu laikā ir izpildījis vismaz vienu iepirkuma priekšmetam (vai attiecīg</w:t>
      </w:r>
      <w:r w:rsidR="00E85DAF" w:rsidRPr="00A44316">
        <w:t>ajai</w:t>
      </w:r>
      <w:r w:rsidR="003B14B4" w:rsidRPr="00A44316">
        <w:t xml:space="preserve"> daļa</w:t>
      </w:r>
      <w:r w:rsidR="00E85DAF" w:rsidRPr="00A44316">
        <w:t>i</w:t>
      </w:r>
      <w:r w:rsidR="003B14B4" w:rsidRPr="00A44316">
        <w:t>) atbilstoš</w:t>
      </w:r>
      <w:r w:rsidR="00221C29" w:rsidRPr="00A44316">
        <w:t>u</w:t>
      </w:r>
      <w:r w:rsidR="003B14B4" w:rsidRPr="00A44316">
        <w:t xml:space="preserve"> (ēdiena gatavošanas) pakalpojuma līgumu. </w:t>
      </w:r>
      <w:r w:rsidR="002A7685" w:rsidRPr="00A44316">
        <w:t xml:space="preserve">Atbilstoši minētajai nolikuma normai par </w:t>
      </w:r>
      <w:r w:rsidR="003B14B4" w:rsidRPr="00A44316">
        <w:t xml:space="preserve">iepirkuma priekšmetam atbilstošu līgumu tiks uzskatīts tāds līgums (vai vairāki līgumi), kura ietvaros viena gada laikā ir izpildīts tāds ēdiena </w:t>
      </w:r>
      <w:r w:rsidR="003B14B4" w:rsidRPr="00A44316">
        <w:lastRenderedPageBreak/>
        <w:t xml:space="preserve">pagatavošanas darbu apjoms, kas nav mazāks par iepirkuma nolikuma tehniskajā specifikācijā norādīto prognozējamo (attiecīgās daļas) gada apjomu. </w:t>
      </w:r>
      <w:r w:rsidR="009948CE" w:rsidRPr="00A44316">
        <w:t>P</w:t>
      </w:r>
      <w:r w:rsidR="006F5E40" w:rsidRPr="00A44316">
        <w:t>roti, p</w:t>
      </w:r>
      <w:r w:rsidR="009948CE" w:rsidRPr="00A44316">
        <w:t>retendent</w:t>
      </w:r>
      <w:r w:rsidR="00CD28E2" w:rsidRPr="00A44316">
        <w:t xml:space="preserve">am </w:t>
      </w:r>
      <w:r w:rsidR="009948CE" w:rsidRPr="00A44316">
        <w:t>2015.</w:t>
      </w:r>
      <w:r w:rsidR="00365F11" w:rsidRPr="00A44316">
        <w:t>,</w:t>
      </w:r>
      <w:r w:rsidR="009948CE" w:rsidRPr="00A44316">
        <w:t xml:space="preserve"> 2016., 2017. vai </w:t>
      </w:r>
      <w:proofErr w:type="gramStart"/>
      <w:r w:rsidR="009948CE" w:rsidRPr="00A44316">
        <w:t>2018.gadā</w:t>
      </w:r>
      <w:proofErr w:type="gramEnd"/>
      <w:r w:rsidR="009948CE" w:rsidRPr="00A44316">
        <w:t xml:space="preserve"> līdz piedāvājuma iesniegšanas brīdim</w:t>
      </w:r>
      <w:r w:rsidR="00B47BB9" w:rsidRPr="00A44316">
        <w:t xml:space="preserve"> viena kalendārā gada laikā ir </w:t>
      </w:r>
      <w:r w:rsidR="00CD28E2" w:rsidRPr="00A44316">
        <w:t>bijis jāpagatavo tāds</w:t>
      </w:r>
      <w:r w:rsidR="00B47BB9" w:rsidRPr="00A44316">
        <w:t xml:space="preserve"> ēdiena porciju skait</w:t>
      </w:r>
      <w:r w:rsidR="00CD28E2" w:rsidRPr="00A44316">
        <w:t>s</w:t>
      </w:r>
      <w:r w:rsidR="00B47BB9" w:rsidRPr="00A44316">
        <w:t>, kas nav mazāks par attiecīgajā iepirkuma daļā prognozējamo porciju skaitu gadā.</w:t>
      </w:r>
      <w:r w:rsidR="00CD7161" w:rsidRPr="00A44316">
        <w:t xml:space="preserve"> </w:t>
      </w:r>
      <w:r w:rsidR="00D45A76" w:rsidRPr="00A44316">
        <w:t xml:space="preserve">Tālāk nolikuma normā norādīts </w:t>
      </w:r>
      <w:r w:rsidR="007148EA" w:rsidRPr="00A44316">
        <w:t>prognozējamais</w:t>
      </w:r>
      <w:r w:rsidR="00D45A76" w:rsidRPr="00A44316">
        <w:t xml:space="preserve"> porciju skaits gadā katr</w:t>
      </w:r>
      <w:r w:rsidR="00940AD8" w:rsidRPr="00A44316">
        <w:t>ai</w:t>
      </w:r>
      <w:r w:rsidR="00D45A76" w:rsidRPr="00A44316">
        <w:t xml:space="preserve"> iepirkuma daļ</w:t>
      </w:r>
      <w:r w:rsidR="00940AD8" w:rsidRPr="00A44316">
        <w:t>ai</w:t>
      </w:r>
      <w:r w:rsidR="004F1949" w:rsidRPr="00A44316">
        <w:t xml:space="preserve"> (ieslodzījuma vietai)</w:t>
      </w:r>
      <w:r w:rsidR="00940AD8" w:rsidRPr="00A44316">
        <w:t>,</w:t>
      </w:r>
      <w:r w:rsidR="00D45A76" w:rsidRPr="00A44316">
        <w:t xml:space="preserve"> kas ņemams vērā aprēķina veikšanā</w:t>
      </w:r>
      <w:r w:rsidR="00F04E80" w:rsidRPr="00A44316">
        <w:t xml:space="preserve">, un paskaidrots, ka gadījumā, ja pretendents iesniegs piedāvājumu par vairākām vai visām iepirkuma daļām, pretendenta pieredze tiks vērtēta, saskaitot kopā attiecīgajās daļās </w:t>
      </w:r>
      <w:r w:rsidR="00A92C25" w:rsidRPr="00A44316">
        <w:t>norādīto</w:t>
      </w:r>
      <w:r w:rsidR="00F04E80" w:rsidRPr="00A44316">
        <w:t xml:space="preserve"> porciju skaitu.</w:t>
      </w:r>
    </w:p>
    <w:p w14:paraId="39942465" w14:textId="77EA6F8F" w:rsidR="0043711B" w:rsidRPr="00A44316" w:rsidRDefault="00DC59A9" w:rsidP="009D7161">
      <w:pPr>
        <w:spacing w:line="276" w:lineRule="auto"/>
        <w:ind w:firstLine="567"/>
        <w:jc w:val="both"/>
      </w:pPr>
      <w:r w:rsidRPr="00A44316">
        <w:t>Tātad</w:t>
      </w:r>
      <w:r w:rsidR="008F3652" w:rsidRPr="00A44316">
        <w:t xml:space="preserve"> minētā nolikuma norma būtībā ietver prasību par pretendenta iepriekšējo pieredzi tāda apjoma (skaita) </w:t>
      </w:r>
      <w:r w:rsidR="0013718D" w:rsidRPr="00A44316">
        <w:t>ēdiena porciju pagatavošanā viena kalendārā gada laikā, kāds provizoriski</w:t>
      </w:r>
      <w:r w:rsidR="00AC08FE" w:rsidRPr="00A44316">
        <w:t xml:space="preserve"> </w:t>
      </w:r>
      <w:r w:rsidR="00360430" w:rsidRPr="00A44316">
        <w:t xml:space="preserve">iepirkuma līguma izpildes gaitā </w:t>
      </w:r>
      <w:r w:rsidR="000A01F4" w:rsidRPr="00A44316">
        <w:t xml:space="preserve">pretendentam </w:t>
      </w:r>
      <w:r w:rsidR="00A92307" w:rsidRPr="00A44316">
        <w:t>tādā</w:t>
      </w:r>
      <w:r w:rsidR="00F4728A" w:rsidRPr="00A44316">
        <w:t xml:space="preserve"> pašā laika periodā</w:t>
      </w:r>
      <w:r w:rsidR="00CA07C4" w:rsidRPr="00A44316">
        <w:t xml:space="preserve"> </w:t>
      </w:r>
      <w:r w:rsidR="004F1949" w:rsidRPr="00A44316">
        <w:t>būs jāpagatavo ieslodzījuma vietās esošajām personām</w:t>
      </w:r>
      <w:r w:rsidR="00A306AF" w:rsidRPr="00A44316">
        <w:t>.</w:t>
      </w:r>
    </w:p>
    <w:p w14:paraId="6F2AB8AF" w14:textId="1B3A86DE" w:rsidR="000A638B" w:rsidRPr="00A44316" w:rsidRDefault="000A638B" w:rsidP="009D7161">
      <w:pPr>
        <w:spacing w:line="276" w:lineRule="auto"/>
        <w:ind w:firstLine="567"/>
        <w:jc w:val="both"/>
      </w:pPr>
      <w:r w:rsidRPr="00A44316">
        <w:t>Senāta ieskatā, pasūtītāja minēto prasību izvirzījusi, lai pārliecinātos, ka pakalpojuma sniedzējs spēs laikus un kvalitatīvi sagatavot nepieciešamo ēdiena porciju skaitu. Ņemot vērā, ka pakalpojums ir saistīts ar cilvēku regulāru nodrošināšanu ar ēdienu, ir saprotama pasūtītājas vēlme maksimāli izvairīties no riska, ka pakalpojums netiek sniegts pienācīgi.</w:t>
      </w:r>
    </w:p>
    <w:p w14:paraId="74DE196B" w14:textId="63DD6F9D" w:rsidR="0043711B" w:rsidRPr="00A44316" w:rsidRDefault="0043711B" w:rsidP="009D7161">
      <w:pPr>
        <w:spacing w:line="276" w:lineRule="auto"/>
        <w:ind w:firstLine="567"/>
        <w:jc w:val="both"/>
      </w:pPr>
    </w:p>
    <w:p w14:paraId="4FE04A9D" w14:textId="77C6AD98" w:rsidR="00BE5269" w:rsidRPr="00A44316" w:rsidRDefault="0043711B" w:rsidP="009D7161">
      <w:pPr>
        <w:spacing w:line="276" w:lineRule="auto"/>
        <w:ind w:firstLine="567"/>
        <w:jc w:val="both"/>
      </w:pPr>
      <w:r w:rsidRPr="00A44316">
        <w:t>[</w:t>
      </w:r>
      <w:r w:rsidR="00A92307" w:rsidRPr="00A44316">
        <w:t>7</w:t>
      </w:r>
      <w:r w:rsidRPr="00A44316">
        <w:t>] </w:t>
      </w:r>
      <w:r w:rsidR="00ED3B45" w:rsidRPr="00A44316">
        <w:t xml:space="preserve">Pirmās instances tiesa </w:t>
      </w:r>
      <w:r w:rsidR="00112746" w:rsidRPr="00A44316">
        <w:t xml:space="preserve">pārsūdzētajā lēmumā </w:t>
      </w:r>
      <w:r w:rsidR="00ED3B45" w:rsidRPr="00A44316">
        <w:t>atzin</w:t>
      </w:r>
      <w:r w:rsidR="00BE3C4D" w:rsidRPr="00A44316">
        <w:t>usi</w:t>
      </w:r>
      <w:r w:rsidR="00ED3B45" w:rsidRPr="00A44316">
        <w:t xml:space="preserve">, ka iestādes secinājums par pieteicējas piedāvājuma neatbilstību iepirkuma nolikuma </w:t>
      </w:r>
      <w:r w:rsidR="00365F11" w:rsidRPr="00A44316">
        <w:t xml:space="preserve">strīdus </w:t>
      </w:r>
      <w:r w:rsidR="00ED3B45" w:rsidRPr="00A44316">
        <w:t xml:space="preserve">normai </w:t>
      </w:r>
      <w:proofErr w:type="spellStart"/>
      <w:r w:rsidR="00ED3B45" w:rsidRPr="00A44316">
        <w:t>pirmšķietami</w:t>
      </w:r>
      <w:proofErr w:type="spellEnd"/>
      <w:r w:rsidR="00ED3B45" w:rsidRPr="00A44316">
        <w:t xml:space="preserve"> ir pamatots.</w:t>
      </w:r>
      <w:r w:rsidR="00BE5269" w:rsidRPr="00A44316">
        <w:t xml:space="preserve"> </w:t>
      </w:r>
      <w:r w:rsidR="00151F6A" w:rsidRPr="00A44316">
        <w:t xml:space="preserve">Tiesa konstatēja, ka pieteicēja kā piegādātāju apvienība (pilnsabiedrība), kuru veido divi </w:t>
      </w:r>
      <w:r w:rsidR="00EC566B" w:rsidRPr="00A44316">
        <w:t>biedri</w:t>
      </w:r>
      <w:r w:rsidR="00151F6A" w:rsidRPr="00A44316">
        <w:t xml:space="preserve"> – </w:t>
      </w:r>
      <w:bookmarkStart w:id="1" w:name="_Hlk70336916"/>
      <w:r w:rsidR="00151F6A" w:rsidRPr="00A44316">
        <w:t>SIA „</w:t>
      </w:r>
      <w:proofErr w:type="spellStart"/>
      <w:r w:rsidR="00151F6A" w:rsidRPr="00A44316">
        <w:t>Ēdiens.lv</w:t>
      </w:r>
      <w:proofErr w:type="spellEnd"/>
      <w:r w:rsidR="00151F6A" w:rsidRPr="00A44316">
        <w:t>” un SI „Bruneros</w:t>
      </w:r>
      <w:bookmarkEnd w:id="1"/>
      <w:r w:rsidR="00151F6A" w:rsidRPr="00A44316">
        <w:t>”</w:t>
      </w:r>
      <w:r w:rsidR="00EC566B" w:rsidRPr="00A44316">
        <w:t xml:space="preserve"> –, savā piedāvājumā </w:t>
      </w:r>
      <w:proofErr w:type="spellStart"/>
      <w:r w:rsidR="00EC566B" w:rsidRPr="00A44316">
        <w:t>citstarp</w:t>
      </w:r>
      <w:proofErr w:type="spellEnd"/>
      <w:r w:rsidR="00EC566B" w:rsidRPr="00A44316">
        <w:t xml:space="preserve"> </w:t>
      </w:r>
      <w:proofErr w:type="gramStart"/>
      <w:r w:rsidR="00EC566B" w:rsidRPr="00A44316">
        <w:t>atsaukusies uz tās biedra SI „Bruneros” iepriekšējo</w:t>
      </w:r>
      <w:proofErr w:type="gramEnd"/>
      <w:r w:rsidR="00EC566B" w:rsidRPr="00A44316">
        <w:t xml:space="preserve"> pieredzi ēdiena porciju pagatavošanā, tomēr minētais pieteicējas biedrs </w:t>
      </w:r>
      <w:r w:rsidR="00947150" w:rsidRPr="00A44316">
        <w:t>iepirkuma līguma izpildes gaitā faktiski nenodrošinās ēdiena gatavošanu. Tāpēc tiesa secināja, ka SI „Bruneros” pieredze ēdiena porciju pagatavošanā nav ņemama vērā</w:t>
      </w:r>
      <w:r w:rsidR="00351408" w:rsidRPr="00A44316">
        <w:t xml:space="preserve">, vērtējot, vai pieteicējai ir </w:t>
      </w:r>
      <w:r w:rsidR="0022646C" w:rsidRPr="00A44316">
        <w:t>strīdus nolikuma normai</w:t>
      </w:r>
      <w:r w:rsidR="001D5CCA" w:rsidRPr="00A44316">
        <w:t xml:space="preserve"> </w:t>
      </w:r>
      <w:r w:rsidR="00351408" w:rsidRPr="00A44316">
        <w:t>atbilstoša pieredze.</w:t>
      </w:r>
    </w:p>
    <w:p w14:paraId="63BDD9A2" w14:textId="69CE4457" w:rsidR="002D1721" w:rsidRPr="00A44316" w:rsidRDefault="001D5CCA" w:rsidP="009D7161">
      <w:pPr>
        <w:spacing w:line="276" w:lineRule="auto"/>
        <w:ind w:firstLine="567"/>
        <w:jc w:val="both"/>
      </w:pPr>
      <w:r w:rsidRPr="00A44316">
        <w:t>Savukārt pieteicēja uzskata, ka</w:t>
      </w:r>
      <w:r w:rsidR="00BE64BB" w:rsidRPr="00A44316">
        <w:t xml:space="preserve">, vērtējot pieteicējas piedāvājuma atbilstību </w:t>
      </w:r>
      <w:r w:rsidR="005747E2" w:rsidRPr="00A44316">
        <w:t xml:space="preserve">strīdus </w:t>
      </w:r>
      <w:r w:rsidR="00BE64BB" w:rsidRPr="00A44316">
        <w:t xml:space="preserve">nolikuma normai, </w:t>
      </w:r>
      <w:r w:rsidR="00914BBE" w:rsidRPr="00A44316">
        <w:t xml:space="preserve">nevar neņemt vērā </w:t>
      </w:r>
      <w:r w:rsidR="00AC3673" w:rsidRPr="00A44316">
        <w:t xml:space="preserve">kāda tās biedra </w:t>
      </w:r>
      <w:r w:rsidR="00914BBE" w:rsidRPr="00A44316">
        <w:t>iepriekšējo pieredzi, jo</w:t>
      </w:r>
      <w:r w:rsidR="000A4997" w:rsidRPr="00A44316">
        <w:t xml:space="preserve"> </w:t>
      </w:r>
      <w:r w:rsidR="004E2D72" w:rsidRPr="00A44316">
        <w:t xml:space="preserve">pilnsabiedrības gadījumā </w:t>
      </w:r>
      <w:r w:rsidR="00914BBE" w:rsidRPr="00A44316">
        <w:t>visu tās biedru atbildība attiecībā pret trešajām personām, tostarp pasūtītāju, ir solidāra.</w:t>
      </w:r>
      <w:r w:rsidR="001A053D" w:rsidRPr="00A44316">
        <w:t xml:space="preserve"> </w:t>
      </w:r>
    </w:p>
    <w:p w14:paraId="69FD9977" w14:textId="7CBA94E5" w:rsidR="00F54857" w:rsidRPr="00A44316" w:rsidRDefault="00F54857" w:rsidP="009D7161">
      <w:pPr>
        <w:spacing w:line="276" w:lineRule="auto"/>
        <w:jc w:val="both"/>
      </w:pPr>
    </w:p>
    <w:p w14:paraId="24EEE014" w14:textId="1BFE88BF" w:rsidR="0019284E" w:rsidRPr="00A44316" w:rsidRDefault="00F54857" w:rsidP="009D7161">
      <w:pPr>
        <w:spacing w:line="276" w:lineRule="auto"/>
        <w:ind w:firstLine="567"/>
        <w:jc w:val="both"/>
      </w:pPr>
      <w:r w:rsidRPr="00A44316">
        <w:t>[</w:t>
      </w:r>
      <w:r w:rsidR="00A92307" w:rsidRPr="00A44316">
        <w:t>8</w:t>
      </w:r>
      <w:r w:rsidRPr="00A44316">
        <w:t>] </w:t>
      </w:r>
      <w:r w:rsidR="00994E9D" w:rsidRPr="00A44316">
        <w:t xml:space="preserve">Pasūtītāja tiesības noteikt prasības attiecībā uz iepirkuma līguma izpildei nepieciešamajām pretendenta tehniskajām un profesionālajām spējām </w:t>
      </w:r>
      <w:r w:rsidR="00D852C2" w:rsidRPr="00A44316">
        <w:t xml:space="preserve">paredz </w:t>
      </w:r>
      <w:r w:rsidR="00994E9D" w:rsidRPr="00A44316">
        <w:t xml:space="preserve">Publisko iepirkumu likuma </w:t>
      </w:r>
      <w:proofErr w:type="gramStart"/>
      <w:r w:rsidR="00994E9D" w:rsidRPr="00A44316">
        <w:t>46.panta</w:t>
      </w:r>
      <w:proofErr w:type="gramEnd"/>
      <w:r w:rsidR="00994E9D" w:rsidRPr="00A44316">
        <w:t xml:space="preserve"> </w:t>
      </w:r>
      <w:r w:rsidR="00D852C2" w:rsidRPr="00A44316">
        <w:t>pirmā daļa</w:t>
      </w:r>
      <w:r w:rsidR="00994E9D" w:rsidRPr="00A44316">
        <w:t xml:space="preserve">. Tostarp minētajā tiesību normā tieši noteikts, ka šādas prasības var attiekties </w:t>
      </w:r>
      <w:r w:rsidR="00507BFD" w:rsidRPr="00A44316">
        <w:t xml:space="preserve">arī </w:t>
      </w:r>
      <w:r w:rsidR="00994E9D" w:rsidRPr="00A44316">
        <w:t>uz piegādātāja pieredzi.</w:t>
      </w:r>
      <w:r w:rsidR="0019284E" w:rsidRPr="00A44316">
        <w:t xml:space="preserve"> </w:t>
      </w:r>
      <w:r w:rsidR="00507BFD" w:rsidRPr="00A44316">
        <w:t>Tieši pretendenta pieredze</w:t>
      </w:r>
      <w:r w:rsidR="001962B4" w:rsidRPr="00A44316">
        <w:t xml:space="preserve"> </w:t>
      </w:r>
      <w:r w:rsidR="00507BFD" w:rsidRPr="00A44316">
        <w:t xml:space="preserve">ir viens no galvenajiem faktoriem, kas pasūtītājam ļauj novērtēt sagaidāmo pakalpojumu kvalitāti, tālab vispārīgi pasūtītājam ir rīcības brīvība izvirzīt pieredzes prasības, kas atbilst paredzamā iepirkuma līguma priekšmetam, iepērkamo pakalpojumu apjomam, sarežģītībai un citiem būtiskiem aspektiem (sal. </w:t>
      </w:r>
      <w:r w:rsidR="00507BFD" w:rsidRPr="00A44316">
        <w:rPr>
          <w:i/>
        </w:rPr>
        <w:t xml:space="preserve">Senāta </w:t>
      </w:r>
      <w:proofErr w:type="gramStart"/>
      <w:r w:rsidR="00507BFD" w:rsidRPr="00A44316">
        <w:rPr>
          <w:i/>
        </w:rPr>
        <w:t>2018.gada</w:t>
      </w:r>
      <w:proofErr w:type="gramEnd"/>
      <w:r w:rsidR="00507BFD" w:rsidRPr="00A44316">
        <w:rPr>
          <w:i/>
        </w:rPr>
        <w:t xml:space="preserve"> 21.maija lēmuma lietā Nr. SKA-1222/2018 (ECLI:LV:AT:2018:0521.A420171118.5.L) 17.punkts, </w:t>
      </w:r>
      <w:r w:rsidR="00E06A00" w:rsidRPr="00A44316">
        <w:rPr>
          <w:i/>
        </w:rPr>
        <w:t>2020.gada 27.augusta sprieduma lietā Nr. SKA-297/2020 (</w:t>
      </w:r>
      <w:r w:rsidR="001031E8" w:rsidRPr="00A44316">
        <w:rPr>
          <w:i/>
        </w:rPr>
        <w:t>ECLI:LV:AT:2020:0827.A420336717.9.S</w:t>
      </w:r>
      <w:r w:rsidR="00E06A00" w:rsidRPr="00A44316">
        <w:rPr>
          <w:i/>
        </w:rPr>
        <w:t>) 9.punkts</w:t>
      </w:r>
      <w:r w:rsidR="00507BFD" w:rsidRPr="00A44316">
        <w:t>).</w:t>
      </w:r>
      <w:r w:rsidR="001D6352" w:rsidRPr="00A44316">
        <w:t xml:space="preserve"> </w:t>
      </w:r>
    </w:p>
    <w:p w14:paraId="045CEE4E" w14:textId="20325A91" w:rsidR="0074582D" w:rsidRPr="00A44316" w:rsidRDefault="00F21386" w:rsidP="009D7161">
      <w:pPr>
        <w:spacing w:line="276" w:lineRule="auto"/>
        <w:ind w:firstLine="567"/>
        <w:jc w:val="both"/>
      </w:pPr>
      <w:r w:rsidRPr="00A44316">
        <w:t xml:space="preserve">Prasību, ka pretendentam ir </w:t>
      </w:r>
      <w:r w:rsidR="00B80FB4" w:rsidRPr="00A44316">
        <w:t>konkrēta ar iepirkuma līguma izpildi saistīta</w:t>
      </w:r>
      <w:r w:rsidRPr="00A44316">
        <w:t xml:space="preserve"> iepriekšējā pieredze,</w:t>
      </w:r>
      <w:r w:rsidR="002032B3" w:rsidRPr="00A44316">
        <w:t xml:space="preserve"> </w:t>
      </w:r>
      <w:r w:rsidR="00BA505F" w:rsidRPr="00A44316">
        <w:t xml:space="preserve">jēga ir vērsta uz to, lai piedāvājums atbilstu pasūtītāja iecerēm un tas saņemtu iepirkuma priekšmetam atbilstošu un pēc iespējas kvalitatīvu izpildījumu, tādējādi sasniedzot </w:t>
      </w:r>
      <w:r w:rsidR="00445DE7" w:rsidRPr="00A44316">
        <w:t>vienu no galvenajiem publisk</w:t>
      </w:r>
      <w:r w:rsidR="00C578F4" w:rsidRPr="00A44316">
        <w:t>o</w:t>
      </w:r>
      <w:r w:rsidR="00445DE7" w:rsidRPr="00A44316">
        <w:t xml:space="preserve"> iepirkum</w:t>
      </w:r>
      <w:r w:rsidR="00C578F4" w:rsidRPr="00A44316">
        <w:t>u</w:t>
      </w:r>
      <w:r w:rsidR="00445DE7" w:rsidRPr="00A44316">
        <w:t xml:space="preserve"> regulējuma </w:t>
      </w:r>
      <w:r w:rsidR="00BA505F" w:rsidRPr="00A44316">
        <w:t>mērķi</w:t>
      </w:r>
      <w:r w:rsidR="00445DE7" w:rsidRPr="00A44316">
        <w:t>em</w:t>
      </w:r>
      <w:r w:rsidR="00BA505F" w:rsidRPr="00A44316">
        <w:t xml:space="preserve"> – pasūtītāja līdzekļu efektīvu izmantošanu, maksimāli samazinot nekvalitatīva izpildījuma risku.</w:t>
      </w:r>
      <w:r w:rsidR="00445DE7" w:rsidRPr="00A44316">
        <w:t xml:space="preserve"> Ir pašsaprotami, ka </w:t>
      </w:r>
      <w:r w:rsidR="00445DE7" w:rsidRPr="00A44316">
        <w:lastRenderedPageBreak/>
        <w:t xml:space="preserve">pretendents, kuram jau ir </w:t>
      </w:r>
      <w:r w:rsidR="00753854" w:rsidRPr="00A44316">
        <w:t xml:space="preserve">veiksmīga </w:t>
      </w:r>
      <w:r w:rsidR="00445DE7" w:rsidRPr="00A44316">
        <w:t xml:space="preserve">iepriekšējā pieredze iepirkuma līguma priekšmetam līdzīgu vai identisku </w:t>
      </w:r>
      <w:r w:rsidR="00CE7755" w:rsidRPr="00A44316">
        <w:t xml:space="preserve">pakalpojumu sniegšanā vai preču piegādē, </w:t>
      </w:r>
      <w:r w:rsidR="00753854" w:rsidRPr="00A44316">
        <w:t xml:space="preserve">ar daudz lielāku varbūtību nekā pretendents, kuram šādas pieredzes nav, spēs </w:t>
      </w:r>
      <w:r w:rsidR="002A329C" w:rsidRPr="00A44316">
        <w:t xml:space="preserve">kvalitatīvi un </w:t>
      </w:r>
      <w:r w:rsidR="00FE35F5" w:rsidRPr="00A44316">
        <w:t>savlaicīgi</w:t>
      </w:r>
      <w:r w:rsidR="002A329C" w:rsidRPr="00A44316">
        <w:t xml:space="preserve"> </w:t>
      </w:r>
      <w:r w:rsidR="00753854" w:rsidRPr="00A44316">
        <w:t>izpildīt arī konkrēto iepirkuma līgumu.</w:t>
      </w:r>
      <w:r w:rsidR="00B56D80" w:rsidRPr="00A44316">
        <w:t xml:space="preserve"> Tāpēc, vērtējot to, vai konkrēts pretendents atbilst pasūtītāja izvirzītajām pieredzes prasībām, </w:t>
      </w:r>
      <w:r w:rsidR="0019284E" w:rsidRPr="00A44316">
        <w:t>būtiski</w:t>
      </w:r>
      <w:r w:rsidR="00DC46F7" w:rsidRPr="00A44316">
        <w:t xml:space="preserve"> ir tas, vai pretendentam patiešām faktiski </w:t>
      </w:r>
      <w:r w:rsidR="00E54B74" w:rsidRPr="00A44316">
        <w:t>piemīt</w:t>
      </w:r>
      <w:r w:rsidR="00DC46F7" w:rsidRPr="00A44316">
        <w:t xml:space="preserve"> attiecīgā pieredze, </w:t>
      </w:r>
      <w:r w:rsidR="0019284E" w:rsidRPr="00A44316">
        <w:t xml:space="preserve">jo </w:t>
      </w:r>
      <w:r w:rsidR="00DC46F7" w:rsidRPr="00A44316">
        <w:t>formāla pieeja šajā jautājumā n</w:t>
      </w:r>
      <w:r w:rsidR="0019284E" w:rsidRPr="00A44316">
        <w:t>enodrošinās tā mērķa sasniegšanu, kura dēļ nolikumā vispār tiek ietverta konkrētas pieredzes prasība</w:t>
      </w:r>
      <w:r w:rsidR="00DC46F7" w:rsidRPr="00A44316">
        <w:t>.</w:t>
      </w:r>
    </w:p>
    <w:p w14:paraId="08F67D0E" w14:textId="230AC062" w:rsidR="00666402" w:rsidRPr="00A44316" w:rsidRDefault="00666402" w:rsidP="009D7161">
      <w:pPr>
        <w:spacing w:line="276" w:lineRule="auto"/>
        <w:ind w:firstLine="567"/>
        <w:jc w:val="both"/>
      </w:pPr>
    </w:p>
    <w:p w14:paraId="6E833342" w14:textId="0ED0C9DA" w:rsidR="00666402" w:rsidRPr="00A44316" w:rsidRDefault="00666402" w:rsidP="009D7161">
      <w:pPr>
        <w:spacing w:line="276" w:lineRule="auto"/>
        <w:ind w:firstLine="567"/>
        <w:jc w:val="both"/>
      </w:pPr>
      <w:r w:rsidRPr="00A44316">
        <w:t>[</w:t>
      </w:r>
      <w:r w:rsidR="00A92307" w:rsidRPr="00A44316">
        <w:t>9</w:t>
      </w:r>
      <w:r w:rsidRPr="00A44316">
        <w:t>] </w:t>
      </w:r>
      <w:r w:rsidR="005E1C08" w:rsidRPr="00A44316">
        <w:t xml:space="preserve">Publisko iepirkumu likuma </w:t>
      </w:r>
      <w:proofErr w:type="gramStart"/>
      <w:r w:rsidR="005E1C08" w:rsidRPr="00A44316">
        <w:t>46.panta</w:t>
      </w:r>
      <w:proofErr w:type="gramEnd"/>
      <w:r w:rsidR="005E1C08" w:rsidRPr="00A44316">
        <w:t xml:space="preserve"> ceturtā daļa pieļauj, ka piegādātājs</w:t>
      </w:r>
      <w:r w:rsidR="000B391A" w:rsidRPr="00A44316">
        <w:t xml:space="preserve"> iepirkuma līguma izpildē var balstīties arī uz citu personu tehniskajām un profesionālajām iespējām neatkarīgi no savstarpējo attiecību tiesiskā rakstura. Šādā gadījumā piegādātājs pierāda pasūtītājam, ka tā </w:t>
      </w:r>
      <w:r w:rsidR="00637598" w:rsidRPr="00A44316">
        <w:t>rīcībā būs nepieciešamie resursi, iesniedzot šo personu apliecinājumu vai vienošanos par nepieciešamo resursu nodošanu piegādātāja rīcībā.</w:t>
      </w:r>
      <w:r w:rsidR="003A4960" w:rsidRPr="00A44316">
        <w:t xml:space="preserve"> Attiecībā uz profesionālo pieredzi vai pasūtītāja prasībām atbilstoša personāla pieejamību minētajā tiesību normā arī </w:t>
      </w:r>
      <w:r w:rsidR="00A42143" w:rsidRPr="00A44316">
        <w:t>precizēts</w:t>
      </w:r>
      <w:r w:rsidR="003A4960" w:rsidRPr="00A44316">
        <w:t>, ka uz šādām citu personu iespējām piegādātājs var balstīties tikai tad, ja šīs personas sniegs pakalpojumus, kuru izpildei attiecīgās spējas ir nepieciešamas.</w:t>
      </w:r>
    </w:p>
    <w:p w14:paraId="79D05EB9" w14:textId="77777777" w:rsidR="00927891" w:rsidRPr="00A44316" w:rsidRDefault="00357637" w:rsidP="009D7161">
      <w:pPr>
        <w:spacing w:line="276" w:lineRule="auto"/>
        <w:ind w:firstLine="567"/>
        <w:jc w:val="both"/>
      </w:pPr>
      <w:r w:rsidRPr="00A44316">
        <w:t xml:space="preserve">Minētajā tiesību normā ietvertais regulējums pārņemts no Eiropas Parlamenta un Padomes </w:t>
      </w:r>
      <w:proofErr w:type="gramStart"/>
      <w:r w:rsidRPr="00A44316">
        <w:t>2014.gada</w:t>
      </w:r>
      <w:proofErr w:type="gramEnd"/>
      <w:r w:rsidRPr="00A44316">
        <w:t xml:space="preserve"> 26.februāra Direktīvas 2014/24/ES par publisko iepirkumu un ar ko atceļ Direktīvu 2004/18/EK</w:t>
      </w:r>
      <w:r w:rsidR="000B4A2E" w:rsidRPr="00A44316">
        <w:t xml:space="preserve"> (turpmāk – Direktīva 2014/24/ES)</w:t>
      </w:r>
      <w:r w:rsidR="006D7BB6" w:rsidRPr="00A44316">
        <w:t xml:space="preserve"> 63.panta 1.punkta.</w:t>
      </w:r>
      <w:r w:rsidR="005F5427" w:rsidRPr="00A44316">
        <w:t xml:space="preserve"> </w:t>
      </w:r>
    </w:p>
    <w:p w14:paraId="72C7E645" w14:textId="77777777" w:rsidR="0019284E" w:rsidRPr="00A44316" w:rsidRDefault="0019284E" w:rsidP="009D7161">
      <w:pPr>
        <w:spacing w:line="276" w:lineRule="auto"/>
        <w:ind w:firstLine="567"/>
        <w:jc w:val="both"/>
      </w:pPr>
    </w:p>
    <w:p w14:paraId="52582FDB" w14:textId="3D2EAFB8" w:rsidR="00125FAD" w:rsidRPr="00A44316" w:rsidRDefault="0019284E" w:rsidP="009D7161">
      <w:pPr>
        <w:spacing w:line="276" w:lineRule="auto"/>
        <w:ind w:firstLine="567"/>
        <w:jc w:val="both"/>
      </w:pPr>
      <w:r w:rsidRPr="00A44316">
        <w:t>[</w:t>
      </w:r>
      <w:r w:rsidR="00A92307" w:rsidRPr="00A44316">
        <w:t>10</w:t>
      </w:r>
      <w:r w:rsidRPr="00A44316">
        <w:t xml:space="preserve">] </w:t>
      </w:r>
      <w:r w:rsidR="00125FAD" w:rsidRPr="00A44316">
        <w:t>Tādējādi iepirkuma tiesiskajā regulējumā pakalpojuma sniedzēja iespēja balstīties uz citu personu pieredzi ir</w:t>
      </w:r>
      <w:proofErr w:type="gramStart"/>
      <w:r w:rsidR="00125FAD" w:rsidRPr="00A44316">
        <w:t xml:space="preserve"> nesaraujami saistīta ar nosacījumu</w:t>
      </w:r>
      <w:proofErr w:type="gramEnd"/>
      <w:r w:rsidR="00125FAD" w:rsidRPr="00A44316">
        <w:t>, ka subjekts, kurš faktiski guvis prasīto pieredzi, līguma izpild</w:t>
      </w:r>
      <w:r w:rsidR="0037248E" w:rsidRPr="00A44316">
        <w:t>ē</w:t>
      </w:r>
      <w:r w:rsidR="00125FAD" w:rsidRPr="00A44316">
        <w:t xml:space="preserve"> </w:t>
      </w:r>
      <w:r w:rsidR="00D05BF2" w:rsidRPr="00A44316">
        <w:t>veiks</w:t>
      </w:r>
      <w:r w:rsidR="00125FAD" w:rsidRPr="00A44316">
        <w:t xml:space="preserve"> t</w:t>
      </w:r>
      <w:r w:rsidR="00D05BF2" w:rsidRPr="00A44316">
        <w:t>ās</w:t>
      </w:r>
      <w:r w:rsidR="00125FAD" w:rsidRPr="00A44316">
        <w:t xml:space="preserve"> darbīb</w:t>
      </w:r>
      <w:r w:rsidR="00D05BF2" w:rsidRPr="00A44316">
        <w:t>as</w:t>
      </w:r>
      <w:r w:rsidR="00125FAD" w:rsidRPr="00A44316">
        <w:t>, kuru dēļ attiecīgā pieredze prasīta.</w:t>
      </w:r>
    </w:p>
    <w:p w14:paraId="2CEB95F3" w14:textId="105FD250" w:rsidR="0008450D" w:rsidRPr="00A44316" w:rsidRDefault="0019284E" w:rsidP="009D7161">
      <w:pPr>
        <w:spacing w:line="276" w:lineRule="auto"/>
        <w:ind w:firstLine="567"/>
        <w:jc w:val="both"/>
      </w:pPr>
      <w:r w:rsidRPr="00A44316">
        <w:t xml:space="preserve">Ievērojot jēgu, kāpēc iepirkumā tiek izvirzītas prasības pēc konkrētas pieredzes, </w:t>
      </w:r>
      <w:r w:rsidR="00596488" w:rsidRPr="00A44316">
        <w:t>Senāt</w:t>
      </w:r>
      <w:r w:rsidRPr="00A44316">
        <w:t xml:space="preserve">s </w:t>
      </w:r>
      <w:proofErr w:type="spellStart"/>
      <w:r w:rsidR="00596488" w:rsidRPr="00A44316">
        <w:t>pirmšķietami</w:t>
      </w:r>
      <w:proofErr w:type="spellEnd"/>
      <w:r w:rsidR="00596488" w:rsidRPr="00A44316">
        <w:t xml:space="preserve"> </w:t>
      </w:r>
      <w:r w:rsidRPr="00A44316">
        <w:t xml:space="preserve">saskata pamatu </w:t>
      </w:r>
      <w:r w:rsidR="005B01A4" w:rsidRPr="00A44316">
        <w:t>minēt</w:t>
      </w:r>
      <w:r w:rsidR="00125FAD" w:rsidRPr="00A44316">
        <w:t>o nosacījumu</w:t>
      </w:r>
      <w:r w:rsidR="00D124F4" w:rsidRPr="00A44316">
        <w:t xml:space="preserve"> </w:t>
      </w:r>
      <w:r w:rsidR="009B1C99" w:rsidRPr="00A44316">
        <w:t>attiecinā</w:t>
      </w:r>
      <w:r w:rsidRPr="00A44316">
        <w:t xml:space="preserve">t arī </w:t>
      </w:r>
      <w:r w:rsidR="009B1C99" w:rsidRPr="00A44316">
        <w:t>uz situāciju, kad pretendents ir p</w:t>
      </w:r>
      <w:r w:rsidR="00125FAD" w:rsidRPr="00A44316">
        <w:t>ersonu</w:t>
      </w:r>
      <w:r w:rsidR="009B1C99" w:rsidRPr="00A44316">
        <w:t xml:space="preserve"> apvienība</w:t>
      </w:r>
      <w:r w:rsidR="00125FAD" w:rsidRPr="00A44316">
        <w:t xml:space="preserve"> un vajadzīgā pieredze ir vienam no apvienības </w:t>
      </w:r>
      <w:r w:rsidR="00297BC3">
        <w:t>dalībniekiem</w:t>
      </w:r>
      <w:r w:rsidR="00D0146D" w:rsidRPr="00A44316">
        <w:t>.</w:t>
      </w:r>
      <w:r w:rsidR="00DF1697" w:rsidRPr="00A44316">
        <w:t xml:space="preserve"> </w:t>
      </w:r>
      <w:r w:rsidR="00125FAD" w:rsidRPr="00A44316">
        <w:t>Tas vien, ka piedāvājumu iesniegusi personu apvienība, nevar</w:t>
      </w:r>
      <w:r w:rsidR="00DD0A7F" w:rsidRPr="00A44316">
        <w:t>ētu</w:t>
      </w:r>
      <w:r w:rsidR="00125FAD" w:rsidRPr="00A44316">
        <w:t xml:space="preserve"> būt pietiekams iemesls uzskatīt, ka </w:t>
      </w:r>
      <w:r w:rsidR="00D0146D" w:rsidRPr="00A44316">
        <w:t>tai</w:t>
      </w:r>
      <w:r w:rsidR="00145E0A" w:rsidRPr="00A44316">
        <w:t xml:space="preserve"> atšķirībā no citiem pretendent</w:t>
      </w:r>
      <w:r w:rsidR="00DD0A7F" w:rsidRPr="00A44316">
        <w:t>iem</w:t>
      </w:r>
      <w:r w:rsidR="00CB546F" w:rsidRPr="00A44316">
        <w:t xml:space="preserve"> </w:t>
      </w:r>
      <w:r w:rsidR="001E6069" w:rsidRPr="00A44316">
        <w:t>n</w:t>
      </w:r>
      <w:r w:rsidR="00DD0A7F" w:rsidRPr="00A44316">
        <w:t>av</w:t>
      </w:r>
      <w:r w:rsidR="00D0146D" w:rsidRPr="00A44316">
        <w:t xml:space="preserve"> </w:t>
      </w:r>
      <w:r w:rsidR="00125FAD" w:rsidRPr="00A44316">
        <w:t>būtiski</w:t>
      </w:r>
      <w:r w:rsidR="00D0146D" w:rsidRPr="00A44316">
        <w:t xml:space="preserve"> pierādīt, ka</w:t>
      </w:r>
      <w:r w:rsidR="00142E36" w:rsidRPr="00A44316">
        <w:t xml:space="preserve"> </w:t>
      </w:r>
      <w:r w:rsidR="00D0146D" w:rsidRPr="00A44316">
        <w:t>iepirkuma līguma izpildes gaitā</w:t>
      </w:r>
      <w:r w:rsidR="004C4D30" w:rsidRPr="00A44316">
        <w:t xml:space="preserve"> </w:t>
      </w:r>
      <w:r w:rsidR="00D05BF2" w:rsidRPr="00A44316">
        <w:t>pieredzi guvušais subjekts būs tas, kurš sniegs attiecīgos pakalpojumus</w:t>
      </w:r>
      <w:r w:rsidR="00145E0A" w:rsidRPr="00A44316">
        <w:t>.</w:t>
      </w:r>
      <w:r w:rsidR="00280855" w:rsidRPr="00A44316">
        <w:t xml:space="preserve"> T</w:t>
      </w:r>
      <w:r w:rsidR="00125FAD" w:rsidRPr="00A44316">
        <w:t>āpēc saprātīga ir prasība</w:t>
      </w:r>
      <w:r w:rsidR="000A638B" w:rsidRPr="00A44316">
        <w:t xml:space="preserve">, lai </w:t>
      </w:r>
      <w:r w:rsidR="00280855" w:rsidRPr="00A44316">
        <w:t xml:space="preserve">situācijā, </w:t>
      </w:r>
      <w:proofErr w:type="gramStart"/>
      <w:r w:rsidR="00280855" w:rsidRPr="00A44316">
        <w:t>kad apvienība</w:t>
      </w:r>
      <w:r w:rsidR="00460923" w:rsidRPr="00A44316">
        <w:t xml:space="preserve"> piedāvājumā</w:t>
      </w:r>
      <w:r w:rsidR="00280855" w:rsidRPr="00A44316">
        <w:t xml:space="preserve"> ir atsaukusies uz tās dalībnieka iepriekšējo pieredzi </w:t>
      </w:r>
      <w:r w:rsidR="005A71EC" w:rsidRPr="00A44316">
        <w:t>noteiktu pakalpojumu sniegšanā, pasūtītājam</w:t>
      </w:r>
      <w:r w:rsidR="000A638B" w:rsidRPr="00A44316">
        <w:t xml:space="preserve"> tiek</w:t>
      </w:r>
      <w:proofErr w:type="gramEnd"/>
      <w:r w:rsidR="000A638B" w:rsidRPr="00A44316">
        <w:t xml:space="preserve"> </w:t>
      </w:r>
      <w:r w:rsidR="00125FAD" w:rsidRPr="00A44316">
        <w:t>iesniegt</w:t>
      </w:r>
      <w:r w:rsidR="000A638B" w:rsidRPr="00A44316">
        <w:t>i</w:t>
      </w:r>
      <w:r w:rsidR="005A71EC" w:rsidRPr="00A44316">
        <w:t xml:space="preserve"> pārliecinoš</w:t>
      </w:r>
      <w:r w:rsidR="000A638B" w:rsidRPr="00A44316">
        <w:t>i</w:t>
      </w:r>
      <w:r w:rsidR="005A71EC" w:rsidRPr="00A44316">
        <w:t xml:space="preserve"> pierādījum</w:t>
      </w:r>
      <w:r w:rsidR="000A638B" w:rsidRPr="00A44316">
        <w:t>i</w:t>
      </w:r>
      <w:r w:rsidR="005A71EC" w:rsidRPr="00A44316">
        <w:t>, ka attiecīgais dalībnieks faktiski piedalīsies konkrēto pakalpojumu sniegšanā.</w:t>
      </w:r>
      <w:r w:rsidR="00955527" w:rsidRPr="00A44316">
        <w:t xml:space="preserve"> </w:t>
      </w:r>
      <w:r w:rsidR="00CF2A27" w:rsidRPr="00A44316">
        <w:t>Pretējā gadījumā nāktos secināt, ka p</w:t>
      </w:r>
      <w:r w:rsidR="00125FAD" w:rsidRPr="00A44316">
        <w:t>ersonu</w:t>
      </w:r>
      <w:r w:rsidR="00CF2A27" w:rsidRPr="00A44316">
        <w:t xml:space="preserve"> apvienība</w:t>
      </w:r>
      <w:r w:rsidR="00A7558A" w:rsidRPr="00A44316">
        <w:t>i iepirkumā</w:t>
      </w:r>
      <w:r w:rsidR="00CF2A27" w:rsidRPr="00A44316">
        <w:t xml:space="preserve"> ir pietiekami vienīgi formāli atsaukties uz kāda apvienības dalībnieka iepriekšējo pieredzi, kaut arī iepirkuma līguma izpild</w:t>
      </w:r>
      <w:r w:rsidR="00DD0A7F" w:rsidRPr="00A44316">
        <w:t>es konkrētā daļā</w:t>
      </w:r>
      <w:r w:rsidR="00CF2A27" w:rsidRPr="00A44316">
        <w:t xml:space="preserve"> faktiski piedalīsies tikai tādi apvienības dalībnieki, par kuru spēju kvalitatīvi un savlaicīgi izpildīt iepirkuma līgumu pasūtītājam nav bijusi iespēja pārliecināties. Tas </w:t>
      </w:r>
      <w:r w:rsidR="00125FAD" w:rsidRPr="00A44316">
        <w:t>būtu</w:t>
      </w:r>
      <w:r w:rsidR="00CF2A27" w:rsidRPr="00A44316">
        <w:t xml:space="preserve"> pretrunā ar publisko iepirkumu regulējuma pamatprincipiem</w:t>
      </w:r>
      <w:r w:rsidR="00125FAD" w:rsidRPr="00A44316">
        <w:t xml:space="preserve"> un pieredzes prasību izvirzīšanas jēgu</w:t>
      </w:r>
      <w:r w:rsidR="00CF2A27" w:rsidRPr="00A44316">
        <w:t>.</w:t>
      </w:r>
    </w:p>
    <w:p w14:paraId="4BDCFE5E" w14:textId="52E9A0D4" w:rsidR="00D124F4" w:rsidRPr="00A44316" w:rsidRDefault="00460923" w:rsidP="009D7161">
      <w:pPr>
        <w:spacing w:line="276" w:lineRule="auto"/>
        <w:ind w:firstLine="567"/>
        <w:jc w:val="both"/>
      </w:pPr>
      <w:r w:rsidRPr="00A44316">
        <w:t>Šādu viedokli</w:t>
      </w:r>
      <w:r w:rsidR="00145E0A" w:rsidRPr="00A44316">
        <w:t xml:space="preserve"> </w:t>
      </w:r>
      <w:proofErr w:type="spellStart"/>
      <w:r w:rsidR="00145E0A" w:rsidRPr="00A44316">
        <w:t>p</w:t>
      </w:r>
      <w:r w:rsidR="00DD0A7F" w:rsidRPr="00A44316">
        <w:t>irmšķietami</w:t>
      </w:r>
      <w:proofErr w:type="spellEnd"/>
      <w:r w:rsidR="00145E0A" w:rsidRPr="00A44316">
        <w:t xml:space="preserve"> apstiprina </w:t>
      </w:r>
      <w:r w:rsidR="0008450D" w:rsidRPr="00A44316">
        <w:t xml:space="preserve">arī </w:t>
      </w:r>
      <w:r w:rsidR="00145E0A" w:rsidRPr="00A44316">
        <w:t>Direktīvas 2014/24/ES</w:t>
      </w:r>
      <w:r w:rsidR="00BA2F6E" w:rsidRPr="00A44316">
        <w:t xml:space="preserve"> </w:t>
      </w:r>
      <w:proofErr w:type="gramStart"/>
      <w:r w:rsidR="00BA2F6E" w:rsidRPr="00A44316">
        <w:t>63.panta</w:t>
      </w:r>
      <w:proofErr w:type="gramEnd"/>
      <w:r w:rsidR="00BA2F6E" w:rsidRPr="00A44316">
        <w:t xml:space="preserve"> 1.punkta</w:t>
      </w:r>
      <w:r w:rsidR="00D63EE7" w:rsidRPr="00A44316">
        <w:t xml:space="preserve"> pēdējais teikums, k</w:t>
      </w:r>
      <w:r w:rsidR="00DD0A7F" w:rsidRPr="00A44316">
        <w:t>as</w:t>
      </w:r>
      <w:r w:rsidR="00D63EE7" w:rsidRPr="00A44316">
        <w:t xml:space="preserve"> paredz, ka </w:t>
      </w:r>
      <w:r w:rsidR="00DD0A7F" w:rsidRPr="00A44316">
        <w:t xml:space="preserve">ekonomikas dalībnieku grupa uz grupas dalībnieku spējām var paļauties </w:t>
      </w:r>
      <w:r w:rsidR="00D63EE7" w:rsidRPr="00A44316">
        <w:t xml:space="preserve">saskaņā ar tādiem pašiem nosacījumiem, kādi </w:t>
      </w:r>
      <w:r w:rsidR="00125FAD" w:rsidRPr="00A44316">
        <w:t>attiecināti uz pretendentu balstīšanos uz citu personu spējām un resursiem</w:t>
      </w:r>
      <w:r w:rsidR="00517D0D" w:rsidRPr="00A44316">
        <w:t xml:space="preserve">. </w:t>
      </w:r>
      <w:r w:rsidR="008A6500" w:rsidRPr="00A44316">
        <w:t xml:space="preserve">Turklāt </w:t>
      </w:r>
      <w:r w:rsidR="00115F58" w:rsidRPr="00A44316">
        <w:t xml:space="preserve">šajā normā </w:t>
      </w:r>
      <w:r w:rsidR="00DD0A7F" w:rsidRPr="00A44316">
        <w:t xml:space="preserve">noteiktais </w:t>
      </w:r>
      <w:r w:rsidR="00C64C42" w:rsidRPr="00A44316">
        <w:t xml:space="preserve">iepriekš </w:t>
      </w:r>
      <w:r w:rsidR="00A601EE" w:rsidRPr="00A44316">
        <w:t>bija ietvert</w:t>
      </w:r>
      <w:r w:rsidR="00115F58" w:rsidRPr="00A44316">
        <w:t>s</w:t>
      </w:r>
      <w:r w:rsidR="00A601EE" w:rsidRPr="00A44316">
        <w:t xml:space="preserve"> arī</w:t>
      </w:r>
      <w:proofErr w:type="gramStart"/>
      <w:r w:rsidR="00A601EE" w:rsidRPr="00A44316">
        <w:t xml:space="preserve">  </w:t>
      </w:r>
      <w:proofErr w:type="gramEnd"/>
      <w:r w:rsidR="00CC4758" w:rsidRPr="00CC4758">
        <w:t>Eiropas Parlamenta un Padomes 2004.gada 31.marta Direktīvas 2004/18/EK par to, kā koordinēt būvdarbu valsts līgumu, piegādes valsts līgumu un pakalpojumu valsts līgumu slēgšanas tiesību piešķiršanas procedūru</w:t>
      </w:r>
      <w:r w:rsidR="00CC4758">
        <w:t xml:space="preserve">, </w:t>
      </w:r>
      <w:r w:rsidR="005F7C7C" w:rsidRPr="00A44316">
        <w:t xml:space="preserve">48.panta </w:t>
      </w:r>
      <w:r w:rsidR="00ED19B6" w:rsidRPr="00A44316">
        <w:t>4</w:t>
      </w:r>
      <w:r w:rsidR="005F7C7C" w:rsidRPr="00A44316">
        <w:t>.punktā.</w:t>
      </w:r>
    </w:p>
    <w:p w14:paraId="1ADFB564" w14:textId="2494E484" w:rsidR="00B05C66" w:rsidRPr="00A44316" w:rsidRDefault="00B05C66" w:rsidP="009D7161">
      <w:pPr>
        <w:spacing w:line="276" w:lineRule="auto"/>
        <w:ind w:firstLine="567"/>
        <w:jc w:val="both"/>
      </w:pPr>
    </w:p>
    <w:p w14:paraId="4709D142" w14:textId="2603328C" w:rsidR="001F3730" w:rsidRPr="00A44316" w:rsidRDefault="00B05C66" w:rsidP="009D7161">
      <w:pPr>
        <w:spacing w:line="276" w:lineRule="auto"/>
        <w:ind w:firstLine="567"/>
        <w:jc w:val="both"/>
      </w:pPr>
      <w:r w:rsidRPr="00A44316">
        <w:lastRenderedPageBreak/>
        <w:t>[</w:t>
      </w:r>
      <w:r w:rsidR="00DD0A7F" w:rsidRPr="00A44316">
        <w:t>1</w:t>
      </w:r>
      <w:r w:rsidR="00A92307" w:rsidRPr="00A44316">
        <w:t>1</w:t>
      </w:r>
      <w:r w:rsidRPr="00A44316">
        <w:t>]</w:t>
      </w:r>
      <w:r w:rsidR="00AA59EB" w:rsidRPr="00A44316">
        <w:t> </w:t>
      </w:r>
      <w:r w:rsidR="00EA6DCF" w:rsidRPr="00A44316">
        <w:t xml:space="preserve">Pieteicēja </w:t>
      </w:r>
      <w:r w:rsidR="00D46B5E" w:rsidRPr="00A44316">
        <w:t>uzsver, ka</w:t>
      </w:r>
      <w:r w:rsidR="00563E4D" w:rsidRPr="00A44316">
        <w:t xml:space="preserve"> </w:t>
      </w:r>
      <w:r w:rsidR="006D3D22" w:rsidRPr="00A44316">
        <w:t xml:space="preserve">konkrētajā gadījumā izšķiroši ir tas, ka </w:t>
      </w:r>
      <w:r w:rsidR="00795FFE" w:rsidRPr="00A44316">
        <w:t>pieteicēja ir pilnsabiedrība, un tas nozīmē, ka</w:t>
      </w:r>
      <w:r w:rsidR="00EA6DCF" w:rsidRPr="00A44316">
        <w:t xml:space="preserve"> abi komersanti, kas ietilpst pieteicējas sastāvā, </w:t>
      </w:r>
      <w:r w:rsidR="00886BFC" w:rsidRPr="00A44316">
        <w:t xml:space="preserve">kā pilnsabiedrības biedri attiecībās ar trešajām personām </w:t>
      </w:r>
      <w:r w:rsidR="00FA4752" w:rsidRPr="00A44316">
        <w:t>– tātad arī pasūtītāju –</w:t>
      </w:r>
      <w:r w:rsidR="00DD0A7F" w:rsidRPr="00A44316">
        <w:t xml:space="preserve"> </w:t>
      </w:r>
      <w:r w:rsidR="00886BFC" w:rsidRPr="00A44316">
        <w:t>ir atbildīgi solidāri.</w:t>
      </w:r>
    </w:p>
    <w:p w14:paraId="66E2E4A7" w14:textId="1B229854" w:rsidR="00791FB6" w:rsidRPr="00A44316" w:rsidRDefault="002E0E9B" w:rsidP="009D7161">
      <w:pPr>
        <w:spacing w:line="276" w:lineRule="auto"/>
        <w:ind w:firstLine="567"/>
        <w:jc w:val="both"/>
        <w:rPr>
          <w:rStyle w:val="outputecli"/>
        </w:rPr>
      </w:pPr>
      <w:r w:rsidRPr="00A44316">
        <w:t>Tomēr</w:t>
      </w:r>
      <w:r w:rsidR="00FA4752" w:rsidRPr="00A44316">
        <w:t xml:space="preserve"> Senāts </w:t>
      </w:r>
      <w:proofErr w:type="spellStart"/>
      <w:r w:rsidR="00FA4752" w:rsidRPr="00A44316">
        <w:t>pirmšķietami</w:t>
      </w:r>
      <w:proofErr w:type="spellEnd"/>
      <w:r w:rsidR="00FA4752" w:rsidRPr="00A44316">
        <w:t xml:space="preserve"> nesaskata, ka abu pieteicējas sastāvā ietilpstošo komersantu solidāra atbildība attiecībās ar trešajām personām</w:t>
      </w:r>
      <w:r w:rsidR="002C1ED4" w:rsidRPr="00A44316">
        <w:t xml:space="preserve"> (kas būtībā ir vienīgi no Komerclikuma izrietoša pilnsabiedrībai piemītoša pazīme (sk. Komerclikuma </w:t>
      </w:r>
      <w:proofErr w:type="gramStart"/>
      <w:r w:rsidR="002C1ED4" w:rsidRPr="00A44316">
        <w:t>77.panta</w:t>
      </w:r>
      <w:proofErr w:type="gramEnd"/>
      <w:r w:rsidR="002C1ED4" w:rsidRPr="00A44316">
        <w:t xml:space="preserve"> pirmo daļu, 94.panta pirmo daļu)) </w:t>
      </w:r>
      <w:r w:rsidR="006C0986" w:rsidRPr="00A44316">
        <w:t>automātiski nozīmē</w:t>
      </w:r>
      <w:r w:rsidR="00274075" w:rsidRPr="00A44316">
        <w:t xml:space="preserve">, ka </w:t>
      </w:r>
      <w:r w:rsidR="00B344E9" w:rsidRPr="00A44316">
        <w:t xml:space="preserve">konkrētā iepirkuma līguma izpildē faktiski tiks izmantota abu komersantu iepriekš iegūtā pieredze. </w:t>
      </w:r>
      <w:r w:rsidR="006C0986" w:rsidRPr="00A44316">
        <w:t xml:space="preserve">Arī Eiropas Savienības Tiesas praksē uzsvērts, ka ne </w:t>
      </w:r>
      <w:r w:rsidR="0043173E" w:rsidRPr="00A44316">
        <w:t xml:space="preserve">vienmēr piegādātāju apvienības </w:t>
      </w:r>
      <w:r w:rsidR="00A853D7" w:rsidRPr="00A44316">
        <w:t>dalībnieki</w:t>
      </w:r>
      <w:r w:rsidR="0043173E" w:rsidRPr="00A44316">
        <w:t xml:space="preserve"> iepirkuma līguma izpildē iesaistās vienlīdzīgi, veicot vienus un tos pašus darbus. Tāpēc</w:t>
      </w:r>
      <w:r w:rsidR="00610097" w:rsidRPr="00A44316">
        <w:t xml:space="preserve">, </w:t>
      </w:r>
      <w:r w:rsidR="0043173E" w:rsidRPr="00A44316">
        <w:t>vērtējot komersanta dalību piegādātāju apvienībā</w:t>
      </w:r>
      <w:r w:rsidR="00155513" w:rsidRPr="00A44316">
        <w:t>,</w:t>
      </w:r>
      <w:r w:rsidR="0043173E" w:rsidRPr="00A44316">
        <w:t xml:space="preserve"> izšķirošs ir nevis pats fakts</w:t>
      </w:r>
      <w:r w:rsidR="00610097" w:rsidRPr="00A44316">
        <w:t xml:space="preserve">, ka komersants ir piegādātāju apvienības dalībnieks, bet gan tā faktiskais ieguldījums </w:t>
      </w:r>
      <w:r w:rsidR="00155513" w:rsidRPr="00A44316">
        <w:t xml:space="preserve">konkrēto pakalpojumu sniegšanā vai preču piegādē (sal. </w:t>
      </w:r>
      <w:r w:rsidR="009A1410" w:rsidRPr="00A44316">
        <w:rPr>
          <w:i/>
          <w:iCs/>
        </w:rPr>
        <w:t>Eiropas Savienības Tiesas 2017.gada 4.maija sprieduma lietā „</w:t>
      </w:r>
      <w:proofErr w:type="spellStart"/>
      <w:r w:rsidR="009A1410" w:rsidRPr="00A44316">
        <w:rPr>
          <w:i/>
          <w:iCs/>
        </w:rPr>
        <w:t>Esaprojekt</w:t>
      </w:r>
      <w:proofErr w:type="spellEnd"/>
      <w:r w:rsidR="009A1410" w:rsidRPr="00A44316">
        <w:rPr>
          <w:i/>
          <w:iCs/>
        </w:rPr>
        <w:t xml:space="preserve">”, C-387/14, </w:t>
      </w:r>
      <w:r w:rsidR="009A1410" w:rsidRPr="00A44316">
        <w:rPr>
          <w:rStyle w:val="outputecli"/>
          <w:i/>
          <w:iCs/>
        </w:rPr>
        <w:t>ECLI:EU:C:2017:338, 63.punkts</w:t>
      </w:r>
      <w:r w:rsidR="00177B6C" w:rsidRPr="00A44316">
        <w:rPr>
          <w:rStyle w:val="outputecli"/>
        </w:rPr>
        <w:t>).</w:t>
      </w:r>
    </w:p>
    <w:p w14:paraId="6004C063" w14:textId="0A0A3792" w:rsidR="00A97794" w:rsidRPr="00A44316" w:rsidRDefault="007C61A2" w:rsidP="009D7161">
      <w:pPr>
        <w:spacing w:line="276" w:lineRule="auto"/>
        <w:ind w:firstLine="567"/>
        <w:jc w:val="both"/>
        <w:rPr>
          <w:rStyle w:val="outputecli"/>
        </w:rPr>
      </w:pPr>
      <w:r w:rsidRPr="00A44316">
        <w:rPr>
          <w:rStyle w:val="outputecli"/>
        </w:rPr>
        <w:t xml:space="preserve">Turklāt konkrētajā gadījumā, kā to pamatoti secinājusi pirmās instances tiesa, abi pieteicējas sastāvā ietilpstošie komersanti </w:t>
      </w:r>
      <w:r w:rsidR="0050362F" w:rsidRPr="00A44316">
        <w:rPr>
          <w:rStyle w:val="outputecli"/>
        </w:rPr>
        <w:t>bija</w:t>
      </w:r>
      <w:r w:rsidRPr="00A44316">
        <w:rPr>
          <w:rStyle w:val="outputecli"/>
        </w:rPr>
        <w:t xml:space="preserve"> vienojušies par </w:t>
      </w:r>
      <w:r w:rsidR="00C26C21" w:rsidRPr="00A44316">
        <w:rPr>
          <w:rStyle w:val="outputecli"/>
        </w:rPr>
        <w:t>darbu</w:t>
      </w:r>
      <w:r w:rsidRPr="00A44316">
        <w:rPr>
          <w:rStyle w:val="outputecli"/>
        </w:rPr>
        <w:t xml:space="preserve"> sadali konkrētā iepirkuma līguma izpildē</w:t>
      </w:r>
      <w:r w:rsidR="00AE6660" w:rsidRPr="00A44316">
        <w:rPr>
          <w:rStyle w:val="outputecli"/>
        </w:rPr>
        <w:t xml:space="preserve">, </w:t>
      </w:r>
      <w:r w:rsidR="006C0986" w:rsidRPr="00A44316">
        <w:rPr>
          <w:rStyle w:val="outputecli"/>
        </w:rPr>
        <w:t xml:space="preserve">neparedzot </w:t>
      </w:r>
      <w:r w:rsidR="00AE6660" w:rsidRPr="00A44316">
        <w:rPr>
          <w:rStyle w:val="outputecli"/>
        </w:rPr>
        <w:t>SI „Bruneros” iesaist</w:t>
      </w:r>
      <w:r w:rsidR="006C0986" w:rsidRPr="00A44316">
        <w:rPr>
          <w:rStyle w:val="outputecli"/>
        </w:rPr>
        <w:t>i</w:t>
      </w:r>
      <w:r w:rsidR="00AE6660" w:rsidRPr="00A44316">
        <w:rPr>
          <w:rStyle w:val="outputecli"/>
        </w:rPr>
        <w:t xml:space="preserve"> ēdiena porciju pagatavošanā</w:t>
      </w:r>
      <w:r w:rsidR="00377E63" w:rsidRPr="00A44316">
        <w:rPr>
          <w:rStyle w:val="outputecli"/>
        </w:rPr>
        <w:t xml:space="preserve"> (</w:t>
      </w:r>
      <w:r w:rsidR="00377E63" w:rsidRPr="00A44316">
        <w:rPr>
          <w:rStyle w:val="outputecli"/>
          <w:i/>
          <w:iCs/>
        </w:rPr>
        <w:t xml:space="preserve">pieteicējas biedru </w:t>
      </w:r>
      <w:proofErr w:type="gramStart"/>
      <w:r w:rsidR="00377E63" w:rsidRPr="00A44316">
        <w:rPr>
          <w:rStyle w:val="outputecli"/>
          <w:i/>
          <w:iCs/>
        </w:rPr>
        <w:t>2018.gada</w:t>
      </w:r>
      <w:proofErr w:type="gramEnd"/>
      <w:r w:rsidR="00377E63" w:rsidRPr="00A44316">
        <w:rPr>
          <w:rStyle w:val="outputecli"/>
          <w:i/>
          <w:iCs/>
        </w:rPr>
        <w:t xml:space="preserve"> 1.decembra lēmuma Nr. 3/2018 1.pielikum</w:t>
      </w:r>
      <w:r w:rsidR="00B64C00" w:rsidRPr="00A44316">
        <w:rPr>
          <w:rStyle w:val="outputecli"/>
          <w:i/>
          <w:iCs/>
        </w:rPr>
        <w:t>s</w:t>
      </w:r>
      <w:r w:rsidR="00377E63" w:rsidRPr="00A44316">
        <w:rPr>
          <w:rStyle w:val="outputecli"/>
          <w:i/>
          <w:iCs/>
        </w:rPr>
        <w:t xml:space="preserve"> lietas 118.–120.lapā</w:t>
      </w:r>
      <w:r w:rsidR="00377E63" w:rsidRPr="00A44316">
        <w:rPr>
          <w:rStyle w:val="outputecli"/>
        </w:rPr>
        <w:t>)</w:t>
      </w:r>
      <w:r w:rsidR="000B1828" w:rsidRPr="00A44316">
        <w:rPr>
          <w:rStyle w:val="outputecli"/>
        </w:rPr>
        <w:t>.</w:t>
      </w:r>
      <w:r w:rsidR="001678E5" w:rsidRPr="00A44316">
        <w:rPr>
          <w:rStyle w:val="outputecli"/>
        </w:rPr>
        <w:t xml:space="preserve"> To, ka SI „Bruneros” </w:t>
      </w:r>
      <w:r w:rsidR="006C0986" w:rsidRPr="00A44316">
        <w:rPr>
          <w:rStyle w:val="outputecli"/>
        </w:rPr>
        <w:t xml:space="preserve">tomēr </w:t>
      </w:r>
      <w:r w:rsidR="001678E5" w:rsidRPr="00A44316">
        <w:rPr>
          <w:rStyle w:val="outputecli"/>
        </w:rPr>
        <w:t xml:space="preserve">tiks faktiski iesaistīta ēdiena porciju gatavošanā, pieteicēja </w:t>
      </w:r>
      <w:r w:rsidR="002223E8" w:rsidRPr="00A44316">
        <w:rPr>
          <w:rStyle w:val="outputecli"/>
        </w:rPr>
        <w:t>neapgalvoja</w:t>
      </w:r>
      <w:r w:rsidR="000A638B" w:rsidRPr="00A44316">
        <w:rPr>
          <w:rStyle w:val="outputecli"/>
        </w:rPr>
        <w:t>,</w:t>
      </w:r>
      <w:r w:rsidR="002223E8" w:rsidRPr="00A44316">
        <w:rPr>
          <w:rStyle w:val="outputecli"/>
        </w:rPr>
        <w:t xml:space="preserve"> </w:t>
      </w:r>
      <w:r w:rsidR="001678E5" w:rsidRPr="00A44316">
        <w:rPr>
          <w:rStyle w:val="outputecli"/>
        </w:rPr>
        <w:t>arī atbildot uz pasūtītājas pieprasījum</w:t>
      </w:r>
      <w:r w:rsidR="00DD0CA4" w:rsidRPr="00A44316">
        <w:rPr>
          <w:rStyle w:val="outputecli"/>
        </w:rPr>
        <w:t>iem</w:t>
      </w:r>
      <w:r w:rsidR="001678E5" w:rsidRPr="00A44316">
        <w:rPr>
          <w:rStyle w:val="outputecli"/>
        </w:rPr>
        <w:t xml:space="preserve"> precizēt abu komersantu faktisko dalību iepirkuma līguma izpildē</w:t>
      </w:r>
      <w:r w:rsidR="006C0986" w:rsidRPr="00A44316">
        <w:rPr>
          <w:rStyle w:val="outputecli"/>
        </w:rPr>
        <w:t>. Gluži pretēji</w:t>
      </w:r>
      <w:r w:rsidR="001678E5" w:rsidRPr="00A44316">
        <w:rPr>
          <w:rStyle w:val="outputecli"/>
        </w:rPr>
        <w:t xml:space="preserve">, </w:t>
      </w:r>
      <w:r w:rsidR="004B68E7" w:rsidRPr="00A44316">
        <w:rPr>
          <w:rStyle w:val="outputecli"/>
        </w:rPr>
        <w:t xml:space="preserve">2020.gada 7.oktobra atbildes vēstulē </w:t>
      </w:r>
      <w:r w:rsidR="006C0986" w:rsidRPr="00A44316">
        <w:rPr>
          <w:rStyle w:val="outputecli"/>
        </w:rPr>
        <w:t xml:space="preserve">pieteicēja </w:t>
      </w:r>
      <w:r w:rsidR="004B68E7" w:rsidRPr="00A44316">
        <w:rPr>
          <w:rStyle w:val="outputecli"/>
        </w:rPr>
        <w:t>tieši norād</w:t>
      </w:r>
      <w:r w:rsidR="006C0986" w:rsidRPr="00A44316">
        <w:rPr>
          <w:rStyle w:val="outputecli"/>
        </w:rPr>
        <w:t>īja</w:t>
      </w:r>
      <w:r w:rsidR="004B68E7" w:rsidRPr="00A44316">
        <w:rPr>
          <w:rStyle w:val="outputecli"/>
        </w:rPr>
        <w:t>, ka ēdienu porciju gatavošanu veiks tikai SIA „</w:t>
      </w:r>
      <w:proofErr w:type="spellStart"/>
      <w:r w:rsidR="004B68E7" w:rsidRPr="00A44316">
        <w:rPr>
          <w:rStyle w:val="outputecli"/>
        </w:rPr>
        <w:t>Ēdiens.lv</w:t>
      </w:r>
      <w:proofErr w:type="spellEnd"/>
      <w:r w:rsidR="004B68E7" w:rsidRPr="00A44316">
        <w:rPr>
          <w:rStyle w:val="outputecli"/>
        </w:rPr>
        <w:t>”</w:t>
      </w:r>
      <w:r w:rsidR="00B02A5D" w:rsidRPr="00A44316">
        <w:rPr>
          <w:rStyle w:val="outputecli"/>
        </w:rPr>
        <w:t xml:space="preserve"> (</w:t>
      </w:r>
      <w:r w:rsidR="00B02A5D" w:rsidRPr="00A44316">
        <w:rPr>
          <w:rStyle w:val="outputecli"/>
          <w:i/>
          <w:iCs/>
        </w:rPr>
        <w:t xml:space="preserve">lietas </w:t>
      </w:r>
      <w:r w:rsidR="004B68E7" w:rsidRPr="00A44316">
        <w:rPr>
          <w:rStyle w:val="outputecli"/>
          <w:i/>
          <w:iCs/>
        </w:rPr>
        <w:t>38.–39.lapa</w:t>
      </w:r>
      <w:r w:rsidR="00B02A5D" w:rsidRPr="00A44316">
        <w:rPr>
          <w:rStyle w:val="outputecli"/>
        </w:rPr>
        <w:t>).</w:t>
      </w:r>
    </w:p>
    <w:p w14:paraId="46FEA3B0" w14:textId="20A3C898" w:rsidR="007C61A2" w:rsidRPr="00A44316" w:rsidRDefault="00A97794" w:rsidP="009D7161">
      <w:pPr>
        <w:spacing w:line="276" w:lineRule="auto"/>
        <w:ind w:firstLine="567"/>
        <w:jc w:val="both"/>
        <w:rPr>
          <w:rStyle w:val="outputecli"/>
        </w:rPr>
      </w:pPr>
      <w:r w:rsidRPr="00A44316">
        <w:rPr>
          <w:rStyle w:val="outputecli"/>
        </w:rPr>
        <w:t xml:space="preserve">Kaut arī blakus sūdzībā pieteicēja ir norādījusi, ka pieteicējas sastāvā ietilpstošie komersanti bija vienojušies vienīgi par provizorisku iepirkuma līguma izpildes procesu, kas nepieciešamības gadījumā varētu tikt mainīts, minēto apgalvojumu neapstiprina ne pieteicējas </w:t>
      </w:r>
      <w:r w:rsidR="00461086" w:rsidRPr="00A44316">
        <w:rPr>
          <w:rStyle w:val="outputecli"/>
        </w:rPr>
        <w:t>biedru lēmums, ne precizējošā</w:t>
      </w:r>
      <w:r w:rsidR="008045A7" w:rsidRPr="00A44316">
        <w:rPr>
          <w:rStyle w:val="outputecli"/>
        </w:rPr>
        <w:t>s</w:t>
      </w:r>
      <w:r w:rsidR="00461086" w:rsidRPr="00A44316">
        <w:rPr>
          <w:rStyle w:val="outputecli"/>
        </w:rPr>
        <w:t xml:space="preserve"> vēstule</w:t>
      </w:r>
      <w:r w:rsidR="008045A7" w:rsidRPr="00A44316">
        <w:rPr>
          <w:rStyle w:val="outputecli"/>
        </w:rPr>
        <w:t>s</w:t>
      </w:r>
      <w:r w:rsidR="00461086" w:rsidRPr="00A44316">
        <w:rPr>
          <w:rStyle w:val="outputecli"/>
        </w:rPr>
        <w:t xml:space="preserve"> pasūtītājai.</w:t>
      </w:r>
      <w:r w:rsidR="006B067B" w:rsidRPr="00A44316">
        <w:rPr>
          <w:rStyle w:val="outputecli"/>
        </w:rPr>
        <w:t xml:space="preserve"> </w:t>
      </w:r>
      <w:r w:rsidR="006C0986" w:rsidRPr="00A44316">
        <w:rPr>
          <w:rStyle w:val="outputecli"/>
        </w:rPr>
        <w:t>M</w:t>
      </w:r>
      <w:r w:rsidR="006B067B" w:rsidRPr="00A44316">
        <w:rPr>
          <w:rStyle w:val="outputecli"/>
        </w:rPr>
        <w:t>inētajos dokumentos nekas nav minēts par to, ka SI „Bruneros” nepieciešamības gadījumā varētu iesaistīties arī tādu darbu veikšanā, kas nav administratīvie darbi.</w:t>
      </w:r>
      <w:r w:rsidR="0087136B" w:rsidRPr="00A44316">
        <w:rPr>
          <w:rStyle w:val="outputecli"/>
        </w:rPr>
        <w:t xml:space="preserve"> Šajā sakarā arī norādāms, ka pašai pieteicējai ir vislabāk jāzina un jāspēj izskaidrot, kā iepirkuma līguma slēgšanas tiesību iegūšanas gadījumā tā pildīs iepirkuma līgumu, tostarp jāspēj izskaidrot, kā pieteicēja nepieciešamības gadījumā nodrošinās</w:t>
      </w:r>
      <w:r w:rsidR="005C2190" w:rsidRPr="00A44316">
        <w:rPr>
          <w:rStyle w:val="outputecli"/>
        </w:rPr>
        <w:t xml:space="preserve">, ka </w:t>
      </w:r>
      <w:r w:rsidR="0087136B" w:rsidRPr="00A44316">
        <w:rPr>
          <w:rStyle w:val="outputecli"/>
        </w:rPr>
        <w:t xml:space="preserve">SI „Bruneros” </w:t>
      </w:r>
      <w:r w:rsidR="005C2190" w:rsidRPr="00A44316">
        <w:rPr>
          <w:rStyle w:val="outputecli"/>
        </w:rPr>
        <w:t>(</w:t>
      </w:r>
      <w:r w:rsidR="0087136B" w:rsidRPr="00A44316">
        <w:rPr>
          <w:rStyle w:val="outputecli"/>
        </w:rPr>
        <w:t>Lietuvā reģistrēt</w:t>
      </w:r>
      <w:r w:rsidR="005C2190" w:rsidRPr="00A44316">
        <w:rPr>
          <w:rStyle w:val="outputecli"/>
        </w:rPr>
        <w:t>s</w:t>
      </w:r>
      <w:r w:rsidR="0087136B" w:rsidRPr="00A44316">
        <w:rPr>
          <w:rStyle w:val="outputecli"/>
        </w:rPr>
        <w:t xml:space="preserve"> komersant</w:t>
      </w:r>
      <w:r w:rsidR="005C2190" w:rsidRPr="00A44316">
        <w:rPr>
          <w:rStyle w:val="outputecli"/>
        </w:rPr>
        <w:t>s)</w:t>
      </w:r>
      <w:r w:rsidR="0087136B" w:rsidRPr="00A44316">
        <w:rPr>
          <w:rStyle w:val="outputecli"/>
        </w:rPr>
        <w:t xml:space="preserve"> faktisk</w:t>
      </w:r>
      <w:r w:rsidR="005C2190" w:rsidRPr="00A44316">
        <w:rPr>
          <w:rStyle w:val="outputecli"/>
        </w:rPr>
        <w:t>i veiks</w:t>
      </w:r>
      <w:r w:rsidR="0087136B" w:rsidRPr="00A44316">
        <w:rPr>
          <w:rStyle w:val="outputecli"/>
        </w:rPr>
        <w:t xml:space="preserve"> ēdiena porciju pagatavošan</w:t>
      </w:r>
      <w:r w:rsidR="005C2190" w:rsidRPr="00A44316">
        <w:rPr>
          <w:rStyle w:val="outputecli"/>
        </w:rPr>
        <w:t>u</w:t>
      </w:r>
      <w:r w:rsidR="0087136B" w:rsidRPr="00A44316">
        <w:rPr>
          <w:rStyle w:val="outputecli"/>
        </w:rPr>
        <w:t xml:space="preserve"> ieslodzījuma vietās Latvijā. </w:t>
      </w:r>
      <w:r w:rsidR="00062DF7" w:rsidRPr="00A44316">
        <w:rPr>
          <w:rStyle w:val="outputecli"/>
        </w:rPr>
        <w:t xml:space="preserve">Tomēr pieteicēja </w:t>
      </w:r>
      <w:r w:rsidR="004F1EA7" w:rsidRPr="00A44316">
        <w:rPr>
          <w:rStyle w:val="outputecli"/>
        </w:rPr>
        <w:t>to ne pasūtītājai, ne birojam nebija izskaidrojusi.</w:t>
      </w:r>
    </w:p>
    <w:p w14:paraId="3689E4F1" w14:textId="7B36CEA6" w:rsidR="00CC47E7" w:rsidRPr="00A44316" w:rsidRDefault="00CC47E7" w:rsidP="009D7161">
      <w:pPr>
        <w:spacing w:line="276" w:lineRule="auto"/>
        <w:ind w:firstLine="567"/>
        <w:jc w:val="both"/>
        <w:rPr>
          <w:rStyle w:val="outputecli"/>
        </w:rPr>
      </w:pPr>
      <w:r w:rsidRPr="00A44316">
        <w:rPr>
          <w:rStyle w:val="outputecli"/>
        </w:rPr>
        <w:t xml:space="preserve">Līdz ar to pirmās instances tiesa </w:t>
      </w:r>
      <w:proofErr w:type="spellStart"/>
      <w:r w:rsidRPr="00A44316">
        <w:rPr>
          <w:rStyle w:val="outputecli"/>
        </w:rPr>
        <w:t>pirmšķietami</w:t>
      </w:r>
      <w:proofErr w:type="spellEnd"/>
      <w:r w:rsidRPr="00A44316">
        <w:rPr>
          <w:rStyle w:val="outputecli"/>
        </w:rPr>
        <w:t xml:space="preserve"> pamatoti atzinusi, ka pieteicējas piedāvājums neatbilst iepirkuma nolikuma 4.1.1.punktā ietvertajai pieredzes prasībai, jo pieteicēja ir atsaukusies uz tāda komersanta pieredzi ēdiena porciju pagatavošanā, kuru pieteicēja nav paredzējusi faktiski iesaistīt ēdiena porciju gatavošanā iepirkuma līguma izpildes gaitā.</w:t>
      </w:r>
    </w:p>
    <w:p w14:paraId="0630ACC0" w14:textId="7CD81425" w:rsidR="00052AC2" w:rsidRPr="00A44316" w:rsidRDefault="00052AC2" w:rsidP="009D7161">
      <w:pPr>
        <w:spacing w:line="276" w:lineRule="auto"/>
        <w:ind w:firstLine="567"/>
        <w:jc w:val="both"/>
        <w:rPr>
          <w:rStyle w:val="outputecli"/>
        </w:rPr>
      </w:pPr>
    </w:p>
    <w:p w14:paraId="0889BC04" w14:textId="00A2B0D1" w:rsidR="00052AC2" w:rsidRPr="00A44316" w:rsidRDefault="00052AC2" w:rsidP="009D7161">
      <w:pPr>
        <w:spacing w:line="276" w:lineRule="auto"/>
        <w:ind w:firstLine="567"/>
        <w:jc w:val="both"/>
        <w:rPr>
          <w:rStyle w:val="outputecli"/>
        </w:rPr>
      </w:pPr>
      <w:r w:rsidRPr="00A44316">
        <w:rPr>
          <w:rStyle w:val="outputecli"/>
        </w:rPr>
        <w:t>[1</w:t>
      </w:r>
      <w:r w:rsidR="00A92307" w:rsidRPr="00A44316">
        <w:rPr>
          <w:rStyle w:val="outputecli"/>
        </w:rPr>
        <w:t>2</w:t>
      </w:r>
      <w:r w:rsidRPr="00A44316">
        <w:rPr>
          <w:rStyle w:val="outputecli"/>
        </w:rPr>
        <w:t>] </w:t>
      </w:r>
      <w:r w:rsidR="00B10DA1" w:rsidRPr="00A44316">
        <w:rPr>
          <w:rStyle w:val="outputecli"/>
        </w:rPr>
        <w:t>Pieteicēja blakus sūdzībā ir arī norādījusi, ka pirmās instances tiesa nepamatoti nav vērtējusi virkni iepirkuma procedūras gaitā pieļauto pārkāpumu (piemēram, pārmērīgi ilgu iesniegto piedāvājumu vērtēšanu, lēmumu pieņemšanas termiņu kavēšanu, nepamatotu pieprasījumu sūtīšanu pieteicējai u.c. pārkāpumus)</w:t>
      </w:r>
      <w:r w:rsidR="008D18A4" w:rsidRPr="00A44316">
        <w:rPr>
          <w:rStyle w:val="outputecli"/>
        </w:rPr>
        <w:t xml:space="preserve">. Tomēr pieteicēja nav pamatojusi, kāda ir minēto pārkāpumu nozīme vērtējumā par to, vai pieteicējas piedāvājums ar pārsūdzēto lēmumu </w:t>
      </w:r>
      <w:proofErr w:type="spellStart"/>
      <w:r w:rsidR="008D18A4" w:rsidRPr="00A44316">
        <w:rPr>
          <w:rStyle w:val="outputecli"/>
        </w:rPr>
        <w:t>pirmšķietami</w:t>
      </w:r>
      <w:proofErr w:type="spellEnd"/>
      <w:r w:rsidR="008D18A4" w:rsidRPr="00A44316">
        <w:rPr>
          <w:rStyle w:val="outputecli"/>
        </w:rPr>
        <w:t xml:space="preserve"> pamatoti atzīts par neatbilstošu iepirkuma nolikuma prasībām.</w:t>
      </w:r>
    </w:p>
    <w:p w14:paraId="6F89CCF4" w14:textId="6B14AA3B" w:rsidR="00972A90" w:rsidRPr="00A44316" w:rsidRDefault="00972A90" w:rsidP="009D7161">
      <w:pPr>
        <w:spacing w:line="276" w:lineRule="auto"/>
        <w:ind w:firstLine="567"/>
        <w:jc w:val="both"/>
        <w:rPr>
          <w:rStyle w:val="outputecli"/>
        </w:rPr>
      </w:pPr>
    </w:p>
    <w:p w14:paraId="4576D15A" w14:textId="7C65F4CC" w:rsidR="00972A90" w:rsidRPr="00A44316" w:rsidRDefault="00972A90" w:rsidP="009D7161">
      <w:pPr>
        <w:spacing w:line="276" w:lineRule="auto"/>
        <w:ind w:firstLine="567"/>
        <w:jc w:val="both"/>
      </w:pPr>
      <w:r w:rsidRPr="00A44316">
        <w:rPr>
          <w:rStyle w:val="outputecli"/>
        </w:rPr>
        <w:lastRenderedPageBreak/>
        <w:t>[1</w:t>
      </w:r>
      <w:r w:rsidR="00A92307" w:rsidRPr="00A44316">
        <w:rPr>
          <w:rStyle w:val="outputecli"/>
        </w:rPr>
        <w:t>3</w:t>
      </w:r>
      <w:r w:rsidRPr="00A44316">
        <w:rPr>
          <w:rStyle w:val="outputecli"/>
        </w:rPr>
        <w:t xml:space="preserve">] Vienlaikus </w:t>
      </w:r>
      <w:r w:rsidRPr="00A44316">
        <w:t xml:space="preserve">Senāts atgādina, ka lēmumā, ar kuru izlemts pagaidu aizsardzības jautājums, ietvertie apsvērumi par lietas faktiem un tiesību normu piemērošanu ir ar </w:t>
      </w:r>
      <w:proofErr w:type="spellStart"/>
      <w:r w:rsidRPr="00A44316">
        <w:t>pirmšķietamu</w:t>
      </w:r>
      <w:proofErr w:type="spellEnd"/>
      <w:r w:rsidRPr="00A44316">
        <w:t xml:space="preserve"> raksturu. Tiesa, kas izskata lietu pēc būtības, patstāvīgi novērtē pierādījumus, nodibina faktus un piemēro tiesību normas.</w:t>
      </w:r>
    </w:p>
    <w:p w14:paraId="482002FF" w14:textId="6E735FAE" w:rsidR="00394A7D" w:rsidRPr="00A44316" w:rsidRDefault="00394A7D" w:rsidP="009D7161">
      <w:pPr>
        <w:spacing w:line="276" w:lineRule="auto"/>
        <w:ind w:firstLine="567"/>
        <w:jc w:val="both"/>
      </w:pPr>
      <w:r w:rsidRPr="00A44316">
        <w:t xml:space="preserve">Šajā sakarā Senāts arī norāda, ka tiesai, izskatot lietu pēc būtības, var būt lietderīgi apsvērt, vai pārliecībai par Direktīvas 2014/24/ES </w:t>
      </w:r>
      <w:proofErr w:type="gramStart"/>
      <w:r w:rsidR="006C0986" w:rsidRPr="00A44316">
        <w:t>63.panta</w:t>
      </w:r>
      <w:proofErr w:type="gramEnd"/>
      <w:r w:rsidR="006C0986" w:rsidRPr="00A44316">
        <w:t xml:space="preserve"> 1.punkta pēdējā teikuma </w:t>
      </w:r>
      <w:r w:rsidRPr="00A44316">
        <w:t>interpretāciju nav nepieciešams vērsties ar prejudiciālo jautājumu</w:t>
      </w:r>
      <w:r w:rsidR="00DA6A7E" w:rsidRPr="00A44316">
        <w:t xml:space="preserve"> Eiropas Savienības Tiesā.</w:t>
      </w:r>
    </w:p>
    <w:p w14:paraId="54E47B64" w14:textId="77777777" w:rsidR="00154070" w:rsidRPr="00A44316" w:rsidRDefault="00154070" w:rsidP="009D7161">
      <w:pPr>
        <w:spacing w:line="276" w:lineRule="auto"/>
        <w:ind w:firstLine="567"/>
        <w:jc w:val="both"/>
      </w:pPr>
    </w:p>
    <w:p w14:paraId="7F133DF8" w14:textId="77777777" w:rsidR="003047F5" w:rsidRPr="00A44316" w:rsidRDefault="003047F5" w:rsidP="009D7161">
      <w:pPr>
        <w:spacing w:line="276" w:lineRule="auto"/>
        <w:jc w:val="center"/>
        <w:rPr>
          <w:b/>
        </w:rPr>
      </w:pPr>
      <w:r w:rsidRPr="00A44316">
        <w:rPr>
          <w:b/>
        </w:rPr>
        <w:t>Rezolutīvā daļa</w:t>
      </w:r>
    </w:p>
    <w:p w14:paraId="203D55B2" w14:textId="77777777" w:rsidR="003047F5" w:rsidRPr="00A44316" w:rsidRDefault="003047F5" w:rsidP="009D7161">
      <w:pPr>
        <w:spacing w:line="276" w:lineRule="auto"/>
        <w:ind w:firstLine="567"/>
        <w:jc w:val="both"/>
        <w:rPr>
          <w:bCs/>
          <w:spacing w:val="70"/>
        </w:rPr>
      </w:pPr>
    </w:p>
    <w:p w14:paraId="56FE2BEB" w14:textId="2DCF8185" w:rsidR="003047F5" w:rsidRPr="00A44316" w:rsidRDefault="003047F5" w:rsidP="009D7161">
      <w:pPr>
        <w:spacing w:line="276" w:lineRule="auto"/>
        <w:ind w:firstLine="567"/>
        <w:jc w:val="both"/>
      </w:pPr>
      <w:r w:rsidRPr="00A44316">
        <w:t xml:space="preserve">Pamatojoties uz </w:t>
      </w:r>
      <w:r w:rsidR="001F40A0" w:rsidRPr="00A44316">
        <w:t>Administratīvā procesa likuma</w:t>
      </w:r>
      <w:r w:rsidR="00E540D0" w:rsidRPr="00A44316">
        <w:t xml:space="preserve"> </w:t>
      </w:r>
      <w:proofErr w:type="gramStart"/>
      <w:r w:rsidR="001F40A0" w:rsidRPr="00A44316">
        <w:t>323.panta</w:t>
      </w:r>
      <w:proofErr w:type="gramEnd"/>
      <w:r w:rsidR="001F40A0" w:rsidRPr="00A44316">
        <w:t xml:space="preserve"> pirmās daļas </w:t>
      </w:r>
      <w:r w:rsidR="00E540D0" w:rsidRPr="00A44316">
        <w:t>1.punktu</w:t>
      </w:r>
      <w:r w:rsidR="001F40A0" w:rsidRPr="00A44316">
        <w:t xml:space="preserve"> un 324.panta pirmo daļu, </w:t>
      </w:r>
      <w:r w:rsidR="0015480A" w:rsidRPr="00A44316">
        <w:t>Senāts</w:t>
      </w:r>
    </w:p>
    <w:p w14:paraId="5AB6F69F" w14:textId="77777777" w:rsidR="001F40A0" w:rsidRPr="00A44316" w:rsidRDefault="001F40A0" w:rsidP="009D7161">
      <w:pPr>
        <w:spacing w:line="276" w:lineRule="auto"/>
        <w:ind w:firstLine="567"/>
        <w:jc w:val="both"/>
      </w:pPr>
    </w:p>
    <w:p w14:paraId="6FE7AC9C" w14:textId="300CCC17" w:rsidR="003047F5" w:rsidRPr="00A44316" w:rsidRDefault="003047F5" w:rsidP="009D7161">
      <w:pPr>
        <w:spacing w:line="276" w:lineRule="auto"/>
        <w:jc w:val="center"/>
        <w:rPr>
          <w:b/>
        </w:rPr>
      </w:pPr>
      <w:r w:rsidRPr="00A44316">
        <w:rPr>
          <w:b/>
        </w:rPr>
        <w:t>nolēma</w:t>
      </w:r>
    </w:p>
    <w:p w14:paraId="25D5DF80" w14:textId="77777777" w:rsidR="00A6596A" w:rsidRPr="00A44316" w:rsidRDefault="00A6596A" w:rsidP="009D7161">
      <w:pPr>
        <w:spacing w:line="276" w:lineRule="auto"/>
        <w:jc w:val="center"/>
        <w:rPr>
          <w:b/>
        </w:rPr>
      </w:pPr>
    </w:p>
    <w:p w14:paraId="18EBEAAC" w14:textId="2B32E372" w:rsidR="00A6596A" w:rsidRPr="00A44316" w:rsidRDefault="00B3577F" w:rsidP="009D7161">
      <w:pPr>
        <w:spacing w:line="276" w:lineRule="auto"/>
        <w:ind w:firstLine="567"/>
        <w:jc w:val="both"/>
      </w:pPr>
      <w:r w:rsidRPr="00A44316">
        <w:t xml:space="preserve">Atstāt negrozītu Administratīvās </w:t>
      </w:r>
      <w:r w:rsidR="00E540D0" w:rsidRPr="00A44316">
        <w:t xml:space="preserve">rajona tiesas </w:t>
      </w:r>
      <w:proofErr w:type="gramStart"/>
      <w:r w:rsidR="00E540D0" w:rsidRPr="00A44316">
        <w:t>2021.gada</w:t>
      </w:r>
      <w:proofErr w:type="gramEnd"/>
      <w:r w:rsidR="00E540D0" w:rsidRPr="00A44316">
        <w:t xml:space="preserve"> 31.marta </w:t>
      </w:r>
      <w:r w:rsidRPr="00A44316">
        <w:t xml:space="preserve">lēmumu, bet </w:t>
      </w:r>
      <w:r w:rsidR="00E540D0" w:rsidRPr="00A44316">
        <w:t xml:space="preserve">pilnsabiedrības „ĒDIENS &amp; KM.LV” </w:t>
      </w:r>
      <w:r w:rsidRPr="00A44316">
        <w:t>blakus sūdzību noraidīt.</w:t>
      </w:r>
    </w:p>
    <w:p w14:paraId="048556DB" w14:textId="77777777" w:rsidR="00A6596A" w:rsidRPr="00A44316" w:rsidRDefault="00A6596A" w:rsidP="009D7161">
      <w:pPr>
        <w:spacing w:line="276" w:lineRule="auto"/>
        <w:ind w:firstLine="567"/>
        <w:jc w:val="both"/>
      </w:pPr>
      <w:r w:rsidRPr="00A44316">
        <w:t>Lēmums nav pārsūdzams.</w:t>
      </w:r>
    </w:p>
    <w:p w14:paraId="0A61D3E6" w14:textId="77777777" w:rsidR="00A6596A" w:rsidRPr="00A44316" w:rsidRDefault="00A6596A" w:rsidP="00B63D9D">
      <w:pPr>
        <w:spacing w:line="276" w:lineRule="auto"/>
        <w:ind w:firstLine="567"/>
        <w:jc w:val="both"/>
        <w:rPr>
          <w:bCs/>
        </w:rPr>
      </w:pPr>
    </w:p>
    <w:p w14:paraId="29BBD70B" w14:textId="77777777" w:rsidR="0090320F" w:rsidRPr="00A44316" w:rsidRDefault="0090320F" w:rsidP="00B63D9D">
      <w:pPr>
        <w:spacing w:line="276" w:lineRule="auto"/>
        <w:ind w:firstLine="567"/>
        <w:jc w:val="both"/>
        <w:rPr>
          <w:bCs/>
        </w:rPr>
      </w:pPr>
    </w:p>
    <w:p w14:paraId="7F37890E" w14:textId="77777777" w:rsidR="00256D56" w:rsidRPr="00A44316" w:rsidRDefault="00256D56" w:rsidP="00B63D9D">
      <w:pPr>
        <w:spacing w:line="276" w:lineRule="auto"/>
        <w:ind w:firstLine="567"/>
        <w:jc w:val="both"/>
        <w:rPr>
          <w:bCs/>
        </w:rPr>
      </w:pPr>
    </w:p>
    <w:p w14:paraId="5B8C0CE8" w14:textId="1EA64415" w:rsidR="00A905BA" w:rsidRPr="00A44316" w:rsidRDefault="00A905BA" w:rsidP="00A905BA">
      <w:pPr>
        <w:tabs>
          <w:tab w:val="center" w:pos="1276"/>
          <w:tab w:val="center" w:pos="4678"/>
          <w:tab w:val="center" w:pos="8080"/>
        </w:tabs>
        <w:spacing w:line="276" w:lineRule="auto"/>
        <w:jc w:val="both"/>
        <w:rPr>
          <w:color w:val="000000"/>
        </w:rPr>
      </w:pPr>
      <w:r w:rsidRPr="00A44316">
        <w:rPr>
          <w:color w:val="000000"/>
        </w:rPr>
        <w:tab/>
      </w:r>
    </w:p>
    <w:p w14:paraId="4B4C74F8" w14:textId="43C772DE" w:rsidR="00F43FAD" w:rsidRPr="00D7028E" w:rsidRDefault="00F43FAD" w:rsidP="004F1EA7">
      <w:pPr>
        <w:tabs>
          <w:tab w:val="center" w:pos="1276"/>
          <w:tab w:val="center" w:pos="4678"/>
          <w:tab w:val="center" w:pos="8080"/>
        </w:tabs>
        <w:spacing w:line="276" w:lineRule="auto"/>
        <w:jc w:val="both"/>
        <w:rPr>
          <w:color w:val="000000"/>
        </w:rPr>
      </w:pPr>
    </w:p>
    <w:sectPr w:rsidR="00F43FAD" w:rsidRPr="00D7028E" w:rsidSect="00A6596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1E6BE" w14:textId="77777777" w:rsidR="00E37FB7" w:rsidRDefault="00E37FB7" w:rsidP="003047F5">
      <w:r>
        <w:separator/>
      </w:r>
    </w:p>
  </w:endnote>
  <w:endnote w:type="continuationSeparator" w:id="0">
    <w:p w14:paraId="477F3E5E" w14:textId="77777777" w:rsidR="00E37FB7" w:rsidRDefault="00E37FB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59E2" w14:textId="77777777" w:rsidR="00125FAD" w:rsidRDefault="00125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F9D7C31" w:rsidR="00125FAD" w:rsidRDefault="00125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E3E5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E3E5E">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B8D7" w14:textId="77777777" w:rsidR="00125FAD" w:rsidRDefault="00125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A86F6" w14:textId="77777777" w:rsidR="00E37FB7" w:rsidRDefault="00E37FB7" w:rsidP="003047F5">
      <w:r>
        <w:separator/>
      </w:r>
    </w:p>
  </w:footnote>
  <w:footnote w:type="continuationSeparator" w:id="0">
    <w:p w14:paraId="75C070EF" w14:textId="77777777" w:rsidR="00E37FB7" w:rsidRDefault="00E37FB7"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C520" w14:textId="77777777" w:rsidR="00125FAD" w:rsidRDefault="00125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F848" w14:textId="77777777" w:rsidR="00125FAD" w:rsidRDefault="00125F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CFC4" w14:textId="77777777" w:rsidR="00125FAD" w:rsidRDefault="00125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015"/>
    <w:rsid w:val="000236E3"/>
    <w:rsid w:val="0003118A"/>
    <w:rsid w:val="00032C64"/>
    <w:rsid w:val="0003515A"/>
    <w:rsid w:val="00041B3A"/>
    <w:rsid w:val="00052AC2"/>
    <w:rsid w:val="00053B5D"/>
    <w:rsid w:val="00062DF7"/>
    <w:rsid w:val="00066333"/>
    <w:rsid w:val="0008450D"/>
    <w:rsid w:val="00093591"/>
    <w:rsid w:val="000A01F4"/>
    <w:rsid w:val="000A2BDA"/>
    <w:rsid w:val="000A4997"/>
    <w:rsid w:val="000A638B"/>
    <w:rsid w:val="000A7EE3"/>
    <w:rsid w:val="000B0A3A"/>
    <w:rsid w:val="000B1828"/>
    <w:rsid w:val="000B391A"/>
    <w:rsid w:val="000B4A2E"/>
    <w:rsid w:val="000B54C6"/>
    <w:rsid w:val="000C1970"/>
    <w:rsid w:val="000C7154"/>
    <w:rsid w:val="000D0865"/>
    <w:rsid w:val="001031E8"/>
    <w:rsid w:val="00104878"/>
    <w:rsid w:val="001108D8"/>
    <w:rsid w:val="00112746"/>
    <w:rsid w:val="00115F58"/>
    <w:rsid w:val="00124524"/>
    <w:rsid w:val="00125B6C"/>
    <w:rsid w:val="00125FAD"/>
    <w:rsid w:val="00132743"/>
    <w:rsid w:val="0013718D"/>
    <w:rsid w:val="00142E36"/>
    <w:rsid w:val="00145E0A"/>
    <w:rsid w:val="00151F6A"/>
    <w:rsid w:val="00154070"/>
    <w:rsid w:val="0015480A"/>
    <w:rsid w:val="00155513"/>
    <w:rsid w:val="001646E9"/>
    <w:rsid w:val="001678E5"/>
    <w:rsid w:val="00174202"/>
    <w:rsid w:val="00177B6C"/>
    <w:rsid w:val="00181CF0"/>
    <w:rsid w:val="0019238A"/>
    <w:rsid w:val="0019284E"/>
    <w:rsid w:val="001962B4"/>
    <w:rsid w:val="001A0495"/>
    <w:rsid w:val="001A053D"/>
    <w:rsid w:val="001A2A87"/>
    <w:rsid w:val="001A41B4"/>
    <w:rsid w:val="001A537A"/>
    <w:rsid w:val="001B137A"/>
    <w:rsid w:val="001B58CB"/>
    <w:rsid w:val="001C3BD9"/>
    <w:rsid w:val="001D5CCA"/>
    <w:rsid w:val="001D6352"/>
    <w:rsid w:val="001E3A09"/>
    <w:rsid w:val="001E5ABC"/>
    <w:rsid w:val="001E6069"/>
    <w:rsid w:val="001F3135"/>
    <w:rsid w:val="001F3730"/>
    <w:rsid w:val="001F40A0"/>
    <w:rsid w:val="002032B3"/>
    <w:rsid w:val="00216940"/>
    <w:rsid w:val="00221C29"/>
    <w:rsid w:val="002223E8"/>
    <w:rsid w:val="0022646C"/>
    <w:rsid w:val="002276D5"/>
    <w:rsid w:val="002309A7"/>
    <w:rsid w:val="00231996"/>
    <w:rsid w:val="00232231"/>
    <w:rsid w:val="00237F92"/>
    <w:rsid w:val="00247BA2"/>
    <w:rsid w:val="00252CFA"/>
    <w:rsid w:val="00256D56"/>
    <w:rsid w:val="002617C7"/>
    <w:rsid w:val="00271F5D"/>
    <w:rsid w:val="00274075"/>
    <w:rsid w:val="0027407B"/>
    <w:rsid w:val="0027469B"/>
    <w:rsid w:val="0027529C"/>
    <w:rsid w:val="00275E04"/>
    <w:rsid w:val="00280855"/>
    <w:rsid w:val="00293462"/>
    <w:rsid w:val="00294A2A"/>
    <w:rsid w:val="00297BC3"/>
    <w:rsid w:val="002A329C"/>
    <w:rsid w:val="002A7685"/>
    <w:rsid w:val="002B7EC0"/>
    <w:rsid w:val="002C1ED4"/>
    <w:rsid w:val="002C38A8"/>
    <w:rsid w:val="002C4ADC"/>
    <w:rsid w:val="002D1721"/>
    <w:rsid w:val="002D513E"/>
    <w:rsid w:val="002D6EEB"/>
    <w:rsid w:val="002D7E4F"/>
    <w:rsid w:val="002E0E9B"/>
    <w:rsid w:val="002E2BFB"/>
    <w:rsid w:val="00301A51"/>
    <w:rsid w:val="003047F5"/>
    <w:rsid w:val="003048C0"/>
    <w:rsid w:val="00311946"/>
    <w:rsid w:val="003135C6"/>
    <w:rsid w:val="00331950"/>
    <w:rsid w:val="00336491"/>
    <w:rsid w:val="00351408"/>
    <w:rsid w:val="0035346E"/>
    <w:rsid w:val="003545C1"/>
    <w:rsid w:val="00357637"/>
    <w:rsid w:val="00360430"/>
    <w:rsid w:val="00365F11"/>
    <w:rsid w:val="00366C61"/>
    <w:rsid w:val="00371F9C"/>
    <w:rsid w:val="0037248E"/>
    <w:rsid w:val="00377E63"/>
    <w:rsid w:val="00382424"/>
    <w:rsid w:val="00383B39"/>
    <w:rsid w:val="00386357"/>
    <w:rsid w:val="00394A7D"/>
    <w:rsid w:val="00397C46"/>
    <w:rsid w:val="00397C7E"/>
    <w:rsid w:val="003A0809"/>
    <w:rsid w:val="003A4960"/>
    <w:rsid w:val="003A6FC6"/>
    <w:rsid w:val="003B14B4"/>
    <w:rsid w:val="003B578F"/>
    <w:rsid w:val="003D6D90"/>
    <w:rsid w:val="003E73F4"/>
    <w:rsid w:val="004071EC"/>
    <w:rsid w:val="00412F47"/>
    <w:rsid w:val="00424B84"/>
    <w:rsid w:val="00427C6D"/>
    <w:rsid w:val="0043173E"/>
    <w:rsid w:val="0043182C"/>
    <w:rsid w:val="0043711B"/>
    <w:rsid w:val="00445DE7"/>
    <w:rsid w:val="004515AC"/>
    <w:rsid w:val="00451A07"/>
    <w:rsid w:val="00452210"/>
    <w:rsid w:val="00454DDD"/>
    <w:rsid w:val="00460923"/>
    <w:rsid w:val="00461086"/>
    <w:rsid w:val="004917C2"/>
    <w:rsid w:val="00491DEC"/>
    <w:rsid w:val="004A48F8"/>
    <w:rsid w:val="004A4903"/>
    <w:rsid w:val="004A5006"/>
    <w:rsid w:val="004B68E7"/>
    <w:rsid w:val="004C00B4"/>
    <w:rsid w:val="004C466A"/>
    <w:rsid w:val="004C4D30"/>
    <w:rsid w:val="004D31F3"/>
    <w:rsid w:val="004E2D72"/>
    <w:rsid w:val="004E731B"/>
    <w:rsid w:val="004F1949"/>
    <w:rsid w:val="004F1EA7"/>
    <w:rsid w:val="00501A38"/>
    <w:rsid w:val="0050362F"/>
    <w:rsid w:val="00505E95"/>
    <w:rsid w:val="00507BFD"/>
    <w:rsid w:val="0051389A"/>
    <w:rsid w:val="00517D0D"/>
    <w:rsid w:val="00521A02"/>
    <w:rsid w:val="0053288C"/>
    <w:rsid w:val="00541C91"/>
    <w:rsid w:val="00543E46"/>
    <w:rsid w:val="00546B2D"/>
    <w:rsid w:val="00554408"/>
    <w:rsid w:val="00557D1D"/>
    <w:rsid w:val="00563E4D"/>
    <w:rsid w:val="005747E2"/>
    <w:rsid w:val="005816F0"/>
    <w:rsid w:val="00586A8E"/>
    <w:rsid w:val="00596488"/>
    <w:rsid w:val="005A71EC"/>
    <w:rsid w:val="005B01A4"/>
    <w:rsid w:val="005C1256"/>
    <w:rsid w:val="005C2190"/>
    <w:rsid w:val="005E05EA"/>
    <w:rsid w:val="005E1C08"/>
    <w:rsid w:val="005F1028"/>
    <w:rsid w:val="005F1150"/>
    <w:rsid w:val="005F396E"/>
    <w:rsid w:val="005F5427"/>
    <w:rsid w:val="005F7C7C"/>
    <w:rsid w:val="00603B6A"/>
    <w:rsid w:val="00603D44"/>
    <w:rsid w:val="00610097"/>
    <w:rsid w:val="00611218"/>
    <w:rsid w:val="00612EFB"/>
    <w:rsid w:val="00637598"/>
    <w:rsid w:val="00641E1C"/>
    <w:rsid w:val="00642B8A"/>
    <w:rsid w:val="00645043"/>
    <w:rsid w:val="00653276"/>
    <w:rsid w:val="00653633"/>
    <w:rsid w:val="00655B64"/>
    <w:rsid w:val="006562A9"/>
    <w:rsid w:val="00666402"/>
    <w:rsid w:val="00667259"/>
    <w:rsid w:val="00684F6D"/>
    <w:rsid w:val="006879F2"/>
    <w:rsid w:val="006A6AC5"/>
    <w:rsid w:val="006B067B"/>
    <w:rsid w:val="006C0986"/>
    <w:rsid w:val="006D3D22"/>
    <w:rsid w:val="006D7BB6"/>
    <w:rsid w:val="006F5D3B"/>
    <w:rsid w:val="006F5E40"/>
    <w:rsid w:val="00712170"/>
    <w:rsid w:val="00712B34"/>
    <w:rsid w:val="007148EA"/>
    <w:rsid w:val="00745760"/>
    <w:rsid w:val="0074582D"/>
    <w:rsid w:val="00746B01"/>
    <w:rsid w:val="00746CA8"/>
    <w:rsid w:val="007503B9"/>
    <w:rsid w:val="007509E2"/>
    <w:rsid w:val="00753854"/>
    <w:rsid w:val="00777F6B"/>
    <w:rsid w:val="00791FB6"/>
    <w:rsid w:val="00795FFE"/>
    <w:rsid w:val="007A4F48"/>
    <w:rsid w:val="007C3CD3"/>
    <w:rsid w:val="007C61A2"/>
    <w:rsid w:val="007E2101"/>
    <w:rsid w:val="007E493C"/>
    <w:rsid w:val="007E6921"/>
    <w:rsid w:val="008045A7"/>
    <w:rsid w:val="008179BC"/>
    <w:rsid w:val="00820867"/>
    <w:rsid w:val="0082334B"/>
    <w:rsid w:val="00831586"/>
    <w:rsid w:val="00837E90"/>
    <w:rsid w:val="0087136B"/>
    <w:rsid w:val="00871D0F"/>
    <w:rsid w:val="00876AEC"/>
    <w:rsid w:val="0088199B"/>
    <w:rsid w:val="00881B84"/>
    <w:rsid w:val="00886BFC"/>
    <w:rsid w:val="008A01AA"/>
    <w:rsid w:val="008A1A69"/>
    <w:rsid w:val="008A2F44"/>
    <w:rsid w:val="008A41A8"/>
    <w:rsid w:val="008A6143"/>
    <w:rsid w:val="008A6500"/>
    <w:rsid w:val="008A74EF"/>
    <w:rsid w:val="008D18A4"/>
    <w:rsid w:val="008D4159"/>
    <w:rsid w:val="008D61D2"/>
    <w:rsid w:val="008F11C0"/>
    <w:rsid w:val="008F3652"/>
    <w:rsid w:val="008F5CE6"/>
    <w:rsid w:val="008F6562"/>
    <w:rsid w:val="0090320F"/>
    <w:rsid w:val="00914BBE"/>
    <w:rsid w:val="009229FE"/>
    <w:rsid w:val="00927891"/>
    <w:rsid w:val="00927C3F"/>
    <w:rsid w:val="009319F3"/>
    <w:rsid w:val="009343AB"/>
    <w:rsid w:val="00940AD8"/>
    <w:rsid w:val="00945D34"/>
    <w:rsid w:val="00947150"/>
    <w:rsid w:val="00955527"/>
    <w:rsid w:val="009639F7"/>
    <w:rsid w:val="00972A90"/>
    <w:rsid w:val="00977E04"/>
    <w:rsid w:val="009948CE"/>
    <w:rsid w:val="00994A10"/>
    <w:rsid w:val="00994E9D"/>
    <w:rsid w:val="009A1410"/>
    <w:rsid w:val="009B1C99"/>
    <w:rsid w:val="009B4408"/>
    <w:rsid w:val="009B4930"/>
    <w:rsid w:val="009B7BE5"/>
    <w:rsid w:val="009C4B3C"/>
    <w:rsid w:val="009C51E0"/>
    <w:rsid w:val="009C7228"/>
    <w:rsid w:val="009D7161"/>
    <w:rsid w:val="009E3E5E"/>
    <w:rsid w:val="009F20B6"/>
    <w:rsid w:val="009F6F33"/>
    <w:rsid w:val="00A00062"/>
    <w:rsid w:val="00A01C86"/>
    <w:rsid w:val="00A04F47"/>
    <w:rsid w:val="00A0523E"/>
    <w:rsid w:val="00A13E64"/>
    <w:rsid w:val="00A2174C"/>
    <w:rsid w:val="00A25BC6"/>
    <w:rsid w:val="00A306AF"/>
    <w:rsid w:val="00A34F95"/>
    <w:rsid w:val="00A405E6"/>
    <w:rsid w:val="00A42143"/>
    <w:rsid w:val="00A44316"/>
    <w:rsid w:val="00A45DEB"/>
    <w:rsid w:val="00A46DBD"/>
    <w:rsid w:val="00A56AD7"/>
    <w:rsid w:val="00A601EE"/>
    <w:rsid w:val="00A6596A"/>
    <w:rsid w:val="00A67621"/>
    <w:rsid w:val="00A75235"/>
    <w:rsid w:val="00A7558A"/>
    <w:rsid w:val="00A8303F"/>
    <w:rsid w:val="00A831F1"/>
    <w:rsid w:val="00A840AB"/>
    <w:rsid w:val="00A853D7"/>
    <w:rsid w:val="00A905BA"/>
    <w:rsid w:val="00A92307"/>
    <w:rsid w:val="00A92C25"/>
    <w:rsid w:val="00A97794"/>
    <w:rsid w:val="00AA59EB"/>
    <w:rsid w:val="00AB34AB"/>
    <w:rsid w:val="00AC01AB"/>
    <w:rsid w:val="00AC08FE"/>
    <w:rsid w:val="00AC3673"/>
    <w:rsid w:val="00AC3F46"/>
    <w:rsid w:val="00AC7973"/>
    <w:rsid w:val="00AE2086"/>
    <w:rsid w:val="00AE3380"/>
    <w:rsid w:val="00AE6660"/>
    <w:rsid w:val="00AF7415"/>
    <w:rsid w:val="00B02A5D"/>
    <w:rsid w:val="00B05C66"/>
    <w:rsid w:val="00B10DA1"/>
    <w:rsid w:val="00B23330"/>
    <w:rsid w:val="00B27CF8"/>
    <w:rsid w:val="00B344E9"/>
    <w:rsid w:val="00B3577F"/>
    <w:rsid w:val="00B47BB9"/>
    <w:rsid w:val="00B56D80"/>
    <w:rsid w:val="00B61C05"/>
    <w:rsid w:val="00B63D9D"/>
    <w:rsid w:val="00B63DDE"/>
    <w:rsid w:val="00B63F6B"/>
    <w:rsid w:val="00B64C00"/>
    <w:rsid w:val="00B80FB4"/>
    <w:rsid w:val="00B85F58"/>
    <w:rsid w:val="00B92534"/>
    <w:rsid w:val="00B934DA"/>
    <w:rsid w:val="00BA2F6E"/>
    <w:rsid w:val="00BA505F"/>
    <w:rsid w:val="00BB3A36"/>
    <w:rsid w:val="00BB4182"/>
    <w:rsid w:val="00BC2D8C"/>
    <w:rsid w:val="00BE3C4D"/>
    <w:rsid w:val="00BE5269"/>
    <w:rsid w:val="00BE64BB"/>
    <w:rsid w:val="00C04A41"/>
    <w:rsid w:val="00C05798"/>
    <w:rsid w:val="00C15B79"/>
    <w:rsid w:val="00C20DFF"/>
    <w:rsid w:val="00C26C21"/>
    <w:rsid w:val="00C37E86"/>
    <w:rsid w:val="00C578F4"/>
    <w:rsid w:val="00C64011"/>
    <w:rsid w:val="00C64C42"/>
    <w:rsid w:val="00C92C0F"/>
    <w:rsid w:val="00CA07C4"/>
    <w:rsid w:val="00CA276C"/>
    <w:rsid w:val="00CB546F"/>
    <w:rsid w:val="00CB7EE8"/>
    <w:rsid w:val="00CC4758"/>
    <w:rsid w:val="00CC47E7"/>
    <w:rsid w:val="00CC619E"/>
    <w:rsid w:val="00CD28E2"/>
    <w:rsid w:val="00CD7161"/>
    <w:rsid w:val="00CD71C7"/>
    <w:rsid w:val="00CE7755"/>
    <w:rsid w:val="00CF2A27"/>
    <w:rsid w:val="00CF2A5F"/>
    <w:rsid w:val="00CF3A50"/>
    <w:rsid w:val="00CF454B"/>
    <w:rsid w:val="00D0146D"/>
    <w:rsid w:val="00D05BF2"/>
    <w:rsid w:val="00D10538"/>
    <w:rsid w:val="00D10821"/>
    <w:rsid w:val="00D10D18"/>
    <w:rsid w:val="00D124F4"/>
    <w:rsid w:val="00D143EC"/>
    <w:rsid w:val="00D26EB3"/>
    <w:rsid w:val="00D30AA1"/>
    <w:rsid w:val="00D3210B"/>
    <w:rsid w:val="00D45A76"/>
    <w:rsid w:val="00D46B5E"/>
    <w:rsid w:val="00D47538"/>
    <w:rsid w:val="00D63EE7"/>
    <w:rsid w:val="00D671EA"/>
    <w:rsid w:val="00D7028E"/>
    <w:rsid w:val="00D717DF"/>
    <w:rsid w:val="00D83284"/>
    <w:rsid w:val="00D852C2"/>
    <w:rsid w:val="00D862CD"/>
    <w:rsid w:val="00DA6569"/>
    <w:rsid w:val="00DA6A7E"/>
    <w:rsid w:val="00DA7DDA"/>
    <w:rsid w:val="00DB15E9"/>
    <w:rsid w:val="00DC46F7"/>
    <w:rsid w:val="00DC59A9"/>
    <w:rsid w:val="00DD0A7F"/>
    <w:rsid w:val="00DD0CA4"/>
    <w:rsid w:val="00DE0C1A"/>
    <w:rsid w:val="00DF1697"/>
    <w:rsid w:val="00DF17BB"/>
    <w:rsid w:val="00E06A00"/>
    <w:rsid w:val="00E11248"/>
    <w:rsid w:val="00E2045F"/>
    <w:rsid w:val="00E22D9A"/>
    <w:rsid w:val="00E251C3"/>
    <w:rsid w:val="00E330B8"/>
    <w:rsid w:val="00E37FB7"/>
    <w:rsid w:val="00E40C76"/>
    <w:rsid w:val="00E511DA"/>
    <w:rsid w:val="00E540D0"/>
    <w:rsid w:val="00E54B74"/>
    <w:rsid w:val="00E63265"/>
    <w:rsid w:val="00E66256"/>
    <w:rsid w:val="00E77E95"/>
    <w:rsid w:val="00E80D82"/>
    <w:rsid w:val="00E85DAF"/>
    <w:rsid w:val="00E87B25"/>
    <w:rsid w:val="00E9368A"/>
    <w:rsid w:val="00E9621E"/>
    <w:rsid w:val="00EA6DCF"/>
    <w:rsid w:val="00EC566B"/>
    <w:rsid w:val="00ED19B6"/>
    <w:rsid w:val="00ED3B45"/>
    <w:rsid w:val="00EE46AF"/>
    <w:rsid w:val="00EE4F18"/>
    <w:rsid w:val="00EE53B4"/>
    <w:rsid w:val="00EE683F"/>
    <w:rsid w:val="00F04E80"/>
    <w:rsid w:val="00F0781D"/>
    <w:rsid w:val="00F10B80"/>
    <w:rsid w:val="00F21386"/>
    <w:rsid w:val="00F2386B"/>
    <w:rsid w:val="00F24B90"/>
    <w:rsid w:val="00F32489"/>
    <w:rsid w:val="00F43FAD"/>
    <w:rsid w:val="00F4662E"/>
    <w:rsid w:val="00F4728A"/>
    <w:rsid w:val="00F51E09"/>
    <w:rsid w:val="00F543B7"/>
    <w:rsid w:val="00F54857"/>
    <w:rsid w:val="00F6765D"/>
    <w:rsid w:val="00F73030"/>
    <w:rsid w:val="00F7469D"/>
    <w:rsid w:val="00F8025F"/>
    <w:rsid w:val="00F814AC"/>
    <w:rsid w:val="00FA4752"/>
    <w:rsid w:val="00FA7CF8"/>
    <w:rsid w:val="00FC5963"/>
    <w:rsid w:val="00FC5AE2"/>
    <w:rsid w:val="00FD3C05"/>
    <w:rsid w:val="00FE35F5"/>
    <w:rsid w:val="00FE463A"/>
    <w:rsid w:val="00FE46CC"/>
    <w:rsid w:val="00FE5E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ecli">
    <w:name w:val="outputecli"/>
    <w:basedOn w:val="DefaultParagraphFont"/>
    <w:rsid w:val="002D6EEB"/>
  </w:style>
  <w:style w:type="character" w:styleId="Hyperlink">
    <w:name w:val="Hyperlink"/>
    <w:basedOn w:val="DefaultParagraphFont"/>
    <w:uiPriority w:val="99"/>
    <w:unhideWhenUsed/>
    <w:rsid w:val="009D7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56727">
      <w:bodyDiv w:val="1"/>
      <w:marLeft w:val="0"/>
      <w:marRight w:val="0"/>
      <w:marTop w:val="0"/>
      <w:marBottom w:val="0"/>
      <w:divBdr>
        <w:top w:val="none" w:sz="0" w:space="0" w:color="auto"/>
        <w:left w:val="none" w:sz="0" w:space="0" w:color="auto"/>
        <w:bottom w:val="none" w:sz="0" w:space="0" w:color="auto"/>
        <w:right w:val="none" w:sz="0" w:space="0" w:color="auto"/>
      </w:divBdr>
    </w:div>
    <w:div w:id="21183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430.A420136121.8.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2E19-D403-4B34-AB98-CE67DFBC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2740</Words>
  <Characters>15619</Characters>
  <Application>Microsoft Office Word</Application>
  <DocSecurity>0</DocSecurity>
  <Lines>130</Lines>
  <Paragraphs>36</Paragraphs>
  <ScaleCrop>false</ScaleCrop>
  <Company/>
  <LinksUpToDate>false</LinksUpToDate>
  <CharactersWithSpaces>18323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2021-07-08T13:29:00Z</dcterms:created>
  <dcterms:modified xsi:type="dcterms:W3CDTF">2021-07-08T13:29:00Z</dcterms:modified>
</cp:coreProperties>
</file>