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E9C6" w14:textId="77777777" w:rsidR="00A83AE3" w:rsidRPr="00205872" w:rsidRDefault="00A83AE3" w:rsidP="00A83AE3">
      <w:pPr>
        <w:spacing w:after="120" w:line="276" w:lineRule="auto"/>
        <w:jc w:val="both"/>
        <w:rPr>
          <w:rFonts w:cs="Times New Roman"/>
          <w:b/>
          <w:szCs w:val="24"/>
          <w:lang w:val="lv-LV"/>
        </w:rPr>
      </w:pPr>
      <w:r w:rsidRPr="00205872">
        <w:rPr>
          <w:rFonts w:cs="Times New Roman"/>
          <w:b/>
          <w:szCs w:val="24"/>
          <w:lang w:val="lv-LV"/>
        </w:rPr>
        <w:t>Jaunu pierādījumu iesniegšana apelācijas instances tiesā</w:t>
      </w:r>
    </w:p>
    <w:p w14:paraId="297424ED" w14:textId="77777777" w:rsidR="00A83AE3" w:rsidRPr="00205872" w:rsidRDefault="00A83AE3" w:rsidP="00A83AE3">
      <w:pPr>
        <w:spacing w:after="0" w:line="276" w:lineRule="auto"/>
        <w:jc w:val="both"/>
        <w:rPr>
          <w:rFonts w:cs="Times New Roman"/>
          <w:bCs/>
          <w:szCs w:val="24"/>
          <w:lang w:val="lv-LV"/>
        </w:rPr>
      </w:pPr>
      <w:r w:rsidRPr="00205872">
        <w:rPr>
          <w:rFonts w:cs="Times New Roman"/>
          <w:bCs/>
          <w:szCs w:val="24"/>
          <w:lang w:val="lv-LV"/>
        </w:rPr>
        <w:t>Civilprocesa likuma tiesību normu sistēma ir vērsta uz to, lai visi prasītāja argumenti un pierādījumi, kā arī atbildētāja iebildumi un tos pamatojošie pierādījumi būtu noskaidroti jau pirmās instances tiesā, tāpēc nav pieļaujama ne tikai apelācijas sūdzības grozīšana vai papildināšana pēc apelācijas sūdzības iesniegšanai paredzētā termiņa notecēšanas, bet arī jaunu pierādījumu iesniegšana apelācijas instances tiesā, nepastāvot objektīviem, attaisnojošiem iemesliem, kuru dēļ šie pierādījumi netika iesniegti pirmās instances tiesā.</w:t>
      </w:r>
    </w:p>
    <w:p w14:paraId="77980322" w14:textId="4C3A2BA8" w:rsidR="001822F7" w:rsidRDefault="001822F7" w:rsidP="00A83AE3">
      <w:pPr>
        <w:tabs>
          <w:tab w:val="left" w:pos="0"/>
        </w:tabs>
        <w:spacing w:after="0" w:line="276" w:lineRule="auto"/>
        <w:ind w:right="-1"/>
        <w:jc w:val="both"/>
        <w:rPr>
          <w:rFonts w:eastAsia="Times New Roman" w:cs="Times New Roman"/>
          <w:szCs w:val="24"/>
          <w:lang w:val="lv-LV" w:eastAsia="lv-LV"/>
        </w:rPr>
      </w:pPr>
    </w:p>
    <w:p w14:paraId="1DBD1628" w14:textId="6545F13D" w:rsidR="00EB6A62" w:rsidRDefault="00C472B5" w:rsidP="00EB6A62">
      <w:pPr>
        <w:spacing w:after="0" w:line="276" w:lineRule="auto"/>
        <w:jc w:val="center"/>
        <w:rPr>
          <w:b/>
          <w:sz w:val="28"/>
          <w:szCs w:val="28"/>
          <w:lang w:val="lv-LV"/>
        </w:rPr>
      </w:pPr>
      <w:bookmarkStart w:id="0" w:name="Dropdown1"/>
      <w:r w:rsidRPr="00C66056">
        <w:rPr>
          <w:b/>
          <w:sz w:val="28"/>
          <w:szCs w:val="28"/>
          <w:lang w:val="lv-LV"/>
        </w:rPr>
        <w:t xml:space="preserve">Latvijas Republikas </w:t>
      </w:r>
      <w:r w:rsidR="00752C16" w:rsidRPr="00C66056">
        <w:rPr>
          <w:b/>
          <w:sz w:val="28"/>
          <w:szCs w:val="28"/>
          <w:lang w:val="lv-LV"/>
        </w:rPr>
        <w:t>Senāt</w:t>
      </w:r>
      <w:r w:rsidR="00DE7A9E">
        <w:rPr>
          <w:b/>
          <w:sz w:val="28"/>
          <w:szCs w:val="28"/>
          <w:lang w:val="lv-LV"/>
        </w:rPr>
        <w:t>a</w:t>
      </w:r>
    </w:p>
    <w:p w14:paraId="0601A3E7" w14:textId="091251F7" w:rsidR="00DE7A9E" w:rsidRPr="00DE7A9E" w:rsidRDefault="00DE7A9E" w:rsidP="00DE7A9E">
      <w:pPr>
        <w:pStyle w:val="NoSpacing"/>
        <w:spacing w:line="276" w:lineRule="auto"/>
        <w:jc w:val="center"/>
        <w:rPr>
          <w:b/>
          <w:bCs/>
          <w:lang w:val="lv-LV" w:eastAsia="lv-LV"/>
        </w:rPr>
      </w:pPr>
      <w:r w:rsidRPr="00DE7A9E">
        <w:rPr>
          <w:b/>
          <w:bCs/>
          <w:lang w:val="lv-LV" w:eastAsia="lv-LV"/>
        </w:rPr>
        <w:t>Civillietu departament</w:t>
      </w:r>
      <w:r w:rsidRPr="00DE7A9E">
        <w:rPr>
          <w:b/>
          <w:bCs/>
          <w:lang w:val="lv-LV" w:eastAsia="lv-LV"/>
        </w:rPr>
        <w:t>a</w:t>
      </w:r>
    </w:p>
    <w:p w14:paraId="327AC84B" w14:textId="3FF31064" w:rsidR="00DE7A9E" w:rsidRPr="00DE7A9E" w:rsidRDefault="00DE7A9E" w:rsidP="00EB6A62">
      <w:pPr>
        <w:spacing w:after="0" w:line="276" w:lineRule="auto"/>
        <w:jc w:val="center"/>
        <w:rPr>
          <w:b/>
          <w:bCs/>
          <w:sz w:val="28"/>
          <w:szCs w:val="28"/>
          <w:lang w:val="lv-LV"/>
        </w:rPr>
      </w:pPr>
      <w:proofErr w:type="gramStart"/>
      <w:r w:rsidRPr="00DE7A9E">
        <w:rPr>
          <w:b/>
          <w:bCs/>
          <w:lang w:val="lv-LV"/>
        </w:rPr>
        <w:t>2021.gada</w:t>
      </w:r>
      <w:proofErr w:type="gramEnd"/>
      <w:r w:rsidRPr="00DE7A9E">
        <w:rPr>
          <w:b/>
          <w:bCs/>
          <w:lang w:val="lv-LV"/>
        </w:rPr>
        <w:t xml:space="preserve"> 21.jūlij</w:t>
      </w:r>
      <w:r w:rsidRPr="00DE7A9E">
        <w:rPr>
          <w:b/>
          <w:bCs/>
          <w:lang w:val="lv-LV"/>
        </w:rPr>
        <w:t>a</w:t>
      </w:r>
    </w:p>
    <w:p w14:paraId="7A07B819" w14:textId="77777777" w:rsidR="00C472B5" w:rsidRPr="00411189" w:rsidRDefault="00C472B5" w:rsidP="002043A6">
      <w:pPr>
        <w:spacing w:after="0" w:line="276" w:lineRule="auto"/>
        <w:jc w:val="center"/>
        <w:rPr>
          <w:b/>
          <w:lang w:val="lv-LV"/>
        </w:rPr>
      </w:pPr>
      <w:r w:rsidRPr="00411189">
        <w:rPr>
          <w:b/>
          <w:lang w:val="lv-LV"/>
        </w:rPr>
        <w:t>RĪCĪBAS SĒDES LĒMUMS</w:t>
      </w:r>
    </w:p>
    <w:p w14:paraId="43AC3190" w14:textId="75916112" w:rsidR="00DE7A9E" w:rsidRPr="00DE7A9E" w:rsidRDefault="00DE7A9E" w:rsidP="00DE7A9E">
      <w:pPr>
        <w:pStyle w:val="NoSpacing"/>
        <w:spacing w:line="276" w:lineRule="auto"/>
        <w:jc w:val="center"/>
        <w:rPr>
          <w:b/>
          <w:bCs/>
          <w:lang w:val="lv-LV" w:eastAsia="lv-LV"/>
        </w:rPr>
      </w:pPr>
      <w:r w:rsidRPr="00DE7A9E">
        <w:rPr>
          <w:b/>
          <w:bCs/>
          <w:lang w:val="lv-LV" w:eastAsia="lv-LV"/>
        </w:rPr>
        <w:t>Lieta Nr.</w:t>
      </w:r>
      <w:r>
        <w:rPr>
          <w:b/>
          <w:bCs/>
          <w:lang w:val="lv-LV" w:eastAsia="lv-LV"/>
        </w:rPr>
        <w:t> </w:t>
      </w:r>
      <w:r w:rsidRPr="00DE7A9E">
        <w:rPr>
          <w:b/>
          <w:bCs/>
          <w:lang w:val="lv-LV" w:eastAsia="lv-LV"/>
        </w:rPr>
        <w:t>C30803519, SKC-925/2021</w:t>
      </w:r>
    </w:p>
    <w:p w14:paraId="152E806F" w14:textId="26A0E35C" w:rsidR="00C472B5" w:rsidRPr="00411189" w:rsidRDefault="00DE7A9E" w:rsidP="002043A6">
      <w:pPr>
        <w:spacing w:after="0" w:line="276" w:lineRule="auto"/>
        <w:jc w:val="center"/>
        <w:rPr>
          <w:lang w:val="lv-LV"/>
        </w:rPr>
      </w:pPr>
      <w:hyperlink r:id="rId7" w:tgtFrame="_blank" w:history="1">
        <w:r>
          <w:rPr>
            <w:rStyle w:val="Hyperlink"/>
          </w:rPr>
          <w:t>ECLI:LV:</w:t>
        </w:r>
        <w:proofErr w:type="gramStart"/>
        <w:r>
          <w:rPr>
            <w:rStyle w:val="Hyperlink"/>
          </w:rPr>
          <w:t>AT:2021:0721</w:t>
        </w:r>
        <w:proofErr w:type="gramEnd"/>
        <w:r>
          <w:rPr>
            <w:rStyle w:val="Hyperlink"/>
          </w:rPr>
          <w:t>.C30803519.12.L</w:t>
        </w:r>
      </w:hyperlink>
    </w:p>
    <w:bookmarkEnd w:id="0"/>
    <w:p w14:paraId="3401E4C9" w14:textId="77777777" w:rsidR="00C472B5" w:rsidRDefault="00C472B5" w:rsidP="00A9623D">
      <w:pPr>
        <w:spacing w:after="0" w:line="240" w:lineRule="auto"/>
        <w:ind w:firstLine="567"/>
        <w:jc w:val="both"/>
        <w:rPr>
          <w:rFonts w:eastAsia="Times New Roman" w:cs="Times New Roman"/>
          <w:b/>
          <w:szCs w:val="24"/>
          <w:lang w:val="lv-LV" w:eastAsia="ru-RU"/>
        </w:rPr>
      </w:pPr>
    </w:p>
    <w:p w14:paraId="47B2D147" w14:textId="77777777" w:rsidR="00CF507C" w:rsidRDefault="00752C16" w:rsidP="00752C16">
      <w:pPr>
        <w:tabs>
          <w:tab w:val="left" w:pos="709"/>
        </w:tabs>
        <w:spacing w:after="0" w:line="276" w:lineRule="auto"/>
        <w:jc w:val="both"/>
        <w:rPr>
          <w:lang w:val="lv-LV"/>
        </w:rPr>
      </w:pPr>
      <w:r>
        <w:rPr>
          <w:lang w:val="lv-LV"/>
        </w:rPr>
        <w:tab/>
        <w:t xml:space="preserve">Senatoru </w:t>
      </w:r>
      <w:r w:rsidR="00E01BC9" w:rsidRPr="00C472B5">
        <w:rPr>
          <w:lang w:val="lv-LV"/>
        </w:rPr>
        <w:t xml:space="preserve">kolēģija šādā sastāvā: </w:t>
      </w:r>
      <w:r w:rsidR="00DB6F63">
        <w:rPr>
          <w:lang w:val="lv-LV"/>
        </w:rPr>
        <w:t>s</w:t>
      </w:r>
      <w:r w:rsidR="00CF507C">
        <w:rPr>
          <w:lang w:val="lv-LV"/>
        </w:rPr>
        <w:t>enatore</w:t>
      </w:r>
      <w:r w:rsidR="00DB6F63">
        <w:rPr>
          <w:lang w:val="lv-LV"/>
        </w:rPr>
        <w:t xml:space="preserve"> </w:t>
      </w:r>
      <w:r w:rsidR="00A410EF">
        <w:rPr>
          <w:lang w:val="lv-LV"/>
        </w:rPr>
        <w:t>Dzintra Balta</w:t>
      </w:r>
    </w:p>
    <w:p w14:paraId="32137DF7" w14:textId="25A3EB7E" w:rsidR="00CF507C" w:rsidRDefault="00CF507C" w:rsidP="00752C16">
      <w:pPr>
        <w:tabs>
          <w:tab w:val="left" w:pos="709"/>
        </w:tabs>
        <w:spacing w:after="0" w:line="276" w:lineRule="auto"/>
        <w:jc w:val="both"/>
        <w:rPr>
          <w:lang w:val="lv-LV"/>
        </w:rPr>
      </w:pPr>
      <w:r>
        <w:rPr>
          <w:lang w:val="lv-LV"/>
        </w:rPr>
        <w:tab/>
      </w:r>
      <w:r>
        <w:rPr>
          <w:lang w:val="lv-LV"/>
        </w:rPr>
        <w:tab/>
      </w:r>
      <w:r>
        <w:rPr>
          <w:lang w:val="lv-LV"/>
        </w:rPr>
        <w:tab/>
      </w:r>
      <w:r w:rsidR="00DE7A9E">
        <w:rPr>
          <w:lang w:val="lv-LV"/>
        </w:rPr>
        <w:tab/>
      </w:r>
      <w:r w:rsidR="00DE7A9E">
        <w:rPr>
          <w:lang w:val="lv-LV"/>
        </w:rPr>
        <w:tab/>
      </w:r>
      <w:r w:rsidR="00DE7A9E">
        <w:rPr>
          <w:lang w:val="lv-LV"/>
        </w:rPr>
        <w:tab/>
      </w:r>
      <w:r w:rsidR="00244FF8">
        <w:rPr>
          <w:lang w:val="lv-LV"/>
        </w:rPr>
        <w:t>senatore Anda Briede</w:t>
      </w:r>
    </w:p>
    <w:p w14:paraId="30D43929" w14:textId="3D3839A5" w:rsidR="00AA1594" w:rsidRDefault="00DE7A9E" w:rsidP="00A9623D">
      <w:pPr>
        <w:tabs>
          <w:tab w:val="left" w:pos="709"/>
        </w:tabs>
        <w:spacing w:after="0" w:line="240" w:lineRule="auto"/>
        <w:jc w:val="both"/>
        <w:rPr>
          <w:lang w:val="lv-LV"/>
        </w:rPr>
      </w:pPr>
      <w:r>
        <w:rPr>
          <w:lang w:val="lv-LV"/>
        </w:rPr>
        <w:tab/>
      </w:r>
      <w:r>
        <w:rPr>
          <w:lang w:val="lv-LV"/>
        </w:rPr>
        <w:tab/>
      </w:r>
      <w:r>
        <w:rPr>
          <w:lang w:val="lv-LV"/>
        </w:rPr>
        <w:tab/>
      </w:r>
      <w:r>
        <w:rPr>
          <w:lang w:val="lv-LV"/>
        </w:rPr>
        <w:tab/>
      </w:r>
      <w:r>
        <w:rPr>
          <w:lang w:val="lv-LV"/>
        </w:rPr>
        <w:tab/>
      </w:r>
      <w:r>
        <w:rPr>
          <w:lang w:val="lv-LV"/>
        </w:rPr>
        <w:tab/>
      </w:r>
      <w:r w:rsidR="00AA1594">
        <w:rPr>
          <w:lang w:val="lv-LV"/>
        </w:rPr>
        <w:t>senatore Kristīne Zīle</w:t>
      </w:r>
    </w:p>
    <w:p w14:paraId="58A197DC" w14:textId="77777777" w:rsidR="00A9623D" w:rsidRPr="00A9623D" w:rsidRDefault="00A9623D" w:rsidP="00A9623D">
      <w:pPr>
        <w:tabs>
          <w:tab w:val="left" w:pos="709"/>
        </w:tabs>
        <w:spacing w:after="0" w:line="240" w:lineRule="auto"/>
        <w:jc w:val="both"/>
        <w:rPr>
          <w:lang w:val="lv-LV"/>
        </w:rPr>
      </w:pPr>
    </w:p>
    <w:p w14:paraId="4A4BB514" w14:textId="7FB1A3D4" w:rsidR="00755F9A" w:rsidRDefault="00B56D4A" w:rsidP="00DE7A9E">
      <w:pPr>
        <w:autoSpaceDE w:val="0"/>
        <w:autoSpaceDN w:val="0"/>
        <w:adjustRightInd w:val="0"/>
        <w:spacing w:after="0" w:line="276" w:lineRule="auto"/>
        <w:ind w:firstLine="720"/>
        <w:jc w:val="both"/>
        <w:rPr>
          <w:lang w:val="lv-LV"/>
        </w:rPr>
      </w:pPr>
      <w:r w:rsidRPr="004F0F35">
        <w:rPr>
          <w:szCs w:val="24"/>
          <w:lang w:val="lv-LV"/>
        </w:rPr>
        <w:t>izskatīj</w:t>
      </w:r>
      <w:r>
        <w:rPr>
          <w:szCs w:val="24"/>
          <w:lang w:val="lv-LV"/>
        </w:rPr>
        <w:t xml:space="preserve">a </w:t>
      </w:r>
      <w:r w:rsidR="00244FF8" w:rsidRPr="004F0F35">
        <w:rPr>
          <w:szCs w:val="24"/>
          <w:lang w:val="lv-LV"/>
        </w:rPr>
        <w:t>rīcības sēdē</w:t>
      </w:r>
      <w:r w:rsidR="00755F9A">
        <w:rPr>
          <w:rFonts w:cs="Times New Roman"/>
          <w:szCs w:val="24"/>
          <w:lang w:val="lv-LV"/>
        </w:rPr>
        <w:t xml:space="preserve"> </w:t>
      </w:r>
      <w:r w:rsidR="00DE7A9E">
        <w:rPr>
          <w:rFonts w:cs="Times New Roman"/>
          <w:szCs w:val="24"/>
          <w:lang w:val="lv-LV"/>
        </w:rPr>
        <w:t>[pers. A]</w:t>
      </w:r>
      <w:r w:rsidR="00EE7261">
        <w:rPr>
          <w:rFonts w:cs="Times New Roman"/>
          <w:szCs w:val="24"/>
          <w:lang w:val="lv-LV"/>
        </w:rPr>
        <w:t xml:space="preserve"> </w:t>
      </w:r>
      <w:r w:rsidR="004E2BA9">
        <w:rPr>
          <w:szCs w:val="24"/>
          <w:lang w:val="lv-LV"/>
        </w:rPr>
        <w:t xml:space="preserve">kasācijas sūdzību par </w:t>
      </w:r>
      <w:r w:rsidR="00755F9A">
        <w:rPr>
          <w:szCs w:val="24"/>
          <w:lang w:val="lv-LV"/>
        </w:rPr>
        <w:t xml:space="preserve">Rīgas </w:t>
      </w:r>
      <w:r w:rsidR="004E2BA9">
        <w:rPr>
          <w:szCs w:val="24"/>
          <w:lang w:val="lv-LV"/>
        </w:rPr>
        <w:t>apgabaltiesas</w:t>
      </w:r>
      <w:r w:rsidR="00755F9A">
        <w:rPr>
          <w:szCs w:val="24"/>
          <w:lang w:val="lv-LV"/>
        </w:rPr>
        <w:t xml:space="preserve"> </w:t>
      </w:r>
      <w:r w:rsidR="00EE7261">
        <w:rPr>
          <w:szCs w:val="24"/>
          <w:lang w:val="lv-LV"/>
        </w:rPr>
        <w:t xml:space="preserve">Civillietu tiesas kolēģijas </w:t>
      </w:r>
      <w:proofErr w:type="gramStart"/>
      <w:r w:rsidR="00EE7261">
        <w:rPr>
          <w:szCs w:val="24"/>
          <w:lang w:val="lv-LV"/>
        </w:rPr>
        <w:t>2021</w:t>
      </w:r>
      <w:r w:rsidR="004E2BA9">
        <w:rPr>
          <w:szCs w:val="24"/>
          <w:lang w:val="lv-LV"/>
        </w:rPr>
        <w:t>.gada</w:t>
      </w:r>
      <w:proofErr w:type="gramEnd"/>
      <w:r w:rsidR="004E2BA9">
        <w:rPr>
          <w:szCs w:val="24"/>
          <w:lang w:val="lv-LV"/>
        </w:rPr>
        <w:t xml:space="preserve"> </w:t>
      </w:r>
      <w:r w:rsidR="00EE7261">
        <w:rPr>
          <w:szCs w:val="24"/>
          <w:lang w:val="lv-LV"/>
        </w:rPr>
        <w:t>12</w:t>
      </w:r>
      <w:r w:rsidR="00755F9A">
        <w:rPr>
          <w:szCs w:val="24"/>
          <w:lang w:val="lv-LV"/>
        </w:rPr>
        <w:t xml:space="preserve">.aprīļa </w:t>
      </w:r>
      <w:r w:rsidR="004E2BA9">
        <w:rPr>
          <w:szCs w:val="24"/>
          <w:lang w:val="lv-LV"/>
        </w:rPr>
        <w:t xml:space="preserve">spriedumu </w:t>
      </w:r>
      <w:r w:rsidR="00DE7A9E">
        <w:rPr>
          <w:szCs w:val="24"/>
          <w:lang w:val="lv-LV"/>
        </w:rPr>
        <w:t>[pers. A]</w:t>
      </w:r>
      <w:r w:rsidR="00EE7261">
        <w:rPr>
          <w:szCs w:val="24"/>
          <w:lang w:val="lv-LV"/>
        </w:rPr>
        <w:t xml:space="preserve"> </w:t>
      </w:r>
      <w:r w:rsidR="00755F9A" w:rsidRPr="00755F9A">
        <w:rPr>
          <w:lang w:val="lv-LV"/>
        </w:rPr>
        <w:t xml:space="preserve">prasībā pret </w:t>
      </w:r>
      <w:r w:rsidR="00EE7261">
        <w:rPr>
          <w:lang w:val="lv-LV"/>
        </w:rPr>
        <w:t xml:space="preserve">SIA </w:t>
      </w:r>
      <w:r w:rsidR="00EE7261">
        <w:rPr>
          <w:rFonts w:cs="Times New Roman"/>
          <w:szCs w:val="24"/>
          <w:lang w:val="lv-LV"/>
        </w:rPr>
        <w:t>„S-</w:t>
      </w:r>
      <w:proofErr w:type="spellStart"/>
      <w:r w:rsidR="00EE7261">
        <w:rPr>
          <w:rFonts w:cs="Times New Roman"/>
          <w:szCs w:val="24"/>
          <w:lang w:val="lv-LV"/>
        </w:rPr>
        <w:t>Print</w:t>
      </w:r>
      <w:proofErr w:type="spellEnd"/>
      <w:r w:rsidR="00EE7261">
        <w:rPr>
          <w:rFonts w:cs="Times New Roman"/>
          <w:szCs w:val="24"/>
          <w:lang w:val="lv-LV"/>
        </w:rPr>
        <w:t xml:space="preserve"> </w:t>
      </w:r>
      <w:proofErr w:type="spellStart"/>
      <w:r w:rsidR="00EE7261">
        <w:rPr>
          <w:rFonts w:cs="Times New Roman"/>
          <w:szCs w:val="24"/>
          <w:lang w:val="lv-LV"/>
        </w:rPr>
        <w:t>Baltic</w:t>
      </w:r>
      <w:proofErr w:type="spellEnd"/>
      <w:r w:rsidR="00EE7261">
        <w:rPr>
          <w:rFonts w:cs="Times New Roman"/>
          <w:szCs w:val="24"/>
          <w:lang w:val="lv-LV"/>
        </w:rPr>
        <w:t xml:space="preserve">” </w:t>
      </w:r>
      <w:r w:rsidR="00755F9A" w:rsidRPr="00755F9A">
        <w:rPr>
          <w:lang w:val="lv-LV"/>
        </w:rPr>
        <w:t xml:space="preserve">par </w:t>
      </w:r>
      <w:r w:rsidR="00EE7261">
        <w:rPr>
          <w:lang w:val="lv-LV"/>
        </w:rPr>
        <w:t xml:space="preserve">mantiskās kompensācijas un morālā kaitējuma </w:t>
      </w:r>
      <w:r w:rsidR="00755F9A">
        <w:rPr>
          <w:lang w:val="lv-LV"/>
        </w:rPr>
        <w:t xml:space="preserve">atlīdzības </w:t>
      </w:r>
      <w:r w:rsidR="00755F9A" w:rsidRPr="00755F9A">
        <w:rPr>
          <w:lang w:val="lv-LV"/>
        </w:rPr>
        <w:t>piedziņu</w:t>
      </w:r>
      <w:r w:rsidR="00755F9A">
        <w:rPr>
          <w:lang w:val="lv-LV"/>
        </w:rPr>
        <w:t>.</w:t>
      </w:r>
    </w:p>
    <w:p w14:paraId="285AA487" w14:textId="77777777" w:rsidR="008F3864" w:rsidRDefault="008F3864" w:rsidP="008F3864">
      <w:pPr>
        <w:autoSpaceDE w:val="0"/>
        <w:autoSpaceDN w:val="0"/>
        <w:adjustRightInd w:val="0"/>
        <w:spacing w:after="0" w:line="276" w:lineRule="auto"/>
        <w:ind w:firstLine="720"/>
        <w:jc w:val="both"/>
        <w:rPr>
          <w:rFonts w:ascii="TimesNewRomanPSMT" w:hAnsi="TimesNewRomanPSMT" w:cs="TimesNewRomanPSMT"/>
          <w:szCs w:val="24"/>
          <w:lang w:val="lv-LV"/>
        </w:rPr>
      </w:pPr>
    </w:p>
    <w:p w14:paraId="7DBC3A99" w14:textId="77777777" w:rsidR="009E10CB" w:rsidRDefault="001756B9" w:rsidP="009E10CB">
      <w:pPr>
        <w:autoSpaceDE w:val="0"/>
        <w:autoSpaceDN w:val="0"/>
        <w:adjustRightInd w:val="0"/>
        <w:spacing w:after="0" w:line="276" w:lineRule="auto"/>
        <w:ind w:firstLine="720"/>
        <w:jc w:val="both"/>
        <w:rPr>
          <w:rFonts w:cs="Times New Roman"/>
          <w:szCs w:val="24"/>
          <w:lang w:val="lv-LV"/>
        </w:rPr>
      </w:pPr>
      <w:r w:rsidRPr="0020028C">
        <w:rPr>
          <w:rFonts w:ascii="TimesNewRomanPSMT" w:hAnsi="TimesNewRomanPSMT" w:cs="TimesNewRomanPSMT"/>
          <w:szCs w:val="24"/>
          <w:lang w:val="lv-LV"/>
        </w:rPr>
        <w:t>[1</w:t>
      </w:r>
      <w:r w:rsidRPr="00231EB8">
        <w:rPr>
          <w:rFonts w:cs="Times New Roman"/>
          <w:szCs w:val="24"/>
          <w:lang w:val="lv-LV"/>
        </w:rPr>
        <w:t xml:space="preserve">] </w:t>
      </w:r>
      <w:r w:rsidR="008F3864" w:rsidRPr="00CF0A22">
        <w:rPr>
          <w:rFonts w:ascii="TimesNewRomanPSMT" w:hAnsi="TimesNewRomanPSMT" w:cs="TimesNewRomanPSMT"/>
          <w:szCs w:val="24"/>
          <w:lang w:val="lv-LV"/>
        </w:rPr>
        <w:t>Senatoru kolēģija</w:t>
      </w:r>
      <w:r w:rsidR="008F3864">
        <w:rPr>
          <w:rFonts w:ascii="TimesNewRomanPSMT" w:hAnsi="TimesNewRomanPSMT" w:cs="TimesNewRomanPSMT"/>
          <w:szCs w:val="24"/>
          <w:lang w:val="lv-LV"/>
        </w:rPr>
        <w:t>i, i</w:t>
      </w:r>
      <w:r w:rsidRPr="00231EB8">
        <w:rPr>
          <w:rFonts w:cs="Times New Roman"/>
          <w:szCs w:val="24"/>
          <w:lang w:val="lv-LV"/>
        </w:rPr>
        <w:t xml:space="preserve">zvērtējot kasācijas sūdzībā minētos argumentus, nav acīmredzama </w:t>
      </w:r>
      <w:r w:rsidRPr="00F9740B">
        <w:rPr>
          <w:rFonts w:cs="Times New Roman"/>
          <w:szCs w:val="24"/>
          <w:lang w:val="lv-LV"/>
        </w:rPr>
        <w:t xml:space="preserve">pamata uzskatīt, ka pārsūdzētajā spriedumā ietvertais lietas iznākums ir nepareizs un ka izskatāmajai lietai ir būtiska nozīme vienotas prakses nodrošināšanā vai tiesību </w:t>
      </w:r>
      <w:proofErr w:type="spellStart"/>
      <w:r w:rsidR="002E286D">
        <w:rPr>
          <w:rFonts w:cs="Times New Roman"/>
          <w:szCs w:val="24"/>
          <w:lang w:val="lv-LV"/>
        </w:rPr>
        <w:t>tālākveidošanā</w:t>
      </w:r>
      <w:proofErr w:type="spellEnd"/>
      <w:r w:rsidR="002E286D">
        <w:rPr>
          <w:rFonts w:cs="Times New Roman"/>
          <w:szCs w:val="24"/>
          <w:lang w:val="lv-LV"/>
        </w:rPr>
        <w:t>.</w:t>
      </w:r>
    </w:p>
    <w:p w14:paraId="482967BA" w14:textId="53BBA0A5" w:rsidR="008F3864" w:rsidRPr="009E10CB" w:rsidRDefault="008F3864" w:rsidP="009E10CB">
      <w:pPr>
        <w:autoSpaceDE w:val="0"/>
        <w:autoSpaceDN w:val="0"/>
        <w:adjustRightInd w:val="0"/>
        <w:spacing w:after="0" w:line="276" w:lineRule="auto"/>
        <w:ind w:firstLine="720"/>
        <w:jc w:val="both"/>
        <w:rPr>
          <w:rFonts w:cs="Times New Roman"/>
          <w:szCs w:val="24"/>
          <w:lang w:val="lv-LV"/>
        </w:rPr>
      </w:pPr>
      <w:r>
        <w:rPr>
          <w:lang w:val="lv-LV"/>
        </w:rPr>
        <w:t>Prasītāj</w:t>
      </w:r>
      <w:r w:rsidR="009E10CB">
        <w:rPr>
          <w:lang w:val="lv-LV"/>
        </w:rPr>
        <w:t>a argumenti</w:t>
      </w:r>
      <w:r>
        <w:rPr>
          <w:lang w:val="lv-LV"/>
        </w:rPr>
        <w:t xml:space="preserve">, </w:t>
      </w:r>
      <w:r w:rsidR="009E10CB">
        <w:rPr>
          <w:lang w:val="lv-LV"/>
        </w:rPr>
        <w:t xml:space="preserve">kuros tiek </w:t>
      </w:r>
      <w:r>
        <w:rPr>
          <w:lang w:val="lv-LV"/>
        </w:rPr>
        <w:t>norād</w:t>
      </w:r>
      <w:r w:rsidR="009E10CB">
        <w:rPr>
          <w:lang w:val="lv-LV"/>
        </w:rPr>
        <w:t>īts</w:t>
      </w:r>
      <w:r>
        <w:rPr>
          <w:lang w:val="lv-LV"/>
        </w:rPr>
        <w:t xml:space="preserve"> uz </w:t>
      </w:r>
      <w:r>
        <w:rPr>
          <w:shd w:val="clear" w:color="auto" w:fill="FFFFFF"/>
          <w:lang w:val="lv-LV" w:eastAsia="lv-LV"/>
        </w:rPr>
        <w:t>l</w:t>
      </w:r>
      <w:r w:rsidRPr="00F9740B">
        <w:rPr>
          <w:shd w:val="clear" w:color="auto" w:fill="FFFFFF"/>
          <w:lang w:val="lv-LV" w:eastAsia="lv-LV"/>
        </w:rPr>
        <w:t xml:space="preserve">ikuma „Par tiesu varu” </w:t>
      </w:r>
      <w:proofErr w:type="gramStart"/>
      <w:r>
        <w:rPr>
          <w:lang w:val="lv-LV" w:eastAsia="lv-LV"/>
        </w:rPr>
        <w:t>17.</w:t>
      </w:r>
      <w:r w:rsidRPr="00F9740B">
        <w:rPr>
          <w:lang w:val="lv-LV" w:eastAsia="lv-LV"/>
        </w:rPr>
        <w:t>panta</w:t>
      </w:r>
      <w:proofErr w:type="gramEnd"/>
      <w:r w:rsidRPr="00F9740B">
        <w:rPr>
          <w:lang w:val="lv-LV" w:eastAsia="lv-LV"/>
        </w:rPr>
        <w:t xml:space="preserve"> pirmā</w:t>
      </w:r>
      <w:r>
        <w:rPr>
          <w:lang w:val="lv-LV" w:eastAsia="lv-LV"/>
        </w:rPr>
        <w:t>s</w:t>
      </w:r>
      <w:r w:rsidRPr="00F9740B">
        <w:rPr>
          <w:lang w:val="lv-LV" w:eastAsia="lv-LV"/>
        </w:rPr>
        <w:t xml:space="preserve"> daļa</w:t>
      </w:r>
      <w:r>
        <w:rPr>
          <w:lang w:val="lv-LV" w:eastAsia="lv-LV"/>
        </w:rPr>
        <w:t xml:space="preserve">s nepareizu iztulkošanu, Civilprocesa likuma 93.panta ceturtās daļas, 97.panta trešās daļas un </w:t>
      </w:r>
      <w:r>
        <w:rPr>
          <w:bCs/>
          <w:lang w:val="lv-LV"/>
        </w:rPr>
        <w:t>Civilprocesa likuma 432.</w:t>
      </w:r>
      <w:r w:rsidRPr="00F9740B">
        <w:rPr>
          <w:bCs/>
          <w:lang w:val="lv-LV"/>
        </w:rPr>
        <w:t>panta piektā</w:t>
      </w:r>
      <w:r>
        <w:rPr>
          <w:bCs/>
          <w:lang w:val="lv-LV"/>
        </w:rPr>
        <w:t>s</w:t>
      </w:r>
      <w:r w:rsidRPr="00F9740B">
        <w:rPr>
          <w:bCs/>
          <w:lang w:val="lv-LV"/>
        </w:rPr>
        <w:t xml:space="preserve"> daļa</w:t>
      </w:r>
      <w:r>
        <w:rPr>
          <w:bCs/>
          <w:lang w:val="lv-LV"/>
        </w:rPr>
        <w:t xml:space="preserve">s pārkāpumu, </w:t>
      </w:r>
      <w:r w:rsidRPr="00F9740B">
        <w:rPr>
          <w:lang w:val="lv-LV"/>
        </w:rPr>
        <w:t xml:space="preserve">faktiski </w:t>
      </w:r>
      <w:r>
        <w:rPr>
          <w:lang w:val="lv-LV"/>
        </w:rPr>
        <w:t>ir vērst</w:t>
      </w:r>
      <w:r w:rsidR="009E10CB">
        <w:rPr>
          <w:lang w:val="lv-LV"/>
        </w:rPr>
        <w:t>i</w:t>
      </w:r>
      <w:r>
        <w:rPr>
          <w:lang w:val="lv-LV"/>
        </w:rPr>
        <w:t xml:space="preserve"> uz pierādījumu </w:t>
      </w:r>
      <w:r w:rsidRPr="00F9740B">
        <w:rPr>
          <w:lang w:val="lv-LV"/>
        </w:rPr>
        <w:t>vērtēšanu no jauna, kas nav kasāc</w:t>
      </w:r>
      <w:r>
        <w:rPr>
          <w:lang w:val="lv-LV"/>
        </w:rPr>
        <w:t>ijas instances tiesas uzdevums (</w:t>
      </w:r>
      <w:r w:rsidRPr="00F9740B">
        <w:rPr>
          <w:lang w:val="lv-LV"/>
        </w:rPr>
        <w:t>Civilprocesa likuma 450.panta trešā daļa).</w:t>
      </w:r>
    </w:p>
    <w:p w14:paraId="34074B86" w14:textId="2B1C49E9" w:rsidR="008F3864" w:rsidRDefault="008F3864" w:rsidP="008F3864">
      <w:pPr>
        <w:autoSpaceDE w:val="0"/>
        <w:autoSpaceDN w:val="0"/>
        <w:adjustRightInd w:val="0"/>
        <w:spacing w:after="0" w:line="276" w:lineRule="auto"/>
        <w:ind w:firstLine="567"/>
        <w:jc w:val="both"/>
        <w:rPr>
          <w:rFonts w:cs="Times New Roman"/>
          <w:szCs w:val="24"/>
          <w:lang w:val="lv-LV"/>
        </w:rPr>
      </w:pPr>
      <w:r>
        <w:rPr>
          <w:rFonts w:cs="Times New Roman"/>
          <w:lang w:val="lv-LV"/>
        </w:rPr>
        <w:t xml:space="preserve">Līdz ar to </w:t>
      </w:r>
      <w:r w:rsidRPr="008D727B">
        <w:rPr>
          <w:rFonts w:cs="Times New Roman"/>
          <w:szCs w:val="24"/>
          <w:lang w:val="lv-LV"/>
        </w:rPr>
        <w:t>konstatējams Civilprocesa likuma 464.</w:t>
      </w:r>
      <w:r w:rsidRPr="008D727B">
        <w:rPr>
          <w:rFonts w:cs="Times New Roman"/>
          <w:szCs w:val="24"/>
          <w:vertAlign w:val="superscript"/>
          <w:lang w:val="lv-LV"/>
        </w:rPr>
        <w:t xml:space="preserve">1 </w:t>
      </w:r>
      <w:r w:rsidRPr="008D727B">
        <w:rPr>
          <w:rFonts w:cs="Times New Roman"/>
          <w:szCs w:val="24"/>
          <w:lang w:val="lv-LV"/>
        </w:rPr>
        <w:t>panta otrās daļas 2.punktā</w:t>
      </w:r>
      <w:r w:rsidRPr="00DD195A">
        <w:rPr>
          <w:rFonts w:cs="Times New Roman"/>
          <w:szCs w:val="24"/>
          <w:lang w:val="lv-LV"/>
        </w:rPr>
        <w:t xml:space="preserve"> paredzētais pamats atteikumam ierosināt kasācijas tiesvedību lietā. </w:t>
      </w:r>
    </w:p>
    <w:p w14:paraId="43F11420" w14:textId="77777777" w:rsidR="008F3864" w:rsidRDefault="008F3864" w:rsidP="00CB5312">
      <w:pPr>
        <w:autoSpaceDE w:val="0"/>
        <w:autoSpaceDN w:val="0"/>
        <w:adjustRightInd w:val="0"/>
        <w:spacing w:after="0" w:line="276" w:lineRule="auto"/>
        <w:ind w:firstLine="567"/>
        <w:jc w:val="both"/>
        <w:rPr>
          <w:lang w:val="lv-LV"/>
        </w:rPr>
      </w:pPr>
    </w:p>
    <w:p w14:paraId="2BAF19E2" w14:textId="55EAF79C" w:rsidR="008F3864" w:rsidRDefault="00644DBB" w:rsidP="00CC5D78">
      <w:pPr>
        <w:autoSpaceDE w:val="0"/>
        <w:autoSpaceDN w:val="0"/>
        <w:adjustRightInd w:val="0"/>
        <w:spacing w:after="0" w:line="276" w:lineRule="auto"/>
        <w:ind w:firstLine="567"/>
        <w:jc w:val="both"/>
        <w:rPr>
          <w:rFonts w:cs="Times New Roman"/>
          <w:szCs w:val="24"/>
          <w:lang w:val="lv-LV"/>
        </w:rPr>
      </w:pPr>
      <w:r>
        <w:rPr>
          <w:lang w:val="lv-LV"/>
        </w:rPr>
        <w:t>[</w:t>
      </w:r>
      <w:r w:rsidR="00B17B40">
        <w:rPr>
          <w:lang w:val="lv-LV"/>
        </w:rPr>
        <w:t>2</w:t>
      </w:r>
      <w:r>
        <w:rPr>
          <w:lang w:val="lv-LV"/>
        </w:rPr>
        <w:t>]</w:t>
      </w:r>
      <w:r w:rsidR="00D0461F">
        <w:rPr>
          <w:lang w:val="lv-LV"/>
        </w:rPr>
        <w:t> </w:t>
      </w:r>
      <w:r w:rsidR="00B23A33">
        <w:rPr>
          <w:lang w:val="lv-LV"/>
        </w:rPr>
        <w:t>P</w:t>
      </w:r>
      <w:r w:rsidR="00B23A33">
        <w:rPr>
          <w:rFonts w:cs="Times New Roman"/>
          <w:szCs w:val="24"/>
          <w:lang w:val="lv-LV"/>
        </w:rPr>
        <w:t>rasītāja iebildumi</w:t>
      </w:r>
      <w:r w:rsidR="00B23A33" w:rsidRPr="002E286D">
        <w:rPr>
          <w:rFonts w:cs="Times New Roman"/>
          <w:szCs w:val="24"/>
          <w:lang w:val="lv-LV"/>
        </w:rPr>
        <w:t xml:space="preserve"> par</w:t>
      </w:r>
      <w:r w:rsidR="00B23A33">
        <w:rPr>
          <w:rFonts w:cs="Times New Roman"/>
          <w:szCs w:val="24"/>
          <w:lang w:val="lv-LV"/>
        </w:rPr>
        <w:t xml:space="preserve"> Civilprocesa likuma </w:t>
      </w:r>
      <w:proofErr w:type="gramStart"/>
      <w:r w:rsidR="00B23A33">
        <w:rPr>
          <w:rFonts w:cs="Times New Roman"/>
          <w:szCs w:val="24"/>
          <w:lang w:val="lv-LV"/>
        </w:rPr>
        <w:t>74.panta</w:t>
      </w:r>
      <w:proofErr w:type="gramEnd"/>
      <w:r w:rsidR="00B23A33">
        <w:rPr>
          <w:rFonts w:cs="Times New Roman"/>
          <w:szCs w:val="24"/>
          <w:lang w:val="lv-LV"/>
        </w:rPr>
        <w:t xml:space="preserve"> sestās daļas, 415. un 416.panta pārkāpumu saistībā ar</w:t>
      </w:r>
      <w:r w:rsidR="00B23A33" w:rsidRPr="002E286D">
        <w:rPr>
          <w:rFonts w:cs="Times New Roman"/>
          <w:szCs w:val="24"/>
          <w:lang w:val="lv-LV"/>
        </w:rPr>
        <w:t xml:space="preserve"> </w:t>
      </w:r>
      <w:r w:rsidR="00B23A33" w:rsidRPr="002E286D">
        <w:rPr>
          <w:rFonts w:cs="Times New Roman"/>
          <w:lang w:val="lv-LV"/>
        </w:rPr>
        <w:t>apelācijas sūdzības papildinājum</w:t>
      </w:r>
      <w:r w:rsidR="00B23A33">
        <w:rPr>
          <w:rFonts w:cs="Times New Roman"/>
          <w:lang w:val="lv-LV"/>
        </w:rPr>
        <w:t>u</w:t>
      </w:r>
      <w:r w:rsidR="00B23A33" w:rsidRPr="002E286D">
        <w:rPr>
          <w:rFonts w:cs="Times New Roman"/>
          <w:lang w:val="lv-LV"/>
        </w:rPr>
        <w:t>, k</w:t>
      </w:r>
      <w:r w:rsidR="00B23A33">
        <w:rPr>
          <w:rFonts w:cs="Times New Roman"/>
          <w:lang w:val="lv-LV"/>
        </w:rPr>
        <w:t xml:space="preserve">uri </w:t>
      </w:r>
      <w:r w:rsidR="00B23A33" w:rsidRPr="002E286D">
        <w:rPr>
          <w:rFonts w:cs="Times New Roman"/>
          <w:lang w:val="lv-LV"/>
        </w:rPr>
        <w:t>iesniegti pēc apelācijas sūdzības iesniegšanai paredzētā termiņa beigām, nevērtēšanu</w:t>
      </w:r>
      <w:r w:rsidR="00B23A33">
        <w:rPr>
          <w:rFonts w:cs="Times New Roman"/>
          <w:lang w:val="lv-LV"/>
        </w:rPr>
        <w:t xml:space="preserve"> ir balstīti subjektīvā izpratnē par tiesību normu interpretāciju</w:t>
      </w:r>
      <w:r w:rsidR="00CC5D78">
        <w:rPr>
          <w:rFonts w:cs="Times New Roman"/>
          <w:lang w:val="lv-LV"/>
        </w:rPr>
        <w:t xml:space="preserve"> un </w:t>
      </w:r>
      <w:r w:rsidR="00D0461F">
        <w:rPr>
          <w:lang w:val="lv-LV"/>
        </w:rPr>
        <w:t>s</w:t>
      </w:r>
      <w:r w:rsidR="008F3864">
        <w:rPr>
          <w:lang w:val="lv-LV"/>
        </w:rPr>
        <w:t xml:space="preserve">enatoru kolēģija atzīst, ka </w:t>
      </w:r>
      <w:r w:rsidR="00CC5D78">
        <w:rPr>
          <w:lang w:val="lv-LV"/>
        </w:rPr>
        <w:t xml:space="preserve">attiecībā uz minētajiem iebildumiem </w:t>
      </w:r>
      <w:r w:rsidR="008F3864">
        <w:rPr>
          <w:lang w:val="lv-LV"/>
        </w:rPr>
        <w:t xml:space="preserve">pastāv </w:t>
      </w:r>
      <w:r w:rsidR="008F3864" w:rsidRPr="008D727B">
        <w:rPr>
          <w:rFonts w:cs="Times New Roman"/>
          <w:szCs w:val="24"/>
          <w:lang w:val="lv-LV"/>
        </w:rPr>
        <w:t>Civilprocesa likuma 464.</w:t>
      </w:r>
      <w:r w:rsidR="008F3864" w:rsidRPr="008D727B">
        <w:rPr>
          <w:rFonts w:cs="Times New Roman"/>
          <w:szCs w:val="24"/>
          <w:vertAlign w:val="superscript"/>
          <w:lang w:val="lv-LV"/>
        </w:rPr>
        <w:t xml:space="preserve">1 </w:t>
      </w:r>
      <w:r w:rsidR="008F3864" w:rsidRPr="008D727B">
        <w:rPr>
          <w:rFonts w:cs="Times New Roman"/>
          <w:szCs w:val="24"/>
          <w:lang w:val="lv-LV"/>
        </w:rPr>
        <w:t>panta otrās daļas 1.punktā</w:t>
      </w:r>
      <w:r w:rsidR="008F3864" w:rsidRPr="00DD195A">
        <w:rPr>
          <w:rFonts w:cs="Times New Roman"/>
          <w:szCs w:val="24"/>
          <w:lang w:val="lv-LV"/>
        </w:rPr>
        <w:t xml:space="preserve"> paredzētais pamats atteikumam ierosināt kasācijas tiesvedību lietā. </w:t>
      </w:r>
    </w:p>
    <w:p w14:paraId="7E26B186" w14:textId="77777777" w:rsidR="00CB5312" w:rsidRDefault="00CB5312" w:rsidP="00CB5312">
      <w:pPr>
        <w:autoSpaceDE w:val="0"/>
        <w:autoSpaceDN w:val="0"/>
        <w:adjustRightInd w:val="0"/>
        <w:spacing w:after="0" w:line="276" w:lineRule="auto"/>
        <w:ind w:firstLine="567"/>
        <w:jc w:val="both"/>
        <w:rPr>
          <w:lang w:val="lv-LV"/>
        </w:rPr>
      </w:pPr>
      <w:r>
        <w:rPr>
          <w:rFonts w:cs="Times New Roman"/>
          <w:szCs w:val="24"/>
          <w:lang w:val="lv-LV"/>
        </w:rPr>
        <w:t>Prasītāja pozīcija citastarp pamatota ar kļūdainu uzskatu par prasības pamatu.</w:t>
      </w:r>
    </w:p>
    <w:p w14:paraId="2D754F9A" w14:textId="77777777" w:rsidR="00CB5312" w:rsidRDefault="00CB5312" w:rsidP="00CB5312">
      <w:pPr>
        <w:autoSpaceDE w:val="0"/>
        <w:autoSpaceDN w:val="0"/>
        <w:adjustRightInd w:val="0"/>
        <w:spacing w:after="0" w:line="276" w:lineRule="auto"/>
        <w:ind w:firstLine="567"/>
        <w:jc w:val="both"/>
        <w:rPr>
          <w:rFonts w:cs="Times New Roman"/>
          <w:szCs w:val="24"/>
          <w:lang w:val="lv-LV"/>
        </w:rPr>
      </w:pPr>
      <w:r w:rsidRPr="00201F90">
        <w:rPr>
          <w:rFonts w:cs="Times New Roman"/>
          <w:szCs w:val="24"/>
          <w:lang w:val="lv-LV"/>
        </w:rPr>
        <w:t>Prasības</w:t>
      </w:r>
      <w:r>
        <w:rPr>
          <w:rFonts w:cs="Times New Roman"/>
          <w:szCs w:val="24"/>
          <w:lang w:val="lv-LV"/>
        </w:rPr>
        <w:t xml:space="preserve"> pamats ir viens no prasības elementiem, kas </w:t>
      </w:r>
      <w:r w:rsidRPr="00201F90">
        <w:rPr>
          <w:rFonts w:cs="Times New Roman"/>
          <w:szCs w:val="24"/>
          <w:lang w:val="lv-LV"/>
        </w:rPr>
        <w:t>obligāti norādām</w:t>
      </w:r>
      <w:r>
        <w:rPr>
          <w:rFonts w:cs="Times New Roman"/>
          <w:szCs w:val="24"/>
          <w:lang w:val="lv-LV"/>
        </w:rPr>
        <w:t>s</w:t>
      </w:r>
      <w:r w:rsidRPr="00201F90">
        <w:rPr>
          <w:rFonts w:cs="Times New Roman"/>
          <w:szCs w:val="24"/>
          <w:lang w:val="lv-LV"/>
        </w:rPr>
        <w:t xml:space="preserve"> prasības pieteikumā.</w:t>
      </w:r>
    </w:p>
    <w:p w14:paraId="087B8C68" w14:textId="0A3C1BB1" w:rsidR="00CB5312" w:rsidRDefault="00CB5312" w:rsidP="00CB5312">
      <w:pPr>
        <w:autoSpaceDE w:val="0"/>
        <w:autoSpaceDN w:val="0"/>
        <w:adjustRightInd w:val="0"/>
        <w:spacing w:after="0" w:line="276" w:lineRule="auto"/>
        <w:ind w:firstLine="567"/>
        <w:jc w:val="both"/>
        <w:rPr>
          <w:rFonts w:cs="Times New Roman"/>
          <w:szCs w:val="24"/>
          <w:lang w:val="lv-LV"/>
        </w:rPr>
      </w:pPr>
      <w:r w:rsidRPr="00201F90">
        <w:rPr>
          <w:rFonts w:cs="Times New Roman"/>
          <w:szCs w:val="24"/>
          <w:lang w:val="lv-LV"/>
        </w:rPr>
        <w:lastRenderedPageBreak/>
        <w:t>Prasītājam [..] jānorāda prasības: 1) aktīvais pamats, t. i., prasītājam piederošās tie</w:t>
      </w:r>
      <w:r w:rsidR="00D0461F">
        <w:rPr>
          <w:rFonts w:cs="Times New Roman"/>
          <w:szCs w:val="24"/>
          <w:lang w:val="lv-LV"/>
        </w:rPr>
        <w:t>sības un 2) pasīvais pamats, t.</w:t>
      </w:r>
      <w:r w:rsidRPr="00201F90">
        <w:rPr>
          <w:rFonts w:cs="Times New Roman"/>
          <w:szCs w:val="24"/>
          <w:lang w:val="lv-LV"/>
        </w:rPr>
        <w:t>i.</w:t>
      </w:r>
      <w:r w:rsidR="00D0461F">
        <w:rPr>
          <w:rFonts w:cs="Times New Roman"/>
          <w:szCs w:val="24"/>
          <w:lang w:val="lv-LV"/>
        </w:rPr>
        <w:t>,</w:t>
      </w:r>
      <w:r w:rsidRPr="00201F90">
        <w:rPr>
          <w:rFonts w:cs="Times New Roman"/>
          <w:szCs w:val="24"/>
          <w:lang w:val="lv-LV"/>
        </w:rPr>
        <w:t xml:space="preserve"> atbildētāja darbība vai nolaidīb</w:t>
      </w:r>
      <w:r w:rsidR="00D0461F">
        <w:rPr>
          <w:rFonts w:cs="Times New Roman"/>
          <w:szCs w:val="24"/>
          <w:lang w:val="lv-LV"/>
        </w:rPr>
        <w:t>a, ar ko šīs tiesības traucētas</w:t>
      </w:r>
      <w:r w:rsidRPr="00201F90">
        <w:rPr>
          <w:rFonts w:cs="Times New Roman"/>
          <w:szCs w:val="24"/>
          <w:lang w:val="lv-LV"/>
        </w:rPr>
        <w:t xml:space="preserve">” </w:t>
      </w:r>
      <w:proofErr w:type="gramStart"/>
      <w:r w:rsidRPr="00201F90">
        <w:rPr>
          <w:rFonts w:cs="Times New Roman"/>
          <w:szCs w:val="24"/>
          <w:lang w:val="lv-LV"/>
        </w:rPr>
        <w:t>(</w:t>
      </w:r>
      <w:proofErr w:type="gramEnd"/>
      <w:r w:rsidR="00D0461F">
        <w:rPr>
          <w:rFonts w:cs="Times New Roman"/>
          <w:i/>
          <w:iCs/>
          <w:szCs w:val="24"/>
          <w:lang w:val="lv-LV"/>
        </w:rPr>
        <w:t>sk. Bukovskis </w:t>
      </w:r>
      <w:r w:rsidRPr="00201F90">
        <w:rPr>
          <w:rFonts w:cs="Times New Roman"/>
          <w:i/>
          <w:iCs/>
          <w:szCs w:val="24"/>
          <w:lang w:val="lv-LV"/>
        </w:rPr>
        <w:t>V. Civilprocesa mācību grāmata. Rīga, 1933, 303.lpp.</w:t>
      </w:r>
      <w:r w:rsidRPr="00201F90">
        <w:rPr>
          <w:rFonts w:cs="Times New Roman"/>
          <w:szCs w:val="24"/>
          <w:lang w:val="lv-LV"/>
        </w:rPr>
        <w:t xml:space="preserve">). </w:t>
      </w:r>
    </w:p>
    <w:p w14:paraId="45B4F9DD" w14:textId="27A4CBF6" w:rsidR="004813FD" w:rsidRDefault="00CB5312" w:rsidP="004813FD">
      <w:pPr>
        <w:autoSpaceDE w:val="0"/>
        <w:autoSpaceDN w:val="0"/>
        <w:adjustRightInd w:val="0"/>
        <w:spacing w:after="0" w:line="276" w:lineRule="auto"/>
        <w:ind w:firstLine="567"/>
        <w:jc w:val="both"/>
        <w:rPr>
          <w:rFonts w:cs="Times New Roman"/>
          <w:szCs w:val="24"/>
          <w:lang w:val="lv-LV"/>
        </w:rPr>
      </w:pPr>
      <w:r>
        <w:rPr>
          <w:rFonts w:cs="Times New Roman"/>
          <w:szCs w:val="24"/>
          <w:lang w:val="lv-LV"/>
        </w:rPr>
        <w:t>Konkrētajā lietā prasības pamatā nav norādīti tie faktiskie apstākļi (atbildētāja rīcība) un pierādījumi, kuri uzskaitīti un aprakstīti apelācijas sūdzības papildinājumos, kā arī daļēji apelācija sūdzībā, turklāt nenorādot a</w:t>
      </w:r>
      <w:r w:rsidRPr="008D727B">
        <w:rPr>
          <w:rFonts w:ascii="TimesNewRomanPSMT" w:hAnsi="TimesNewRomanPSMT" w:cs="TimesNewRomanPSMT"/>
          <w:szCs w:val="24"/>
          <w:lang w:val="lv-LV"/>
        </w:rPr>
        <w:t>ttaisnojoš</w:t>
      </w:r>
      <w:r>
        <w:rPr>
          <w:rFonts w:ascii="TimesNewRomanPSMT" w:hAnsi="TimesNewRomanPSMT" w:cs="TimesNewRomanPSMT"/>
          <w:szCs w:val="24"/>
          <w:lang w:val="lv-LV"/>
        </w:rPr>
        <w:t xml:space="preserve">us iemeslus, kādēļ tas nav darīts </w:t>
      </w:r>
      <w:r w:rsidRPr="008D727B">
        <w:rPr>
          <w:rFonts w:ascii="TimesNewRomanPSMT" w:hAnsi="TimesNewRomanPSMT" w:cs="TimesNewRomanPSMT"/>
          <w:szCs w:val="24"/>
          <w:lang w:val="lv-LV"/>
        </w:rPr>
        <w:t>pirmās instances tiesā.</w:t>
      </w:r>
    </w:p>
    <w:p w14:paraId="1B2EB7CA" w14:textId="715785CD" w:rsidR="00644DBB" w:rsidRDefault="004813FD" w:rsidP="004813FD">
      <w:pPr>
        <w:autoSpaceDE w:val="0"/>
        <w:autoSpaceDN w:val="0"/>
        <w:adjustRightInd w:val="0"/>
        <w:spacing w:after="0" w:line="276" w:lineRule="auto"/>
        <w:ind w:firstLine="567"/>
        <w:jc w:val="both"/>
        <w:rPr>
          <w:rFonts w:cs="Times New Roman"/>
          <w:szCs w:val="24"/>
          <w:lang w:val="lv-LV"/>
        </w:rPr>
      </w:pPr>
      <w:r>
        <w:rPr>
          <w:rFonts w:cs="Times New Roman"/>
          <w:szCs w:val="24"/>
          <w:lang w:val="lv-LV"/>
        </w:rPr>
        <w:t>Apgabaltiesas</w:t>
      </w:r>
      <w:r w:rsidR="00644DBB">
        <w:rPr>
          <w:rFonts w:cs="Times New Roman"/>
          <w:szCs w:val="24"/>
          <w:lang w:val="lv-LV"/>
        </w:rPr>
        <w:t xml:space="preserve"> </w:t>
      </w:r>
      <w:r w:rsidR="00644DBB" w:rsidRPr="002E286D">
        <w:rPr>
          <w:rFonts w:cs="Times New Roman"/>
          <w:szCs w:val="24"/>
          <w:lang w:val="lv-LV"/>
        </w:rPr>
        <w:t>spriedumā ietvertais pamatojums</w:t>
      </w:r>
      <w:r w:rsidR="00644DBB">
        <w:rPr>
          <w:rFonts w:cs="Times New Roman"/>
          <w:szCs w:val="24"/>
          <w:lang w:val="lv-LV"/>
        </w:rPr>
        <w:t xml:space="preserve"> par nepieļaujamību grozīt vai papildināt apelācijas sūdzību</w:t>
      </w:r>
      <w:r w:rsidR="00644DBB" w:rsidRPr="002E286D">
        <w:rPr>
          <w:rFonts w:cs="Times New Roman"/>
          <w:szCs w:val="24"/>
          <w:lang w:val="lv-LV"/>
        </w:rPr>
        <w:t xml:space="preserve"> pēc </w:t>
      </w:r>
      <w:r w:rsidR="00644DBB" w:rsidRPr="002E286D">
        <w:rPr>
          <w:rFonts w:cs="Times New Roman"/>
          <w:lang w:val="lv-LV"/>
        </w:rPr>
        <w:t>apelācijas sūdzības iesniegšanai paredzētā termiņa notecēšanas atbilst jud</w:t>
      </w:r>
      <w:r w:rsidR="00644DBB">
        <w:rPr>
          <w:rFonts w:cs="Times New Roman"/>
          <w:lang w:val="lv-LV"/>
        </w:rPr>
        <w:t>ikatūrai, </w:t>
      </w:r>
      <w:r w:rsidR="00644DBB" w:rsidRPr="002E286D">
        <w:rPr>
          <w:rFonts w:cs="Times New Roman"/>
          <w:lang w:val="lv-LV"/>
        </w:rPr>
        <w:t>kas izveidojusies faktisko un tiesisko apstākļu ziņā līdzīgās lietās (</w:t>
      </w:r>
      <w:r w:rsidR="00644DBB" w:rsidRPr="00E4009F">
        <w:rPr>
          <w:rFonts w:cs="Times New Roman"/>
          <w:i/>
          <w:lang w:val="lv-LV"/>
        </w:rPr>
        <w:t xml:space="preserve">sal. </w:t>
      </w:r>
      <w:r w:rsidR="00B23A33" w:rsidRPr="004813FD">
        <w:rPr>
          <w:i/>
          <w:iCs/>
          <w:lang w:val="lv-LV"/>
        </w:rPr>
        <w:t xml:space="preserve">Senāta </w:t>
      </w:r>
      <w:proofErr w:type="gramStart"/>
      <w:r w:rsidR="00B23A33" w:rsidRPr="004813FD">
        <w:rPr>
          <w:i/>
          <w:iCs/>
          <w:lang w:val="lv-LV"/>
        </w:rPr>
        <w:t>2015.gada</w:t>
      </w:r>
      <w:proofErr w:type="gramEnd"/>
      <w:r w:rsidR="00B23A33" w:rsidRPr="004813FD">
        <w:rPr>
          <w:i/>
          <w:iCs/>
          <w:lang w:val="lv-LV"/>
        </w:rPr>
        <w:t xml:space="preserve"> 10.jūnija sprieduma lietā Nr. SKC–75/2015 (C28245410) 10.3.punktu un 2020.gada 30.janvāra sprieduma lietā Nr. </w:t>
      </w:r>
      <w:r w:rsidR="00B23A33">
        <w:rPr>
          <w:i/>
          <w:iCs/>
        </w:rPr>
        <w:t>SKC–66/2020 (</w:t>
      </w:r>
      <w:r w:rsidR="00B23A33">
        <w:rPr>
          <w:i/>
          <w:iCs/>
          <w:color w:val="000081"/>
        </w:rPr>
        <w:t xml:space="preserve">ECLI:LV:AT:2020:0130.C33314714.9.S) </w:t>
      </w:r>
      <w:r w:rsidR="00B23A33">
        <w:rPr>
          <w:i/>
          <w:iCs/>
        </w:rPr>
        <w:t>11.1.punktu</w:t>
      </w:r>
      <w:r w:rsidR="00644DBB" w:rsidRPr="00DD195A">
        <w:rPr>
          <w:rFonts w:cs="Times New Roman"/>
          <w:szCs w:val="24"/>
          <w:lang w:val="lv-LV"/>
        </w:rPr>
        <w:t>).</w:t>
      </w:r>
    </w:p>
    <w:p w14:paraId="3E7996B2" w14:textId="09D258D2" w:rsidR="002E286D" w:rsidRPr="002E286D" w:rsidRDefault="00644DBB" w:rsidP="00644DBB">
      <w:pPr>
        <w:autoSpaceDE w:val="0"/>
        <w:autoSpaceDN w:val="0"/>
        <w:adjustRightInd w:val="0"/>
        <w:spacing w:after="0" w:line="276" w:lineRule="auto"/>
        <w:ind w:firstLine="567"/>
        <w:jc w:val="both"/>
        <w:rPr>
          <w:rFonts w:cs="Times New Roman"/>
          <w:szCs w:val="24"/>
          <w:lang w:val="lv-LV"/>
        </w:rPr>
      </w:pPr>
      <w:r>
        <w:rPr>
          <w:rFonts w:cs="Times New Roman"/>
          <w:lang w:val="lv-LV"/>
        </w:rPr>
        <w:t xml:space="preserve">Senāts jau iepriekš ir norādījis, ka </w:t>
      </w:r>
      <w:r w:rsidR="002E286D" w:rsidRPr="002E286D">
        <w:rPr>
          <w:rFonts w:cs="Times New Roman"/>
          <w:szCs w:val="24"/>
          <w:lang w:val="lv-LV"/>
        </w:rPr>
        <w:t xml:space="preserve">Civilprocesa likuma tiesību normu sistēma ir vērsta uz to, lai visi prasītāja argumenti un pierādījumi (Civilprocesa likuma </w:t>
      </w:r>
      <w:proofErr w:type="gramStart"/>
      <w:r w:rsidR="002E286D" w:rsidRPr="002E286D">
        <w:rPr>
          <w:rFonts w:cs="Times New Roman"/>
          <w:szCs w:val="24"/>
          <w:lang w:val="lv-LV"/>
        </w:rPr>
        <w:t>93.panta</w:t>
      </w:r>
      <w:proofErr w:type="gramEnd"/>
      <w:r w:rsidR="002E286D" w:rsidRPr="002E286D">
        <w:rPr>
          <w:rFonts w:cs="Times New Roman"/>
          <w:szCs w:val="24"/>
          <w:lang w:val="lv-LV"/>
        </w:rPr>
        <w:t xml:space="preserve"> pirmā daļa, 128.panta otrās daļas 5.punkts), kā arī atbildētāja iebildumi un tos pamatojošie pierādījumi (Civilprocesa likuma 93.panta pirmā daļa, 148.panta otrās daļas 2. un 3.punkts) būtu noskaidroti pirmās instances tiesā.</w:t>
      </w:r>
    </w:p>
    <w:p w14:paraId="5997009B" w14:textId="77777777" w:rsidR="002E286D" w:rsidRPr="002E286D" w:rsidRDefault="002E286D" w:rsidP="00E4009F">
      <w:pPr>
        <w:autoSpaceDE w:val="0"/>
        <w:autoSpaceDN w:val="0"/>
        <w:adjustRightInd w:val="0"/>
        <w:spacing w:after="0" w:line="276" w:lineRule="auto"/>
        <w:jc w:val="both"/>
        <w:rPr>
          <w:rFonts w:cs="Times New Roman"/>
          <w:szCs w:val="24"/>
          <w:lang w:val="lv-LV"/>
        </w:rPr>
      </w:pPr>
      <w:r w:rsidRPr="002E286D">
        <w:rPr>
          <w:rFonts w:cs="Times New Roman"/>
          <w:szCs w:val="24"/>
          <w:lang w:val="lv-LV"/>
        </w:rPr>
        <w:tab/>
        <w:t xml:space="preserve">No Civilprocesa likuma </w:t>
      </w:r>
      <w:proofErr w:type="gramStart"/>
      <w:r w:rsidRPr="002E286D">
        <w:rPr>
          <w:rFonts w:cs="Times New Roman"/>
          <w:szCs w:val="24"/>
          <w:lang w:val="lv-LV"/>
        </w:rPr>
        <w:t>416.panta</w:t>
      </w:r>
      <w:proofErr w:type="gramEnd"/>
      <w:r w:rsidRPr="002E286D">
        <w:rPr>
          <w:rFonts w:cs="Times New Roman"/>
          <w:szCs w:val="24"/>
          <w:lang w:val="lv-LV"/>
        </w:rPr>
        <w:t xml:space="preserve"> noteik</w:t>
      </w:r>
      <w:r>
        <w:rPr>
          <w:rFonts w:cs="Times New Roman"/>
          <w:szCs w:val="24"/>
          <w:lang w:val="lv-LV"/>
        </w:rPr>
        <w:t xml:space="preserve">umiem izriet, ka visi iebildumi </w:t>
      </w:r>
      <w:r w:rsidRPr="002E286D">
        <w:rPr>
          <w:rFonts w:cs="Times New Roman"/>
          <w:szCs w:val="24"/>
          <w:lang w:val="lv-LV"/>
        </w:rPr>
        <w:t>pārsūdzētajam spriedumam jāietver apelācijas sūdzībā, tostarp no</w:t>
      </w:r>
      <w:r>
        <w:rPr>
          <w:rFonts w:cs="Times New Roman"/>
          <w:szCs w:val="24"/>
          <w:lang w:val="lv-LV"/>
        </w:rPr>
        <w:t xml:space="preserve">rādot, vai tiek pieteikti jauni </w:t>
      </w:r>
      <w:r w:rsidRPr="002E286D">
        <w:rPr>
          <w:rFonts w:cs="Times New Roman"/>
          <w:szCs w:val="24"/>
          <w:lang w:val="lv-LV"/>
        </w:rPr>
        <w:t>pierādījumi.</w:t>
      </w:r>
    </w:p>
    <w:p w14:paraId="10FF2143" w14:textId="422704CD" w:rsidR="00E4009F" w:rsidRPr="00644DBB" w:rsidRDefault="002E286D" w:rsidP="00842465">
      <w:pPr>
        <w:autoSpaceDE w:val="0"/>
        <w:autoSpaceDN w:val="0"/>
        <w:adjustRightInd w:val="0"/>
        <w:spacing w:after="0" w:line="276" w:lineRule="auto"/>
        <w:ind w:firstLine="720"/>
        <w:jc w:val="both"/>
        <w:rPr>
          <w:rFonts w:cs="Times New Roman"/>
          <w:szCs w:val="24"/>
          <w:lang w:val="lv-LV"/>
        </w:rPr>
      </w:pPr>
      <w:r w:rsidRPr="002E286D">
        <w:rPr>
          <w:rFonts w:cs="Times New Roman"/>
          <w:szCs w:val="24"/>
          <w:lang w:val="lv-LV"/>
        </w:rPr>
        <w:t>Pierādījumu iesniegšanu apelācijas instancē ierobežo Civilp</w:t>
      </w:r>
      <w:r>
        <w:rPr>
          <w:rFonts w:cs="Times New Roman"/>
          <w:szCs w:val="24"/>
          <w:lang w:val="lv-LV"/>
        </w:rPr>
        <w:t xml:space="preserve">rocesa likuma </w:t>
      </w:r>
      <w:proofErr w:type="gramStart"/>
      <w:r>
        <w:rPr>
          <w:rFonts w:cs="Times New Roman"/>
          <w:szCs w:val="24"/>
          <w:lang w:val="lv-LV"/>
        </w:rPr>
        <w:t>430.panta</w:t>
      </w:r>
      <w:proofErr w:type="gramEnd"/>
      <w:r>
        <w:rPr>
          <w:rFonts w:cs="Times New Roman"/>
          <w:szCs w:val="24"/>
          <w:lang w:val="lv-LV"/>
        </w:rPr>
        <w:t xml:space="preserve"> ceturtā </w:t>
      </w:r>
      <w:r w:rsidRPr="002E286D">
        <w:rPr>
          <w:rFonts w:cs="Times New Roman"/>
          <w:szCs w:val="24"/>
          <w:lang w:val="lv-LV"/>
        </w:rPr>
        <w:t xml:space="preserve">daļa. Pierādījumi, kuriem ir nozīme lietā (Civilprocesa likuma </w:t>
      </w:r>
      <w:proofErr w:type="gramStart"/>
      <w:r w:rsidRPr="002E286D">
        <w:rPr>
          <w:rFonts w:cs="Times New Roman"/>
          <w:szCs w:val="24"/>
          <w:lang w:val="lv-LV"/>
        </w:rPr>
        <w:t>94.pants</w:t>
      </w:r>
      <w:proofErr w:type="gramEnd"/>
      <w:r w:rsidRPr="002E286D">
        <w:rPr>
          <w:rFonts w:cs="Times New Roman"/>
          <w:szCs w:val="24"/>
          <w:lang w:val="lv-LV"/>
        </w:rPr>
        <w:t xml:space="preserve">) var tikt pieņemti </w:t>
      </w:r>
      <w:r w:rsidRPr="00E4009F">
        <w:rPr>
          <w:rFonts w:cs="Times New Roman"/>
          <w:szCs w:val="24"/>
          <w:lang w:val="lv-LV"/>
        </w:rPr>
        <w:t>tikai, ja tos nebija iespējams pieteikt lietas izskatīšanā pirmās instances tiesā vai tiek konstatēts attaisnojošs iemesls, kāpēc tie netika ie</w:t>
      </w:r>
      <w:r w:rsidR="00E4009F">
        <w:rPr>
          <w:rFonts w:cs="Times New Roman"/>
          <w:szCs w:val="24"/>
          <w:lang w:val="lv-LV"/>
        </w:rPr>
        <w:t xml:space="preserve">sniegti pirmās instances tiesā. </w:t>
      </w:r>
      <w:r w:rsidRPr="00E4009F">
        <w:rPr>
          <w:rFonts w:cs="Times New Roman"/>
          <w:szCs w:val="24"/>
          <w:lang w:val="lv-LV"/>
        </w:rPr>
        <w:t xml:space="preserve">Tādējādi tiek sasniegts Civilprocesa likuma </w:t>
      </w:r>
      <w:proofErr w:type="gramStart"/>
      <w:r w:rsidRPr="00E4009F">
        <w:rPr>
          <w:rFonts w:cs="Times New Roman"/>
          <w:szCs w:val="24"/>
          <w:lang w:val="lv-LV"/>
        </w:rPr>
        <w:t>9.pantā</w:t>
      </w:r>
      <w:proofErr w:type="gramEnd"/>
      <w:r w:rsidRPr="00E4009F">
        <w:rPr>
          <w:rFonts w:cs="Times New Roman"/>
          <w:szCs w:val="24"/>
          <w:lang w:val="lv-LV"/>
        </w:rPr>
        <w:t xml:space="preserve"> ietvert</w:t>
      </w:r>
      <w:r w:rsidR="00E4009F">
        <w:rPr>
          <w:rFonts w:cs="Times New Roman"/>
          <w:szCs w:val="24"/>
          <w:lang w:val="lv-LV"/>
        </w:rPr>
        <w:t xml:space="preserve">ā līdztiesības principa mērķis, </w:t>
      </w:r>
      <w:r w:rsidRPr="00E4009F">
        <w:rPr>
          <w:rFonts w:cs="Times New Roman"/>
          <w:szCs w:val="24"/>
          <w:lang w:val="lv-LV"/>
        </w:rPr>
        <w:t>proti, abām pusēm tiek nodrošinātas vienlīdzīgas tiesības lietas sagatavo</w:t>
      </w:r>
      <w:r w:rsidR="00E4009F">
        <w:rPr>
          <w:rFonts w:cs="Times New Roman"/>
          <w:szCs w:val="24"/>
          <w:lang w:val="lv-LV"/>
        </w:rPr>
        <w:t xml:space="preserve">šanas izskatīšanai stadijā </w:t>
      </w:r>
      <w:r w:rsidRPr="00E4009F">
        <w:rPr>
          <w:rFonts w:cs="Times New Roman"/>
          <w:szCs w:val="24"/>
          <w:lang w:val="lv-LV"/>
        </w:rPr>
        <w:t>uzzināt prasības pamata</w:t>
      </w:r>
      <w:r w:rsidR="00644DBB">
        <w:rPr>
          <w:rFonts w:cs="Times New Roman"/>
          <w:szCs w:val="24"/>
          <w:lang w:val="lv-LV"/>
        </w:rPr>
        <w:t xml:space="preserve"> (</w:t>
      </w:r>
      <w:r w:rsidRPr="00E4009F">
        <w:rPr>
          <w:rFonts w:cs="Times New Roman"/>
          <w:szCs w:val="24"/>
          <w:lang w:val="lv-LV"/>
        </w:rPr>
        <w:t>iebildumu par prasību</w:t>
      </w:r>
      <w:r w:rsidR="00644DBB">
        <w:rPr>
          <w:rFonts w:cs="Times New Roman"/>
          <w:szCs w:val="24"/>
          <w:lang w:val="lv-LV"/>
        </w:rPr>
        <w:t>)</w:t>
      </w:r>
      <w:r w:rsidRPr="00E4009F">
        <w:rPr>
          <w:rFonts w:cs="Times New Roman"/>
          <w:szCs w:val="24"/>
          <w:lang w:val="lv-LV"/>
        </w:rPr>
        <w:t xml:space="preserve"> argumentus, lai tās</w:t>
      </w:r>
      <w:r w:rsidR="00E4009F">
        <w:rPr>
          <w:rFonts w:cs="Times New Roman"/>
          <w:szCs w:val="24"/>
          <w:lang w:val="lv-LV"/>
        </w:rPr>
        <w:t xml:space="preserve"> varētu izvēlēties savu tiesību </w:t>
      </w:r>
      <w:r w:rsidRPr="00E4009F">
        <w:rPr>
          <w:rFonts w:cs="Times New Roman"/>
          <w:szCs w:val="24"/>
          <w:lang w:val="lv-LV"/>
        </w:rPr>
        <w:t xml:space="preserve">aizstāvēšanai atbilstošus procesuālos līdzekļus, kurus izmantot </w:t>
      </w:r>
      <w:r w:rsidR="00E4009F">
        <w:rPr>
          <w:rFonts w:cs="Times New Roman"/>
          <w:szCs w:val="24"/>
          <w:lang w:val="lv-LV"/>
        </w:rPr>
        <w:t xml:space="preserve">sacīkstē un sagatavoties lietas </w:t>
      </w:r>
      <w:r w:rsidRPr="00E4009F">
        <w:rPr>
          <w:rFonts w:cs="Times New Roman"/>
          <w:szCs w:val="24"/>
          <w:lang w:val="lv-LV"/>
        </w:rPr>
        <w:t>izskatīšanai pēc būtības. Arī procesuālie termiņi, kas noteikt</w:t>
      </w:r>
      <w:r w:rsidR="00E4009F">
        <w:rPr>
          <w:rFonts w:cs="Times New Roman"/>
          <w:szCs w:val="24"/>
          <w:lang w:val="lv-LV"/>
        </w:rPr>
        <w:t xml:space="preserve">i likumā vai kurus noteic tiesa </w:t>
      </w:r>
      <w:r w:rsidR="007401A9">
        <w:rPr>
          <w:rFonts w:cs="Times New Roman"/>
          <w:szCs w:val="24"/>
          <w:lang w:val="lv-LV"/>
        </w:rPr>
        <w:t xml:space="preserve">procesuālo dokumentu,  </w:t>
      </w:r>
      <w:r w:rsidRPr="00E4009F">
        <w:rPr>
          <w:rFonts w:cs="Times New Roman"/>
          <w:szCs w:val="24"/>
          <w:lang w:val="lv-LV"/>
        </w:rPr>
        <w:t xml:space="preserve">paskaidrojumu un pierādījumu </w:t>
      </w:r>
      <w:r w:rsidRPr="00644DBB">
        <w:rPr>
          <w:rFonts w:cs="Times New Roman"/>
          <w:szCs w:val="24"/>
          <w:lang w:val="lv-LV"/>
        </w:rPr>
        <w:t>iesniegšanai, ir vērs</w:t>
      </w:r>
      <w:r w:rsidR="00E4009F" w:rsidRPr="00644DBB">
        <w:rPr>
          <w:rFonts w:cs="Times New Roman"/>
          <w:szCs w:val="24"/>
          <w:lang w:val="lv-LV"/>
        </w:rPr>
        <w:t>ti uz minētā mērķa sasniegšanu.</w:t>
      </w:r>
    </w:p>
    <w:p w14:paraId="5162454B" w14:textId="4864718C" w:rsidR="001D09BC" w:rsidRPr="001D09BC" w:rsidRDefault="00E4009F" w:rsidP="007401A9">
      <w:pPr>
        <w:autoSpaceDE w:val="0"/>
        <w:autoSpaceDN w:val="0"/>
        <w:adjustRightInd w:val="0"/>
        <w:spacing w:after="0" w:line="276" w:lineRule="auto"/>
        <w:jc w:val="both"/>
        <w:rPr>
          <w:rFonts w:cs="Times New Roman"/>
          <w:lang w:val="lv-LV"/>
        </w:rPr>
      </w:pPr>
      <w:r w:rsidRPr="00644DBB">
        <w:rPr>
          <w:rFonts w:cs="Times New Roman"/>
          <w:szCs w:val="24"/>
          <w:lang w:val="lv-LV"/>
        </w:rPr>
        <w:tab/>
      </w:r>
      <w:r w:rsidR="002E286D" w:rsidRPr="00644DBB">
        <w:rPr>
          <w:rFonts w:cs="Times New Roman"/>
          <w:szCs w:val="24"/>
          <w:lang w:val="lv-LV"/>
        </w:rPr>
        <w:t xml:space="preserve">Procesuālo tiesību normas un līdztiesības princips nepieļauj </w:t>
      </w:r>
      <w:r w:rsidRPr="00644DBB">
        <w:rPr>
          <w:rFonts w:cs="Times New Roman"/>
          <w:szCs w:val="24"/>
          <w:lang w:val="lv-LV"/>
        </w:rPr>
        <w:t xml:space="preserve">situāciju, kurā jauni argumenti </w:t>
      </w:r>
      <w:r w:rsidR="002E286D" w:rsidRPr="00644DBB">
        <w:rPr>
          <w:rFonts w:cs="Times New Roman"/>
          <w:szCs w:val="24"/>
          <w:lang w:val="lv-LV"/>
        </w:rPr>
        <w:t xml:space="preserve">vai pierādījumi </w:t>
      </w:r>
      <w:r w:rsidR="002B511E">
        <w:rPr>
          <w:rFonts w:cs="Times New Roman"/>
          <w:szCs w:val="24"/>
          <w:lang w:val="lv-LV"/>
        </w:rPr>
        <w:t xml:space="preserve">netiek norādīti vai </w:t>
      </w:r>
      <w:r w:rsidR="002E286D" w:rsidRPr="00644DBB">
        <w:rPr>
          <w:rFonts w:cs="Times New Roman"/>
          <w:szCs w:val="24"/>
          <w:lang w:val="lv-LV"/>
        </w:rPr>
        <w:t xml:space="preserve">tiek </w:t>
      </w:r>
      <w:r w:rsidR="00CB5312">
        <w:rPr>
          <w:rFonts w:cs="Times New Roman"/>
          <w:szCs w:val="24"/>
          <w:lang w:val="lv-LV"/>
        </w:rPr>
        <w:t xml:space="preserve">apzināti </w:t>
      </w:r>
      <w:r w:rsidR="002E286D" w:rsidRPr="00644DBB">
        <w:rPr>
          <w:rFonts w:cs="Times New Roman"/>
          <w:szCs w:val="24"/>
          <w:lang w:val="lv-LV"/>
        </w:rPr>
        <w:t>noklusēti līdz lietas izskatīšanai pēc būtības</w:t>
      </w:r>
      <w:r w:rsidR="007401A9">
        <w:rPr>
          <w:rFonts w:cs="Times New Roman"/>
          <w:szCs w:val="24"/>
          <w:lang w:val="lv-LV"/>
        </w:rPr>
        <w:t xml:space="preserve"> pirmās instances tiesā</w:t>
      </w:r>
      <w:r w:rsidR="002E286D" w:rsidRPr="00644DBB">
        <w:rPr>
          <w:rFonts w:cs="Times New Roman"/>
          <w:szCs w:val="24"/>
          <w:lang w:val="lv-LV"/>
        </w:rPr>
        <w:t xml:space="preserve">, </w:t>
      </w:r>
      <w:r w:rsidR="00CB5312">
        <w:rPr>
          <w:rFonts w:cs="Times New Roman"/>
          <w:szCs w:val="24"/>
          <w:lang w:val="lv-LV"/>
        </w:rPr>
        <w:t xml:space="preserve">vai vēl jo vairāk līdz izskatīšanai apelācijas instances tiesā </w:t>
      </w:r>
      <w:r w:rsidR="001D09BC">
        <w:rPr>
          <w:rFonts w:cs="Times New Roman"/>
          <w:szCs w:val="24"/>
          <w:lang w:val="lv-LV"/>
        </w:rPr>
        <w:t>(s</w:t>
      </w:r>
      <w:r w:rsidR="00B17B40">
        <w:rPr>
          <w:rFonts w:cs="Times New Roman"/>
          <w:szCs w:val="24"/>
          <w:lang w:val="lv-LV"/>
        </w:rPr>
        <w:t>al</w:t>
      </w:r>
      <w:r w:rsidR="001D09BC">
        <w:rPr>
          <w:rFonts w:cs="Times New Roman"/>
          <w:szCs w:val="24"/>
          <w:lang w:val="lv-LV"/>
        </w:rPr>
        <w:t xml:space="preserve">. </w:t>
      </w:r>
      <w:r w:rsidR="001D09BC" w:rsidRPr="00DD195A">
        <w:rPr>
          <w:rFonts w:cs="Times New Roman"/>
          <w:i/>
          <w:lang w:val="lv-LV"/>
        </w:rPr>
        <w:t xml:space="preserve">Senāta </w:t>
      </w:r>
      <w:proofErr w:type="gramStart"/>
      <w:r w:rsidR="001D09BC" w:rsidRPr="00DD195A">
        <w:rPr>
          <w:rFonts w:cs="Times New Roman"/>
          <w:i/>
          <w:lang w:val="lv-LV"/>
        </w:rPr>
        <w:t>2020.gada</w:t>
      </w:r>
      <w:proofErr w:type="gramEnd"/>
      <w:r w:rsidR="001D09BC" w:rsidRPr="00DD195A">
        <w:rPr>
          <w:rFonts w:cs="Times New Roman"/>
          <w:i/>
          <w:lang w:val="lv-LV"/>
        </w:rPr>
        <w:t xml:space="preserve"> 30.janvāra sprieduma lietā Nr. SKC–66/2020 (</w:t>
      </w:r>
      <w:r w:rsidR="001D09BC" w:rsidRPr="00DD195A">
        <w:rPr>
          <w:rFonts w:cs="Times New Roman"/>
          <w:i/>
          <w:color w:val="000081"/>
          <w:szCs w:val="24"/>
          <w:lang w:val="lv-LV"/>
        </w:rPr>
        <w:t xml:space="preserve">ECLI:LV:AT:2020:0130.C33314714.9.S) </w:t>
      </w:r>
      <w:r w:rsidR="001D09BC" w:rsidRPr="00DD195A">
        <w:rPr>
          <w:rFonts w:cs="Times New Roman"/>
          <w:i/>
          <w:szCs w:val="24"/>
          <w:lang w:val="lv-LV"/>
        </w:rPr>
        <w:t>11.1.punk</w:t>
      </w:r>
      <w:r w:rsidR="001D09BC" w:rsidRPr="00B23A33">
        <w:rPr>
          <w:rFonts w:cs="Times New Roman"/>
          <w:i/>
          <w:szCs w:val="24"/>
          <w:lang w:val="lv-LV"/>
        </w:rPr>
        <w:t>tu</w:t>
      </w:r>
      <w:r w:rsidR="001D09BC">
        <w:rPr>
          <w:rFonts w:cs="Times New Roman"/>
          <w:szCs w:val="24"/>
          <w:lang w:val="lv-LV"/>
        </w:rPr>
        <w:t>).</w:t>
      </w:r>
    </w:p>
    <w:p w14:paraId="6ECBC410" w14:textId="3A590A88" w:rsidR="00DD195A" w:rsidRPr="00DD195A" w:rsidRDefault="001D09BC" w:rsidP="008F3864">
      <w:pPr>
        <w:spacing w:after="0" w:line="276" w:lineRule="auto"/>
        <w:jc w:val="both"/>
        <w:rPr>
          <w:rFonts w:cs="Times New Roman"/>
          <w:szCs w:val="24"/>
          <w:lang w:val="lv-LV"/>
        </w:rPr>
      </w:pPr>
      <w:r>
        <w:rPr>
          <w:rFonts w:cs="Times New Roman"/>
          <w:szCs w:val="24"/>
          <w:lang w:val="lv-LV"/>
        </w:rPr>
        <w:tab/>
      </w:r>
      <w:r w:rsidR="001756B9" w:rsidRPr="008D727B">
        <w:rPr>
          <w:rFonts w:cs="Times New Roman"/>
          <w:lang w:val="lv-LV"/>
        </w:rPr>
        <w:tab/>
      </w:r>
    </w:p>
    <w:p w14:paraId="1A2D9705" w14:textId="5A707B69" w:rsidR="00586AC2" w:rsidRPr="00DD195A" w:rsidRDefault="008F3864" w:rsidP="00DD195A">
      <w:pPr>
        <w:autoSpaceDE w:val="0"/>
        <w:autoSpaceDN w:val="0"/>
        <w:adjustRightInd w:val="0"/>
        <w:spacing w:after="0" w:line="276" w:lineRule="auto"/>
        <w:ind w:firstLine="720"/>
        <w:jc w:val="both"/>
        <w:rPr>
          <w:rFonts w:eastAsia="Times New Roman" w:cs="Times New Roman"/>
          <w:szCs w:val="24"/>
          <w:lang w:val="lv-LV" w:eastAsia="lv-LV"/>
        </w:rPr>
      </w:pPr>
      <w:r>
        <w:rPr>
          <w:rFonts w:cs="Times New Roman"/>
          <w:lang w:val="lv-LV"/>
        </w:rPr>
        <w:t>Ņemot vērā minēto un p</w:t>
      </w:r>
      <w:r w:rsidR="00586AC2" w:rsidRPr="00DD195A">
        <w:rPr>
          <w:rFonts w:eastAsia="Times New Roman" w:cs="Times New Roman"/>
          <w:szCs w:val="24"/>
          <w:lang w:val="lv-LV" w:eastAsia="lv-LV"/>
        </w:rPr>
        <w:t>amatojoties uz Civilpr</w:t>
      </w:r>
      <w:r w:rsidR="0050231E" w:rsidRPr="00DD195A">
        <w:rPr>
          <w:rFonts w:eastAsia="Times New Roman" w:cs="Times New Roman"/>
          <w:szCs w:val="24"/>
          <w:lang w:val="lv-LV" w:eastAsia="lv-LV"/>
        </w:rPr>
        <w:t>ocesa likuma 464.panta trešo daļu un</w:t>
      </w:r>
      <w:r w:rsidR="00586AC2" w:rsidRPr="00DD195A">
        <w:rPr>
          <w:rFonts w:eastAsia="Times New Roman" w:cs="Times New Roman"/>
          <w:szCs w:val="24"/>
          <w:lang w:val="lv-LV" w:eastAsia="lv-LV"/>
        </w:rPr>
        <w:t xml:space="preserve"> 464.</w:t>
      </w:r>
      <w:r w:rsidR="00586AC2" w:rsidRPr="00DD195A">
        <w:rPr>
          <w:rFonts w:eastAsia="Times New Roman" w:cs="Times New Roman"/>
          <w:szCs w:val="24"/>
          <w:vertAlign w:val="superscript"/>
          <w:lang w:val="lv-LV" w:eastAsia="lv-LV"/>
        </w:rPr>
        <w:t>1</w:t>
      </w:r>
      <w:r w:rsidR="00D0461F">
        <w:rPr>
          <w:rFonts w:eastAsia="Times New Roman" w:cs="Times New Roman"/>
          <w:szCs w:val="24"/>
          <w:lang w:val="lv-LV" w:eastAsia="lv-LV"/>
        </w:rPr>
        <w:t> </w:t>
      </w:r>
      <w:r w:rsidR="00EC1A34" w:rsidRPr="00DD195A">
        <w:rPr>
          <w:rFonts w:eastAsia="Times New Roman" w:cs="Times New Roman"/>
          <w:szCs w:val="24"/>
          <w:lang w:val="lv-LV" w:eastAsia="lv-LV"/>
        </w:rPr>
        <w:t>panta otrās daļas </w:t>
      </w:r>
      <w:r w:rsidR="00523100" w:rsidRPr="00DD195A">
        <w:rPr>
          <w:rFonts w:eastAsia="Times New Roman" w:cs="Times New Roman"/>
          <w:szCs w:val="24"/>
          <w:lang w:val="lv-LV" w:eastAsia="lv-LV"/>
        </w:rPr>
        <w:t xml:space="preserve">1. un </w:t>
      </w:r>
      <w:r w:rsidR="00586AC2" w:rsidRPr="00DD195A">
        <w:rPr>
          <w:rFonts w:eastAsia="Times New Roman" w:cs="Times New Roman"/>
          <w:szCs w:val="24"/>
          <w:lang w:val="lv-LV" w:eastAsia="lv-LV"/>
        </w:rPr>
        <w:t>2.punktu, senatoru kolēģija</w:t>
      </w:r>
    </w:p>
    <w:p w14:paraId="4C3B7EC8" w14:textId="77777777" w:rsidR="00B17B40" w:rsidRDefault="00B17B40" w:rsidP="00DD195A">
      <w:pPr>
        <w:autoSpaceDE w:val="0"/>
        <w:autoSpaceDN w:val="0"/>
        <w:adjustRightInd w:val="0"/>
        <w:spacing w:after="0" w:line="276" w:lineRule="auto"/>
        <w:jc w:val="center"/>
        <w:rPr>
          <w:rFonts w:eastAsia="Times New Roman" w:cs="Times New Roman"/>
          <w:b/>
          <w:bCs/>
          <w:szCs w:val="24"/>
          <w:lang w:val="lv-LV" w:eastAsia="lv-LV"/>
        </w:rPr>
      </w:pPr>
    </w:p>
    <w:p w14:paraId="6207625F" w14:textId="5064F5EE" w:rsidR="00EB200E" w:rsidRPr="00DD195A" w:rsidRDefault="00586AC2" w:rsidP="00DD195A">
      <w:pPr>
        <w:autoSpaceDE w:val="0"/>
        <w:autoSpaceDN w:val="0"/>
        <w:adjustRightInd w:val="0"/>
        <w:spacing w:after="0" w:line="276" w:lineRule="auto"/>
        <w:jc w:val="center"/>
        <w:rPr>
          <w:rFonts w:eastAsia="Times New Roman" w:cs="Times New Roman"/>
          <w:szCs w:val="24"/>
          <w:lang w:val="lv-LV" w:eastAsia="lv-LV"/>
        </w:rPr>
      </w:pPr>
      <w:r w:rsidRPr="00DD195A">
        <w:rPr>
          <w:rFonts w:eastAsia="Times New Roman" w:cs="Times New Roman"/>
          <w:b/>
          <w:bCs/>
          <w:szCs w:val="24"/>
          <w:lang w:val="lv-LV" w:eastAsia="lv-LV"/>
        </w:rPr>
        <w:t>nolēma</w:t>
      </w:r>
    </w:p>
    <w:p w14:paraId="1D7F12D8" w14:textId="77777777" w:rsidR="00B17B40" w:rsidRDefault="00B17B40" w:rsidP="00DD195A">
      <w:pPr>
        <w:autoSpaceDE w:val="0"/>
        <w:autoSpaceDN w:val="0"/>
        <w:adjustRightInd w:val="0"/>
        <w:spacing w:after="0" w:line="276" w:lineRule="auto"/>
        <w:ind w:firstLine="720"/>
        <w:jc w:val="both"/>
        <w:rPr>
          <w:rFonts w:eastAsia="Times New Roman" w:cs="Times New Roman"/>
          <w:szCs w:val="24"/>
          <w:lang w:val="lv-LV" w:eastAsia="lv-LV"/>
        </w:rPr>
      </w:pPr>
    </w:p>
    <w:p w14:paraId="5055C242" w14:textId="2742E3CB" w:rsidR="003E55D3" w:rsidRDefault="008975CB" w:rsidP="00DD195A">
      <w:pPr>
        <w:autoSpaceDE w:val="0"/>
        <w:autoSpaceDN w:val="0"/>
        <w:adjustRightInd w:val="0"/>
        <w:spacing w:after="0" w:line="276" w:lineRule="auto"/>
        <w:ind w:firstLine="720"/>
        <w:jc w:val="both"/>
        <w:rPr>
          <w:rFonts w:ascii="TimesNewRomanPSMT" w:hAnsi="TimesNewRomanPSMT" w:cs="TimesNewRomanPSMT"/>
          <w:szCs w:val="24"/>
          <w:lang w:val="lv-LV"/>
        </w:rPr>
      </w:pPr>
      <w:r w:rsidRPr="00DD195A">
        <w:rPr>
          <w:rFonts w:eastAsia="Times New Roman" w:cs="Times New Roman"/>
          <w:szCs w:val="24"/>
          <w:lang w:val="lv-LV" w:eastAsia="lv-LV"/>
        </w:rPr>
        <w:t xml:space="preserve">atteikt </w:t>
      </w:r>
      <w:r w:rsidR="00586AC2" w:rsidRPr="00DD195A">
        <w:rPr>
          <w:rFonts w:cs="Times New Roman"/>
          <w:szCs w:val="24"/>
          <w:lang w:val="lv-LV"/>
        </w:rPr>
        <w:t>ierosināt kasācijas tiesvedību</w:t>
      </w:r>
      <w:r w:rsidR="00586AC2">
        <w:rPr>
          <w:rFonts w:ascii="TimesNewRomanPSMT" w:hAnsi="TimesNewRomanPSMT" w:cs="TimesNewRomanPSMT"/>
          <w:szCs w:val="24"/>
          <w:lang w:val="lv-LV"/>
        </w:rPr>
        <w:t xml:space="preserve"> sakarā ar </w:t>
      </w:r>
      <w:r w:rsidR="00D824E3">
        <w:rPr>
          <w:rFonts w:cs="Times New Roman"/>
          <w:szCs w:val="24"/>
          <w:lang w:val="lv-LV"/>
        </w:rPr>
        <w:t>[pers. A]</w:t>
      </w:r>
      <w:r w:rsidR="00481FB2">
        <w:rPr>
          <w:rFonts w:cs="Times New Roman"/>
          <w:szCs w:val="24"/>
          <w:lang w:val="lv-LV"/>
        </w:rPr>
        <w:t xml:space="preserve"> </w:t>
      </w:r>
      <w:r w:rsidR="00481FB2">
        <w:rPr>
          <w:szCs w:val="24"/>
          <w:lang w:val="lv-LV"/>
        </w:rPr>
        <w:t xml:space="preserve">kasācijas sūdzību par Rīgas apgabaltiesas Civillietu tiesas kolēģijas </w:t>
      </w:r>
      <w:proofErr w:type="gramStart"/>
      <w:r w:rsidR="00481FB2">
        <w:rPr>
          <w:szCs w:val="24"/>
          <w:lang w:val="lv-LV"/>
        </w:rPr>
        <w:t>2021.gada</w:t>
      </w:r>
      <w:proofErr w:type="gramEnd"/>
      <w:r w:rsidR="00481FB2">
        <w:rPr>
          <w:szCs w:val="24"/>
          <w:lang w:val="lv-LV"/>
        </w:rPr>
        <w:t xml:space="preserve"> 12.aprīļa spriedumu.</w:t>
      </w:r>
    </w:p>
    <w:p w14:paraId="21230C86" w14:textId="437B5CE6" w:rsidR="00A62979" w:rsidRDefault="008975CB" w:rsidP="00A83AE3">
      <w:pPr>
        <w:pStyle w:val="NoSpacing"/>
        <w:spacing w:line="276" w:lineRule="auto"/>
        <w:ind w:firstLine="720"/>
        <w:rPr>
          <w:rFonts w:cs="Times New Roman"/>
          <w:szCs w:val="24"/>
          <w:lang w:val="lv-LV"/>
        </w:rPr>
      </w:pPr>
      <w:r>
        <w:rPr>
          <w:rFonts w:ascii="TimesNewRomanPSMT" w:hAnsi="TimesNewRomanPSMT" w:cs="TimesNewRomanPSMT"/>
          <w:lang w:val="lv-LV"/>
        </w:rPr>
        <w:t>Lēmums nav pārsūdzams.</w:t>
      </w:r>
    </w:p>
    <w:sectPr w:rsidR="00A62979" w:rsidSect="00A15A93">
      <w:footerReference w:type="default" r:id="rId8"/>
      <w:pgSz w:w="12240" w:h="15840"/>
      <w:pgMar w:top="1134" w:right="1134" w:bottom="1134" w:left="1418"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9468" w14:textId="77777777" w:rsidR="00644D54" w:rsidRDefault="00644D54" w:rsidP="00A17CFE">
      <w:pPr>
        <w:spacing w:after="0" w:line="240" w:lineRule="auto"/>
      </w:pPr>
      <w:r>
        <w:separator/>
      </w:r>
    </w:p>
  </w:endnote>
  <w:endnote w:type="continuationSeparator" w:id="0">
    <w:p w14:paraId="73C520F0" w14:textId="77777777" w:rsidR="00644D54" w:rsidRDefault="00644D54" w:rsidP="00A1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A427" w14:textId="06A1B767" w:rsidR="00A15A93" w:rsidRPr="00A15A93" w:rsidRDefault="00A15A93" w:rsidP="00A15A93">
    <w:pPr>
      <w:tabs>
        <w:tab w:val="center" w:pos="4153"/>
        <w:tab w:val="right" w:pos="8306"/>
      </w:tabs>
      <w:spacing w:after="0" w:line="240" w:lineRule="auto"/>
      <w:jc w:val="center"/>
      <w:rPr>
        <w:rFonts w:eastAsia="Times New Roman" w:cs="Times New Roman"/>
        <w:szCs w:val="24"/>
        <w:lang w:val="lv-LV"/>
      </w:rPr>
    </w:pPr>
    <w:r w:rsidRPr="00A15A93">
      <w:rPr>
        <w:rFonts w:eastAsia="Times New Roman" w:cs="Times New Roman"/>
        <w:szCs w:val="24"/>
        <w:lang w:val="lv-LV"/>
      </w:rPr>
      <w:fldChar w:fldCharType="begin"/>
    </w:r>
    <w:r w:rsidRPr="00A15A93">
      <w:rPr>
        <w:rFonts w:eastAsia="Times New Roman" w:cs="Times New Roman"/>
        <w:szCs w:val="24"/>
        <w:lang w:val="lv-LV"/>
      </w:rPr>
      <w:instrText xml:space="preserve">PAGE  </w:instrText>
    </w:r>
    <w:r w:rsidRPr="00A15A93">
      <w:rPr>
        <w:rFonts w:eastAsia="Times New Roman" w:cs="Times New Roman"/>
        <w:szCs w:val="24"/>
        <w:lang w:val="lv-LV"/>
      </w:rPr>
      <w:fldChar w:fldCharType="separate"/>
    </w:r>
    <w:r w:rsidRPr="00A15A93">
      <w:rPr>
        <w:rFonts w:eastAsia="Times New Roman" w:cs="Times New Roman"/>
        <w:szCs w:val="24"/>
        <w:lang w:val="lv-LV"/>
      </w:rPr>
      <w:t>1</w:t>
    </w:r>
    <w:r w:rsidRPr="00A15A93">
      <w:rPr>
        <w:rFonts w:eastAsia="Times New Roman" w:cs="Times New Roman"/>
        <w:szCs w:val="24"/>
        <w:lang w:val="lv-LV"/>
      </w:rPr>
      <w:fldChar w:fldCharType="end"/>
    </w:r>
    <w:r w:rsidRPr="00A15A93">
      <w:rPr>
        <w:rFonts w:eastAsia="Times New Roman" w:cs="Times New Roman"/>
        <w:szCs w:val="24"/>
        <w:lang w:val="lv-LV"/>
      </w:rPr>
      <w:t xml:space="preserve"> no </w:t>
    </w:r>
    <w:r w:rsidRPr="00A15A93">
      <w:rPr>
        <w:rFonts w:eastAsia="Times New Roman" w:cs="Times New Roman"/>
        <w:szCs w:val="24"/>
        <w:lang w:val="lv-LV"/>
      </w:rPr>
      <w:fldChar w:fldCharType="begin"/>
    </w:r>
    <w:r w:rsidRPr="00A15A93">
      <w:rPr>
        <w:rFonts w:eastAsia="Times New Roman" w:cs="Times New Roman"/>
        <w:szCs w:val="24"/>
        <w:lang w:val="lv-LV"/>
      </w:rPr>
      <w:instrText xml:space="preserve"> SECTIONPAGES   \* MERGEFORMAT </w:instrText>
    </w:r>
    <w:r w:rsidRPr="00A15A93">
      <w:rPr>
        <w:rFonts w:eastAsia="Times New Roman" w:cs="Times New Roman"/>
        <w:szCs w:val="24"/>
        <w:lang w:val="lv-LV"/>
      </w:rPr>
      <w:fldChar w:fldCharType="separate"/>
    </w:r>
    <w:r>
      <w:rPr>
        <w:rFonts w:eastAsia="Times New Roman" w:cs="Times New Roman"/>
        <w:noProof/>
        <w:szCs w:val="24"/>
        <w:lang w:val="lv-LV"/>
      </w:rPr>
      <w:t>2</w:t>
    </w:r>
    <w:r w:rsidRPr="00A15A93">
      <w:rPr>
        <w:rFonts w:eastAsia="Times New Roman" w:cs="Times New Roman"/>
        <w:szCs w:val="24"/>
        <w:lang w:val="lv-LV"/>
      </w:rPr>
      <w:fldChar w:fldCharType="end"/>
    </w:r>
  </w:p>
  <w:p w14:paraId="5746A99F" w14:textId="77777777" w:rsidR="00A17CFE" w:rsidRDefault="00A17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2C70" w14:textId="77777777" w:rsidR="00644D54" w:rsidRDefault="00644D54" w:rsidP="00A17CFE">
      <w:pPr>
        <w:spacing w:after="0" w:line="240" w:lineRule="auto"/>
      </w:pPr>
      <w:r>
        <w:separator/>
      </w:r>
    </w:p>
  </w:footnote>
  <w:footnote w:type="continuationSeparator" w:id="0">
    <w:p w14:paraId="39EAAEE4" w14:textId="77777777" w:rsidR="00644D54" w:rsidRDefault="00644D54" w:rsidP="00A17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2F7"/>
    <w:rsid w:val="00004BE7"/>
    <w:rsid w:val="0001201C"/>
    <w:rsid w:val="00013968"/>
    <w:rsid w:val="00021CF3"/>
    <w:rsid w:val="00026326"/>
    <w:rsid w:val="000465DC"/>
    <w:rsid w:val="0006595D"/>
    <w:rsid w:val="0006629B"/>
    <w:rsid w:val="000952E9"/>
    <w:rsid w:val="000B0174"/>
    <w:rsid w:val="000B2F62"/>
    <w:rsid w:val="000C1474"/>
    <w:rsid w:val="000E64F0"/>
    <w:rsid w:val="00131865"/>
    <w:rsid w:val="0014269A"/>
    <w:rsid w:val="0015186B"/>
    <w:rsid w:val="001628BB"/>
    <w:rsid w:val="00166087"/>
    <w:rsid w:val="001756B9"/>
    <w:rsid w:val="0018110A"/>
    <w:rsid w:val="001822F7"/>
    <w:rsid w:val="001A1C7B"/>
    <w:rsid w:val="001C175C"/>
    <w:rsid w:val="001D060C"/>
    <w:rsid w:val="001D09BC"/>
    <w:rsid w:val="001E4CBF"/>
    <w:rsid w:val="00200880"/>
    <w:rsid w:val="00201F90"/>
    <w:rsid w:val="002043A6"/>
    <w:rsid w:val="00205872"/>
    <w:rsid w:val="00244FF8"/>
    <w:rsid w:val="00262AC7"/>
    <w:rsid w:val="002809F2"/>
    <w:rsid w:val="00291F96"/>
    <w:rsid w:val="002A3F86"/>
    <w:rsid w:val="002A49C3"/>
    <w:rsid w:val="002A5EDD"/>
    <w:rsid w:val="002B04F4"/>
    <w:rsid w:val="002B511E"/>
    <w:rsid w:val="002D0282"/>
    <w:rsid w:val="002D5500"/>
    <w:rsid w:val="002D687C"/>
    <w:rsid w:val="002E286D"/>
    <w:rsid w:val="00314907"/>
    <w:rsid w:val="00345B03"/>
    <w:rsid w:val="00386863"/>
    <w:rsid w:val="003A7243"/>
    <w:rsid w:val="003C3E88"/>
    <w:rsid w:val="003E55D3"/>
    <w:rsid w:val="003F4477"/>
    <w:rsid w:val="00411189"/>
    <w:rsid w:val="00411714"/>
    <w:rsid w:val="004163E5"/>
    <w:rsid w:val="00453C09"/>
    <w:rsid w:val="00460202"/>
    <w:rsid w:val="004813FD"/>
    <w:rsid w:val="00481FB2"/>
    <w:rsid w:val="00485CA9"/>
    <w:rsid w:val="0048604D"/>
    <w:rsid w:val="004C102A"/>
    <w:rsid w:val="004C5B4D"/>
    <w:rsid w:val="004D25DE"/>
    <w:rsid w:val="004D735A"/>
    <w:rsid w:val="004E2BA9"/>
    <w:rsid w:val="004F0F35"/>
    <w:rsid w:val="0050231E"/>
    <w:rsid w:val="00504CCA"/>
    <w:rsid w:val="00523100"/>
    <w:rsid w:val="00527ACC"/>
    <w:rsid w:val="00527C0D"/>
    <w:rsid w:val="005346D1"/>
    <w:rsid w:val="005619F4"/>
    <w:rsid w:val="00565901"/>
    <w:rsid w:val="00580E41"/>
    <w:rsid w:val="00586AC2"/>
    <w:rsid w:val="005B17B7"/>
    <w:rsid w:val="005C1593"/>
    <w:rsid w:val="005D732E"/>
    <w:rsid w:val="005F4A3A"/>
    <w:rsid w:val="006227DD"/>
    <w:rsid w:val="00624492"/>
    <w:rsid w:val="006426A8"/>
    <w:rsid w:val="00644D54"/>
    <w:rsid w:val="00644DBB"/>
    <w:rsid w:val="00646270"/>
    <w:rsid w:val="0066765E"/>
    <w:rsid w:val="00693375"/>
    <w:rsid w:val="006A1A29"/>
    <w:rsid w:val="006F1776"/>
    <w:rsid w:val="00736FB3"/>
    <w:rsid w:val="007401A9"/>
    <w:rsid w:val="0074075A"/>
    <w:rsid w:val="0075010F"/>
    <w:rsid w:val="007522B7"/>
    <w:rsid w:val="00752C16"/>
    <w:rsid w:val="00754ED3"/>
    <w:rsid w:val="00755F9A"/>
    <w:rsid w:val="00771020"/>
    <w:rsid w:val="007B0F71"/>
    <w:rsid w:val="007D0503"/>
    <w:rsid w:val="007E3D53"/>
    <w:rsid w:val="00805926"/>
    <w:rsid w:val="008318F0"/>
    <w:rsid w:val="00842465"/>
    <w:rsid w:val="008575EE"/>
    <w:rsid w:val="00875310"/>
    <w:rsid w:val="008805C9"/>
    <w:rsid w:val="008817F4"/>
    <w:rsid w:val="008975CB"/>
    <w:rsid w:val="008A0221"/>
    <w:rsid w:val="008A086F"/>
    <w:rsid w:val="008B2A5B"/>
    <w:rsid w:val="008D727B"/>
    <w:rsid w:val="008D7BA1"/>
    <w:rsid w:val="008F2E3A"/>
    <w:rsid w:val="008F3864"/>
    <w:rsid w:val="00922528"/>
    <w:rsid w:val="0092275A"/>
    <w:rsid w:val="0093380E"/>
    <w:rsid w:val="00984B00"/>
    <w:rsid w:val="00997DD2"/>
    <w:rsid w:val="009E10CB"/>
    <w:rsid w:val="009F02E7"/>
    <w:rsid w:val="009F3134"/>
    <w:rsid w:val="009F5BC1"/>
    <w:rsid w:val="00A13F32"/>
    <w:rsid w:val="00A15A93"/>
    <w:rsid w:val="00A17CFE"/>
    <w:rsid w:val="00A23106"/>
    <w:rsid w:val="00A26FC5"/>
    <w:rsid w:val="00A410EF"/>
    <w:rsid w:val="00A4274C"/>
    <w:rsid w:val="00A5729F"/>
    <w:rsid w:val="00A62979"/>
    <w:rsid w:val="00A652EF"/>
    <w:rsid w:val="00A7170B"/>
    <w:rsid w:val="00A723CC"/>
    <w:rsid w:val="00A740BC"/>
    <w:rsid w:val="00A75D94"/>
    <w:rsid w:val="00A83AE3"/>
    <w:rsid w:val="00A94323"/>
    <w:rsid w:val="00A9623D"/>
    <w:rsid w:val="00AA1594"/>
    <w:rsid w:val="00AB2463"/>
    <w:rsid w:val="00AB6365"/>
    <w:rsid w:val="00AC3516"/>
    <w:rsid w:val="00AE3301"/>
    <w:rsid w:val="00AE5910"/>
    <w:rsid w:val="00AF12FD"/>
    <w:rsid w:val="00B03BE2"/>
    <w:rsid w:val="00B04E8D"/>
    <w:rsid w:val="00B17B40"/>
    <w:rsid w:val="00B226BA"/>
    <w:rsid w:val="00B23A33"/>
    <w:rsid w:val="00B3670D"/>
    <w:rsid w:val="00B52E4A"/>
    <w:rsid w:val="00B56D4A"/>
    <w:rsid w:val="00B65392"/>
    <w:rsid w:val="00BB1F43"/>
    <w:rsid w:val="00BE103E"/>
    <w:rsid w:val="00BE3DEC"/>
    <w:rsid w:val="00C43319"/>
    <w:rsid w:val="00C472B5"/>
    <w:rsid w:val="00C66056"/>
    <w:rsid w:val="00C91CA9"/>
    <w:rsid w:val="00C9659E"/>
    <w:rsid w:val="00CB5312"/>
    <w:rsid w:val="00CC182E"/>
    <w:rsid w:val="00CC21B0"/>
    <w:rsid w:val="00CC30D7"/>
    <w:rsid w:val="00CC5D78"/>
    <w:rsid w:val="00CC5E58"/>
    <w:rsid w:val="00CF37F2"/>
    <w:rsid w:val="00CF507C"/>
    <w:rsid w:val="00CF5723"/>
    <w:rsid w:val="00D0461F"/>
    <w:rsid w:val="00D4141F"/>
    <w:rsid w:val="00D57D49"/>
    <w:rsid w:val="00D60EF6"/>
    <w:rsid w:val="00D65528"/>
    <w:rsid w:val="00D66AB7"/>
    <w:rsid w:val="00D67AB6"/>
    <w:rsid w:val="00D77FC9"/>
    <w:rsid w:val="00D824E3"/>
    <w:rsid w:val="00D901F1"/>
    <w:rsid w:val="00DB098A"/>
    <w:rsid w:val="00DB4752"/>
    <w:rsid w:val="00DB6F63"/>
    <w:rsid w:val="00DC28F0"/>
    <w:rsid w:val="00DC6374"/>
    <w:rsid w:val="00DD195A"/>
    <w:rsid w:val="00DE0D92"/>
    <w:rsid w:val="00DE779A"/>
    <w:rsid w:val="00DE7A9E"/>
    <w:rsid w:val="00E01BC9"/>
    <w:rsid w:val="00E2087F"/>
    <w:rsid w:val="00E21CB7"/>
    <w:rsid w:val="00E273EE"/>
    <w:rsid w:val="00E35B49"/>
    <w:rsid w:val="00E4009F"/>
    <w:rsid w:val="00E4484B"/>
    <w:rsid w:val="00E548EB"/>
    <w:rsid w:val="00E70467"/>
    <w:rsid w:val="00E80D3C"/>
    <w:rsid w:val="00E93F12"/>
    <w:rsid w:val="00EA2E1C"/>
    <w:rsid w:val="00EB200E"/>
    <w:rsid w:val="00EB6A62"/>
    <w:rsid w:val="00EC1A34"/>
    <w:rsid w:val="00EC2E55"/>
    <w:rsid w:val="00EC3DA4"/>
    <w:rsid w:val="00EC4A33"/>
    <w:rsid w:val="00EE7261"/>
    <w:rsid w:val="00EF3065"/>
    <w:rsid w:val="00F04FD8"/>
    <w:rsid w:val="00F12188"/>
    <w:rsid w:val="00F146C6"/>
    <w:rsid w:val="00F15B99"/>
    <w:rsid w:val="00F50BD0"/>
    <w:rsid w:val="00F649C7"/>
    <w:rsid w:val="00F65326"/>
    <w:rsid w:val="00F870FB"/>
    <w:rsid w:val="00F95909"/>
    <w:rsid w:val="00F9740B"/>
    <w:rsid w:val="00FA507C"/>
    <w:rsid w:val="00FD3AD7"/>
    <w:rsid w:val="00FF4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615E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F7"/>
    <w:pPr>
      <w:spacing w:after="160" w:line="259" w:lineRule="auto"/>
    </w:pPr>
  </w:style>
  <w:style w:type="paragraph" w:styleId="Heading1">
    <w:name w:val="heading 1"/>
    <w:basedOn w:val="Normal"/>
    <w:link w:val="Heading1Char"/>
    <w:uiPriority w:val="9"/>
    <w:qFormat/>
    <w:rsid w:val="00E01BC9"/>
    <w:pPr>
      <w:spacing w:before="100" w:beforeAutospacing="1" w:after="100" w:afterAutospacing="1" w:line="240" w:lineRule="auto"/>
      <w:outlineLvl w:val="0"/>
    </w:pPr>
    <w:rPr>
      <w:rFonts w:eastAsia="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C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7CFE"/>
  </w:style>
  <w:style w:type="paragraph" w:styleId="Footer">
    <w:name w:val="footer"/>
    <w:basedOn w:val="Normal"/>
    <w:link w:val="FooterChar"/>
    <w:uiPriority w:val="99"/>
    <w:unhideWhenUsed/>
    <w:rsid w:val="00A17C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7CFE"/>
  </w:style>
  <w:style w:type="paragraph" w:styleId="BalloonText">
    <w:name w:val="Balloon Text"/>
    <w:basedOn w:val="Normal"/>
    <w:link w:val="BalloonTextChar"/>
    <w:uiPriority w:val="99"/>
    <w:semiHidden/>
    <w:unhideWhenUsed/>
    <w:rsid w:val="00E44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4B"/>
    <w:rPr>
      <w:rFonts w:ascii="Segoe UI" w:hAnsi="Segoe UI" w:cs="Segoe UI"/>
      <w:sz w:val="18"/>
      <w:szCs w:val="18"/>
    </w:rPr>
  </w:style>
  <w:style w:type="character" w:customStyle="1" w:styleId="Heading1Char">
    <w:name w:val="Heading 1 Char"/>
    <w:basedOn w:val="DefaultParagraphFont"/>
    <w:link w:val="Heading1"/>
    <w:uiPriority w:val="9"/>
    <w:rsid w:val="00E01BC9"/>
    <w:rPr>
      <w:rFonts w:eastAsia="Times New Roman" w:cs="Times New Roman"/>
      <w:b/>
      <w:bCs/>
      <w:kern w:val="36"/>
      <w:sz w:val="48"/>
      <w:szCs w:val="48"/>
      <w:lang w:val="lv-LV" w:eastAsia="lv-LV"/>
    </w:rPr>
  </w:style>
  <w:style w:type="paragraph" w:styleId="NoSpacing">
    <w:name w:val="No Spacing"/>
    <w:uiPriority w:val="1"/>
    <w:qFormat/>
    <w:rsid w:val="00C472B5"/>
  </w:style>
  <w:style w:type="character" w:styleId="Hyperlink">
    <w:name w:val="Hyperlink"/>
    <w:basedOn w:val="DefaultParagraphFont"/>
    <w:uiPriority w:val="99"/>
    <w:semiHidden/>
    <w:unhideWhenUsed/>
    <w:rsid w:val="00F65326"/>
    <w:rPr>
      <w:color w:val="0000FF"/>
      <w:u w:val="single"/>
    </w:rPr>
  </w:style>
  <w:style w:type="character" w:styleId="CommentReference">
    <w:name w:val="annotation reference"/>
    <w:basedOn w:val="DefaultParagraphFont"/>
    <w:uiPriority w:val="99"/>
    <w:semiHidden/>
    <w:unhideWhenUsed/>
    <w:rsid w:val="00A83A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721.C30803519.12.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B88B-9E7C-47E9-949C-267654E7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3794</Words>
  <Characters>2164</Characters>
  <Application>Microsoft Office Word</Application>
  <DocSecurity>0</DocSecurity>
  <Lines>18</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2021-09-03T11:00:00Z</dcterms:created>
  <dcterms:modified xsi:type="dcterms:W3CDTF">2021-09-03T11:02:00Z</dcterms:modified>
</cp:coreProperties>
</file>