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DE761" w14:textId="3522696D" w:rsidR="00D11258" w:rsidRDefault="00D11258" w:rsidP="00791294">
      <w:pPr>
        <w:spacing w:line="276" w:lineRule="auto"/>
        <w:jc w:val="both"/>
      </w:pPr>
      <w:bookmarkStart w:id="0" w:name="_GoBack"/>
      <w:bookmarkEnd w:id="0"/>
      <w:r w:rsidRPr="008F3E25">
        <w:rPr>
          <w:b/>
          <w:bCs/>
        </w:rPr>
        <w:t>Pensijas</w:t>
      </w:r>
      <w:r w:rsidRPr="008F3E25">
        <w:rPr>
          <w:b/>
        </w:rPr>
        <w:t xml:space="preserve"> </w:t>
      </w:r>
      <w:r w:rsidRPr="008F3E25">
        <w:rPr>
          <w:b/>
          <w:bCs/>
        </w:rPr>
        <w:t>apdrošināšanas stāžā ir ieskaitāms obligātā militārā dienesta periods PSRS Bruņotajos spēkos arī tad, ja obligātais dienests pildīts virsnieka pakāpē</w:t>
      </w:r>
      <w:r w:rsidRPr="008F3E25">
        <w:rPr>
          <w:b/>
        </w:rPr>
        <w:t>.</w:t>
      </w:r>
    </w:p>
    <w:p w14:paraId="2CF457E8" w14:textId="70D675F6" w:rsidR="003047F5" w:rsidRPr="00435118" w:rsidRDefault="003047F5" w:rsidP="00791294">
      <w:pPr>
        <w:pStyle w:val="BodyText2"/>
        <w:spacing w:after="0" w:line="276" w:lineRule="auto"/>
        <w:jc w:val="center"/>
      </w:pPr>
    </w:p>
    <w:p w14:paraId="5B96512A" w14:textId="3E3AC458" w:rsidR="006B7BBC" w:rsidRPr="00791294" w:rsidRDefault="00D11258" w:rsidP="00791294">
      <w:pPr>
        <w:spacing w:line="276" w:lineRule="auto"/>
        <w:jc w:val="center"/>
        <w:rPr>
          <w:b/>
        </w:rPr>
      </w:pPr>
      <w:r w:rsidRPr="00791294">
        <w:rPr>
          <w:b/>
        </w:rPr>
        <w:t>Latvijas Republikas Senāta</w:t>
      </w:r>
    </w:p>
    <w:p w14:paraId="42D9C918" w14:textId="77777777" w:rsidR="00D11258" w:rsidRPr="00791294" w:rsidRDefault="00D11258" w:rsidP="00791294">
      <w:pPr>
        <w:spacing w:line="276" w:lineRule="auto"/>
        <w:jc w:val="center"/>
        <w:rPr>
          <w:b/>
        </w:rPr>
      </w:pPr>
      <w:r w:rsidRPr="00791294">
        <w:rPr>
          <w:b/>
        </w:rPr>
        <w:t>Administratīvo lietu departamenta</w:t>
      </w:r>
    </w:p>
    <w:p w14:paraId="169DC928" w14:textId="71606CC8" w:rsidR="00D11258" w:rsidRPr="00791294" w:rsidRDefault="00D11258" w:rsidP="00791294">
      <w:pPr>
        <w:spacing w:line="276" w:lineRule="auto"/>
        <w:jc w:val="center"/>
        <w:rPr>
          <w:b/>
        </w:rPr>
      </w:pPr>
      <w:r w:rsidRPr="00791294">
        <w:rPr>
          <w:b/>
        </w:rPr>
        <w:t xml:space="preserve">2021.gada </w:t>
      </w:r>
      <w:r w:rsidR="00791294" w:rsidRPr="00791294">
        <w:rPr>
          <w:b/>
        </w:rPr>
        <w:t>23.jūlija</w:t>
      </w:r>
      <w:r w:rsidRPr="00791294">
        <w:rPr>
          <w:b/>
        </w:rPr>
        <w:t xml:space="preserve"> </w:t>
      </w:r>
    </w:p>
    <w:p w14:paraId="30B4B012" w14:textId="4AA36FFE" w:rsidR="006B7BBC" w:rsidRPr="00791294" w:rsidRDefault="0089619C" w:rsidP="00791294">
      <w:pPr>
        <w:spacing w:line="276" w:lineRule="auto"/>
        <w:jc w:val="center"/>
        <w:rPr>
          <w:b/>
        </w:rPr>
      </w:pPr>
      <w:r w:rsidRPr="00791294">
        <w:rPr>
          <w:b/>
        </w:rPr>
        <w:t>SPRIEDUMS</w:t>
      </w:r>
    </w:p>
    <w:p w14:paraId="6E932AB5" w14:textId="77777777" w:rsidR="00D11258" w:rsidRPr="00791294" w:rsidRDefault="00D11258" w:rsidP="00791294">
      <w:pPr>
        <w:spacing w:line="276" w:lineRule="auto"/>
        <w:jc w:val="center"/>
        <w:rPr>
          <w:b/>
        </w:rPr>
      </w:pPr>
      <w:r w:rsidRPr="00791294">
        <w:rPr>
          <w:b/>
        </w:rPr>
        <w:t>Lieta Nr. A420153819</w:t>
      </w:r>
      <w:r w:rsidRPr="00791294">
        <w:rPr>
          <w:b/>
          <w:lang w:eastAsia="lv-LV"/>
        </w:rPr>
        <w:t>, SKA-447/2021</w:t>
      </w:r>
    </w:p>
    <w:p w14:paraId="2B22BC01" w14:textId="576FA33E" w:rsidR="00D11258" w:rsidRPr="00435118" w:rsidRDefault="006C3179" w:rsidP="00791294">
      <w:pPr>
        <w:spacing w:line="276" w:lineRule="auto"/>
        <w:jc w:val="center"/>
      </w:pPr>
      <w:hyperlink r:id="rId6" w:history="1">
        <w:r w:rsidR="00D11258" w:rsidRPr="002C7FC4">
          <w:rPr>
            <w:rStyle w:val="Hyperlink"/>
          </w:rPr>
          <w:t>ECLI:LV:AT:2021:0723.A420153819.12.S</w:t>
        </w:r>
      </w:hyperlink>
      <w:r w:rsidR="00D11258">
        <w:t xml:space="preserve"> </w:t>
      </w:r>
    </w:p>
    <w:p w14:paraId="2F242BC5" w14:textId="77777777" w:rsidR="006B7BBC" w:rsidRPr="00435118" w:rsidRDefault="006B7BBC" w:rsidP="00791294">
      <w:pPr>
        <w:spacing w:line="276" w:lineRule="auto"/>
        <w:ind w:firstLine="567"/>
        <w:jc w:val="both"/>
      </w:pPr>
    </w:p>
    <w:p w14:paraId="19AFEF33" w14:textId="29E51848" w:rsidR="006B7BBC" w:rsidRPr="00435118" w:rsidRDefault="006B7BBC" w:rsidP="00791294">
      <w:pPr>
        <w:spacing w:line="276" w:lineRule="auto"/>
        <w:ind w:firstLine="567"/>
        <w:jc w:val="both"/>
      </w:pPr>
      <w:r w:rsidRPr="00435118">
        <w:t>Tiesa šādā sastāvā: senator</w:t>
      </w:r>
      <w:r w:rsidR="008414AB">
        <w:t>i</w:t>
      </w:r>
      <w:r w:rsidR="009C11AB" w:rsidRPr="00435118">
        <w:t xml:space="preserve"> </w:t>
      </w:r>
      <w:r w:rsidR="008414AB">
        <w:t>Valters Poķis</w:t>
      </w:r>
      <w:r w:rsidR="009C11AB" w:rsidRPr="00435118">
        <w:t xml:space="preserve">, </w:t>
      </w:r>
      <w:r w:rsidR="008414AB">
        <w:t xml:space="preserve">Jautrīte Briede, Veronika Krūmiņa </w:t>
      </w:r>
    </w:p>
    <w:p w14:paraId="3049557F" w14:textId="77777777" w:rsidR="003047F5" w:rsidRPr="00435118" w:rsidRDefault="003047F5" w:rsidP="00791294">
      <w:pPr>
        <w:spacing w:line="276" w:lineRule="auto"/>
        <w:ind w:firstLine="567"/>
        <w:jc w:val="both"/>
      </w:pPr>
    </w:p>
    <w:p w14:paraId="45FEDFF2" w14:textId="6A1E61A8" w:rsidR="003047F5" w:rsidRPr="00435118" w:rsidRDefault="00941626" w:rsidP="00791294">
      <w:pPr>
        <w:spacing w:line="276" w:lineRule="auto"/>
        <w:ind w:firstLine="567"/>
        <w:jc w:val="both"/>
      </w:pPr>
      <w:r w:rsidRPr="00435118">
        <w:t>rakstveida procesā izskatīja administratīvo lietu, k</w:t>
      </w:r>
      <w:r w:rsidR="009C11AB" w:rsidRPr="00435118">
        <w:t xml:space="preserve">as ierosināta, pamatojoties uz </w:t>
      </w:r>
      <w:r w:rsidR="00791294">
        <w:t xml:space="preserve">[pers. A] </w:t>
      </w:r>
      <w:r w:rsidR="009C11AB" w:rsidRPr="00435118">
        <w:t xml:space="preserve">pieteikumu par pienākuma </w:t>
      </w:r>
      <w:r w:rsidR="006F56FC" w:rsidRPr="00435118">
        <w:t xml:space="preserve">uzlikšanu </w:t>
      </w:r>
      <w:r w:rsidR="008414AB">
        <w:t>Valsts sociālās apdrošināšanas aģentūrai izdot labvēlīgāku administratīvo aktu par vecum</w:t>
      </w:r>
      <w:r w:rsidR="00BD5683">
        <w:t>a</w:t>
      </w:r>
      <w:r w:rsidR="008414AB">
        <w:t xml:space="preserve"> pensijas piešķiršanu</w:t>
      </w:r>
      <w:r w:rsidR="006F56FC" w:rsidRPr="00435118">
        <w:t xml:space="preserve">, </w:t>
      </w:r>
      <w:r w:rsidRPr="00435118">
        <w:t>s</w:t>
      </w:r>
      <w:r w:rsidR="008570F8" w:rsidRPr="00435118">
        <w:t>a</w:t>
      </w:r>
      <w:r w:rsidRPr="00435118">
        <w:t xml:space="preserve">karā ar </w:t>
      </w:r>
      <w:r w:rsidR="00791294">
        <w:t xml:space="preserve">[pers. A] </w:t>
      </w:r>
      <w:r w:rsidRPr="00435118">
        <w:t xml:space="preserve">kasācijas sūdzību </w:t>
      </w:r>
      <w:r w:rsidR="005415C2">
        <w:t xml:space="preserve">par </w:t>
      </w:r>
      <w:r w:rsidR="006F56FC" w:rsidRPr="00435118">
        <w:t xml:space="preserve">Administratīvās </w:t>
      </w:r>
      <w:r w:rsidR="00BF466D">
        <w:t>apgabaltiesas</w:t>
      </w:r>
      <w:r w:rsidR="006F56FC" w:rsidRPr="00435118">
        <w:t xml:space="preserve"> 20</w:t>
      </w:r>
      <w:r w:rsidR="009C0FD6">
        <w:t>20</w:t>
      </w:r>
      <w:r w:rsidR="006F56FC" w:rsidRPr="00435118">
        <w:t xml:space="preserve">.gada </w:t>
      </w:r>
      <w:r w:rsidR="009C0FD6">
        <w:t>30.marta</w:t>
      </w:r>
      <w:r w:rsidRPr="00435118">
        <w:t xml:space="preserve"> spriedumu.</w:t>
      </w:r>
    </w:p>
    <w:p w14:paraId="5DE22EF3" w14:textId="77777777" w:rsidR="00A6596A" w:rsidRPr="00435118" w:rsidRDefault="00A6596A" w:rsidP="00791294">
      <w:pPr>
        <w:spacing w:line="276" w:lineRule="auto"/>
        <w:ind w:firstLine="567"/>
        <w:jc w:val="both"/>
      </w:pPr>
    </w:p>
    <w:p w14:paraId="49301551" w14:textId="77777777" w:rsidR="003047F5" w:rsidRPr="00435118" w:rsidRDefault="003047F5" w:rsidP="00791294">
      <w:pPr>
        <w:pStyle w:val="ATpamattesksts"/>
        <w:ind w:firstLine="0"/>
        <w:jc w:val="center"/>
      </w:pPr>
      <w:r w:rsidRPr="00435118">
        <w:rPr>
          <w:b/>
        </w:rPr>
        <w:t>Aprakstošā</w:t>
      </w:r>
      <w:r w:rsidRPr="00435118">
        <w:t xml:space="preserve"> </w:t>
      </w:r>
      <w:r w:rsidRPr="00435118">
        <w:rPr>
          <w:b/>
        </w:rPr>
        <w:t>daļa</w:t>
      </w:r>
    </w:p>
    <w:p w14:paraId="54AE93A0" w14:textId="77777777" w:rsidR="003047F5" w:rsidRPr="00435118" w:rsidRDefault="003047F5" w:rsidP="00791294">
      <w:pPr>
        <w:spacing w:line="276" w:lineRule="auto"/>
        <w:ind w:firstLine="567"/>
        <w:jc w:val="both"/>
      </w:pPr>
    </w:p>
    <w:p w14:paraId="1DFD3C5E" w14:textId="3C2E4A1D" w:rsidR="00AF6098" w:rsidRDefault="002C09C8" w:rsidP="00791294">
      <w:pPr>
        <w:spacing w:line="276" w:lineRule="auto"/>
        <w:ind w:firstLine="567"/>
        <w:jc w:val="both"/>
      </w:pPr>
      <w:r w:rsidRPr="00435118">
        <w:t>[1] </w:t>
      </w:r>
      <w:r w:rsidR="009C0FD6">
        <w:t>Valsts sociālās apdrošināšanas aģentūra</w:t>
      </w:r>
      <w:r w:rsidR="00BA2490">
        <w:t xml:space="preserve"> piešķīra pieteicējam </w:t>
      </w:r>
      <w:r w:rsidR="00791294">
        <w:t xml:space="preserve">[pers. A] </w:t>
      </w:r>
      <w:r w:rsidR="00BA2490">
        <w:t xml:space="preserve">vecuma pensiju, atsakot ieskaitīt pieteicēja apdrošināšanas stāžā </w:t>
      </w:r>
      <w:r w:rsidR="009C0FD6">
        <w:t>obligātā militārā dienesta periodu, jo pieteicējs obligātajā militārajā dienestā dienēja leitnanta pakāpē.</w:t>
      </w:r>
    </w:p>
    <w:p w14:paraId="037805CF" w14:textId="5858FD1A" w:rsidR="009C0FD6" w:rsidRPr="00435118" w:rsidRDefault="00AF6098" w:rsidP="00791294">
      <w:pPr>
        <w:spacing w:line="276" w:lineRule="auto"/>
        <w:ind w:firstLine="567"/>
        <w:jc w:val="both"/>
      </w:pPr>
      <w:r>
        <w:t>Pieteicējs pārsūdzēja lēmumu.</w:t>
      </w:r>
      <w:r w:rsidR="009C0FD6">
        <w:t xml:space="preserve"> </w:t>
      </w:r>
    </w:p>
    <w:p w14:paraId="777CE501" w14:textId="77777777" w:rsidR="00561A72" w:rsidRPr="00435118" w:rsidRDefault="00561A72" w:rsidP="00791294">
      <w:pPr>
        <w:spacing w:line="276" w:lineRule="auto"/>
        <w:ind w:firstLine="567"/>
        <w:jc w:val="both"/>
      </w:pPr>
    </w:p>
    <w:p w14:paraId="654CA888" w14:textId="2F3CEB35" w:rsidR="006361D1" w:rsidRPr="00435118" w:rsidRDefault="00561A72" w:rsidP="00791294">
      <w:pPr>
        <w:spacing w:line="276" w:lineRule="auto"/>
        <w:ind w:firstLine="567"/>
        <w:jc w:val="both"/>
      </w:pPr>
      <w:r w:rsidRPr="00435118">
        <w:t>[2] </w:t>
      </w:r>
      <w:r w:rsidR="00B34539" w:rsidRPr="00435118">
        <w:t xml:space="preserve">Ar Administratīvās </w:t>
      </w:r>
      <w:r w:rsidR="00F0040B">
        <w:t>apgabaltiesas</w:t>
      </w:r>
      <w:r w:rsidR="00B34539" w:rsidRPr="00435118">
        <w:t xml:space="preserve"> </w:t>
      </w:r>
      <w:r w:rsidR="00F0040B">
        <w:t>2020.gada 30.marta</w:t>
      </w:r>
      <w:r w:rsidR="00B34539" w:rsidRPr="00435118">
        <w:t xml:space="preserve"> spriedumu pieteikums noraidīts. Spriedum</w:t>
      </w:r>
      <w:r w:rsidR="00F0040B">
        <w:t>ā</w:t>
      </w:r>
      <w:r w:rsidR="00AF6098">
        <w:t>,</w:t>
      </w:r>
      <w:r w:rsidR="00F0040B">
        <w:t xml:space="preserve"> </w:t>
      </w:r>
      <w:r w:rsidR="00AF6098">
        <w:t xml:space="preserve">pievienojoties arī pirmās instances tiesas spriedumam, </w:t>
      </w:r>
      <w:r w:rsidR="00F0040B">
        <w:t xml:space="preserve">norādīts, ka likuma </w:t>
      </w:r>
      <w:r w:rsidR="00F0040B" w:rsidRPr="00435118">
        <w:t>„</w:t>
      </w:r>
      <w:r w:rsidR="00E5348C">
        <w:t>Par valsts pensijā</w:t>
      </w:r>
      <w:r w:rsidR="00A33DA7">
        <w:t>m</w:t>
      </w:r>
      <w:r w:rsidR="00E5348C">
        <w:t xml:space="preserve">” pārejas noteikumu </w:t>
      </w:r>
      <w:r w:rsidR="008751AC">
        <w:t xml:space="preserve">1.punkts paredz, ka nepilsoņiem apdrošināšanas stāžā ieskaita bijušās PSRS teritorijā uzkrātos darbam pielīdzinātos periodus, kas norādīti šā punkta 4., 5., un 10.apakšpunktā. </w:t>
      </w:r>
      <w:r w:rsidR="00B236D4">
        <w:t xml:space="preserve">Minētajos </w:t>
      </w:r>
      <w:r w:rsidR="00F419EC">
        <w:t>apakš</w:t>
      </w:r>
      <w:r w:rsidR="00B236D4">
        <w:t xml:space="preserve">punktos obligātais militārais dienests nav norādīts. </w:t>
      </w:r>
      <w:r w:rsidR="00AB5FEF">
        <w:t xml:space="preserve">Tas nozīmē, ka pieteicējam kā nepilsonim apdrošināšanas stāžā nav </w:t>
      </w:r>
      <w:r w:rsidR="00B236D4">
        <w:t>ie</w:t>
      </w:r>
      <w:r w:rsidR="00C96D35">
        <w:t>s</w:t>
      </w:r>
      <w:r w:rsidR="00B236D4">
        <w:t>ka</w:t>
      </w:r>
      <w:r w:rsidR="00C96D35">
        <w:t>i</w:t>
      </w:r>
      <w:r w:rsidR="00B236D4">
        <w:t xml:space="preserve">tāms </w:t>
      </w:r>
      <w:r w:rsidR="00AB5FEF">
        <w:t>obligātais militārais dienests.</w:t>
      </w:r>
    </w:p>
    <w:p w14:paraId="794B575D" w14:textId="77777777" w:rsidR="008751AC" w:rsidRDefault="008751AC" w:rsidP="00791294">
      <w:pPr>
        <w:spacing w:line="276" w:lineRule="auto"/>
        <w:ind w:firstLine="567"/>
        <w:jc w:val="both"/>
      </w:pPr>
    </w:p>
    <w:p w14:paraId="16E56D6F" w14:textId="238E2288" w:rsidR="00DA1561" w:rsidRDefault="006361D1" w:rsidP="00791294">
      <w:pPr>
        <w:spacing w:line="276" w:lineRule="auto"/>
        <w:ind w:firstLine="567"/>
        <w:jc w:val="both"/>
      </w:pPr>
      <w:r w:rsidRPr="00435118">
        <w:t>[3] Pieteicēj</w:t>
      </w:r>
      <w:r w:rsidR="004D2278">
        <w:t>s</w:t>
      </w:r>
      <w:r w:rsidRPr="00435118">
        <w:t xml:space="preserve"> </w:t>
      </w:r>
      <w:r w:rsidR="004F4DE1" w:rsidRPr="00435118">
        <w:t>par minēto spriedumu iesniedz</w:t>
      </w:r>
      <w:r w:rsidR="00AF6098">
        <w:t>is</w:t>
      </w:r>
      <w:r w:rsidR="004F4DE1" w:rsidRPr="00435118">
        <w:t xml:space="preserve"> kasācijas sūdzību</w:t>
      </w:r>
      <w:r w:rsidR="00DA1561">
        <w:t xml:space="preserve">, kurā norāda, ka tiesa </w:t>
      </w:r>
      <w:r w:rsidR="00AF6098">
        <w:t xml:space="preserve">nav </w:t>
      </w:r>
      <w:r w:rsidR="004F7077">
        <w:t>vērtēj</w:t>
      </w:r>
      <w:r w:rsidR="00AF6098">
        <w:t>usi</w:t>
      </w:r>
      <w:r w:rsidR="00DA1561">
        <w:t xml:space="preserve"> </w:t>
      </w:r>
      <w:r w:rsidR="00C96D35">
        <w:t xml:space="preserve">viņa </w:t>
      </w:r>
      <w:r w:rsidR="00DA1561">
        <w:t>argument</w:t>
      </w:r>
      <w:r w:rsidR="00AF6098">
        <w:t>us</w:t>
      </w:r>
      <w:r w:rsidR="004F7077">
        <w:t xml:space="preserve"> pēc būtības.</w:t>
      </w:r>
      <w:r w:rsidR="00DA1561">
        <w:t xml:space="preserve"> </w:t>
      </w:r>
    </w:p>
    <w:p w14:paraId="48EA5B5F" w14:textId="5358AC2A" w:rsidR="006361D1" w:rsidRDefault="00DA1561" w:rsidP="00791294">
      <w:pPr>
        <w:spacing w:line="276" w:lineRule="auto"/>
        <w:ind w:firstLine="567"/>
        <w:jc w:val="both"/>
      </w:pPr>
      <w:r>
        <w:t xml:space="preserve">Pieteicējs </w:t>
      </w:r>
      <w:r w:rsidR="002A19B7">
        <w:t>norāda</w:t>
      </w:r>
      <w:r>
        <w:t xml:space="preserve">, ka likuma </w:t>
      </w:r>
      <w:r w:rsidRPr="00435118">
        <w:t>„</w:t>
      </w:r>
      <w:r>
        <w:t>Par valsts pensijā</w:t>
      </w:r>
      <w:r w:rsidR="004D2278">
        <w:t>m</w:t>
      </w:r>
      <w:r>
        <w:t>” pārejas noteikumu 1.punkta 1. un 2.apakšpunkts savstarpēji nošķir obligāto militāro dienestu no d</w:t>
      </w:r>
      <w:r w:rsidR="004D2278">
        <w:t>ienesta PSRS bruņotajos spēkos</w:t>
      </w:r>
      <w:r w:rsidR="004F7077">
        <w:t xml:space="preserve">, kas tiek </w:t>
      </w:r>
      <w:r w:rsidR="001C7E75">
        <w:t xml:space="preserve">pildīts </w:t>
      </w:r>
      <w:r w:rsidR="004F7077">
        <w:t>pēc brīvprātības principa</w:t>
      </w:r>
      <w:r w:rsidR="004D2278">
        <w:t xml:space="preserve">. </w:t>
      </w:r>
      <w:r w:rsidR="004F7077">
        <w:t>P</w:t>
      </w:r>
      <w:r w:rsidR="004D2278">
        <w:t>ieteicēja</w:t>
      </w:r>
      <w:r>
        <w:t xml:space="preserve"> tiesības ieskaitīt apdrošināšanas stāžā obligātā </w:t>
      </w:r>
      <w:r w:rsidR="00C96D35">
        <w:t xml:space="preserve">militārā </w:t>
      </w:r>
      <w:r>
        <w:t>dienesta periodu izriet no starptautiskā līguma starp Latviju un Krieviju par sadarbību sociālās drošības jomā. Līdz ar to pieteicējam</w:t>
      </w:r>
      <w:r w:rsidR="004F7077">
        <w:t>, neraugoties uz to, ka viņš ir nepilsonis,</w:t>
      </w:r>
      <w:r>
        <w:t xml:space="preserve"> ir </w:t>
      </w:r>
      <w:r w:rsidR="004F7077">
        <w:t>tiesības</w:t>
      </w:r>
      <w:r>
        <w:t>, lai ieskait</w:t>
      </w:r>
      <w:r w:rsidR="004D2278">
        <w:t>ītu</w:t>
      </w:r>
      <w:r>
        <w:t xml:space="preserve"> obligāto </w:t>
      </w:r>
      <w:r w:rsidR="00C96D35">
        <w:t xml:space="preserve">militāro </w:t>
      </w:r>
      <w:r>
        <w:t xml:space="preserve">dienestu apdrošināšanas stāžā. </w:t>
      </w:r>
      <w:r w:rsidR="00497E2D">
        <w:t>Tiesa ir nepareizi interpretējusi Ministru kabineta</w:t>
      </w:r>
      <w:r w:rsidR="004D2278">
        <w:t xml:space="preserve"> 2002.gada 23.aprīļa</w:t>
      </w:r>
      <w:r w:rsidR="00497E2D">
        <w:t xml:space="preserve"> noteikumu Nr.</w:t>
      </w:r>
      <w:r w:rsidR="002B4D8D">
        <w:t> </w:t>
      </w:r>
      <w:r w:rsidR="00497E2D">
        <w:t xml:space="preserve">165 </w:t>
      </w:r>
      <w:r w:rsidR="00497E2D" w:rsidRPr="00435118">
        <w:t>„</w:t>
      </w:r>
      <w:r w:rsidR="00497E2D">
        <w:t xml:space="preserve">Apdrošināšanas periodu pierādīšanas, aprēķināšanas un uzskaites kārtība” </w:t>
      </w:r>
      <w:r w:rsidR="0052619C">
        <w:t xml:space="preserve">(turpmāk – Apdrošināšanas periodu noteikumi) </w:t>
      </w:r>
      <w:r w:rsidR="00497E2D">
        <w:t>24.punktu.</w:t>
      </w:r>
    </w:p>
    <w:p w14:paraId="0D89BBF8" w14:textId="6A79B2CA" w:rsidR="00497E2D" w:rsidRPr="00435118" w:rsidRDefault="00497E2D" w:rsidP="00791294">
      <w:pPr>
        <w:spacing w:line="276" w:lineRule="auto"/>
        <w:ind w:firstLine="567"/>
        <w:jc w:val="both"/>
      </w:pPr>
      <w:r>
        <w:t>Kasācijas sūdzībā arī</w:t>
      </w:r>
      <w:r w:rsidR="00DD5F5C">
        <w:t xml:space="preserve"> norādīts, ka likuma </w:t>
      </w:r>
      <w:r w:rsidR="00DD5F5C" w:rsidRPr="00435118">
        <w:t>„</w:t>
      </w:r>
      <w:r w:rsidR="00DD5F5C">
        <w:t>Par valsts pensijā</w:t>
      </w:r>
      <w:r w:rsidR="004D2278">
        <w:t>m</w:t>
      </w:r>
      <w:r w:rsidR="00DD5F5C">
        <w:t xml:space="preserve">” pārejas noteikumu 1.punkts neatbilst </w:t>
      </w:r>
      <w:r w:rsidR="002B4D8D">
        <w:t xml:space="preserve">Latvijas Republikas </w:t>
      </w:r>
      <w:r w:rsidR="00DD5F5C">
        <w:t>Satversmes 91.pantam un Eiropas Cilvēk</w:t>
      </w:r>
      <w:r w:rsidR="00A5365F">
        <w:t xml:space="preserve">a </w:t>
      </w:r>
      <w:r w:rsidR="00DD5F5C">
        <w:t xml:space="preserve">tiesību un pamatbrīvību aizsardzības </w:t>
      </w:r>
      <w:r w:rsidR="00206327">
        <w:t>konvencijas 14.pantam kopsakar</w:t>
      </w:r>
      <w:r w:rsidR="00DD5F5C">
        <w:t xml:space="preserve">ā ar </w:t>
      </w:r>
      <w:r w:rsidR="00A5365F">
        <w:t>pirmā p</w:t>
      </w:r>
      <w:r w:rsidR="00DD5F5C">
        <w:t>rotokola 1.pantu.</w:t>
      </w:r>
    </w:p>
    <w:p w14:paraId="54DAC385" w14:textId="77777777" w:rsidR="006361D1" w:rsidRPr="00435118" w:rsidRDefault="006361D1" w:rsidP="00791294">
      <w:pPr>
        <w:spacing w:line="276" w:lineRule="auto"/>
        <w:ind w:firstLine="567"/>
        <w:jc w:val="both"/>
      </w:pPr>
    </w:p>
    <w:p w14:paraId="729F109D" w14:textId="63F67CE8" w:rsidR="006361D1" w:rsidRPr="00435118" w:rsidRDefault="006361D1" w:rsidP="00791294">
      <w:pPr>
        <w:spacing w:line="276" w:lineRule="auto"/>
        <w:ind w:firstLine="567"/>
        <w:jc w:val="both"/>
      </w:pPr>
      <w:r w:rsidRPr="00435118">
        <w:t>[4] </w:t>
      </w:r>
      <w:r w:rsidR="00DD5F5C">
        <w:t>Aģentūra</w:t>
      </w:r>
      <w:r w:rsidRPr="00435118">
        <w:t xml:space="preserve"> paskaidrojumos par kasācijas sūdzību uzskata to par nepamatotu.</w:t>
      </w:r>
    </w:p>
    <w:p w14:paraId="51D5FABC" w14:textId="77777777" w:rsidR="003047F5" w:rsidRPr="00435118" w:rsidRDefault="003047F5" w:rsidP="00791294">
      <w:pPr>
        <w:spacing w:line="276" w:lineRule="auto"/>
        <w:ind w:firstLine="567"/>
        <w:jc w:val="both"/>
      </w:pPr>
    </w:p>
    <w:p w14:paraId="1900DA50" w14:textId="77777777" w:rsidR="003047F5" w:rsidRPr="00435118" w:rsidRDefault="003047F5" w:rsidP="00791294">
      <w:pPr>
        <w:spacing w:line="276" w:lineRule="auto"/>
        <w:jc w:val="center"/>
        <w:rPr>
          <w:b/>
        </w:rPr>
      </w:pPr>
      <w:r w:rsidRPr="00435118">
        <w:rPr>
          <w:b/>
        </w:rPr>
        <w:t>Motīvu daļa</w:t>
      </w:r>
    </w:p>
    <w:p w14:paraId="50C3E4A3" w14:textId="77777777" w:rsidR="003047F5" w:rsidRPr="00435118" w:rsidRDefault="003047F5" w:rsidP="00791294">
      <w:pPr>
        <w:spacing w:line="276" w:lineRule="auto"/>
        <w:ind w:firstLine="567"/>
        <w:jc w:val="both"/>
      </w:pPr>
    </w:p>
    <w:p w14:paraId="1DD3CA01" w14:textId="46526ABF" w:rsidR="0013412C" w:rsidRDefault="00954525" w:rsidP="00791294">
      <w:pPr>
        <w:spacing w:line="276" w:lineRule="auto"/>
        <w:ind w:firstLine="567"/>
        <w:jc w:val="both"/>
      </w:pPr>
      <w:r w:rsidRPr="00435118">
        <w:t xml:space="preserve">[5] </w:t>
      </w:r>
      <w:r w:rsidR="0013412C">
        <w:t xml:space="preserve">Izskatāmajā lietā </w:t>
      </w:r>
      <w:r w:rsidR="00DD5F5C">
        <w:t xml:space="preserve">ir strīds par to, vai </w:t>
      </w:r>
      <w:r w:rsidR="00D256A4">
        <w:t>vecuma</w:t>
      </w:r>
      <w:r w:rsidR="0012297D">
        <w:t xml:space="preserve"> pensijas </w:t>
      </w:r>
      <w:r w:rsidR="00DD5F5C">
        <w:t>apdrošināšanas stāžā</w:t>
      </w:r>
      <w:r w:rsidR="0016621B">
        <w:t xml:space="preserve"> </w:t>
      </w:r>
      <w:r w:rsidR="0012297D">
        <w:t>nepilsonim</w:t>
      </w:r>
      <w:r w:rsidR="00DD5F5C">
        <w:t xml:space="preserve"> ir ieska</w:t>
      </w:r>
      <w:r w:rsidR="004D2278">
        <w:t>i</w:t>
      </w:r>
      <w:r w:rsidR="00DD5F5C">
        <w:t>tāms obligātā militārā dienesta periods</w:t>
      </w:r>
      <w:r w:rsidR="00AF6098">
        <w:t xml:space="preserve"> </w:t>
      </w:r>
      <w:r w:rsidR="00356BF5">
        <w:t xml:space="preserve">PSRS </w:t>
      </w:r>
      <w:r w:rsidR="00BC266E">
        <w:t>B</w:t>
      </w:r>
      <w:r w:rsidR="00356BF5">
        <w:t>ruņotajos spēkos</w:t>
      </w:r>
      <w:r w:rsidR="0016621B">
        <w:t>, ja dienests pildīts virsnieka pakāpē.</w:t>
      </w:r>
    </w:p>
    <w:p w14:paraId="6B8655E3" w14:textId="77777777" w:rsidR="0013412C" w:rsidRDefault="0013412C" w:rsidP="00791294">
      <w:pPr>
        <w:spacing w:line="276" w:lineRule="auto"/>
        <w:ind w:firstLine="567"/>
        <w:jc w:val="both"/>
      </w:pPr>
    </w:p>
    <w:p w14:paraId="62F28312" w14:textId="693FFDD5" w:rsidR="00427BDA" w:rsidRDefault="0013412C" w:rsidP="00791294">
      <w:pPr>
        <w:spacing w:line="276" w:lineRule="auto"/>
        <w:ind w:firstLine="567"/>
        <w:jc w:val="both"/>
      </w:pPr>
      <w:r>
        <w:t xml:space="preserve">[6] </w:t>
      </w:r>
      <w:r w:rsidR="00F14A9D">
        <w:t xml:space="preserve">Likuma </w:t>
      </w:r>
      <w:r w:rsidR="00F14A9D" w:rsidRPr="003C4CA1">
        <w:t>„Par valsts pensijām” pārejas noteikumu 1.punkt</w:t>
      </w:r>
      <w:r w:rsidR="00F14A9D">
        <w:t>s paredz, ka Latvijas nepilsoņiem obligātā</w:t>
      </w:r>
      <w:r w:rsidR="000079CD">
        <w:t xml:space="preserve"> aktīvā</w:t>
      </w:r>
      <w:r w:rsidR="00F14A9D">
        <w:t xml:space="preserve"> militārā dienesta periodu ieskaita</w:t>
      </w:r>
      <w:r w:rsidR="00D965C7">
        <w:t xml:space="preserve"> apdrošināšanas stāžā</w:t>
      </w:r>
      <w:r w:rsidR="00F14A9D">
        <w:t xml:space="preserve"> tikai tad, ja tas ir uzkrāts Latvijas teritorijā. Vienlaikus ir jāņem vērā, ka </w:t>
      </w:r>
      <w:r w:rsidR="004F7077">
        <w:t>pensijas aprēķināšanu nepilsoņiem</w:t>
      </w:r>
      <w:r w:rsidR="00356BF5" w:rsidRPr="00356BF5">
        <w:t xml:space="preserve"> </w:t>
      </w:r>
      <w:r w:rsidR="00356BF5">
        <w:t xml:space="preserve">regulē </w:t>
      </w:r>
      <w:r w:rsidR="00AF75FA">
        <w:t xml:space="preserve">arī </w:t>
      </w:r>
      <w:r w:rsidR="00F14A9D">
        <w:t>starptautiskie līgumi, kas regulē sadarbību sociālās drošības jomā</w:t>
      </w:r>
      <w:r w:rsidR="00AF75FA">
        <w:t xml:space="preserve"> starp valstīm.</w:t>
      </w:r>
    </w:p>
    <w:p w14:paraId="66D05807" w14:textId="7E94B546" w:rsidR="00AF75FA" w:rsidRDefault="00AF75FA" w:rsidP="00791294">
      <w:pPr>
        <w:spacing w:line="276" w:lineRule="auto"/>
        <w:ind w:firstLine="567"/>
        <w:jc w:val="both"/>
      </w:pPr>
      <w:r>
        <w:t>Pieteicējs obligāto militāro dienestu ir dienējis Krievijas Federācijas teritorijā Kaļiņingradas apgabalā. Līdz ar to lietā ir piemērojams</w:t>
      </w:r>
      <w:r w:rsidRPr="00AF75FA">
        <w:t xml:space="preserve"> </w:t>
      </w:r>
      <w:r>
        <w:t>Latvijas Republikas un Krievijas Federācijas līgum</w:t>
      </w:r>
      <w:r w:rsidR="00D965C7">
        <w:t>s</w:t>
      </w:r>
      <w:r>
        <w:t xml:space="preserve"> par sadarbību sociālās drošības jomā.</w:t>
      </w:r>
    </w:p>
    <w:p w14:paraId="1F1AE320" w14:textId="4FD1782A" w:rsidR="00AF75FA" w:rsidRDefault="00AF75FA" w:rsidP="00791294">
      <w:pPr>
        <w:spacing w:line="276" w:lineRule="auto"/>
        <w:ind w:firstLine="567"/>
        <w:jc w:val="both"/>
      </w:pPr>
      <w:r>
        <w:t xml:space="preserve">Latvijas Republikas un Krievijas Federācijas līguma par sadarbību sociālās drošības jomā 25.panta pirmās daļas 1.punkts paredz, ka par apdrošināšanas (darba) stāža periodiem, kas līdz 1991.gada 1.janvārim ir uzkrāti vienā no līgumslēdzēju pušu teritorijām, pensiju saskaņā ar līgumu piešķir un izmaksā tā līgumslēdzēja puse, </w:t>
      </w:r>
      <w:r w:rsidRPr="0016621B">
        <w:t>kuras teritorijā pensijas pieprasīšanas brīdī ir personas dzīvesvieta</w:t>
      </w:r>
      <w:r>
        <w:t>.</w:t>
      </w:r>
    </w:p>
    <w:p w14:paraId="20A814C8" w14:textId="68850872" w:rsidR="00AF75FA" w:rsidRDefault="00AF75FA" w:rsidP="00791294">
      <w:pPr>
        <w:spacing w:line="276" w:lineRule="auto"/>
        <w:ind w:firstLine="567"/>
        <w:jc w:val="both"/>
      </w:pPr>
      <w:r>
        <w:t>Lietā nav strīda par to, ka pieteicēja dzīvesvieta ir Latvijas Republika. Līdz ar to Latvijas Republikai ir pienākums piešķirt un izmaksāt pieteicējam pensiju arī par Krievijas Federācijas teritorijā līdz 1991.gada 1.janvārim uzkrātajiem apdr</w:t>
      </w:r>
      <w:r w:rsidR="00D965C7">
        <w:t>oš</w:t>
      </w:r>
      <w:r>
        <w:t>ināšanas periodiem.</w:t>
      </w:r>
    </w:p>
    <w:p w14:paraId="7196579B" w14:textId="77777777" w:rsidR="00AF75FA" w:rsidRDefault="00AF75FA" w:rsidP="00791294">
      <w:pPr>
        <w:spacing w:line="276" w:lineRule="auto"/>
        <w:ind w:firstLine="567"/>
        <w:jc w:val="both"/>
      </w:pPr>
    </w:p>
    <w:p w14:paraId="0AAF1D83" w14:textId="05110257" w:rsidR="00AF75FA" w:rsidRDefault="00AF75FA" w:rsidP="00791294">
      <w:pPr>
        <w:spacing w:line="276" w:lineRule="auto"/>
        <w:ind w:firstLine="567"/>
        <w:jc w:val="both"/>
      </w:pPr>
      <w:r>
        <w:t xml:space="preserve">[7] Senāts vērš uzmanību, ka Satversmes tiesa ir apskatījusi līguma satura nozīmi saistībā ar likuma </w:t>
      </w:r>
      <w:r w:rsidRPr="00435118">
        <w:t>„</w:t>
      </w:r>
      <w:r>
        <w:t>Par valsts pensijām” pārejas noteikumu 1.punkta atbilstību</w:t>
      </w:r>
      <w:r w:rsidRPr="00591872">
        <w:t xml:space="preserve"> </w:t>
      </w:r>
      <w:r>
        <w:t>Latvijas Republikas Satversmes 91.pantam un Eiropas Cilvēka tiesību un pamatbrīvību aizsardzības konvencijas 14.pantam kopsakarā ar pirmā protokola 1.pantu.</w:t>
      </w:r>
    </w:p>
    <w:p w14:paraId="7B0BF032" w14:textId="4FC46C9B" w:rsidR="00AF75FA" w:rsidRDefault="00AF75FA" w:rsidP="00791294">
      <w:pPr>
        <w:spacing w:line="276" w:lineRule="auto"/>
        <w:ind w:firstLine="567"/>
        <w:jc w:val="both"/>
      </w:pPr>
      <w:r>
        <w:t>Satversmes tiesa ir atzinusi, ka ārpus Latvijas uzkrāto darba periodu ieskaitīšana apdrošināšanas stāžā ir risināma starptautisko līgumu formā. Noslēdzot šādu līgumu, tiek atrisināts jautājums par atšķirīgo attieksmi pret nepilsoņiem, kuriem ārpus Latvijas teritorijas uzkrātie darba periodi netiek ņemti vērā, aprēķinot vecuma pensijas (</w:t>
      </w:r>
      <w:r w:rsidRPr="00B43B12">
        <w:rPr>
          <w:i/>
          <w:iCs/>
        </w:rPr>
        <w:t>Satversmes tiesas 2011.gada 17.februāra sprieduma lietā Nr. 2010</w:t>
      </w:r>
      <w:r w:rsidRPr="00B43B12">
        <w:rPr>
          <w:i/>
          <w:iCs/>
        </w:rPr>
        <w:noBreakHyphen/>
        <w:t>20</w:t>
      </w:r>
      <w:r w:rsidRPr="00B43B12">
        <w:rPr>
          <w:i/>
          <w:iCs/>
        </w:rPr>
        <w:noBreakHyphen/>
        <w:t>0106 14.punkts</w:t>
      </w:r>
      <w:r>
        <w:t xml:space="preserve">).  </w:t>
      </w:r>
    </w:p>
    <w:p w14:paraId="308A5D93" w14:textId="65B35209" w:rsidR="00AF75FA" w:rsidRDefault="00AF75FA" w:rsidP="00791294">
      <w:pPr>
        <w:spacing w:line="276" w:lineRule="auto"/>
        <w:ind w:firstLine="567"/>
        <w:jc w:val="both"/>
      </w:pPr>
    </w:p>
    <w:p w14:paraId="2B5F11B7" w14:textId="4B992048" w:rsidR="00AF75FA" w:rsidRDefault="00AF75FA" w:rsidP="00791294">
      <w:pPr>
        <w:spacing w:line="276" w:lineRule="auto"/>
        <w:ind w:firstLine="567"/>
        <w:jc w:val="both"/>
      </w:pPr>
      <w:r>
        <w:t xml:space="preserve">[8] </w:t>
      </w:r>
      <w:r w:rsidR="00F40DC7">
        <w:t>Nav pamatots</w:t>
      </w:r>
      <w:r w:rsidR="005C3DC2">
        <w:t xml:space="preserve"> </w:t>
      </w:r>
      <w:r w:rsidR="00F05EF4">
        <w:t xml:space="preserve">apgabaltiesas </w:t>
      </w:r>
      <w:r w:rsidR="00F40DC7">
        <w:t>arguments, ka obligātais militārais dienests</w:t>
      </w:r>
      <w:r w:rsidR="00745452">
        <w:t xml:space="preserve"> PSRS Bruņotajos spēkos</w:t>
      </w:r>
      <w:r w:rsidR="00F40DC7">
        <w:t xml:space="preserve"> ir ieskaitāms apdrošināšanas stāžā </w:t>
      </w:r>
      <w:r w:rsidR="00745452">
        <w:t>tikai ierindas kareivjiem</w:t>
      </w:r>
      <w:r w:rsidR="00FD7333">
        <w:t>.</w:t>
      </w:r>
    </w:p>
    <w:p w14:paraId="37130955" w14:textId="5D3211F9" w:rsidR="00FD7333" w:rsidRDefault="00FD7333" w:rsidP="00791294">
      <w:pPr>
        <w:spacing w:line="276" w:lineRule="auto"/>
        <w:ind w:firstLine="567"/>
        <w:jc w:val="both"/>
      </w:pPr>
      <w:r>
        <w:t>Tiesību normas nepiešķir nozīmi tam, kāda dienesta pakāpe ir personai, kura pilda obligāto</w:t>
      </w:r>
      <w:r w:rsidR="00603E3D">
        <w:t xml:space="preserve"> aktīvo</w:t>
      </w:r>
      <w:r w:rsidR="00EB059B">
        <w:t xml:space="preserve"> militāro</w:t>
      </w:r>
      <w:r>
        <w:t xml:space="preserve"> dienestu. Likuma </w:t>
      </w:r>
      <w:r w:rsidRPr="00435118">
        <w:t>„</w:t>
      </w:r>
      <w:r>
        <w:t>Par valsts pensijām” pārejas noteikumu 1.punkta</w:t>
      </w:r>
      <w:r w:rsidR="00FD544B">
        <w:t xml:space="preserve"> 1.</w:t>
      </w:r>
      <w:r w:rsidR="00F77AF2">
        <w:t> </w:t>
      </w:r>
      <w:r w:rsidR="00F05EF4">
        <w:t>un</w:t>
      </w:r>
      <w:r>
        <w:t xml:space="preserve"> 2.apakšpunkt</w:t>
      </w:r>
      <w:r w:rsidR="00FD544B">
        <w:t xml:space="preserve">s savstarpēji nošķir obligāto aktīvo militāro dienestu no </w:t>
      </w:r>
      <w:r w:rsidR="00EB059B">
        <w:t>brīvprātīgā</w:t>
      </w:r>
      <w:r w:rsidR="00FD544B">
        <w:t xml:space="preserve"> dienesta PSRS </w:t>
      </w:r>
      <w:r w:rsidR="000079CD">
        <w:t>B</w:t>
      </w:r>
      <w:r w:rsidR="00FD544B">
        <w:t xml:space="preserve">ruņotajos spēkos. </w:t>
      </w:r>
      <w:r w:rsidR="00EB059B">
        <w:t>Dienesta pakāp</w:t>
      </w:r>
      <w:r w:rsidR="000079CD">
        <w:t>ei</w:t>
      </w:r>
      <w:r w:rsidR="00EB059B">
        <w:t xml:space="preserve"> </w:t>
      </w:r>
      <w:r w:rsidR="00E863B8">
        <w:t>savukārt netiek piešķirta nozīme.</w:t>
      </w:r>
      <w:r w:rsidR="00EB059B">
        <w:t xml:space="preserve"> </w:t>
      </w:r>
    </w:p>
    <w:p w14:paraId="0F0B711C" w14:textId="77777777" w:rsidR="007E69E4" w:rsidRDefault="007E69E4" w:rsidP="00791294">
      <w:pPr>
        <w:spacing w:line="276" w:lineRule="auto"/>
        <w:ind w:firstLine="567"/>
        <w:jc w:val="both"/>
      </w:pPr>
    </w:p>
    <w:p w14:paraId="47DA51AF" w14:textId="40241B70" w:rsidR="007E69E4" w:rsidRDefault="007E69E4" w:rsidP="00791294">
      <w:pPr>
        <w:spacing w:line="276" w:lineRule="auto"/>
        <w:ind w:firstLine="567"/>
        <w:jc w:val="both"/>
      </w:pPr>
      <w:r>
        <w:t>[9] Minēto atziņu nemaina</w:t>
      </w:r>
      <w:r w:rsidR="00D129C8">
        <w:t xml:space="preserve"> arī Apdrošināšanas periodu noteikumu 24.punktā minētais. Šajā tiesību normā ir norādīts, ka obligātā militārā dienesta laiks ierindas kareivjiem bijušās PSRS </w:t>
      </w:r>
      <w:r w:rsidR="00E863B8">
        <w:t>B</w:t>
      </w:r>
      <w:r w:rsidR="00D129C8">
        <w:t>ruņotajos spēkos veido apdrošināšanas periodu, ja tas pierādīts ar šajā tiesību normā norādīto dokumentu kopumu.</w:t>
      </w:r>
    </w:p>
    <w:p w14:paraId="51220670" w14:textId="353C24F7" w:rsidR="00745452" w:rsidRDefault="00D129C8" w:rsidP="00791294">
      <w:pPr>
        <w:spacing w:line="276" w:lineRule="auto"/>
        <w:ind w:firstLine="567"/>
        <w:jc w:val="both"/>
      </w:pPr>
      <w:r>
        <w:lastRenderedPageBreak/>
        <w:t xml:space="preserve">Nav pamata uzsvaru likt uz to, ka šajā tiesību normā tiek lietoti vārdi </w:t>
      </w:r>
      <w:r w:rsidRPr="00435118">
        <w:t>„</w:t>
      </w:r>
      <w:r>
        <w:t>ierindas kareivji”. Tiesību norma pēc tās mērķa un atrašanās vietas šajos noteikumos regulē tikai to, kādi dokumenti ir jāiesniedz, lai pierādītu obligāta</w:t>
      </w:r>
      <w:r w:rsidR="00603E3D">
        <w:t xml:space="preserve"> aktīvā</w:t>
      </w:r>
      <w:r>
        <w:t xml:space="preserve"> militārā dienesta periodu.</w:t>
      </w:r>
      <w:r w:rsidR="005C3DC2">
        <w:t xml:space="preserve"> Visbiežāk obligātais</w:t>
      </w:r>
      <w:r w:rsidR="00603E3D">
        <w:t xml:space="preserve"> aktīvais</w:t>
      </w:r>
      <w:r w:rsidR="005C3DC2">
        <w:t xml:space="preserve"> militārais dienests tiek veikts ierindas kareivja dienesta pakāpē</w:t>
      </w:r>
      <w:r w:rsidR="007C474C">
        <w:t xml:space="preserve">, tomēr tas nav kritērijs, kas ļauj nošķirt to, vai </w:t>
      </w:r>
      <w:r w:rsidR="000079CD">
        <w:t>konkrētais periods ir atzīstams par obligāto aktīvo militāro dienestu</w:t>
      </w:r>
      <w:r w:rsidR="0004034F">
        <w:t xml:space="preserve"> vai dienests tiek veikts brīvprātīgi.</w:t>
      </w:r>
      <w:r w:rsidR="00745452">
        <w:t xml:space="preserve"> </w:t>
      </w:r>
      <w:r w:rsidR="000079CD">
        <w:t xml:space="preserve"> </w:t>
      </w:r>
    </w:p>
    <w:p w14:paraId="0F47393D" w14:textId="77777777" w:rsidR="00D129C8" w:rsidRDefault="00D129C8" w:rsidP="00791294">
      <w:pPr>
        <w:spacing w:line="276" w:lineRule="auto"/>
        <w:ind w:firstLine="567"/>
        <w:jc w:val="both"/>
      </w:pPr>
      <w:r>
        <w:t xml:space="preserve">  </w:t>
      </w:r>
    </w:p>
    <w:p w14:paraId="7158C8AD" w14:textId="77777777" w:rsidR="001D52E5" w:rsidRDefault="00D129C8" w:rsidP="00791294">
      <w:pPr>
        <w:tabs>
          <w:tab w:val="left" w:pos="2880"/>
          <w:tab w:val="left" w:pos="4680"/>
          <w:tab w:val="left" w:pos="6660"/>
        </w:tabs>
        <w:spacing w:line="276" w:lineRule="auto"/>
        <w:ind w:firstLine="567"/>
        <w:jc w:val="both"/>
      </w:pPr>
      <w:r>
        <w:t xml:space="preserve">[10] </w:t>
      </w:r>
      <w:r w:rsidR="00FD544B">
        <w:t xml:space="preserve">Senāts vērš uzmanību, ka PSRS likuma </w:t>
      </w:r>
      <w:r w:rsidR="00FD544B" w:rsidRPr="00435118">
        <w:t>„</w:t>
      </w:r>
      <w:r w:rsidR="00FD544B">
        <w:t>Par vispārējo militāro karaklausību</w:t>
      </w:r>
      <w:r w:rsidR="00E863B8">
        <w:t>”</w:t>
      </w:r>
      <w:r w:rsidR="00FD544B">
        <w:t xml:space="preserve"> 35.panta 1.punkts paredzēja, ka</w:t>
      </w:r>
      <w:r w:rsidR="00FD544B" w:rsidRPr="0016621B">
        <w:t xml:space="preserve"> </w:t>
      </w:r>
      <w:r w:rsidR="00FD544B">
        <w:t xml:space="preserve">iesaukšanu militārajā dienestā var atlikt augstskolas dienas nodaļas studentiem līdz mācību noslēgumam (sal. </w:t>
      </w:r>
      <w:r w:rsidR="00FD544B" w:rsidRPr="0014667B">
        <w:rPr>
          <w:i/>
          <w:iCs/>
        </w:rPr>
        <w:t>O Vseobšej voinskoi objazannosti – https://docs.cntd.ru/document/901852569</w:t>
      </w:r>
      <w:r w:rsidR="00FD544B">
        <w:t>). Tiesību normas jauniešiem ļāva pirms iesaukšanas obligātajā militārajā dienestā pabeigt augstskolu.</w:t>
      </w:r>
      <w:r w:rsidR="0022069C">
        <w:t xml:space="preserve"> </w:t>
      </w:r>
    </w:p>
    <w:p w14:paraId="476745AE" w14:textId="517A4E15" w:rsidR="00723246" w:rsidRPr="0022069C" w:rsidRDefault="0022069C" w:rsidP="00791294">
      <w:pPr>
        <w:tabs>
          <w:tab w:val="left" w:pos="2880"/>
          <w:tab w:val="left" w:pos="4680"/>
          <w:tab w:val="left" w:pos="6660"/>
        </w:tabs>
        <w:spacing w:line="276" w:lineRule="auto"/>
        <w:ind w:firstLine="567"/>
        <w:jc w:val="both"/>
        <w:rPr>
          <w:color w:val="000000"/>
        </w:rPr>
      </w:pPr>
      <w:bookmarkStart w:id="1" w:name="_Hlk76984451"/>
      <w:bookmarkStart w:id="2" w:name="_Hlk76984729"/>
      <w:r>
        <w:t>Savukārt</w:t>
      </w:r>
      <w:r w:rsidR="00FD544B">
        <w:t xml:space="preserve"> </w:t>
      </w:r>
      <w:r w:rsidR="00723246">
        <w:t xml:space="preserve">PSRS Ministru padomes 1971.gada 18.novembra nolikums Nr.846 </w:t>
      </w:r>
      <w:r w:rsidR="001D52E5" w:rsidRPr="001F4BF7">
        <w:t>„</w:t>
      </w:r>
      <w:r w:rsidR="001D52E5">
        <w:t>P</w:t>
      </w:r>
      <w:r w:rsidR="00723246">
        <w:t>ar PSRS Bruņoto spēku virsnieku</w:t>
      </w:r>
      <w:r w:rsidR="00B0279F">
        <w:t xml:space="preserve"> </w:t>
      </w:r>
      <w:r w:rsidR="00723246">
        <w:t>dienesta gaitu</w:t>
      </w:r>
      <w:r w:rsidR="001D52E5">
        <w:t>”</w:t>
      </w:r>
      <w:r w:rsidR="00723246">
        <w:t xml:space="preserve"> 10.punkta </w:t>
      </w:r>
      <w:r w:rsidR="00487016" w:rsidRPr="001F4BF7">
        <w:t>„</w:t>
      </w:r>
      <w:r w:rsidR="00723246">
        <w:t>g</w:t>
      </w:r>
      <w:r w:rsidR="00487016">
        <w:t>”</w:t>
      </w:r>
      <w:r w:rsidR="00723246">
        <w:t xml:space="preserve"> apakšpunkts </w:t>
      </w:r>
      <w:r>
        <w:t>noteica, ka</w:t>
      </w:r>
      <w:r w:rsidR="00723246">
        <w:t xml:space="preserve"> </w:t>
      </w:r>
      <w:r>
        <w:t xml:space="preserve">civilo augstskolu absolventiem, </w:t>
      </w:r>
      <w:r w:rsidR="001D52E5">
        <w:t xml:space="preserve">ja tie </w:t>
      </w:r>
      <w:r>
        <w:t>ir pabeiguši militār</w:t>
      </w:r>
      <w:r w:rsidR="00B0279F">
        <w:t>o</w:t>
      </w:r>
      <w:r>
        <w:t xml:space="preserve"> apmācī</w:t>
      </w:r>
      <w:r w:rsidR="00B0279F">
        <w:t>bu</w:t>
      </w:r>
      <w:r>
        <w:t xml:space="preserve"> un nolikuši eksāmenu, tiek piešķirta leitnanta pakāpe</w:t>
      </w:r>
      <w:r w:rsidR="001D52E5">
        <w:t xml:space="preserve"> (sal. </w:t>
      </w:r>
      <w:r w:rsidR="001D52E5">
        <w:rPr>
          <w:i/>
          <w:iCs/>
        </w:rPr>
        <w:t>Postanovlenije Sovmina SSSR ot 18.11.197 ob utverždeniji položenija i prhoždenii voinskoi službi oficerskim sostavom Voružennix Sil SSSR</w:t>
      </w:r>
      <w:r w:rsidR="001D52E5" w:rsidRPr="0014667B">
        <w:rPr>
          <w:i/>
          <w:iCs/>
        </w:rPr>
        <w:t xml:space="preserve"> – </w:t>
      </w:r>
      <w:hyperlink r:id="rId7" w:history="1">
        <w:r w:rsidR="001D52E5" w:rsidRPr="0078723C">
          <w:rPr>
            <w:rStyle w:val="Hyperlink"/>
            <w:i/>
            <w:iCs/>
          </w:rPr>
          <w:t>http://pravo.levonevsky.org/baza/soviet/sssr4844.htm</w:t>
        </w:r>
      </w:hyperlink>
      <w:r w:rsidR="001D52E5">
        <w:t>)</w:t>
      </w:r>
      <w:r>
        <w:t>. Tādējādi augstskolas studiju ietvaros paralēli izvēlētajai profesijai students varēja pabeigt militāro mācību kursus, kuru pabeigšanas gadījumā tika piešķirta virsnieka pakāpe.</w:t>
      </w:r>
      <w:bookmarkEnd w:id="1"/>
    </w:p>
    <w:bookmarkEnd w:id="2"/>
    <w:p w14:paraId="13106238" w14:textId="250A8AEF" w:rsidR="00723246" w:rsidRPr="001F4BF7" w:rsidRDefault="003428B4" w:rsidP="00791294">
      <w:pPr>
        <w:pStyle w:val="formattext"/>
        <w:shd w:val="clear" w:color="auto" w:fill="FFFFFF"/>
        <w:spacing w:before="0" w:beforeAutospacing="0" w:after="0" w:afterAutospacing="0" w:line="276" w:lineRule="auto"/>
        <w:ind w:firstLine="480"/>
        <w:jc w:val="both"/>
        <w:textAlignment w:val="baseline"/>
      </w:pPr>
      <w:r w:rsidRPr="001F4BF7">
        <w:t xml:space="preserve">PSRS likuma „Par vispārējo militāro karaklausību” 35.pantā </w:t>
      </w:r>
      <w:r w:rsidR="001F4BF7">
        <w:t>bija</w:t>
      </w:r>
      <w:r w:rsidRPr="001F4BF7">
        <w:t xml:space="preserve"> norādīts, ka dienests studentiem ti</w:t>
      </w:r>
      <w:r w:rsidR="001F4BF7">
        <w:t>ka</w:t>
      </w:r>
      <w:r w:rsidRPr="001F4BF7">
        <w:t xml:space="preserve"> atlikts </w:t>
      </w:r>
      <w:r w:rsidRPr="001F4BF7">
        <w:rPr>
          <w:rFonts w:asciiTheme="majorBidi" w:hAnsiTheme="majorBidi" w:cstheme="majorBidi"/>
        </w:rPr>
        <w:t>(</w:t>
      </w:r>
      <w:r w:rsidR="001F4BF7">
        <w:rPr>
          <w:rFonts w:asciiTheme="majorBidi" w:hAnsiTheme="majorBidi" w:cstheme="majorBidi"/>
          <w:i/>
          <w:iCs/>
        </w:rPr>
        <w:t>otsročka ot priziva</w:t>
      </w:r>
      <w:r w:rsidRPr="001F4BF7">
        <w:rPr>
          <w:rFonts w:asciiTheme="majorBidi" w:hAnsiTheme="majorBidi" w:cstheme="majorBidi"/>
          <w:shd w:val="clear" w:color="auto" w:fill="FFFFFF"/>
        </w:rPr>
        <w:t>)</w:t>
      </w:r>
      <w:r w:rsidRPr="001F4BF7">
        <w:t>. Savukārt likuma 38.pants paredz</w:t>
      </w:r>
      <w:r w:rsidR="001F4BF7">
        <w:t>ēja</w:t>
      </w:r>
      <w:r w:rsidRPr="001F4BF7">
        <w:t xml:space="preserve">, ka iesaucamie, kuru iesaukšana aktīvajā dienestā ir atlikta, tiek </w:t>
      </w:r>
      <w:r w:rsidR="00206327">
        <w:t>iesaukti aktīvajā dienestā līdz</w:t>
      </w:r>
      <w:r w:rsidRPr="001F4BF7">
        <w:t xml:space="preserve"> 27 gadu vecumam. </w:t>
      </w:r>
      <w:r w:rsidR="00723246">
        <w:t xml:space="preserve"> </w:t>
      </w:r>
    </w:p>
    <w:p w14:paraId="54747115" w14:textId="5D1BB828" w:rsidR="003428B4" w:rsidRPr="001F4BF7" w:rsidRDefault="003428B4" w:rsidP="00791294">
      <w:pPr>
        <w:pStyle w:val="formattext"/>
        <w:shd w:val="clear" w:color="auto" w:fill="FFFFFF"/>
        <w:spacing w:before="0" w:beforeAutospacing="0" w:after="0" w:afterAutospacing="0" w:line="276" w:lineRule="auto"/>
        <w:ind w:firstLine="480"/>
        <w:jc w:val="both"/>
        <w:textAlignment w:val="baseline"/>
        <w:rPr>
          <w:rFonts w:asciiTheme="majorBidi" w:hAnsiTheme="majorBidi" w:cstheme="majorBidi"/>
        </w:rPr>
      </w:pPr>
      <w:r w:rsidRPr="001F4BF7">
        <w:t>Tādējādi var secināt, ka noteiktās situācijās</w:t>
      </w:r>
      <w:r w:rsidR="005059D3" w:rsidRPr="001F4BF7">
        <w:t xml:space="preserve"> iesaukšana</w:t>
      </w:r>
      <w:r w:rsidRPr="001F4BF7">
        <w:t xml:space="preserve"> obligāta</w:t>
      </w:r>
      <w:r w:rsidR="005059D3" w:rsidRPr="001F4BF7">
        <w:t>jā</w:t>
      </w:r>
      <w:r w:rsidRPr="001F4BF7">
        <w:t xml:space="preserve"> militār</w:t>
      </w:r>
      <w:r w:rsidR="005059D3" w:rsidRPr="001F4BF7">
        <w:t>ajā</w:t>
      </w:r>
      <w:r w:rsidRPr="001F4BF7">
        <w:t xml:space="preserve"> dienest</w:t>
      </w:r>
      <w:r w:rsidR="005059D3" w:rsidRPr="001F4BF7">
        <w:t>ā</w:t>
      </w:r>
      <w:r w:rsidRPr="001F4BF7">
        <w:t xml:space="preserve"> tika atlikta, </w:t>
      </w:r>
      <w:r w:rsidR="00B11104" w:rsidRPr="001F4BF7">
        <w:t>tomēr</w:t>
      </w:r>
      <w:r w:rsidR="00BD7CC7" w:rsidRPr="001F4BF7">
        <w:t xml:space="preserve"> dienesta izpildes atlikšana neatbrīvo</w:t>
      </w:r>
      <w:r w:rsidR="001F4BF7">
        <w:t>ja</w:t>
      </w:r>
      <w:r w:rsidR="00BD7CC7" w:rsidRPr="001F4BF7">
        <w:t xml:space="preserve"> no obligātā militārā dienesta un nemain</w:t>
      </w:r>
      <w:r w:rsidR="001F4BF7">
        <w:t>īja</w:t>
      </w:r>
      <w:r w:rsidR="00BD7CC7" w:rsidRPr="001F4BF7">
        <w:t xml:space="preserve"> arī </w:t>
      </w:r>
      <w:r w:rsidRPr="001F4BF7">
        <w:t>dienesta</w:t>
      </w:r>
      <w:r w:rsidR="00BD7CC7" w:rsidRPr="001F4BF7">
        <w:t xml:space="preserve"> veidu,</w:t>
      </w:r>
      <w:r w:rsidR="00226A71" w:rsidRPr="001F4BF7">
        <w:t xml:space="preserve"> </w:t>
      </w:r>
      <w:r w:rsidR="00BD7CC7" w:rsidRPr="001F4BF7">
        <w:t>bet paredz</w:t>
      </w:r>
      <w:r w:rsidR="001F4BF7">
        <w:t>ēja</w:t>
      </w:r>
      <w:r w:rsidR="00BD7CC7" w:rsidRPr="001F4BF7">
        <w:t xml:space="preserve"> vienīgi to, ka</w:t>
      </w:r>
      <w:r w:rsidR="00B11104" w:rsidRPr="001F4BF7">
        <w:t xml:space="preserve"> person</w:t>
      </w:r>
      <w:r w:rsidR="001F4BF7">
        <w:t>u</w:t>
      </w:r>
      <w:r w:rsidR="00B11104" w:rsidRPr="001F4BF7">
        <w:t xml:space="preserve"> </w:t>
      </w:r>
      <w:r w:rsidR="001F4BF7">
        <w:t>iesauca</w:t>
      </w:r>
      <w:r w:rsidR="00B11104" w:rsidRPr="001F4BF7">
        <w:t xml:space="preserve"> dienestā vēlākā laika posmā.</w:t>
      </w:r>
    </w:p>
    <w:p w14:paraId="0D57E5BC" w14:textId="4D56BA2C" w:rsidR="00D129C8" w:rsidRDefault="00FD544B" w:rsidP="00791294">
      <w:pPr>
        <w:pStyle w:val="formattext"/>
        <w:shd w:val="clear" w:color="auto" w:fill="FFFFFF"/>
        <w:spacing w:before="0" w:beforeAutospacing="0" w:after="0" w:afterAutospacing="0" w:line="276" w:lineRule="auto"/>
        <w:ind w:firstLine="480"/>
        <w:jc w:val="both"/>
        <w:textAlignment w:val="baseline"/>
      </w:pPr>
      <w:r>
        <w:t>Šāds tiesiskais regulējums norāda, ka virsnieka pakāpe obligātajā</w:t>
      </w:r>
      <w:r w:rsidR="007C474C">
        <w:t xml:space="preserve"> aktīvajā</w:t>
      </w:r>
      <w:r>
        <w:t xml:space="preserve"> militārajā dienestā nereti apliecināja personas militārās izglītības līmeni, tomēr tā ne</w:t>
      </w:r>
      <w:r w:rsidR="00F05EF4">
        <w:t>liecināja</w:t>
      </w:r>
      <w:r>
        <w:t xml:space="preserve">, ka </w:t>
      </w:r>
      <w:r w:rsidR="007C474C">
        <w:t>persona brīvprātīgi piekritusi dienestam PSRS Bruņotajos spēkos.</w:t>
      </w:r>
    </w:p>
    <w:p w14:paraId="4E7AF70D" w14:textId="06DC9715" w:rsidR="00035994" w:rsidRDefault="00035994" w:rsidP="00791294">
      <w:pPr>
        <w:spacing w:line="276" w:lineRule="auto"/>
        <w:ind w:firstLine="567"/>
        <w:jc w:val="both"/>
      </w:pPr>
      <w:r>
        <w:t xml:space="preserve">Senāts arī </w:t>
      </w:r>
      <w:r w:rsidR="003C769C">
        <w:t>konstatē</w:t>
      </w:r>
      <w:r>
        <w:t>, ka apgabaltiesa</w:t>
      </w:r>
      <w:r w:rsidR="003C769C">
        <w:t xml:space="preserve"> spriedumā</w:t>
      </w:r>
      <w:r>
        <w:t xml:space="preserve"> ir atzinusi, ka</w:t>
      </w:r>
      <w:r w:rsidR="003C769C">
        <w:t xml:space="preserve"> pieteicējs ir dienējis obligātajā aktīvajā dienestā. Šādos tiesiskajos apstākļos apgabaltiesai nebija pamata izdarīt secinājum</w:t>
      </w:r>
      <w:r w:rsidR="00206327">
        <w:t>u</w:t>
      </w:r>
      <w:r w:rsidR="003C769C">
        <w:t>, ka šis periods nav ieskaitāms apdrošināšanas stāžā.</w:t>
      </w:r>
    </w:p>
    <w:p w14:paraId="1CB8C65C" w14:textId="6AED85BF" w:rsidR="00FD544B" w:rsidRDefault="00FD544B" w:rsidP="00791294">
      <w:pPr>
        <w:spacing w:line="276" w:lineRule="auto"/>
        <w:ind w:firstLine="567"/>
        <w:jc w:val="both"/>
      </w:pPr>
    </w:p>
    <w:p w14:paraId="23AFD92E" w14:textId="31A22263" w:rsidR="00DC3731" w:rsidRDefault="003F0960" w:rsidP="00791294">
      <w:pPr>
        <w:spacing w:line="276" w:lineRule="auto"/>
        <w:ind w:firstLine="567"/>
        <w:jc w:val="both"/>
      </w:pPr>
      <w:r>
        <w:t>[</w:t>
      </w:r>
      <w:r w:rsidR="00D129C8">
        <w:t>11</w:t>
      </w:r>
      <w:r>
        <w:t>] Senāts konstatē, ka apgabaltiesa nav piemērojusi Latvijas Republikas un Krievijas Federācijas līgum</w:t>
      </w:r>
      <w:r w:rsidR="00206327">
        <w:t>u</w:t>
      </w:r>
      <w:r w:rsidRPr="003F0960">
        <w:t xml:space="preserve"> </w:t>
      </w:r>
      <w:r>
        <w:t>par sadarbību sociālās drošības jomā</w:t>
      </w:r>
      <w:r w:rsidR="007E69E4">
        <w:t>, kas ir novedis pie nepamatot</w:t>
      </w:r>
      <w:r w:rsidR="0004034F">
        <w:t>a</w:t>
      </w:r>
      <w:r w:rsidR="007E69E4">
        <w:t xml:space="preserve"> secinājum</w:t>
      </w:r>
      <w:r w:rsidR="0004034F">
        <w:t>a</w:t>
      </w:r>
      <w:r w:rsidR="007E69E4">
        <w:t>, ka nepilsoņiem nav tiesību, lai</w:t>
      </w:r>
      <w:r w:rsidR="0004034F">
        <w:t xml:space="preserve"> pensijas</w:t>
      </w:r>
      <w:r w:rsidR="007E69E4">
        <w:t xml:space="preserve"> apdrošināšanas stāžā ieskaita obligātā militārā dienesta periodu, ja tas dienēts ārpus Latvijas Republikas teritorijas</w:t>
      </w:r>
      <w:r>
        <w:t>.</w:t>
      </w:r>
      <w:r w:rsidR="00783947">
        <w:t xml:space="preserve"> </w:t>
      </w:r>
      <w:r w:rsidR="00D129C8">
        <w:t>Līdz ar to apgabaltiesas spriedums ir atceļams.</w:t>
      </w:r>
    </w:p>
    <w:p w14:paraId="15C979F2" w14:textId="77777777" w:rsidR="00681FBE" w:rsidRDefault="00681FBE" w:rsidP="00791294">
      <w:pPr>
        <w:spacing w:line="276" w:lineRule="auto"/>
        <w:ind w:firstLine="567"/>
        <w:jc w:val="both"/>
      </w:pPr>
    </w:p>
    <w:p w14:paraId="7F133DF8" w14:textId="77777777" w:rsidR="003047F5" w:rsidRPr="00435118" w:rsidRDefault="003047F5" w:rsidP="00791294">
      <w:pPr>
        <w:spacing w:line="276" w:lineRule="auto"/>
        <w:jc w:val="center"/>
        <w:rPr>
          <w:b/>
        </w:rPr>
      </w:pPr>
      <w:r w:rsidRPr="00435118">
        <w:rPr>
          <w:b/>
        </w:rPr>
        <w:t>Rezolutīvā daļa</w:t>
      </w:r>
    </w:p>
    <w:p w14:paraId="203D55B2" w14:textId="77777777" w:rsidR="003047F5" w:rsidRPr="00435118" w:rsidRDefault="003047F5" w:rsidP="00791294">
      <w:pPr>
        <w:spacing w:line="276" w:lineRule="auto"/>
        <w:ind w:firstLine="567"/>
        <w:jc w:val="both"/>
        <w:rPr>
          <w:bCs/>
          <w:spacing w:val="70"/>
        </w:rPr>
      </w:pPr>
    </w:p>
    <w:p w14:paraId="6C0D5837" w14:textId="340DFFD7" w:rsidR="003047F5" w:rsidRPr="00435118" w:rsidRDefault="003047F5" w:rsidP="00791294">
      <w:pPr>
        <w:spacing w:line="276" w:lineRule="auto"/>
        <w:ind w:firstLine="567"/>
        <w:jc w:val="both"/>
        <w:rPr>
          <w:strike/>
        </w:rPr>
      </w:pPr>
      <w:r w:rsidRPr="00435118">
        <w:t xml:space="preserve">Pamatojoties uz </w:t>
      </w:r>
      <w:r w:rsidR="00941626" w:rsidRPr="00435118">
        <w:rPr>
          <w:rFonts w:eastAsiaTheme="minorHAnsi"/>
          <w:lang w:eastAsia="en-US"/>
        </w:rPr>
        <w:t xml:space="preserve">Administratīvā procesa likuma </w:t>
      </w:r>
      <w:r w:rsidR="00AF2237" w:rsidRPr="00435118">
        <w:rPr>
          <w:rFonts w:eastAsiaTheme="minorHAnsi"/>
          <w:lang w:eastAsia="en-US"/>
        </w:rPr>
        <w:t xml:space="preserve">348.panta pirmās daļas </w:t>
      </w:r>
      <w:r w:rsidR="00434BBF" w:rsidRPr="00435118">
        <w:rPr>
          <w:rFonts w:eastAsiaTheme="minorHAnsi"/>
          <w:lang w:eastAsia="en-US"/>
        </w:rPr>
        <w:t>1.punktu</w:t>
      </w:r>
      <w:r w:rsidR="0097304B">
        <w:rPr>
          <w:rFonts w:eastAsiaTheme="minorHAnsi"/>
          <w:lang w:eastAsia="en-US"/>
        </w:rPr>
        <w:t xml:space="preserve">, </w:t>
      </w:r>
      <w:r w:rsidR="00AF2237" w:rsidRPr="00435118">
        <w:rPr>
          <w:rFonts w:eastAsiaTheme="minorHAnsi"/>
          <w:lang w:eastAsia="en-US"/>
        </w:rPr>
        <w:t>351.pantu</w:t>
      </w:r>
      <w:r w:rsidR="0097304B">
        <w:t xml:space="preserve"> un 129.</w:t>
      </w:r>
      <w:r w:rsidR="0097304B">
        <w:rPr>
          <w:vertAlign w:val="superscript"/>
        </w:rPr>
        <w:t>1</w:t>
      </w:r>
      <w:r w:rsidR="0097304B">
        <w:t xml:space="preserve"> panta pirmās daļas 1.punktu</w:t>
      </w:r>
      <w:r w:rsidR="00206327">
        <w:t>,</w:t>
      </w:r>
      <w:r w:rsidRPr="00435118">
        <w:t xml:space="preserve"> </w:t>
      </w:r>
      <w:r w:rsidR="006B7BBC" w:rsidRPr="00435118">
        <w:t>Senāts</w:t>
      </w:r>
    </w:p>
    <w:p w14:paraId="56FE2BEB" w14:textId="77777777" w:rsidR="003047F5" w:rsidRDefault="003047F5" w:rsidP="00791294">
      <w:pPr>
        <w:spacing w:line="276" w:lineRule="auto"/>
        <w:ind w:firstLine="567"/>
        <w:jc w:val="both"/>
      </w:pPr>
    </w:p>
    <w:p w14:paraId="603FF546" w14:textId="77777777" w:rsidR="00791294" w:rsidRPr="00435118" w:rsidRDefault="00791294" w:rsidP="00791294">
      <w:pPr>
        <w:spacing w:line="276" w:lineRule="auto"/>
        <w:ind w:firstLine="567"/>
        <w:jc w:val="both"/>
      </w:pPr>
    </w:p>
    <w:p w14:paraId="6FE7AC9C" w14:textId="56061D68" w:rsidR="003047F5" w:rsidRPr="00435118" w:rsidRDefault="003047F5" w:rsidP="00791294">
      <w:pPr>
        <w:spacing w:line="276" w:lineRule="auto"/>
        <w:jc w:val="center"/>
        <w:rPr>
          <w:b/>
        </w:rPr>
      </w:pPr>
      <w:r w:rsidRPr="00435118">
        <w:rPr>
          <w:b/>
        </w:rPr>
        <w:lastRenderedPageBreak/>
        <w:t>nosprieda</w:t>
      </w:r>
    </w:p>
    <w:p w14:paraId="25D5DF80" w14:textId="77777777" w:rsidR="00A6596A" w:rsidRPr="00435118" w:rsidRDefault="00A6596A" w:rsidP="00791294">
      <w:pPr>
        <w:spacing w:line="276" w:lineRule="auto"/>
        <w:jc w:val="center"/>
        <w:rPr>
          <w:b/>
        </w:rPr>
      </w:pPr>
    </w:p>
    <w:p w14:paraId="18EBEAAC" w14:textId="20DAB225" w:rsidR="00A6596A" w:rsidRDefault="0094035D" w:rsidP="00791294">
      <w:pPr>
        <w:spacing w:line="276" w:lineRule="auto"/>
        <w:ind w:firstLine="567"/>
        <w:jc w:val="both"/>
      </w:pPr>
      <w:r>
        <w:t>Atcelt</w:t>
      </w:r>
      <w:r w:rsidR="00434BBF" w:rsidRPr="00435118">
        <w:t xml:space="preserve"> Administratīvās </w:t>
      </w:r>
      <w:r>
        <w:t>apgabal</w:t>
      </w:r>
      <w:r w:rsidR="00434BBF" w:rsidRPr="00435118">
        <w:t xml:space="preserve">tiesas </w:t>
      </w:r>
      <w:r w:rsidR="00012A7B">
        <w:t>2020</w:t>
      </w:r>
      <w:r w:rsidR="00434BBF" w:rsidRPr="00435118">
        <w:t xml:space="preserve">.gada </w:t>
      </w:r>
      <w:r w:rsidR="00012A7B">
        <w:t>30.marta</w:t>
      </w:r>
      <w:r w:rsidR="00434BBF" w:rsidRPr="00435118">
        <w:t xml:space="preserve"> spriedumu</w:t>
      </w:r>
      <w:r w:rsidR="0097304B">
        <w:t xml:space="preserve"> un nodot lietu atkārtotai izskatīšanai Administratīvajai apgabaltiesai.</w:t>
      </w:r>
      <w:r w:rsidR="00434BBF" w:rsidRPr="00435118">
        <w:t xml:space="preserve"> </w:t>
      </w:r>
      <w:r w:rsidR="006323B7">
        <w:t xml:space="preserve"> </w:t>
      </w:r>
    </w:p>
    <w:p w14:paraId="00F108D7" w14:textId="20F9F5F6" w:rsidR="0097304B" w:rsidRPr="00435118" w:rsidRDefault="0097304B" w:rsidP="00791294">
      <w:pPr>
        <w:spacing w:line="276" w:lineRule="auto"/>
        <w:ind w:firstLine="567"/>
        <w:jc w:val="both"/>
      </w:pPr>
      <w:r>
        <w:t>Atmaksāt</w:t>
      </w:r>
      <w:r w:rsidR="00051C8C">
        <w:t xml:space="preserve"> </w:t>
      </w:r>
      <w:r w:rsidR="00791294">
        <w:t xml:space="preserve">[pers. A] </w:t>
      </w:r>
      <w:r>
        <w:t>drošības naudu 70</w:t>
      </w:r>
      <w:r w:rsidR="006A1935">
        <w:t> </w:t>
      </w:r>
      <w:r w:rsidRPr="00EF6938">
        <w:rPr>
          <w:i/>
          <w:iCs/>
        </w:rPr>
        <w:t>euro</w:t>
      </w:r>
      <w:r>
        <w:t>.</w:t>
      </w:r>
    </w:p>
    <w:p w14:paraId="74B28E00" w14:textId="4B9008B6" w:rsidR="00D57B4B" w:rsidRPr="00791294" w:rsidRDefault="00941626" w:rsidP="00791294">
      <w:pPr>
        <w:spacing w:line="276" w:lineRule="auto"/>
        <w:ind w:firstLine="567"/>
        <w:jc w:val="both"/>
      </w:pPr>
      <w:r w:rsidRPr="00435118">
        <w:t xml:space="preserve">Spriedums </w:t>
      </w:r>
      <w:r w:rsidR="00801CD9" w:rsidRPr="00435118">
        <w:t>nav pārsūdzams.</w:t>
      </w:r>
    </w:p>
    <w:p w14:paraId="4B4C74F8" w14:textId="2FA30AFA" w:rsidR="00F43FAD" w:rsidRDefault="00F43FAD" w:rsidP="00435118">
      <w:pPr>
        <w:tabs>
          <w:tab w:val="left" w:pos="2880"/>
          <w:tab w:val="left" w:pos="4680"/>
          <w:tab w:val="left" w:pos="6660"/>
        </w:tabs>
        <w:spacing w:line="276" w:lineRule="auto"/>
        <w:ind w:firstLine="567"/>
        <w:jc w:val="both"/>
        <w:rPr>
          <w:color w:val="000000"/>
        </w:rPr>
      </w:pPr>
    </w:p>
    <w:p w14:paraId="1CE8E15A" w14:textId="464C12E7" w:rsidR="00723246" w:rsidRDefault="00723246" w:rsidP="00435118">
      <w:pPr>
        <w:tabs>
          <w:tab w:val="left" w:pos="2880"/>
          <w:tab w:val="left" w:pos="4680"/>
          <w:tab w:val="left" w:pos="6660"/>
        </w:tabs>
        <w:spacing w:line="276" w:lineRule="auto"/>
        <w:ind w:firstLine="567"/>
        <w:jc w:val="both"/>
        <w:rPr>
          <w:color w:val="000000"/>
        </w:rPr>
      </w:pPr>
    </w:p>
    <w:p w14:paraId="6F7E0773" w14:textId="1C8E560D" w:rsidR="00723246" w:rsidRDefault="00723246" w:rsidP="00435118">
      <w:pPr>
        <w:tabs>
          <w:tab w:val="left" w:pos="2880"/>
          <w:tab w:val="left" w:pos="4680"/>
          <w:tab w:val="left" w:pos="6660"/>
        </w:tabs>
        <w:spacing w:line="276" w:lineRule="auto"/>
        <w:ind w:firstLine="567"/>
        <w:jc w:val="both"/>
        <w:rPr>
          <w:color w:val="000000"/>
        </w:rPr>
      </w:pPr>
    </w:p>
    <w:p w14:paraId="1B880279" w14:textId="44BE8799" w:rsidR="00723246" w:rsidRDefault="00723246" w:rsidP="00435118">
      <w:pPr>
        <w:tabs>
          <w:tab w:val="left" w:pos="2880"/>
          <w:tab w:val="left" w:pos="4680"/>
          <w:tab w:val="left" w:pos="6660"/>
        </w:tabs>
        <w:spacing w:line="276" w:lineRule="auto"/>
        <w:ind w:firstLine="567"/>
        <w:jc w:val="both"/>
        <w:rPr>
          <w:color w:val="000000"/>
        </w:rPr>
      </w:pPr>
    </w:p>
    <w:p w14:paraId="4CCF12C8" w14:textId="0464E508" w:rsidR="00723246" w:rsidRDefault="00723246" w:rsidP="00435118">
      <w:pPr>
        <w:tabs>
          <w:tab w:val="left" w:pos="2880"/>
          <w:tab w:val="left" w:pos="4680"/>
          <w:tab w:val="left" w:pos="6660"/>
        </w:tabs>
        <w:spacing w:line="276" w:lineRule="auto"/>
        <w:ind w:firstLine="567"/>
        <w:jc w:val="both"/>
        <w:rPr>
          <w:color w:val="000000"/>
        </w:rPr>
      </w:pPr>
    </w:p>
    <w:p w14:paraId="2DB3277E" w14:textId="5F30436A" w:rsidR="00723246" w:rsidRDefault="00723246" w:rsidP="00435118">
      <w:pPr>
        <w:tabs>
          <w:tab w:val="left" w:pos="2880"/>
          <w:tab w:val="left" w:pos="4680"/>
          <w:tab w:val="left" w:pos="6660"/>
        </w:tabs>
        <w:spacing w:line="276" w:lineRule="auto"/>
        <w:ind w:firstLine="567"/>
        <w:jc w:val="both"/>
        <w:rPr>
          <w:color w:val="000000"/>
        </w:rPr>
      </w:pPr>
    </w:p>
    <w:p w14:paraId="428E65E8" w14:textId="77777777" w:rsidR="00723246" w:rsidRPr="00435118" w:rsidRDefault="00723246" w:rsidP="00435118">
      <w:pPr>
        <w:tabs>
          <w:tab w:val="left" w:pos="2880"/>
          <w:tab w:val="left" w:pos="4680"/>
          <w:tab w:val="left" w:pos="6660"/>
        </w:tabs>
        <w:spacing w:line="276" w:lineRule="auto"/>
        <w:ind w:firstLine="567"/>
        <w:jc w:val="both"/>
        <w:rPr>
          <w:color w:val="000000"/>
        </w:rPr>
      </w:pPr>
    </w:p>
    <w:sectPr w:rsidR="00723246" w:rsidRPr="00435118" w:rsidSect="00D57B4B">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CD53A" w14:textId="77777777" w:rsidR="003B74CF" w:rsidRDefault="003B74CF" w:rsidP="003047F5">
      <w:r>
        <w:separator/>
      </w:r>
    </w:p>
  </w:endnote>
  <w:endnote w:type="continuationSeparator" w:id="0">
    <w:p w14:paraId="687295A2" w14:textId="77777777" w:rsidR="003B74CF" w:rsidRDefault="003B74C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5A1B3AA8" w:rsidR="0013412C" w:rsidRDefault="0013412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C3179">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C3179">
      <w:rPr>
        <w:rStyle w:val="PageNumber"/>
        <w:noProof/>
      </w:rPr>
      <w:t>4</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DD145" w14:textId="77777777" w:rsidR="003B74CF" w:rsidRDefault="003B74CF" w:rsidP="003047F5">
      <w:r>
        <w:separator/>
      </w:r>
    </w:p>
  </w:footnote>
  <w:footnote w:type="continuationSeparator" w:id="0">
    <w:p w14:paraId="48A1C7EF" w14:textId="77777777" w:rsidR="003B74CF" w:rsidRDefault="003B74C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6E52"/>
    <w:rsid w:val="000079CD"/>
    <w:rsid w:val="00012A7B"/>
    <w:rsid w:val="00013385"/>
    <w:rsid w:val="00035994"/>
    <w:rsid w:val="0004034F"/>
    <w:rsid w:val="00040F26"/>
    <w:rsid w:val="00051C8C"/>
    <w:rsid w:val="00056E93"/>
    <w:rsid w:val="000618B3"/>
    <w:rsid w:val="00064527"/>
    <w:rsid w:val="00064ABB"/>
    <w:rsid w:val="000708AF"/>
    <w:rsid w:val="00071B61"/>
    <w:rsid w:val="00072833"/>
    <w:rsid w:val="000734A3"/>
    <w:rsid w:val="000739B5"/>
    <w:rsid w:val="000769BB"/>
    <w:rsid w:val="00077F4E"/>
    <w:rsid w:val="000858C4"/>
    <w:rsid w:val="00090055"/>
    <w:rsid w:val="000927C7"/>
    <w:rsid w:val="000B0A3A"/>
    <w:rsid w:val="000B767C"/>
    <w:rsid w:val="000B789E"/>
    <w:rsid w:val="000C7202"/>
    <w:rsid w:val="000E1C84"/>
    <w:rsid w:val="000F2B91"/>
    <w:rsid w:val="000F5F51"/>
    <w:rsid w:val="00105201"/>
    <w:rsid w:val="00107C03"/>
    <w:rsid w:val="001108D8"/>
    <w:rsid w:val="001207CC"/>
    <w:rsid w:val="0012297D"/>
    <w:rsid w:val="00127B75"/>
    <w:rsid w:val="0013412C"/>
    <w:rsid w:val="00142308"/>
    <w:rsid w:val="00143C64"/>
    <w:rsid w:val="0014667B"/>
    <w:rsid w:val="00153D84"/>
    <w:rsid w:val="001630A1"/>
    <w:rsid w:val="0016381F"/>
    <w:rsid w:val="001646E9"/>
    <w:rsid w:val="0016621B"/>
    <w:rsid w:val="001678D7"/>
    <w:rsid w:val="00183D71"/>
    <w:rsid w:val="0019238A"/>
    <w:rsid w:val="0019692A"/>
    <w:rsid w:val="001A0495"/>
    <w:rsid w:val="001B0695"/>
    <w:rsid w:val="001C0DB8"/>
    <w:rsid w:val="001C6D43"/>
    <w:rsid w:val="001C7E75"/>
    <w:rsid w:val="001D14D4"/>
    <w:rsid w:val="001D3322"/>
    <w:rsid w:val="001D52E5"/>
    <w:rsid w:val="001E0743"/>
    <w:rsid w:val="001E370C"/>
    <w:rsid w:val="001E3A09"/>
    <w:rsid w:val="001F4BF7"/>
    <w:rsid w:val="00203769"/>
    <w:rsid w:val="00203D8C"/>
    <w:rsid w:val="00206327"/>
    <w:rsid w:val="00215420"/>
    <w:rsid w:val="0022069C"/>
    <w:rsid w:val="00226A71"/>
    <w:rsid w:val="00231A27"/>
    <w:rsid w:val="0023307E"/>
    <w:rsid w:val="00234D51"/>
    <w:rsid w:val="00236E52"/>
    <w:rsid w:val="00237F92"/>
    <w:rsid w:val="00253695"/>
    <w:rsid w:val="00257690"/>
    <w:rsid w:val="0026663D"/>
    <w:rsid w:val="00271923"/>
    <w:rsid w:val="0027469B"/>
    <w:rsid w:val="00281FF1"/>
    <w:rsid w:val="00293462"/>
    <w:rsid w:val="00294A55"/>
    <w:rsid w:val="002A19B7"/>
    <w:rsid w:val="002A5EEF"/>
    <w:rsid w:val="002B4D8D"/>
    <w:rsid w:val="002C09C8"/>
    <w:rsid w:val="002C6B0F"/>
    <w:rsid w:val="002C7782"/>
    <w:rsid w:val="002D0B9A"/>
    <w:rsid w:val="002D6F4C"/>
    <w:rsid w:val="002D70F8"/>
    <w:rsid w:val="002E4731"/>
    <w:rsid w:val="002F1A6B"/>
    <w:rsid w:val="002F459B"/>
    <w:rsid w:val="002F4A40"/>
    <w:rsid w:val="00300193"/>
    <w:rsid w:val="00301A51"/>
    <w:rsid w:val="003047F5"/>
    <w:rsid w:val="0030642E"/>
    <w:rsid w:val="0030774E"/>
    <w:rsid w:val="00316D1C"/>
    <w:rsid w:val="00337453"/>
    <w:rsid w:val="003428B4"/>
    <w:rsid w:val="0035346E"/>
    <w:rsid w:val="00356BF5"/>
    <w:rsid w:val="0037255C"/>
    <w:rsid w:val="00372D9C"/>
    <w:rsid w:val="0037461C"/>
    <w:rsid w:val="00380C2A"/>
    <w:rsid w:val="003A4C71"/>
    <w:rsid w:val="003A60B0"/>
    <w:rsid w:val="003B0A77"/>
    <w:rsid w:val="003B1902"/>
    <w:rsid w:val="003B74CF"/>
    <w:rsid w:val="003C185C"/>
    <w:rsid w:val="003C4CA1"/>
    <w:rsid w:val="003C769C"/>
    <w:rsid w:val="003D5C7C"/>
    <w:rsid w:val="003D6A08"/>
    <w:rsid w:val="003D7F90"/>
    <w:rsid w:val="003E73F4"/>
    <w:rsid w:val="003F0960"/>
    <w:rsid w:val="003F6441"/>
    <w:rsid w:val="004008CD"/>
    <w:rsid w:val="00402994"/>
    <w:rsid w:val="00424B84"/>
    <w:rsid w:val="00426A4E"/>
    <w:rsid w:val="00427BDA"/>
    <w:rsid w:val="0043182C"/>
    <w:rsid w:val="0043387D"/>
    <w:rsid w:val="00434BBF"/>
    <w:rsid w:val="00435118"/>
    <w:rsid w:val="00435999"/>
    <w:rsid w:val="00437A53"/>
    <w:rsid w:val="0044796C"/>
    <w:rsid w:val="00452165"/>
    <w:rsid w:val="0046237F"/>
    <w:rsid w:val="004669D4"/>
    <w:rsid w:val="00474400"/>
    <w:rsid w:val="004820B8"/>
    <w:rsid w:val="00483A23"/>
    <w:rsid w:val="00487016"/>
    <w:rsid w:val="00491DEC"/>
    <w:rsid w:val="00497E2D"/>
    <w:rsid w:val="004A2D34"/>
    <w:rsid w:val="004A45B7"/>
    <w:rsid w:val="004A4903"/>
    <w:rsid w:val="004B1F46"/>
    <w:rsid w:val="004D19CF"/>
    <w:rsid w:val="004D2278"/>
    <w:rsid w:val="004D2B29"/>
    <w:rsid w:val="004E1FF1"/>
    <w:rsid w:val="004E2CD4"/>
    <w:rsid w:val="004E41DB"/>
    <w:rsid w:val="004E6371"/>
    <w:rsid w:val="004F1767"/>
    <w:rsid w:val="004F1D4A"/>
    <w:rsid w:val="004F4DE1"/>
    <w:rsid w:val="004F7077"/>
    <w:rsid w:val="00500FE0"/>
    <w:rsid w:val="005059D3"/>
    <w:rsid w:val="005147E2"/>
    <w:rsid w:val="00521A02"/>
    <w:rsid w:val="0052402A"/>
    <w:rsid w:val="0052619C"/>
    <w:rsid w:val="005329A9"/>
    <w:rsid w:val="005415C2"/>
    <w:rsid w:val="00543E46"/>
    <w:rsid w:val="005529F3"/>
    <w:rsid w:val="00556D33"/>
    <w:rsid w:val="00561A72"/>
    <w:rsid w:val="0058246B"/>
    <w:rsid w:val="0058550F"/>
    <w:rsid w:val="00591872"/>
    <w:rsid w:val="005B4EE4"/>
    <w:rsid w:val="005B742F"/>
    <w:rsid w:val="005C3DC2"/>
    <w:rsid w:val="005C4E20"/>
    <w:rsid w:val="005D70B5"/>
    <w:rsid w:val="005D7342"/>
    <w:rsid w:val="005D73D0"/>
    <w:rsid w:val="005D7613"/>
    <w:rsid w:val="005E137A"/>
    <w:rsid w:val="00603E3D"/>
    <w:rsid w:val="00615ED2"/>
    <w:rsid w:val="006323B7"/>
    <w:rsid w:val="006361D1"/>
    <w:rsid w:val="00637AC9"/>
    <w:rsid w:val="0064149F"/>
    <w:rsid w:val="00652AAD"/>
    <w:rsid w:val="00652EC7"/>
    <w:rsid w:val="00656EE7"/>
    <w:rsid w:val="006702D0"/>
    <w:rsid w:val="006743FA"/>
    <w:rsid w:val="00677049"/>
    <w:rsid w:val="00677A89"/>
    <w:rsid w:val="006810B1"/>
    <w:rsid w:val="00681257"/>
    <w:rsid w:val="00681FBE"/>
    <w:rsid w:val="00682F72"/>
    <w:rsid w:val="00693FC3"/>
    <w:rsid w:val="006A1935"/>
    <w:rsid w:val="006A2E55"/>
    <w:rsid w:val="006A58E8"/>
    <w:rsid w:val="006A6D92"/>
    <w:rsid w:val="006A7F3C"/>
    <w:rsid w:val="006B1209"/>
    <w:rsid w:val="006B5D38"/>
    <w:rsid w:val="006B738B"/>
    <w:rsid w:val="006B7B4A"/>
    <w:rsid w:val="006B7BBC"/>
    <w:rsid w:val="006B7C3B"/>
    <w:rsid w:val="006C3179"/>
    <w:rsid w:val="006C4D9E"/>
    <w:rsid w:val="006C6533"/>
    <w:rsid w:val="006D24EC"/>
    <w:rsid w:val="006D66B3"/>
    <w:rsid w:val="006F4E91"/>
    <w:rsid w:val="006F56FC"/>
    <w:rsid w:val="006F5D3B"/>
    <w:rsid w:val="00701BAE"/>
    <w:rsid w:val="00704E2A"/>
    <w:rsid w:val="00711026"/>
    <w:rsid w:val="00723246"/>
    <w:rsid w:val="00744BE2"/>
    <w:rsid w:val="00744E87"/>
    <w:rsid w:val="00745452"/>
    <w:rsid w:val="00745840"/>
    <w:rsid w:val="00750F3B"/>
    <w:rsid w:val="00755249"/>
    <w:rsid w:val="00765B7A"/>
    <w:rsid w:val="007709C7"/>
    <w:rsid w:val="0077509E"/>
    <w:rsid w:val="00782C6C"/>
    <w:rsid w:val="007832F8"/>
    <w:rsid w:val="00783947"/>
    <w:rsid w:val="00790589"/>
    <w:rsid w:val="007907AD"/>
    <w:rsid w:val="00791294"/>
    <w:rsid w:val="00792141"/>
    <w:rsid w:val="007A6455"/>
    <w:rsid w:val="007A65B4"/>
    <w:rsid w:val="007B0745"/>
    <w:rsid w:val="007C474C"/>
    <w:rsid w:val="007C62ED"/>
    <w:rsid w:val="007D27A0"/>
    <w:rsid w:val="007D470F"/>
    <w:rsid w:val="007E69E4"/>
    <w:rsid w:val="00801CD9"/>
    <w:rsid w:val="00803682"/>
    <w:rsid w:val="00812499"/>
    <w:rsid w:val="00812A25"/>
    <w:rsid w:val="008143F9"/>
    <w:rsid w:val="00820FB7"/>
    <w:rsid w:val="0082219C"/>
    <w:rsid w:val="0082381C"/>
    <w:rsid w:val="00832822"/>
    <w:rsid w:val="0083325A"/>
    <w:rsid w:val="00833668"/>
    <w:rsid w:val="0083641C"/>
    <w:rsid w:val="008414AB"/>
    <w:rsid w:val="00841E20"/>
    <w:rsid w:val="008570F8"/>
    <w:rsid w:val="0086209D"/>
    <w:rsid w:val="00866DDE"/>
    <w:rsid w:val="008751AC"/>
    <w:rsid w:val="008818B8"/>
    <w:rsid w:val="00883BAF"/>
    <w:rsid w:val="0089619C"/>
    <w:rsid w:val="008A430E"/>
    <w:rsid w:val="008A560F"/>
    <w:rsid w:val="008B23F4"/>
    <w:rsid w:val="008B281A"/>
    <w:rsid w:val="008D0F5A"/>
    <w:rsid w:val="008D69F5"/>
    <w:rsid w:val="008F141B"/>
    <w:rsid w:val="008F1A2A"/>
    <w:rsid w:val="008F2FCD"/>
    <w:rsid w:val="00916F4E"/>
    <w:rsid w:val="00921C57"/>
    <w:rsid w:val="009229FE"/>
    <w:rsid w:val="009325F1"/>
    <w:rsid w:val="0094035D"/>
    <w:rsid w:val="00941626"/>
    <w:rsid w:val="009471E2"/>
    <w:rsid w:val="00954525"/>
    <w:rsid w:val="009639F7"/>
    <w:rsid w:val="0096452B"/>
    <w:rsid w:val="00967CBC"/>
    <w:rsid w:val="0097304B"/>
    <w:rsid w:val="0097330A"/>
    <w:rsid w:val="00973EE8"/>
    <w:rsid w:val="009754D2"/>
    <w:rsid w:val="0098069C"/>
    <w:rsid w:val="00981E7A"/>
    <w:rsid w:val="009858EF"/>
    <w:rsid w:val="00994DE6"/>
    <w:rsid w:val="00995AD1"/>
    <w:rsid w:val="009A0B6A"/>
    <w:rsid w:val="009A4098"/>
    <w:rsid w:val="009A70C1"/>
    <w:rsid w:val="009C0FD6"/>
    <w:rsid w:val="009C11AB"/>
    <w:rsid w:val="009C7C84"/>
    <w:rsid w:val="009D31CF"/>
    <w:rsid w:val="009D6E37"/>
    <w:rsid w:val="009D7E3A"/>
    <w:rsid w:val="00A00062"/>
    <w:rsid w:val="00A0369F"/>
    <w:rsid w:val="00A06939"/>
    <w:rsid w:val="00A155CF"/>
    <w:rsid w:val="00A20532"/>
    <w:rsid w:val="00A33DA7"/>
    <w:rsid w:val="00A5365F"/>
    <w:rsid w:val="00A6067D"/>
    <w:rsid w:val="00A60A94"/>
    <w:rsid w:val="00A6596A"/>
    <w:rsid w:val="00A72282"/>
    <w:rsid w:val="00A745E7"/>
    <w:rsid w:val="00A831F1"/>
    <w:rsid w:val="00A908E8"/>
    <w:rsid w:val="00A93FEA"/>
    <w:rsid w:val="00A95202"/>
    <w:rsid w:val="00A97DB6"/>
    <w:rsid w:val="00AA0BC6"/>
    <w:rsid w:val="00AB5FEF"/>
    <w:rsid w:val="00AC5BDB"/>
    <w:rsid w:val="00AE49FD"/>
    <w:rsid w:val="00AE4FEC"/>
    <w:rsid w:val="00AF2237"/>
    <w:rsid w:val="00AF6098"/>
    <w:rsid w:val="00AF75FA"/>
    <w:rsid w:val="00B00E08"/>
    <w:rsid w:val="00B0279F"/>
    <w:rsid w:val="00B07AE8"/>
    <w:rsid w:val="00B11104"/>
    <w:rsid w:val="00B236D4"/>
    <w:rsid w:val="00B34539"/>
    <w:rsid w:val="00B353D0"/>
    <w:rsid w:val="00B43B12"/>
    <w:rsid w:val="00B51192"/>
    <w:rsid w:val="00B52A7F"/>
    <w:rsid w:val="00B536B2"/>
    <w:rsid w:val="00B75A4A"/>
    <w:rsid w:val="00BA075A"/>
    <w:rsid w:val="00BA2490"/>
    <w:rsid w:val="00BA3C7E"/>
    <w:rsid w:val="00BB3D97"/>
    <w:rsid w:val="00BB40D0"/>
    <w:rsid w:val="00BB4182"/>
    <w:rsid w:val="00BB4987"/>
    <w:rsid w:val="00BB5382"/>
    <w:rsid w:val="00BC266E"/>
    <w:rsid w:val="00BD23DA"/>
    <w:rsid w:val="00BD5683"/>
    <w:rsid w:val="00BD7CC7"/>
    <w:rsid w:val="00BF466D"/>
    <w:rsid w:val="00C053DF"/>
    <w:rsid w:val="00C1005E"/>
    <w:rsid w:val="00C104DF"/>
    <w:rsid w:val="00C13239"/>
    <w:rsid w:val="00C1503A"/>
    <w:rsid w:val="00C25970"/>
    <w:rsid w:val="00C276F2"/>
    <w:rsid w:val="00C30B02"/>
    <w:rsid w:val="00C450D9"/>
    <w:rsid w:val="00C53C94"/>
    <w:rsid w:val="00C658DB"/>
    <w:rsid w:val="00C718FD"/>
    <w:rsid w:val="00C73C0B"/>
    <w:rsid w:val="00C74040"/>
    <w:rsid w:val="00C7458E"/>
    <w:rsid w:val="00C75F86"/>
    <w:rsid w:val="00C91765"/>
    <w:rsid w:val="00C92B66"/>
    <w:rsid w:val="00C96D35"/>
    <w:rsid w:val="00CA0C48"/>
    <w:rsid w:val="00CA1DA9"/>
    <w:rsid w:val="00CA6533"/>
    <w:rsid w:val="00CB28A2"/>
    <w:rsid w:val="00CB4C37"/>
    <w:rsid w:val="00CC3D44"/>
    <w:rsid w:val="00CD14A8"/>
    <w:rsid w:val="00CE60BB"/>
    <w:rsid w:val="00CF1016"/>
    <w:rsid w:val="00D11258"/>
    <w:rsid w:val="00D129C8"/>
    <w:rsid w:val="00D12E6C"/>
    <w:rsid w:val="00D256A4"/>
    <w:rsid w:val="00D3210B"/>
    <w:rsid w:val="00D371E8"/>
    <w:rsid w:val="00D470B7"/>
    <w:rsid w:val="00D50383"/>
    <w:rsid w:val="00D57B4B"/>
    <w:rsid w:val="00D7028E"/>
    <w:rsid w:val="00D7177F"/>
    <w:rsid w:val="00D82486"/>
    <w:rsid w:val="00D84348"/>
    <w:rsid w:val="00D965C7"/>
    <w:rsid w:val="00DA1561"/>
    <w:rsid w:val="00DA6763"/>
    <w:rsid w:val="00DA7111"/>
    <w:rsid w:val="00DA7AFC"/>
    <w:rsid w:val="00DC01CF"/>
    <w:rsid w:val="00DC3731"/>
    <w:rsid w:val="00DD45ED"/>
    <w:rsid w:val="00DD5F5C"/>
    <w:rsid w:val="00DE2BFF"/>
    <w:rsid w:val="00DF045C"/>
    <w:rsid w:val="00DF1776"/>
    <w:rsid w:val="00DF3CAF"/>
    <w:rsid w:val="00DF429F"/>
    <w:rsid w:val="00DF68A2"/>
    <w:rsid w:val="00E03529"/>
    <w:rsid w:val="00E118F6"/>
    <w:rsid w:val="00E16612"/>
    <w:rsid w:val="00E16C45"/>
    <w:rsid w:val="00E33D46"/>
    <w:rsid w:val="00E41A5B"/>
    <w:rsid w:val="00E5109B"/>
    <w:rsid w:val="00E5207C"/>
    <w:rsid w:val="00E5348C"/>
    <w:rsid w:val="00E55FDD"/>
    <w:rsid w:val="00E71760"/>
    <w:rsid w:val="00E82019"/>
    <w:rsid w:val="00E863B8"/>
    <w:rsid w:val="00E978EE"/>
    <w:rsid w:val="00EA4163"/>
    <w:rsid w:val="00EA7274"/>
    <w:rsid w:val="00EB059B"/>
    <w:rsid w:val="00EC1F89"/>
    <w:rsid w:val="00EE3809"/>
    <w:rsid w:val="00EE683F"/>
    <w:rsid w:val="00EF0C62"/>
    <w:rsid w:val="00EF6938"/>
    <w:rsid w:val="00F0040B"/>
    <w:rsid w:val="00F02C7D"/>
    <w:rsid w:val="00F04790"/>
    <w:rsid w:val="00F05EF4"/>
    <w:rsid w:val="00F10172"/>
    <w:rsid w:val="00F12B61"/>
    <w:rsid w:val="00F14A9D"/>
    <w:rsid w:val="00F16775"/>
    <w:rsid w:val="00F2165F"/>
    <w:rsid w:val="00F220BF"/>
    <w:rsid w:val="00F36717"/>
    <w:rsid w:val="00F40263"/>
    <w:rsid w:val="00F40DC7"/>
    <w:rsid w:val="00F419EC"/>
    <w:rsid w:val="00F43FAD"/>
    <w:rsid w:val="00F535BB"/>
    <w:rsid w:val="00F54C7A"/>
    <w:rsid w:val="00F609A6"/>
    <w:rsid w:val="00F63DE2"/>
    <w:rsid w:val="00F77AF2"/>
    <w:rsid w:val="00F81367"/>
    <w:rsid w:val="00F92620"/>
    <w:rsid w:val="00FA04EE"/>
    <w:rsid w:val="00FC3DE7"/>
    <w:rsid w:val="00FC5AE2"/>
    <w:rsid w:val="00FD25E0"/>
    <w:rsid w:val="00FD2D02"/>
    <w:rsid w:val="00FD3370"/>
    <w:rsid w:val="00FD544B"/>
    <w:rsid w:val="00FD7333"/>
    <w:rsid w:val="00FE7A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BDB"/>
    <w:rPr>
      <w:color w:val="0563C1" w:themeColor="hyperlink"/>
      <w:u w:val="single"/>
    </w:rPr>
  </w:style>
  <w:style w:type="paragraph" w:customStyle="1" w:styleId="Parasts1">
    <w:name w:val="Parasts1"/>
    <w:basedOn w:val="Normal"/>
    <w:rsid w:val="00435118"/>
    <w:pPr>
      <w:spacing w:before="100" w:beforeAutospacing="1" w:after="100" w:afterAutospacing="1"/>
    </w:pPr>
    <w:rPr>
      <w:lang w:eastAsia="lv-LV"/>
    </w:rPr>
  </w:style>
  <w:style w:type="paragraph" w:customStyle="1" w:styleId="tvhtml">
    <w:name w:val="tv_html"/>
    <w:basedOn w:val="Normal"/>
    <w:rsid w:val="007907AD"/>
    <w:pPr>
      <w:spacing w:before="100" w:beforeAutospacing="1" w:after="100" w:afterAutospacing="1"/>
    </w:pPr>
    <w:rPr>
      <w:lang w:eastAsia="lv-LV"/>
    </w:rPr>
  </w:style>
  <w:style w:type="paragraph" w:customStyle="1" w:styleId="tv213">
    <w:name w:val="tv213"/>
    <w:basedOn w:val="Normal"/>
    <w:rsid w:val="00DC3731"/>
    <w:pPr>
      <w:spacing w:before="100" w:beforeAutospacing="1" w:after="100" w:afterAutospacing="1"/>
    </w:pPr>
    <w:rPr>
      <w:lang w:eastAsia="lv-LV"/>
    </w:rPr>
  </w:style>
  <w:style w:type="paragraph" w:customStyle="1" w:styleId="formattext">
    <w:name w:val="formattext"/>
    <w:basedOn w:val="Normal"/>
    <w:rsid w:val="00CF1016"/>
    <w:pPr>
      <w:spacing w:before="100" w:beforeAutospacing="1" w:after="100" w:afterAutospacing="1"/>
    </w:pPr>
    <w:rPr>
      <w:lang w:eastAsia="lv-LV"/>
    </w:rPr>
  </w:style>
  <w:style w:type="character" w:customStyle="1" w:styleId="UnresolvedMention">
    <w:name w:val="Unresolved Mention"/>
    <w:basedOn w:val="DefaultParagraphFont"/>
    <w:uiPriority w:val="99"/>
    <w:semiHidden/>
    <w:unhideWhenUsed/>
    <w:rsid w:val="00723246"/>
    <w:rPr>
      <w:color w:val="605E5C"/>
      <w:shd w:val="clear" w:color="auto" w:fill="E1DFDD"/>
    </w:rPr>
  </w:style>
  <w:style w:type="paragraph" w:styleId="HTMLPreformatted">
    <w:name w:val="HTML Preformatted"/>
    <w:basedOn w:val="Normal"/>
    <w:link w:val="HTMLPreformattedChar"/>
    <w:uiPriority w:val="99"/>
    <w:semiHidden/>
    <w:unhideWhenUsed/>
    <w:rsid w:val="00723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723246"/>
    <w:rPr>
      <w:rFonts w:ascii="Courier New" w:eastAsia="Times New Roman" w:hAnsi="Courier New" w:cs="Courier New"/>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9587">
      <w:bodyDiv w:val="1"/>
      <w:marLeft w:val="0"/>
      <w:marRight w:val="0"/>
      <w:marTop w:val="0"/>
      <w:marBottom w:val="0"/>
      <w:divBdr>
        <w:top w:val="none" w:sz="0" w:space="0" w:color="auto"/>
        <w:left w:val="none" w:sz="0" w:space="0" w:color="auto"/>
        <w:bottom w:val="none" w:sz="0" w:space="0" w:color="auto"/>
        <w:right w:val="none" w:sz="0" w:space="0" w:color="auto"/>
      </w:divBdr>
    </w:div>
    <w:div w:id="266087592">
      <w:bodyDiv w:val="1"/>
      <w:marLeft w:val="0"/>
      <w:marRight w:val="0"/>
      <w:marTop w:val="0"/>
      <w:marBottom w:val="0"/>
      <w:divBdr>
        <w:top w:val="none" w:sz="0" w:space="0" w:color="auto"/>
        <w:left w:val="none" w:sz="0" w:space="0" w:color="auto"/>
        <w:bottom w:val="none" w:sz="0" w:space="0" w:color="auto"/>
        <w:right w:val="none" w:sz="0" w:space="0" w:color="auto"/>
      </w:divBdr>
    </w:div>
    <w:div w:id="296836777">
      <w:bodyDiv w:val="1"/>
      <w:marLeft w:val="0"/>
      <w:marRight w:val="0"/>
      <w:marTop w:val="0"/>
      <w:marBottom w:val="0"/>
      <w:divBdr>
        <w:top w:val="none" w:sz="0" w:space="0" w:color="auto"/>
        <w:left w:val="none" w:sz="0" w:space="0" w:color="auto"/>
        <w:bottom w:val="none" w:sz="0" w:space="0" w:color="auto"/>
        <w:right w:val="none" w:sz="0" w:space="0" w:color="auto"/>
      </w:divBdr>
    </w:div>
    <w:div w:id="644044866">
      <w:bodyDiv w:val="1"/>
      <w:marLeft w:val="0"/>
      <w:marRight w:val="0"/>
      <w:marTop w:val="0"/>
      <w:marBottom w:val="0"/>
      <w:divBdr>
        <w:top w:val="none" w:sz="0" w:space="0" w:color="auto"/>
        <w:left w:val="none" w:sz="0" w:space="0" w:color="auto"/>
        <w:bottom w:val="none" w:sz="0" w:space="0" w:color="auto"/>
        <w:right w:val="none" w:sz="0" w:space="0" w:color="auto"/>
      </w:divBdr>
    </w:div>
    <w:div w:id="1020282272">
      <w:bodyDiv w:val="1"/>
      <w:marLeft w:val="0"/>
      <w:marRight w:val="0"/>
      <w:marTop w:val="0"/>
      <w:marBottom w:val="0"/>
      <w:divBdr>
        <w:top w:val="none" w:sz="0" w:space="0" w:color="auto"/>
        <w:left w:val="none" w:sz="0" w:space="0" w:color="auto"/>
        <w:bottom w:val="none" w:sz="0" w:space="0" w:color="auto"/>
        <w:right w:val="none" w:sz="0" w:space="0" w:color="auto"/>
      </w:divBdr>
    </w:div>
    <w:div w:id="1175337486">
      <w:bodyDiv w:val="1"/>
      <w:marLeft w:val="0"/>
      <w:marRight w:val="0"/>
      <w:marTop w:val="0"/>
      <w:marBottom w:val="0"/>
      <w:divBdr>
        <w:top w:val="none" w:sz="0" w:space="0" w:color="auto"/>
        <w:left w:val="none" w:sz="0" w:space="0" w:color="auto"/>
        <w:bottom w:val="none" w:sz="0" w:space="0" w:color="auto"/>
        <w:right w:val="none" w:sz="0" w:space="0" w:color="auto"/>
      </w:divBdr>
    </w:div>
    <w:div w:id="1763532096">
      <w:bodyDiv w:val="1"/>
      <w:marLeft w:val="0"/>
      <w:marRight w:val="0"/>
      <w:marTop w:val="0"/>
      <w:marBottom w:val="0"/>
      <w:divBdr>
        <w:top w:val="none" w:sz="0" w:space="0" w:color="auto"/>
        <w:left w:val="none" w:sz="0" w:space="0" w:color="auto"/>
        <w:bottom w:val="none" w:sz="0" w:space="0" w:color="auto"/>
        <w:right w:val="none" w:sz="0" w:space="0" w:color="auto"/>
      </w:divBdr>
    </w:div>
    <w:div w:id="1778745007">
      <w:bodyDiv w:val="1"/>
      <w:marLeft w:val="0"/>
      <w:marRight w:val="0"/>
      <w:marTop w:val="0"/>
      <w:marBottom w:val="0"/>
      <w:divBdr>
        <w:top w:val="none" w:sz="0" w:space="0" w:color="auto"/>
        <w:left w:val="none" w:sz="0" w:space="0" w:color="auto"/>
        <w:bottom w:val="none" w:sz="0" w:space="0" w:color="auto"/>
        <w:right w:val="none" w:sz="0" w:space="0" w:color="auto"/>
      </w:divBdr>
    </w:div>
    <w:div w:id="2026978165">
      <w:bodyDiv w:val="1"/>
      <w:marLeft w:val="0"/>
      <w:marRight w:val="0"/>
      <w:marTop w:val="0"/>
      <w:marBottom w:val="0"/>
      <w:divBdr>
        <w:top w:val="none" w:sz="0" w:space="0" w:color="auto"/>
        <w:left w:val="none" w:sz="0" w:space="0" w:color="auto"/>
        <w:bottom w:val="none" w:sz="0" w:space="0" w:color="auto"/>
        <w:right w:val="none" w:sz="0" w:space="0" w:color="auto"/>
      </w:divBdr>
      <w:divsChild>
        <w:div w:id="967585798">
          <w:marLeft w:val="0"/>
          <w:marRight w:val="0"/>
          <w:marTop w:val="15"/>
          <w:marBottom w:val="0"/>
          <w:divBdr>
            <w:top w:val="none" w:sz="0" w:space="0" w:color="auto"/>
            <w:left w:val="none" w:sz="0" w:space="0" w:color="auto"/>
            <w:bottom w:val="none" w:sz="0" w:space="0" w:color="auto"/>
            <w:right w:val="none" w:sz="0" w:space="0" w:color="auto"/>
          </w:divBdr>
          <w:divsChild>
            <w:div w:id="15668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pravo.levonevsky.org/baza/soviet/sssr484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723.A420153819.12.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8050</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2021-09-10T08:13:00Z</dcterms:created>
  <dcterms:modified xsi:type="dcterms:W3CDTF">2021-09-10T08:13:00Z</dcterms:modified>
</cp:coreProperties>
</file>