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503C" w14:textId="716B7401" w:rsidR="00A2560A" w:rsidRDefault="00A14104" w:rsidP="00084E29">
      <w:pPr>
        <w:spacing w:after="0" w:line="276" w:lineRule="auto"/>
        <w:ind w:right="49"/>
        <w:jc w:val="both"/>
        <w:rPr>
          <w:rFonts w:eastAsia="Times New Roman" w:cs="Times New Roman"/>
          <w:szCs w:val="24"/>
          <w:lang w:eastAsia="lv-LV"/>
        </w:rPr>
      </w:pPr>
      <w:r w:rsidRPr="00181811">
        <w:rPr>
          <w:b/>
          <w:bCs/>
          <w:szCs w:val="24"/>
        </w:rPr>
        <w:t xml:space="preserve">Aizmuguriska sprieduma taisīšanas nepieļaujamība, ja </w:t>
      </w:r>
      <w:r>
        <w:rPr>
          <w:b/>
          <w:bCs/>
          <w:szCs w:val="24"/>
        </w:rPr>
        <w:t>atbildētājam nav dzīvesvietas Latvijā</w:t>
      </w:r>
    </w:p>
    <w:p w14:paraId="0A778F13" w14:textId="77777777" w:rsidR="00AC2FC9" w:rsidRPr="00201838" w:rsidRDefault="00AC2FC9" w:rsidP="00A2560A">
      <w:pPr>
        <w:spacing w:after="0" w:line="276" w:lineRule="auto"/>
        <w:ind w:left="720" w:right="49" w:firstLine="720"/>
        <w:jc w:val="right"/>
        <w:rPr>
          <w:rFonts w:eastAsia="Times New Roman" w:cs="Times New Roman"/>
          <w:szCs w:val="24"/>
          <w:lang w:eastAsia="lv-LV"/>
        </w:rPr>
      </w:pPr>
    </w:p>
    <w:p w14:paraId="559CE7DF" w14:textId="77777777" w:rsidR="00084E29" w:rsidRPr="006116FC" w:rsidRDefault="00084E29" w:rsidP="00084E29">
      <w:pPr>
        <w:shd w:val="clear" w:color="auto" w:fill="FFFFFF"/>
        <w:spacing w:after="0"/>
        <w:jc w:val="center"/>
        <w:rPr>
          <w:b/>
          <w:bCs/>
          <w:szCs w:val="24"/>
        </w:rPr>
      </w:pPr>
      <w:r w:rsidRPr="006116FC">
        <w:rPr>
          <w:b/>
          <w:bCs/>
          <w:color w:val="000000"/>
          <w:szCs w:val="24"/>
        </w:rPr>
        <w:t xml:space="preserve">Latvijas </w:t>
      </w:r>
      <w:r w:rsidRPr="006116FC">
        <w:rPr>
          <w:b/>
          <w:bCs/>
          <w:szCs w:val="24"/>
        </w:rPr>
        <w:t>Republikas Senāta</w:t>
      </w:r>
    </w:p>
    <w:p w14:paraId="7F782CB3" w14:textId="77777777" w:rsidR="00084E29" w:rsidRPr="006116FC" w:rsidRDefault="00084E29" w:rsidP="00084E29">
      <w:pPr>
        <w:shd w:val="clear" w:color="auto" w:fill="FFFFFF"/>
        <w:spacing w:after="0"/>
        <w:jc w:val="center"/>
        <w:rPr>
          <w:b/>
          <w:bCs/>
          <w:color w:val="000000"/>
          <w:szCs w:val="24"/>
        </w:rPr>
      </w:pPr>
      <w:r w:rsidRPr="006116FC">
        <w:rPr>
          <w:b/>
          <w:bCs/>
          <w:color w:val="000000"/>
          <w:szCs w:val="24"/>
        </w:rPr>
        <w:t xml:space="preserve">Civillietu departamenta </w:t>
      </w:r>
    </w:p>
    <w:p w14:paraId="4057D54D" w14:textId="77777777" w:rsidR="00084E29" w:rsidRPr="006116FC" w:rsidRDefault="00084E29" w:rsidP="00084E29">
      <w:pPr>
        <w:shd w:val="clear" w:color="auto" w:fill="FFFFFF"/>
        <w:spacing w:after="0"/>
        <w:jc w:val="center"/>
        <w:rPr>
          <w:b/>
          <w:bCs/>
          <w:color w:val="000000"/>
          <w:szCs w:val="24"/>
        </w:rPr>
      </w:pPr>
      <w:proofErr w:type="gramStart"/>
      <w:r w:rsidRPr="006116FC">
        <w:rPr>
          <w:b/>
          <w:bCs/>
          <w:color w:val="000000"/>
          <w:szCs w:val="24"/>
        </w:rPr>
        <w:t>20</w:t>
      </w:r>
      <w:r>
        <w:rPr>
          <w:b/>
          <w:bCs/>
          <w:color w:val="000000"/>
          <w:szCs w:val="24"/>
        </w:rPr>
        <w:t>21</w:t>
      </w:r>
      <w:r w:rsidRPr="006116FC">
        <w:rPr>
          <w:b/>
          <w:bCs/>
          <w:color w:val="000000"/>
          <w:szCs w:val="24"/>
        </w:rPr>
        <w:t>.gada</w:t>
      </w:r>
      <w:proofErr w:type="gramEnd"/>
      <w:r w:rsidRPr="006116FC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22</w:t>
      </w:r>
      <w:r w:rsidRPr="006116FC">
        <w:rPr>
          <w:b/>
          <w:bCs/>
          <w:color w:val="000000"/>
          <w:szCs w:val="24"/>
        </w:rPr>
        <w:t>.</w:t>
      </w:r>
      <w:r>
        <w:rPr>
          <w:b/>
          <w:bCs/>
          <w:color w:val="000000"/>
          <w:szCs w:val="24"/>
        </w:rPr>
        <w:t>septembr</w:t>
      </w:r>
      <w:r w:rsidRPr="006116FC">
        <w:rPr>
          <w:b/>
          <w:bCs/>
          <w:color w:val="000000"/>
          <w:szCs w:val="24"/>
        </w:rPr>
        <w:t>a</w:t>
      </w:r>
    </w:p>
    <w:p w14:paraId="049EB1A2" w14:textId="77777777" w:rsidR="00084E29" w:rsidRPr="006116FC" w:rsidRDefault="00084E29" w:rsidP="00084E29">
      <w:pPr>
        <w:shd w:val="clear" w:color="auto" w:fill="FFFFFF"/>
        <w:spacing w:after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LĒM</w:t>
      </w:r>
      <w:r w:rsidRPr="006116FC">
        <w:rPr>
          <w:b/>
          <w:bCs/>
          <w:color w:val="000000"/>
          <w:szCs w:val="24"/>
        </w:rPr>
        <w:t>UMS</w:t>
      </w:r>
    </w:p>
    <w:p w14:paraId="57115257" w14:textId="77777777" w:rsidR="00084E29" w:rsidRPr="006116FC" w:rsidRDefault="00084E29" w:rsidP="00084E29">
      <w:pPr>
        <w:shd w:val="clear" w:color="auto" w:fill="FFFFFF"/>
        <w:spacing w:after="0"/>
        <w:jc w:val="center"/>
        <w:rPr>
          <w:b/>
          <w:bCs/>
          <w:color w:val="000000"/>
          <w:szCs w:val="24"/>
        </w:rPr>
      </w:pPr>
      <w:r w:rsidRPr="006116FC">
        <w:rPr>
          <w:b/>
          <w:bCs/>
          <w:color w:val="000000"/>
          <w:szCs w:val="24"/>
        </w:rPr>
        <w:t>Lieta Nr. C</w:t>
      </w:r>
      <w:r>
        <w:rPr>
          <w:b/>
          <w:bCs/>
          <w:color w:val="000000"/>
          <w:szCs w:val="24"/>
        </w:rPr>
        <w:t>30663118</w:t>
      </w:r>
      <w:r w:rsidRPr="006116FC">
        <w:rPr>
          <w:b/>
          <w:bCs/>
          <w:color w:val="000000"/>
          <w:szCs w:val="24"/>
        </w:rPr>
        <w:t>, S</w:t>
      </w:r>
      <w:r>
        <w:rPr>
          <w:b/>
          <w:bCs/>
          <w:color w:val="000000"/>
          <w:szCs w:val="24"/>
        </w:rPr>
        <w:t>P</w:t>
      </w:r>
      <w:r w:rsidRPr="006116FC">
        <w:rPr>
          <w:b/>
          <w:bCs/>
          <w:color w:val="000000"/>
          <w:szCs w:val="24"/>
        </w:rPr>
        <w:t>C-</w:t>
      </w:r>
      <w:r>
        <w:rPr>
          <w:b/>
          <w:bCs/>
          <w:color w:val="000000"/>
          <w:szCs w:val="24"/>
        </w:rPr>
        <w:t>30</w:t>
      </w:r>
      <w:r w:rsidRPr="006116FC">
        <w:rPr>
          <w:b/>
          <w:bCs/>
          <w:color w:val="000000"/>
          <w:szCs w:val="24"/>
        </w:rPr>
        <w:t>/20</w:t>
      </w:r>
      <w:r>
        <w:rPr>
          <w:b/>
          <w:bCs/>
          <w:color w:val="000000"/>
          <w:szCs w:val="24"/>
        </w:rPr>
        <w:t>21</w:t>
      </w:r>
    </w:p>
    <w:p w14:paraId="60653026" w14:textId="4E90C02D" w:rsidR="00A2560A" w:rsidRPr="00201838" w:rsidRDefault="00320A37" w:rsidP="00306A46">
      <w:pPr>
        <w:spacing w:after="0" w:line="360" w:lineRule="auto"/>
        <w:ind w:right="49"/>
        <w:jc w:val="center"/>
        <w:rPr>
          <w:rFonts w:eastAsia="Times New Roman" w:cs="Times New Roman"/>
          <w:szCs w:val="24"/>
          <w:lang w:eastAsia="lv-LV"/>
        </w:rPr>
      </w:pPr>
      <w:hyperlink r:id="rId6" w:history="1">
        <w:r w:rsidR="00084E29" w:rsidRPr="006116FC">
          <w:rPr>
            <w:color w:val="0563C1" w:themeColor="hyperlink"/>
            <w:szCs w:val="24"/>
            <w:u w:val="single"/>
          </w:rPr>
          <w:t>ECLI:LV:AT:20</w:t>
        </w:r>
        <w:r w:rsidR="00084E29">
          <w:rPr>
            <w:color w:val="0563C1" w:themeColor="hyperlink"/>
            <w:szCs w:val="24"/>
            <w:u w:val="single"/>
          </w:rPr>
          <w:t>21</w:t>
        </w:r>
        <w:r w:rsidR="00084E29" w:rsidRPr="006116FC">
          <w:rPr>
            <w:color w:val="0563C1" w:themeColor="hyperlink"/>
            <w:szCs w:val="24"/>
            <w:u w:val="single"/>
          </w:rPr>
          <w:t>:0</w:t>
        </w:r>
        <w:r w:rsidR="00084E29">
          <w:rPr>
            <w:color w:val="0563C1" w:themeColor="hyperlink"/>
            <w:szCs w:val="24"/>
            <w:u w:val="single"/>
          </w:rPr>
          <w:t>922</w:t>
        </w:r>
        <w:r w:rsidR="00084E29" w:rsidRPr="006116FC">
          <w:rPr>
            <w:color w:val="0563C1" w:themeColor="hyperlink"/>
            <w:szCs w:val="24"/>
            <w:u w:val="single"/>
          </w:rPr>
          <w:t>.C</w:t>
        </w:r>
        <w:r w:rsidR="00084E29">
          <w:rPr>
            <w:color w:val="0563C1" w:themeColor="hyperlink"/>
            <w:szCs w:val="24"/>
            <w:u w:val="single"/>
          </w:rPr>
          <w:t>30663118</w:t>
        </w:r>
        <w:r w:rsidR="00084E29" w:rsidRPr="006116FC">
          <w:rPr>
            <w:color w:val="0563C1" w:themeColor="hyperlink"/>
            <w:szCs w:val="24"/>
            <w:u w:val="single"/>
          </w:rPr>
          <w:t>.</w:t>
        </w:r>
        <w:r w:rsidR="00084E29">
          <w:rPr>
            <w:color w:val="0563C1" w:themeColor="hyperlink"/>
            <w:szCs w:val="24"/>
            <w:u w:val="single"/>
          </w:rPr>
          <w:t>5</w:t>
        </w:r>
        <w:r w:rsidR="00084E29" w:rsidRPr="006116FC">
          <w:rPr>
            <w:color w:val="0563C1" w:themeColor="hyperlink"/>
            <w:szCs w:val="24"/>
            <w:u w:val="single"/>
          </w:rPr>
          <w:t>.</w:t>
        </w:r>
        <w:r w:rsidR="00084E29">
          <w:rPr>
            <w:color w:val="0563C1" w:themeColor="hyperlink"/>
            <w:szCs w:val="24"/>
            <w:u w:val="single"/>
          </w:rPr>
          <w:t>L</w:t>
        </w:r>
      </w:hyperlink>
    </w:p>
    <w:p w14:paraId="05296A35" w14:textId="0A8D1905" w:rsidR="00A2560A" w:rsidRPr="00201838" w:rsidRDefault="00A2560A" w:rsidP="00A2560A">
      <w:pPr>
        <w:spacing w:after="0" w:line="276" w:lineRule="auto"/>
        <w:ind w:right="-516"/>
        <w:jc w:val="center"/>
        <w:rPr>
          <w:rFonts w:eastAsia="Times New Roman" w:cs="Times New Roman"/>
          <w:szCs w:val="24"/>
          <w:lang w:eastAsia="lv-LV"/>
        </w:rPr>
      </w:pPr>
    </w:p>
    <w:p w14:paraId="20DC1D4A" w14:textId="27B87617" w:rsidR="00A2560A" w:rsidRPr="00201838" w:rsidRDefault="00A2560A" w:rsidP="00A2560A">
      <w:pPr>
        <w:spacing w:after="0" w:line="276" w:lineRule="auto"/>
        <w:ind w:right="-514" w:firstLine="567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Senāts</w:t>
      </w:r>
      <w:r w:rsidRPr="00201838">
        <w:rPr>
          <w:rFonts w:eastAsia="Times New Roman" w:cs="Times New Roman"/>
          <w:szCs w:val="24"/>
          <w:lang w:eastAsia="lv-LV"/>
        </w:rPr>
        <w:t xml:space="preserve"> šādā sastāvā: </w:t>
      </w:r>
    </w:p>
    <w:p w14:paraId="375C75E7" w14:textId="77777777" w:rsidR="00A2560A" w:rsidRPr="00201838" w:rsidRDefault="00A2560A" w:rsidP="00A2560A">
      <w:pPr>
        <w:spacing w:after="0" w:line="276" w:lineRule="auto"/>
        <w:ind w:right="-514" w:firstLine="1134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senators referents</w:t>
      </w:r>
      <w:r w:rsidRPr="00201838">
        <w:rPr>
          <w:rFonts w:eastAsia="Times New Roman" w:cs="Times New Roman"/>
          <w:szCs w:val="24"/>
          <w:lang w:eastAsia="lv-LV"/>
        </w:rPr>
        <w:t xml:space="preserve"> Intars Bisters,</w:t>
      </w:r>
    </w:p>
    <w:p w14:paraId="7123E679" w14:textId="77777777" w:rsidR="00A2560A" w:rsidRPr="00201838" w:rsidRDefault="00A2560A" w:rsidP="00A2560A">
      <w:pPr>
        <w:spacing w:after="0" w:line="276" w:lineRule="auto"/>
        <w:ind w:left="414" w:right="-514" w:firstLine="72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senators Valerijs Maksimovs</w:t>
      </w:r>
      <w:r w:rsidRPr="00201838">
        <w:rPr>
          <w:rFonts w:eastAsia="Times New Roman" w:cs="Times New Roman"/>
          <w:szCs w:val="24"/>
          <w:lang w:eastAsia="lv-LV"/>
        </w:rPr>
        <w:t>,</w:t>
      </w:r>
    </w:p>
    <w:p w14:paraId="094D9BB5" w14:textId="77777777" w:rsidR="00A2560A" w:rsidRPr="00201838" w:rsidRDefault="00A2560A" w:rsidP="00A2560A">
      <w:pPr>
        <w:spacing w:after="0" w:line="276" w:lineRule="auto"/>
        <w:ind w:right="-514" w:firstLine="1134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senatore Marika Senkāne</w:t>
      </w:r>
    </w:p>
    <w:p w14:paraId="015B2A07" w14:textId="4F9DC13F" w:rsidR="00A2560A" w:rsidRPr="00EF37AB" w:rsidRDefault="00A2560A" w:rsidP="00A2560A">
      <w:pPr>
        <w:spacing w:after="0" w:line="276" w:lineRule="auto"/>
        <w:jc w:val="both"/>
        <w:rPr>
          <w:rFonts w:eastAsia="Times New Roman" w:cs="Times New Roman"/>
          <w:szCs w:val="24"/>
          <w:lang w:eastAsia="lv-LV"/>
        </w:rPr>
      </w:pPr>
      <w:r w:rsidRPr="00EF37AB">
        <w:rPr>
          <w:rFonts w:eastAsia="Times New Roman" w:cs="Times New Roman"/>
          <w:szCs w:val="24"/>
          <w:lang w:eastAsia="lv-LV"/>
        </w:rPr>
        <w:t>rakstveida procesā izskatīja</w:t>
      </w:r>
      <w:r>
        <w:rPr>
          <w:rFonts w:eastAsia="Times New Roman" w:cs="Times New Roman"/>
          <w:szCs w:val="24"/>
          <w:lang w:eastAsia="lv-LV"/>
        </w:rPr>
        <w:t xml:space="preserve"> </w:t>
      </w:r>
      <w:r>
        <w:t xml:space="preserve">Ģenerālprokuratūras Personu un valsts tiesību aizsardzības departamenta virsprokurora protestu par Rīgas pilsētas Vidzemes priekšpilsētas tiesas </w:t>
      </w:r>
      <w:proofErr w:type="gramStart"/>
      <w:r>
        <w:t>2019.gada</w:t>
      </w:r>
      <w:proofErr w:type="gramEnd"/>
      <w:r>
        <w:t xml:space="preserve"> 17.oktobra aizmugurisko spriedumu civillietā SIA „Rīgas namu pārvaldnieks” prasībā pret </w:t>
      </w:r>
      <w:r w:rsidR="00306A46">
        <w:t>[pers. A]</w:t>
      </w:r>
      <w:r>
        <w:t xml:space="preserve"> par dzīvojamās mājas pārvaldīšanas, apsaimniekošanas un komunālo pakalpojumu </w:t>
      </w:r>
      <w:r w:rsidR="00AC2FC9">
        <w:t xml:space="preserve">parāda </w:t>
      </w:r>
      <w:r>
        <w:t>piedziņu.</w:t>
      </w:r>
    </w:p>
    <w:p w14:paraId="2C4800D4" w14:textId="77777777" w:rsidR="00A2560A" w:rsidRDefault="00A2560A" w:rsidP="00A2560A">
      <w:pPr>
        <w:spacing w:after="0" w:line="276" w:lineRule="auto"/>
        <w:ind w:right="71"/>
        <w:jc w:val="center"/>
        <w:rPr>
          <w:rFonts w:eastAsia="Times New Roman" w:cs="Times New Roman"/>
          <w:b/>
          <w:szCs w:val="24"/>
          <w:lang w:eastAsia="lv-LV"/>
        </w:rPr>
      </w:pPr>
      <w:r w:rsidRPr="00201838">
        <w:rPr>
          <w:rFonts w:eastAsia="Times New Roman" w:cs="Times New Roman"/>
          <w:b/>
          <w:szCs w:val="24"/>
          <w:lang w:eastAsia="lv-LV"/>
        </w:rPr>
        <w:t>Aprakstošā daļa</w:t>
      </w:r>
    </w:p>
    <w:p w14:paraId="61549F57" w14:textId="77777777" w:rsidR="00A2560A" w:rsidRDefault="00A2560A" w:rsidP="00A2560A">
      <w:pPr>
        <w:spacing w:after="0" w:line="276" w:lineRule="auto"/>
        <w:ind w:right="-46" w:firstLine="567"/>
        <w:jc w:val="both"/>
        <w:rPr>
          <w:rFonts w:eastAsia="Times New Roman" w:cs="Times New Roman"/>
          <w:color w:val="000000"/>
          <w:szCs w:val="24"/>
          <w:lang w:eastAsia="lv-LV"/>
        </w:rPr>
      </w:pPr>
    </w:p>
    <w:p w14:paraId="0671B865" w14:textId="0D209FB9" w:rsidR="00A2560A" w:rsidRDefault="00A2560A" w:rsidP="00A2560A">
      <w:pPr>
        <w:spacing w:after="0" w:line="276" w:lineRule="auto"/>
        <w:ind w:right="49" w:firstLine="567"/>
        <w:jc w:val="both"/>
      </w:pPr>
      <w:r>
        <w:rPr>
          <w:rFonts w:eastAsia="Times New Roman" w:cs="Times New Roman"/>
          <w:color w:val="000000"/>
          <w:szCs w:val="24"/>
          <w:lang w:eastAsia="lv-LV"/>
        </w:rPr>
        <w:t xml:space="preserve">[1] Rīgas pilsētas Vidzemes priekšpilsētas tiesa </w:t>
      </w:r>
      <w:proofErr w:type="gramStart"/>
      <w:r>
        <w:rPr>
          <w:rFonts w:eastAsia="Times New Roman" w:cs="Times New Roman"/>
          <w:color w:val="000000"/>
          <w:szCs w:val="24"/>
          <w:lang w:eastAsia="lv-LV"/>
        </w:rPr>
        <w:t>2019.gada</w:t>
      </w:r>
      <w:proofErr w:type="gramEnd"/>
      <w:r>
        <w:rPr>
          <w:rFonts w:eastAsia="Times New Roman" w:cs="Times New Roman"/>
          <w:color w:val="000000"/>
          <w:szCs w:val="24"/>
          <w:lang w:eastAsia="lv-LV"/>
        </w:rPr>
        <w:t xml:space="preserve"> 17.oktobrī</w:t>
      </w:r>
      <w:r w:rsidR="00F8620D">
        <w:rPr>
          <w:rFonts w:eastAsia="Times New Roman" w:cs="Times New Roman"/>
          <w:color w:val="000000"/>
          <w:szCs w:val="24"/>
          <w:lang w:eastAsia="lv-LV"/>
        </w:rPr>
        <w:t xml:space="preserve"> </w:t>
      </w:r>
      <w:r>
        <w:rPr>
          <w:rFonts w:eastAsia="Times New Roman" w:cs="Times New Roman"/>
          <w:color w:val="000000"/>
          <w:szCs w:val="24"/>
          <w:lang w:eastAsia="lv-LV"/>
        </w:rPr>
        <w:t>Civilprocesa likuma 208.</w:t>
      </w:r>
      <w:r w:rsidRPr="00A2560A">
        <w:rPr>
          <w:rFonts w:eastAsia="Times New Roman" w:cs="Times New Roman"/>
          <w:color w:val="000000"/>
          <w:szCs w:val="24"/>
          <w:vertAlign w:val="superscript"/>
          <w:lang w:eastAsia="lv-LV"/>
        </w:rPr>
        <w:t>1</w:t>
      </w:r>
      <w:r>
        <w:rPr>
          <w:rFonts w:eastAsia="Times New Roman" w:cs="Times New Roman"/>
          <w:color w:val="000000"/>
          <w:szCs w:val="24"/>
          <w:lang w:eastAsia="lv-LV"/>
        </w:rPr>
        <w:t xml:space="preserve"> panta pirm</w:t>
      </w:r>
      <w:r w:rsidR="00F8620D">
        <w:rPr>
          <w:rFonts w:eastAsia="Times New Roman" w:cs="Times New Roman"/>
          <w:color w:val="000000"/>
          <w:szCs w:val="24"/>
          <w:lang w:eastAsia="lv-LV"/>
        </w:rPr>
        <w:t>ās</w:t>
      </w:r>
      <w:r>
        <w:rPr>
          <w:rFonts w:eastAsia="Times New Roman" w:cs="Times New Roman"/>
          <w:color w:val="000000"/>
          <w:szCs w:val="24"/>
          <w:lang w:eastAsia="lv-LV"/>
        </w:rPr>
        <w:t xml:space="preserve"> daļ</w:t>
      </w:r>
      <w:r w:rsidR="00F8620D">
        <w:rPr>
          <w:rFonts w:eastAsia="Times New Roman" w:cs="Times New Roman"/>
          <w:color w:val="000000"/>
          <w:szCs w:val="24"/>
          <w:lang w:eastAsia="lv-LV"/>
        </w:rPr>
        <w:t>as kārtībā</w:t>
      </w:r>
      <w:r>
        <w:rPr>
          <w:rFonts w:eastAsia="Times New Roman" w:cs="Times New Roman"/>
          <w:color w:val="000000"/>
          <w:szCs w:val="24"/>
          <w:lang w:eastAsia="lv-LV"/>
        </w:rPr>
        <w:t xml:space="preserve"> (</w:t>
      </w:r>
      <w:r w:rsidRPr="00A2560A">
        <w:rPr>
          <w:rFonts w:eastAsia="Times New Roman" w:cs="Times New Roman"/>
          <w:i/>
          <w:iCs/>
          <w:color w:val="000000"/>
          <w:szCs w:val="24"/>
          <w:lang w:eastAsia="lv-LV"/>
        </w:rPr>
        <w:t>aizmugurisk</w:t>
      </w:r>
      <w:r w:rsidR="00F8620D">
        <w:rPr>
          <w:rFonts w:eastAsia="Times New Roman" w:cs="Times New Roman"/>
          <w:i/>
          <w:iCs/>
          <w:color w:val="000000"/>
          <w:szCs w:val="24"/>
          <w:lang w:eastAsia="lv-LV"/>
        </w:rPr>
        <w:t>u</w:t>
      </w:r>
      <w:r w:rsidRPr="00A2560A">
        <w:rPr>
          <w:rFonts w:eastAsia="Times New Roman" w:cs="Times New Roman"/>
          <w:i/>
          <w:iCs/>
          <w:color w:val="000000"/>
          <w:szCs w:val="24"/>
          <w:lang w:eastAsia="lv-LV"/>
        </w:rPr>
        <w:t xml:space="preserve"> spriedum</w:t>
      </w:r>
      <w:r w:rsidR="00F8620D">
        <w:rPr>
          <w:rFonts w:eastAsia="Times New Roman" w:cs="Times New Roman"/>
          <w:i/>
          <w:iCs/>
          <w:color w:val="000000"/>
          <w:szCs w:val="24"/>
          <w:lang w:eastAsia="lv-LV"/>
        </w:rPr>
        <w:t>u</w:t>
      </w:r>
      <w:r w:rsidRPr="00A2560A">
        <w:rPr>
          <w:rFonts w:eastAsia="Times New Roman" w:cs="Times New Roman"/>
          <w:i/>
          <w:iCs/>
          <w:color w:val="000000"/>
          <w:szCs w:val="24"/>
          <w:lang w:eastAsia="lv-LV"/>
        </w:rPr>
        <w:t xml:space="preserve"> </w:t>
      </w:r>
      <w:r w:rsidR="00F8620D">
        <w:rPr>
          <w:rFonts w:eastAsia="Times New Roman" w:cs="Times New Roman"/>
          <w:i/>
          <w:iCs/>
          <w:color w:val="000000"/>
          <w:szCs w:val="24"/>
          <w:lang w:eastAsia="lv-LV"/>
        </w:rPr>
        <w:t>pieņem</w:t>
      </w:r>
      <w:r w:rsidRPr="00A2560A">
        <w:rPr>
          <w:rFonts w:eastAsia="Times New Roman" w:cs="Times New Roman"/>
          <w:i/>
          <w:iCs/>
          <w:color w:val="000000"/>
          <w:szCs w:val="24"/>
          <w:lang w:eastAsia="lv-LV"/>
        </w:rPr>
        <w:t xml:space="preserve"> lietā, kurā atbildētājs nav sniedzis paskaidrojumus par prasību un nav ieradies pēc tiesas aicinājuma, nepaziņojot neierašanās iemeslu</w:t>
      </w:r>
      <w:r>
        <w:rPr>
          <w:rFonts w:eastAsia="Times New Roman" w:cs="Times New Roman"/>
          <w:color w:val="000000"/>
          <w:szCs w:val="24"/>
          <w:lang w:eastAsia="lv-LV"/>
        </w:rPr>
        <w:t>)</w:t>
      </w:r>
      <w:r w:rsidR="00F8620D">
        <w:rPr>
          <w:rFonts w:eastAsia="Times New Roman" w:cs="Times New Roman"/>
          <w:color w:val="000000"/>
          <w:szCs w:val="24"/>
          <w:lang w:eastAsia="lv-LV"/>
        </w:rPr>
        <w:t xml:space="preserve"> </w:t>
      </w:r>
      <w:r>
        <w:rPr>
          <w:rFonts w:eastAsia="Times New Roman" w:cs="Times New Roman"/>
          <w:color w:val="000000"/>
          <w:szCs w:val="24"/>
          <w:lang w:eastAsia="lv-LV"/>
        </w:rPr>
        <w:t xml:space="preserve">taisījusi aizmugurisku spriedumu par dzīvojamās mājas apsaimniekošanas, pārvaldīšanas un komunālo pakalpojumu parāda 4092,75 EUR un likumisko procentu 183,61 EUR piedziņu no </w:t>
      </w:r>
      <w:r w:rsidR="00306A46">
        <w:t>[pers. A]</w:t>
      </w:r>
      <w:r>
        <w:rPr>
          <w:rFonts w:eastAsia="Times New Roman" w:cs="Times New Roman"/>
          <w:color w:val="000000"/>
          <w:szCs w:val="24"/>
          <w:lang w:eastAsia="lv-LV"/>
        </w:rPr>
        <w:t xml:space="preserve"> SIA „Rīgas namu pārvaldnieks” labā.</w:t>
      </w:r>
    </w:p>
    <w:p w14:paraId="53BBA626" w14:textId="77777777" w:rsidR="00A2560A" w:rsidRDefault="00A2560A" w:rsidP="00A2560A">
      <w:pPr>
        <w:spacing w:after="0" w:line="276" w:lineRule="auto"/>
        <w:ind w:right="49" w:firstLine="567"/>
        <w:jc w:val="both"/>
      </w:pPr>
    </w:p>
    <w:p w14:paraId="6F5091B6" w14:textId="22FB7B32" w:rsidR="00AC7D39" w:rsidRDefault="00A2560A" w:rsidP="00B92E9E">
      <w:pPr>
        <w:spacing w:after="0" w:line="276" w:lineRule="auto"/>
        <w:ind w:right="49" w:firstLine="567"/>
        <w:jc w:val="both"/>
      </w:pPr>
      <w:r>
        <w:t xml:space="preserve">[2] </w:t>
      </w:r>
      <w:r w:rsidR="00526FE5">
        <w:t xml:space="preserve">Pēc </w:t>
      </w:r>
      <w:r w:rsidR="00D57EF9">
        <w:t xml:space="preserve">Azerbaidžānas Republikas pilsones </w:t>
      </w:r>
      <w:r w:rsidR="00306A46">
        <w:t>[pers. A]</w:t>
      </w:r>
      <w:r w:rsidR="00526FE5">
        <w:t xml:space="preserve"> iesnieguma izvērtēšanas, Ģenerālprokuratūras Personu un valsts tiesību aizsardzības departamenta virsprokurors par minēto spriedumu iesniedzis protestu, norādot, ka Civilprocesa likuma 208.</w:t>
      </w:r>
      <w:r w:rsidR="00526FE5" w:rsidRPr="00526FE5">
        <w:rPr>
          <w:vertAlign w:val="superscript"/>
        </w:rPr>
        <w:t>1</w:t>
      </w:r>
      <w:r w:rsidR="00526FE5">
        <w:t xml:space="preserve"> panta treš</w:t>
      </w:r>
      <w:r w:rsidR="00D57EF9">
        <w:t xml:space="preserve">ā </w:t>
      </w:r>
      <w:r w:rsidR="00526FE5">
        <w:t>daļa</w:t>
      </w:r>
      <w:r w:rsidR="003F7208">
        <w:t>s 2.punkts</w:t>
      </w:r>
      <w:r w:rsidR="00D57EF9">
        <w:t xml:space="preserve"> </w:t>
      </w:r>
      <w:r w:rsidR="003E1226">
        <w:t xml:space="preserve">liedz aizmuguriski </w:t>
      </w:r>
      <w:r w:rsidR="00F8620D">
        <w:t>iz</w:t>
      </w:r>
      <w:r w:rsidR="003E1226">
        <w:t>skatīt lietas, kurās atbildētāja deklarētā dzīvesvieta, dzīvesvieta, atrašanās vieta vai juridiskā adrese nav Latvijas Republikā.</w:t>
      </w:r>
    </w:p>
    <w:p w14:paraId="5668B4E9" w14:textId="09F13261" w:rsidR="00B92E9E" w:rsidRDefault="00B92E9E" w:rsidP="00B92E9E">
      <w:pPr>
        <w:spacing w:after="0" w:line="276" w:lineRule="auto"/>
        <w:ind w:right="49" w:firstLine="567"/>
        <w:jc w:val="both"/>
      </w:pPr>
    </w:p>
    <w:p w14:paraId="2554A9EB" w14:textId="6A08D141" w:rsidR="00A2560A" w:rsidRPr="00537468" w:rsidRDefault="00A2560A" w:rsidP="00A2560A">
      <w:pPr>
        <w:spacing w:after="0" w:line="276" w:lineRule="auto"/>
        <w:ind w:right="71"/>
        <w:jc w:val="center"/>
      </w:pPr>
      <w:r w:rsidRPr="00201838">
        <w:rPr>
          <w:rFonts w:eastAsia="Times New Roman" w:cs="Times New Roman"/>
          <w:b/>
          <w:szCs w:val="24"/>
          <w:lang w:eastAsia="lv-LV"/>
        </w:rPr>
        <w:t>Motīvu daļa</w:t>
      </w:r>
    </w:p>
    <w:p w14:paraId="3C077529" w14:textId="77777777" w:rsidR="00A2560A" w:rsidRDefault="00A2560A" w:rsidP="00A2560A">
      <w:pPr>
        <w:spacing w:after="0" w:line="276" w:lineRule="auto"/>
        <w:ind w:firstLine="567"/>
        <w:jc w:val="both"/>
      </w:pPr>
    </w:p>
    <w:p w14:paraId="0526891A" w14:textId="6FD38B31" w:rsidR="00A2560A" w:rsidRDefault="00A2560A" w:rsidP="00A2560A">
      <w:pPr>
        <w:spacing w:after="0" w:line="276" w:lineRule="auto"/>
        <w:ind w:right="49" w:firstLine="567"/>
        <w:jc w:val="both"/>
      </w:pPr>
      <w:r>
        <w:t xml:space="preserve">[3] Pārbaudījis lietas materiālus un apsvēris protestā norādītos argumentus, Senāts atzīst, ka </w:t>
      </w:r>
      <w:r w:rsidR="003E1226">
        <w:t xml:space="preserve">Rīgas pilsētas Vidzemes priekšpilsētas tiesas </w:t>
      </w:r>
      <w:proofErr w:type="gramStart"/>
      <w:r w:rsidR="003E1226">
        <w:t>2019.gada</w:t>
      </w:r>
      <w:proofErr w:type="gramEnd"/>
      <w:r w:rsidR="003E1226">
        <w:t xml:space="preserve"> 17.oktobra aizmuguriskais spriedums</w:t>
      </w:r>
      <w:r>
        <w:t xml:space="preserve"> atceļams.</w:t>
      </w:r>
    </w:p>
    <w:p w14:paraId="326670CE" w14:textId="77777777" w:rsidR="00A2560A" w:rsidRDefault="00A2560A" w:rsidP="00A2560A">
      <w:pPr>
        <w:spacing w:after="0" w:line="276" w:lineRule="auto"/>
        <w:ind w:right="49" w:firstLine="567"/>
        <w:jc w:val="both"/>
      </w:pPr>
    </w:p>
    <w:p w14:paraId="1E9591E3" w14:textId="77777777" w:rsidR="00916F68" w:rsidRDefault="00A2560A" w:rsidP="00005D81">
      <w:pPr>
        <w:spacing w:after="0" w:line="276" w:lineRule="auto"/>
        <w:ind w:right="49" w:firstLine="567"/>
        <w:jc w:val="both"/>
      </w:pPr>
      <w:r>
        <w:lastRenderedPageBreak/>
        <w:t xml:space="preserve">[4] </w:t>
      </w:r>
      <w:r w:rsidR="00D57EF9">
        <w:t>Civilprocesa likuma 208.</w:t>
      </w:r>
      <w:r w:rsidR="00D57EF9" w:rsidRPr="00D57EF9">
        <w:rPr>
          <w:vertAlign w:val="superscript"/>
        </w:rPr>
        <w:t>1</w:t>
      </w:r>
      <w:r w:rsidR="00D57EF9">
        <w:t xml:space="preserve"> panta </w:t>
      </w:r>
      <w:r w:rsidR="00AD280E">
        <w:t>treš</w:t>
      </w:r>
      <w:r w:rsidR="00F8620D">
        <w:t>aj</w:t>
      </w:r>
      <w:r w:rsidR="00AD280E">
        <w:t>ā daļ</w:t>
      </w:r>
      <w:r w:rsidR="00F8620D">
        <w:t>ā</w:t>
      </w:r>
      <w:r w:rsidR="00AD280E">
        <w:t xml:space="preserve"> uzskaitīti gadījumi</w:t>
      </w:r>
      <w:r w:rsidR="003172E4">
        <w:t>, kad</w:t>
      </w:r>
      <w:r w:rsidR="00D57EF9">
        <w:t xml:space="preserve"> </w:t>
      </w:r>
      <w:r w:rsidR="003172E4">
        <w:t>aizmuguriska sprieduma taisīšana nav pieļaujama. Viens no tādiem gadījumiem ir,</w:t>
      </w:r>
      <w:r w:rsidR="002B4BFD">
        <w:t xml:space="preserve"> ja </w:t>
      </w:r>
      <w:r w:rsidR="00916F68">
        <w:t xml:space="preserve">fiziskai </w:t>
      </w:r>
      <w:r w:rsidR="00FE7E9A">
        <w:t>personai</w:t>
      </w:r>
      <w:r w:rsidR="002B4BFD">
        <w:t xml:space="preserve"> nav deklarētās dzīvesvietas, dzīvesvietas</w:t>
      </w:r>
      <w:r w:rsidR="00916F68">
        <w:t xml:space="preserve"> vai atrašanās</w:t>
      </w:r>
      <w:r w:rsidR="002B4BFD">
        <w:t xml:space="preserve"> vietas </w:t>
      </w:r>
      <w:r w:rsidR="00916F68">
        <w:t>Latvijas Republikā.</w:t>
      </w:r>
    </w:p>
    <w:p w14:paraId="0129120C" w14:textId="6B6A9A83" w:rsidR="0096275A" w:rsidRDefault="004E4364" w:rsidP="003E1226">
      <w:pPr>
        <w:spacing w:after="0" w:line="276" w:lineRule="auto"/>
        <w:ind w:right="49" w:firstLine="567"/>
        <w:jc w:val="both"/>
      </w:pPr>
      <w:r>
        <w:t xml:space="preserve">Atbilstoši Civilprocesa likuma </w:t>
      </w:r>
      <w:proofErr w:type="gramStart"/>
      <w:r>
        <w:t>128.panta</w:t>
      </w:r>
      <w:proofErr w:type="gramEnd"/>
      <w:r>
        <w:t xml:space="preserve"> otrās daļas 1.punkta 1</w:t>
      </w:r>
      <w:r w:rsidRPr="004E4364">
        <w:rPr>
          <w:vertAlign w:val="superscript"/>
        </w:rPr>
        <w:t>2</w:t>
      </w:r>
      <w:r>
        <w:t>) apakšpunktam prasības pieteikumā norādāma atbildētāja deklarētā dzīvesvieta, bet, ja tādas nav – dzīvesvieta. Šādas informācijas norādīšanas pamatojums rodams minētā likuma 56.panta piektajā daļā</w:t>
      </w:r>
      <w:r w:rsidR="0096275A">
        <w:t>, lai tiesa varētu izpildīt paziņošanas pienākumu.</w:t>
      </w:r>
    </w:p>
    <w:p w14:paraId="7AF8A57C" w14:textId="2E092833" w:rsidR="004E4364" w:rsidRDefault="004E4364" w:rsidP="00C35B77">
      <w:pPr>
        <w:spacing w:after="0" w:line="276" w:lineRule="auto"/>
        <w:ind w:right="49" w:firstLine="567"/>
        <w:jc w:val="both"/>
      </w:pPr>
      <w:r>
        <w:t xml:space="preserve">No prasības pieteikuma </w:t>
      </w:r>
      <w:r w:rsidR="0096275A">
        <w:t>izriet</w:t>
      </w:r>
      <w:r>
        <w:t xml:space="preserve">, ka Civilprocesa likuma </w:t>
      </w:r>
      <w:proofErr w:type="gramStart"/>
      <w:r>
        <w:t>128.panta</w:t>
      </w:r>
      <w:proofErr w:type="gramEnd"/>
      <w:r>
        <w:t xml:space="preserve"> otrās daļas 1.punkta 1</w:t>
      </w:r>
      <w:r w:rsidRPr="004E4364">
        <w:rPr>
          <w:vertAlign w:val="superscript"/>
        </w:rPr>
        <w:t>2</w:t>
      </w:r>
      <w:r>
        <w:t>)</w:t>
      </w:r>
      <w:r w:rsidR="0096275A">
        <w:t> </w:t>
      </w:r>
      <w:r>
        <w:t xml:space="preserve">apakšpunktā </w:t>
      </w:r>
      <w:r w:rsidR="0096275A">
        <w:t>paredzētais</w:t>
      </w:r>
      <w:r>
        <w:t xml:space="preserve"> obligāt</w:t>
      </w:r>
      <w:r w:rsidR="003172E4">
        <w:t xml:space="preserve">ais </w:t>
      </w:r>
      <w:r>
        <w:t>rekvizīt</w:t>
      </w:r>
      <w:r w:rsidR="003172E4">
        <w:t>s</w:t>
      </w:r>
      <w:r>
        <w:t xml:space="preserve"> tajā nav </w:t>
      </w:r>
      <w:r w:rsidR="003172E4">
        <w:t>ietverts</w:t>
      </w:r>
      <w:r>
        <w:t>. Citiem vārdiem, atbildētājas dzīvesvietas adrese tiesai nav darīta zināma</w:t>
      </w:r>
      <w:r w:rsidR="00C35B77">
        <w:t>, tā vietā prasītājs norādījis „pēdējo zināmo”</w:t>
      </w:r>
      <w:r w:rsidR="003172E4">
        <w:t xml:space="preserve"> – viņai piederošas nedzīvojamās telpas</w:t>
      </w:r>
      <w:r w:rsidR="00A63EE3">
        <w:t xml:space="preserve"> – adresi</w:t>
      </w:r>
      <w:r w:rsidR="00C35B77">
        <w:t xml:space="preserve">, uz kuru tiesa arī nosūtījusi prasības pieteikumu un tiesas pavēsti par tiesas sēdi </w:t>
      </w:r>
      <w:proofErr w:type="gramStart"/>
      <w:r w:rsidR="00C35B77">
        <w:t>201</w:t>
      </w:r>
      <w:r w:rsidR="000770BF">
        <w:t>9</w:t>
      </w:r>
      <w:r w:rsidR="00C35B77">
        <w:t>.gada</w:t>
      </w:r>
      <w:proofErr w:type="gramEnd"/>
      <w:r w:rsidR="00C35B77">
        <w:t xml:space="preserve"> 9.oktobrī. Minētos </w:t>
      </w:r>
      <w:r>
        <w:t>dokumentus atbildētāja nesaņēma (</w:t>
      </w:r>
      <w:r w:rsidR="00AD280E">
        <w:t xml:space="preserve">sk. </w:t>
      </w:r>
      <w:r w:rsidRPr="00AC7D39">
        <w:rPr>
          <w:i/>
          <w:iCs/>
        </w:rPr>
        <w:t>l.l.28., 30.</w:t>
      </w:r>
      <w:r>
        <w:t>)</w:t>
      </w:r>
      <w:r w:rsidR="00C35B77">
        <w:t>.</w:t>
      </w:r>
      <w:r>
        <w:t xml:space="preserve"> </w:t>
      </w:r>
    </w:p>
    <w:p w14:paraId="677716B9" w14:textId="48D766FA" w:rsidR="004E4364" w:rsidRDefault="004E4364" w:rsidP="003E1226">
      <w:pPr>
        <w:spacing w:after="0" w:line="276" w:lineRule="auto"/>
        <w:ind w:right="49" w:firstLine="567"/>
        <w:jc w:val="both"/>
      </w:pPr>
      <w:r>
        <w:t>Šādos apstākļos pirmās instances tiesai nebija tiesiska pamata uzskatīt</w:t>
      </w:r>
      <w:r w:rsidR="00C35B77">
        <w:t xml:space="preserve">, ka tā ir izpildījusi Civilprocesa likuma </w:t>
      </w:r>
      <w:proofErr w:type="gramStart"/>
      <w:r w:rsidR="00C35B77">
        <w:t>54.pantā</w:t>
      </w:r>
      <w:proofErr w:type="gramEnd"/>
      <w:r w:rsidR="00C35B77">
        <w:t xml:space="preserve"> paredzēto pienākumu aicināt lietas dalībnieku uz tiesu, un secīgi, tai nebija pamata balstīties uz Civilprocesa likuma 56.</w:t>
      </w:r>
      <w:r w:rsidR="00C35B77" w:rsidRPr="00C35B77">
        <w:rPr>
          <w:vertAlign w:val="superscript"/>
        </w:rPr>
        <w:t>1</w:t>
      </w:r>
      <w:r w:rsidR="00C35B77">
        <w:t xml:space="preserve"> pantā nostiprināto dokumentu saņemšanas prezumpciju</w:t>
      </w:r>
      <w:r w:rsidR="00AD280E">
        <w:t>,</w:t>
      </w:r>
      <w:r w:rsidR="00C35B77">
        <w:t xml:space="preserve"> </w:t>
      </w:r>
      <w:r w:rsidR="00576D01">
        <w:t>atzīstot</w:t>
      </w:r>
      <w:r w:rsidR="00C35B77">
        <w:t xml:space="preserve">, ka atbildētāja ir informēta par lietas izskatīšanas </w:t>
      </w:r>
      <w:r w:rsidR="00005D81">
        <w:t xml:space="preserve">vietu un </w:t>
      </w:r>
      <w:r w:rsidR="00C35B77">
        <w:t>laiku.</w:t>
      </w:r>
      <w:r w:rsidR="003172E4">
        <w:t xml:space="preserve"> Lietā neesot ziņām par atbildētājas deklarētās dzīvesvietas adresi un attiecīgi neesot pierādījumiem par atbildētājas atrašanos Latvijas Republikas teritorijā, jāsecina, ka aizmuguriskā sprieduma taisīšan</w:t>
      </w:r>
      <w:r w:rsidR="00A63EE3">
        <w:t xml:space="preserve">ai </w:t>
      </w:r>
      <w:r w:rsidR="00005D81">
        <w:t xml:space="preserve">bija </w:t>
      </w:r>
      <w:r w:rsidR="00A63EE3">
        <w:t xml:space="preserve">par šķērsli </w:t>
      </w:r>
      <w:r w:rsidR="003172E4">
        <w:t>Civilprocesa likuma 208.</w:t>
      </w:r>
      <w:r w:rsidR="003172E4" w:rsidRPr="003172E4">
        <w:rPr>
          <w:vertAlign w:val="superscript"/>
        </w:rPr>
        <w:t>1</w:t>
      </w:r>
      <w:r w:rsidR="003172E4">
        <w:t xml:space="preserve"> panta </w:t>
      </w:r>
      <w:r w:rsidR="00005D81">
        <w:t>trešās daļas 3.punkta noteikumi.</w:t>
      </w:r>
    </w:p>
    <w:p w14:paraId="6FAE78DC" w14:textId="0C372B68" w:rsidR="00005D81" w:rsidRDefault="00005D81" w:rsidP="000770BF">
      <w:pPr>
        <w:spacing w:after="0" w:line="276" w:lineRule="auto"/>
        <w:ind w:right="49" w:firstLine="567"/>
        <w:jc w:val="both"/>
      </w:pPr>
      <w:r>
        <w:t>Norādītais</w:t>
      </w:r>
      <w:r w:rsidR="00F140BA">
        <w:t xml:space="preserve"> ir patstāvīgs pamats Rīgas pilsētas Vidzemes priekšpilsētas tiesas </w:t>
      </w:r>
      <w:proofErr w:type="gramStart"/>
      <w:r w:rsidR="00F140BA">
        <w:t>2019.gada</w:t>
      </w:r>
      <w:proofErr w:type="gramEnd"/>
      <w:r w:rsidR="00F140BA">
        <w:t xml:space="preserve"> 17.oktobra aizmuguriskā sprieduma atcelšanai</w:t>
      </w:r>
      <w:r w:rsidR="000770BF">
        <w:t xml:space="preserve"> sakarā ar</w:t>
      </w:r>
      <w:r w:rsidR="00F140BA">
        <w:t xml:space="preserve"> </w:t>
      </w:r>
      <w:r w:rsidR="000770BF">
        <w:t>būtiskiem procesuālo tiesību normu pārkāpumiem</w:t>
      </w:r>
      <w:r w:rsidR="004279B5">
        <w:t xml:space="preserve"> lietas izskatīšanā</w:t>
      </w:r>
      <w:r w:rsidR="000770BF">
        <w:t xml:space="preserve">, </w:t>
      </w:r>
      <w:r>
        <w:t>kā to paredz</w:t>
      </w:r>
      <w:r w:rsidR="000770BF">
        <w:t xml:space="preserve"> </w:t>
      </w:r>
      <w:r w:rsidR="00F140BA">
        <w:t>Civilprocesa likuma</w:t>
      </w:r>
      <w:r w:rsidR="000770BF">
        <w:t xml:space="preserve"> 452.panta trešās daļas </w:t>
      </w:r>
      <w:r>
        <w:t>2</w:t>
      </w:r>
      <w:r w:rsidR="000770BF">
        <w:t>.punkt</w:t>
      </w:r>
      <w:r>
        <w:t>s.</w:t>
      </w:r>
    </w:p>
    <w:p w14:paraId="4F84F15B" w14:textId="77777777" w:rsidR="00A2560A" w:rsidRDefault="00A2560A" w:rsidP="00FC7AA4">
      <w:pPr>
        <w:spacing w:after="0" w:line="276" w:lineRule="auto"/>
        <w:ind w:right="49"/>
        <w:jc w:val="both"/>
      </w:pPr>
    </w:p>
    <w:p w14:paraId="3A2C14EA" w14:textId="77777777" w:rsidR="00A2560A" w:rsidRPr="00D338FF" w:rsidRDefault="00A2560A" w:rsidP="00A2560A">
      <w:pPr>
        <w:spacing w:after="0" w:line="276" w:lineRule="auto"/>
        <w:ind w:right="49" w:firstLine="567"/>
        <w:jc w:val="both"/>
      </w:pPr>
      <w:r>
        <w:t xml:space="preserve">[5] </w:t>
      </w:r>
      <w:r>
        <w:rPr>
          <w:szCs w:val="24"/>
        </w:rPr>
        <w:t xml:space="preserve">Pamatojoties uz Civilprocesa likuma </w:t>
      </w:r>
      <w:proofErr w:type="gramStart"/>
      <w:r>
        <w:rPr>
          <w:szCs w:val="24"/>
        </w:rPr>
        <w:t>474.panta</w:t>
      </w:r>
      <w:proofErr w:type="gramEnd"/>
      <w:r>
        <w:rPr>
          <w:szCs w:val="24"/>
        </w:rPr>
        <w:t xml:space="preserve"> 2.punktu un 485.pantu, Senāts</w:t>
      </w:r>
    </w:p>
    <w:p w14:paraId="482B1B37" w14:textId="77777777" w:rsidR="00A2560A" w:rsidRPr="00C25360" w:rsidRDefault="00A2560A" w:rsidP="00A2560A">
      <w:pPr>
        <w:spacing w:after="0" w:line="276" w:lineRule="auto"/>
        <w:ind w:right="49" w:firstLine="567"/>
        <w:jc w:val="both"/>
        <w:rPr>
          <w:szCs w:val="24"/>
        </w:rPr>
      </w:pPr>
    </w:p>
    <w:p w14:paraId="38BFEE63" w14:textId="77777777" w:rsidR="00A2560A" w:rsidRDefault="00A2560A" w:rsidP="00A2560A">
      <w:pPr>
        <w:spacing w:after="0" w:line="276" w:lineRule="auto"/>
        <w:ind w:right="49"/>
        <w:jc w:val="center"/>
        <w:rPr>
          <w:szCs w:val="24"/>
        </w:rPr>
      </w:pPr>
      <w:r>
        <w:rPr>
          <w:b/>
          <w:szCs w:val="24"/>
        </w:rPr>
        <w:t>nolēma</w:t>
      </w:r>
    </w:p>
    <w:p w14:paraId="36292AE6" w14:textId="77777777" w:rsidR="00A2560A" w:rsidRDefault="00A2560A" w:rsidP="00A2560A">
      <w:pPr>
        <w:spacing w:after="0" w:line="276" w:lineRule="auto"/>
        <w:ind w:right="49" w:firstLine="567"/>
        <w:jc w:val="both"/>
        <w:rPr>
          <w:szCs w:val="24"/>
        </w:rPr>
      </w:pPr>
    </w:p>
    <w:p w14:paraId="645F98B6" w14:textId="3BE5B1F9" w:rsidR="00A2560A" w:rsidRPr="00120151" w:rsidRDefault="00A2560A" w:rsidP="00A2560A">
      <w:pPr>
        <w:spacing w:after="0" w:line="276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Rīgas pilsētas </w:t>
      </w:r>
      <w:r w:rsidR="00AC7D39">
        <w:rPr>
          <w:szCs w:val="24"/>
        </w:rPr>
        <w:t xml:space="preserve">Vidzemes priekšpilsētas tiesas </w:t>
      </w:r>
      <w:proofErr w:type="gramStart"/>
      <w:r w:rsidR="00AC7D39">
        <w:rPr>
          <w:szCs w:val="24"/>
        </w:rPr>
        <w:t>2019.gada</w:t>
      </w:r>
      <w:proofErr w:type="gramEnd"/>
      <w:r w:rsidR="00AC7D39">
        <w:rPr>
          <w:szCs w:val="24"/>
        </w:rPr>
        <w:t xml:space="preserve"> 17.oktobra aizmugurisko spriedumu atcelt</w:t>
      </w:r>
      <w:r>
        <w:rPr>
          <w:szCs w:val="24"/>
        </w:rPr>
        <w:t xml:space="preserve"> </w:t>
      </w:r>
      <w:r w:rsidR="00AC7D39">
        <w:rPr>
          <w:szCs w:val="24"/>
        </w:rPr>
        <w:t>un lietu</w:t>
      </w:r>
      <w:r>
        <w:rPr>
          <w:szCs w:val="24"/>
        </w:rPr>
        <w:t xml:space="preserve"> nodot jaunai izskatīšanai </w:t>
      </w:r>
      <w:r w:rsidR="00AC7D39">
        <w:rPr>
          <w:szCs w:val="24"/>
        </w:rPr>
        <w:t>pirmās instances tiesā</w:t>
      </w:r>
      <w:r>
        <w:rPr>
          <w:szCs w:val="24"/>
        </w:rPr>
        <w:t>.</w:t>
      </w:r>
    </w:p>
    <w:p w14:paraId="4272722E" w14:textId="77777777" w:rsidR="00A2560A" w:rsidRDefault="00A2560A" w:rsidP="00A2560A">
      <w:pPr>
        <w:spacing w:after="0" w:line="276" w:lineRule="auto"/>
        <w:ind w:firstLine="567"/>
        <w:rPr>
          <w:szCs w:val="24"/>
        </w:rPr>
      </w:pPr>
      <w:r>
        <w:rPr>
          <w:szCs w:val="24"/>
        </w:rPr>
        <w:t>Lēmums nav pārsūdzams.</w:t>
      </w:r>
    </w:p>
    <w:sectPr w:rsidR="00A2560A" w:rsidSect="004F3B22">
      <w:foot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FC0BE" w14:textId="77777777" w:rsidR="00320A37" w:rsidRDefault="00320A37" w:rsidP="00AC7D39">
      <w:pPr>
        <w:spacing w:after="0" w:line="240" w:lineRule="auto"/>
      </w:pPr>
      <w:r>
        <w:separator/>
      </w:r>
    </w:p>
  </w:endnote>
  <w:endnote w:type="continuationSeparator" w:id="0">
    <w:p w14:paraId="705856C7" w14:textId="77777777" w:rsidR="00320A37" w:rsidRDefault="00320A37" w:rsidP="00AC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D5F6" w14:textId="54D937EB" w:rsidR="00BF60FE" w:rsidRPr="003F17F7" w:rsidRDefault="006E767B" w:rsidP="00BF60FE">
    <w:pPr>
      <w:pStyle w:val="Footer"/>
      <w:jc w:val="center"/>
    </w:pPr>
    <w:r w:rsidRPr="002E4FB2">
      <w:fldChar w:fldCharType="begin"/>
    </w:r>
    <w:r w:rsidRPr="002E4FB2">
      <w:instrText xml:space="preserve"> PAGE </w:instrText>
    </w:r>
    <w:r w:rsidRPr="002E4FB2">
      <w:fldChar w:fldCharType="separate"/>
    </w:r>
    <w:r>
      <w:rPr>
        <w:noProof/>
      </w:rPr>
      <w:t>2</w:t>
    </w:r>
    <w:r w:rsidRPr="002E4FB2">
      <w:fldChar w:fldCharType="end"/>
    </w:r>
    <w:r>
      <w:t xml:space="preserve"> no </w:t>
    </w:r>
    <w:r w:rsidR="003F7208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EC514" w14:textId="77777777" w:rsidR="00320A37" w:rsidRDefault="00320A37" w:rsidP="00AC7D39">
      <w:pPr>
        <w:spacing w:after="0" w:line="240" w:lineRule="auto"/>
      </w:pPr>
      <w:r>
        <w:separator/>
      </w:r>
    </w:p>
  </w:footnote>
  <w:footnote w:type="continuationSeparator" w:id="0">
    <w:p w14:paraId="2A352025" w14:textId="77777777" w:rsidR="00320A37" w:rsidRDefault="00320A37" w:rsidP="00AC7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0A"/>
    <w:rsid w:val="00005D81"/>
    <w:rsid w:val="000770BF"/>
    <w:rsid w:val="00084E29"/>
    <w:rsid w:val="00222B5B"/>
    <w:rsid w:val="002B4BFD"/>
    <w:rsid w:val="00306A46"/>
    <w:rsid w:val="003172E4"/>
    <w:rsid w:val="00320A37"/>
    <w:rsid w:val="003E1226"/>
    <w:rsid w:val="003F7208"/>
    <w:rsid w:val="004279B5"/>
    <w:rsid w:val="004E4364"/>
    <w:rsid w:val="00526FE5"/>
    <w:rsid w:val="00576D01"/>
    <w:rsid w:val="005A701A"/>
    <w:rsid w:val="00664971"/>
    <w:rsid w:val="00694DB7"/>
    <w:rsid w:val="006E767B"/>
    <w:rsid w:val="00916F68"/>
    <w:rsid w:val="0092521B"/>
    <w:rsid w:val="009417FF"/>
    <w:rsid w:val="0096275A"/>
    <w:rsid w:val="00990606"/>
    <w:rsid w:val="0099654A"/>
    <w:rsid w:val="00A14104"/>
    <w:rsid w:val="00A2560A"/>
    <w:rsid w:val="00A63EE3"/>
    <w:rsid w:val="00AC2FC9"/>
    <w:rsid w:val="00AC7D39"/>
    <w:rsid w:val="00AD22D1"/>
    <w:rsid w:val="00AD280E"/>
    <w:rsid w:val="00B51395"/>
    <w:rsid w:val="00B92E9E"/>
    <w:rsid w:val="00BA7F5A"/>
    <w:rsid w:val="00BD4B37"/>
    <w:rsid w:val="00C35B77"/>
    <w:rsid w:val="00D57EF9"/>
    <w:rsid w:val="00DD55EC"/>
    <w:rsid w:val="00E63928"/>
    <w:rsid w:val="00EC08BD"/>
    <w:rsid w:val="00F140BA"/>
    <w:rsid w:val="00F61FE1"/>
    <w:rsid w:val="00F80F1A"/>
    <w:rsid w:val="00F8620D"/>
    <w:rsid w:val="00FC7AA4"/>
    <w:rsid w:val="00FE7E9A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79AE"/>
  <w15:chartTrackingRefBased/>
  <w15:docId w15:val="{90A39C8F-4AE3-46F8-806E-E4D21E58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56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60A"/>
  </w:style>
  <w:style w:type="paragraph" w:styleId="Header">
    <w:name w:val="header"/>
    <w:basedOn w:val="Normal"/>
    <w:link w:val="HeaderChar"/>
    <w:uiPriority w:val="99"/>
    <w:unhideWhenUsed/>
    <w:rsid w:val="00AC7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s.ta.gov.lv/tisreal?Form=TEMPLATEEDIT&amp;task=new&amp;tasktwo=newtemplfromoriginal&amp;fileid=6853478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2724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Zinaida Indrūna</cp:lastModifiedBy>
  <cp:revision>5</cp:revision>
  <cp:lastPrinted>2021-09-13T08:04:00Z</cp:lastPrinted>
  <dcterms:created xsi:type="dcterms:W3CDTF">2021-09-13T08:06:00Z</dcterms:created>
  <dcterms:modified xsi:type="dcterms:W3CDTF">2021-10-06T07:55:00Z</dcterms:modified>
</cp:coreProperties>
</file>