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529F10" w14:textId="77777777" w:rsidR="00E83D93" w:rsidRDefault="00E83D93" w:rsidP="00D935C6">
      <w:pPr>
        <w:autoSpaceDE w:val="0"/>
        <w:autoSpaceDN w:val="0"/>
        <w:spacing w:line="276" w:lineRule="auto"/>
        <w:jc w:val="both"/>
        <w:rPr>
          <w:b/>
          <w:bCs/>
          <w:lang w:eastAsia="en-US"/>
        </w:rPr>
      </w:pPr>
      <w:r>
        <w:rPr>
          <w:b/>
          <w:bCs/>
        </w:rPr>
        <w:t xml:space="preserve">Pievienotās vērtības nodokļa atskaitīšana nav iespējama par fiktīvi veiktiem darījumiem </w:t>
      </w:r>
    </w:p>
    <w:p w14:paraId="698C252F" w14:textId="1A194074" w:rsidR="00DE3242" w:rsidRPr="00E83D93" w:rsidRDefault="00E83D93" w:rsidP="00D935C6">
      <w:pPr>
        <w:autoSpaceDE w:val="0"/>
        <w:autoSpaceDN w:val="0"/>
        <w:spacing w:line="276" w:lineRule="auto"/>
        <w:jc w:val="both"/>
        <w:rPr>
          <w:b/>
          <w:bCs/>
        </w:rPr>
      </w:pPr>
      <w:r>
        <w:rPr>
          <w:rFonts w:ascii="TimesNewRomanPSMT" w:hAnsi="TimesNewRomanPSMT"/>
          <w:color w:val="000000"/>
        </w:rPr>
        <w:t xml:space="preserve">Pievienotās vērtības nodokļa mehānismam ir raksturīgi, ka fiktīvs darījums nevar radīt tiesības uz jebkādu šī nodokļa atskaitīšanu. Proti, nodokļa maksātājs var atskaitīt pievienotās vērtības nodokli par precēm un pakalpojumiem, ko tas izmanto saviem ar nodokli apliekamiem darījumiem. Tiesības atskaitīt pievienotās vērtības nodokli, kas samaksāts par iepriekš iegādātām precēm vai pakalpojumiem, nozīmē, ka to iegādes izdevumi veido daļu no tādu darījumu cenas, kas ar nodokli tiek aplikti vēlāk. Kad preces vai pakalpojuma iegādes darījums ir fiktīvs, tam nevar būt nekādas saiknes ar nodokļu maksātāja darījumiem, kas ar nodokli tiek aplikti vēlāk. Līdz ar to, ja preču piegāde vai pakalpojumu sniegšana faktiski nav notikusi, nevar rasties nekādas tiesības uz nodokļa atskaitīšanu. Vienlaikus nodokļa rēķina izsniedzējam ir jāmaksā rēķinā norādītais pievienotās vērtības nodoklis pat tad, ja faktiska ar nodokli apliekama darījuma nemaz nav, lai novērstu nodokļu ieņēmumu zaudējuma risku, ko var izraisīt tiesības uz pievienotās vērtības nodokļa atskaitīšanu un kas principā nav pilnībā novērsts, kamēr tāda rēķina saņēmējs, kurā pievienotās vērtības nodoklis ir norādīts nepamatoti, joprojām var to izmantot, lai minēto nodokli atskaitītu. </w:t>
      </w:r>
    </w:p>
    <w:p w14:paraId="3AF2055B" w14:textId="39DCF5CF" w:rsidR="00056257" w:rsidRPr="00505DDD" w:rsidRDefault="00056257" w:rsidP="00D935C6">
      <w:pPr>
        <w:pStyle w:val="BodyText2"/>
        <w:spacing w:after="0" w:line="276" w:lineRule="auto"/>
        <w:jc w:val="center"/>
        <w:rPr>
          <w:lang w:val="lv-LV"/>
        </w:rPr>
      </w:pPr>
    </w:p>
    <w:p w14:paraId="71C443A1" w14:textId="1A70A028" w:rsidR="00056257" w:rsidRDefault="00E83D93" w:rsidP="00D935C6">
      <w:pPr>
        <w:spacing w:line="276" w:lineRule="auto"/>
        <w:jc w:val="center"/>
        <w:rPr>
          <w:b/>
          <w:sz w:val="28"/>
          <w:szCs w:val="28"/>
        </w:rPr>
      </w:pPr>
      <w:r>
        <w:rPr>
          <w:b/>
          <w:sz w:val="28"/>
          <w:szCs w:val="28"/>
        </w:rPr>
        <w:t>Latvijas Republikas Senāta</w:t>
      </w:r>
    </w:p>
    <w:p w14:paraId="5578E832" w14:textId="2A861512" w:rsidR="00E83D93" w:rsidRDefault="00E83D93" w:rsidP="00D935C6">
      <w:pPr>
        <w:spacing w:line="276" w:lineRule="auto"/>
        <w:jc w:val="center"/>
        <w:rPr>
          <w:b/>
          <w:sz w:val="28"/>
          <w:szCs w:val="28"/>
        </w:rPr>
      </w:pPr>
      <w:r>
        <w:rPr>
          <w:b/>
          <w:sz w:val="28"/>
          <w:szCs w:val="28"/>
        </w:rPr>
        <w:t>Administratīvo lietu departamenta</w:t>
      </w:r>
    </w:p>
    <w:p w14:paraId="74E316F9" w14:textId="46F53A94" w:rsidR="00E83D93" w:rsidRPr="00505DDD" w:rsidRDefault="00E83D93" w:rsidP="00D935C6">
      <w:pPr>
        <w:spacing w:line="276" w:lineRule="auto"/>
        <w:jc w:val="center"/>
        <w:rPr>
          <w:b/>
          <w:sz w:val="28"/>
          <w:szCs w:val="28"/>
        </w:rPr>
      </w:pPr>
      <w:proofErr w:type="gramStart"/>
      <w:r>
        <w:rPr>
          <w:b/>
          <w:sz w:val="28"/>
          <w:szCs w:val="28"/>
        </w:rPr>
        <w:t>2021.gada</w:t>
      </w:r>
      <w:proofErr w:type="gramEnd"/>
      <w:r>
        <w:rPr>
          <w:b/>
          <w:sz w:val="28"/>
          <w:szCs w:val="28"/>
        </w:rPr>
        <w:t xml:space="preserve"> 7.septembra</w:t>
      </w:r>
    </w:p>
    <w:p w14:paraId="116373F3" w14:textId="77777777" w:rsidR="00056257" w:rsidRPr="00505DDD" w:rsidRDefault="00056257" w:rsidP="00D935C6">
      <w:pPr>
        <w:spacing w:line="276" w:lineRule="auto"/>
        <w:jc w:val="center"/>
        <w:rPr>
          <w:b/>
        </w:rPr>
      </w:pPr>
      <w:r w:rsidRPr="00505DDD">
        <w:rPr>
          <w:b/>
        </w:rPr>
        <w:t>RĪCĪBAS SĒDES LĒMUMS</w:t>
      </w:r>
    </w:p>
    <w:p w14:paraId="32E519BD" w14:textId="77777777" w:rsidR="00E83D93" w:rsidRDefault="00E83D93" w:rsidP="00D935C6">
      <w:pPr>
        <w:spacing w:line="276" w:lineRule="auto"/>
        <w:jc w:val="center"/>
        <w:rPr>
          <w:lang w:eastAsia="lv-LV"/>
        </w:rPr>
      </w:pPr>
      <w:r w:rsidRPr="00505DDD">
        <w:t>Lieta Nr. A420289818,</w:t>
      </w:r>
      <w:r w:rsidRPr="00505DDD">
        <w:rPr>
          <w:lang w:eastAsia="lv-LV"/>
        </w:rPr>
        <w:t xml:space="preserve"> SKA-1085/2021</w:t>
      </w:r>
    </w:p>
    <w:p w14:paraId="55CA5EFB" w14:textId="0735AFD4" w:rsidR="00E83D93" w:rsidRPr="00505DDD" w:rsidRDefault="00E622A6" w:rsidP="00D935C6">
      <w:pPr>
        <w:spacing w:line="276" w:lineRule="auto"/>
        <w:jc w:val="center"/>
      </w:pPr>
      <w:hyperlink r:id="rId7" w:history="1">
        <w:r w:rsidR="00E83D93" w:rsidRPr="003F09DF">
          <w:rPr>
            <w:rStyle w:val="Hyperlink"/>
          </w:rPr>
          <w:t>ECLI:LV:AT:2021:0907.A420289818.14.L</w:t>
        </w:r>
      </w:hyperlink>
      <w:r w:rsidR="00E83D93">
        <w:t xml:space="preserve"> </w:t>
      </w:r>
    </w:p>
    <w:p w14:paraId="249C6530" w14:textId="77777777" w:rsidR="00056257" w:rsidRPr="00505DDD" w:rsidRDefault="00056257" w:rsidP="00D935C6">
      <w:pPr>
        <w:spacing w:line="276" w:lineRule="auto"/>
        <w:jc w:val="center"/>
        <w:rPr>
          <w:highlight w:val="yellow"/>
        </w:rPr>
      </w:pPr>
    </w:p>
    <w:p w14:paraId="1EE299D0" w14:textId="26386D82" w:rsidR="00056257" w:rsidRPr="00505DDD" w:rsidRDefault="00C84252" w:rsidP="00D935C6">
      <w:pPr>
        <w:spacing w:line="276" w:lineRule="auto"/>
        <w:ind w:firstLine="567"/>
        <w:jc w:val="both"/>
      </w:pPr>
      <w:r w:rsidRPr="00505DDD">
        <w:t>[1] Pieteicēja SIA „</w:t>
      </w:r>
      <w:proofErr w:type="spellStart"/>
      <w:r w:rsidRPr="00505DDD">
        <w:t>Grantex</w:t>
      </w:r>
      <w:proofErr w:type="spellEnd"/>
      <w:r w:rsidR="00056257" w:rsidRPr="00505DDD">
        <w:t xml:space="preserve">” ir iesniegusi kasācijas sūdzību par Administratīvās apgabaltiesas </w:t>
      </w:r>
      <w:proofErr w:type="gramStart"/>
      <w:r w:rsidRPr="00505DDD">
        <w:t>2021.gada</w:t>
      </w:r>
      <w:proofErr w:type="gramEnd"/>
      <w:r w:rsidRPr="00505DDD">
        <w:t xml:space="preserve"> 7.maija</w:t>
      </w:r>
      <w:r w:rsidR="00056257" w:rsidRPr="00505DDD">
        <w:t xml:space="preserve"> spriedumu, ar kuru noraidīts pieteicējas pieteikums par Valsts ieņēmumu dienesta</w:t>
      </w:r>
      <w:r w:rsidRPr="00505DDD">
        <w:t xml:space="preserve"> 2018.gada 25.septembra lēmuma Nr.</w:t>
      </w:r>
      <w:r w:rsidR="00094882" w:rsidRPr="00505DDD">
        <w:t> </w:t>
      </w:r>
      <w:r w:rsidRPr="00505DDD">
        <w:t>30.2-22.8/4293</w:t>
      </w:r>
      <w:r w:rsidR="00056257" w:rsidRPr="00505DDD">
        <w:t xml:space="preserve"> atcelšanu. Ar minēto lēmumu pieteicējai papildu nomaksai budžetā aprēķināt</w:t>
      </w:r>
      <w:r w:rsidRPr="00505DDD">
        <w:t xml:space="preserve">s pievienotās vērtības nodoklis, </w:t>
      </w:r>
      <w:r w:rsidR="00056257" w:rsidRPr="00505DDD">
        <w:t xml:space="preserve">nokavējuma nauda un soda nauda. </w:t>
      </w:r>
    </w:p>
    <w:p w14:paraId="23EF4C60" w14:textId="7F238E37" w:rsidR="00C84252" w:rsidRPr="00505DDD" w:rsidRDefault="00056257" w:rsidP="00D935C6">
      <w:pPr>
        <w:spacing w:line="276" w:lineRule="auto"/>
        <w:ind w:firstLine="567"/>
        <w:jc w:val="both"/>
      </w:pPr>
      <w:r w:rsidRPr="00505DDD">
        <w:t xml:space="preserve">Atbilstoši apgabaltiesas spriedumā konstatētajam pieteicējas deklarētie darījumi ar </w:t>
      </w:r>
      <w:r w:rsidR="00C84252" w:rsidRPr="00505DDD">
        <w:t>SIA</w:t>
      </w:r>
      <w:r w:rsidR="00094882" w:rsidRPr="00505DDD">
        <w:t> </w:t>
      </w:r>
      <w:r w:rsidR="00C84252" w:rsidRPr="00505DDD">
        <w:t xml:space="preserve">„VG </w:t>
      </w:r>
      <w:proofErr w:type="spellStart"/>
      <w:r w:rsidR="00962EEA" w:rsidRPr="00505DDD">
        <w:t>Technology</w:t>
      </w:r>
      <w:proofErr w:type="spellEnd"/>
      <w:r w:rsidR="00C84252" w:rsidRPr="00505DDD">
        <w:t xml:space="preserve">”, SIA „VK TEHSERVISS”, </w:t>
      </w:r>
      <w:r w:rsidR="002F3471" w:rsidRPr="00505DDD">
        <w:t xml:space="preserve">kā arī ar </w:t>
      </w:r>
      <w:r w:rsidR="00C84252" w:rsidRPr="00505DDD">
        <w:t xml:space="preserve">Igaunijas uzņēmumiem </w:t>
      </w:r>
      <w:r w:rsidR="00C84252" w:rsidRPr="00505DDD">
        <w:rPr>
          <w:i/>
          <w:iCs/>
        </w:rPr>
        <w:t>OU</w:t>
      </w:r>
      <w:r w:rsidR="00094882" w:rsidRPr="00505DDD">
        <w:rPr>
          <w:i/>
          <w:iCs/>
        </w:rPr>
        <w:t> </w:t>
      </w:r>
      <w:proofErr w:type="spellStart"/>
      <w:r w:rsidR="00C84252" w:rsidRPr="00505DDD">
        <w:rPr>
          <w:i/>
          <w:iCs/>
        </w:rPr>
        <w:t>Vasaracom</w:t>
      </w:r>
      <w:proofErr w:type="spellEnd"/>
      <w:r w:rsidR="00C84252" w:rsidRPr="00505DDD">
        <w:t xml:space="preserve"> un </w:t>
      </w:r>
      <w:r w:rsidR="00C84252" w:rsidRPr="00505DDD">
        <w:rPr>
          <w:i/>
          <w:iCs/>
        </w:rPr>
        <w:t>OU</w:t>
      </w:r>
      <w:r w:rsidR="00094882" w:rsidRPr="00505DDD">
        <w:rPr>
          <w:i/>
          <w:iCs/>
        </w:rPr>
        <w:t> </w:t>
      </w:r>
      <w:proofErr w:type="spellStart"/>
      <w:r w:rsidR="00C84252" w:rsidRPr="00505DDD">
        <w:rPr>
          <w:i/>
          <w:iCs/>
        </w:rPr>
        <w:t>Nordic</w:t>
      </w:r>
      <w:proofErr w:type="spellEnd"/>
      <w:r w:rsidR="00C84252" w:rsidRPr="00505DDD">
        <w:rPr>
          <w:i/>
          <w:iCs/>
        </w:rPr>
        <w:t xml:space="preserve"> </w:t>
      </w:r>
      <w:proofErr w:type="spellStart"/>
      <w:r w:rsidR="00C84252" w:rsidRPr="00505DDD">
        <w:rPr>
          <w:i/>
          <w:iCs/>
        </w:rPr>
        <w:t>Technology</w:t>
      </w:r>
      <w:proofErr w:type="spellEnd"/>
      <w:r w:rsidR="00C84252" w:rsidRPr="00505DDD">
        <w:t xml:space="preserve"> ir fiktīvi, </w:t>
      </w:r>
      <w:r w:rsidR="00A312EE" w:rsidRPr="00505DDD">
        <w:t xml:space="preserve">pieteicēja nebija saņēmusi ne preces, ne arī pakalpojumus, </w:t>
      </w:r>
      <w:r w:rsidR="00C84252" w:rsidRPr="00505DDD">
        <w:t>līdz ar to par tiem pieteicēja nebija tiesīga atskaitīt priekšnodokli.</w:t>
      </w:r>
    </w:p>
    <w:p w14:paraId="304D85EB" w14:textId="77777777" w:rsidR="00056257" w:rsidRPr="00505DDD" w:rsidRDefault="00056257" w:rsidP="00D935C6">
      <w:pPr>
        <w:spacing w:line="276" w:lineRule="auto"/>
        <w:jc w:val="both"/>
      </w:pPr>
    </w:p>
    <w:p w14:paraId="291743CA" w14:textId="77777777" w:rsidR="00056257" w:rsidRPr="00505DDD" w:rsidRDefault="00056257" w:rsidP="00D935C6">
      <w:pPr>
        <w:tabs>
          <w:tab w:val="left" w:pos="3119"/>
        </w:tabs>
        <w:spacing w:line="276" w:lineRule="auto"/>
        <w:ind w:firstLine="567"/>
        <w:jc w:val="both"/>
      </w:pPr>
      <w:r w:rsidRPr="00505DDD">
        <w:t>[2] Izvērtējot kasācijas sūdzības argumentus kopsakarā ar pārsūdzēto spriedumu, senatoru kolēģija atzīst, ka tajā norādītie argumenti nerada šaubas par sprieduma tiesiskumu un izskatāmajai lietai nav nozīmes judikatūras veidošanā.</w:t>
      </w:r>
    </w:p>
    <w:p w14:paraId="7C9077CB" w14:textId="77777777" w:rsidR="00056257" w:rsidRPr="00505DDD" w:rsidRDefault="00056257" w:rsidP="00D935C6">
      <w:pPr>
        <w:spacing w:line="276" w:lineRule="auto"/>
        <w:ind w:firstLine="567"/>
        <w:jc w:val="both"/>
      </w:pPr>
    </w:p>
    <w:p w14:paraId="750E2379" w14:textId="4A89A006" w:rsidR="00285900" w:rsidRPr="00505DDD" w:rsidRDefault="00056257" w:rsidP="00D935C6">
      <w:pPr>
        <w:spacing w:line="276" w:lineRule="auto"/>
        <w:ind w:firstLine="567"/>
        <w:jc w:val="both"/>
      </w:pPr>
      <w:r w:rsidRPr="00505DDD">
        <w:t>[3] </w:t>
      </w:r>
      <w:r w:rsidR="00EF0021" w:rsidRPr="00505DDD">
        <w:t>Kasācijas sūdzībā norādīts</w:t>
      </w:r>
      <w:r w:rsidR="00BE0596" w:rsidRPr="00505DDD">
        <w:t xml:space="preserve">, ka apgabaltiesa nav vērtējusi pieteicējas argumentus saistībā ar to, ka pieteicējas rīcības rezultātā nav </w:t>
      </w:r>
      <w:r w:rsidR="00EF30F4" w:rsidRPr="00505DDD">
        <w:t xml:space="preserve">nodarīti </w:t>
      </w:r>
      <w:r w:rsidR="002D7E28" w:rsidRPr="00505DDD">
        <w:t>zaudējumi</w:t>
      </w:r>
      <w:r w:rsidR="00BE0596" w:rsidRPr="00505DDD">
        <w:t xml:space="preserve"> valsts budžetam, kā arī </w:t>
      </w:r>
      <w:r w:rsidR="00EF30F4" w:rsidRPr="00505DDD">
        <w:t xml:space="preserve">strīdus </w:t>
      </w:r>
      <w:r w:rsidR="001D21C4" w:rsidRPr="00505DDD">
        <w:t xml:space="preserve">darījumu rezultātā </w:t>
      </w:r>
      <w:r w:rsidR="00BE0596" w:rsidRPr="00505DDD">
        <w:t xml:space="preserve">nav </w:t>
      </w:r>
      <w:r w:rsidR="001D21C4" w:rsidRPr="00505DDD">
        <w:t xml:space="preserve">gūtas </w:t>
      </w:r>
      <w:r w:rsidR="002D7E28" w:rsidRPr="00505DDD">
        <w:t>fiskāl</w:t>
      </w:r>
      <w:r w:rsidR="00AB53D7" w:rsidRPr="00505DDD">
        <w:t>ā</w:t>
      </w:r>
      <w:r w:rsidR="00BE0596" w:rsidRPr="00505DDD">
        <w:t>s priekšrocības</w:t>
      </w:r>
      <w:r w:rsidR="007231B5" w:rsidRPr="00505DDD">
        <w:t>, pieteicēja par strīdus darījumiem budžetā iemaksājusi pievienotās vērtības nodokli.</w:t>
      </w:r>
    </w:p>
    <w:p w14:paraId="2EE91D45" w14:textId="5B4767D9" w:rsidR="00BC5EDF" w:rsidRPr="00505DDD" w:rsidRDefault="00285900" w:rsidP="00D935C6">
      <w:pPr>
        <w:spacing w:line="276" w:lineRule="auto"/>
        <w:ind w:firstLine="567"/>
        <w:jc w:val="both"/>
      </w:pPr>
      <w:r w:rsidRPr="00505DDD">
        <w:t>Apgabaltiesa, pievien</w:t>
      </w:r>
      <w:r w:rsidR="00B56917" w:rsidRPr="00505DDD">
        <w:t>ojoties rajona tiesas sprieduma motivācijai</w:t>
      </w:r>
      <w:r w:rsidRPr="00505DDD">
        <w:t xml:space="preserve">, ir konstatējusi, ka pieteicējas darījumi ar </w:t>
      </w:r>
      <w:r w:rsidR="009820C5" w:rsidRPr="00505DDD">
        <w:t>tās Latvijas un Igaunijas darījumu partneriem bijuši fiktīvi, pieteicēja ne preces, ne arī pakalpojumus nav saņēmusi</w:t>
      </w:r>
      <w:r w:rsidR="00BC5EDF" w:rsidRPr="00505DDD">
        <w:t xml:space="preserve">. </w:t>
      </w:r>
    </w:p>
    <w:p w14:paraId="7E977706" w14:textId="7DEE7655" w:rsidR="004E6A0F" w:rsidRPr="00505DDD" w:rsidRDefault="004E6A0F" w:rsidP="00D935C6">
      <w:pPr>
        <w:spacing w:line="276" w:lineRule="auto"/>
        <w:ind w:firstLine="567"/>
        <w:jc w:val="both"/>
        <w:rPr>
          <w:lang w:eastAsia="lv-LV"/>
        </w:rPr>
      </w:pPr>
      <w:r w:rsidRPr="00505DDD">
        <w:t xml:space="preserve">Senatoru kolēģija norāda, ka pievienotās vērtības nodokļa mehānismam ir raksturīgi, ka fiktīvs darījums nevar radīt tiesības uz jebkādu šī nodokļa atskaitīšanu. </w:t>
      </w:r>
      <w:r w:rsidRPr="00505DDD">
        <w:rPr>
          <w:lang w:eastAsia="lv-LV"/>
        </w:rPr>
        <w:t xml:space="preserve">Proti, nodokļa maksātājs </w:t>
      </w:r>
      <w:r w:rsidRPr="00505DDD">
        <w:rPr>
          <w:lang w:eastAsia="lv-LV"/>
        </w:rPr>
        <w:lastRenderedPageBreak/>
        <w:t xml:space="preserve">var atskaitīt pievienotās vērtības nodokli par precēm un pakalpojumiem, ko tas izmanto saviem ar nodokli apliekamiem darījumiem. Citiem vārdiem, tiesības atskaitīt </w:t>
      </w:r>
      <w:r w:rsidR="00B17CC7" w:rsidRPr="00505DDD">
        <w:rPr>
          <w:lang w:eastAsia="lv-LV"/>
        </w:rPr>
        <w:t>pievienotās vērtības nodokli</w:t>
      </w:r>
      <w:r w:rsidRPr="00505DDD">
        <w:rPr>
          <w:lang w:eastAsia="lv-LV"/>
        </w:rPr>
        <w:t>, kas samaksāts par iepriekš iegādātām precēm vai pakalpojumiem, nozīmē, ka to iegādes izdevumi veido daļu no tādu darījumu cenas, kas ar nodokli tiek aplikti vēlāk. Kad preces vai pakalpojuma iegādes darījums ir fiktīvs, tam nevar būt nekādas saiknes ar nodokļu maksātāja darījumiem, kas ar nodokli tiek aplikti vēlāk. Līdz ar to, ja preču piegāde vai pakalpojumu sniegšana faktiski nav notikusi, nevar rasties nekādas tiesības uz nodokļa atskaitīšanu</w:t>
      </w:r>
      <w:bookmarkStart w:id="0" w:name="point25"/>
      <w:r w:rsidRPr="00505DDD">
        <w:rPr>
          <w:lang w:eastAsia="lv-LV"/>
        </w:rPr>
        <w:t xml:space="preserve">. </w:t>
      </w:r>
      <w:bookmarkEnd w:id="0"/>
      <w:r w:rsidRPr="00505DDD">
        <w:rPr>
          <w:lang w:eastAsia="lv-LV"/>
        </w:rPr>
        <w:t>Vienlaikus nodokļa rēķina izsniedzējam ir jāmaksā rēķinā norādītais pievienotās vērtības nodoklis pat tad, ja faktiska ar nodokli apliekama darījuma nemaz nav</w:t>
      </w:r>
      <w:r w:rsidR="00B17CC7" w:rsidRPr="00505DDD">
        <w:rPr>
          <w:lang w:eastAsia="lv-LV"/>
        </w:rPr>
        <w:t xml:space="preserve">, lai novērstu nodokļu ieņēmumu zaudējuma risku, ko var izraisīt tiesības uz pievienotās vērtības nodokļa atskaitīšanu. Proti, nodokļu ieņēmumu zaudējuma risks principā nav pilnībā novērsts, kamēr tāda rēķina saņēmējs, kurā pievienotās vērtības nodoklis ir norādīts nepamatoti, joprojām var to izmantot, lai minēto nodokli atskaitītu </w:t>
      </w:r>
      <w:r w:rsidR="00B17CC7" w:rsidRPr="00505DDD">
        <w:t>(</w:t>
      </w:r>
      <w:r w:rsidR="00B17CC7" w:rsidRPr="00505DDD">
        <w:rPr>
          <w:i/>
        </w:rPr>
        <w:t xml:space="preserve">Eiropas Savienības Tiesas </w:t>
      </w:r>
      <w:proofErr w:type="gramStart"/>
      <w:r w:rsidR="00B17CC7" w:rsidRPr="00505DDD">
        <w:rPr>
          <w:i/>
        </w:rPr>
        <w:t>2019.gada</w:t>
      </w:r>
      <w:proofErr w:type="gramEnd"/>
      <w:r w:rsidR="00B17CC7" w:rsidRPr="00505DDD">
        <w:rPr>
          <w:i/>
        </w:rPr>
        <w:t xml:space="preserve"> 8.maija sprieduma lietā EN.SA, C-712/17, ECLI:EU:C:2019:374</w:t>
      </w:r>
      <w:r w:rsidR="001474FD" w:rsidRPr="00505DDD">
        <w:rPr>
          <w:i/>
        </w:rPr>
        <w:t>,</w:t>
      </w:r>
      <w:r w:rsidR="00B17CC7" w:rsidRPr="00505DDD">
        <w:rPr>
          <w:i/>
        </w:rPr>
        <w:t xml:space="preserve"> 22.–26. un 31.–32.punkts</w:t>
      </w:r>
      <w:r w:rsidR="00B17CC7" w:rsidRPr="00505DDD">
        <w:t>)</w:t>
      </w:r>
      <w:r w:rsidR="00B17CC7" w:rsidRPr="00505DDD">
        <w:rPr>
          <w:lang w:eastAsia="lv-LV"/>
        </w:rPr>
        <w:t>.</w:t>
      </w:r>
    </w:p>
    <w:p w14:paraId="4A0B0935" w14:textId="30AAB3D7" w:rsidR="00BE0596" w:rsidRPr="00505DDD" w:rsidRDefault="007231B5" w:rsidP="00D935C6">
      <w:pPr>
        <w:spacing w:line="276" w:lineRule="auto"/>
        <w:ind w:firstLine="567"/>
        <w:jc w:val="both"/>
      </w:pPr>
      <w:r w:rsidRPr="00505DDD">
        <w:rPr>
          <w:lang w:eastAsia="lv-LV"/>
        </w:rPr>
        <w:t>Tātad par fiktīvu darījumu nevar atskaitīt priekšnodokli</w:t>
      </w:r>
      <w:r w:rsidR="0048190F" w:rsidRPr="00505DDD">
        <w:rPr>
          <w:lang w:eastAsia="lv-LV"/>
        </w:rPr>
        <w:t xml:space="preserve">, </w:t>
      </w:r>
      <w:r w:rsidRPr="00505DDD">
        <w:rPr>
          <w:lang w:eastAsia="lv-LV"/>
        </w:rPr>
        <w:t>vienlaikus fiktīvs darījums neatbrīvo nodokļa maksātāju no pievienotās vērtības nodokļa</w:t>
      </w:r>
      <w:r w:rsidR="004B2832" w:rsidRPr="00505DDD">
        <w:rPr>
          <w:lang w:eastAsia="lv-LV"/>
        </w:rPr>
        <w:t xml:space="preserve"> </w:t>
      </w:r>
      <w:r w:rsidRPr="00505DDD">
        <w:rPr>
          <w:lang w:eastAsia="lv-LV"/>
        </w:rPr>
        <w:t>nomaksas budžetā</w:t>
      </w:r>
      <w:r w:rsidR="0048190F" w:rsidRPr="00505DDD">
        <w:rPr>
          <w:lang w:eastAsia="lv-LV"/>
        </w:rPr>
        <w:t>, jo rēķinā norādītais nodoklis rada tiesības rēķina saņēmējam</w:t>
      </w:r>
      <w:r w:rsidR="004B2832" w:rsidRPr="00505DDD">
        <w:rPr>
          <w:lang w:eastAsia="lv-LV"/>
        </w:rPr>
        <w:t xml:space="preserve"> jeb darījumu ķēdes dalībniekam</w:t>
      </w:r>
      <w:r w:rsidR="0048190F" w:rsidRPr="00505DDD">
        <w:rPr>
          <w:lang w:eastAsia="lv-LV"/>
        </w:rPr>
        <w:t xml:space="preserve"> </w:t>
      </w:r>
      <w:r w:rsidR="00D30598" w:rsidRPr="00505DDD">
        <w:rPr>
          <w:lang w:eastAsia="lv-LV"/>
        </w:rPr>
        <w:t>atskaitīt priekšnodokli</w:t>
      </w:r>
      <w:r w:rsidR="004B2832" w:rsidRPr="00505DDD">
        <w:rPr>
          <w:lang w:eastAsia="lv-LV"/>
        </w:rPr>
        <w:t>. Ievērojot minēto, pieteicējas argumenti nerada šaubas par sprieduma tiesiskumu.</w:t>
      </w:r>
    </w:p>
    <w:p w14:paraId="2EA61B37" w14:textId="77777777" w:rsidR="001A3344" w:rsidRPr="00505DDD" w:rsidRDefault="001A3344" w:rsidP="00D935C6">
      <w:pPr>
        <w:spacing w:line="276" w:lineRule="auto"/>
        <w:ind w:firstLine="567"/>
        <w:jc w:val="both"/>
        <w:rPr>
          <w:rFonts w:ascii="Open Sans" w:hAnsi="Open Sans" w:cs="Open Sans"/>
          <w:sz w:val="18"/>
          <w:szCs w:val="18"/>
        </w:rPr>
      </w:pPr>
    </w:p>
    <w:p w14:paraId="14DFCFE9" w14:textId="400734C8" w:rsidR="00446B78" w:rsidRPr="00505DDD" w:rsidRDefault="00446B78" w:rsidP="00D935C6">
      <w:pPr>
        <w:spacing w:line="276" w:lineRule="auto"/>
        <w:ind w:firstLine="567"/>
        <w:jc w:val="both"/>
      </w:pPr>
      <w:r w:rsidRPr="00505DDD">
        <w:t>[4]</w:t>
      </w:r>
      <w:r w:rsidR="00FD6363" w:rsidRPr="00505DDD">
        <w:t xml:space="preserve"> </w:t>
      </w:r>
      <w:r w:rsidR="0030381C" w:rsidRPr="00505DDD">
        <w:t>Pieteicēja argumentē</w:t>
      </w:r>
      <w:r w:rsidRPr="00505DDD">
        <w:t>, ka</w:t>
      </w:r>
      <w:r w:rsidR="00F5311E" w:rsidRPr="00505DDD">
        <w:t xml:space="preserve"> apgabaltiesa</w:t>
      </w:r>
      <w:r w:rsidRPr="00505DDD">
        <w:t xml:space="preserve"> bez </w:t>
      </w:r>
      <w:r w:rsidR="00F5311E" w:rsidRPr="00505DDD">
        <w:t>pienācīgas motivācijas noraidījusi</w:t>
      </w:r>
      <w:r w:rsidR="00FE55C9" w:rsidRPr="00505DDD">
        <w:t xml:space="preserve"> pieteicējas lūgumu</w:t>
      </w:r>
      <w:r w:rsidR="007F1DA5" w:rsidRPr="00505DDD">
        <w:t xml:space="preserve"> par lieciniek</w:t>
      </w:r>
      <w:r w:rsidR="00AA3111" w:rsidRPr="00505DDD">
        <w:t>u</w:t>
      </w:r>
      <w:r w:rsidR="00E83D93">
        <w:t xml:space="preserve"> [pers. A]</w:t>
      </w:r>
      <w:r w:rsidRPr="00505DDD">
        <w:t xml:space="preserve">, </w:t>
      </w:r>
      <w:r w:rsidR="00E83D93">
        <w:t>[pers. B]</w:t>
      </w:r>
      <w:r w:rsidRPr="00505DDD">
        <w:t xml:space="preserve">, </w:t>
      </w:r>
      <w:r w:rsidR="00E83D93">
        <w:t xml:space="preserve">[pers. C] </w:t>
      </w:r>
      <w:r w:rsidRPr="00505DDD">
        <w:t xml:space="preserve">un </w:t>
      </w:r>
      <w:r w:rsidR="00E83D93">
        <w:t xml:space="preserve">[pers. E] </w:t>
      </w:r>
      <w:r w:rsidRPr="00505DDD">
        <w:t>nopratināšanu.</w:t>
      </w:r>
    </w:p>
    <w:p w14:paraId="3E81B616" w14:textId="460FA0CC" w:rsidR="00446B78" w:rsidRPr="00505DDD" w:rsidRDefault="00446B78" w:rsidP="00D935C6">
      <w:pPr>
        <w:spacing w:line="276" w:lineRule="auto"/>
        <w:ind w:firstLine="567"/>
        <w:jc w:val="both"/>
      </w:pPr>
      <w:r w:rsidRPr="00505DDD">
        <w:t xml:space="preserve">Šādam </w:t>
      </w:r>
      <w:r w:rsidR="00EF0021" w:rsidRPr="00505DDD">
        <w:t xml:space="preserve">apgalvojumam </w:t>
      </w:r>
      <w:r w:rsidRPr="00505DDD">
        <w:t xml:space="preserve">nevar piekrist. Apgabaltiesa spriedumā </w:t>
      </w:r>
      <w:r w:rsidR="00F5311E" w:rsidRPr="00505DDD">
        <w:t xml:space="preserve">ir </w:t>
      </w:r>
      <w:r w:rsidRPr="00505DDD">
        <w:t>norādījusi, ka</w:t>
      </w:r>
      <w:r w:rsidR="00E83D93">
        <w:t xml:space="preserve"> [pers. A]</w:t>
      </w:r>
      <w:r w:rsidR="007F1DA5" w:rsidRPr="00505DDD">
        <w:t xml:space="preserve">, </w:t>
      </w:r>
      <w:r w:rsidR="00E83D93">
        <w:t xml:space="preserve">[pers. C] </w:t>
      </w:r>
      <w:r w:rsidR="007F1DA5" w:rsidRPr="00505DDD">
        <w:t xml:space="preserve">un </w:t>
      </w:r>
      <w:r w:rsidR="00E83D93">
        <w:t xml:space="preserve">[pers. E] </w:t>
      </w:r>
      <w:r w:rsidR="007F1DA5" w:rsidRPr="00505DDD">
        <w:t xml:space="preserve">nav nepieciešams nopratināt, jo šīs personas jau ir sniegušas paskaidrojumus Valsts ieņēmumu dienestam. </w:t>
      </w:r>
      <w:r w:rsidR="000F6CF6" w:rsidRPr="00505DDD">
        <w:t>Pieteic</w:t>
      </w:r>
      <w:r w:rsidR="003202B2" w:rsidRPr="00505DDD">
        <w:t>ēja</w:t>
      </w:r>
      <w:r w:rsidR="000F6CF6" w:rsidRPr="00505DDD">
        <w:t xml:space="preserve"> uzskata, ka lieciniekus bija nepieciešams nopratināt vēlreiz, jo Valsts ieņēmumu dienests un pirmās instances tiesa paskaidrojumus iztulkoju</w:t>
      </w:r>
      <w:r w:rsidR="00814596" w:rsidRPr="00505DDD">
        <w:t>si</w:t>
      </w:r>
      <w:r w:rsidR="000F6CF6" w:rsidRPr="00505DDD">
        <w:t xml:space="preserve"> pret</w:t>
      </w:r>
      <w:r w:rsidR="003202B2" w:rsidRPr="00505DDD">
        <w:t>ēji to saturam</w:t>
      </w:r>
      <w:r w:rsidR="00CF39F3" w:rsidRPr="00505DDD">
        <w:t xml:space="preserve">. </w:t>
      </w:r>
      <w:r w:rsidR="00AD4238" w:rsidRPr="00505DDD">
        <w:t xml:space="preserve">Minētais pieteicējas apsvērums liecina par to, ka pieteicēja nepiekrīt pierādījumu novērtējumam, bet nenorāda uz tiesas pieļautu procesuālu pārkāpumu. </w:t>
      </w:r>
      <w:r w:rsidR="008B5F13" w:rsidRPr="00505DDD">
        <w:t>S</w:t>
      </w:r>
      <w:r w:rsidR="00CF39F3" w:rsidRPr="00505DDD">
        <w:t>enatoru kolēģija norāda, ka tas, ka pieteicēja nepiekrīt tiesas pierādījumu novērtējumam, nenozīmē, ka tiesa pierādījumus ir novērtējusi nepareizi</w:t>
      </w:r>
      <w:r w:rsidR="00B5272B" w:rsidRPr="00505DDD">
        <w:t xml:space="preserve"> vai ka būtu pamats personas uzklausīt atkārtoti</w:t>
      </w:r>
      <w:r w:rsidR="00CF39F3" w:rsidRPr="00505DDD">
        <w:t xml:space="preserve">. </w:t>
      </w:r>
      <w:r w:rsidR="00A35D99" w:rsidRPr="00505DDD">
        <w:t>Tāpat S</w:t>
      </w:r>
      <w:r w:rsidRPr="00505DDD">
        <w:t xml:space="preserve">enāts jau iepriekš atzinis, ka tas, ka pieteicējai ir atšķirīgs viedoklis par pierādījumu pietiekamību, piemēram, ka tiesai vajadzēja vēlreiz uzklausīt </w:t>
      </w:r>
      <w:r w:rsidR="007F1DA5" w:rsidRPr="00505DDD">
        <w:t xml:space="preserve">personas, </w:t>
      </w:r>
      <w:r w:rsidRPr="00505DDD">
        <w:t>kas jau sniegušas paskaidrojumus Valsts ieņēmumu dienestam, nevar būt pamats kasācijas tiesvedības ierosināšanai (</w:t>
      </w:r>
      <w:r w:rsidRPr="00505DDD">
        <w:rPr>
          <w:i/>
        </w:rPr>
        <w:t xml:space="preserve">Senāta </w:t>
      </w:r>
      <w:proofErr w:type="gramStart"/>
      <w:r w:rsidRPr="00505DDD">
        <w:rPr>
          <w:i/>
        </w:rPr>
        <w:t>2017.gada</w:t>
      </w:r>
      <w:proofErr w:type="gramEnd"/>
      <w:r w:rsidRPr="00505DDD">
        <w:rPr>
          <w:i/>
        </w:rPr>
        <w:t xml:space="preserve"> 4.septembra </w:t>
      </w:r>
      <w:r w:rsidR="00ED3E81" w:rsidRPr="00505DDD">
        <w:rPr>
          <w:i/>
        </w:rPr>
        <w:t>lēmuma</w:t>
      </w:r>
      <w:r w:rsidRPr="00505DDD">
        <w:rPr>
          <w:i/>
        </w:rPr>
        <w:t xml:space="preserve"> lietā Nr. SKA</w:t>
      </w:r>
      <w:r w:rsidRPr="00505DDD">
        <w:rPr>
          <w:i/>
        </w:rPr>
        <w:noBreakHyphen/>
        <w:t>610/2017 (</w:t>
      </w:r>
      <w:hyperlink r:id="rId8" w:history="1">
        <w:r w:rsidRPr="00505DDD">
          <w:rPr>
            <w:rStyle w:val="Hyperlink"/>
            <w:i/>
            <w:color w:val="auto"/>
          </w:rPr>
          <w:t>ECLI:LV:AT:2017:0904.A420344714.2.L</w:t>
        </w:r>
      </w:hyperlink>
      <w:r w:rsidRPr="00505DDD">
        <w:rPr>
          <w:i/>
        </w:rPr>
        <w:t>) 8.punkts</w:t>
      </w:r>
      <w:r w:rsidRPr="00505DDD">
        <w:t xml:space="preserve">). </w:t>
      </w:r>
    </w:p>
    <w:p w14:paraId="56C41184" w14:textId="550995F4" w:rsidR="00446B78" w:rsidRPr="00505DDD" w:rsidRDefault="00446B78" w:rsidP="00D935C6">
      <w:pPr>
        <w:spacing w:line="276" w:lineRule="auto"/>
        <w:ind w:firstLine="680"/>
        <w:jc w:val="both"/>
      </w:pPr>
      <w:r w:rsidRPr="00505DDD">
        <w:t xml:space="preserve">Attiecībā uz liecinieku </w:t>
      </w:r>
      <w:r w:rsidR="00E83D93">
        <w:t xml:space="preserve">[pers. B] </w:t>
      </w:r>
      <w:r w:rsidRPr="00505DDD">
        <w:t>apgabaltiesa</w:t>
      </w:r>
      <w:r w:rsidR="002D7E28" w:rsidRPr="00505DDD">
        <w:t xml:space="preserve"> ir</w:t>
      </w:r>
      <w:r w:rsidRPr="00505DDD">
        <w:t xml:space="preserve"> konstatējusi, ka pirmās instances tiesa šo personu</w:t>
      </w:r>
      <w:r w:rsidR="00F5311E" w:rsidRPr="00505DDD">
        <w:t xml:space="preserve"> jau</w:t>
      </w:r>
      <w:r w:rsidRPr="00505DDD">
        <w:t xml:space="preserve"> ir nopratinā</w:t>
      </w:r>
      <w:r w:rsidR="002D7E28" w:rsidRPr="00505DDD">
        <w:t>jusi</w:t>
      </w:r>
      <w:r w:rsidR="001205D7" w:rsidRPr="00505DDD">
        <w:t>,</w:t>
      </w:r>
      <w:r w:rsidR="00814596" w:rsidRPr="00505DDD">
        <w:t xml:space="preserve"> kā arī</w:t>
      </w:r>
      <w:r w:rsidR="001205D7" w:rsidRPr="00505DDD">
        <w:t xml:space="preserve"> procesa dalībniekiem ir bijusi iespēja uzdot </w:t>
      </w:r>
      <w:r w:rsidR="00A35D99" w:rsidRPr="00505DDD">
        <w:t xml:space="preserve">lieciniekam </w:t>
      </w:r>
      <w:r w:rsidR="001205D7" w:rsidRPr="00505DDD">
        <w:t xml:space="preserve">jautājumus, līdz ar to apgabaltiesa nesaskata nepieciešamību </w:t>
      </w:r>
      <w:r w:rsidR="00E83D93">
        <w:t xml:space="preserve">[pers. B] </w:t>
      </w:r>
      <w:r w:rsidR="002D7E28" w:rsidRPr="00505DDD">
        <w:t>nopratināt atk</w:t>
      </w:r>
      <w:r w:rsidR="001205D7" w:rsidRPr="00505DDD">
        <w:t>ārtoti.</w:t>
      </w:r>
    </w:p>
    <w:p w14:paraId="3732A2B6" w14:textId="530135EF" w:rsidR="00390AD1" w:rsidRPr="00505DDD" w:rsidRDefault="00390AD1" w:rsidP="00D935C6">
      <w:pPr>
        <w:spacing w:line="276" w:lineRule="auto"/>
        <w:ind w:firstLine="567"/>
        <w:jc w:val="both"/>
      </w:pPr>
      <w:r w:rsidRPr="00505DDD">
        <w:t>Senatoru kolēģija norāda, ka to, vai iegūtie pierādījumi ir pietiekami lietas izlemšanai, tiesa ir kompetenta izlemt pati (</w:t>
      </w:r>
      <w:r w:rsidRPr="00505DDD">
        <w:rPr>
          <w:i/>
        </w:rPr>
        <w:t xml:space="preserve">Senāta </w:t>
      </w:r>
      <w:proofErr w:type="gramStart"/>
      <w:r w:rsidRPr="00505DDD">
        <w:rPr>
          <w:i/>
        </w:rPr>
        <w:t>2019.gada</w:t>
      </w:r>
      <w:proofErr w:type="gramEnd"/>
      <w:r w:rsidRPr="00505DDD">
        <w:rPr>
          <w:i/>
        </w:rPr>
        <w:t xml:space="preserve"> 31.jūlija lēmuma lietā Nr. SKA-1080/2019 (</w:t>
      </w:r>
      <w:hyperlink r:id="rId9" w:history="1">
        <w:r w:rsidRPr="00505DDD">
          <w:rPr>
            <w:rStyle w:val="Hyperlink"/>
            <w:i/>
            <w:color w:val="auto"/>
          </w:rPr>
          <w:t>ECLI:LV:AT:2019:0731.A420264416.20.L</w:t>
        </w:r>
      </w:hyperlink>
      <w:r w:rsidRPr="00505DDD">
        <w:rPr>
          <w:i/>
        </w:rPr>
        <w:t>) 5.punkts</w:t>
      </w:r>
      <w:r w:rsidRPr="00505DDD">
        <w:t xml:space="preserve">). Līdz ar to, ja tiesa uzskata, ka liecinieku atkārtoti nopratināt nav nepieciešams, tā ir tiesīga lūgumu noraidīt. </w:t>
      </w:r>
    </w:p>
    <w:p w14:paraId="471362CA" w14:textId="77777777" w:rsidR="008B5F13" w:rsidRPr="00505DDD" w:rsidRDefault="00CF61B3" w:rsidP="00D935C6">
      <w:pPr>
        <w:spacing w:line="276" w:lineRule="auto"/>
        <w:ind w:firstLine="567"/>
        <w:jc w:val="both"/>
      </w:pPr>
      <w:r w:rsidRPr="00505DDD">
        <w:t>N</w:t>
      </w:r>
      <w:r w:rsidR="00446B78" w:rsidRPr="00505DDD">
        <w:t>av pamatots pieteicējas iebildums, ka šāda apgabaltiesas rīcība, atsakoties atkārtoti nopratināt lieciniekus, ir nepieļaujama Administratīvā procesa likuma izpratnē, jo rajona tiesa ir rīkojusies</w:t>
      </w:r>
      <w:r w:rsidR="00A35D99" w:rsidRPr="00505DDD">
        <w:t xml:space="preserve"> pretēji</w:t>
      </w:r>
      <w:r w:rsidR="00446B78" w:rsidRPr="00505DDD">
        <w:t>, proti, apmierinājusi pieteicējas lūgumu par lieci</w:t>
      </w:r>
      <w:r w:rsidR="00F5311E" w:rsidRPr="00505DDD">
        <w:t xml:space="preserve">nieku, </w:t>
      </w:r>
      <w:r w:rsidRPr="00505DDD">
        <w:t>kuri</w:t>
      </w:r>
      <w:r w:rsidR="00814596" w:rsidRPr="00505DDD">
        <w:t xml:space="preserve"> arī</w:t>
      </w:r>
      <w:r w:rsidRPr="00505DDD">
        <w:t xml:space="preserve"> jau snieguši paskaidrojumus Valsts ieņēmumu dienestam, nopratināšanu. </w:t>
      </w:r>
    </w:p>
    <w:p w14:paraId="77C1F9E3" w14:textId="39C4EB24" w:rsidR="00446B78" w:rsidRPr="00505DDD" w:rsidRDefault="0035608F" w:rsidP="00D935C6">
      <w:pPr>
        <w:spacing w:line="276" w:lineRule="auto"/>
        <w:ind w:firstLine="567"/>
        <w:jc w:val="both"/>
      </w:pPr>
      <w:r w:rsidRPr="00505DDD">
        <w:lastRenderedPageBreak/>
        <w:t>Kā jau iepriekš skaidrots, tiesa pati var izlemt, vai lietā iegūtie pierādījumi ir pietiekami, līdz ar to a</w:t>
      </w:r>
      <w:r w:rsidR="00446B78" w:rsidRPr="00505DDD">
        <w:t>pgabaltiesai pašai ir tiesības izvērtēt, vai lietā ir nepieciešami papildu pierādījumi, tai skaitā, vai ir nepieciešams nopratināt lieciniekus. Tiesai nav saistoša zemākas instances tiesas rīcība šajā jautājumā, t.</w:t>
      </w:r>
      <w:r w:rsidR="00E75C62" w:rsidRPr="00505DDD">
        <w:t> </w:t>
      </w:r>
      <w:r w:rsidR="00446B78" w:rsidRPr="00505DDD">
        <w:t xml:space="preserve">i., tas, ka pirmās instances tiesa atzina par nepieciešamu nopratināt personas, kas jau bija </w:t>
      </w:r>
      <w:r w:rsidR="00B5272B" w:rsidRPr="00505DDD">
        <w:t xml:space="preserve">sniegušas </w:t>
      </w:r>
      <w:r w:rsidR="00CF61B3" w:rsidRPr="00505DDD">
        <w:t xml:space="preserve">paskaidrojumus </w:t>
      </w:r>
      <w:r w:rsidR="00446B78" w:rsidRPr="00505DDD">
        <w:t xml:space="preserve">Valsts ieņēmumu dienestam, nenozīmē, ka tieši tāpat jārīkojas arī apgabaltiesai. </w:t>
      </w:r>
    </w:p>
    <w:p w14:paraId="08204E1C" w14:textId="77777777" w:rsidR="00BE0596" w:rsidRPr="00505DDD" w:rsidRDefault="00BE0596" w:rsidP="00D935C6">
      <w:pPr>
        <w:spacing w:line="276" w:lineRule="auto"/>
        <w:ind w:firstLine="567"/>
        <w:jc w:val="both"/>
      </w:pPr>
    </w:p>
    <w:p w14:paraId="7EF57798" w14:textId="1888C0A1" w:rsidR="00BE0596" w:rsidRPr="00505DDD" w:rsidRDefault="00446B78" w:rsidP="00D935C6">
      <w:pPr>
        <w:spacing w:line="276" w:lineRule="auto"/>
        <w:ind w:firstLine="567"/>
        <w:jc w:val="both"/>
      </w:pPr>
      <w:r w:rsidRPr="00505DDD">
        <w:t>[5] Pieteicēja kasācijas sūdzībā lūgusi Senātu, izlasot pieteicējas apelācijas sūdzību, pārliecināti</w:t>
      </w:r>
      <w:r w:rsidR="006C1D67" w:rsidRPr="00505DDD">
        <w:t>es par to, cik daudz p</w:t>
      </w:r>
      <w:r w:rsidR="00B33747" w:rsidRPr="00505DDD">
        <w:t>ieteicējas iebildumu</w:t>
      </w:r>
      <w:r w:rsidR="008F5BB5" w:rsidRPr="00505DDD">
        <w:t xml:space="preserve"> par</w:t>
      </w:r>
      <w:r w:rsidRPr="00505DDD">
        <w:t xml:space="preserve"> lietā esošo pi</w:t>
      </w:r>
      <w:r w:rsidR="008F5BB5" w:rsidRPr="00505DDD">
        <w:t>erādījumu novērtēšanu</w:t>
      </w:r>
      <w:r w:rsidRPr="00505DDD">
        <w:t xml:space="preserve"> apgabaltiesa ir atstājusi bez ievērības. </w:t>
      </w:r>
    </w:p>
    <w:p w14:paraId="65B579DC" w14:textId="5A67A595" w:rsidR="008F5BB5" w:rsidRPr="00505DDD" w:rsidRDefault="00F75888" w:rsidP="00D935C6">
      <w:pPr>
        <w:spacing w:line="276" w:lineRule="auto"/>
        <w:ind w:firstLine="567"/>
        <w:jc w:val="both"/>
        <w:rPr>
          <w:rFonts w:asciiTheme="majorBidi" w:hAnsiTheme="majorBidi" w:cstheme="majorBidi"/>
        </w:rPr>
      </w:pPr>
      <w:r w:rsidRPr="00505DDD">
        <w:t>Senatoru kolēģija norā</w:t>
      </w:r>
      <w:r w:rsidR="008F5BB5" w:rsidRPr="00505DDD">
        <w:t>da, ka a</w:t>
      </w:r>
      <w:r w:rsidR="00EF0021" w:rsidRPr="00505DDD">
        <w:t xml:space="preserve">tbilstoši Administratīvā procesa likuma </w:t>
      </w:r>
      <w:proofErr w:type="gramStart"/>
      <w:r w:rsidR="00EF0021" w:rsidRPr="00505DDD">
        <w:t>325.pantam</w:t>
      </w:r>
      <w:proofErr w:type="gramEnd"/>
      <w:r w:rsidR="00EF0021" w:rsidRPr="00505DDD">
        <w:t xml:space="preserve"> </w:t>
      </w:r>
      <w:r w:rsidR="00EF0021" w:rsidRPr="00505DDD">
        <w:rPr>
          <w:rFonts w:asciiTheme="majorBidi" w:hAnsiTheme="majorBidi" w:cstheme="majorBidi"/>
        </w:rPr>
        <w:t xml:space="preserve">Senāta kompetencē ir pārbaudīt, vai zemākas instances tiesa lietas izskatīšanā ievērojusi procesuālo un materiālo tiesību normas. Administratīvā procesa likuma </w:t>
      </w:r>
      <w:proofErr w:type="gramStart"/>
      <w:r w:rsidR="00EF0021" w:rsidRPr="00505DDD">
        <w:rPr>
          <w:rFonts w:asciiTheme="majorBidi" w:hAnsiTheme="majorBidi" w:cstheme="majorBidi"/>
        </w:rPr>
        <w:t>328.panta</w:t>
      </w:r>
      <w:proofErr w:type="gramEnd"/>
      <w:r w:rsidR="00EF0021" w:rsidRPr="00505DDD">
        <w:rPr>
          <w:rFonts w:asciiTheme="majorBidi" w:hAnsiTheme="majorBidi" w:cstheme="majorBidi"/>
        </w:rPr>
        <w:t xml:space="preserve"> pirmās daļas 6.punkts noteic, ka kasācijas sūdzībā jānorāda, </w:t>
      </w:r>
      <w:r w:rsidR="00EF0021" w:rsidRPr="00505DDD">
        <w:rPr>
          <w:rFonts w:asciiTheme="majorBidi" w:hAnsiTheme="majorBidi" w:cstheme="majorBidi"/>
          <w:shd w:val="clear" w:color="auto" w:fill="FFFFFF"/>
        </w:rPr>
        <w:t>kādu materiālo vai procesuāl</w:t>
      </w:r>
      <w:r w:rsidR="00CF61B3" w:rsidRPr="00505DDD">
        <w:rPr>
          <w:rFonts w:asciiTheme="majorBidi" w:hAnsiTheme="majorBidi" w:cstheme="majorBidi"/>
          <w:shd w:val="clear" w:color="auto" w:fill="FFFFFF"/>
        </w:rPr>
        <w:t>o tiesību normu tiesa pārkāpusi,</w:t>
      </w:r>
      <w:r w:rsidR="00EF0021" w:rsidRPr="00505DDD">
        <w:rPr>
          <w:rFonts w:asciiTheme="majorBidi" w:hAnsiTheme="majorBidi" w:cstheme="majorBidi"/>
          <w:shd w:val="clear" w:color="auto" w:fill="FFFFFF"/>
        </w:rPr>
        <w:t xml:space="preserve"> un pamatojumu, kā izpaužas šis pārkāpums</w:t>
      </w:r>
      <w:r w:rsidR="00EF0021" w:rsidRPr="00505DDD">
        <w:rPr>
          <w:rFonts w:asciiTheme="majorBidi" w:hAnsiTheme="majorBidi" w:cstheme="majorBidi"/>
        </w:rPr>
        <w:t>.</w:t>
      </w:r>
      <w:r w:rsidR="008F5BB5" w:rsidRPr="00505DDD">
        <w:rPr>
          <w:rFonts w:asciiTheme="majorBidi" w:hAnsiTheme="majorBidi" w:cstheme="majorBidi"/>
        </w:rPr>
        <w:t xml:space="preserve"> </w:t>
      </w:r>
    </w:p>
    <w:p w14:paraId="1718AAB8" w14:textId="39A097FB" w:rsidR="006C1D67" w:rsidRPr="00505DDD" w:rsidRDefault="008F5BB5" w:rsidP="00D935C6">
      <w:pPr>
        <w:spacing w:line="276" w:lineRule="auto"/>
        <w:ind w:firstLine="567"/>
        <w:jc w:val="both"/>
      </w:pPr>
      <w:r w:rsidRPr="00505DDD">
        <w:t>Senāta kompetencē nav izvērtēt pieteicējas apelācijas sūdzību, bet gan konkrētus pieteicējas iebildumus par apgabaltiesas spriedumu</w:t>
      </w:r>
      <w:r w:rsidR="00F75888" w:rsidRPr="00505DDD">
        <w:t>, kas norādīti kasācijas sūdzībā</w:t>
      </w:r>
      <w:r w:rsidRPr="00505DDD">
        <w:t xml:space="preserve">. </w:t>
      </w:r>
      <w:r w:rsidR="005E7211" w:rsidRPr="00505DDD">
        <w:t>Ja sekotu pieteicējas argumentam, tas nozīmētu, ka Senāts faktiski iestājas pieteicējas vietā, Senātam pašam atrodot pieteicējas argumentus un to, vai uz tiem ir atbildēts</w:t>
      </w:r>
      <w:r w:rsidR="00DE3242" w:rsidRPr="00505DDD">
        <w:t>, tādējādi patstāvīgi veidojot kasācijas sūdzības motivāciju</w:t>
      </w:r>
      <w:r w:rsidR="005E7211" w:rsidRPr="00505DDD">
        <w:t xml:space="preserve">. Tas acīmredzami nav Senāta uzdevums. </w:t>
      </w:r>
      <w:r w:rsidRPr="00505DDD">
        <w:t>Tā kā pieteicēja nav norādījusi, kādus tieši pieteicējas iebildumus apgabaltiesa nav ņēmusi vērā un kā tas ietekmējis</w:t>
      </w:r>
      <w:r w:rsidR="002D0D00" w:rsidRPr="00505DDD">
        <w:t xml:space="preserve"> vai varējis ietekmēt</w:t>
      </w:r>
      <w:r w:rsidRPr="00505DDD">
        <w:t xml:space="preserve"> lietas rezultātu, šāds vispārīgs iebildums nav pārbaudāms kasācijas</w:t>
      </w:r>
      <w:r w:rsidR="00B33747" w:rsidRPr="00505DDD">
        <w:t xml:space="preserve"> tiesvedības</w:t>
      </w:r>
      <w:r w:rsidRPr="00505DDD">
        <w:t xml:space="preserve"> kārtībā. </w:t>
      </w:r>
    </w:p>
    <w:p w14:paraId="05582A22" w14:textId="77777777" w:rsidR="001B7D49" w:rsidRPr="00505DDD" w:rsidRDefault="001B7D49" w:rsidP="00D935C6">
      <w:pPr>
        <w:spacing w:line="276" w:lineRule="auto"/>
        <w:ind w:firstLine="567"/>
        <w:jc w:val="both"/>
      </w:pPr>
    </w:p>
    <w:p w14:paraId="1A3E6E55" w14:textId="3000135D" w:rsidR="007F07E9" w:rsidRPr="00505DDD" w:rsidRDefault="001B7D49" w:rsidP="00D935C6">
      <w:pPr>
        <w:spacing w:line="276" w:lineRule="auto"/>
        <w:ind w:firstLine="567"/>
        <w:jc w:val="both"/>
      </w:pPr>
      <w:r w:rsidRPr="00505DDD">
        <w:t xml:space="preserve">[6] </w:t>
      </w:r>
      <w:r w:rsidR="00451FFC" w:rsidRPr="00505DDD">
        <w:t>Pieteicēja norāda,</w:t>
      </w:r>
      <w:r w:rsidR="006C1D67" w:rsidRPr="00505DDD">
        <w:t xml:space="preserve"> ka apgabaltiesa bez ievērības atstājusi pieteicējas lūgumu par ekspertīzes noteikšanu lietā. Pieteicēja</w:t>
      </w:r>
      <w:r w:rsidR="00BD5D8A" w:rsidRPr="00505DDD">
        <w:t xml:space="preserve"> argumentē, ka </w:t>
      </w:r>
      <w:r w:rsidR="00400AC3" w:rsidRPr="00505DDD">
        <w:t>pierādījumu pareizai novērtēšanai bija nepieciešamas specifiskas zināšanas inform</w:t>
      </w:r>
      <w:r w:rsidR="002D7225" w:rsidRPr="00505DDD">
        <w:t>ācijas</w:t>
      </w:r>
      <w:r w:rsidR="00400AC3" w:rsidRPr="00505DDD">
        <w:t xml:space="preserve"> tehnoloģiju un elektronikas jomā</w:t>
      </w:r>
      <w:r w:rsidR="00DA6A0C" w:rsidRPr="00505DDD">
        <w:t xml:space="preserve">, kā piemēru minot </w:t>
      </w:r>
      <w:r w:rsidR="008C72B7" w:rsidRPr="00505DDD">
        <w:t>lieciniek</w:t>
      </w:r>
      <w:r w:rsidR="004A5478" w:rsidRPr="00505DDD">
        <w:t>u</w:t>
      </w:r>
      <w:r w:rsidR="00DA6A0C" w:rsidRPr="00505DDD">
        <w:t xml:space="preserve"> </w:t>
      </w:r>
      <w:r w:rsidR="00EF3FAB">
        <w:t xml:space="preserve">[pers. C] </w:t>
      </w:r>
      <w:r w:rsidR="00DA6A0C" w:rsidRPr="00505DDD">
        <w:t xml:space="preserve">un </w:t>
      </w:r>
      <w:r w:rsidR="00EF3FAB">
        <w:t xml:space="preserve">[pers. E] </w:t>
      </w:r>
      <w:r w:rsidR="00DA6A0C" w:rsidRPr="00505DDD">
        <w:t>liecību novērtē</w:t>
      </w:r>
      <w:r w:rsidR="004A5478" w:rsidRPr="00505DDD">
        <w:t>jumu</w:t>
      </w:r>
      <w:r w:rsidR="00DA6A0C" w:rsidRPr="00505DDD">
        <w:t xml:space="preserve">. </w:t>
      </w:r>
    </w:p>
    <w:p w14:paraId="63377E5A" w14:textId="5FBEBF5E" w:rsidR="00D07FDF" w:rsidRPr="00505DDD" w:rsidRDefault="002D7225" w:rsidP="00D935C6">
      <w:pPr>
        <w:spacing w:line="276" w:lineRule="auto"/>
        <w:ind w:firstLine="567"/>
        <w:jc w:val="both"/>
      </w:pPr>
      <w:r w:rsidRPr="00505DDD">
        <w:t xml:space="preserve">Lai </w:t>
      </w:r>
      <w:r w:rsidR="00400AC3" w:rsidRPr="00505DDD">
        <w:t>arī apgabaltiesa spriedumā nav tieši izlēmusi lūgumu par ekspertīzes noteikšanu</w:t>
      </w:r>
      <w:r w:rsidR="007F07E9" w:rsidRPr="00505DDD">
        <w:t>, tā sprieduma 21.punktā ir atzinusi, ka Valsts ieņēmumu dienestam nebija pamata pieaicināt attiecīgās jomas speciālistus, jo audita laikā sniegtie paskaidrojumi bijuši vispārīgi</w:t>
      </w:r>
      <w:r w:rsidR="00193980" w:rsidRPr="00505DDD">
        <w:t xml:space="preserve">. Tiesa arī vērsusi uzmanību uz pieteicējas bezdarbību audita laikā, pašai neskaidrojot dienestam jomas specifiku, pienākumu sadali starp apakšuzņēmumiem, ne arī </w:t>
      </w:r>
      <w:proofErr w:type="gramStart"/>
      <w:r w:rsidR="00193980" w:rsidRPr="00505DDD">
        <w:t>par stāvvietu automāta uzbūvi, tādējādi neakcentējot nepieciešamību</w:t>
      </w:r>
      <w:proofErr w:type="gramEnd"/>
      <w:r w:rsidR="00193980" w:rsidRPr="00505DDD">
        <w:t xml:space="preserve"> aicināt attiecīgās jomas speciālistus</w:t>
      </w:r>
      <w:r w:rsidR="007F07E9" w:rsidRPr="00505DDD">
        <w:t xml:space="preserve">. Tā kā arī </w:t>
      </w:r>
      <w:r w:rsidR="00EF3FAB">
        <w:t xml:space="preserve">[pers. C] </w:t>
      </w:r>
      <w:r w:rsidR="007F07E9" w:rsidRPr="00505DDD">
        <w:t xml:space="preserve">un </w:t>
      </w:r>
      <w:r w:rsidR="00EF3FAB">
        <w:t xml:space="preserve">[pers. E] </w:t>
      </w:r>
      <w:r w:rsidR="007F07E9" w:rsidRPr="00505DDD">
        <w:t>paskaidrojumi tika sniegti Valsts ieņēmumu dienestam, secināms, ka apgabaltiesa</w:t>
      </w:r>
      <w:r w:rsidR="00326F20" w:rsidRPr="00505DDD">
        <w:t xml:space="preserve"> ir norādījusi</w:t>
      </w:r>
      <w:r w:rsidR="007F07E9" w:rsidRPr="00505DDD">
        <w:t>, ka to novērtēšanai nebija nepieciešama speciālistu piesaistīšana</w:t>
      </w:r>
      <w:r w:rsidR="007B5254" w:rsidRPr="00505DDD">
        <w:t>, proti, apgabaltiesa nav atstājusi bez ievērības pieteicējas lūgumu.</w:t>
      </w:r>
    </w:p>
    <w:p w14:paraId="61FE2050" w14:textId="6549435B" w:rsidR="00D07FDF" w:rsidRPr="00505DDD" w:rsidRDefault="007F07E9" w:rsidP="00D935C6">
      <w:pPr>
        <w:spacing w:line="276" w:lineRule="auto"/>
        <w:ind w:firstLine="567"/>
        <w:jc w:val="both"/>
      </w:pPr>
      <w:r w:rsidRPr="00505DDD">
        <w:t>Tāpat a</w:t>
      </w:r>
      <w:r w:rsidR="00DA6A0C" w:rsidRPr="00505DDD">
        <w:t xml:space="preserve">ttiecībā uz Valsts ieņēmumu dienesta uzdoto jautājumu un liecinieku </w:t>
      </w:r>
      <w:r w:rsidR="00D935C6">
        <w:t xml:space="preserve">[pers. C] </w:t>
      </w:r>
      <w:r w:rsidR="00DA6A0C" w:rsidRPr="00505DDD">
        <w:t xml:space="preserve">un </w:t>
      </w:r>
      <w:r w:rsidR="00D935C6">
        <w:t xml:space="preserve">[pers. E] </w:t>
      </w:r>
      <w:r w:rsidR="00DA6A0C" w:rsidRPr="00505DDD">
        <w:t xml:space="preserve">sniegto atbilžu novērtējumu apgabaltiesa sprieduma 21.punktā ir norādījusi, ka apstāklis, kā Valsts ieņēmumu dienests ir noformulējis konkrētus jautājumus, neliedz personai paskaidrojumus izvērst plašāk nekā vienā teikumā. Kasācijas sūdzībā pieteicēja norāda, ka uzdotais jautājums bijis pārāk vispārīgs, bet tam nevar piekrist. Pati pieteicēja norādījusi, ka jautājums ietvēra arī lūgumu norādīt, kādus tieši darbus personas veica, līdz ar to </w:t>
      </w:r>
      <w:r w:rsidR="00B47B25" w:rsidRPr="00505DDD">
        <w:t xml:space="preserve">lieciniekiem </w:t>
      </w:r>
      <w:r w:rsidR="00DA6A0C" w:rsidRPr="00505DDD">
        <w:t xml:space="preserve">bija iespēja izvērsti un konkrēti to norādīt. </w:t>
      </w:r>
    </w:p>
    <w:p w14:paraId="159036BD" w14:textId="20169363" w:rsidR="00DA6A0C" w:rsidRPr="00505DDD" w:rsidRDefault="00BD1148" w:rsidP="00D935C6">
      <w:pPr>
        <w:spacing w:line="276" w:lineRule="auto"/>
        <w:ind w:firstLine="567"/>
        <w:jc w:val="both"/>
      </w:pPr>
      <w:r w:rsidRPr="00505DDD">
        <w:t xml:space="preserve">Nevar uzskatīt, ka bija nepieciešams pieaicināt ekspertus, lai konkretizētu uzdotos jautājumus, tāpat nevar piekrist </w:t>
      </w:r>
      <w:r w:rsidR="00DA6A0C" w:rsidRPr="00505DDD">
        <w:t xml:space="preserve">pieteicējas iebildumiem, ka liecinieku paskaidrojumus varētu </w:t>
      </w:r>
      <w:r w:rsidR="00DA6A0C" w:rsidRPr="00505DDD">
        <w:lastRenderedPageBreak/>
        <w:t xml:space="preserve">izprast </w:t>
      </w:r>
      <w:r w:rsidR="00B47B25" w:rsidRPr="00505DDD">
        <w:t xml:space="preserve">un novērtēt </w:t>
      </w:r>
      <w:r w:rsidR="00DA6A0C" w:rsidRPr="00505DDD">
        <w:t>tikai eksperti ar speciālām zināšanām</w:t>
      </w:r>
      <w:r w:rsidR="00924E81" w:rsidRPr="00505DDD">
        <w:t>.</w:t>
      </w:r>
      <w:r w:rsidR="0035608F" w:rsidRPr="00505DDD">
        <w:t xml:space="preserve"> </w:t>
      </w:r>
      <w:r w:rsidR="00B47B25" w:rsidRPr="00505DDD">
        <w:t>Pašiem lieciniekiem ir jācenšas iespējami precīzi paskaidrot dar</w:t>
      </w:r>
      <w:r w:rsidRPr="00505DDD">
        <w:t>ījumu norisi. N</w:t>
      </w:r>
      <w:r w:rsidR="00B47B25" w:rsidRPr="00505DDD">
        <w:t xml:space="preserve">e iestādei, ne vēlāk tiesai nav pienākuma personas vedināt uz kādu konkrētu atbilžu sniegšanu, jo tādā veidā </w:t>
      </w:r>
      <w:r w:rsidRPr="00505DDD">
        <w:t>var būt apgrūtināta objektīvās patiesības noskaidrošana.</w:t>
      </w:r>
      <w:r w:rsidR="008B1F24" w:rsidRPr="00505DDD">
        <w:t xml:space="preserve"> Ir būtiski, lai liecinieki paši pietiekami konkrēti spētu norādīt uz darījuma detaļām. </w:t>
      </w:r>
    </w:p>
    <w:p w14:paraId="7A300073" w14:textId="3246E23F" w:rsidR="00DD726E" w:rsidRPr="00505DDD" w:rsidRDefault="00806DDB" w:rsidP="00D935C6">
      <w:pPr>
        <w:spacing w:line="276" w:lineRule="auto"/>
        <w:ind w:firstLine="567"/>
        <w:jc w:val="both"/>
      </w:pPr>
      <w:r w:rsidRPr="00505DDD">
        <w:t>Tāpat ne katru reizi</w:t>
      </w:r>
      <w:r w:rsidR="000309E1" w:rsidRPr="00505DDD">
        <w:t>, kad lietas ietvaros tiesai ir jānovērtē pierādījumi, kas saistīti ar kādu specifisku jomu, ir nepieciešama ekspertīze. Vērtējot šādus pierādījumus, tiesa tos vērtē</w:t>
      </w:r>
      <w:r w:rsidR="00B47B25" w:rsidRPr="00505DDD">
        <w:t xml:space="preserve"> no tiesību viedokļa</w:t>
      </w:r>
      <w:r w:rsidR="000309E1" w:rsidRPr="00505DDD">
        <w:t>, lai nonāktu pie secinājuma, vai darījumi ir patiesi notikuši tā, kā tas atspoguļots dokumentos</w:t>
      </w:r>
      <w:r w:rsidR="008B1F24" w:rsidRPr="00505DDD">
        <w:t xml:space="preserve">. </w:t>
      </w:r>
    </w:p>
    <w:p w14:paraId="5CD039B4" w14:textId="7B31A66D" w:rsidR="00143A23" w:rsidRPr="00505DDD" w:rsidRDefault="00E663BB" w:rsidP="00D935C6">
      <w:pPr>
        <w:spacing w:line="276" w:lineRule="auto"/>
        <w:ind w:firstLine="567"/>
        <w:jc w:val="both"/>
      </w:pPr>
      <w:r w:rsidRPr="00505DDD">
        <w:t xml:space="preserve">Līdzīgi pieteicēja norādījusi, ka lietā </w:t>
      </w:r>
      <w:r w:rsidR="00BD5D8A" w:rsidRPr="00505DDD">
        <w:t xml:space="preserve">bija nepieciešama grāmatvedības ekspertīze, lai novērtētu iesniegto rēķinu atbilstību likuma prasībām, kā arī, lai izvērtētu pieteicējas argumentus par to, ka </w:t>
      </w:r>
      <w:r w:rsidR="000F6CF6" w:rsidRPr="00505DDD">
        <w:t xml:space="preserve">darījumu rezultātā </w:t>
      </w:r>
      <w:r w:rsidR="00BD5D8A" w:rsidRPr="00505DDD">
        <w:t>nav konstatējams valsts budžetam nodarīts zaudējums pievienotās vērtības nodokļa kontekstā.</w:t>
      </w:r>
      <w:r w:rsidR="00ED146D" w:rsidRPr="00505DDD">
        <w:t xml:space="preserve"> </w:t>
      </w:r>
      <w:r w:rsidR="00143A23" w:rsidRPr="00505DDD">
        <w:t>Lai arī tiesa spriedumā tieši nav izlēmusi lūgumu par ekspertīzes noteikšanu, no sprieduma kopsakarā konstatējams, ka tiesa ekspertīzi n</w:t>
      </w:r>
      <w:r w:rsidR="00924E81" w:rsidRPr="00505DDD">
        <w:t xml:space="preserve">av noteikusi, jo nav bijusi </w:t>
      </w:r>
      <w:r w:rsidR="008C72B7" w:rsidRPr="00505DDD">
        <w:t xml:space="preserve">tāda </w:t>
      </w:r>
      <w:r w:rsidR="00924E81" w:rsidRPr="00505DDD">
        <w:t xml:space="preserve">nepieciešamība. </w:t>
      </w:r>
      <w:r w:rsidR="00143A23" w:rsidRPr="00505DDD">
        <w:t xml:space="preserve"> </w:t>
      </w:r>
    </w:p>
    <w:p w14:paraId="3E58864C" w14:textId="24C6F350" w:rsidR="002D7225" w:rsidRPr="00505DDD" w:rsidRDefault="00143A23" w:rsidP="00D935C6">
      <w:pPr>
        <w:spacing w:line="276" w:lineRule="auto"/>
        <w:ind w:firstLine="567"/>
        <w:jc w:val="both"/>
      </w:pPr>
      <w:r w:rsidRPr="00505DDD">
        <w:t>Senatoru kolēģija norāda, ka atsevišķos gadījumos rēķinu atbilstībai likuma prasībām</w:t>
      </w:r>
      <w:r w:rsidR="00924E81" w:rsidRPr="00505DDD">
        <w:t xml:space="preserve"> var būt nozīme</w:t>
      </w:r>
      <w:r w:rsidRPr="00505DDD">
        <w:t xml:space="preserve">, </w:t>
      </w:r>
      <w:r w:rsidR="00924E81" w:rsidRPr="00505DDD">
        <w:t xml:space="preserve">vērtējot darījuma apstākļus kopsakarā, </w:t>
      </w:r>
      <w:r w:rsidRPr="00505DDD">
        <w:t xml:space="preserve">ko apgabaltiesa arī ir vērtējusi, piemēram, sprieduma 19.punktā, tomēr ir būtiski ņemt vērā, ka </w:t>
      </w:r>
      <w:r w:rsidR="002D7225" w:rsidRPr="00505DDD">
        <w:t xml:space="preserve">priekšnodokli var atskaitīt tikai par atbilstoši nodokļa rēķinam faktiski notikušu darījumu </w:t>
      </w:r>
      <w:proofErr w:type="gramStart"/>
      <w:r w:rsidR="002D7225" w:rsidRPr="00505DDD">
        <w:t>(</w:t>
      </w:r>
      <w:proofErr w:type="gramEnd"/>
      <w:r w:rsidR="002D7225" w:rsidRPr="00505DDD">
        <w:rPr>
          <w:i/>
        </w:rPr>
        <w:t>Senāta 201</w:t>
      </w:r>
      <w:r w:rsidR="006F07C3" w:rsidRPr="00505DDD">
        <w:rPr>
          <w:i/>
        </w:rPr>
        <w:t>9.gada 30.maija sprieduma</w:t>
      </w:r>
      <w:r w:rsidR="002D7225" w:rsidRPr="00505DDD">
        <w:rPr>
          <w:i/>
        </w:rPr>
        <w:t xml:space="preserve"> lietā Nr. SKA-57/2019 (</w:t>
      </w:r>
      <w:hyperlink r:id="rId10" w:history="1">
        <w:r w:rsidR="002D7225" w:rsidRPr="00505DDD">
          <w:rPr>
            <w:rStyle w:val="Hyperlink"/>
            <w:i/>
            <w:color w:val="auto"/>
          </w:rPr>
          <w:t>ECLI:LV:AT:2019:0530.A420459312.3.S</w:t>
        </w:r>
      </w:hyperlink>
      <w:r w:rsidR="002D7225" w:rsidRPr="00505DDD">
        <w:rPr>
          <w:i/>
        </w:rPr>
        <w:t>) 5.punkts</w:t>
      </w:r>
      <w:r w:rsidR="002D7225" w:rsidRPr="00505DDD">
        <w:t>). Tas nozīmē, ka tiesai</w:t>
      </w:r>
      <w:r w:rsidR="00E663BB" w:rsidRPr="00505DDD">
        <w:t xml:space="preserve">, lai konstatētu, vai </w:t>
      </w:r>
      <w:r w:rsidR="00C573FD" w:rsidRPr="00505DDD">
        <w:t>personai ir tiesība</w:t>
      </w:r>
      <w:r w:rsidR="00ED146D" w:rsidRPr="00505DDD">
        <w:t>s</w:t>
      </w:r>
      <w:r w:rsidR="00C573FD" w:rsidRPr="00505DDD">
        <w:t xml:space="preserve"> uz priekšnodokļa atskaitīšanu, </w:t>
      </w:r>
      <w:r w:rsidR="002D7225" w:rsidRPr="00505DDD">
        <w:t>ir jāvērtē tas, vai darījumi faktiski notika tā, kā tas ir norādīts rēķinos. Līdz ar to vien rēķinu atbilstība likuma prasībām nenozīmē, ka tie nevar liecināt par faktiski nenotikušiem darījumiem un pārkāpumiem nodokļu jomā</w:t>
      </w:r>
      <w:r w:rsidR="00ED146D" w:rsidRPr="00505DDD">
        <w:t>, ja citu apstākļu kopums liek apšaubīt rēķinos norādīto</w:t>
      </w:r>
      <w:r w:rsidR="002D7225" w:rsidRPr="00505DDD">
        <w:t>.</w:t>
      </w:r>
      <w:r w:rsidR="000F6CF6" w:rsidRPr="00505DDD">
        <w:t xml:space="preserve"> </w:t>
      </w:r>
      <w:r w:rsidR="00326F20" w:rsidRPr="00505DDD">
        <w:t>T</w:t>
      </w:r>
      <w:r w:rsidR="008B1F24" w:rsidRPr="00505DDD">
        <w:t xml:space="preserve">iesa pamatoti ir </w:t>
      </w:r>
      <w:r w:rsidR="00326F20" w:rsidRPr="00505DDD">
        <w:t>vērt</w:t>
      </w:r>
      <w:r w:rsidR="008B1F24" w:rsidRPr="00505DDD">
        <w:t>ējusi</w:t>
      </w:r>
      <w:r w:rsidR="00326F20" w:rsidRPr="00505DDD">
        <w:t xml:space="preserve"> gan rēķinu atbilstību likumam, gan to saistību ar darījumu f</w:t>
      </w:r>
      <w:r w:rsidR="00943094" w:rsidRPr="00505DDD">
        <w:t>aktisko norisi.</w:t>
      </w:r>
    </w:p>
    <w:p w14:paraId="2FCE29D3" w14:textId="7D59AE9A" w:rsidR="001B7D49" w:rsidRPr="00505DDD" w:rsidRDefault="00143A23" w:rsidP="00D935C6">
      <w:pPr>
        <w:spacing w:line="276" w:lineRule="auto"/>
        <w:ind w:firstLine="567"/>
        <w:jc w:val="both"/>
      </w:pPr>
      <w:r w:rsidRPr="00505DDD">
        <w:t>Tāpat</w:t>
      </w:r>
      <w:r w:rsidR="00BE5E20" w:rsidRPr="00505DDD">
        <w:t>,</w:t>
      </w:r>
      <w:r w:rsidRPr="00505DDD">
        <w:t xml:space="preserve"> kā jau š</w:t>
      </w:r>
      <w:r w:rsidR="00ED146D" w:rsidRPr="00505DDD">
        <w:t>ā</w:t>
      </w:r>
      <w:r w:rsidRPr="00505DDD">
        <w:t xml:space="preserve"> lēmuma 3.punktā norādīts, </w:t>
      </w:r>
      <w:r w:rsidR="00924E81" w:rsidRPr="00505DDD">
        <w:t>nav pamatots pieteicējas</w:t>
      </w:r>
      <w:r w:rsidR="00806DDB" w:rsidRPr="00505DDD">
        <w:t xml:space="preserve"> arguments</w:t>
      </w:r>
      <w:r w:rsidR="00924E81" w:rsidRPr="00505DDD">
        <w:t>, ka tiesa nav ņēmusi vērā</w:t>
      </w:r>
      <w:r w:rsidR="00574075" w:rsidRPr="00505DDD">
        <w:t xml:space="preserve"> vai nav sapratusi</w:t>
      </w:r>
      <w:r w:rsidR="00924E81" w:rsidRPr="00505DDD">
        <w:t xml:space="preserve"> pieteicējas iebildumus par </w:t>
      </w:r>
      <w:r w:rsidR="003202B2" w:rsidRPr="00505DDD">
        <w:t>fiskālo priekšrocību un zaud</w:t>
      </w:r>
      <w:r w:rsidR="00943094" w:rsidRPr="00505DDD">
        <w:t>ējumu</w:t>
      </w:r>
      <w:r w:rsidR="003202B2" w:rsidRPr="00505DDD">
        <w:t xml:space="preserve"> valsts budžetā nees</w:t>
      </w:r>
      <w:r w:rsidR="00567354" w:rsidRPr="00505DDD">
        <w:t>ību</w:t>
      </w:r>
      <w:r w:rsidR="00574075" w:rsidRPr="00505DDD">
        <w:t>.</w:t>
      </w:r>
    </w:p>
    <w:p w14:paraId="1F7FEB6D" w14:textId="77777777" w:rsidR="003202B2" w:rsidRPr="00505DDD" w:rsidRDefault="003202B2" w:rsidP="00D935C6">
      <w:pPr>
        <w:spacing w:line="276" w:lineRule="auto"/>
        <w:ind w:firstLine="567"/>
        <w:jc w:val="both"/>
      </w:pPr>
    </w:p>
    <w:p w14:paraId="0F3D68A4" w14:textId="07D8E4AB" w:rsidR="000B3ED4" w:rsidRPr="00505DDD" w:rsidRDefault="00400AC3" w:rsidP="00D935C6">
      <w:pPr>
        <w:spacing w:line="276" w:lineRule="auto"/>
        <w:ind w:firstLine="567"/>
        <w:jc w:val="both"/>
      </w:pPr>
      <w:r w:rsidRPr="00505DDD">
        <w:t xml:space="preserve">[7] </w:t>
      </w:r>
      <w:r w:rsidR="00D62060" w:rsidRPr="00505DDD">
        <w:t>Kasācijas sūdzībā norādīts</w:t>
      </w:r>
      <w:r w:rsidRPr="00505DDD">
        <w:t>, ka apgabaltiesa bez ievērības atstājusi lūgumu par papildu pierādījumu iegūšanu no SIA „Rīgas satiksme”, SIA „R</w:t>
      </w:r>
      <w:r w:rsidR="00D62060" w:rsidRPr="00505DDD">
        <w:t>ĪGAS KARTE</w:t>
      </w:r>
      <w:r w:rsidRPr="00505DDD">
        <w:t>” un SIA „BMS T</w:t>
      </w:r>
      <w:r w:rsidR="00D62060" w:rsidRPr="00505DDD">
        <w:t>EHNOLOĢIJA</w:t>
      </w:r>
      <w:r w:rsidRPr="00505DDD">
        <w:t xml:space="preserve">”. </w:t>
      </w:r>
    </w:p>
    <w:p w14:paraId="6BB5E17A" w14:textId="26C923DA" w:rsidR="003E1788" w:rsidRPr="00505DDD" w:rsidRDefault="000B3ED4" w:rsidP="00D935C6">
      <w:pPr>
        <w:spacing w:line="276" w:lineRule="auto"/>
        <w:ind w:firstLine="567"/>
        <w:jc w:val="both"/>
      </w:pPr>
      <w:r w:rsidRPr="00505DDD">
        <w:t xml:space="preserve">Administratīvā procesa likuma </w:t>
      </w:r>
      <w:proofErr w:type="gramStart"/>
      <w:r w:rsidRPr="00505DDD">
        <w:t>325.pants</w:t>
      </w:r>
      <w:proofErr w:type="gramEnd"/>
      <w:r w:rsidRPr="00505DDD">
        <w:t xml:space="preserve"> noteic, ka tiesas spriedumu var pārsūdzēt kasācijas kārtībā, ja tiesa pārkāpusi tiesību normas un šis pārkāpums novedis vai varēja novest pie lietas nepareizas izsprie</w:t>
      </w:r>
      <w:r w:rsidR="00B56917" w:rsidRPr="00505DDD">
        <w:t xml:space="preserve">šanas. </w:t>
      </w:r>
      <w:r w:rsidR="003E1788" w:rsidRPr="00505DDD">
        <w:t xml:space="preserve">Līdz ar to pamats kasācijas tiesvedības ierosināšanai ir tāds </w:t>
      </w:r>
      <w:r w:rsidR="00B5272B" w:rsidRPr="00505DDD">
        <w:t xml:space="preserve">tiesību normas </w:t>
      </w:r>
      <w:r w:rsidR="003E1788" w:rsidRPr="00505DDD">
        <w:t xml:space="preserve">pārkāpums, kas ietekmēja vai varēja ietekmēt lietas rezultātu. </w:t>
      </w:r>
      <w:r w:rsidRPr="00505DDD">
        <w:t>Tā kā pieteicēja k</w:t>
      </w:r>
      <w:r w:rsidR="000309E1" w:rsidRPr="00505DDD">
        <w:t>asācijas sūdzībā nav norādījusi ne to, kādus pierādījumus tā vēlējās, lai tiesa papildus ieg</w:t>
      </w:r>
      <w:r w:rsidR="00B02DE3" w:rsidRPr="00505DDD">
        <w:t xml:space="preserve">ūst, </w:t>
      </w:r>
      <w:r w:rsidR="000309E1" w:rsidRPr="00505DDD">
        <w:t>ne arī to,</w:t>
      </w:r>
      <w:r w:rsidR="003E1788" w:rsidRPr="00505DDD">
        <w:t xml:space="preserve"> kā </w:t>
      </w:r>
      <w:r w:rsidR="00203519" w:rsidRPr="00505DDD">
        <w:t xml:space="preserve">šie pierādījumi </w:t>
      </w:r>
      <w:r w:rsidR="003E1788" w:rsidRPr="00505DDD">
        <w:t>būtu var</w:t>
      </w:r>
      <w:r w:rsidR="00203519" w:rsidRPr="00505DDD">
        <w:t>ējuš</w:t>
      </w:r>
      <w:r w:rsidR="003E1788" w:rsidRPr="00505DDD">
        <w:t xml:space="preserve">i novest pie citāda lietas rezultāta, šāds iebildums </w:t>
      </w:r>
      <w:r w:rsidR="00814596" w:rsidRPr="00505DDD">
        <w:t xml:space="preserve">ir pārāk vispārīgs, lai to pārbaudītu kasācijas kārtībā. </w:t>
      </w:r>
    </w:p>
    <w:p w14:paraId="1A0AF036" w14:textId="77777777" w:rsidR="00056257" w:rsidRPr="00505DDD" w:rsidRDefault="00056257" w:rsidP="00D935C6">
      <w:pPr>
        <w:spacing w:line="276" w:lineRule="auto"/>
        <w:jc w:val="both"/>
      </w:pPr>
    </w:p>
    <w:p w14:paraId="30AE0D87" w14:textId="77777777" w:rsidR="00056257" w:rsidRPr="00505DDD" w:rsidRDefault="00056257" w:rsidP="00D935C6">
      <w:pPr>
        <w:spacing w:line="276" w:lineRule="auto"/>
        <w:ind w:firstLine="567"/>
        <w:jc w:val="both"/>
      </w:pPr>
      <w:r w:rsidRPr="00505DDD">
        <w:t xml:space="preserve">Pamatojoties uz Administratīvā procesa likuma </w:t>
      </w:r>
      <w:proofErr w:type="gramStart"/>
      <w:r w:rsidRPr="00505DDD">
        <w:t>338.panta</w:t>
      </w:r>
      <w:proofErr w:type="gramEnd"/>
      <w:r w:rsidRPr="00505DDD">
        <w:t xml:space="preserve"> otro daļu un 338.</w:t>
      </w:r>
      <w:r w:rsidRPr="00505DDD">
        <w:rPr>
          <w:vertAlign w:val="superscript"/>
        </w:rPr>
        <w:t>1</w:t>
      </w:r>
      <w:r w:rsidRPr="00505DDD">
        <w:t>panta otrās daļas 2.punktu, senatoru kolēģija</w:t>
      </w:r>
    </w:p>
    <w:p w14:paraId="1E1B577D" w14:textId="77777777" w:rsidR="008B5F13" w:rsidRPr="00505DDD" w:rsidRDefault="008B5F13" w:rsidP="00D935C6">
      <w:pPr>
        <w:spacing w:line="276" w:lineRule="auto"/>
        <w:jc w:val="center"/>
        <w:rPr>
          <w:b/>
        </w:rPr>
      </w:pPr>
    </w:p>
    <w:p w14:paraId="47612BD2" w14:textId="4F843613" w:rsidR="00056257" w:rsidRPr="00505DDD" w:rsidRDefault="00056257" w:rsidP="00D935C6">
      <w:pPr>
        <w:spacing w:line="276" w:lineRule="auto"/>
        <w:jc w:val="center"/>
        <w:rPr>
          <w:b/>
        </w:rPr>
      </w:pPr>
      <w:r w:rsidRPr="00505DDD">
        <w:rPr>
          <w:b/>
        </w:rPr>
        <w:t>nolēma</w:t>
      </w:r>
    </w:p>
    <w:p w14:paraId="75DAF4F2" w14:textId="77777777" w:rsidR="00056257" w:rsidRPr="00505DDD" w:rsidRDefault="00056257" w:rsidP="00D935C6">
      <w:pPr>
        <w:spacing w:line="276" w:lineRule="auto"/>
        <w:ind w:firstLine="720"/>
        <w:jc w:val="both"/>
      </w:pPr>
    </w:p>
    <w:p w14:paraId="6BF3EA10" w14:textId="7CC698F4" w:rsidR="00056257" w:rsidRPr="00505DDD" w:rsidRDefault="00056257" w:rsidP="00D935C6">
      <w:pPr>
        <w:spacing w:line="276" w:lineRule="auto"/>
        <w:ind w:firstLine="567"/>
        <w:jc w:val="both"/>
      </w:pPr>
      <w:r w:rsidRPr="00505DDD">
        <w:lastRenderedPageBreak/>
        <w:t xml:space="preserve">Atteikt ierosināt kasācijas </w:t>
      </w:r>
      <w:r w:rsidR="008F5BB5" w:rsidRPr="00505DDD">
        <w:t>tiesvedību sakarā ar SIA „</w:t>
      </w:r>
      <w:proofErr w:type="spellStart"/>
      <w:r w:rsidR="008F5BB5" w:rsidRPr="00505DDD">
        <w:t>Grantex</w:t>
      </w:r>
      <w:proofErr w:type="spellEnd"/>
      <w:r w:rsidRPr="00505DDD">
        <w:t>” kasācijas sūdzību par Ad</w:t>
      </w:r>
      <w:r w:rsidR="008F5BB5" w:rsidRPr="00505DDD">
        <w:t xml:space="preserve">ministratīvās apgabaltiesas </w:t>
      </w:r>
      <w:proofErr w:type="gramStart"/>
      <w:r w:rsidR="008F5BB5" w:rsidRPr="00505DDD">
        <w:t>2021.gada</w:t>
      </w:r>
      <w:proofErr w:type="gramEnd"/>
      <w:r w:rsidR="008F5BB5" w:rsidRPr="00505DDD">
        <w:t xml:space="preserve"> 7.maija</w:t>
      </w:r>
      <w:r w:rsidRPr="00505DDD">
        <w:t xml:space="preserve"> spriedumu.</w:t>
      </w:r>
    </w:p>
    <w:p w14:paraId="4542CFFA" w14:textId="46A9F132" w:rsidR="00094882" w:rsidRDefault="00603E52" w:rsidP="00D935C6">
      <w:pPr>
        <w:spacing w:line="276" w:lineRule="auto"/>
        <w:ind w:firstLine="567"/>
        <w:jc w:val="both"/>
      </w:pPr>
      <w:r w:rsidRPr="00505DDD">
        <w:t>Lēmums nav pārsūdzams.</w:t>
      </w:r>
    </w:p>
    <w:p w14:paraId="3A31B1FD" w14:textId="77777777" w:rsidR="00BD58BB" w:rsidRDefault="00BD58BB" w:rsidP="00BD58BB">
      <w:pPr>
        <w:spacing w:line="276" w:lineRule="auto"/>
        <w:jc w:val="both"/>
      </w:pPr>
    </w:p>
    <w:p w14:paraId="1F860E81" w14:textId="77777777" w:rsidR="00BD58BB" w:rsidRDefault="00BD58BB" w:rsidP="00BD58BB">
      <w:pPr>
        <w:spacing w:line="276" w:lineRule="auto"/>
        <w:jc w:val="both"/>
      </w:pPr>
    </w:p>
    <w:p w14:paraId="63750AE7" w14:textId="77777777" w:rsidR="00BD58BB" w:rsidRDefault="00BD58BB" w:rsidP="00BD58BB">
      <w:pPr>
        <w:spacing w:line="276" w:lineRule="auto"/>
        <w:jc w:val="both"/>
      </w:pPr>
    </w:p>
    <w:p w14:paraId="0EBB84BF" w14:textId="5B83F8B1" w:rsidR="00BD58BB" w:rsidRPr="008F6FF8" w:rsidRDefault="00BD58BB" w:rsidP="00BD58BB">
      <w:pPr>
        <w:tabs>
          <w:tab w:val="center" w:pos="1276"/>
          <w:tab w:val="center" w:pos="4678"/>
          <w:tab w:val="center" w:pos="8080"/>
        </w:tabs>
        <w:spacing w:line="276" w:lineRule="auto"/>
        <w:jc w:val="both"/>
      </w:pPr>
      <w:r w:rsidRPr="008F6FF8">
        <w:tab/>
        <w:t>Senatore</w:t>
      </w:r>
      <w:r>
        <w:t xml:space="preserve"> Dz.</w:t>
      </w:r>
      <w:r w:rsidR="00E622A6">
        <w:t> </w:t>
      </w:r>
      <w:r>
        <w:t>Amerika</w:t>
      </w:r>
      <w:r w:rsidRPr="008F6FF8">
        <w:tab/>
        <w:t>Senatore</w:t>
      </w:r>
      <w:r>
        <w:t xml:space="preserve"> A.</w:t>
      </w:r>
      <w:r w:rsidR="00E622A6">
        <w:t> </w:t>
      </w:r>
      <w:r>
        <w:t>Kovaļevska</w:t>
      </w:r>
      <w:r w:rsidRPr="008F6FF8">
        <w:tab/>
        <w:t xml:space="preserve">Senatore </w:t>
      </w:r>
      <w:r>
        <w:t>D.</w:t>
      </w:r>
      <w:r w:rsidR="00E622A6">
        <w:t> </w:t>
      </w:r>
      <w:r>
        <w:t>Makarova</w:t>
      </w:r>
    </w:p>
    <w:p w14:paraId="5E6CCB2E" w14:textId="77777777" w:rsidR="00BD58BB" w:rsidRDefault="00BD58BB" w:rsidP="00BD58BB">
      <w:pPr>
        <w:spacing w:line="276" w:lineRule="auto"/>
        <w:jc w:val="both"/>
      </w:pPr>
    </w:p>
    <w:p w14:paraId="3E512BE2" w14:textId="67C44A88" w:rsidR="00BD58BB" w:rsidRPr="00505DDD" w:rsidRDefault="00BD58BB" w:rsidP="00BD58BB">
      <w:pPr>
        <w:spacing w:line="276" w:lineRule="auto"/>
        <w:jc w:val="both"/>
      </w:pPr>
      <w:bookmarkStart w:id="1" w:name="_GoBack"/>
      <w:bookmarkEnd w:id="1"/>
    </w:p>
    <w:sectPr w:rsidR="00BD58BB" w:rsidRPr="00505DDD" w:rsidSect="007E2B44">
      <w:footerReference w:type="default" r:id="rId11"/>
      <w:pgSz w:w="11906" w:h="16838"/>
      <w:pgMar w:top="851" w:right="1134"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9DE398" w14:textId="77777777" w:rsidR="00C21E35" w:rsidRDefault="00C21E35" w:rsidP="008A2222">
      <w:r>
        <w:separator/>
      </w:r>
    </w:p>
  </w:endnote>
  <w:endnote w:type="continuationSeparator" w:id="0">
    <w:p w14:paraId="1CF9032D" w14:textId="77777777" w:rsidR="00C21E35" w:rsidRDefault="00C21E35" w:rsidP="008A2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3285758"/>
      <w:docPartObj>
        <w:docPartGallery w:val="Page Numbers (Bottom of Page)"/>
        <w:docPartUnique/>
      </w:docPartObj>
    </w:sdtPr>
    <w:sdtEndPr/>
    <w:sdtContent>
      <w:sdt>
        <w:sdtPr>
          <w:id w:val="-1449623365"/>
          <w:docPartObj>
            <w:docPartGallery w:val="Page Numbers (Top of Page)"/>
            <w:docPartUnique/>
          </w:docPartObj>
        </w:sdtPr>
        <w:sdtEndPr/>
        <w:sdtContent>
          <w:p w14:paraId="4CFB71E9" w14:textId="486A4422" w:rsidR="0094677C" w:rsidRDefault="0094677C">
            <w:pPr>
              <w:pStyle w:val="Footer"/>
              <w:jc w:val="center"/>
            </w:pPr>
            <w:r w:rsidRPr="0012378A">
              <w:fldChar w:fldCharType="begin"/>
            </w:r>
            <w:r w:rsidRPr="0012378A">
              <w:instrText xml:space="preserve"> PAGE </w:instrText>
            </w:r>
            <w:r w:rsidRPr="0012378A">
              <w:fldChar w:fldCharType="separate"/>
            </w:r>
            <w:r w:rsidR="00E622A6">
              <w:rPr>
                <w:noProof/>
              </w:rPr>
              <w:t>4</w:t>
            </w:r>
            <w:r w:rsidRPr="0012378A">
              <w:fldChar w:fldCharType="end"/>
            </w:r>
            <w:r w:rsidRPr="0012378A">
              <w:t xml:space="preserve"> no </w:t>
            </w:r>
            <w:r>
              <w:rPr>
                <w:noProof/>
              </w:rPr>
              <w:fldChar w:fldCharType="begin"/>
            </w:r>
            <w:r>
              <w:rPr>
                <w:noProof/>
              </w:rPr>
              <w:instrText xml:space="preserve"> NUMPAGES  </w:instrText>
            </w:r>
            <w:r>
              <w:rPr>
                <w:noProof/>
              </w:rPr>
              <w:fldChar w:fldCharType="separate"/>
            </w:r>
            <w:r w:rsidR="00E622A6">
              <w:rPr>
                <w:noProof/>
              </w:rPr>
              <w:t>5</w:t>
            </w:r>
            <w:r>
              <w:rPr>
                <w:noProof/>
              </w:rPr>
              <w:fldChar w:fldCharType="end"/>
            </w:r>
          </w:p>
        </w:sdtContent>
      </w:sdt>
    </w:sdtContent>
  </w:sdt>
  <w:p w14:paraId="790AE157" w14:textId="77777777" w:rsidR="0094677C" w:rsidRDefault="0094677C" w:rsidP="0025662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D5F3F7" w14:textId="77777777" w:rsidR="00C21E35" w:rsidRDefault="00C21E35" w:rsidP="008A2222">
      <w:r>
        <w:separator/>
      </w:r>
    </w:p>
  </w:footnote>
  <w:footnote w:type="continuationSeparator" w:id="0">
    <w:p w14:paraId="23F5AECE" w14:textId="77777777" w:rsidR="00C21E35" w:rsidRDefault="00C21E35" w:rsidP="008A22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46E08"/>
    <w:multiLevelType w:val="multilevel"/>
    <w:tmpl w:val="05865CA8"/>
    <w:lvl w:ilvl="0">
      <w:start w:val="1"/>
      <w:numFmt w:val="decimal"/>
      <w:lvlText w:val="§%1"/>
      <w:lvlJc w:val="left"/>
      <w:pPr>
        <w:tabs>
          <w:tab w:val="num" w:pos="567"/>
        </w:tabs>
        <w:ind w:left="1134" w:hanging="850"/>
      </w:pPr>
      <w:rPr>
        <w:rFonts w:cs="Times New Roman" w:hint="default"/>
      </w:rPr>
    </w:lvl>
    <w:lvl w:ilvl="1">
      <w:start w:val="1"/>
      <w:numFmt w:val="upperRoman"/>
      <w:lvlText w:val="%2."/>
      <w:lvlJc w:val="left"/>
      <w:pPr>
        <w:tabs>
          <w:tab w:val="num" w:pos="567"/>
        </w:tabs>
        <w:ind w:left="1134" w:hanging="850"/>
      </w:pPr>
      <w:rPr>
        <w:rFonts w:cs="Times New Roman" w:hint="default"/>
      </w:rPr>
    </w:lvl>
    <w:lvl w:ilvl="2">
      <w:start w:val="1"/>
      <w:numFmt w:val="decimal"/>
      <w:lvlText w:val="%3."/>
      <w:lvlJc w:val="left"/>
      <w:pPr>
        <w:tabs>
          <w:tab w:val="num" w:pos="567"/>
        </w:tabs>
        <w:ind w:left="1134" w:hanging="850"/>
      </w:pPr>
      <w:rPr>
        <w:rFonts w:cs="Times New Roman" w:hint="default"/>
      </w:rPr>
    </w:lvl>
    <w:lvl w:ilvl="3">
      <w:start w:val="1"/>
      <w:numFmt w:val="decimal"/>
      <w:lvlText w:val="%3.%4."/>
      <w:lvlJc w:val="left"/>
      <w:pPr>
        <w:tabs>
          <w:tab w:val="num" w:pos="567"/>
        </w:tabs>
        <w:ind w:left="1134" w:hanging="850"/>
      </w:pPr>
      <w:rPr>
        <w:rFonts w:cs="Times New Roman" w:hint="default"/>
      </w:rPr>
    </w:lvl>
    <w:lvl w:ilvl="4">
      <w:start w:val="1"/>
      <w:numFmt w:val="lowerLetter"/>
      <w:lvlText w:val="%5)"/>
      <w:lvlJc w:val="left"/>
      <w:pPr>
        <w:tabs>
          <w:tab w:val="num" w:pos="567"/>
        </w:tabs>
        <w:ind w:left="1134" w:hanging="850"/>
      </w:pPr>
      <w:rPr>
        <w:rFonts w:cs="Times New Roman" w:hint="default"/>
      </w:rPr>
    </w:lvl>
    <w:lvl w:ilvl="5">
      <w:start w:val="17"/>
      <w:numFmt w:val="decimal"/>
      <w:lvlRestart w:val="0"/>
      <w:lvlText w:val="%6"/>
      <w:lvlJc w:val="left"/>
      <w:pPr>
        <w:tabs>
          <w:tab w:val="num" w:pos="567"/>
        </w:tabs>
        <w:ind w:left="1134" w:hanging="85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6">
      <w:start w:val="1"/>
      <w:numFmt w:val="decimal"/>
      <w:lvlText w:val="%7."/>
      <w:lvlJc w:val="left"/>
      <w:pPr>
        <w:tabs>
          <w:tab w:val="num" w:pos="567"/>
        </w:tabs>
        <w:ind w:left="1134" w:hanging="850"/>
      </w:pPr>
      <w:rPr>
        <w:rFonts w:cs="Times New Roman" w:hint="default"/>
      </w:rPr>
    </w:lvl>
    <w:lvl w:ilvl="7">
      <w:start w:val="1"/>
      <w:numFmt w:val="lowerLetter"/>
      <w:lvlText w:val="%8."/>
      <w:lvlJc w:val="left"/>
      <w:pPr>
        <w:tabs>
          <w:tab w:val="num" w:pos="567"/>
        </w:tabs>
        <w:ind w:left="1134" w:hanging="850"/>
      </w:pPr>
      <w:rPr>
        <w:rFonts w:cs="Times New Roman" w:hint="default"/>
      </w:rPr>
    </w:lvl>
    <w:lvl w:ilvl="8">
      <w:start w:val="1"/>
      <w:numFmt w:val="lowerRoman"/>
      <w:lvlText w:val="%9."/>
      <w:lvlJc w:val="left"/>
      <w:pPr>
        <w:tabs>
          <w:tab w:val="num" w:pos="567"/>
        </w:tabs>
        <w:ind w:left="1134" w:hanging="850"/>
      </w:pPr>
      <w:rPr>
        <w:rFonts w:cs="Times New Roman" w:hint="default"/>
      </w:rPr>
    </w:lvl>
  </w:abstractNum>
  <w:abstractNum w:abstractNumId="1" w15:restartNumberingAfterBreak="0">
    <w:nsid w:val="189E19F6"/>
    <w:multiLevelType w:val="hybridMultilevel"/>
    <w:tmpl w:val="23F25F42"/>
    <w:lvl w:ilvl="0" w:tplc="C77434E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F5A"/>
    <w:rsid w:val="0000050B"/>
    <w:rsid w:val="00004851"/>
    <w:rsid w:val="00004BEB"/>
    <w:rsid w:val="00005CD0"/>
    <w:rsid w:val="000070AE"/>
    <w:rsid w:val="00010E63"/>
    <w:rsid w:val="00011273"/>
    <w:rsid w:val="000116EE"/>
    <w:rsid w:val="000133B8"/>
    <w:rsid w:val="0001450B"/>
    <w:rsid w:val="000151D9"/>
    <w:rsid w:val="000153E3"/>
    <w:rsid w:val="000162E1"/>
    <w:rsid w:val="00017AC7"/>
    <w:rsid w:val="00021729"/>
    <w:rsid w:val="000232AC"/>
    <w:rsid w:val="00023DCE"/>
    <w:rsid w:val="00024ADF"/>
    <w:rsid w:val="00025D16"/>
    <w:rsid w:val="00026337"/>
    <w:rsid w:val="000277A3"/>
    <w:rsid w:val="00027972"/>
    <w:rsid w:val="000309E1"/>
    <w:rsid w:val="000309F2"/>
    <w:rsid w:val="00031BD2"/>
    <w:rsid w:val="0003235F"/>
    <w:rsid w:val="000340C0"/>
    <w:rsid w:val="0003476E"/>
    <w:rsid w:val="0003709C"/>
    <w:rsid w:val="00041A07"/>
    <w:rsid w:val="00042699"/>
    <w:rsid w:val="000431F2"/>
    <w:rsid w:val="0004344C"/>
    <w:rsid w:val="00045D5D"/>
    <w:rsid w:val="00047BF0"/>
    <w:rsid w:val="00050546"/>
    <w:rsid w:val="000524F5"/>
    <w:rsid w:val="00052EA8"/>
    <w:rsid w:val="0005600F"/>
    <w:rsid w:val="00056257"/>
    <w:rsid w:val="00057044"/>
    <w:rsid w:val="00060097"/>
    <w:rsid w:val="000608DE"/>
    <w:rsid w:val="00060EDE"/>
    <w:rsid w:val="0006342D"/>
    <w:rsid w:val="00065025"/>
    <w:rsid w:val="0006612D"/>
    <w:rsid w:val="0007045A"/>
    <w:rsid w:val="0007057E"/>
    <w:rsid w:val="000715F1"/>
    <w:rsid w:val="00073674"/>
    <w:rsid w:val="0008365C"/>
    <w:rsid w:val="000861F8"/>
    <w:rsid w:val="0009211D"/>
    <w:rsid w:val="00092584"/>
    <w:rsid w:val="000937CE"/>
    <w:rsid w:val="00094882"/>
    <w:rsid w:val="00096BA8"/>
    <w:rsid w:val="000A1135"/>
    <w:rsid w:val="000A6AF1"/>
    <w:rsid w:val="000B0138"/>
    <w:rsid w:val="000B3337"/>
    <w:rsid w:val="000B3ED4"/>
    <w:rsid w:val="000B405E"/>
    <w:rsid w:val="000B40AC"/>
    <w:rsid w:val="000B4D3D"/>
    <w:rsid w:val="000C0CA8"/>
    <w:rsid w:val="000C1FA0"/>
    <w:rsid w:val="000C20C8"/>
    <w:rsid w:val="000C5111"/>
    <w:rsid w:val="000C5721"/>
    <w:rsid w:val="000C63D8"/>
    <w:rsid w:val="000C7BEE"/>
    <w:rsid w:val="000D1255"/>
    <w:rsid w:val="000D2D16"/>
    <w:rsid w:val="000D53FA"/>
    <w:rsid w:val="000D55F1"/>
    <w:rsid w:val="000D63C9"/>
    <w:rsid w:val="000D7BF9"/>
    <w:rsid w:val="000E050B"/>
    <w:rsid w:val="000E1B05"/>
    <w:rsid w:val="000E1B92"/>
    <w:rsid w:val="000E314B"/>
    <w:rsid w:val="000E4721"/>
    <w:rsid w:val="000F229E"/>
    <w:rsid w:val="000F29CC"/>
    <w:rsid w:val="000F6B1B"/>
    <w:rsid w:val="000F6CF6"/>
    <w:rsid w:val="001008A7"/>
    <w:rsid w:val="001014EC"/>
    <w:rsid w:val="001036BF"/>
    <w:rsid w:val="00103B5F"/>
    <w:rsid w:val="00103B81"/>
    <w:rsid w:val="001045EB"/>
    <w:rsid w:val="00104879"/>
    <w:rsid w:val="00105805"/>
    <w:rsid w:val="001113F4"/>
    <w:rsid w:val="0011440D"/>
    <w:rsid w:val="001155F7"/>
    <w:rsid w:val="00115E71"/>
    <w:rsid w:val="001164FC"/>
    <w:rsid w:val="001168E0"/>
    <w:rsid w:val="001205D7"/>
    <w:rsid w:val="00121966"/>
    <w:rsid w:val="001227D3"/>
    <w:rsid w:val="00122B8E"/>
    <w:rsid w:val="0012378A"/>
    <w:rsid w:val="00124692"/>
    <w:rsid w:val="0012469E"/>
    <w:rsid w:val="001278EA"/>
    <w:rsid w:val="001307BB"/>
    <w:rsid w:val="00132572"/>
    <w:rsid w:val="00135B00"/>
    <w:rsid w:val="0013704B"/>
    <w:rsid w:val="001404D9"/>
    <w:rsid w:val="00141490"/>
    <w:rsid w:val="001419B5"/>
    <w:rsid w:val="001431ED"/>
    <w:rsid w:val="00143A23"/>
    <w:rsid w:val="0014495B"/>
    <w:rsid w:val="00145304"/>
    <w:rsid w:val="001474FD"/>
    <w:rsid w:val="00150055"/>
    <w:rsid w:val="00155D68"/>
    <w:rsid w:val="00155DA7"/>
    <w:rsid w:val="001616F6"/>
    <w:rsid w:val="0016710D"/>
    <w:rsid w:val="001707F2"/>
    <w:rsid w:val="001709E4"/>
    <w:rsid w:val="00172006"/>
    <w:rsid w:val="00172AE1"/>
    <w:rsid w:val="001766B8"/>
    <w:rsid w:val="001771C5"/>
    <w:rsid w:val="0017795D"/>
    <w:rsid w:val="001824DF"/>
    <w:rsid w:val="00193980"/>
    <w:rsid w:val="00196A59"/>
    <w:rsid w:val="001A020D"/>
    <w:rsid w:val="001A3344"/>
    <w:rsid w:val="001A3C73"/>
    <w:rsid w:val="001A4397"/>
    <w:rsid w:val="001A6BE7"/>
    <w:rsid w:val="001A6D7B"/>
    <w:rsid w:val="001B0BFD"/>
    <w:rsid w:val="001B25F5"/>
    <w:rsid w:val="001B5D9C"/>
    <w:rsid w:val="001B7D49"/>
    <w:rsid w:val="001C12CB"/>
    <w:rsid w:val="001C1EA3"/>
    <w:rsid w:val="001C4E18"/>
    <w:rsid w:val="001C6F5E"/>
    <w:rsid w:val="001C7B6F"/>
    <w:rsid w:val="001D21C4"/>
    <w:rsid w:val="001D5FA8"/>
    <w:rsid w:val="001E21C9"/>
    <w:rsid w:val="001E4390"/>
    <w:rsid w:val="001E447D"/>
    <w:rsid w:val="001E5673"/>
    <w:rsid w:val="001E5849"/>
    <w:rsid w:val="001E5F3D"/>
    <w:rsid w:val="001F0D0C"/>
    <w:rsid w:val="001F18D3"/>
    <w:rsid w:val="001F2069"/>
    <w:rsid w:val="002018D2"/>
    <w:rsid w:val="00202AA0"/>
    <w:rsid w:val="00203519"/>
    <w:rsid w:val="0020548F"/>
    <w:rsid w:val="00207816"/>
    <w:rsid w:val="00207991"/>
    <w:rsid w:val="00211080"/>
    <w:rsid w:val="002112BD"/>
    <w:rsid w:val="00215EEC"/>
    <w:rsid w:val="00217DEB"/>
    <w:rsid w:val="00220F35"/>
    <w:rsid w:val="002248FC"/>
    <w:rsid w:val="0022560E"/>
    <w:rsid w:val="002260CA"/>
    <w:rsid w:val="00226D9D"/>
    <w:rsid w:val="00227892"/>
    <w:rsid w:val="00227BE7"/>
    <w:rsid w:val="00232F60"/>
    <w:rsid w:val="00235147"/>
    <w:rsid w:val="0024479A"/>
    <w:rsid w:val="00245906"/>
    <w:rsid w:val="00246AAE"/>
    <w:rsid w:val="00250AB7"/>
    <w:rsid w:val="00250EA7"/>
    <w:rsid w:val="002526CE"/>
    <w:rsid w:val="00252C09"/>
    <w:rsid w:val="0025662E"/>
    <w:rsid w:val="002572F8"/>
    <w:rsid w:val="0026064A"/>
    <w:rsid w:val="00262D6E"/>
    <w:rsid w:val="0026329B"/>
    <w:rsid w:val="00263CEB"/>
    <w:rsid w:val="00264B4F"/>
    <w:rsid w:val="002708C6"/>
    <w:rsid w:val="0027703F"/>
    <w:rsid w:val="002778FF"/>
    <w:rsid w:val="00280026"/>
    <w:rsid w:val="00282B75"/>
    <w:rsid w:val="00285900"/>
    <w:rsid w:val="00285BA0"/>
    <w:rsid w:val="00286825"/>
    <w:rsid w:val="00286C07"/>
    <w:rsid w:val="0028708B"/>
    <w:rsid w:val="00290999"/>
    <w:rsid w:val="0029175D"/>
    <w:rsid w:val="00292604"/>
    <w:rsid w:val="00293276"/>
    <w:rsid w:val="0029403A"/>
    <w:rsid w:val="0029409B"/>
    <w:rsid w:val="00295342"/>
    <w:rsid w:val="0029599C"/>
    <w:rsid w:val="002A0566"/>
    <w:rsid w:val="002A2089"/>
    <w:rsid w:val="002A4038"/>
    <w:rsid w:val="002A6194"/>
    <w:rsid w:val="002A6B6E"/>
    <w:rsid w:val="002B1584"/>
    <w:rsid w:val="002B5737"/>
    <w:rsid w:val="002B640E"/>
    <w:rsid w:val="002B6F87"/>
    <w:rsid w:val="002C4F1E"/>
    <w:rsid w:val="002D0475"/>
    <w:rsid w:val="002D0D00"/>
    <w:rsid w:val="002D2BB9"/>
    <w:rsid w:val="002D61B3"/>
    <w:rsid w:val="002D7225"/>
    <w:rsid w:val="002D7E28"/>
    <w:rsid w:val="002E0F78"/>
    <w:rsid w:val="002E400B"/>
    <w:rsid w:val="002E7E50"/>
    <w:rsid w:val="002F034E"/>
    <w:rsid w:val="002F33B1"/>
    <w:rsid w:val="002F3471"/>
    <w:rsid w:val="002F53B8"/>
    <w:rsid w:val="002F61C7"/>
    <w:rsid w:val="002F65ED"/>
    <w:rsid w:val="002F6C84"/>
    <w:rsid w:val="00300549"/>
    <w:rsid w:val="00302F41"/>
    <w:rsid w:val="0030381C"/>
    <w:rsid w:val="003040BE"/>
    <w:rsid w:val="00305E0C"/>
    <w:rsid w:val="003113B0"/>
    <w:rsid w:val="0031522B"/>
    <w:rsid w:val="00315638"/>
    <w:rsid w:val="003160E6"/>
    <w:rsid w:val="003202B2"/>
    <w:rsid w:val="00320BCA"/>
    <w:rsid w:val="003214EB"/>
    <w:rsid w:val="00321F95"/>
    <w:rsid w:val="00326F20"/>
    <w:rsid w:val="00327557"/>
    <w:rsid w:val="003316B1"/>
    <w:rsid w:val="00332D60"/>
    <w:rsid w:val="003335C1"/>
    <w:rsid w:val="0034090A"/>
    <w:rsid w:val="003427D7"/>
    <w:rsid w:val="00343F20"/>
    <w:rsid w:val="003443EE"/>
    <w:rsid w:val="0034525E"/>
    <w:rsid w:val="003455D6"/>
    <w:rsid w:val="00346670"/>
    <w:rsid w:val="00347B1C"/>
    <w:rsid w:val="00353044"/>
    <w:rsid w:val="00353E87"/>
    <w:rsid w:val="00355190"/>
    <w:rsid w:val="0035591A"/>
    <w:rsid w:val="0035608F"/>
    <w:rsid w:val="00356375"/>
    <w:rsid w:val="00357C0A"/>
    <w:rsid w:val="003608B5"/>
    <w:rsid w:val="003611D2"/>
    <w:rsid w:val="003615BC"/>
    <w:rsid w:val="00361C73"/>
    <w:rsid w:val="00361E15"/>
    <w:rsid w:val="00363C5C"/>
    <w:rsid w:val="00364AD5"/>
    <w:rsid w:val="0036533D"/>
    <w:rsid w:val="00365409"/>
    <w:rsid w:val="00365578"/>
    <w:rsid w:val="00366670"/>
    <w:rsid w:val="003701F0"/>
    <w:rsid w:val="00371566"/>
    <w:rsid w:val="003754D6"/>
    <w:rsid w:val="00376E1A"/>
    <w:rsid w:val="003849A3"/>
    <w:rsid w:val="00390AD1"/>
    <w:rsid w:val="00391359"/>
    <w:rsid w:val="003929EE"/>
    <w:rsid w:val="00394D88"/>
    <w:rsid w:val="003A097E"/>
    <w:rsid w:val="003A1098"/>
    <w:rsid w:val="003A22D8"/>
    <w:rsid w:val="003A2393"/>
    <w:rsid w:val="003A2646"/>
    <w:rsid w:val="003A5745"/>
    <w:rsid w:val="003A5BAF"/>
    <w:rsid w:val="003A76C0"/>
    <w:rsid w:val="003A7DFF"/>
    <w:rsid w:val="003B06BF"/>
    <w:rsid w:val="003B186A"/>
    <w:rsid w:val="003B523B"/>
    <w:rsid w:val="003C146C"/>
    <w:rsid w:val="003C1945"/>
    <w:rsid w:val="003C23AC"/>
    <w:rsid w:val="003C2C9E"/>
    <w:rsid w:val="003C7694"/>
    <w:rsid w:val="003C7827"/>
    <w:rsid w:val="003D3724"/>
    <w:rsid w:val="003D3EFD"/>
    <w:rsid w:val="003D5F36"/>
    <w:rsid w:val="003D6E69"/>
    <w:rsid w:val="003D7B91"/>
    <w:rsid w:val="003E0264"/>
    <w:rsid w:val="003E13A2"/>
    <w:rsid w:val="003E1788"/>
    <w:rsid w:val="003E1C55"/>
    <w:rsid w:val="003E4344"/>
    <w:rsid w:val="003E6AFD"/>
    <w:rsid w:val="003E7299"/>
    <w:rsid w:val="003F0AA2"/>
    <w:rsid w:val="003F1D1C"/>
    <w:rsid w:val="003F281E"/>
    <w:rsid w:val="003F3EE6"/>
    <w:rsid w:val="003F46C0"/>
    <w:rsid w:val="003F5529"/>
    <w:rsid w:val="003F5C90"/>
    <w:rsid w:val="003F7B52"/>
    <w:rsid w:val="00400AC3"/>
    <w:rsid w:val="00404819"/>
    <w:rsid w:val="004065BE"/>
    <w:rsid w:val="004100E1"/>
    <w:rsid w:val="004128E6"/>
    <w:rsid w:val="004135BB"/>
    <w:rsid w:val="00415A6A"/>
    <w:rsid w:val="00422F57"/>
    <w:rsid w:val="004248C8"/>
    <w:rsid w:val="00426E5B"/>
    <w:rsid w:val="00431B10"/>
    <w:rsid w:val="004330AF"/>
    <w:rsid w:val="004348BD"/>
    <w:rsid w:val="00440611"/>
    <w:rsid w:val="00443B28"/>
    <w:rsid w:val="00446B78"/>
    <w:rsid w:val="004471D5"/>
    <w:rsid w:val="00447A50"/>
    <w:rsid w:val="00451A30"/>
    <w:rsid w:val="00451FFC"/>
    <w:rsid w:val="00453EE8"/>
    <w:rsid w:val="0045404E"/>
    <w:rsid w:val="00463F2F"/>
    <w:rsid w:val="00466278"/>
    <w:rsid w:val="0046637D"/>
    <w:rsid w:val="00466DA2"/>
    <w:rsid w:val="00467B61"/>
    <w:rsid w:val="00467CC9"/>
    <w:rsid w:val="00470797"/>
    <w:rsid w:val="00472A35"/>
    <w:rsid w:val="00476576"/>
    <w:rsid w:val="00476EDC"/>
    <w:rsid w:val="00481270"/>
    <w:rsid w:val="0048190F"/>
    <w:rsid w:val="00482A10"/>
    <w:rsid w:val="00487B9E"/>
    <w:rsid w:val="00487E79"/>
    <w:rsid w:val="00491632"/>
    <w:rsid w:val="00491725"/>
    <w:rsid w:val="00494A7A"/>
    <w:rsid w:val="004A285B"/>
    <w:rsid w:val="004A5478"/>
    <w:rsid w:val="004A5EA9"/>
    <w:rsid w:val="004B0791"/>
    <w:rsid w:val="004B132C"/>
    <w:rsid w:val="004B15F7"/>
    <w:rsid w:val="004B2832"/>
    <w:rsid w:val="004B624D"/>
    <w:rsid w:val="004B62FE"/>
    <w:rsid w:val="004B7025"/>
    <w:rsid w:val="004C0E8F"/>
    <w:rsid w:val="004C269A"/>
    <w:rsid w:val="004C2C94"/>
    <w:rsid w:val="004C2DCA"/>
    <w:rsid w:val="004C38ED"/>
    <w:rsid w:val="004C3CAC"/>
    <w:rsid w:val="004C3D70"/>
    <w:rsid w:val="004C5BA3"/>
    <w:rsid w:val="004C73D7"/>
    <w:rsid w:val="004C7E3E"/>
    <w:rsid w:val="004D016B"/>
    <w:rsid w:val="004D6A84"/>
    <w:rsid w:val="004D6AE6"/>
    <w:rsid w:val="004D6C4D"/>
    <w:rsid w:val="004E6A0F"/>
    <w:rsid w:val="004E7D89"/>
    <w:rsid w:val="004F091D"/>
    <w:rsid w:val="004F0B91"/>
    <w:rsid w:val="004F57B0"/>
    <w:rsid w:val="004F6310"/>
    <w:rsid w:val="004F7CB2"/>
    <w:rsid w:val="00500084"/>
    <w:rsid w:val="0050077C"/>
    <w:rsid w:val="00500793"/>
    <w:rsid w:val="00505751"/>
    <w:rsid w:val="00505DDD"/>
    <w:rsid w:val="00506C39"/>
    <w:rsid w:val="00511C64"/>
    <w:rsid w:val="00512F82"/>
    <w:rsid w:val="00513128"/>
    <w:rsid w:val="00513AC0"/>
    <w:rsid w:val="00514EA4"/>
    <w:rsid w:val="00515248"/>
    <w:rsid w:val="0052264E"/>
    <w:rsid w:val="00523B4B"/>
    <w:rsid w:val="0052579D"/>
    <w:rsid w:val="00527437"/>
    <w:rsid w:val="00530856"/>
    <w:rsid w:val="005331DE"/>
    <w:rsid w:val="00535A6E"/>
    <w:rsid w:val="0053632A"/>
    <w:rsid w:val="00540C26"/>
    <w:rsid w:val="0054212B"/>
    <w:rsid w:val="00542854"/>
    <w:rsid w:val="0054289D"/>
    <w:rsid w:val="00543219"/>
    <w:rsid w:val="00543370"/>
    <w:rsid w:val="00544BBB"/>
    <w:rsid w:val="00546384"/>
    <w:rsid w:val="00547581"/>
    <w:rsid w:val="005504C7"/>
    <w:rsid w:val="0055370C"/>
    <w:rsid w:val="00553A3E"/>
    <w:rsid w:val="00553EA0"/>
    <w:rsid w:val="00556640"/>
    <w:rsid w:val="00560B7D"/>
    <w:rsid w:val="0056140C"/>
    <w:rsid w:val="0056292C"/>
    <w:rsid w:val="00562A92"/>
    <w:rsid w:val="00563415"/>
    <w:rsid w:val="005652A7"/>
    <w:rsid w:val="0056549A"/>
    <w:rsid w:val="00565F98"/>
    <w:rsid w:val="00567354"/>
    <w:rsid w:val="00572003"/>
    <w:rsid w:val="00574075"/>
    <w:rsid w:val="00576D94"/>
    <w:rsid w:val="00576E32"/>
    <w:rsid w:val="00577732"/>
    <w:rsid w:val="005829FC"/>
    <w:rsid w:val="00584C98"/>
    <w:rsid w:val="00586D85"/>
    <w:rsid w:val="00590AE0"/>
    <w:rsid w:val="005922B2"/>
    <w:rsid w:val="00593ED1"/>
    <w:rsid w:val="005A00B2"/>
    <w:rsid w:val="005A08CB"/>
    <w:rsid w:val="005A0C22"/>
    <w:rsid w:val="005A19D3"/>
    <w:rsid w:val="005A3BD5"/>
    <w:rsid w:val="005A621D"/>
    <w:rsid w:val="005A6685"/>
    <w:rsid w:val="005A6C6F"/>
    <w:rsid w:val="005B002B"/>
    <w:rsid w:val="005B0B99"/>
    <w:rsid w:val="005B39A0"/>
    <w:rsid w:val="005C58D2"/>
    <w:rsid w:val="005D041A"/>
    <w:rsid w:val="005D40BA"/>
    <w:rsid w:val="005E3FBA"/>
    <w:rsid w:val="005E4587"/>
    <w:rsid w:val="005E4F29"/>
    <w:rsid w:val="005E7211"/>
    <w:rsid w:val="005F1783"/>
    <w:rsid w:val="00603E52"/>
    <w:rsid w:val="006046B1"/>
    <w:rsid w:val="00604D15"/>
    <w:rsid w:val="00605163"/>
    <w:rsid w:val="00613E39"/>
    <w:rsid w:val="0061408C"/>
    <w:rsid w:val="00614A60"/>
    <w:rsid w:val="006150FD"/>
    <w:rsid w:val="0062047F"/>
    <w:rsid w:val="006255E0"/>
    <w:rsid w:val="00625A96"/>
    <w:rsid w:val="00627138"/>
    <w:rsid w:val="00630F97"/>
    <w:rsid w:val="00633D83"/>
    <w:rsid w:val="0063538D"/>
    <w:rsid w:val="00635A36"/>
    <w:rsid w:val="006378F2"/>
    <w:rsid w:val="00640197"/>
    <w:rsid w:val="00644F23"/>
    <w:rsid w:val="00646CC7"/>
    <w:rsid w:val="00646D93"/>
    <w:rsid w:val="0064792B"/>
    <w:rsid w:val="00650AA7"/>
    <w:rsid w:val="0065178F"/>
    <w:rsid w:val="006541B2"/>
    <w:rsid w:val="006547D0"/>
    <w:rsid w:val="006615A7"/>
    <w:rsid w:val="00661A35"/>
    <w:rsid w:val="00662636"/>
    <w:rsid w:val="006705CE"/>
    <w:rsid w:val="00671641"/>
    <w:rsid w:val="00672F5A"/>
    <w:rsid w:val="00676A35"/>
    <w:rsid w:val="006772C2"/>
    <w:rsid w:val="006778B8"/>
    <w:rsid w:val="00677A30"/>
    <w:rsid w:val="006800C6"/>
    <w:rsid w:val="006811AB"/>
    <w:rsid w:val="0068356A"/>
    <w:rsid w:val="00683A7E"/>
    <w:rsid w:val="006849A3"/>
    <w:rsid w:val="00685072"/>
    <w:rsid w:val="0068631A"/>
    <w:rsid w:val="00697C37"/>
    <w:rsid w:val="006A1390"/>
    <w:rsid w:val="006A346C"/>
    <w:rsid w:val="006A47CA"/>
    <w:rsid w:val="006A640B"/>
    <w:rsid w:val="006A6E58"/>
    <w:rsid w:val="006A7A9A"/>
    <w:rsid w:val="006B0A69"/>
    <w:rsid w:val="006B2F5B"/>
    <w:rsid w:val="006B5D93"/>
    <w:rsid w:val="006C0B72"/>
    <w:rsid w:val="006C1D67"/>
    <w:rsid w:val="006C4852"/>
    <w:rsid w:val="006C5774"/>
    <w:rsid w:val="006C6A6B"/>
    <w:rsid w:val="006D104A"/>
    <w:rsid w:val="006D23D7"/>
    <w:rsid w:val="006D3EC6"/>
    <w:rsid w:val="006D4D3C"/>
    <w:rsid w:val="006D540B"/>
    <w:rsid w:val="006D584D"/>
    <w:rsid w:val="006D5DAD"/>
    <w:rsid w:val="006E07E4"/>
    <w:rsid w:val="006E0D36"/>
    <w:rsid w:val="006E1858"/>
    <w:rsid w:val="006E278D"/>
    <w:rsid w:val="006E343D"/>
    <w:rsid w:val="006E4C3F"/>
    <w:rsid w:val="006E4E6E"/>
    <w:rsid w:val="006E6DE4"/>
    <w:rsid w:val="006E7AFC"/>
    <w:rsid w:val="006F07C3"/>
    <w:rsid w:val="006F5929"/>
    <w:rsid w:val="00702AAB"/>
    <w:rsid w:val="007034C9"/>
    <w:rsid w:val="007101B6"/>
    <w:rsid w:val="00715AE6"/>
    <w:rsid w:val="00720244"/>
    <w:rsid w:val="007231B5"/>
    <w:rsid w:val="00725577"/>
    <w:rsid w:val="00726EC4"/>
    <w:rsid w:val="007309B0"/>
    <w:rsid w:val="007311C8"/>
    <w:rsid w:val="00733C8F"/>
    <w:rsid w:val="00734CAB"/>
    <w:rsid w:val="00734E67"/>
    <w:rsid w:val="0073642A"/>
    <w:rsid w:val="00737C9B"/>
    <w:rsid w:val="007456C6"/>
    <w:rsid w:val="00745CDA"/>
    <w:rsid w:val="00747A04"/>
    <w:rsid w:val="0075273C"/>
    <w:rsid w:val="0075363E"/>
    <w:rsid w:val="00753BCA"/>
    <w:rsid w:val="00755E4A"/>
    <w:rsid w:val="00757000"/>
    <w:rsid w:val="00757A05"/>
    <w:rsid w:val="007600CE"/>
    <w:rsid w:val="007616DC"/>
    <w:rsid w:val="00762199"/>
    <w:rsid w:val="00762D12"/>
    <w:rsid w:val="00764F12"/>
    <w:rsid w:val="007664E8"/>
    <w:rsid w:val="0076695F"/>
    <w:rsid w:val="00767F4A"/>
    <w:rsid w:val="0077254F"/>
    <w:rsid w:val="00774A83"/>
    <w:rsid w:val="00784235"/>
    <w:rsid w:val="00784403"/>
    <w:rsid w:val="00784B27"/>
    <w:rsid w:val="00784FE2"/>
    <w:rsid w:val="00786691"/>
    <w:rsid w:val="00794E99"/>
    <w:rsid w:val="007A2A85"/>
    <w:rsid w:val="007A341F"/>
    <w:rsid w:val="007A3819"/>
    <w:rsid w:val="007A5F3E"/>
    <w:rsid w:val="007A76B3"/>
    <w:rsid w:val="007A7D9F"/>
    <w:rsid w:val="007B046C"/>
    <w:rsid w:val="007B0905"/>
    <w:rsid w:val="007B0C3F"/>
    <w:rsid w:val="007B13BC"/>
    <w:rsid w:val="007B212E"/>
    <w:rsid w:val="007B2AB1"/>
    <w:rsid w:val="007B5254"/>
    <w:rsid w:val="007C0157"/>
    <w:rsid w:val="007C1264"/>
    <w:rsid w:val="007C2650"/>
    <w:rsid w:val="007C31E7"/>
    <w:rsid w:val="007C347F"/>
    <w:rsid w:val="007C744D"/>
    <w:rsid w:val="007D0888"/>
    <w:rsid w:val="007D27E7"/>
    <w:rsid w:val="007D41CA"/>
    <w:rsid w:val="007D4E77"/>
    <w:rsid w:val="007E04C3"/>
    <w:rsid w:val="007E2AA1"/>
    <w:rsid w:val="007E2B44"/>
    <w:rsid w:val="007E5F1A"/>
    <w:rsid w:val="007E645F"/>
    <w:rsid w:val="007F07E9"/>
    <w:rsid w:val="007F1CB0"/>
    <w:rsid w:val="007F1DA5"/>
    <w:rsid w:val="007F3495"/>
    <w:rsid w:val="007F7D98"/>
    <w:rsid w:val="007F7F41"/>
    <w:rsid w:val="00804031"/>
    <w:rsid w:val="0080459B"/>
    <w:rsid w:val="00806DDB"/>
    <w:rsid w:val="008117D4"/>
    <w:rsid w:val="008128E0"/>
    <w:rsid w:val="00813A87"/>
    <w:rsid w:val="00814596"/>
    <w:rsid w:val="00820985"/>
    <w:rsid w:val="00824586"/>
    <w:rsid w:val="008245B6"/>
    <w:rsid w:val="00826D3E"/>
    <w:rsid w:val="008301DB"/>
    <w:rsid w:val="00830A6A"/>
    <w:rsid w:val="008319CF"/>
    <w:rsid w:val="008332D2"/>
    <w:rsid w:val="008353DB"/>
    <w:rsid w:val="00836B3C"/>
    <w:rsid w:val="008376B2"/>
    <w:rsid w:val="00837B1A"/>
    <w:rsid w:val="00841BD4"/>
    <w:rsid w:val="0084447B"/>
    <w:rsid w:val="00846BA0"/>
    <w:rsid w:val="00846FC1"/>
    <w:rsid w:val="008510F6"/>
    <w:rsid w:val="0085233E"/>
    <w:rsid w:val="008576D9"/>
    <w:rsid w:val="00865913"/>
    <w:rsid w:val="00867408"/>
    <w:rsid w:val="00867AFC"/>
    <w:rsid w:val="0087065D"/>
    <w:rsid w:val="00872196"/>
    <w:rsid w:val="008738B1"/>
    <w:rsid w:val="00880B16"/>
    <w:rsid w:val="0088109B"/>
    <w:rsid w:val="008827BF"/>
    <w:rsid w:val="00886BA8"/>
    <w:rsid w:val="00886EF1"/>
    <w:rsid w:val="00890FB3"/>
    <w:rsid w:val="0089519C"/>
    <w:rsid w:val="00895D0C"/>
    <w:rsid w:val="00897E44"/>
    <w:rsid w:val="008A05F0"/>
    <w:rsid w:val="008A2222"/>
    <w:rsid w:val="008B0447"/>
    <w:rsid w:val="008B1139"/>
    <w:rsid w:val="008B1F24"/>
    <w:rsid w:val="008B3F7A"/>
    <w:rsid w:val="008B5F13"/>
    <w:rsid w:val="008B681F"/>
    <w:rsid w:val="008B74F7"/>
    <w:rsid w:val="008C03CF"/>
    <w:rsid w:val="008C158C"/>
    <w:rsid w:val="008C3099"/>
    <w:rsid w:val="008C378F"/>
    <w:rsid w:val="008C3B59"/>
    <w:rsid w:val="008C549A"/>
    <w:rsid w:val="008C612D"/>
    <w:rsid w:val="008C6319"/>
    <w:rsid w:val="008C72B7"/>
    <w:rsid w:val="008D00F8"/>
    <w:rsid w:val="008D061D"/>
    <w:rsid w:val="008D509C"/>
    <w:rsid w:val="008D5AF1"/>
    <w:rsid w:val="008D7FCE"/>
    <w:rsid w:val="008E034B"/>
    <w:rsid w:val="008E0ADD"/>
    <w:rsid w:val="008E1B59"/>
    <w:rsid w:val="008E1CA0"/>
    <w:rsid w:val="008E3B2F"/>
    <w:rsid w:val="008E418F"/>
    <w:rsid w:val="008F2DEB"/>
    <w:rsid w:val="008F4A50"/>
    <w:rsid w:val="008F5BB5"/>
    <w:rsid w:val="008F6434"/>
    <w:rsid w:val="008F6567"/>
    <w:rsid w:val="008F706D"/>
    <w:rsid w:val="0090052C"/>
    <w:rsid w:val="00900C63"/>
    <w:rsid w:val="009043C4"/>
    <w:rsid w:val="00904B9B"/>
    <w:rsid w:val="00906131"/>
    <w:rsid w:val="00910481"/>
    <w:rsid w:val="0091143C"/>
    <w:rsid w:val="00914236"/>
    <w:rsid w:val="00921A9D"/>
    <w:rsid w:val="009228EE"/>
    <w:rsid w:val="00923E57"/>
    <w:rsid w:val="009243F6"/>
    <w:rsid w:val="00924E81"/>
    <w:rsid w:val="009322E6"/>
    <w:rsid w:val="00933F1E"/>
    <w:rsid w:val="00934121"/>
    <w:rsid w:val="009371B2"/>
    <w:rsid w:val="0094097B"/>
    <w:rsid w:val="00940FFC"/>
    <w:rsid w:val="0094104B"/>
    <w:rsid w:val="00943094"/>
    <w:rsid w:val="0094340A"/>
    <w:rsid w:val="0094677C"/>
    <w:rsid w:val="0094697D"/>
    <w:rsid w:val="009542A2"/>
    <w:rsid w:val="009542F3"/>
    <w:rsid w:val="0095576D"/>
    <w:rsid w:val="00960348"/>
    <w:rsid w:val="00961393"/>
    <w:rsid w:val="00962051"/>
    <w:rsid w:val="00962841"/>
    <w:rsid w:val="00962EEA"/>
    <w:rsid w:val="00963ED9"/>
    <w:rsid w:val="00964CAA"/>
    <w:rsid w:val="0096526A"/>
    <w:rsid w:val="00965B4A"/>
    <w:rsid w:val="009668DD"/>
    <w:rsid w:val="00967AA1"/>
    <w:rsid w:val="00967B41"/>
    <w:rsid w:val="0097024D"/>
    <w:rsid w:val="00971049"/>
    <w:rsid w:val="00971CBC"/>
    <w:rsid w:val="0098101C"/>
    <w:rsid w:val="00981553"/>
    <w:rsid w:val="009820C5"/>
    <w:rsid w:val="009822D6"/>
    <w:rsid w:val="00983601"/>
    <w:rsid w:val="00985C1D"/>
    <w:rsid w:val="009903DE"/>
    <w:rsid w:val="009914F6"/>
    <w:rsid w:val="00994C64"/>
    <w:rsid w:val="0099596D"/>
    <w:rsid w:val="00995E58"/>
    <w:rsid w:val="009968AA"/>
    <w:rsid w:val="009A1122"/>
    <w:rsid w:val="009A1789"/>
    <w:rsid w:val="009A1AAC"/>
    <w:rsid w:val="009A75C9"/>
    <w:rsid w:val="009A7815"/>
    <w:rsid w:val="009A7ED0"/>
    <w:rsid w:val="009B122F"/>
    <w:rsid w:val="009B146B"/>
    <w:rsid w:val="009B19EB"/>
    <w:rsid w:val="009B45E2"/>
    <w:rsid w:val="009C32B7"/>
    <w:rsid w:val="009C4CDC"/>
    <w:rsid w:val="009C55EA"/>
    <w:rsid w:val="009C63B7"/>
    <w:rsid w:val="009D43C2"/>
    <w:rsid w:val="009D5AB3"/>
    <w:rsid w:val="009D6188"/>
    <w:rsid w:val="009D659A"/>
    <w:rsid w:val="009E5BA9"/>
    <w:rsid w:val="009F0ADB"/>
    <w:rsid w:val="009F2C95"/>
    <w:rsid w:val="00A01727"/>
    <w:rsid w:val="00A0330E"/>
    <w:rsid w:val="00A07DF0"/>
    <w:rsid w:val="00A12B60"/>
    <w:rsid w:val="00A1733E"/>
    <w:rsid w:val="00A17576"/>
    <w:rsid w:val="00A205EB"/>
    <w:rsid w:val="00A20714"/>
    <w:rsid w:val="00A210DC"/>
    <w:rsid w:val="00A22072"/>
    <w:rsid w:val="00A22BF3"/>
    <w:rsid w:val="00A23EBF"/>
    <w:rsid w:val="00A265DA"/>
    <w:rsid w:val="00A312EE"/>
    <w:rsid w:val="00A3161D"/>
    <w:rsid w:val="00A31A52"/>
    <w:rsid w:val="00A336D2"/>
    <w:rsid w:val="00A34DD7"/>
    <w:rsid w:val="00A35D99"/>
    <w:rsid w:val="00A41DB0"/>
    <w:rsid w:val="00A42927"/>
    <w:rsid w:val="00A438A1"/>
    <w:rsid w:val="00A509F2"/>
    <w:rsid w:val="00A5393D"/>
    <w:rsid w:val="00A542A8"/>
    <w:rsid w:val="00A56463"/>
    <w:rsid w:val="00A61962"/>
    <w:rsid w:val="00A61D28"/>
    <w:rsid w:val="00A6278C"/>
    <w:rsid w:val="00A64DA0"/>
    <w:rsid w:val="00A667C3"/>
    <w:rsid w:val="00A66F2F"/>
    <w:rsid w:val="00A72EE8"/>
    <w:rsid w:val="00A73BE7"/>
    <w:rsid w:val="00A75CBD"/>
    <w:rsid w:val="00A76673"/>
    <w:rsid w:val="00A809B2"/>
    <w:rsid w:val="00A8365F"/>
    <w:rsid w:val="00A86284"/>
    <w:rsid w:val="00A86B7C"/>
    <w:rsid w:val="00A9050D"/>
    <w:rsid w:val="00A9306F"/>
    <w:rsid w:val="00A94ED3"/>
    <w:rsid w:val="00A9752B"/>
    <w:rsid w:val="00AA3111"/>
    <w:rsid w:val="00AA4461"/>
    <w:rsid w:val="00AA7A00"/>
    <w:rsid w:val="00AA7C73"/>
    <w:rsid w:val="00AB0559"/>
    <w:rsid w:val="00AB4A5F"/>
    <w:rsid w:val="00AB53D7"/>
    <w:rsid w:val="00AB5C1D"/>
    <w:rsid w:val="00AB709D"/>
    <w:rsid w:val="00AC06CD"/>
    <w:rsid w:val="00AC412B"/>
    <w:rsid w:val="00AC5BB1"/>
    <w:rsid w:val="00AD0473"/>
    <w:rsid w:val="00AD092F"/>
    <w:rsid w:val="00AD37A5"/>
    <w:rsid w:val="00AD4238"/>
    <w:rsid w:val="00AD4B48"/>
    <w:rsid w:val="00AD5899"/>
    <w:rsid w:val="00AD7751"/>
    <w:rsid w:val="00AE068F"/>
    <w:rsid w:val="00AE384D"/>
    <w:rsid w:val="00AF23A3"/>
    <w:rsid w:val="00AF2FC3"/>
    <w:rsid w:val="00AF47F1"/>
    <w:rsid w:val="00B0021B"/>
    <w:rsid w:val="00B013F7"/>
    <w:rsid w:val="00B02DE3"/>
    <w:rsid w:val="00B041B2"/>
    <w:rsid w:val="00B05823"/>
    <w:rsid w:val="00B06BAE"/>
    <w:rsid w:val="00B07827"/>
    <w:rsid w:val="00B07F76"/>
    <w:rsid w:val="00B12F9A"/>
    <w:rsid w:val="00B17099"/>
    <w:rsid w:val="00B17CC7"/>
    <w:rsid w:val="00B20556"/>
    <w:rsid w:val="00B2714B"/>
    <w:rsid w:val="00B30D48"/>
    <w:rsid w:val="00B331EB"/>
    <w:rsid w:val="00B33747"/>
    <w:rsid w:val="00B40A3E"/>
    <w:rsid w:val="00B416FE"/>
    <w:rsid w:val="00B41D5A"/>
    <w:rsid w:val="00B4491D"/>
    <w:rsid w:val="00B454E1"/>
    <w:rsid w:val="00B457DC"/>
    <w:rsid w:val="00B47B25"/>
    <w:rsid w:val="00B503EE"/>
    <w:rsid w:val="00B5272B"/>
    <w:rsid w:val="00B541E9"/>
    <w:rsid w:val="00B5462D"/>
    <w:rsid w:val="00B56917"/>
    <w:rsid w:val="00B62279"/>
    <w:rsid w:val="00B64880"/>
    <w:rsid w:val="00B66F13"/>
    <w:rsid w:val="00B67676"/>
    <w:rsid w:val="00B70C99"/>
    <w:rsid w:val="00B728F8"/>
    <w:rsid w:val="00B7403B"/>
    <w:rsid w:val="00B9025B"/>
    <w:rsid w:val="00B92D65"/>
    <w:rsid w:val="00B95E5D"/>
    <w:rsid w:val="00B96DBC"/>
    <w:rsid w:val="00BA086E"/>
    <w:rsid w:val="00BA125D"/>
    <w:rsid w:val="00BA2347"/>
    <w:rsid w:val="00BA25C7"/>
    <w:rsid w:val="00BA29FA"/>
    <w:rsid w:val="00BB2AB8"/>
    <w:rsid w:val="00BB3033"/>
    <w:rsid w:val="00BB4B57"/>
    <w:rsid w:val="00BB594E"/>
    <w:rsid w:val="00BC3D04"/>
    <w:rsid w:val="00BC44F2"/>
    <w:rsid w:val="00BC5EDF"/>
    <w:rsid w:val="00BD1148"/>
    <w:rsid w:val="00BD1757"/>
    <w:rsid w:val="00BD2C9D"/>
    <w:rsid w:val="00BD3B59"/>
    <w:rsid w:val="00BD44CA"/>
    <w:rsid w:val="00BD4513"/>
    <w:rsid w:val="00BD58BB"/>
    <w:rsid w:val="00BD5D8A"/>
    <w:rsid w:val="00BD787B"/>
    <w:rsid w:val="00BE04FE"/>
    <w:rsid w:val="00BE0596"/>
    <w:rsid w:val="00BE1131"/>
    <w:rsid w:val="00BE1865"/>
    <w:rsid w:val="00BE5E20"/>
    <w:rsid w:val="00BE6290"/>
    <w:rsid w:val="00BE7050"/>
    <w:rsid w:val="00BE73C8"/>
    <w:rsid w:val="00BF2CCB"/>
    <w:rsid w:val="00BF3846"/>
    <w:rsid w:val="00BF73C9"/>
    <w:rsid w:val="00BF7694"/>
    <w:rsid w:val="00C00C65"/>
    <w:rsid w:val="00C02BC5"/>
    <w:rsid w:val="00C04995"/>
    <w:rsid w:val="00C04C38"/>
    <w:rsid w:val="00C06C42"/>
    <w:rsid w:val="00C06C9A"/>
    <w:rsid w:val="00C072B3"/>
    <w:rsid w:val="00C1155A"/>
    <w:rsid w:val="00C14A96"/>
    <w:rsid w:val="00C15A16"/>
    <w:rsid w:val="00C2082D"/>
    <w:rsid w:val="00C21E35"/>
    <w:rsid w:val="00C22EBD"/>
    <w:rsid w:val="00C2473C"/>
    <w:rsid w:val="00C30170"/>
    <w:rsid w:val="00C35848"/>
    <w:rsid w:val="00C362CF"/>
    <w:rsid w:val="00C36353"/>
    <w:rsid w:val="00C426EA"/>
    <w:rsid w:val="00C54EFB"/>
    <w:rsid w:val="00C55D31"/>
    <w:rsid w:val="00C55E34"/>
    <w:rsid w:val="00C56057"/>
    <w:rsid w:val="00C573FD"/>
    <w:rsid w:val="00C60ED9"/>
    <w:rsid w:val="00C613CA"/>
    <w:rsid w:val="00C617F0"/>
    <w:rsid w:val="00C626AA"/>
    <w:rsid w:val="00C62AB1"/>
    <w:rsid w:val="00C636E9"/>
    <w:rsid w:val="00C676DB"/>
    <w:rsid w:val="00C7581F"/>
    <w:rsid w:val="00C802A4"/>
    <w:rsid w:val="00C83B5E"/>
    <w:rsid w:val="00C84252"/>
    <w:rsid w:val="00C864C7"/>
    <w:rsid w:val="00C867CB"/>
    <w:rsid w:val="00C86871"/>
    <w:rsid w:val="00C87520"/>
    <w:rsid w:val="00C90D5A"/>
    <w:rsid w:val="00C92EB6"/>
    <w:rsid w:val="00C9443A"/>
    <w:rsid w:val="00C94673"/>
    <w:rsid w:val="00C9483B"/>
    <w:rsid w:val="00C94DC3"/>
    <w:rsid w:val="00C96DD9"/>
    <w:rsid w:val="00CA0E3A"/>
    <w:rsid w:val="00CA17DA"/>
    <w:rsid w:val="00CB1141"/>
    <w:rsid w:val="00CB1197"/>
    <w:rsid w:val="00CB29E5"/>
    <w:rsid w:val="00CB326A"/>
    <w:rsid w:val="00CB45C7"/>
    <w:rsid w:val="00CB5F29"/>
    <w:rsid w:val="00CB6C7C"/>
    <w:rsid w:val="00CC1853"/>
    <w:rsid w:val="00CC3BB3"/>
    <w:rsid w:val="00CC6E79"/>
    <w:rsid w:val="00CD0287"/>
    <w:rsid w:val="00CD06F5"/>
    <w:rsid w:val="00CD0D27"/>
    <w:rsid w:val="00CD1553"/>
    <w:rsid w:val="00CE122E"/>
    <w:rsid w:val="00CE3B8A"/>
    <w:rsid w:val="00CE5DC7"/>
    <w:rsid w:val="00CE6998"/>
    <w:rsid w:val="00CE7FCB"/>
    <w:rsid w:val="00CF17DD"/>
    <w:rsid w:val="00CF39F3"/>
    <w:rsid w:val="00CF61B3"/>
    <w:rsid w:val="00CF6AEB"/>
    <w:rsid w:val="00CF74C7"/>
    <w:rsid w:val="00CF76CD"/>
    <w:rsid w:val="00D029B5"/>
    <w:rsid w:val="00D06CD7"/>
    <w:rsid w:val="00D07FDF"/>
    <w:rsid w:val="00D118CF"/>
    <w:rsid w:val="00D13D86"/>
    <w:rsid w:val="00D15434"/>
    <w:rsid w:val="00D17CB8"/>
    <w:rsid w:val="00D17ED5"/>
    <w:rsid w:val="00D20F4F"/>
    <w:rsid w:val="00D21132"/>
    <w:rsid w:val="00D21B03"/>
    <w:rsid w:val="00D222BD"/>
    <w:rsid w:val="00D257D3"/>
    <w:rsid w:val="00D25AE8"/>
    <w:rsid w:val="00D26C45"/>
    <w:rsid w:val="00D30598"/>
    <w:rsid w:val="00D30EFD"/>
    <w:rsid w:val="00D374DA"/>
    <w:rsid w:val="00D4007F"/>
    <w:rsid w:val="00D40E3D"/>
    <w:rsid w:val="00D41091"/>
    <w:rsid w:val="00D4337B"/>
    <w:rsid w:val="00D44B64"/>
    <w:rsid w:val="00D45D98"/>
    <w:rsid w:val="00D46D14"/>
    <w:rsid w:val="00D4756F"/>
    <w:rsid w:val="00D555A2"/>
    <w:rsid w:val="00D556A4"/>
    <w:rsid w:val="00D61108"/>
    <w:rsid w:val="00D62060"/>
    <w:rsid w:val="00D66C1D"/>
    <w:rsid w:val="00D7647F"/>
    <w:rsid w:val="00D7662E"/>
    <w:rsid w:val="00D80054"/>
    <w:rsid w:val="00D82472"/>
    <w:rsid w:val="00D8304B"/>
    <w:rsid w:val="00D834D5"/>
    <w:rsid w:val="00D8615C"/>
    <w:rsid w:val="00D87247"/>
    <w:rsid w:val="00D87F52"/>
    <w:rsid w:val="00D935C6"/>
    <w:rsid w:val="00D948D6"/>
    <w:rsid w:val="00D95FA3"/>
    <w:rsid w:val="00D9727F"/>
    <w:rsid w:val="00DA05EE"/>
    <w:rsid w:val="00DA07E6"/>
    <w:rsid w:val="00DA2124"/>
    <w:rsid w:val="00DA2256"/>
    <w:rsid w:val="00DA283A"/>
    <w:rsid w:val="00DA44F8"/>
    <w:rsid w:val="00DA48AD"/>
    <w:rsid w:val="00DA6A0C"/>
    <w:rsid w:val="00DB3184"/>
    <w:rsid w:val="00DB654D"/>
    <w:rsid w:val="00DC0891"/>
    <w:rsid w:val="00DC1670"/>
    <w:rsid w:val="00DC2526"/>
    <w:rsid w:val="00DC369A"/>
    <w:rsid w:val="00DD05E5"/>
    <w:rsid w:val="00DD23DD"/>
    <w:rsid w:val="00DD2C30"/>
    <w:rsid w:val="00DD36B2"/>
    <w:rsid w:val="00DD3FB7"/>
    <w:rsid w:val="00DD726E"/>
    <w:rsid w:val="00DE0CFB"/>
    <w:rsid w:val="00DE13F1"/>
    <w:rsid w:val="00DE1A66"/>
    <w:rsid w:val="00DE3242"/>
    <w:rsid w:val="00DE3DEE"/>
    <w:rsid w:val="00DE443D"/>
    <w:rsid w:val="00DE522F"/>
    <w:rsid w:val="00DE584D"/>
    <w:rsid w:val="00DE6712"/>
    <w:rsid w:val="00DE7645"/>
    <w:rsid w:val="00DF0A0F"/>
    <w:rsid w:val="00DF13EE"/>
    <w:rsid w:val="00DF4D72"/>
    <w:rsid w:val="00DF5C53"/>
    <w:rsid w:val="00DF65B4"/>
    <w:rsid w:val="00DF6F9D"/>
    <w:rsid w:val="00E0244F"/>
    <w:rsid w:val="00E02D89"/>
    <w:rsid w:val="00E063D4"/>
    <w:rsid w:val="00E103FF"/>
    <w:rsid w:val="00E11206"/>
    <w:rsid w:val="00E1147A"/>
    <w:rsid w:val="00E12ABD"/>
    <w:rsid w:val="00E13B06"/>
    <w:rsid w:val="00E15743"/>
    <w:rsid w:val="00E16AC1"/>
    <w:rsid w:val="00E21A66"/>
    <w:rsid w:val="00E2387E"/>
    <w:rsid w:val="00E23C28"/>
    <w:rsid w:val="00E24347"/>
    <w:rsid w:val="00E24DFC"/>
    <w:rsid w:val="00E2585A"/>
    <w:rsid w:val="00E26767"/>
    <w:rsid w:val="00E27B8C"/>
    <w:rsid w:val="00E3212D"/>
    <w:rsid w:val="00E321BC"/>
    <w:rsid w:val="00E3455E"/>
    <w:rsid w:val="00E3640F"/>
    <w:rsid w:val="00E37848"/>
    <w:rsid w:val="00E40167"/>
    <w:rsid w:val="00E40B1C"/>
    <w:rsid w:val="00E46030"/>
    <w:rsid w:val="00E50351"/>
    <w:rsid w:val="00E50CF3"/>
    <w:rsid w:val="00E5418E"/>
    <w:rsid w:val="00E57013"/>
    <w:rsid w:val="00E60F9C"/>
    <w:rsid w:val="00E622A6"/>
    <w:rsid w:val="00E629F6"/>
    <w:rsid w:val="00E64ED6"/>
    <w:rsid w:val="00E65090"/>
    <w:rsid w:val="00E663BB"/>
    <w:rsid w:val="00E7090D"/>
    <w:rsid w:val="00E712D8"/>
    <w:rsid w:val="00E714AC"/>
    <w:rsid w:val="00E72DAF"/>
    <w:rsid w:val="00E75C62"/>
    <w:rsid w:val="00E8317D"/>
    <w:rsid w:val="00E83728"/>
    <w:rsid w:val="00E83D93"/>
    <w:rsid w:val="00E85551"/>
    <w:rsid w:val="00E860B3"/>
    <w:rsid w:val="00E90C62"/>
    <w:rsid w:val="00E931AA"/>
    <w:rsid w:val="00E93F63"/>
    <w:rsid w:val="00E95785"/>
    <w:rsid w:val="00E95BFB"/>
    <w:rsid w:val="00E97BC4"/>
    <w:rsid w:val="00EA0D74"/>
    <w:rsid w:val="00EA1360"/>
    <w:rsid w:val="00EA1BF5"/>
    <w:rsid w:val="00EA2942"/>
    <w:rsid w:val="00EB29A4"/>
    <w:rsid w:val="00EB48DB"/>
    <w:rsid w:val="00EB5F76"/>
    <w:rsid w:val="00EB7BFE"/>
    <w:rsid w:val="00EC0278"/>
    <w:rsid w:val="00EC1068"/>
    <w:rsid w:val="00EC15A9"/>
    <w:rsid w:val="00EC1BEF"/>
    <w:rsid w:val="00EC1DE8"/>
    <w:rsid w:val="00EC35D2"/>
    <w:rsid w:val="00EC526A"/>
    <w:rsid w:val="00ED0E27"/>
    <w:rsid w:val="00ED12C8"/>
    <w:rsid w:val="00ED146D"/>
    <w:rsid w:val="00ED1597"/>
    <w:rsid w:val="00ED3E81"/>
    <w:rsid w:val="00ED67A7"/>
    <w:rsid w:val="00EE069A"/>
    <w:rsid w:val="00EE1A7C"/>
    <w:rsid w:val="00EE1C10"/>
    <w:rsid w:val="00EE36E7"/>
    <w:rsid w:val="00EE3C94"/>
    <w:rsid w:val="00EE4DD2"/>
    <w:rsid w:val="00EE7D86"/>
    <w:rsid w:val="00EF0021"/>
    <w:rsid w:val="00EF30F4"/>
    <w:rsid w:val="00EF314A"/>
    <w:rsid w:val="00EF3FAB"/>
    <w:rsid w:val="00EF4402"/>
    <w:rsid w:val="00EF582B"/>
    <w:rsid w:val="00F0284F"/>
    <w:rsid w:val="00F100FD"/>
    <w:rsid w:val="00F1126C"/>
    <w:rsid w:val="00F136D8"/>
    <w:rsid w:val="00F1457F"/>
    <w:rsid w:val="00F14616"/>
    <w:rsid w:val="00F156ED"/>
    <w:rsid w:val="00F241D0"/>
    <w:rsid w:val="00F27CFF"/>
    <w:rsid w:val="00F30D35"/>
    <w:rsid w:val="00F33EB0"/>
    <w:rsid w:val="00F366E5"/>
    <w:rsid w:val="00F36C29"/>
    <w:rsid w:val="00F41E4E"/>
    <w:rsid w:val="00F44726"/>
    <w:rsid w:val="00F46E12"/>
    <w:rsid w:val="00F50605"/>
    <w:rsid w:val="00F5311E"/>
    <w:rsid w:val="00F567B9"/>
    <w:rsid w:val="00F5691F"/>
    <w:rsid w:val="00F608F6"/>
    <w:rsid w:val="00F636D3"/>
    <w:rsid w:val="00F64811"/>
    <w:rsid w:val="00F6575D"/>
    <w:rsid w:val="00F67255"/>
    <w:rsid w:val="00F676AE"/>
    <w:rsid w:val="00F67E53"/>
    <w:rsid w:val="00F70899"/>
    <w:rsid w:val="00F71D75"/>
    <w:rsid w:val="00F73194"/>
    <w:rsid w:val="00F75888"/>
    <w:rsid w:val="00F75D1D"/>
    <w:rsid w:val="00F8111B"/>
    <w:rsid w:val="00F81C1E"/>
    <w:rsid w:val="00F81EF9"/>
    <w:rsid w:val="00F8345C"/>
    <w:rsid w:val="00F91815"/>
    <w:rsid w:val="00F945E8"/>
    <w:rsid w:val="00F951DC"/>
    <w:rsid w:val="00F96B59"/>
    <w:rsid w:val="00F97A54"/>
    <w:rsid w:val="00FA1D94"/>
    <w:rsid w:val="00FA43F3"/>
    <w:rsid w:val="00FA6088"/>
    <w:rsid w:val="00FA7D52"/>
    <w:rsid w:val="00FB045D"/>
    <w:rsid w:val="00FB3B56"/>
    <w:rsid w:val="00FB4746"/>
    <w:rsid w:val="00FB4787"/>
    <w:rsid w:val="00FB4972"/>
    <w:rsid w:val="00FB61AC"/>
    <w:rsid w:val="00FC0E13"/>
    <w:rsid w:val="00FC22F6"/>
    <w:rsid w:val="00FC308D"/>
    <w:rsid w:val="00FC3260"/>
    <w:rsid w:val="00FC38BD"/>
    <w:rsid w:val="00FC48F6"/>
    <w:rsid w:val="00FC4D72"/>
    <w:rsid w:val="00FD0072"/>
    <w:rsid w:val="00FD07F0"/>
    <w:rsid w:val="00FD0F8C"/>
    <w:rsid w:val="00FD0FA3"/>
    <w:rsid w:val="00FD28CE"/>
    <w:rsid w:val="00FD3B70"/>
    <w:rsid w:val="00FD4D3D"/>
    <w:rsid w:val="00FD5B64"/>
    <w:rsid w:val="00FD615D"/>
    <w:rsid w:val="00FD6363"/>
    <w:rsid w:val="00FD6CB9"/>
    <w:rsid w:val="00FE2D67"/>
    <w:rsid w:val="00FE3186"/>
    <w:rsid w:val="00FE55C9"/>
    <w:rsid w:val="00FF0C47"/>
    <w:rsid w:val="00FF39C5"/>
    <w:rsid w:val="00FF4A71"/>
    <w:rsid w:val="00FF6029"/>
    <w:rsid w:val="00FF62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928C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F5A"/>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672F5A"/>
    <w:pPr>
      <w:spacing w:after="120" w:line="480" w:lineRule="auto"/>
    </w:pPr>
    <w:rPr>
      <w:lang w:val="x-none"/>
    </w:rPr>
  </w:style>
  <w:style w:type="character" w:customStyle="1" w:styleId="BodyText2Char">
    <w:name w:val="Body Text 2 Char"/>
    <w:basedOn w:val="DefaultParagraphFont"/>
    <w:link w:val="BodyText2"/>
    <w:semiHidden/>
    <w:rsid w:val="00672F5A"/>
    <w:rPr>
      <w:rFonts w:ascii="Times New Roman" w:eastAsia="Times New Roman" w:hAnsi="Times New Roman" w:cs="Times New Roman"/>
      <w:sz w:val="24"/>
      <w:szCs w:val="24"/>
      <w:lang w:val="x-none" w:eastAsia="ru-RU"/>
    </w:rPr>
  </w:style>
  <w:style w:type="table" w:styleId="TableGrid">
    <w:name w:val="Table Grid"/>
    <w:basedOn w:val="TableNormal"/>
    <w:rsid w:val="004D0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340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0C0"/>
    <w:rPr>
      <w:rFonts w:ascii="Segoe UI" w:eastAsia="Times New Roman" w:hAnsi="Segoe UI" w:cs="Segoe UI"/>
      <w:sz w:val="18"/>
      <w:szCs w:val="18"/>
      <w:lang w:eastAsia="ru-RU"/>
    </w:rPr>
  </w:style>
  <w:style w:type="character" w:styleId="Hyperlink">
    <w:name w:val="Hyperlink"/>
    <w:basedOn w:val="DefaultParagraphFont"/>
    <w:uiPriority w:val="99"/>
    <w:unhideWhenUsed/>
    <w:rsid w:val="00FA1D94"/>
    <w:rPr>
      <w:color w:val="0563C1" w:themeColor="hyperlink"/>
      <w:u w:val="single"/>
    </w:rPr>
  </w:style>
  <w:style w:type="paragraph" w:customStyle="1" w:styleId="c01pointnumerotealtn">
    <w:name w:val="c01pointnumerotealtn"/>
    <w:basedOn w:val="Normal"/>
    <w:rsid w:val="00E063D4"/>
    <w:pPr>
      <w:spacing w:before="100" w:beforeAutospacing="1" w:after="100" w:afterAutospacing="1"/>
    </w:pPr>
    <w:rPr>
      <w:lang w:eastAsia="lv-LV"/>
    </w:rPr>
  </w:style>
  <w:style w:type="paragraph" w:customStyle="1" w:styleId="c04titre1">
    <w:name w:val="c04titre1"/>
    <w:basedOn w:val="Normal"/>
    <w:rsid w:val="00E063D4"/>
    <w:pPr>
      <w:spacing w:before="100" w:beforeAutospacing="1" w:after="100" w:afterAutospacing="1"/>
    </w:pPr>
    <w:rPr>
      <w:lang w:eastAsia="lv-LV"/>
    </w:rPr>
  </w:style>
  <w:style w:type="paragraph" w:styleId="BodyTextIndent">
    <w:name w:val="Body Text Indent"/>
    <w:basedOn w:val="Normal"/>
    <w:link w:val="BodyTextIndentChar"/>
    <w:uiPriority w:val="99"/>
    <w:semiHidden/>
    <w:unhideWhenUsed/>
    <w:rsid w:val="00661A35"/>
    <w:pPr>
      <w:spacing w:after="120"/>
      <w:ind w:left="283"/>
    </w:pPr>
  </w:style>
  <w:style w:type="character" w:customStyle="1" w:styleId="BodyTextIndentChar">
    <w:name w:val="Body Text Indent Char"/>
    <w:basedOn w:val="DefaultParagraphFont"/>
    <w:link w:val="BodyTextIndent"/>
    <w:uiPriority w:val="99"/>
    <w:semiHidden/>
    <w:rsid w:val="00661A35"/>
    <w:rPr>
      <w:rFonts w:ascii="Times New Roman" w:eastAsia="Times New Roman" w:hAnsi="Times New Roman" w:cs="Times New Roman"/>
      <w:sz w:val="24"/>
      <w:szCs w:val="24"/>
      <w:lang w:eastAsia="ru-RU"/>
    </w:rPr>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iPriority w:val="99"/>
    <w:unhideWhenUsed/>
    <w:rsid w:val="008A2222"/>
    <w:rPr>
      <w:rFonts w:eastAsia="Calibri"/>
      <w:sz w:val="20"/>
      <w:szCs w:val="20"/>
      <w:lang w:eastAsia="en-US"/>
    </w:r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uiPriority w:val="99"/>
    <w:rsid w:val="008A2222"/>
    <w:rPr>
      <w:rFonts w:ascii="Times New Roman" w:eastAsia="Calibri" w:hAnsi="Times New Roman" w:cs="Times New Roman"/>
      <w:sz w:val="20"/>
      <w:szCs w:val="20"/>
    </w:rPr>
  </w:style>
  <w:style w:type="character" w:styleId="FootnoteReference">
    <w:name w:val="footnote reference"/>
    <w:uiPriority w:val="99"/>
    <w:unhideWhenUsed/>
    <w:rsid w:val="008A2222"/>
    <w:rPr>
      <w:vertAlign w:val="superscript"/>
    </w:rPr>
  </w:style>
  <w:style w:type="paragraph" w:customStyle="1" w:styleId="Normalnumberedpara">
    <w:name w:val="Normal numbered para"/>
    <w:basedOn w:val="Normal"/>
    <w:uiPriority w:val="99"/>
    <w:rsid w:val="003A5745"/>
    <w:pPr>
      <w:keepNext/>
      <w:spacing w:before="120" w:after="120" w:line="276" w:lineRule="auto"/>
      <w:ind w:left="567" w:hanging="567"/>
      <w:jc w:val="both"/>
    </w:pPr>
    <w:rPr>
      <w:rFonts w:cs="Arial"/>
      <w:szCs w:val="20"/>
      <w:lang w:eastAsia="en-US"/>
    </w:rPr>
  </w:style>
  <w:style w:type="paragraph" w:customStyle="1" w:styleId="c05titre2">
    <w:name w:val="c05titre2"/>
    <w:basedOn w:val="Normal"/>
    <w:rsid w:val="009B146B"/>
    <w:pPr>
      <w:spacing w:before="100" w:beforeAutospacing="1" w:after="100" w:afterAutospacing="1"/>
    </w:pPr>
    <w:rPr>
      <w:lang w:eastAsia="lv-LV"/>
    </w:rPr>
  </w:style>
  <w:style w:type="paragraph" w:styleId="Header">
    <w:name w:val="header"/>
    <w:basedOn w:val="Normal"/>
    <w:link w:val="HeaderChar"/>
    <w:uiPriority w:val="99"/>
    <w:unhideWhenUsed/>
    <w:rsid w:val="0025662E"/>
    <w:pPr>
      <w:tabs>
        <w:tab w:val="center" w:pos="4153"/>
        <w:tab w:val="right" w:pos="8306"/>
      </w:tabs>
    </w:pPr>
  </w:style>
  <w:style w:type="character" w:customStyle="1" w:styleId="HeaderChar">
    <w:name w:val="Header Char"/>
    <w:basedOn w:val="DefaultParagraphFont"/>
    <w:link w:val="Header"/>
    <w:uiPriority w:val="99"/>
    <w:rsid w:val="0025662E"/>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25662E"/>
    <w:pPr>
      <w:tabs>
        <w:tab w:val="center" w:pos="4153"/>
        <w:tab w:val="right" w:pos="8306"/>
      </w:tabs>
    </w:pPr>
  </w:style>
  <w:style w:type="character" w:customStyle="1" w:styleId="FooterChar">
    <w:name w:val="Footer Char"/>
    <w:basedOn w:val="DefaultParagraphFont"/>
    <w:link w:val="Footer"/>
    <w:uiPriority w:val="99"/>
    <w:rsid w:val="0025662E"/>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1B5D9C"/>
    <w:rPr>
      <w:sz w:val="16"/>
      <w:szCs w:val="16"/>
    </w:rPr>
  </w:style>
  <w:style w:type="paragraph" w:styleId="CommentText">
    <w:name w:val="annotation text"/>
    <w:basedOn w:val="Normal"/>
    <w:link w:val="CommentTextChar"/>
    <w:uiPriority w:val="99"/>
    <w:semiHidden/>
    <w:unhideWhenUsed/>
    <w:rsid w:val="001B5D9C"/>
    <w:rPr>
      <w:sz w:val="20"/>
      <w:szCs w:val="20"/>
    </w:rPr>
  </w:style>
  <w:style w:type="character" w:customStyle="1" w:styleId="CommentTextChar">
    <w:name w:val="Comment Text Char"/>
    <w:basedOn w:val="DefaultParagraphFont"/>
    <w:link w:val="CommentText"/>
    <w:uiPriority w:val="99"/>
    <w:semiHidden/>
    <w:rsid w:val="001B5D9C"/>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1B5D9C"/>
    <w:rPr>
      <w:b/>
      <w:bCs/>
    </w:rPr>
  </w:style>
  <w:style w:type="character" w:customStyle="1" w:styleId="CommentSubjectChar">
    <w:name w:val="Comment Subject Char"/>
    <w:basedOn w:val="CommentTextChar"/>
    <w:link w:val="CommentSubject"/>
    <w:uiPriority w:val="99"/>
    <w:semiHidden/>
    <w:rsid w:val="001B5D9C"/>
    <w:rPr>
      <w:rFonts w:ascii="Times New Roman" w:eastAsia="Times New Roman" w:hAnsi="Times New Roman" w:cs="Times New Roman"/>
      <w:b/>
      <w:bCs/>
      <w:sz w:val="20"/>
      <w:szCs w:val="20"/>
      <w:lang w:eastAsia="ru-RU"/>
    </w:rPr>
  </w:style>
  <w:style w:type="paragraph" w:styleId="ListParagraph">
    <w:name w:val="List Paragraph"/>
    <w:basedOn w:val="Normal"/>
    <w:uiPriority w:val="34"/>
    <w:qFormat/>
    <w:rsid w:val="006C0B72"/>
    <w:pPr>
      <w:ind w:left="720"/>
      <w:contextualSpacing/>
    </w:pPr>
  </w:style>
  <w:style w:type="paragraph" w:customStyle="1" w:styleId="tv213">
    <w:name w:val="tv213"/>
    <w:basedOn w:val="Normal"/>
    <w:rsid w:val="00F136D8"/>
    <w:pPr>
      <w:spacing w:before="100" w:beforeAutospacing="1" w:after="100" w:afterAutospacing="1"/>
    </w:pPr>
    <w:rPr>
      <w:lang w:eastAsia="lv-LV"/>
    </w:rPr>
  </w:style>
  <w:style w:type="character" w:styleId="FollowedHyperlink">
    <w:name w:val="FollowedHyperlink"/>
    <w:basedOn w:val="DefaultParagraphFont"/>
    <w:uiPriority w:val="99"/>
    <w:semiHidden/>
    <w:unhideWhenUsed/>
    <w:rsid w:val="008F4A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066886">
      <w:bodyDiv w:val="1"/>
      <w:marLeft w:val="0"/>
      <w:marRight w:val="0"/>
      <w:marTop w:val="0"/>
      <w:marBottom w:val="0"/>
      <w:divBdr>
        <w:top w:val="none" w:sz="0" w:space="0" w:color="auto"/>
        <w:left w:val="none" w:sz="0" w:space="0" w:color="auto"/>
        <w:bottom w:val="none" w:sz="0" w:space="0" w:color="auto"/>
        <w:right w:val="none" w:sz="0" w:space="0" w:color="auto"/>
      </w:divBdr>
    </w:div>
    <w:div w:id="493185960">
      <w:bodyDiv w:val="1"/>
      <w:marLeft w:val="0"/>
      <w:marRight w:val="0"/>
      <w:marTop w:val="0"/>
      <w:marBottom w:val="0"/>
      <w:divBdr>
        <w:top w:val="none" w:sz="0" w:space="0" w:color="auto"/>
        <w:left w:val="none" w:sz="0" w:space="0" w:color="auto"/>
        <w:bottom w:val="none" w:sz="0" w:space="0" w:color="auto"/>
        <w:right w:val="none" w:sz="0" w:space="0" w:color="auto"/>
      </w:divBdr>
    </w:div>
    <w:div w:id="542988892">
      <w:bodyDiv w:val="1"/>
      <w:marLeft w:val="0"/>
      <w:marRight w:val="0"/>
      <w:marTop w:val="0"/>
      <w:marBottom w:val="0"/>
      <w:divBdr>
        <w:top w:val="none" w:sz="0" w:space="0" w:color="auto"/>
        <w:left w:val="none" w:sz="0" w:space="0" w:color="auto"/>
        <w:bottom w:val="none" w:sz="0" w:space="0" w:color="auto"/>
        <w:right w:val="none" w:sz="0" w:space="0" w:color="auto"/>
      </w:divBdr>
    </w:div>
    <w:div w:id="566649004">
      <w:bodyDiv w:val="1"/>
      <w:marLeft w:val="0"/>
      <w:marRight w:val="0"/>
      <w:marTop w:val="0"/>
      <w:marBottom w:val="0"/>
      <w:divBdr>
        <w:top w:val="none" w:sz="0" w:space="0" w:color="auto"/>
        <w:left w:val="none" w:sz="0" w:space="0" w:color="auto"/>
        <w:bottom w:val="none" w:sz="0" w:space="0" w:color="auto"/>
        <w:right w:val="none" w:sz="0" w:space="0" w:color="auto"/>
      </w:divBdr>
      <w:divsChild>
        <w:div w:id="546798638">
          <w:marLeft w:val="0"/>
          <w:marRight w:val="0"/>
          <w:marTop w:val="0"/>
          <w:marBottom w:val="0"/>
          <w:divBdr>
            <w:top w:val="none" w:sz="0" w:space="0" w:color="auto"/>
            <w:left w:val="none" w:sz="0" w:space="0" w:color="auto"/>
            <w:bottom w:val="none" w:sz="0" w:space="0" w:color="auto"/>
            <w:right w:val="none" w:sz="0" w:space="0" w:color="auto"/>
          </w:divBdr>
        </w:div>
      </w:divsChild>
    </w:div>
    <w:div w:id="818813994">
      <w:bodyDiv w:val="1"/>
      <w:marLeft w:val="0"/>
      <w:marRight w:val="0"/>
      <w:marTop w:val="0"/>
      <w:marBottom w:val="0"/>
      <w:divBdr>
        <w:top w:val="none" w:sz="0" w:space="0" w:color="auto"/>
        <w:left w:val="none" w:sz="0" w:space="0" w:color="auto"/>
        <w:bottom w:val="none" w:sz="0" w:space="0" w:color="auto"/>
        <w:right w:val="none" w:sz="0" w:space="0" w:color="auto"/>
      </w:divBdr>
    </w:div>
    <w:div w:id="838424648">
      <w:bodyDiv w:val="1"/>
      <w:marLeft w:val="0"/>
      <w:marRight w:val="0"/>
      <w:marTop w:val="0"/>
      <w:marBottom w:val="0"/>
      <w:divBdr>
        <w:top w:val="none" w:sz="0" w:space="0" w:color="auto"/>
        <w:left w:val="none" w:sz="0" w:space="0" w:color="auto"/>
        <w:bottom w:val="none" w:sz="0" w:space="0" w:color="auto"/>
        <w:right w:val="none" w:sz="0" w:space="0" w:color="auto"/>
      </w:divBdr>
    </w:div>
    <w:div w:id="977757200">
      <w:bodyDiv w:val="1"/>
      <w:marLeft w:val="0"/>
      <w:marRight w:val="0"/>
      <w:marTop w:val="0"/>
      <w:marBottom w:val="0"/>
      <w:divBdr>
        <w:top w:val="none" w:sz="0" w:space="0" w:color="auto"/>
        <w:left w:val="none" w:sz="0" w:space="0" w:color="auto"/>
        <w:bottom w:val="none" w:sz="0" w:space="0" w:color="auto"/>
        <w:right w:val="none" w:sz="0" w:space="0" w:color="auto"/>
      </w:divBdr>
    </w:div>
    <w:div w:id="1040323812">
      <w:bodyDiv w:val="1"/>
      <w:marLeft w:val="0"/>
      <w:marRight w:val="0"/>
      <w:marTop w:val="0"/>
      <w:marBottom w:val="0"/>
      <w:divBdr>
        <w:top w:val="none" w:sz="0" w:space="0" w:color="auto"/>
        <w:left w:val="none" w:sz="0" w:space="0" w:color="auto"/>
        <w:bottom w:val="none" w:sz="0" w:space="0" w:color="auto"/>
        <w:right w:val="none" w:sz="0" w:space="0" w:color="auto"/>
      </w:divBdr>
    </w:div>
    <w:div w:id="1090740720">
      <w:bodyDiv w:val="1"/>
      <w:marLeft w:val="0"/>
      <w:marRight w:val="0"/>
      <w:marTop w:val="0"/>
      <w:marBottom w:val="0"/>
      <w:divBdr>
        <w:top w:val="none" w:sz="0" w:space="0" w:color="auto"/>
        <w:left w:val="none" w:sz="0" w:space="0" w:color="auto"/>
        <w:bottom w:val="none" w:sz="0" w:space="0" w:color="auto"/>
        <w:right w:val="none" w:sz="0" w:space="0" w:color="auto"/>
      </w:divBdr>
    </w:div>
    <w:div w:id="1752700009">
      <w:bodyDiv w:val="1"/>
      <w:marLeft w:val="0"/>
      <w:marRight w:val="0"/>
      <w:marTop w:val="0"/>
      <w:marBottom w:val="0"/>
      <w:divBdr>
        <w:top w:val="none" w:sz="0" w:space="0" w:color="auto"/>
        <w:left w:val="none" w:sz="0" w:space="0" w:color="auto"/>
        <w:bottom w:val="none" w:sz="0" w:space="0" w:color="auto"/>
        <w:right w:val="none" w:sz="0" w:space="0" w:color="auto"/>
      </w:divBdr>
    </w:div>
    <w:div w:id="1936133764">
      <w:bodyDiv w:val="1"/>
      <w:marLeft w:val="0"/>
      <w:marRight w:val="0"/>
      <w:marTop w:val="0"/>
      <w:marBottom w:val="0"/>
      <w:divBdr>
        <w:top w:val="none" w:sz="0" w:space="0" w:color="auto"/>
        <w:left w:val="none" w:sz="0" w:space="0" w:color="auto"/>
        <w:bottom w:val="none" w:sz="0" w:space="0" w:color="auto"/>
        <w:right w:val="none" w:sz="0" w:space="0" w:color="auto"/>
      </w:divBdr>
    </w:div>
    <w:div w:id="204605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7:0904.A420344714.2.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nas.tiesas.lv/eTiesasMvc/eclinolemumi/ECLI:LV:AT:2021:0907.A420289818.14.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manas.tiesas.lv/eTiesasMvc/eclinolemumi/ECLI:LV:AT:2019:0530.A420459312.3.S" TargetMode="External"/><Relationship Id="rId4" Type="http://schemas.openxmlformats.org/officeDocument/2006/relationships/webSettings" Target="webSettings.xml"/><Relationship Id="rId9" Type="http://schemas.openxmlformats.org/officeDocument/2006/relationships/hyperlink" Target="https://manas.tiesas.lv/eTiesasMvc/eclinolemumi/ECLI:LV:AT:2019:0731.A420264416.20.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2198</Words>
  <Characters>12535</Characters>
  <Application>Microsoft Office Word</Application>
  <DocSecurity>0</DocSecurity>
  <Lines>104</Lines>
  <Paragraphs>29</Paragraphs>
  <ScaleCrop>false</ScaleCrop>
  <Company/>
  <LinksUpToDate>false</LinksUpToDate>
  <CharactersWithSpaces>14704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2021-10-18T12:51:00Z</dcterms:created>
  <dcterms:modified xsi:type="dcterms:W3CDTF">2022-03-10T14:03:00Z</dcterms:modified>
</cp:coreProperties>
</file>