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C532" w14:textId="77777777" w:rsidR="0054294B" w:rsidRPr="00F851FA" w:rsidRDefault="0054294B" w:rsidP="0054294B">
      <w:pPr>
        <w:spacing w:after="0" w:line="276" w:lineRule="auto"/>
        <w:jc w:val="both"/>
        <w:rPr>
          <w:rFonts w:cs="Times New Roman"/>
          <w:b/>
          <w:bCs/>
          <w:iCs/>
          <w:szCs w:val="24"/>
          <w:lang w:val="lv-LV"/>
        </w:rPr>
      </w:pPr>
      <w:r w:rsidRPr="00F851FA">
        <w:rPr>
          <w:rFonts w:cs="Times New Roman"/>
          <w:b/>
          <w:bCs/>
          <w:iCs/>
          <w:szCs w:val="24"/>
          <w:lang w:val="lv-LV"/>
        </w:rPr>
        <w:t>Tiesneša lēmuma par iesniegumu atmaksāt valsts nodevu zemesgrāmatā pārsūdzēšanas kārtība</w:t>
      </w:r>
    </w:p>
    <w:p w14:paraId="4C204C1B" w14:textId="0CF80B19" w:rsidR="00E21818" w:rsidRPr="00F851FA" w:rsidRDefault="0054294B" w:rsidP="0054294B">
      <w:pPr>
        <w:tabs>
          <w:tab w:val="left" w:pos="0"/>
        </w:tabs>
        <w:spacing w:after="0" w:line="276" w:lineRule="auto"/>
        <w:ind w:right="-1"/>
        <w:jc w:val="both"/>
        <w:rPr>
          <w:rFonts w:eastAsia="Times New Roman" w:cs="Times New Roman"/>
          <w:szCs w:val="24"/>
          <w:lang w:val="lv-LV" w:eastAsia="lv-LV"/>
        </w:rPr>
      </w:pPr>
      <w:r w:rsidRPr="00F851FA">
        <w:rPr>
          <w:rFonts w:cs="Times New Roman"/>
          <w:iCs/>
          <w:szCs w:val="24"/>
          <w:lang w:val="lv-LV"/>
        </w:rPr>
        <w:t>Tiesneša lēmums par atteikumu atmaksāt valsts nodevu zemesgrāmatā (Zemesgrāmatu likuma 106.</w:t>
      </w:r>
      <w:r w:rsidRPr="00F851FA">
        <w:rPr>
          <w:rFonts w:cs="Times New Roman"/>
          <w:iCs/>
          <w:szCs w:val="24"/>
          <w:vertAlign w:val="superscript"/>
          <w:lang w:val="lv-LV"/>
        </w:rPr>
        <w:t>1</w:t>
      </w:r>
      <w:r w:rsidRPr="00F851FA">
        <w:rPr>
          <w:rFonts w:cs="Times New Roman"/>
          <w:iCs/>
          <w:szCs w:val="24"/>
          <w:lang w:val="lv-LV"/>
        </w:rPr>
        <w:t xml:space="preserve"> panta trešā daļa) nav lēmums Zemesgrāmatu likuma </w:t>
      </w:r>
      <w:proofErr w:type="gramStart"/>
      <w:r w:rsidRPr="00F851FA">
        <w:rPr>
          <w:rFonts w:cs="Times New Roman"/>
          <w:iCs/>
          <w:szCs w:val="24"/>
          <w:lang w:val="lv-LV"/>
        </w:rPr>
        <w:t>97.panta</w:t>
      </w:r>
      <w:proofErr w:type="gramEnd"/>
      <w:r w:rsidRPr="00F851FA">
        <w:rPr>
          <w:rFonts w:cs="Times New Roman"/>
          <w:iCs/>
          <w:szCs w:val="24"/>
          <w:lang w:val="lv-LV"/>
        </w:rPr>
        <w:t xml:space="preserve"> izpratnē, jo nav pieņemts, izskatot nostiprinājuma lūgumu pēc būtības. Šāda lēmuma pārsūdzēšanai piemērojama vispārīgā kārtība, proti, apgabaltiesas lēmums nav pārsūdzams.</w:t>
      </w:r>
    </w:p>
    <w:p w14:paraId="21364BD8" w14:textId="67E9873F" w:rsidR="00051E2E" w:rsidRPr="00F851FA" w:rsidRDefault="00051E2E" w:rsidP="00A667C4">
      <w:pPr>
        <w:tabs>
          <w:tab w:val="left" w:pos="0"/>
        </w:tabs>
        <w:spacing w:after="0" w:line="276" w:lineRule="auto"/>
        <w:ind w:right="-1"/>
        <w:jc w:val="right"/>
        <w:rPr>
          <w:rFonts w:eastAsia="Times New Roman" w:cs="Times New Roman"/>
          <w:szCs w:val="24"/>
          <w:lang w:val="lv-LV" w:eastAsia="lv-LV"/>
        </w:rPr>
      </w:pPr>
    </w:p>
    <w:p w14:paraId="4E320ABE" w14:textId="08F5456E" w:rsidR="00051E2E" w:rsidRPr="00F851FA" w:rsidRDefault="00051E2E" w:rsidP="00A667C4">
      <w:pPr>
        <w:tabs>
          <w:tab w:val="left" w:pos="0"/>
          <w:tab w:val="center" w:pos="4749"/>
          <w:tab w:val="right" w:pos="9498"/>
        </w:tabs>
        <w:spacing w:after="0" w:line="276" w:lineRule="auto"/>
        <w:ind w:right="-1"/>
        <w:jc w:val="center"/>
        <w:rPr>
          <w:rFonts w:eastAsia="Times New Roman" w:cs="Times New Roman"/>
          <w:b/>
          <w:szCs w:val="24"/>
          <w:lang w:val="lv-LV" w:eastAsia="ru-RU"/>
        </w:rPr>
      </w:pPr>
      <w:bookmarkStart w:id="0" w:name="Dropdown1"/>
      <w:bookmarkStart w:id="1" w:name="_Hlk87370158"/>
      <w:r w:rsidRPr="00F851FA">
        <w:rPr>
          <w:rFonts w:eastAsia="Times New Roman" w:cs="Times New Roman"/>
          <w:b/>
          <w:szCs w:val="24"/>
          <w:lang w:val="lv-LV" w:eastAsia="ru-RU"/>
        </w:rPr>
        <w:t>Latvijas Republikas Senāt</w:t>
      </w:r>
      <w:r w:rsidR="00172B5E" w:rsidRPr="00F851FA">
        <w:rPr>
          <w:rFonts w:eastAsia="Times New Roman" w:cs="Times New Roman"/>
          <w:b/>
          <w:szCs w:val="24"/>
          <w:lang w:val="lv-LV" w:eastAsia="ru-RU"/>
        </w:rPr>
        <w:t>a</w:t>
      </w:r>
    </w:p>
    <w:p w14:paraId="44753E90" w14:textId="1A8CEEA7" w:rsidR="00172B5E" w:rsidRPr="00F851FA" w:rsidRDefault="00172B5E" w:rsidP="00A667C4">
      <w:pPr>
        <w:tabs>
          <w:tab w:val="left" w:pos="0"/>
          <w:tab w:val="center" w:pos="4749"/>
          <w:tab w:val="right" w:pos="9498"/>
        </w:tabs>
        <w:spacing w:after="0" w:line="276" w:lineRule="auto"/>
        <w:ind w:right="-1"/>
        <w:jc w:val="center"/>
        <w:rPr>
          <w:rFonts w:eastAsia="Times New Roman" w:cs="Times New Roman"/>
          <w:b/>
          <w:szCs w:val="24"/>
          <w:lang w:val="lv-LV" w:eastAsia="ru-RU"/>
        </w:rPr>
      </w:pPr>
      <w:r w:rsidRPr="00F851FA">
        <w:rPr>
          <w:rFonts w:eastAsia="Times New Roman" w:cs="Times New Roman"/>
          <w:b/>
          <w:szCs w:val="24"/>
          <w:lang w:val="lv-LV" w:eastAsia="ru-RU"/>
        </w:rPr>
        <w:t>Civillietu departamenta</w:t>
      </w:r>
    </w:p>
    <w:p w14:paraId="37BBC5D4" w14:textId="77777777" w:rsidR="000660DA" w:rsidRPr="00F851FA" w:rsidRDefault="00172B5E" w:rsidP="000660DA">
      <w:pPr>
        <w:tabs>
          <w:tab w:val="left" w:pos="0"/>
          <w:tab w:val="center" w:pos="4749"/>
          <w:tab w:val="right" w:pos="9498"/>
        </w:tabs>
        <w:spacing w:after="0" w:line="276" w:lineRule="auto"/>
        <w:ind w:right="-1"/>
        <w:jc w:val="center"/>
        <w:rPr>
          <w:rFonts w:eastAsia="Times New Roman" w:cs="Times New Roman"/>
          <w:b/>
          <w:bCs/>
          <w:szCs w:val="24"/>
          <w:lang w:val="lv-LV" w:eastAsia="ru-RU"/>
        </w:rPr>
      </w:pPr>
      <w:proofErr w:type="gramStart"/>
      <w:r w:rsidRPr="00F851FA">
        <w:rPr>
          <w:rFonts w:eastAsia="Times New Roman" w:cs="Times New Roman"/>
          <w:b/>
          <w:bCs/>
          <w:szCs w:val="24"/>
          <w:lang w:val="lv-LV" w:eastAsia="lv-LV"/>
        </w:rPr>
        <w:t>2021.gada</w:t>
      </w:r>
      <w:proofErr w:type="gramEnd"/>
      <w:r w:rsidRPr="00F851FA">
        <w:rPr>
          <w:rFonts w:eastAsia="Times New Roman" w:cs="Times New Roman"/>
          <w:b/>
          <w:bCs/>
          <w:szCs w:val="24"/>
          <w:lang w:val="lv-LV" w:eastAsia="lv-LV"/>
        </w:rPr>
        <w:t xml:space="preserve"> 11.oktobra</w:t>
      </w:r>
      <w:bookmarkEnd w:id="0"/>
    </w:p>
    <w:p w14:paraId="70D2F921" w14:textId="3CE852C3" w:rsidR="00051E2E" w:rsidRPr="00F851FA" w:rsidRDefault="00051E2E" w:rsidP="000660DA">
      <w:pPr>
        <w:tabs>
          <w:tab w:val="left" w:pos="0"/>
          <w:tab w:val="center" w:pos="4749"/>
          <w:tab w:val="right" w:pos="9498"/>
        </w:tabs>
        <w:spacing w:after="0" w:line="276" w:lineRule="auto"/>
        <w:ind w:right="-1"/>
        <w:jc w:val="center"/>
        <w:rPr>
          <w:rFonts w:eastAsia="Times New Roman" w:cs="Times New Roman"/>
          <w:b/>
          <w:bCs/>
          <w:szCs w:val="24"/>
          <w:lang w:val="lv-LV" w:eastAsia="ru-RU"/>
        </w:rPr>
      </w:pPr>
      <w:r w:rsidRPr="00F851FA">
        <w:rPr>
          <w:rFonts w:eastAsia="Calibri" w:cs="Times New Roman"/>
          <w:b/>
          <w:caps/>
          <w:szCs w:val="24"/>
          <w:lang w:val="lv-LV"/>
        </w:rPr>
        <w:t>RĪCĪBAS SĒDES LĒMUMS</w:t>
      </w:r>
    </w:p>
    <w:p w14:paraId="58DA1B54" w14:textId="26BE3A77" w:rsidR="00172B5E" w:rsidRPr="00F851FA" w:rsidRDefault="00172B5E" w:rsidP="00A667C4">
      <w:pPr>
        <w:tabs>
          <w:tab w:val="left" w:pos="0"/>
        </w:tabs>
        <w:spacing w:after="0" w:line="276" w:lineRule="auto"/>
        <w:ind w:right="-1"/>
        <w:jc w:val="center"/>
        <w:rPr>
          <w:rFonts w:eastAsia="Times New Roman" w:cs="Times New Roman"/>
          <w:b/>
          <w:bCs/>
          <w:szCs w:val="24"/>
          <w:lang w:val="lv-LV" w:eastAsia="lv-LV"/>
        </w:rPr>
      </w:pPr>
      <w:r w:rsidRPr="00930893">
        <w:rPr>
          <w:rFonts w:eastAsia="Times New Roman" w:cs="Times New Roman"/>
          <w:b/>
          <w:bCs/>
          <w:szCs w:val="24"/>
          <w:lang w:val="lv-LV" w:eastAsia="lv-LV"/>
        </w:rPr>
        <w:t>Lieta Nr.</w:t>
      </w:r>
      <w:r w:rsidR="00930893">
        <w:rPr>
          <w:rFonts w:eastAsia="Times New Roman" w:cs="Times New Roman"/>
          <w:b/>
          <w:bCs/>
          <w:szCs w:val="24"/>
          <w:lang w:val="lv-LV" w:eastAsia="lv-LV"/>
        </w:rPr>
        <w:t> </w:t>
      </w:r>
      <w:r w:rsidRPr="00F851FA">
        <w:rPr>
          <w:rFonts w:eastAsia="Times New Roman" w:cs="Times New Roman"/>
          <w:b/>
          <w:bCs/>
          <w:szCs w:val="24"/>
          <w:lang w:val="lv-LV" w:eastAsia="lv-LV"/>
        </w:rPr>
        <w:t>SKC-1013/2021</w:t>
      </w:r>
    </w:p>
    <w:p w14:paraId="39CE8B3D" w14:textId="2A809816" w:rsidR="00051E2E" w:rsidRPr="00F851FA" w:rsidRDefault="00930893" w:rsidP="00A667C4">
      <w:pPr>
        <w:tabs>
          <w:tab w:val="left" w:pos="0"/>
        </w:tabs>
        <w:spacing w:after="0" w:line="276" w:lineRule="auto"/>
        <w:ind w:right="-1"/>
        <w:jc w:val="center"/>
        <w:rPr>
          <w:rFonts w:eastAsia="Times New Roman" w:cs="Times New Roman"/>
          <w:szCs w:val="24"/>
          <w:lang w:val="lv-LV" w:eastAsia="lv-LV"/>
        </w:rPr>
      </w:pPr>
      <w:hyperlink r:id="rId7" w:tgtFrame="_blank" w:history="1">
        <w:r w:rsidR="00172B5E" w:rsidRPr="00F851FA">
          <w:rPr>
            <w:rStyle w:val="Hyperlink"/>
            <w:rFonts w:cs="Times New Roman"/>
            <w:szCs w:val="24"/>
          </w:rPr>
          <w:t>ECLI:LV:</w:t>
        </w:r>
        <w:proofErr w:type="gramStart"/>
        <w:r w:rsidR="00172B5E" w:rsidRPr="00F851FA">
          <w:rPr>
            <w:rStyle w:val="Hyperlink"/>
            <w:rFonts w:cs="Times New Roman"/>
            <w:szCs w:val="24"/>
          </w:rPr>
          <w:t>AT:2021:1011</w:t>
        </w:r>
        <w:proofErr w:type="gramEnd"/>
        <w:r w:rsidR="00172B5E" w:rsidRPr="00F851FA">
          <w:rPr>
            <w:rStyle w:val="Hyperlink"/>
            <w:rFonts w:cs="Times New Roman"/>
            <w:szCs w:val="24"/>
          </w:rPr>
          <w:t>.SKC101321.6.L</w:t>
        </w:r>
      </w:hyperlink>
    </w:p>
    <w:bookmarkEnd w:id="1"/>
    <w:p w14:paraId="2D745AB6" w14:textId="77777777" w:rsidR="00172B5E" w:rsidRPr="00F851FA" w:rsidRDefault="00172B5E" w:rsidP="00A667C4">
      <w:pPr>
        <w:tabs>
          <w:tab w:val="left" w:pos="0"/>
        </w:tabs>
        <w:spacing w:after="0" w:line="276" w:lineRule="auto"/>
        <w:ind w:right="-1"/>
        <w:jc w:val="center"/>
        <w:rPr>
          <w:rFonts w:eastAsia="Times New Roman" w:cs="Times New Roman"/>
          <w:szCs w:val="24"/>
          <w:lang w:val="lv-LV" w:eastAsia="lv-LV"/>
        </w:rPr>
      </w:pPr>
    </w:p>
    <w:p w14:paraId="43C06758" w14:textId="77777777" w:rsidR="00051E2E" w:rsidRPr="00F851FA" w:rsidRDefault="00051E2E" w:rsidP="00A667C4">
      <w:pPr>
        <w:widowControl w:val="0"/>
        <w:autoSpaceDE w:val="0"/>
        <w:autoSpaceDN w:val="0"/>
        <w:adjustRightInd w:val="0"/>
        <w:spacing w:after="0" w:line="276" w:lineRule="auto"/>
        <w:ind w:firstLine="567"/>
        <w:jc w:val="both"/>
        <w:rPr>
          <w:rFonts w:eastAsia="Times New Roman" w:cs="Times New Roman"/>
          <w:szCs w:val="24"/>
          <w:lang w:val="lv-LV" w:eastAsia="lv-LV"/>
        </w:rPr>
      </w:pPr>
      <w:r w:rsidRPr="00F851FA">
        <w:rPr>
          <w:rFonts w:eastAsia="Times New Roman" w:cs="Times New Roman"/>
          <w:szCs w:val="24"/>
          <w:lang w:val="lv-LV" w:eastAsia="lv-LV"/>
        </w:rPr>
        <w:t xml:space="preserve">Senatoru kolēģija šādā sastāvā: </w:t>
      </w:r>
    </w:p>
    <w:p w14:paraId="4749800C" w14:textId="66C40934" w:rsidR="00051E2E" w:rsidRPr="00F851FA" w:rsidRDefault="00051E2E" w:rsidP="00A667C4">
      <w:pPr>
        <w:widowControl w:val="0"/>
        <w:tabs>
          <w:tab w:val="left" w:pos="0"/>
          <w:tab w:val="left" w:pos="1134"/>
        </w:tabs>
        <w:autoSpaceDE w:val="0"/>
        <w:autoSpaceDN w:val="0"/>
        <w:adjustRightInd w:val="0"/>
        <w:spacing w:after="0" w:line="276" w:lineRule="auto"/>
        <w:jc w:val="both"/>
        <w:rPr>
          <w:rFonts w:eastAsia="Times New Roman" w:cs="Times New Roman"/>
          <w:szCs w:val="24"/>
          <w:lang w:val="lv-LV" w:eastAsia="lv-LV"/>
        </w:rPr>
      </w:pPr>
      <w:r w:rsidRPr="00F851FA">
        <w:rPr>
          <w:rFonts w:eastAsia="Times New Roman" w:cs="Times New Roman"/>
          <w:szCs w:val="24"/>
          <w:lang w:val="lv-LV" w:eastAsia="lv-LV"/>
        </w:rPr>
        <w:tab/>
        <w:t>senatore Dzintra Balta,</w:t>
      </w:r>
    </w:p>
    <w:p w14:paraId="69C22778" w14:textId="586C064C" w:rsidR="00051E2E" w:rsidRPr="00F851FA" w:rsidRDefault="00051E2E" w:rsidP="00A667C4">
      <w:pPr>
        <w:widowControl w:val="0"/>
        <w:tabs>
          <w:tab w:val="left" w:pos="0"/>
          <w:tab w:val="left" w:pos="1134"/>
        </w:tabs>
        <w:autoSpaceDE w:val="0"/>
        <w:autoSpaceDN w:val="0"/>
        <w:adjustRightInd w:val="0"/>
        <w:spacing w:after="0" w:line="276" w:lineRule="auto"/>
        <w:jc w:val="both"/>
        <w:rPr>
          <w:rFonts w:eastAsia="Times New Roman" w:cs="Times New Roman"/>
          <w:szCs w:val="24"/>
          <w:lang w:val="lv-LV" w:eastAsia="lv-LV"/>
        </w:rPr>
      </w:pPr>
      <w:r w:rsidRPr="00F851FA">
        <w:rPr>
          <w:rFonts w:eastAsia="Times New Roman" w:cs="Times New Roman"/>
          <w:szCs w:val="24"/>
          <w:lang w:val="lv-LV" w:eastAsia="lv-LV"/>
        </w:rPr>
        <w:tab/>
        <w:t xml:space="preserve">senatore Anda Briede, </w:t>
      </w:r>
    </w:p>
    <w:p w14:paraId="58712200" w14:textId="39A11854" w:rsidR="00051E2E" w:rsidRPr="00F851FA" w:rsidRDefault="00051E2E" w:rsidP="00A667C4">
      <w:pPr>
        <w:widowControl w:val="0"/>
        <w:tabs>
          <w:tab w:val="left" w:pos="0"/>
          <w:tab w:val="left" w:pos="1134"/>
        </w:tabs>
        <w:autoSpaceDE w:val="0"/>
        <w:autoSpaceDN w:val="0"/>
        <w:adjustRightInd w:val="0"/>
        <w:spacing w:after="0" w:line="276" w:lineRule="auto"/>
        <w:jc w:val="both"/>
        <w:rPr>
          <w:rFonts w:eastAsia="Times New Roman" w:cs="Times New Roman"/>
          <w:szCs w:val="24"/>
          <w:lang w:val="lv-LV" w:eastAsia="lv-LV"/>
        </w:rPr>
      </w:pPr>
      <w:r w:rsidRPr="00F851FA">
        <w:rPr>
          <w:rFonts w:eastAsia="Times New Roman" w:cs="Times New Roman"/>
          <w:szCs w:val="24"/>
          <w:lang w:val="lv-LV" w:eastAsia="lv-LV"/>
        </w:rPr>
        <w:tab/>
        <w:t>senatore Kristīne Zīle</w:t>
      </w:r>
    </w:p>
    <w:p w14:paraId="742F1ED6" w14:textId="77777777" w:rsidR="000660DA" w:rsidRPr="00F851FA" w:rsidRDefault="000660DA" w:rsidP="00A667C4">
      <w:pPr>
        <w:widowControl w:val="0"/>
        <w:tabs>
          <w:tab w:val="left" w:pos="0"/>
          <w:tab w:val="left" w:pos="1134"/>
        </w:tabs>
        <w:autoSpaceDE w:val="0"/>
        <w:autoSpaceDN w:val="0"/>
        <w:adjustRightInd w:val="0"/>
        <w:spacing w:after="0" w:line="276" w:lineRule="auto"/>
        <w:jc w:val="both"/>
        <w:rPr>
          <w:rFonts w:eastAsia="Times New Roman" w:cs="Times New Roman"/>
          <w:szCs w:val="24"/>
          <w:lang w:val="lv-LV" w:eastAsia="lv-LV"/>
        </w:rPr>
      </w:pPr>
    </w:p>
    <w:p w14:paraId="07323A10" w14:textId="027F2273" w:rsidR="00051E2E" w:rsidRPr="00F851FA" w:rsidRDefault="00051E2E" w:rsidP="00A667C4">
      <w:pPr>
        <w:tabs>
          <w:tab w:val="left" w:pos="0"/>
          <w:tab w:val="left" w:pos="90"/>
          <w:tab w:val="left" w:pos="360"/>
        </w:tabs>
        <w:autoSpaceDE w:val="0"/>
        <w:autoSpaceDN w:val="0"/>
        <w:adjustRightInd w:val="0"/>
        <w:spacing w:after="0" w:line="276" w:lineRule="auto"/>
        <w:ind w:right="-1" w:firstLine="567"/>
        <w:jc w:val="both"/>
        <w:rPr>
          <w:rFonts w:eastAsia="Times New Roman" w:cs="Times New Roman"/>
          <w:szCs w:val="24"/>
          <w:lang w:val="lv-LV" w:eastAsia="lv-LV"/>
        </w:rPr>
      </w:pPr>
      <w:r w:rsidRPr="00F851FA">
        <w:rPr>
          <w:rFonts w:eastAsia="Times New Roman" w:cs="Times New Roman"/>
          <w:szCs w:val="24"/>
          <w:lang w:val="lv-LV" w:eastAsia="lv-LV"/>
        </w:rPr>
        <w:t xml:space="preserve">rīcības sēdē izskatīja </w:t>
      </w:r>
      <w:r w:rsidR="00583A9B" w:rsidRPr="00F851FA">
        <w:rPr>
          <w:rFonts w:eastAsia="Times New Roman" w:cs="Times New Roman"/>
          <w:szCs w:val="24"/>
          <w:lang w:val="lv-LV" w:eastAsia="lv-LV"/>
        </w:rPr>
        <w:t xml:space="preserve">jautājumu par </w:t>
      </w:r>
      <w:r w:rsidRPr="00F851FA">
        <w:rPr>
          <w:rFonts w:cs="Times New Roman"/>
          <w:szCs w:val="24"/>
          <w:lang w:val="lv-LV"/>
        </w:rPr>
        <w:t>SIA</w:t>
      </w:r>
      <w:r w:rsidR="00906E20" w:rsidRPr="00F851FA">
        <w:rPr>
          <w:rFonts w:cs="Times New Roman"/>
          <w:szCs w:val="24"/>
          <w:lang w:val="lv-LV"/>
        </w:rPr>
        <w:t> </w:t>
      </w:r>
      <w:r w:rsidRPr="00F851FA">
        <w:rPr>
          <w:rFonts w:cs="Times New Roman"/>
          <w:szCs w:val="24"/>
          <w:lang w:val="lv-LV"/>
        </w:rPr>
        <w:t>„</w:t>
      </w:r>
      <w:proofErr w:type="spellStart"/>
      <w:r w:rsidRPr="00F851FA">
        <w:rPr>
          <w:rFonts w:cs="Times New Roman"/>
          <w:szCs w:val="24"/>
          <w:lang w:val="lv-LV"/>
        </w:rPr>
        <w:t>Banderi</w:t>
      </w:r>
      <w:proofErr w:type="spellEnd"/>
      <w:r w:rsidRPr="00F851FA">
        <w:rPr>
          <w:rFonts w:cs="Times New Roman"/>
          <w:szCs w:val="24"/>
          <w:lang w:val="lv-LV"/>
        </w:rPr>
        <w:t xml:space="preserve"> </w:t>
      </w:r>
      <w:proofErr w:type="spellStart"/>
      <w:r w:rsidRPr="00F851FA">
        <w:rPr>
          <w:rFonts w:cs="Times New Roman"/>
          <w:szCs w:val="24"/>
          <w:lang w:val="lv-LV"/>
        </w:rPr>
        <w:t>Dea</w:t>
      </w:r>
      <w:proofErr w:type="spellEnd"/>
      <w:r w:rsidRPr="00F851FA">
        <w:rPr>
          <w:rFonts w:cs="Times New Roman"/>
          <w:szCs w:val="24"/>
          <w:lang w:val="lv-LV"/>
        </w:rPr>
        <w:t>” blakus sūdzīb</w:t>
      </w:r>
      <w:r w:rsidR="00583A9B" w:rsidRPr="00F851FA">
        <w:rPr>
          <w:rFonts w:cs="Times New Roman"/>
          <w:szCs w:val="24"/>
          <w:lang w:val="lv-LV"/>
        </w:rPr>
        <w:t xml:space="preserve">as, kas iesniegta </w:t>
      </w:r>
      <w:r w:rsidRPr="00F851FA">
        <w:rPr>
          <w:rFonts w:cs="Times New Roman"/>
          <w:szCs w:val="24"/>
          <w:lang w:val="lv-LV"/>
        </w:rPr>
        <w:t xml:space="preserve">par Rīgas apgabaltiesas Civillietu tiesas kolēģijas </w:t>
      </w:r>
      <w:proofErr w:type="gramStart"/>
      <w:r w:rsidRPr="00F851FA">
        <w:rPr>
          <w:rFonts w:cs="Times New Roman"/>
          <w:szCs w:val="24"/>
          <w:lang w:val="lv-LV"/>
        </w:rPr>
        <w:t>2021.gada</w:t>
      </w:r>
      <w:proofErr w:type="gramEnd"/>
      <w:r w:rsidRPr="00F851FA">
        <w:rPr>
          <w:rFonts w:cs="Times New Roman"/>
          <w:szCs w:val="24"/>
          <w:lang w:val="lv-LV"/>
        </w:rPr>
        <w:t xml:space="preserve"> 2.jūnija lēmumu</w:t>
      </w:r>
      <w:r w:rsidR="00583A9B" w:rsidRPr="00F851FA">
        <w:rPr>
          <w:rFonts w:cs="Times New Roman"/>
          <w:szCs w:val="24"/>
          <w:lang w:val="lv-LV"/>
        </w:rPr>
        <w:t>, virzību</w:t>
      </w:r>
      <w:r w:rsidRPr="00F851FA">
        <w:rPr>
          <w:rFonts w:eastAsia="Times New Roman" w:cs="Times New Roman"/>
          <w:szCs w:val="24"/>
          <w:lang w:val="lv-LV" w:eastAsia="lv-LV"/>
        </w:rPr>
        <w:t>.</w:t>
      </w:r>
    </w:p>
    <w:p w14:paraId="0423D72F" w14:textId="77777777" w:rsidR="00583A9B" w:rsidRPr="00F851FA" w:rsidRDefault="00583A9B" w:rsidP="00A667C4">
      <w:pPr>
        <w:spacing w:after="0" w:line="276" w:lineRule="auto"/>
        <w:jc w:val="center"/>
        <w:rPr>
          <w:b/>
          <w:bCs/>
          <w:lang w:val="lv-LV"/>
        </w:rPr>
      </w:pPr>
    </w:p>
    <w:p w14:paraId="79695D77" w14:textId="61C2AAEB" w:rsidR="001A5F08" w:rsidRPr="00F851FA" w:rsidRDefault="00051E2E" w:rsidP="00A667C4">
      <w:pPr>
        <w:spacing w:after="0" w:line="276" w:lineRule="auto"/>
        <w:jc w:val="center"/>
        <w:rPr>
          <w:b/>
          <w:bCs/>
          <w:lang w:val="lv-LV"/>
        </w:rPr>
      </w:pPr>
      <w:r w:rsidRPr="00F851FA">
        <w:rPr>
          <w:b/>
          <w:bCs/>
          <w:lang w:val="lv-LV"/>
        </w:rPr>
        <w:t>Aprakstošā daļa</w:t>
      </w:r>
    </w:p>
    <w:p w14:paraId="00C22C7B" w14:textId="77777777" w:rsidR="00583A9B" w:rsidRPr="00F851FA" w:rsidRDefault="00583A9B" w:rsidP="00A667C4">
      <w:pPr>
        <w:tabs>
          <w:tab w:val="left" w:pos="567"/>
        </w:tabs>
        <w:spacing w:after="0" w:line="276" w:lineRule="auto"/>
        <w:jc w:val="both"/>
        <w:rPr>
          <w:lang w:val="lv-LV"/>
        </w:rPr>
      </w:pPr>
    </w:p>
    <w:p w14:paraId="3030FDC7" w14:textId="65C21819" w:rsidR="00583A9B" w:rsidRPr="00F851FA" w:rsidRDefault="007D1FA2" w:rsidP="00A667C4">
      <w:pPr>
        <w:tabs>
          <w:tab w:val="left" w:pos="0"/>
        </w:tabs>
        <w:spacing w:after="0" w:line="276" w:lineRule="auto"/>
        <w:ind w:firstLine="567"/>
        <w:jc w:val="both"/>
        <w:rPr>
          <w:lang w:val="lv-LV"/>
        </w:rPr>
      </w:pPr>
      <w:r w:rsidRPr="00F851FA">
        <w:rPr>
          <w:lang w:val="lv-LV"/>
        </w:rPr>
        <w:t>[1]</w:t>
      </w:r>
      <w:r w:rsidR="00A667C4" w:rsidRPr="00F851FA">
        <w:rPr>
          <w:lang w:val="lv-LV"/>
        </w:rPr>
        <w:t xml:space="preserve"> </w:t>
      </w:r>
      <w:r w:rsidRPr="00F851FA">
        <w:rPr>
          <w:lang w:val="lv-LV"/>
        </w:rPr>
        <w:t>SIA</w:t>
      </w:r>
      <w:r w:rsidR="00906E20" w:rsidRPr="00F851FA">
        <w:rPr>
          <w:lang w:val="lv-LV"/>
        </w:rPr>
        <w:t> </w:t>
      </w:r>
      <w:r w:rsidRPr="00F851FA">
        <w:rPr>
          <w:lang w:val="lv-LV"/>
        </w:rPr>
        <w:t>„</w:t>
      </w:r>
      <w:proofErr w:type="spellStart"/>
      <w:r w:rsidRPr="00F851FA">
        <w:rPr>
          <w:lang w:val="lv-LV"/>
        </w:rPr>
        <w:t>Banderi</w:t>
      </w:r>
      <w:proofErr w:type="spellEnd"/>
      <w:r w:rsidRPr="00F851FA">
        <w:rPr>
          <w:lang w:val="lv-LV"/>
        </w:rPr>
        <w:t xml:space="preserve"> </w:t>
      </w:r>
      <w:proofErr w:type="spellStart"/>
      <w:r w:rsidRPr="00F851FA">
        <w:rPr>
          <w:lang w:val="lv-LV"/>
        </w:rPr>
        <w:t>Dea</w:t>
      </w:r>
      <w:proofErr w:type="spellEnd"/>
      <w:r w:rsidRPr="00F851FA">
        <w:rPr>
          <w:lang w:val="lv-LV"/>
        </w:rPr>
        <w:t xml:space="preserve">” </w:t>
      </w:r>
      <w:proofErr w:type="gramStart"/>
      <w:r w:rsidRPr="00F851FA">
        <w:rPr>
          <w:lang w:val="lv-LV"/>
        </w:rPr>
        <w:t>2021.gada</w:t>
      </w:r>
      <w:proofErr w:type="gramEnd"/>
      <w:r w:rsidRPr="00F851FA">
        <w:rPr>
          <w:lang w:val="lv-LV"/>
        </w:rPr>
        <w:t xml:space="preserve"> 9.februārī Rīgas pilsētas zemesgrāmatas nodalījumā Nr.</w:t>
      </w:r>
      <w:r w:rsidR="002B463E" w:rsidRPr="00F851FA">
        <w:rPr>
          <w:lang w:val="lv-LV"/>
        </w:rPr>
        <w:t> </w:t>
      </w:r>
      <w:r w:rsidR="00A667C4" w:rsidRPr="00F851FA">
        <w:rPr>
          <w:lang w:val="lv-LV"/>
        </w:rPr>
        <w:t>[..]</w:t>
      </w:r>
      <w:r w:rsidRPr="00F851FA">
        <w:rPr>
          <w:lang w:val="lv-LV"/>
        </w:rPr>
        <w:t xml:space="preserve"> nostiprinātas īpašuma tiesības uz nekustamo īpašumu</w:t>
      </w:r>
      <w:r w:rsidR="00A667C4" w:rsidRPr="00F851FA">
        <w:rPr>
          <w:lang w:val="lv-LV"/>
        </w:rPr>
        <w:t xml:space="preserve"> [..]</w:t>
      </w:r>
      <w:r w:rsidRPr="00F851FA">
        <w:rPr>
          <w:lang w:val="lv-LV"/>
        </w:rPr>
        <w:t>.</w:t>
      </w:r>
    </w:p>
    <w:p w14:paraId="21F8CF83" w14:textId="77777777" w:rsidR="00144336" w:rsidRPr="00F851FA" w:rsidRDefault="008E2D3D" w:rsidP="00A667C4">
      <w:pPr>
        <w:tabs>
          <w:tab w:val="left" w:pos="0"/>
        </w:tabs>
        <w:spacing w:after="0" w:line="276" w:lineRule="auto"/>
        <w:ind w:firstLine="567"/>
        <w:jc w:val="both"/>
        <w:rPr>
          <w:lang w:val="lv-LV"/>
        </w:rPr>
      </w:pPr>
      <w:r w:rsidRPr="00F851FA">
        <w:rPr>
          <w:lang w:val="lv-LV"/>
        </w:rPr>
        <w:t>Par īpašuma tiesību nostiprināšanu samaksāta valsts nodeva 14</w:t>
      </w:r>
      <w:r w:rsidR="002B463E" w:rsidRPr="00F851FA">
        <w:rPr>
          <w:lang w:val="lv-LV"/>
        </w:rPr>
        <w:t> </w:t>
      </w:r>
      <w:r w:rsidRPr="00F851FA">
        <w:rPr>
          <w:lang w:val="lv-LV"/>
        </w:rPr>
        <w:t>850</w:t>
      </w:r>
      <w:r w:rsidR="002B463E" w:rsidRPr="00F851FA">
        <w:rPr>
          <w:lang w:val="lv-LV"/>
        </w:rPr>
        <w:t> </w:t>
      </w:r>
      <w:r w:rsidRPr="00F851FA">
        <w:rPr>
          <w:lang w:val="lv-LV"/>
        </w:rPr>
        <w:t>EUR.</w:t>
      </w:r>
    </w:p>
    <w:p w14:paraId="10F8A195" w14:textId="77777777" w:rsidR="00144336" w:rsidRPr="00F851FA" w:rsidRDefault="00144336" w:rsidP="00A667C4">
      <w:pPr>
        <w:tabs>
          <w:tab w:val="left" w:pos="0"/>
        </w:tabs>
        <w:spacing w:after="0" w:line="276" w:lineRule="auto"/>
        <w:ind w:firstLine="567"/>
        <w:jc w:val="both"/>
        <w:rPr>
          <w:lang w:val="lv-LV"/>
        </w:rPr>
      </w:pPr>
    </w:p>
    <w:p w14:paraId="7FC438A9" w14:textId="00F832FF" w:rsidR="00144336" w:rsidRPr="00F851FA" w:rsidRDefault="008E2D3D" w:rsidP="00A667C4">
      <w:pPr>
        <w:tabs>
          <w:tab w:val="left" w:pos="0"/>
        </w:tabs>
        <w:spacing w:after="0" w:line="276" w:lineRule="auto"/>
        <w:ind w:firstLine="567"/>
        <w:jc w:val="both"/>
        <w:rPr>
          <w:lang w:val="lv-LV"/>
        </w:rPr>
      </w:pPr>
      <w:r w:rsidRPr="00F851FA">
        <w:rPr>
          <w:lang w:val="lv-LV"/>
        </w:rPr>
        <w:t>[2]</w:t>
      </w:r>
      <w:r w:rsidR="00A667C4" w:rsidRPr="00F851FA">
        <w:rPr>
          <w:lang w:val="lv-LV"/>
        </w:rPr>
        <w:t xml:space="preserve"> </w:t>
      </w:r>
      <w:r w:rsidRPr="00F851FA">
        <w:rPr>
          <w:lang w:val="lv-LV"/>
        </w:rPr>
        <w:t xml:space="preserve">Ar Rīgas pilsētas Vidzemes priekšpilsētas tiesas tiesneša </w:t>
      </w:r>
      <w:proofErr w:type="gramStart"/>
      <w:r w:rsidR="00583A9B" w:rsidRPr="00F851FA">
        <w:rPr>
          <w:lang w:val="lv-LV"/>
        </w:rPr>
        <w:t>2021.gada</w:t>
      </w:r>
      <w:proofErr w:type="gramEnd"/>
      <w:r w:rsidR="00583A9B" w:rsidRPr="00F851FA">
        <w:rPr>
          <w:lang w:val="lv-LV"/>
        </w:rPr>
        <w:t xml:space="preserve"> 25.marta </w:t>
      </w:r>
      <w:r w:rsidRPr="00F851FA">
        <w:rPr>
          <w:lang w:val="lv-LV"/>
        </w:rPr>
        <w:t xml:space="preserve">lēmumu </w:t>
      </w:r>
      <w:r w:rsidR="00144336" w:rsidRPr="00F851FA">
        <w:rPr>
          <w:lang w:val="lv-LV"/>
        </w:rPr>
        <w:t xml:space="preserve">izskatīts un </w:t>
      </w:r>
      <w:r w:rsidRPr="00F851FA">
        <w:rPr>
          <w:lang w:val="lv-LV"/>
        </w:rPr>
        <w:t>noraidīts</w:t>
      </w:r>
      <w:r w:rsidR="00144336" w:rsidRPr="00F851FA">
        <w:rPr>
          <w:lang w:val="lv-LV"/>
        </w:rPr>
        <w:t xml:space="preserve"> SIA „</w:t>
      </w:r>
      <w:proofErr w:type="spellStart"/>
      <w:r w:rsidR="00144336" w:rsidRPr="00F851FA">
        <w:rPr>
          <w:lang w:val="lv-LV"/>
        </w:rPr>
        <w:t>Banderi</w:t>
      </w:r>
      <w:proofErr w:type="spellEnd"/>
      <w:r w:rsidR="00144336" w:rsidRPr="00F851FA">
        <w:rPr>
          <w:lang w:val="lv-LV"/>
        </w:rPr>
        <w:t xml:space="preserve"> </w:t>
      </w:r>
      <w:proofErr w:type="spellStart"/>
      <w:r w:rsidR="00144336" w:rsidRPr="00F851FA">
        <w:rPr>
          <w:lang w:val="lv-LV"/>
        </w:rPr>
        <w:t>Dea</w:t>
      </w:r>
      <w:proofErr w:type="spellEnd"/>
      <w:r w:rsidR="00144336" w:rsidRPr="00F851FA">
        <w:rPr>
          <w:lang w:val="lv-LV"/>
        </w:rPr>
        <w:t>” lūgums  par valsts nodevas daļas 9900 EUR atmaksu.</w:t>
      </w:r>
    </w:p>
    <w:p w14:paraId="1CCD93B5" w14:textId="77777777" w:rsidR="00144336" w:rsidRPr="00F851FA" w:rsidRDefault="00144336" w:rsidP="00A667C4">
      <w:pPr>
        <w:tabs>
          <w:tab w:val="left" w:pos="0"/>
        </w:tabs>
        <w:spacing w:after="0" w:line="276" w:lineRule="auto"/>
        <w:ind w:firstLine="567"/>
        <w:jc w:val="both"/>
        <w:rPr>
          <w:lang w:val="lv-LV"/>
        </w:rPr>
      </w:pPr>
    </w:p>
    <w:p w14:paraId="54E62520" w14:textId="3BF412B9" w:rsidR="00144336" w:rsidRPr="00F851FA" w:rsidRDefault="008E2D3D" w:rsidP="00A667C4">
      <w:pPr>
        <w:tabs>
          <w:tab w:val="left" w:pos="0"/>
        </w:tabs>
        <w:spacing w:after="0" w:line="276" w:lineRule="auto"/>
        <w:ind w:firstLine="567"/>
        <w:jc w:val="both"/>
        <w:rPr>
          <w:lang w:val="lv-LV"/>
        </w:rPr>
      </w:pPr>
      <w:r w:rsidRPr="00F851FA">
        <w:rPr>
          <w:lang w:val="lv-LV"/>
        </w:rPr>
        <w:t>[</w:t>
      </w:r>
      <w:r w:rsidR="00144336" w:rsidRPr="00F851FA">
        <w:rPr>
          <w:lang w:val="lv-LV"/>
        </w:rPr>
        <w:t>3</w:t>
      </w:r>
      <w:r w:rsidRPr="00F851FA">
        <w:rPr>
          <w:lang w:val="lv-LV"/>
        </w:rPr>
        <w:t>]</w:t>
      </w:r>
      <w:r w:rsidR="00A667C4" w:rsidRPr="00F851FA">
        <w:rPr>
          <w:lang w:val="lv-LV"/>
        </w:rPr>
        <w:t xml:space="preserve"> </w:t>
      </w:r>
      <w:r w:rsidR="00583A9B" w:rsidRPr="00F851FA">
        <w:rPr>
          <w:lang w:val="lv-LV"/>
        </w:rPr>
        <w:t>Rīgas apgabaltiesas Civillietu tiesas kolēģija</w:t>
      </w:r>
      <w:r w:rsidR="00144336" w:rsidRPr="00F851FA">
        <w:rPr>
          <w:lang w:val="lv-LV"/>
        </w:rPr>
        <w:t xml:space="preserve"> ar </w:t>
      </w:r>
      <w:proofErr w:type="gramStart"/>
      <w:r w:rsidR="00583A9B" w:rsidRPr="00F851FA">
        <w:rPr>
          <w:lang w:val="lv-LV"/>
        </w:rPr>
        <w:t>2021.gada</w:t>
      </w:r>
      <w:proofErr w:type="gramEnd"/>
      <w:r w:rsidR="00583A9B" w:rsidRPr="00F851FA">
        <w:rPr>
          <w:lang w:val="lv-LV"/>
        </w:rPr>
        <w:t xml:space="preserve"> 2.jūnija lēmumu izskatī</w:t>
      </w:r>
      <w:r w:rsidR="001652CF" w:rsidRPr="00F851FA">
        <w:rPr>
          <w:lang w:val="lv-LV"/>
        </w:rPr>
        <w:t xml:space="preserve">ta un noraidīta </w:t>
      </w:r>
      <w:r w:rsidRPr="00F851FA">
        <w:rPr>
          <w:lang w:val="lv-LV"/>
        </w:rPr>
        <w:t>SIA</w:t>
      </w:r>
      <w:r w:rsidR="00A667C4" w:rsidRPr="00F851FA">
        <w:rPr>
          <w:lang w:val="lv-LV"/>
        </w:rPr>
        <w:t> </w:t>
      </w:r>
      <w:r w:rsidRPr="00F851FA">
        <w:rPr>
          <w:lang w:val="lv-LV"/>
        </w:rPr>
        <w:t>„</w:t>
      </w:r>
      <w:proofErr w:type="spellStart"/>
      <w:r w:rsidRPr="00F851FA">
        <w:rPr>
          <w:lang w:val="lv-LV"/>
        </w:rPr>
        <w:t>Banderi</w:t>
      </w:r>
      <w:proofErr w:type="spellEnd"/>
      <w:r w:rsidRPr="00F851FA">
        <w:rPr>
          <w:lang w:val="lv-LV"/>
        </w:rPr>
        <w:t xml:space="preserve"> </w:t>
      </w:r>
      <w:proofErr w:type="spellStart"/>
      <w:r w:rsidRPr="00F851FA">
        <w:rPr>
          <w:lang w:val="lv-LV"/>
        </w:rPr>
        <w:t>Dea</w:t>
      </w:r>
      <w:proofErr w:type="spellEnd"/>
      <w:r w:rsidRPr="00F851FA">
        <w:rPr>
          <w:lang w:val="lv-LV"/>
        </w:rPr>
        <w:t>” blakus sūdzīb</w:t>
      </w:r>
      <w:r w:rsidR="001652CF" w:rsidRPr="00F851FA">
        <w:rPr>
          <w:lang w:val="lv-LV"/>
        </w:rPr>
        <w:t>a</w:t>
      </w:r>
      <w:r w:rsidR="00B54CA5" w:rsidRPr="00F851FA">
        <w:rPr>
          <w:lang w:val="lv-LV"/>
        </w:rPr>
        <w:t>.</w:t>
      </w:r>
      <w:r w:rsidR="00725424" w:rsidRPr="00F851FA">
        <w:rPr>
          <w:lang w:val="lv-LV"/>
        </w:rPr>
        <w:t xml:space="preserve"> Apgabaltiesas lēmumā norādīts, ka tas pārsūdzams Senātā.</w:t>
      </w:r>
    </w:p>
    <w:p w14:paraId="3B23AF40" w14:textId="77777777" w:rsidR="00144336" w:rsidRPr="00F851FA" w:rsidRDefault="00144336" w:rsidP="00A667C4">
      <w:pPr>
        <w:tabs>
          <w:tab w:val="left" w:pos="0"/>
        </w:tabs>
        <w:spacing w:after="0" w:line="276" w:lineRule="auto"/>
        <w:ind w:firstLine="567"/>
        <w:jc w:val="both"/>
        <w:rPr>
          <w:lang w:val="lv-LV"/>
        </w:rPr>
      </w:pPr>
    </w:p>
    <w:p w14:paraId="2D7281D0" w14:textId="2D4B6C68" w:rsidR="00144336" w:rsidRPr="00F851FA" w:rsidRDefault="00B54CA5" w:rsidP="00A667C4">
      <w:pPr>
        <w:tabs>
          <w:tab w:val="left" w:pos="0"/>
        </w:tabs>
        <w:spacing w:after="0" w:line="276" w:lineRule="auto"/>
        <w:ind w:firstLine="567"/>
        <w:jc w:val="both"/>
        <w:rPr>
          <w:lang w:val="lv-LV"/>
        </w:rPr>
      </w:pPr>
      <w:r w:rsidRPr="00F851FA">
        <w:rPr>
          <w:lang w:val="lv-LV"/>
        </w:rPr>
        <w:t>[</w:t>
      </w:r>
      <w:r w:rsidR="00144336" w:rsidRPr="00F851FA">
        <w:rPr>
          <w:lang w:val="lv-LV"/>
        </w:rPr>
        <w:t>4</w:t>
      </w:r>
      <w:r w:rsidRPr="00F851FA">
        <w:rPr>
          <w:lang w:val="lv-LV"/>
        </w:rPr>
        <w:t>]</w:t>
      </w:r>
      <w:r w:rsidR="00A667C4" w:rsidRPr="00F851FA">
        <w:rPr>
          <w:lang w:val="lv-LV"/>
        </w:rPr>
        <w:t xml:space="preserve"> </w:t>
      </w:r>
      <w:r w:rsidRPr="00F851FA">
        <w:rPr>
          <w:lang w:val="lv-LV"/>
        </w:rPr>
        <w:t>Par Rīgas apgabaltiesas Civillietu tiesas kolēģijas lēmumu SIA „</w:t>
      </w:r>
      <w:proofErr w:type="spellStart"/>
      <w:r w:rsidRPr="00F851FA">
        <w:rPr>
          <w:lang w:val="lv-LV"/>
        </w:rPr>
        <w:t>Banderi</w:t>
      </w:r>
      <w:proofErr w:type="spellEnd"/>
      <w:r w:rsidRPr="00F851FA">
        <w:rPr>
          <w:lang w:val="lv-LV"/>
        </w:rPr>
        <w:t xml:space="preserve"> </w:t>
      </w:r>
      <w:proofErr w:type="spellStart"/>
      <w:r w:rsidRPr="00F851FA">
        <w:rPr>
          <w:lang w:val="lv-LV"/>
        </w:rPr>
        <w:t>Dea</w:t>
      </w:r>
      <w:proofErr w:type="spellEnd"/>
      <w:r w:rsidRPr="00F851FA">
        <w:rPr>
          <w:lang w:val="lv-LV"/>
        </w:rPr>
        <w:t xml:space="preserve">” iesniedza blakus sūdzību, </w:t>
      </w:r>
      <w:r w:rsidR="003340B7" w:rsidRPr="00F851FA">
        <w:rPr>
          <w:lang w:val="lv-LV"/>
        </w:rPr>
        <w:t xml:space="preserve">lūdzot </w:t>
      </w:r>
      <w:r w:rsidR="00266026" w:rsidRPr="00F851FA">
        <w:rPr>
          <w:lang w:val="lv-LV"/>
        </w:rPr>
        <w:t xml:space="preserve">atcelt </w:t>
      </w:r>
      <w:proofErr w:type="gramStart"/>
      <w:r w:rsidR="00266026" w:rsidRPr="00F851FA">
        <w:rPr>
          <w:lang w:val="lv-LV"/>
        </w:rPr>
        <w:t>2021.gada</w:t>
      </w:r>
      <w:proofErr w:type="gramEnd"/>
      <w:r w:rsidR="00266026" w:rsidRPr="00F851FA">
        <w:rPr>
          <w:lang w:val="lv-LV"/>
        </w:rPr>
        <w:t xml:space="preserve"> 2.jūnija lēmumu un izlemt jautājumu par pārmaksātās valsts nodevas daļas 9900 EUR atmaksu.</w:t>
      </w:r>
    </w:p>
    <w:p w14:paraId="7A77F587" w14:textId="77777777" w:rsidR="00144336" w:rsidRPr="00F851FA" w:rsidRDefault="00144336" w:rsidP="00A667C4">
      <w:pPr>
        <w:tabs>
          <w:tab w:val="left" w:pos="0"/>
        </w:tabs>
        <w:spacing w:after="0" w:line="276" w:lineRule="auto"/>
        <w:ind w:firstLine="567"/>
        <w:jc w:val="both"/>
        <w:rPr>
          <w:lang w:val="lv-LV"/>
        </w:rPr>
      </w:pPr>
    </w:p>
    <w:p w14:paraId="36B61AF3" w14:textId="77777777" w:rsidR="00144336" w:rsidRPr="00F851FA" w:rsidRDefault="00B54CA5" w:rsidP="00A667C4">
      <w:pPr>
        <w:tabs>
          <w:tab w:val="left" w:pos="0"/>
        </w:tabs>
        <w:spacing w:after="0" w:line="276" w:lineRule="auto"/>
        <w:jc w:val="center"/>
        <w:rPr>
          <w:b/>
          <w:bCs/>
          <w:lang w:val="lv-LV"/>
        </w:rPr>
      </w:pPr>
      <w:r w:rsidRPr="00F851FA">
        <w:rPr>
          <w:b/>
          <w:bCs/>
          <w:lang w:val="lv-LV"/>
        </w:rPr>
        <w:t>Motīvu daļa</w:t>
      </w:r>
    </w:p>
    <w:p w14:paraId="16A620CF" w14:textId="77777777" w:rsidR="00144336" w:rsidRPr="00F851FA" w:rsidRDefault="00144336" w:rsidP="00A667C4">
      <w:pPr>
        <w:tabs>
          <w:tab w:val="left" w:pos="0"/>
        </w:tabs>
        <w:spacing w:after="0" w:line="276" w:lineRule="auto"/>
        <w:ind w:firstLine="567"/>
        <w:jc w:val="both"/>
        <w:rPr>
          <w:b/>
          <w:bCs/>
          <w:lang w:val="lv-LV"/>
        </w:rPr>
      </w:pPr>
    </w:p>
    <w:p w14:paraId="766F3B11" w14:textId="62BF044C" w:rsidR="00144336" w:rsidRPr="00F851FA" w:rsidRDefault="00B54CA5" w:rsidP="00A667C4">
      <w:pPr>
        <w:tabs>
          <w:tab w:val="left" w:pos="0"/>
        </w:tabs>
        <w:spacing w:after="0" w:line="276" w:lineRule="auto"/>
        <w:ind w:firstLine="567"/>
        <w:jc w:val="both"/>
        <w:rPr>
          <w:lang w:val="lv-LV"/>
        </w:rPr>
      </w:pPr>
      <w:r w:rsidRPr="00F851FA">
        <w:rPr>
          <w:lang w:val="lv-LV"/>
        </w:rPr>
        <w:lastRenderedPageBreak/>
        <w:t>[</w:t>
      </w:r>
      <w:r w:rsidR="00144336" w:rsidRPr="00F851FA">
        <w:rPr>
          <w:lang w:val="lv-LV"/>
        </w:rPr>
        <w:t>5</w:t>
      </w:r>
      <w:r w:rsidRPr="00F851FA">
        <w:rPr>
          <w:lang w:val="lv-LV"/>
        </w:rPr>
        <w:t>]</w:t>
      </w:r>
      <w:r w:rsidR="008B76D3" w:rsidRPr="00F851FA">
        <w:rPr>
          <w:lang w:val="lv-LV"/>
        </w:rPr>
        <w:t xml:space="preserve"> </w:t>
      </w:r>
      <w:r w:rsidR="00725424" w:rsidRPr="00F851FA">
        <w:rPr>
          <w:lang w:val="lv-LV"/>
        </w:rPr>
        <w:t xml:space="preserve">Senatoru kolēģija </w:t>
      </w:r>
      <w:r w:rsidR="001652CF" w:rsidRPr="00F851FA">
        <w:rPr>
          <w:lang w:val="lv-LV"/>
        </w:rPr>
        <w:t xml:space="preserve">vispirms </w:t>
      </w:r>
      <w:r w:rsidR="00725424" w:rsidRPr="00F851FA">
        <w:rPr>
          <w:lang w:val="lv-LV"/>
        </w:rPr>
        <w:t xml:space="preserve">izvērtēs, vai šī lēmuma 3.punktā minētais Rīgas apgabaltiesas lēmums ir pārsūdzams. </w:t>
      </w:r>
    </w:p>
    <w:p w14:paraId="67420E35" w14:textId="337CFCB4" w:rsidR="0095026C" w:rsidRPr="00F851FA" w:rsidRDefault="0095026C" w:rsidP="00A667C4">
      <w:pPr>
        <w:tabs>
          <w:tab w:val="left" w:pos="0"/>
        </w:tabs>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Senatoru kolēģija ņem vērā, ka līdzšinējā Senāta prakse</w:t>
      </w:r>
      <w:r w:rsidR="00894F86" w:rsidRPr="00F851FA">
        <w:rPr>
          <w:rFonts w:asciiTheme="majorBidi" w:hAnsiTheme="majorBidi" w:cstheme="majorBidi"/>
          <w:szCs w:val="24"/>
          <w:lang w:val="lv-LV"/>
        </w:rPr>
        <w:t xml:space="preserve"> </w:t>
      </w:r>
      <w:r w:rsidR="00532A4F" w:rsidRPr="00F851FA">
        <w:rPr>
          <w:rFonts w:asciiTheme="majorBidi" w:hAnsiTheme="majorBidi" w:cstheme="majorBidi"/>
          <w:szCs w:val="24"/>
          <w:lang w:val="lv-LV"/>
        </w:rPr>
        <w:t>šajā jautājumā bijusi dažāda, tāpēc pievēršas tā detalizētai analīzei</w:t>
      </w:r>
      <w:r w:rsidRPr="00F851FA">
        <w:rPr>
          <w:rFonts w:asciiTheme="majorBidi" w:hAnsiTheme="majorBidi" w:cstheme="majorBidi"/>
          <w:szCs w:val="24"/>
          <w:lang w:val="lv-LV"/>
        </w:rPr>
        <w:t>.</w:t>
      </w:r>
    </w:p>
    <w:p w14:paraId="4EB2C37C" w14:textId="77777777" w:rsidR="00144336" w:rsidRPr="00F851FA" w:rsidRDefault="00144336" w:rsidP="00A667C4">
      <w:pPr>
        <w:tabs>
          <w:tab w:val="left" w:pos="0"/>
        </w:tabs>
        <w:spacing w:after="0" w:line="276" w:lineRule="auto"/>
        <w:ind w:firstLine="567"/>
        <w:jc w:val="both"/>
        <w:rPr>
          <w:color w:val="4472C4" w:themeColor="accent1"/>
          <w:lang w:val="lv-LV"/>
        </w:rPr>
      </w:pPr>
    </w:p>
    <w:p w14:paraId="59865974" w14:textId="15ABFD2B" w:rsidR="00ED2C06" w:rsidRPr="00F851FA" w:rsidRDefault="002855E0" w:rsidP="00A667C4">
      <w:pPr>
        <w:tabs>
          <w:tab w:val="left" w:pos="0"/>
        </w:tabs>
        <w:spacing w:after="0" w:line="276" w:lineRule="auto"/>
        <w:ind w:firstLine="567"/>
        <w:jc w:val="both"/>
        <w:rPr>
          <w:lang w:val="lv-LV"/>
        </w:rPr>
      </w:pPr>
      <w:r w:rsidRPr="00F851FA">
        <w:rPr>
          <w:lang w:val="lv-LV"/>
        </w:rPr>
        <w:t>[</w:t>
      </w:r>
      <w:r w:rsidR="00906E20" w:rsidRPr="00F851FA">
        <w:rPr>
          <w:lang w:val="lv-LV"/>
        </w:rPr>
        <w:t>6</w:t>
      </w:r>
      <w:r w:rsidRPr="00F851FA">
        <w:rPr>
          <w:lang w:val="lv-LV"/>
        </w:rPr>
        <w:t>]</w:t>
      </w:r>
      <w:r w:rsidR="008B76D3" w:rsidRPr="00F851FA">
        <w:rPr>
          <w:lang w:val="lv-LV"/>
        </w:rPr>
        <w:t xml:space="preserve"> </w:t>
      </w:r>
      <w:r w:rsidR="00ED2C06" w:rsidRPr="00F851FA">
        <w:rPr>
          <w:lang w:val="lv-LV"/>
        </w:rPr>
        <w:t xml:space="preserve">Saskaņā ar Civilprocesa </w:t>
      </w:r>
      <w:proofErr w:type="gramStart"/>
      <w:r w:rsidR="00ED2C06" w:rsidRPr="00F851FA">
        <w:rPr>
          <w:lang w:val="lv-LV"/>
        </w:rPr>
        <w:t>441.panta</w:t>
      </w:r>
      <w:proofErr w:type="gramEnd"/>
      <w:r w:rsidR="00ED2C06" w:rsidRPr="00F851FA">
        <w:rPr>
          <w:lang w:val="lv-LV"/>
        </w:rPr>
        <w:t xml:space="preserve"> pirmo daļu lietas dalībnieki var pārsūdzēt </w:t>
      </w:r>
      <w:r w:rsidR="00087C69" w:rsidRPr="00F851FA">
        <w:rPr>
          <w:lang w:val="lv-LV"/>
        </w:rPr>
        <w:t xml:space="preserve">pirmās instances un </w:t>
      </w:r>
      <w:r w:rsidR="00ED2C06" w:rsidRPr="00F851FA">
        <w:rPr>
          <w:lang w:val="lv-LV"/>
        </w:rPr>
        <w:t>apelācijas instances tiesas lēmumus, iesniedzot blakus sūdzību, divos gadījumos:</w:t>
      </w:r>
    </w:p>
    <w:p w14:paraId="1222975A" w14:textId="1E37F176" w:rsidR="00ED2C06" w:rsidRPr="00F851FA" w:rsidRDefault="00ED2C06" w:rsidP="00A667C4">
      <w:pPr>
        <w:tabs>
          <w:tab w:val="left" w:pos="0"/>
        </w:tabs>
        <w:spacing w:after="0" w:line="276" w:lineRule="auto"/>
        <w:ind w:firstLine="567"/>
        <w:jc w:val="both"/>
        <w:rPr>
          <w:lang w:val="lv-LV"/>
        </w:rPr>
      </w:pPr>
      <w:r w:rsidRPr="00F851FA">
        <w:rPr>
          <w:lang w:val="lv-LV"/>
        </w:rPr>
        <w:t>1) Civilprocesa likumā noteiktajos gadījumos;</w:t>
      </w:r>
    </w:p>
    <w:p w14:paraId="541513DD" w14:textId="51180BA5" w:rsidR="00ED2C06" w:rsidRPr="00F851FA" w:rsidRDefault="00ED2C06" w:rsidP="00A667C4">
      <w:pPr>
        <w:tabs>
          <w:tab w:val="left" w:pos="0"/>
        </w:tabs>
        <w:spacing w:after="0" w:line="276" w:lineRule="auto"/>
        <w:ind w:firstLine="567"/>
        <w:jc w:val="both"/>
        <w:rPr>
          <w:lang w:val="lv-LV"/>
        </w:rPr>
      </w:pPr>
      <w:r w:rsidRPr="00F851FA">
        <w:rPr>
          <w:lang w:val="lv-LV"/>
        </w:rPr>
        <w:t>2) ja tiesas lēmums kavē lietas virzību.</w:t>
      </w:r>
    </w:p>
    <w:p w14:paraId="7D6198D9" w14:textId="2F6C498B" w:rsidR="00087C69" w:rsidRPr="00F851FA" w:rsidRDefault="00ED2C06" w:rsidP="00A667C4">
      <w:pPr>
        <w:autoSpaceDE w:val="0"/>
        <w:autoSpaceDN w:val="0"/>
        <w:adjustRightInd w:val="0"/>
        <w:spacing w:after="0" w:line="276" w:lineRule="auto"/>
        <w:ind w:firstLine="567"/>
        <w:jc w:val="both"/>
        <w:rPr>
          <w:lang w:val="lv-LV"/>
        </w:rPr>
      </w:pPr>
      <w:r w:rsidRPr="00F851FA">
        <w:rPr>
          <w:lang w:val="lv-LV"/>
        </w:rPr>
        <w:t xml:space="preserve">Civilprocesa </w:t>
      </w:r>
      <w:proofErr w:type="gramStart"/>
      <w:r w:rsidRPr="00F851FA">
        <w:rPr>
          <w:lang w:val="lv-LV"/>
        </w:rPr>
        <w:t>441.panta</w:t>
      </w:r>
      <w:proofErr w:type="gramEnd"/>
      <w:r w:rsidRPr="00F851FA">
        <w:rPr>
          <w:lang w:val="lv-LV"/>
        </w:rPr>
        <w:t xml:space="preserve"> otrajā daļā norādīts, ka par citiem pirmās instances tiesas un apelācijas instances tiesas lēmumiem blakus sūdzību neiesniedz.</w:t>
      </w:r>
    </w:p>
    <w:p w14:paraId="6673DA9F" w14:textId="77777777" w:rsidR="00724764" w:rsidRPr="00F851FA" w:rsidRDefault="00724764" w:rsidP="00A667C4">
      <w:pPr>
        <w:autoSpaceDE w:val="0"/>
        <w:autoSpaceDN w:val="0"/>
        <w:adjustRightInd w:val="0"/>
        <w:spacing w:after="0" w:line="276" w:lineRule="auto"/>
        <w:ind w:firstLine="567"/>
        <w:jc w:val="both"/>
        <w:rPr>
          <w:rFonts w:asciiTheme="majorBidi" w:hAnsiTheme="majorBidi" w:cstheme="majorBidi"/>
          <w:szCs w:val="24"/>
          <w:lang w:val="lv-LV"/>
        </w:rPr>
      </w:pPr>
    </w:p>
    <w:p w14:paraId="0A6DF490" w14:textId="0ABCF697" w:rsidR="00ED2C06" w:rsidRPr="00F851FA" w:rsidRDefault="00724764"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 xml:space="preserve">[7] </w:t>
      </w:r>
      <w:r w:rsidR="00ED2C06" w:rsidRPr="00F851FA">
        <w:rPr>
          <w:rFonts w:asciiTheme="majorBidi" w:hAnsiTheme="majorBidi" w:cstheme="majorBidi"/>
          <w:szCs w:val="24"/>
          <w:lang w:val="lv-LV"/>
        </w:rPr>
        <w:t xml:space="preserve">Civilprocesa likumā </w:t>
      </w:r>
      <w:r w:rsidR="00584A11" w:rsidRPr="00F851FA">
        <w:rPr>
          <w:rFonts w:asciiTheme="majorBidi" w:hAnsiTheme="majorBidi" w:cstheme="majorBidi"/>
          <w:szCs w:val="24"/>
          <w:lang w:val="lv-LV"/>
        </w:rPr>
        <w:t xml:space="preserve">paredzēta </w:t>
      </w:r>
      <w:r w:rsidR="00532A4F" w:rsidRPr="00F851FA">
        <w:rPr>
          <w:rFonts w:asciiTheme="majorBidi" w:hAnsiTheme="majorBidi" w:cstheme="majorBidi"/>
          <w:szCs w:val="24"/>
          <w:lang w:val="lv-LV"/>
        </w:rPr>
        <w:t xml:space="preserve">speciālā pārsūdzības kārtība, </w:t>
      </w:r>
      <w:proofErr w:type="gramStart"/>
      <w:r w:rsidR="00532A4F" w:rsidRPr="00F851FA">
        <w:rPr>
          <w:rFonts w:asciiTheme="majorBidi" w:hAnsiTheme="majorBidi" w:cstheme="majorBidi"/>
          <w:szCs w:val="24"/>
          <w:lang w:val="lv-LV"/>
        </w:rPr>
        <w:t>atbilstoši kurai</w:t>
      </w:r>
      <w:r w:rsidR="00393963" w:rsidRPr="00F851FA">
        <w:rPr>
          <w:rFonts w:asciiTheme="majorBidi" w:hAnsiTheme="majorBidi" w:cstheme="majorBidi"/>
          <w:szCs w:val="24"/>
          <w:lang w:val="lv-LV"/>
        </w:rPr>
        <w:t xml:space="preserve"> </w:t>
      </w:r>
      <w:r w:rsidR="00ED2C06" w:rsidRPr="00F851FA">
        <w:rPr>
          <w:rFonts w:asciiTheme="majorBidi" w:hAnsiTheme="majorBidi" w:cstheme="majorBidi"/>
          <w:szCs w:val="24"/>
          <w:lang w:val="lv-LV"/>
        </w:rPr>
        <w:t>apgabaltiesas lēmums, kas pieņemts par blakus sūdzību, ir pārsūdzams Augstākajā tiesā</w:t>
      </w:r>
      <w:proofErr w:type="gramEnd"/>
      <w:r w:rsidR="00ED2C06" w:rsidRPr="00F851FA">
        <w:rPr>
          <w:rFonts w:asciiTheme="majorBidi" w:hAnsiTheme="majorBidi" w:cstheme="majorBidi"/>
          <w:szCs w:val="24"/>
          <w:lang w:val="lv-LV"/>
        </w:rPr>
        <w:t xml:space="preserve">. Šāda kārtība </w:t>
      </w:r>
      <w:r w:rsidR="00532A4F" w:rsidRPr="00F851FA">
        <w:rPr>
          <w:rFonts w:asciiTheme="majorBidi" w:hAnsiTheme="majorBidi" w:cstheme="majorBidi"/>
          <w:szCs w:val="24"/>
          <w:lang w:val="lv-LV"/>
        </w:rPr>
        <w:t xml:space="preserve">pamatota ar izlemjamo </w:t>
      </w:r>
      <w:r w:rsidR="00087C69" w:rsidRPr="00F851FA">
        <w:rPr>
          <w:rFonts w:asciiTheme="majorBidi" w:hAnsiTheme="majorBidi" w:cstheme="majorBidi"/>
          <w:szCs w:val="24"/>
          <w:lang w:val="lv-LV"/>
        </w:rPr>
        <w:t xml:space="preserve">jautājumu </w:t>
      </w:r>
      <w:r w:rsidR="00ED2C06" w:rsidRPr="00F851FA">
        <w:rPr>
          <w:rFonts w:asciiTheme="majorBidi" w:hAnsiTheme="majorBidi" w:cstheme="majorBidi"/>
          <w:szCs w:val="24"/>
          <w:lang w:val="lv-LV"/>
        </w:rPr>
        <w:t>nozīmīb</w:t>
      </w:r>
      <w:r w:rsidR="00532A4F" w:rsidRPr="00F851FA">
        <w:rPr>
          <w:rFonts w:asciiTheme="majorBidi" w:hAnsiTheme="majorBidi" w:cstheme="majorBidi"/>
          <w:szCs w:val="24"/>
          <w:lang w:val="lv-LV"/>
        </w:rPr>
        <w:t>u</w:t>
      </w:r>
      <w:r w:rsidR="00ED2C06" w:rsidRPr="00F851FA">
        <w:rPr>
          <w:rFonts w:asciiTheme="majorBidi" w:hAnsiTheme="majorBidi" w:cstheme="majorBidi"/>
          <w:szCs w:val="24"/>
          <w:lang w:val="lv-LV"/>
        </w:rPr>
        <w:t>, un t</w:t>
      </w:r>
      <w:r w:rsidR="00532A4F" w:rsidRPr="00F851FA">
        <w:rPr>
          <w:rFonts w:asciiTheme="majorBidi" w:hAnsiTheme="majorBidi" w:cstheme="majorBidi"/>
          <w:szCs w:val="24"/>
          <w:lang w:val="lv-LV"/>
        </w:rPr>
        <w:t>ā piemērojama</w:t>
      </w:r>
      <w:r w:rsidR="00ED2C06" w:rsidRPr="00F851FA">
        <w:rPr>
          <w:rFonts w:asciiTheme="majorBidi" w:hAnsiTheme="majorBidi" w:cstheme="majorBidi"/>
          <w:szCs w:val="24"/>
          <w:lang w:val="lv-LV"/>
        </w:rPr>
        <w:t>:</w:t>
      </w:r>
    </w:p>
    <w:p w14:paraId="374BDC6E" w14:textId="05C1C965" w:rsidR="00ED2C06" w:rsidRPr="00F851FA" w:rsidRDefault="00ED2C06"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 xml:space="preserve">1) Civilprocesa likuma </w:t>
      </w:r>
      <w:proofErr w:type="gramStart"/>
      <w:r w:rsidRPr="00F851FA">
        <w:rPr>
          <w:rFonts w:asciiTheme="majorBidi" w:hAnsiTheme="majorBidi" w:cstheme="majorBidi"/>
          <w:szCs w:val="24"/>
          <w:lang w:val="lv-LV"/>
        </w:rPr>
        <w:t>449.panta</w:t>
      </w:r>
      <w:proofErr w:type="gramEnd"/>
      <w:r w:rsidRPr="00F851FA">
        <w:rPr>
          <w:rFonts w:asciiTheme="majorBidi" w:hAnsiTheme="majorBidi" w:cstheme="majorBidi"/>
          <w:szCs w:val="24"/>
          <w:lang w:val="lv-LV"/>
        </w:rPr>
        <w:t xml:space="preserve"> otraj</w:t>
      </w:r>
      <w:r w:rsidR="00532A4F" w:rsidRPr="00F851FA">
        <w:rPr>
          <w:rFonts w:asciiTheme="majorBidi" w:hAnsiTheme="majorBidi" w:cstheme="majorBidi"/>
          <w:szCs w:val="24"/>
          <w:lang w:val="lv-LV"/>
        </w:rPr>
        <w:t xml:space="preserve">ā </w:t>
      </w:r>
      <w:r w:rsidRPr="00F851FA">
        <w:rPr>
          <w:rFonts w:asciiTheme="majorBidi" w:hAnsiTheme="majorBidi" w:cstheme="majorBidi"/>
          <w:szCs w:val="24"/>
          <w:lang w:val="lv-LV"/>
        </w:rPr>
        <w:t>daļ</w:t>
      </w:r>
      <w:r w:rsidR="00532A4F" w:rsidRPr="00F851FA">
        <w:rPr>
          <w:rFonts w:asciiTheme="majorBidi" w:hAnsiTheme="majorBidi" w:cstheme="majorBidi"/>
          <w:szCs w:val="24"/>
          <w:lang w:val="lv-LV"/>
        </w:rPr>
        <w:t>ā</w:t>
      </w:r>
      <w:r w:rsidR="00724764" w:rsidRPr="00F851FA">
        <w:rPr>
          <w:rFonts w:asciiTheme="majorBidi" w:hAnsiTheme="majorBidi" w:cstheme="majorBidi"/>
          <w:szCs w:val="24"/>
          <w:lang w:val="lv-LV"/>
        </w:rPr>
        <w:t xml:space="preserve"> </w:t>
      </w:r>
      <w:r w:rsidR="00532A4F" w:rsidRPr="00F851FA">
        <w:rPr>
          <w:rFonts w:asciiTheme="majorBidi" w:hAnsiTheme="majorBidi" w:cstheme="majorBidi"/>
          <w:szCs w:val="24"/>
          <w:lang w:val="lv-LV"/>
        </w:rPr>
        <w:t xml:space="preserve">paredzētajos </w:t>
      </w:r>
      <w:r w:rsidRPr="00F851FA">
        <w:rPr>
          <w:rFonts w:asciiTheme="majorBidi" w:hAnsiTheme="majorBidi" w:cstheme="majorBidi"/>
          <w:szCs w:val="24"/>
          <w:lang w:val="lv-LV"/>
        </w:rPr>
        <w:t>gadījum</w:t>
      </w:r>
      <w:r w:rsidR="00532A4F" w:rsidRPr="00F851FA">
        <w:rPr>
          <w:rFonts w:asciiTheme="majorBidi" w:hAnsiTheme="majorBidi" w:cstheme="majorBidi"/>
          <w:szCs w:val="24"/>
          <w:lang w:val="lv-LV"/>
        </w:rPr>
        <w:t>os</w:t>
      </w:r>
      <w:r w:rsidRPr="00F851FA">
        <w:rPr>
          <w:rFonts w:asciiTheme="majorBidi" w:hAnsiTheme="majorBidi" w:cstheme="majorBidi"/>
          <w:szCs w:val="24"/>
          <w:lang w:val="lv-LV"/>
        </w:rPr>
        <w:t>, kuros atsakot pieņemt prasību (Civilprocesa likuma 132.panta 1. un 2. punkts), kā arī izbeidzot tiesvedību (Civilprocesa likuma 223.panta 1. un 2.punkts) personai tiek ierobežotas tiesības uz tiesas aizsardzību un lietas izskatīšanu, proti, netiek dota iespēja uz strīda izšķiršanu pēc būtības;</w:t>
      </w:r>
    </w:p>
    <w:p w14:paraId="74543090" w14:textId="401D44CC" w:rsidR="00ED2C06" w:rsidRPr="00F851FA" w:rsidRDefault="00ED2C06"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 xml:space="preserve">2) Civilprocesa likuma </w:t>
      </w:r>
      <w:proofErr w:type="gramStart"/>
      <w:r w:rsidRPr="00F851FA">
        <w:rPr>
          <w:rFonts w:asciiTheme="majorBidi" w:hAnsiTheme="majorBidi" w:cstheme="majorBidi"/>
          <w:szCs w:val="24"/>
          <w:lang w:val="lv-LV"/>
        </w:rPr>
        <w:t>641.pant</w:t>
      </w:r>
      <w:r w:rsidR="00532A4F" w:rsidRPr="00F851FA">
        <w:rPr>
          <w:rFonts w:asciiTheme="majorBidi" w:hAnsiTheme="majorBidi" w:cstheme="majorBidi"/>
          <w:szCs w:val="24"/>
          <w:lang w:val="lv-LV"/>
        </w:rPr>
        <w:t>ā</w:t>
      </w:r>
      <w:proofErr w:type="gramEnd"/>
      <w:r w:rsidR="00532A4F" w:rsidRPr="00F851FA">
        <w:rPr>
          <w:rFonts w:asciiTheme="majorBidi" w:hAnsiTheme="majorBidi" w:cstheme="majorBidi"/>
          <w:szCs w:val="24"/>
          <w:lang w:val="lv-LV"/>
        </w:rPr>
        <w:t xml:space="preserve"> paredzētajos</w:t>
      </w:r>
      <w:r w:rsidRPr="00F851FA">
        <w:rPr>
          <w:rFonts w:asciiTheme="majorBidi" w:hAnsiTheme="majorBidi" w:cstheme="majorBidi"/>
          <w:szCs w:val="24"/>
          <w:lang w:val="lv-LV"/>
        </w:rPr>
        <w:t xml:space="preserve"> gadījum</w:t>
      </w:r>
      <w:r w:rsidR="00532A4F" w:rsidRPr="00F851FA">
        <w:rPr>
          <w:rFonts w:asciiTheme="majorBidi" w:hAnsiTheme="majorBidi" w:cstheme="majorBidi"/>
          <w:szCs w:val="24"/>
          <w:lang w:val="lv-LV"/>
        </w:rPr>
        <w:t>os</w:t>
      </w:r>
      <w:r w:rsidRPr="00F851FA">
        <w:rPr>
          <w:rFonts w:asciiTheme="majorBidi" w:hAnsiTheme="majorBidi" w:cstheme="majorBidi"/>
          <w:szCs w:val="24"/>
          <w:lang w:val="lv-LV"/>
        </w:rPr>
        <w:t>, kuros tiek lemts par ārvalsts tiesas nolēmumu atzīšanu, jo ar šādu lēmumu var tikt ierobežotas tiesības uz likumīgā spēkā esoša nolēmuma izpildi.</w:t>
      </w:r>
    </w:p>
    <w:p w14:paraId="36732E6B" w14:textId="77777777" w:rsidR="00ED2C06" w:rsidRPr="00F851FA" w:rsidRDefault="00ED2C06" w:rsidP="00A667C4">
      <w:pPr>
        <w:tabs>
          <w:tab w:val="left" w:pos="0"/>
        </w:tabs>
        <w:spacing w:after="0" w:line="276" w:lineRule="auto"/>
        <w:ind w:firstLine="567"/>
        <w:jc w:val="both"/>
        <w:rPr>
          <w:lang w:val="lv-LV"/>
        </w:rPr>
      </w:pPr>
    </w:p>
    <w:p w14:paraId="22F8262A" w14:textId="0A83258F" w:rsidR="00521D1E" w:rsidRPr="00F851FA" w:rsidRDefault="00ED2C06" w:rsidP="00A667C4">
      <w:pPr>
        <w:tabs>
          <w:tab w:val="left" w:pos="0"/>
        </w:tabs>
        <w:spacing w:after="0" w:line="276" w:lineRule="auto"/>
        <w:ind w:firstLine="567"/>
        <w:jc w:val="both"/>
        <w:rPr>
          <w:lang w:val="lv-LV"/>
        </w:rPr>
      </w:pPr>
      <w:r w:rsidRPr="00F851FA">
        <w:rPr>
          <w:lang w:val="lv-LV"/>
        </w:rPr>
        <w:t>[</w:t>
      </w:r>
      <w:r w:rsidR="00724764" w:rsidRPr="00F851FA">
        <w:rPr>
          <w:lang w:val="lv-LV"/>
        </w:rPr>
        <w:t>8</w:t>
      </w:r>
      <w:r w:rsidRPr="00F851FA">
        <w:rPr>
          <w:lang w:val="lv-LV"/>
        </w:rPr>
        <w:t>]</w:t>
      </w:r>
      <w:r w:rsidR="008B76D3" w:rsidRPr="00F851FA">
        <w:rPr>
          <w:lang w:val="lv-LV"/>
        </w:rPr>
        <w:t xml:space="preserve"> </w:t>
      </w:r>
      <w:r w:rsidR="00D81043" w:rsidRPr="00F851FA">
        <w:rPr>
          <w:lang w:val="lv-LV"/>
        </w:rPr>
        <w:t>Ievērojot Zemesgrāmatu likuma un Civilprocesa likuma tiesību norm</w:t>
      </w:r>
      <w:r w:rsidR="002C5162" w:rsidRPr="00F851FA">
        <w:rPr>
          <w:lang w:val="lv-LV"/>
        </w:rPr>
        <w:t>as</w:t>
      </w:r>
      <w:r w:rsidR="00D81043" w:rsidRPr="00F851FA">
        <w:rPr>
          <w:lang w:val="lv-LV"/>
        </w:rPr>
        <w:t>,</w:t>
      </w:r>
      <w:r w:rsidR="001D2320" w:rsidRPr="00F851FA">
        <w:rPr>
          <w:lang w:val="lv-LV"/>
        </w:rPr>
        <w:t xml:space="preserve"> </w:t>
      </w:r>
      <w:r w:rsidR="00B57432" w:rsidRPr="00F851FA">
        <w:rPr>
          <w:lang w:val="lv-LV"/>
        </w:rPr>
        <w:t>jā</w:t>
      </w:r>
      <w:r w:rsidR="00725424" w:rsidRPr="00F851FA">
        <w:rPr>
          <w:lang w:val="lv-LV"/>
        </w:rPr>
        <w:t>nošķir, kad sūdzību par tiesneša lēmumu zemesgrāmatu lietās izskata apgabaltiesa, kuras lēmums ir galīgs, un kad šādus apgabaltiesas lēmumus var pārsūdzēt Augstākajā tiesā.</w:t>
      </w:r>
    </w:p>
    <w:p w14:paraId="0B245B30" w14:textId="1F70FC48" w:rsidR="005E7597" w:rsidRPr="00F851FA" w:rsidRDefault="00393963" w:rsidP="00A667C4">
      <w:pPr>
        <w:tabs>
          <w:tab w:val="left" w:pos="0"/>
        </w:tabs>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w:t>
      </w:r>
      <w:r w:rsidR="00724764" w:rsidRPr="00F851FA">
        <w:rPr>
          <w:rFonts w:asciiTheme="majorBidi" w:hAnsiTheme="majorBidi" w:cstheme="majorBidi"/>
          <w:szCs w:val="24"/>
          <w:lang w:val="lv-LV"/>
        </w:rPr>
        <w:t>8</w:t>
      </w:r>
      <w:r w:rsidRPr="00F851FA">
        <w:rPr>
          <w:rFonts w:asciiTheme="majorBidi" w:hAnsiTheme="majorBidi" w:cstheme="majorBidi"/>
          <w:szCs w:val="24"/>
          <w:lang w:val="lv-LV"/>
        </w:rPr>
        <w:t xml:space="preserve">.1] </w:t>
      </w:r>
      <w:r w:rsidR="005E7597" w:rsidRPr="00F851FA">
        <w:rPr>
          <w:rFonts w:asciiTheme="majorBidi" w:hAnsiTheme="majorBidi" w:cstheme="majorBidi"/>
          <w:szCs w:val="24"/>
          <w:lang w:val="lv-LV"/>
        </w:rPr>
        <w:t xml:space="preserve">Civilprocesa likuma </w:t>
      </w:r>
      <w:proofErr w:type="gramStart"/>
      <w:r w:rsidR="005E7597" w:rsidRPr="00F851FA">
        <w:rPr>
          <w:rFonts w:asciiTheme="majorBidi" w:hAnsiTheme="majorBidi" w:cstheme="majorBidi"/>
          <w:szCs w:val="24"/>
          <w:lang w:val="lv-LV"/>
        </w:rPr>
        <w:t>449.panta</w:t>
      </w:r>
      <w:proofErr w:type="gramEnd"/>
      <w:r w:rsidR="005E7597" w:rsidRPr="00F851FA">
        <w:rPr>
          <w:rFonts w:asciiTheme="majorBidi" w:hAnsiTheme="majorBidi" w:cstheme="majorBidi"/>
          <w:szCs w:val="24"/>
          <w:lang w:val="lv-LV"/>
        </w:rPr>
        <w:t xml:space="preserve"> pirmā daļa noteic, ka par blakus sūdzību pieņemtais lēmums nav pārsūdzams, un tas stājas likumīgā spēkā tā pieņemšanas brīdī, izņemot šajā pantā un šā likuma 641.pantā paredzētos gadījumus. Tādējādi nostiprināt</w:t>
      </w:r>
      <w:r w:rsidR="00171554" w:rsidRPr="00F851FA">
        <w:rPr>
          <w:rFonts w:asciiTheme="majorBidi" w:hAnsiTheme="majorBidi" w:cstheme="majorBidi"/>
          <w:szCs w:val="24"/>
          <w:lang w:val="lv-LV"/>
        </w:rPr>
        <w:t>a kārtība</w:t>
      </w:r>
      <w:r w:rsidR="005E7597" w:rsidRPr="00F851FA">
        <w:rPr>
          <w:rFonts w:asciiTheme="majorBidi" w:hAnsiTheme="majorBidi" w:cstheme="majorBidi"/>
          <w:szCs w:val="24"/>
          <w:lang w:val="lv-LV"/>
        </w:rPr>
        <w:t xml:space="preserve">, ka jautājumu par tiesas procesā pieņemto lēmumu tiesiskumu pārbauda apgabaltiesa un tās lēmums par blakus sūdzību ir galīgs. Minētā kārtība ir vispārīga un attiecas </w:t>
      </w:r>
      <w:r w:rsidR="00171554" w:rsidRPr="00F851FA">
        <w:rPr>
          <w:rFonts w:asciiTheme="majorBidi" w:hAnsiTheme="majorBidi" w:cstheme="majorBidi"/>
          <w:szCs w:val="24"/>
          <w:lang w:val="lv-LV"/>
        </w:rPr>
        <w:t xml:space="preserve">arī </w:t>
      </w:r>
      <w:r w:rsidR="005E7597" w:rsidRPr="00F851FA">
        <w:rPr>
          <w:rFonts w:asciiTheme="majorBidi" w:hAnsiTheme="majorBidi" w:cstheme="majorBidi"/>
          <w:szCs w:val="24"/>
          <w:lang w:val="lv-LV"/>
        </w:rPr>
        <w:t xml:space="preserve">uz tiesas lēmumiem, kas pieņemti izskatot lūgumus par pārmaksātās valsts nodevas atmaksu (Civilprocesa likuma </w:t>
      </w:r>
      <w:proofErr w:type="gramStart"/>
      <w:r w:rsidR="005E7597" w:rsidRPr="00F851FA">
        <w:rPr>
          <w:rFonts w:asciiTheme="majorBidi" w:hAnsiTheme="majorBidi" w:cstheme="majorBidi"/>
          <w:szCs w:val="24"/>
          <w:lang w:val="lv-LV"/>
        </w:rPr>
        <w:t>37.pants</w:t>
      </w:r>
      <w:proofErr w:type="gramEnd"/>
      <w:r w:rsidR="005E7597" w:rsidRPr="00F851FA">
        <w:rPr>
          <w:rFonts w:asciiTheme="majorBidi" w:hAnsiTheme="majorBidi" w:cstheme="majorBidi"/>
          <w:szCs w:val="24"/>
          <w:lang w:val="lv-LV"/>
        </w:rPr>
        <w:t>).</w:t>
      </w:r>
    </w:p>
    <w:p w14:paraId="5679FA47" w14:textId="7BE11726" w:rsidR="00B4273C" w:rsidRPr="00F851FA" w:rsidRDefault="00B4273C" w:rsidP="00A667C4">
      <w:pPr>
        <w:autoSpaceDE w:val="0"/>
        <w:autoSpaceDN w:val="0"/>
        <w:adjustRightInd w:val="0"/>
        <w:spacing w:after="0" w:line="276" w:lineRule="auto"/>
        <w:ind w:firstLine="567"/>
        <w:jc w:val="both"/>
        <w:rPr>
          <w:rFonts w:asciiTheme="majorBidi" w:hAnsiTheme="majorBidi" w:cstheme="majorBidi"/>
          <w:szCs w:val="24"/>
          <w:shd w:val="clear" w:color="auto" w:fill="FFFFFF"/>
          <w:lang w:val="lv-LV"/>
        </w:rPr>
      </w:pPr>
      <w:r w:rsidRPr="00F851FA">
        <w:rPr>
          <w:rFonts w:asciiTheme="majorBidi" w:hAnsiTheme="majorBidi" w:cstheme="majorBidi"/>
          <w:szCs w:val="24"/>
          <w:lang w:val="lv-LV"/>
        </w:rPr>
        <w:t xml:space="preserve">Saskaņā ar Civilprocesa likuma </w:t>
      </w:r>
      <w:proofErr w:type="gramStart"/>
      <w:r w:rsidRPr="00F851FA">
        <w:rPr>
          <w:rFonts w:asciiTheme="majorBidi" w:hAnsiTheme="majorBidi" w:cstheme="majorBidi"/>
          <w:szCs w:val="24"/>
          <w:lang w:val="lv-LV"/>
        </w:rPr>
        <w:t>449.panta</w:t>
      </w:r>
      <w:proofErr w:type="gramEnd"/>
      <w:r w:rsidRPr="00F851FA">
        <w:rPr>
          <w:rFonts w:asciiTheme="majorBidi" w:hAnsiTheme="majorBidi" w:cstheme="majorBidi"/>
          <w:szCs w:val="24"/>
          <w:lang w:val="lv-LV"/>
        </w:rPr>
        <w:t xml:space="preserve"> trešo daļu, a</w:t>
      </w:r>
      <w:r w:rsidRPr="00F851FA">
        <w:rPr>
          <w:rFonts w:asciiTheme="majorBidi" w:hAnsiTheme="majorBidi" w:cstheme="majorBidi"/>
          <w:szCs w:val="24"/>
          <w:shd w:val="clear" w:color="auto" w:fill="FFFFFF"/>
          <w:lang w:val="lv-LV"/>
        </w:rPr>
        <w:t>pgabaltiesas lēmums par blakus sūdzību par rajona (pilsētas) tiesas lēmumu zemesgrāmatu lietās, izņemot lēmumu par blakus sūdzību par pieteikuma par nekustamā īpašuma nostiprināšanu uz ieguvēja vārda, pārsūdzams Augstākajā tiesā.</w:t>
      </w:r>
    </w:p>
    <w:p w14:paraId="743F3FB8" w14:textId="0DB55891" w:rsidR="005E7597" w:rsidRPr="00F851FA" w:rsidRDefault="005E7597" w:rsidP="00A667C4">
      <w:pPr>
        <w:tabs>
          <w:tab w:val="left" w:pos="0"/>
        </w:tabs>
        <w:spacing w:after="0" w:line="276" w:lineRule="auto"/>
        <w:ind w:firstLine="567"/>
        <w:jc w:val="both"/>
        <w:rPr>
          <w:lang w:val="lv-LV"/>
        </w:rPr>
      </w:pPr>
      <w:r w:rsidRPr="00F851FA">
        <w:rPr>
          <w:lang w:val="lv-LV"/>
        </w:rPr>
        <w:t xml:space="preserve">Lai noskaidrotu, </w:t>
      </w:r>
      <w:r w:rsidR="00171554" w:rsidRPr="00F851FA">
        <w:rPr>
          <w:lang w:val="lv-LV"/>
        </w:rPr>
        <w:t xml:space="preserve">kāda </w:t>
      </w:r>
      <w:r w:rsidRPr="00F851FA">
        <w:rPr>
          <w:lang w:val="lv-LV"/>
        </w:rPr>
        <w:t xml:space="preserve">pārsūdzības kārtība </w:t>
      </w:r>
      <w:r w:rsidR="00171554" w:rsidRPr="00F851FA">
        <w:rPr>
          <w:lang w:val="lv-LV"/>
        </w:rPr>
        <w:t>attiecas uz tiesneša lēmumu zemesgrāmatu lietās par atteikumu atmaksāt valsts nodevu, noskaidrojams</w:t>
      </w:r>
      <w:r w:rsidRPr="00F851FA">
        <w:rPr>
          <w:lang w:val="lv-LV"/>
        </w:rPr>
        <w:t xml:space="preserve">, </w:t>
      </w:r>
      <w:r w:rsidR="00171554" w:rsidRPr="00F851FA">
        <w:rPr>
          <w:lang w:val="lv-LV"/>
        </w:rPr>
        <w:t xml:space="preserve">vai šāda </w:t>
      </w:r>
      <w:r w:rsidRPr="00F851FA">
        <w:rPr>
          <w:lang w:val="lv-LV"/>
        </w:rPr>
        <w:t>jautājum</w:t>
      </w:r>
      <w:r w:rsidR="00171554" w:rsidRPr="00F851FA">
        <w:rPr>
          <w:lang w:val="lv-LV"/>
        </w:rPr>
        <w:t>a</w:t>
      </w:r>
      <w:r w:rsidRPr="00F851FA">
        <w:rPr>
          <w:lang w:val="lv-LV"/>
        </w:rPr>
        <w:t xml:space="preserve"> pārsūdzēšanai piemērojama vispārīgā</w:t>
      </w:r>
      <w:r w:rsidR="00171554" w:rsidRPr="00F851FA">
        <w:rPr>
          <w:lang w:val="lv-LV"/>
        </w:rPr>
        <w:t xml:space="preserve"> (</w:t>
      </w:r>
      <w:proofErr w:type="gramStart"/>
      <w:r w:rsidR="00171554" w:rsidRPr="00F851FA">
        <w:rPr>
          <w:lang w:val="lv-LV"/>
        </w:rPr>
        <w:t>449.panta</w:t>
      </w:r>
      <w:proofErr w:type="gramEnd"/>
      <w:r w:rsidR="00171554" w:rsidRPr="00F851FA">
        <w:rPr>
          <w:lang w:val="lv-LV"/>
        </w:rPr>
        <w:t xml:space="preserve"> pirmā daļa)</w:t>
      </w:r>
      <w:r w:rsidRPr="00F851FA">
        <w:rPr>
          <w:lang w:val="lv-LV"/>
        </w:rPr>
        <w:t xml:space="preserve"> </w:t>
      </w:r>
      <w:r w:rsidR="00171554" w:rsidRPr="00F851FA">
        <w:rPr>
          <w:lang w:val="lv-LV"/>
        </w:rPr>
        <w:t xml:space="preserve">vai </w:t>
      </w:r>
      <w:r w:rsidRPr="00F851FA">
        <w:rPr>
          <w:lang w:val="lv-LV"/>
        </w:rPr>
        <w:t>speciālā kārtība</w:t>
      </w:r>
      <w:r w:rsidR="00171554" w:rsidRPr="00F851FA">
        <w:rPr>
          <w:lang w:val="lv-LV"/>
        </w:rPr>
        <w:t xml:space="preserve"> kā lēmumam zemesgrāmatu lietās (449.panta trešā daļa)</w:t>
      </w:r>
      <w:r w:rsidRPr="00F851FA">
        <w:rPr>
          <w:lang w:val="lv-LV"/>
        </w:rPr>
        <w:t>.</w:t>
      </w:r>
    </w:p>
    <w:p w14:paraId="1D4B7E76" w14:textId="546C6EED" w:rsidR="005E7597" w:rsidRPr="00F851FA" w:rsidRDefault="0084094D" w:rsidP="00A667C4">
      <w:pPr>
        <w:autoSpaceDE w:val="0"/>
        <w:autoSpaceDN w:val="0"/>
        <w:adjustRightInd w:val="0"/>
        <w:spacing w:after="0" w:line="276" w:lineRule="auto"/>
        <w:ind w:firstLine="567"/>
        <w:jc w:val="both"/>
        <w:rPr>
          <w:rFonts w:asciiTheme="majorBidi" w:hAnsiTheme="majorBidi" w:cstheme="majorBidi"/>
          <w:szCs w:val="24"/>
          <w:shd w:val="clear" w:color="auto" w:fill="FFFFFF"/>
          <w:lang w:val="lv-LV"/>
        </w:rPr>
      </w:pPr>
      <w:r w:rsidRPr="00F851FA">
        <w:rPr>
          <w:rFonts w:asciiTheme="majorBidi" w:hAnsiTheme="majorBidi" w:cstheme="majorBidi"/>
          <w:szCs w:val="24"/>
          <w:shd w:val="clear" w:color="auto" w:fill="FFFFFF"/>
          <w:lang w:val="lv-LV"/>
        </w:rPr>
        <w:lastRenderedPageBreak/>
        <w:t xml:space="preserve">Ievērojot Civilprocesa likumā nostiprināto principu, saskaņā ar kuru nozīmīgākajos </w:t>
      </w:r>
      <w:r w:rsidR="004161B0" w:rsidRPr="00F851FA">
        <w:rPr>
          <w:rFonts w:asciiTheme="majorBidi" w:hAnsiTheme="majorBidi" w:cstheme="majorBidi"/>
          <w:szCs w:val="24"/>
          <w:shd w:val="clear" w:color="auto" w:fill="FFFFFF"/>
          <w:lang w:val="lv-LV"/>
        </w:rPr>
        <w:t xml:space="preserve">jautājumos </w:t>
      </w:r>
      <w:r w:rsidRPr="00F851FA">
        <w:rPr>
          <w:rFonts w:asciiTheme="majorBidi" w:hAnsiTheme="majorBidi" w:cstheme="majorBidi"/>
          <w:szCs w:val="24"/>
          <w:shd w:val="clear" w:color="auto" w:fill="FFFFFF"/>
          <w:lang w:val="lv-LV"/>
        </w:rPr>
        <w:t>tiek paredzēta speciāla pārsūdzības kārtība, bet pārējos piemērojama vispārīgā kārtība, jānoskaidro, kuram no gadījumiem atbilst izskatāmās lietas faktiskie apstākļi.</w:t>
      </w:r>
    </w:p>
    <w:p w14:paraId="35351054" w14:textId="3606FD75" w:rsidR="0084094D" w:rsidRPr="00F851FA" w:rsidRDefault="0084094D" w:rsidP="00A667C4">
      <w:pPr>
        <w:tabs>
          <w:tab w:val="left" w:pos="0"/>
        </w:tabs>
        <w:spacing w:after="0" w:line="276" w:lineRule="auto"/>
        <w:ind w:firstLine="567"/>
        <w:jc w:val="both"/>
        <w:rPr>
          <w:lang w:val="lv-LV"/>
        </w:rPr>
      </w:pPr>
      <w:r w:rsidRPr="00F851FA">
        <w:rPr>
          <w:rFonts w:asciiTheme="majorBidi" w:hAnsiTheme="majorBidi" w:cstheme="majorBidi"/>
          <w:szCs w:val="24"/>
          <w:shd w:val="clear" w:color="auto" w:fill="FFFFFF"/>
          <w:lang w:val="lv-LV"/>
        </w:rPr>
        <w:t>[</w:t>
      </w:r>
      <w:r w:rsidR="00087C69" w:rsidRPr="00F851FA">
        <w:rPr>
          <w:rFonts w:asciiTheme="majorBidi" w:hAnsiTheme="majorBidi" w:cstheme="majorBidi"/>
          <w:szCs w:val="24"/>
          <w:shd w:val="clear" w:color="auto" w:fill="FFFFFF"/>
          <w:lang w:val="lv-LV"/>
        </w:rPr>
        <w:t>8</w:t>
      </w:r>
      <w:r w:rsidR="00393963" w:rsidRPr="00F851FA">
        <w:rPr>
          <w:rFonts w:asciiTheme="majorBidi" w:hAnsiTheme="majorBidi" w:cstheme="majorBidi"/>
          <w:szCs w:val="24"/>
          <w:shd w:val="clear" w:color="auto" w:fill="FFFFFF"/>
          <w:lang w:val="lv-LV"/>
        </w:rPr>
        <w:t>.2</w:t>
      </w:r>
      <w:r w:rsidRPr="00F851FA">
        <w:rPr>
          <w:rFonts w:asciiTheme="majorBidi" w:hAnsiTheme="majorBidi" w:cstheme="majorBidi"/>
          <w:szCs w:val="24"/>
          <w:shd w:val="clear" w:color="auto" w:fill="FFFFFF"/>
          <w:lang w:val="lv-LV"/>
        </w:rPr>
        <w:t>]</w:t>
      </w:r>
      <w:r w:rsidR="008B76D3" w:rsidRPr="00F851FA">
        <w:rPr>
          <w:rFonts w:asciiTheme="majorBidi" w:hAnsiTheme="majorBidi" w:cstheme="majorBidi"/>
          <w:szCs w:val="24"/>
          <w:shd w:val="clear" w:color="auto" w:fill="FFFFFF"/>
          <w:lang w:val="lv-LV"/>
        </w:rPr>
        <w:t xml:space="preserve"> </w:t>
      </w:r>
      <w:r w:rsidRPr="00F851FA">
        <w:rPr>
          <w:lang w:val="lv-LV"/>
        </w:rPr>
        <w:t xml:space="preserve">Zemesgrāmatu likuma </w:t>
      </w:r>
      <w:proofErr w:type="gramStart"/>
      <w:r w:rsidRPr="00F851FA">
        <w:rPr>
          <w:lang w:val="lv-LV"/>
        </w:rPr>
        <w:t>98.panta</w:t>
      </w:r>
      <w:proofErr w:type="gramEnd"/>
      <w:r w:rsidRPr="00F851FA">
        <w:rPr>
          <w:lang w:val="lv-LV"/>
        </w:rPr>
        <w:t xml:space="preserve"> pirmā daļa nošķir lēmumu, ar kuru nostiprinājuma lūgums visumā vai pa daļai atstāts bez ievērības, vai nav izpildīts tā, kā bija lūgts (Zemesgrāmatu likuma 97.pants), no tiesneša rīcības.</w:t>
      </w:r>
    </w:p>
    <w:p w14:paraId="1BA009AF" w14:textId="77777777" w:rsidR="0084094D" w:rsidRPr="00F851FA" w:rsidRDefault="0084094D" w:rsidP="00A667C4">
      <w:pPr>
        <w:tabs>
          <w:tab w:val="left" w:pos="0"/>
        </w:tabs>
        <w:spacing w:after="0" w:line="276" w:lineRule="auto"/>
        <w:ind w:firstLine="567"/>
        <w:jc w:val="both"/>
        <w:rPr>
          <w:lang w:val="lv-LV"/>
        </w:rPr>
      </w:pPr>
      <w:r w:rsidRPr="00F851FA">
        <w:rPr>
          <w:lang w:val="lv-LV"/>
        </w:rPr>
        <w:t xml:space="preserve">Saskaņā ar Zemesgrāmatu likuma </w:t>
      </w:r>
      <w:proofErr w:type="gramStart"/>
      <w:r w:rsidRPr="00F851FA">
        <w:rPr>
          <w:lang w:val="lv-LV"/>
        </w:rPr>
        <w:t>98.panta</w:t>
      </w:r>
      <w:proofErr w:type="gramEnd"/>
      <w:r w:rsidRPr="00F851FA">
        <w:rPr>
          <w:lang w:val="lv-LV"/>
        </w:rPr>
        <w:t xml:space="preserve"> pirmo daļu sūdzības par tiesneša lēmumiem (97.pants) un viņa rīcību jāiesniedz apgabaltiesai, kuras darbības teritorijā atrodas rajona (pilsētas) tiesa, divu nedēļu laikā no dienas, kad ieinteresētā persona saņēmusi lēmumu vai no tās dienas, kad notikusi pārsūdzamā rīcība, ievērojot Civilprocesa likumā noteikto blakus sūdzību iesniegšanas kārtību, ciktāl šajā likumā nav noteikts citādi.</w:t>
      </w:r>
    </w:p>
    <w:p w14:paraId="11C1A626" w14:textId="5BBF5120" w:rsidR="0084094D" w:rsidRPr="00F851FA" w:rsidRDefault="00171554" w:rsidP="00A667C4">
      <w:pPr>
        <w:autoSpaceDE w:val="0"/>
        <w:autoSpaceDN w:val="0"/>
        <w:adjustRightInd w:val="0"/>
        <w:spacing w:after="0" w:line="276" w:lineRule="auto"/>
        <w:ind w:firstLine="567"/>
        <w:jc w:val="both"/>
        <w:rPr>
          <w:rFonts w:asciiTheme="majorBidi" w:hAnsiTheme="majorBidi" w:cstheme="majorBidi"/>
          <w:szCs w:val="24"/>
          <w:shd w:val="clear" w:color="auto" w:fill="FFFFFF"/>
          <w:lang w:val="lv-LV"/>
        </w:rPr>
      </w:pPr>
      <w:r w:rsidRPr="00F851FA">
        <w:rPr>
          <w:rFonts w:asciiTheme="majorBidi" w:hAnsiTheme="majorBidi" w:cstheme="majorBidi"/>
          <w:szCs w:val="24"/>
          <w:shd w:val="clear" w:color="auto" w:fill="FFFFFF"/>
          <w:lang w:val="lv-LV"/>
        </w:rPr>
        <w:t>[</w:t>
      </w:r>
      <w:r w:rsidR="00724764" w:rsidRPr="00F851FA">
        <w:rPr>
          <w:rFonts w:asciiTheme="majorBidi" w:hAnsiTheme="majorBidi" w:cstheme="majorBidi"/>
          <w:szCs w:val="24"/>
          <w:shd w:val="clear" w:color="auto" w:fill="FFFFFF"/>
          <w:lang w:val="lv-LV"/>
        </w:rPr>
        <w:t>8</w:t>
      </w:r>
      <w:r w:rsidR="00393963" w:rsidRPr="00F851FA">
        <w:rPr>
          <w:rFonts w:asciiTheme="majorBidi" w:hAnsiTheme="majorBidi" w:cstheme="majorBidi"/>
          <w:szCs w:val="24"/>
          <w:shd w:val="clear" w:color="auto" w:fill="FFFFFF"/>
          <w:lang w:val="lv-LV"/>
        </w:rPr>
        <w:t>.3</w:t>
      </w:r>
      <w:r w:rsidRPr="00F851FA">
        <w:rPr>
          <w:rFonts w:asciiTheme="majorBidi" w:hAnsiTheme="majorBidi" w:cstheme="majorBidi"/>
          <w:szCs w:val="24"/>
          <w:shd w:val="clear" w:color="auto" w:fill="FFFFFF"/>
          <w:lang w:val="lv-LV"/>
        </w:rPr>
        <w:t>]</w:t>
      </w:r>
      <w:r w:rsidR="008B76D3" w:rsidRPr="00F851FA">
        <w:rPr>
          <w:rFonts w:asciiTheme="majorBidi" w:hAnsiTheme="majorBidi" w:cstheme="majorBidi"/>
          <w:szCs w:val="24"/>
          <w:shd w:val="clear" w:color="auto" w:fill="FFFFFF"/>
          <w:lang w:val="lv-LV"/>
        </w:rPr>
        <w:t xml:space="preserve"> </w:t>
      </w:r>
      <w:r w:rsidR="0084094D" w:rsidRPr="00F851FA">
        <w:rPr>
          <w:rFonts w:asciiTheme="majorBidi" w:hAnsiTheme="majorBidi" w:cstheme="majorBidi"/>
          <w:szCs w:val="24"/>
          <w:shd w:val="clear" w:color="auto" w:fill="FFFFFF"/>
          <w:lang w:val="lv-LV"/>
        </w:rPr>
        <w:t>Izpratni par to, kā interpretējams jēdziens „lēmums zemesgrāmatu lietā”, sniedz sistēmiska un teleoloģiska Zemesgrāmatu likuma tiesību normu (tostarp, 56., 97., 106.</w:t>
      </w:r>
      <w:r w:rsidR="0084094D" w:rsidRPr="00F851FA">
        <w:rPr>
          <w:lang w:val="lv-LV"/>
        </w:rPr>
        <w:t xml:space="preserve"> un 106.</w:t>
      </w:r>
      <w:r w:rsidR="0084094D" w:rsidRPr="00F851FA">
        <w:rPr>
          <w:vertAlign w:val="superscript"/>
          <w:lang w:val="lv-LV"/>
        </w:rPr>
        <w:t xml:space="preserve">1 </w:t>
      </w:r>
      <w:r w:rsidR="0084094D" w:rsidRPr="00F851FA">
        <w:rPr>
          <w:rFonts w:asciiTheme="majorBidi" w:hAnsiTheme="majorBidi" w:cstheme="majorBidi"/>
          <w:szCs w:val="24"/>
          <w:shd w:val="clear" w:color="auto" w:fill="FFFFFF"/>
          <w:lang w:val="lv-LV"/>
        </w:rPr>
        <w:t>panta), kā arī Civilprocesa likuma tiesību normu iztulkošana.</w:t>
      </w:r>
    </w:p>
    <w:p w14:paraId="0EF28B13" w14:textId="40392119" w:rsidR="0084094D" w:rsidRPr="00F851FA" w:rsidRDefault="0084094D" w:rsidP="00A667C4">
      <w:pPr>
        <w:tabs>
          <w:tab w:val="left" w:pos="0"/>
        </w:tabs>
        <w:spacing w:after="0" w:line="276" w:lineRule="auto"/>
        <w:ind w:firstLine="567"/>
        <w:jc w:val="both"/>
        <w:rPr>
          <w:lang w:val="lv-LV"/>
        </w:rPr>
      </w:pPr>
      <w:r w:rsidRPr="00F851FA">
        <w:rPr>
          <w:rFonts w:asciiTheme="majorBidi" w:hAnsiTheme="majorBidi" w:cstheme="majorBidi"/>
          <w:szCs w:val="24"/>
          <w:shd w:val="clear" w:color="auto" w:fill="FFFFFF"/>
          <w:lang w:val="lv-LV"/>
        </w:rPr>
        <w:t xml:space="preserve">Par lēmumu zemesgrāmatu lietā atzīstams </w:t>
      </w:r>
      <w:r w:rsidRPr="00F851FA">
        <w:rPr>
          <w:rFonts w:asciiTheme="majorBidi" w:hAnsiTheme="majorBidi" w:cstheme="majorBidi"/>
          <w:szCs w:val="24"/>
          <w:lang w:val="lv-LV"/>
        </w:rPr>
        <w:t xml:space="preserve">Zemesgrāmatu likuma </w:t>
      </w:r>
      <w:proofErr w:type="gramStart"/>
      <w:r w:rsidRPr="00F851FA">
        <w:rPr>
          <w:rFonts w:asciiTheme="majorBidi" w:hAnsiTheme="majorBidi" w:cstheme="majorBidi"/>
          <w:szCs w:val="24"/>
          <w:lang w:val="lv-LV"/>
        </w:rPr>
        <w:t>97.pantā</w:t>
      </w:r>
      <w:proofErr w:type="gramEnd"/>
      <w:r w:rsidRPr="00F851FA">
        <w:rPr>
          <w:rFonts w:asciiTheme="majorBidi" w:hAnsiTheme="majorBidi" w:cstheme="majorBidi"/>
          <w:szCs w:val="24"/>
          <w:lang w:val="lv-LV"/>
        </w:rPr>
        <w:t xml:space="preserve"> minētais tiesneša lēmums, ar kuru nostiprinājuma lūgums izskatīts pēc būtības -</w:t>
      </w:r>
      <w:r w:rsidR="004161B0" w:rsidRPr="00F851FA">
        <w:rPr>
          <w:rFonts w:asciiTheme="majorBidi" w:hAnsiTheme="majorBidi" w:cstheme="majorBidi"/>
          <w:szCs w:val="24"/>
          <w:lang w:val="lv-LV"/>
        </w:rPr>
        <w:t xml:space="preserve"> </w:t>
      </w:r>
      <w:r w:rsidRPr="00F851FA">
        <w:rPr>
          <w:rFonts w:asciiTheme="majorBidi" w:hAnsiTheme="majorBidi" w:cstheme="majorBidi"/>
          <w:szCs w:val="24"/>
          <w:lang w:val="lv-LV"/>
        </w:rPr>
        <w:t xml:space="preserve">visumā vai pa daļai atstāts bez ievērības, vai nav izpildīts tā, kā bija lūgts. </w:t>
      </w:r>
      <w:r w:rsidRPr="00F851FA">
        <w:rPr>
          <w:lang w:val="lv-LV"/>
        </w:rPr>
        <w:t xml:space="preserve">Pārsūdzēšanai Zemesgrāmatu likuma </w:t>
      </w:r>
      <w:proofErr w:type="gramStart"/>
      <w:r w:rsidRPr="00F851FA">
        <w:rPr>
          <w:lang w:val="lv-LV"/>
        </w:rPr>
        <w:t>97.panta</w:t>
      </w:r>
      <w:proofErr w:type="gramEnd"/>
      <w:r w:rsidRPr="00F851FA">
        <w:rPr>
          <w:lang w:val="lv-LV"/>
        </w:rPr>
        <w:t xml:space="preserve"> izpratnē pakļauts tikai tiesneša lēmums, kas pieņemts, izskatot nostiprinājuma lūgumu, proti, tāds lēmums, ar kuru jautājums par nostiprinājuma izdarīšanu izlemts pēc būtības.</w:t>
      </w:r>
    </w:p>
    <w:p w14:paraId="0C069021" w14:textId="534B6A34" w:rsidR="0084094D" w:rsidRPr="00F851FA" w:rsidRDefault="0084094D" w:rsidP="00A667C4">
      <w:pPr>
        <w:tabs>
          <w:tab w:val="left" w:pos="0"/>
        </w:tabs>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 xml:space="preserve">Attiecīgi šim lēmumam piemērojama speciālā pārsūdzības kārtība divās tiesu instancēs, tādējādi nodrošinot tiesiskuma pārbaudi jautājumā pēc būtības, līdzīgi kā tas ir ar spriedumiem, kas taisīti par prasības būtību vispārīgajā prasības kārtībā (Civilprocesa likuma 413., </w:t>
      </w:r>
      <w:proofErr w:type="gramStart"/>
      <w:r w:rsidRPr="00F851FA">
        <w:rPr>
          <w:rFonts w:asciiTheme="majorBidi" w:hAnsiTheme="majorBidi" w:cstheme="majorBidi"/>
          <w:szCs w:val="24"/>
          <w:lang w:val="lv-LV"/>
        </w:rPr>
        <w:t>450.pants</w:t>
      </w:r>
      <w:proofErr w:type="gramEnd"/>
      <w:r w:rsidRPr="00F851FA">
        <w:rPr>
          <w:rFonts w:asciiTheme="majorBidi" w:hAnsiTheme="majorBidi" w:cstheme="majorBidi"/>
          <w:szCs w:val="24"/>
          <w:lang w:val="lv-LV"/>
        </w:rPr>
        <w:t>) vai gadījumā, kad tiek liegta iespēja izšķirt strīdu pēc būtības.</w:t>
      </w:r>
    </w:p>
    <w:p w14:paraId="58EED83D" w14:textId="47B29DC3" w:rsidR="0084094D" w:rsidRPr="00F851FA" w:rsidRDefault="009836B8" w:rsidP="00A667C4">
      <w:pPr>
        <w:tabs>
          <w:tab w:val="left" w:pos="0"/>
        </w:tabs>
        <w:spacing w:after="0" w:line="276" w:lineRule="auto"/>
        <w:ind w:firstLine="567"/>
        <w:jc w:val="both"/>
        <w:rPr>
          <w:lang w:val="lv-LV"/>
        </w:rPr>
      </w:pPr>
      <w:r w:rsidRPr="00F851FA">
        <w:rPr>
          <w:rFonts w:asciiTheme="majorBidi" w:hAnsiTheme="majorBidi" w:cstheme="majorBidi"/>
          <w:szCs w:val="24"/>
          <w:shd w:val="clear" w:color="auto" w:fill="FFFFFF"/>
          <w:lang w:val="lv-LV"/>
        </w:rPr>
        <w:t>[</w:t>
      </w:r>
      <w:r w:rsidR="00724764" w:rsidRPr="00F851FA">
        <w:rPr>
          <w:rFonts w:asciiTheme="majorBidi" w:hAnsiTheme="majorBidi" w:cstheme="majorBidi"/>
          <w:szCs w:val="24"/>
          <w:shd w:val="clear" w:color="auto" w:fill="FFFFFF"/>
          <w:lang w:val="lv-LV"/>
        </w:rPr>
        <w:t>8</w:t>
      </w:r>
      <w:r w:rsidR="00393963" w:rsidRPr="00F851FA">
        <w:rPr>
          <w:rFonts w:asciiTheme="majorBidi" w:hAnsiTheme="majorBidi" w:cstheme="majorBidi"/>
          <w:szCs w:val="24"/>
          <w:shd w:val="clear" w:color="auto" w:fill="FFFFFF"/>
          <w:lang w:val="lv-LV"/>
        </w:rPr>
        <w:t>.4</w:t>
      </w:r>
      <w:r w:rsidRPr="00F851FA">
        <w:rPr>
          <w:rFonts w:asciiTheme="majorBidi" w:hAnsiTheme="majorBidi" w:cstheme="majorBidi"/>
          <w:szCs w:val="24"/>
          <w:shd w:val="clear" w:color="auto" w:fill="FFFFFF"/>
          <w:lang w:val="lv-LV"/>
        </w:rPr>
        <w:t>]</w:t>
      </w:r>
      <w:r w:rsidR="008B76D3" w:rsidRPr="00F851FA">
        <w:rPr>
          <w:rFonts w:asciiTheme="majorBidi" w:hAnsiTheme="majorBidi" w:cstheme="majorBidi"/>
          <w:szCs w:val="24"/>
          <w:shd w:val="clear" w:color="auto" w:fill="FFFFFF"/>
          <w:lang w:val="lv-LV"/>
        </w:rPr>
        <w:t xml:space="preserve"> </w:t>
      </w:r>
      <w:r w:rsidR="0084094D" w:rsidRPr="00F851FA">
        <w:rPr>
          <w:lang w:val="lv-LV"/>
        </w:rPr>
        <w:t xml:space="preserve">Tiesneša rīcības rezultātā var tikt pieņemti dažādi lēmumi, kas nav lēmumi Zemesgrāmatu likuma </w:t>
      </w:r>
      <w:proofErr w:type="gramStart"/>
      <w:r w:rsidR="0084094D" w:rsidRPr="00F851FA">
        <w:rPr>
          <w:lang w:val="lv-LV"/>
        </w:rPr>
        <w:t>97.panta</w:t>
      </w:r>
      <w:proofErr w:type="gramEnd"/>
      <w:r w:rsidR="0084094D" w:rsidRPr="00F851FA">
        <w:rPr>
          <w:lang w:val="lv-LV"/>
        </w:rPr>
        <w:t xml:space="preserve"> izpratnē, jo nav pieņemti, izskatot nostiprinājuma lūgumu pēc būtības.</w:t>
      </w:r>
    </w:p>
    <w:p w14:paraId="030F38E0" w14:textId="1DDCD449" w:rsidR="009836B8" w:rsidRPr="00F851FA" w:rsidRDefault="0084094D"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T</w:t>
      </w:r>
      <w:r w:rsidR="009836B8" w:rsidRPr="00F851FA">
        <w:rPr>
          <w:rFonts w:asciiTheme="majorBidi" w:hAnsiTheme="majorBidi" w:cstheme="majorBidi"/>
          <w:szCs w:val="24"/>
          <w:lang w:val="lv-LV"/>
        </w:rPr>
        <w:t xml:space="preserve">iesneša </w:t>
      </w:r>
      <w:r w:rsidR="00C645C5" w:rsidRPr="00F851FA">
        <w:rPr>
          <w:rFonts w:asciiTheme="majorBidi" w:hAnsiTheme="majorBidi" w:cstheme="majorBidi"/>
          <w:szCs w:val="24"/>
          <w:lang w:val="lv-LV"/>
        </w:rPr>
        <w:t xml:space="preserve">rīcība, pieņemot ar nostiprinājuma lūguma izskatīšanu pēc būtības nesaistītu </w:t>
      </w:r>
      <w:r w:rsidR="004A759A" w:rsidRPr="00F851FA">
        <w:rPr>
          <w:rFonts w:asciiTheme="majorBidi" w:hAnsiTheme="majorBidi" w:cstheme="majorBidi"/>
          <w:szCs w:val="24"/>
          <w:lang w:val="lv-LV"/>
        </w:rPr>
        <w:t>lēmum</w:t>
      </w:r>
      <w:r w:rsidR="00C645C5" w:rsidRPr="00F851FA">
        <w:rPr>
          <w:rFonts w:asciiTheme="majorBidi" w:hAnsiTheme="majorBidi" w:cstheme="majorBidi"/>
          <w:szCs w:val="24"/>
          <w:lang w:val="lv-LV"/>
        </w:rPr>
        <w:t>u</w:t>
      </w:r>
      <w:r w:rsidR="009836B8" w:rsidRPr="00F851FA">
        <w:rPr>
          <w:rFonts w:asciiTheme="majorBidi" w:hAnsiTheme="majorBidi" w:cstheme="majorBidi"/>
          <w:szCs w:val="24"/>
          <w:lang w:val="lv-LV"/>
        </w:rPr>
        <w:t xml:space="preserve">, </w:t>
      </w:r>
      <w:r w:rsidR="00C645C5" w:rsidRPr="00F851FA">
        <w:rPr>
          <w:rFonts w:asciiTheme="majorBidi" w:hAnsiTheme="majorBidi" w:cstheme="majorBidi"/>
          <w:szCs w:val="24"/>
          <w:lang w:val="lv-LV"/>
        </w:rPr>
        <w:t xml:space="preserve">pārsūdzama </w:t>
      </w:r>
      <w:r w:rsidR="009836B8" w:rsidRPr="00F851FA">
        <w:rPr>
          <w:rFonts w:asciiTheme="majorBidi" w:hAnsiTheme="majorBidi" w:cstheme="majorBidi"/>
          <w:szCs w:val="24"/>
          <w:lang w:val="lv-LV"/>
        </w:rPr>
        <w:t>vispārīg</w:t>
      </w:r>
      <w:r w:rsidR="00C645C5" w:rsidRPr="00F851FA">
        <w:rPr>
          <w:rFonts w:asciiTheme="majorBidi" w:hAnsiTheme="majorBidi" w:cstheme="majorBidi"/>
          <w:szCs w:val="24"/>
          <w:lang w:val="lv-LV"/>
        </w:rPr>
        <w:t xml:space="preserve">ā </w:t>
      </w:r>
      <w:r w:rsidR="009836B8" w:rsidRPr="00F851FA">
        <w:rPr>
          <w:rFonts w:asciiTheme="majorBidi" w:hAnsiTheme="majorBidi" w:cstheme="majorBidi"/>
          <w:szCs w:val="24"/>
          <w:lang w:val="lv-LV"/>
        </w:rPr>
        <w:t>kārtīb</w:t>
      </w:r>
      <w:r w:rsidR="00C645C5" w:rsidRPr="00F851FA">
        <w:rPr>
          <w:rFonts w:asciiTheme="majorBidi" w:hAnsiTheme="majorBidi" w:cstheme="majorBidi"/>
          <w:szCs w:val="24"/>
          <w:lang w:val="lv-LV"/>
        </w:rPr>
        <w:t>ā</w:t>
      </w:r>
      <w:r w:rsidR="009836B8" w:rsidRPr="00F851FA">
        <w:rPr>
          <w:rFonts w:asciiTheme="majorBidi" w:hAnsiTheme="majorBidi" w:cstheme="majorBidi"/>
          <w:szCs w:val="24"/>
          <w:lang w:val="lv-LV"/>
        </w:rPr>
        <w:t>, tāpat kā lēmumi, k</w:t>
      </w:r>
      <w:r w:rsidR="00C645C5" w:rsidRPr="00F851FA">
        <w:rPr>
          <w:rFonts w:asciiTheme="majorBidi" w:hAnsiTheme="majorBidi" w:cstheme="majorBidi"/>
          <w:szCs w:val="24"/>
          <w:lang w:val="lv-LV"/>
        </w:rPr>
        <w:t>uri</w:t>
      </w:r>
      <w:r w:rsidR="009836B8" w:rsidRPr="00F851FA">
        <w:rPr>
          <w:rFonts w:asciiTheme="majorBidi" w:hAnsiTheme="majorBidi" w:cstheme="majorBidi"/>
          <w:szCs w:val="24"/>
          <w:lang w:val="lv-LV"/>
        </w:rPr>
        <w:t xml:space="preserve"> pieņemti par jautājumiem, kas nav saistīti ar prasības pieteikuma izskatīšanu pēc būtības, jo minētie lēmumi tiek pieņemti salīdzināmos tiesiskajos apstākļos.</w:t>
      </w:r>
    </w:p>
    <w:p w14:paraId="02A6833C" w14:textId="04C5EDF0" w:rsidR="009449BC" w:rsidRPr="00F851FA" w:rsidRDefault="001218B9" w:rsidP="00A667C4">
      <w:pPr>
        <w:tabs>
          <w:tab w:val="left" w:pos="0"/>
        </w:tabs>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shd w:val="clear" w:color="auto" w:fill="FFFFFF"/>
          <w:lang w:val="lv-LV"/>
        </w:rPr>
        <w:t>[</w:t>
      </w:r>
      <w:r w:rsidR="00724764" w:rsidRPr="00F851FA">
        <w:rPr>
          <w:rFonts w:asciiTheme="majorBidi" w:hAnsiTheme="majorBidi" w:cstheme="majorBidi"/>
          <w:szCs w:val="24"/>
          <w:shd w:val="clear" w:color="auto" w:fill="FFFFFF"/>
          <w:lang w:val="lv-LV"/>
        </w:rPr>
        <w:t>8</w:t>
      </w:r>
      <w:r w:rsidR="00393963" w:rsidRPr="00F851FA">
        <w:rPr>
          <w:rFonts w:asciiTheme="majorBidi" w:hAnsiTheme="majorBidi" w:cstheme="majorBidi"/>
          <w:szCs w:val="24"/>
          <w:shd w:val="clear" w:color="auto" w:fill="FFFFFF"/>
          <w:lang w:val="lv-LV"/>
        </w:rPr>
        <w:t>.5</w:t>
      </w:r>
      <w:r w:rsidRPr="00F851FA">
        <w:rPr>
          <w:rFonts w:asciiTheme="majorBidi" w:hAnsiTheme="majorBidi" w:cstheme="majorBidi"/>
          <w:szCs w:val="24"/>
          <w:shd w:val="clear" w:color="auto" w:fill="FFFFFF"/>
          <w:lang w:val="lv-LV"/>
        </w:rPr>
        <w:t>]</w:t>
      </w:r>
      <w:r w:rsidR="008B76D3" w:rsidRPr="00F851FA">
        <w:rPr>
          <w:rFonts w:asciiTheme="majorBidi" w:hAnsiTheme="majorBidi" w:cstheme="majorBidi"/>
          <w:szCs w:val="24"/>
          <w:lang w:val="lv-LV"/>
        </w:rPr>
        <w:t xml:space="preserve"> </w:t>
      </w:r>
      <w:r w:rsidR="009449BC" w:rsidRPr="00F851FA">
        <w:rPr>
          <w:rFonts w:asciiTheme="majorBidi" w:hAnsiTheme="majorBidi" w:cstheme="majorBidi"/>
          <w:szCs w:val="24"/>
          <w:lang w:val="lv-LV"/>
        </w:rPr>
        <w:t xml:space="preserve">Persona, kas prasa atmaksāt valsts nodevu vai tās daļu Zemesgrāmatu </w:t>
      </w:r>
      <w:r w:rsidR="009449BC" w:rsidRPr="00F851FA">
        <w:rPr>
          <w:rFonts w:cs="Times New Roman"/>
          <w:szCs w:val="24"/>
          <w:lang w:val="lv-LV"/>
        </w:rPr>
        <w:t xml:space="preserve">likuma </w:t>
      </w:r>
      <w:r w:rsidR="009449BC" w:rsidRPr="00F851FA">
        <w:rPr>
          <w:rFonts w:cs="Times New Roman"/>
          <w:color w:val="414142"/>
          <w:szCs w:val="24"/>
          <w:shd w:val="clear" w:color="auto" w:fill="FFFFFF"/>
          <w:lang w:val="lv-LV"/>
        </w:rPr>
        <w:t>106.</w:t>
      </w:r>
      <w:r w:rsidR="009449BC" w:rsidRPr="00F851FA">
        <w:rPr>
          <w:rFonts w:cs="Times New Roman"/>
          <w:color w:val="414142"/>
          <w:szCs w:val="24"/>
          <w:shd w:val="clear" w:color="auto" w:fill="FFFFFF"/>
          <w:vertAlign w:val="superscript"/>
          <w:lang w:val="lv-LV"/>
        </w:rPr>
        <w:t>1</w:t>
      </w:r>
      <w:r w:rsidR="009449BC" w:rsidRPr="00F851FA">
        <w:rPr>
          <w:rFonts w:asciiTheme="majorBidi" w:hAnsiTheme="majorBidi" w:cstheme="majorBidi"/>
          <w:szCs w:val="24"/>
          <w:lang w:val="lv-LV"/>
        </w:rPr>
        <w:t xml:space="preserve"> panta kārtībā</w:t>
      </w:r>
      <w:r w:rsidR="00EA0D60" w:rsidRPr="00F851FA">
        <w:rPr>
          <w:rFonts w:asciiTheme="majorBidi" w:hAnsiTheme="majorBidi" w:cstheme="majorBidi"/>
          <w:szCs w:val="24"/>
          <w:lang w:val="lv-LV"/>
        </w:rPr>
        <w:t>,</w:t>
      </w:r>
      <w:r w:rsidR="009449BC" w:rsidRPr="00F851FA">
        <w:rPr>
          <w:rFonts w:asciiTheme="majorBidi" w:hAnsiTheme="majorBidi" w:cstheme="majorBidi"/>
          <w:szCs w:val="24"/>
          <w:lang w:val="lv-LV"/>
        </w:rPr>
        <w:t xml:space="preserve"> atrodas </w:t>
      </w:r>
      <w:r w:rsidR="00BD7FEE" w:rsidRPr="00F851FA">
        <w:rPr>
          <w:rFonts w:asciiTheme="majorBidi" w:hAnsiTheme="majorBidi" w:cstheme="majorBidi"/>
          <w:szCs w:val="24"/>
          <w:lang w:val="lv-LV"/>
        </w:rPr>
        <w:t xml:space="preserve">salīdzināmos </w:t>
      </w:r>
      <w:r w:rsidR="00373A87" w:rsidRPr="00F851FA">
        <w:rPr>
          <w:rFonts w:asciiTheme="majorBidi" w:hAnsiTheme="majorBidi" w:cstheme="majorBidi"/>
          <w:szCs w:val="24"/>
          <w:lang w:val="lv-LV"/>
        </w:rPr>
        <w:t>tiesiskajos apstākļos ar personu</w:t>
      </w:r>
      <w:r w:rsidR="009449BC" w:rsidRPr="00F851FA">
        <w:rPr>
          <w:rFonts w:asciiTheme="majorBidi" w:hAnsiTheme="majorBidi" w:cstheme="majorBidi"/>
          <w:szCs w:val="24"/>
          <w:lang w:val="lv-LV"/>
        </w:rPr>
        <w:t xml:space="preserve">, kas prasa atmaksāt valsts nodevu Civilprocesa likuma </w:t>
      </w:r>
      <w:proofErr w:type="gramStart"/>
      <w:r w:rsidR="009449BC" w:rsidRPr="00F851FA">
        <w:rPr>
          <w:rFonts w:asciiTheme="majorBidi" w:hAnsiTheme="majorBidi" w:cstheme="majorBidi"/>
          <w:szCs w:val="24"/>
          <w:lang w:val="lv-LV"/>
        </w:rPr>
        <w:t>37.panta</w:t>
      </w:r>
      <w:proofErr w:type="gramEnd"/>
      <w:r w:rsidR="009449BC" w:rsidRPr="00F851FA">
        <w:rPr>
          <w:rFonts w:asciiTheme="majorBidi" w:hAnsiTheme="majorBidi" w:cstheme="majorBidi"/>
          <w:szCs w:val="24"/>
          <w:lang w:val="lv-LV"/>
        </w:rPr>
        <w:t xml:space="preserve"> kārtībā, līdz ar to arī šajā jautājumā pieņemtajiem lēmumiem piemērojama vienāda</w:t>
      </w:r>
      <w:r w:rsidR="009836B8" w:rsidRPr="00F851FA">
        <w:rPr>
          <w:rFonts w:asciiTheme="majorBidi" w:hAnsiTheme="majorBidi" w:cstheme="majorBidi"/>
          <w:szCs w:val="24"/>
          <w:lang w:val="lv-LV"/>
        </w:rPr>
        <w:t xml:space="preserve">, proti, vispārīgā Civilprocesa likuma 449.panta pirmajā daļā noteiktā </w:t>
      </w:r>
      <w:r w:rsidR="009449BC" w:rsidRPr="00F851FA">
        <w:rPr>
          <w:rFonts w:asciiTheme="majorBidi" w:hAnsiTheme="majorBidi" w:cstheme="majorBidi"/>
          <w:szCs w:val="24"/>
          <w:lang w:val="lv-LV"/>
        </w:rPr>
        <w:t>kārtība</w:t>
      </w:r>
      <w:r w:rsidR="009836B8" w:rsidRPr="00F851FA">
        <w:rPr>
          <w:rFonts w:asciiTheme="majorBidi" w:hAnsiTheme="majorBidi" w:cstheme="majorBidi"/>
          <w:szCs w:val="24"/>
          <w:lang w:val="lv-LV"/>
        </w:rPr>
        <w:t xml:space="preserve">, </w:t>
      </w:r>
      <w:r w:rsidR="00C645C5" w:rsidRPr="00F851FA">
        <w:rPr>
          <w:rFonts w:asciiTheme="majorBidi" w:hAnsiTheme="majorBidi" w:cstheme="majorBidi"/>
          <w:szCs w:val="24"/>
          <w:lang w:val="lv-LV"/>
        </w:rPr>
        <w:t xml:space="preserve">kurai </w:t>
      </w:r>
      <w:r w:rsidR="009836B8" w:rsidRPr="00F851FA">
        <w:rPr>
          <w:rFonts w:asciiTheme="majorBidi" w:hAnsiTheme="majorBidi" w:cstheme="majorBidi"/>
          <w:szCs w:val="24"/>
          <w:lang w:val="lv-LV"/>
        </w:rPr>
        <w:t>atbilstoši apgabaltiesas lēmums nav pārsūdzams</w:t>
      </w:r>
      <w:r w:rsidR="009449BC" w:rsidRPr="00F851FA">
        <w:rPr>
          <w:rFonts w:asciiTheme="majorBidi" w:hAnsiTheme="majorBidi" w:cstheme="majorBidi"/>
          <w:szCs w:val="24"/>
          <w:lang w:val="lv-LV"/>
        </w:rPr>
        <w:t>.</w:t>
      </w:r>
    </w:p>
    <w:p w14:paraId="1F6CAC99" w14:textId="3845C576" w:rsidR="00BD7FEE" w:rsidRPr="00F851FA" w:rsidRDefault="00BD7FEE"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Secināms, ka Rīgas apgabaltiesas lēmumā nepamatoti norādīts, ka lēmums ir pārsūdzams Augstākajā tiesā. Attiecīgi arī nepamatoti pieņemta SIA „</w:t>
      </w:r>
      <w:proofErr w:type="spellStart"/>
      <w:r w:rsidRPr="00F851FA">
        <w:rPr>
          <w:rFonts w:asciiTheme="majorBidi" w:hAnsiTheme="majorBidi" w:cstheme="majorBidi"/>
          <w:szCs w:val="24"/>
          <w:lang w:val="lv-LV"/>
        </w:rPr>
        <w:t>Banderi</w:t>
      </w:r>
      <w:proofErr w:type="spellEnd"/>
      <w:r w:rsidRPr="00F851FA">
        <w:rPr>
          <w:rFonts w:asciiTheme="majorBidi" w:hAnsiTheme="majorBidi" w:cstheme="majorBidi"/>
          <w:szCs w:val="24"/>
          <w:lang w:val="lv-LV"/>
        </w:rPr>
        <w:t xml:space="preserve"> </w:t>
      </w:r>
      <w:proofErr w:type="spellStart"/>
      <w:r w:rsidRPr="00F851FA">
        <w:rPr>
          <w:rFonts w:asciiTheme="majorBidi" w:hAnsiTheme="majorBidi" w:cstheme="majorBidi"/>
          <w:szCs w:val="24"/>
          <w:lang w:val="lv-LV"/>
        </w:rPr>
        <w:t>Dea</w:t>
      </w:r>
      <w:proofErr w:type="spellEnd"/>
      <w:r w:rsidRPr="00F851FA">
        <w:rPr>
          <w:rFonts w:asciiTheme="majorBidi" w:hAnsiTheme="majorBidi" w:cstheme="majorBidi"/>
          <w:szCs w:val="24"/>
          <w:lang w:val="lv-LV"/>
        </w:rPr>
        <w:t xml:space="preserve">” blakus sūdzību, kas kopā ar lietu nosūtīta Augstākajai tiesai. </w:t>
      </w:r>
    </w:p>
    <w:p w14:paraId="444844AC" w14:textId="6F407944" w:rsidR="00BD7FEE" w:rsidRPr="00F851FA" w:rsidRDefault="000427BD"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Ņemot vērā minēto</w:t>
      </w:r>
      <w:r w:rsidR="00FE0E3A" w:rsidRPr="00F851FA">
        <w:rPr>
          <w:rFonts w:asciiTheme="majorBidi" w:hAnsiTheme="majorBidi" w:cstheme="majorBidi"/>
          <w:szCs w:val="24"/>
          <w:lang w:val="lv-LV"/>
        </w:rPr>
        <w:t>,</w:t>
      </w:r>
      <w:r w:rsidRPr="00F851FA">
        <w:rPr>
          <w:rFonts w:asciiTheme="majorBidi" w:hAnsiTheme="majorBidi" w:cstheme="majorBidi"/>
          <w:szCs w:val="24"/>
          <w:lang w:val="lv-LV"/>
        </w:rPr>
        <w:t xml:space="preserve"> </w:t>
      </w:r>
      <w:r w:rsidR="00BD7FEE" w:rsidRPr="00F851FA">
        <w:rPr>
          <w:rFonts w:asciiTheme="majorBidi" w:hAnsiTheme="majorBidi" w:cstheme="majorBidi"/>
          <w:szCs w:val="24"/>
          <w:lang w:val="lv-LV"/>
        </w:rPr>
        <w:t>blakus sūdzību jāatsaka pieņemt.</w:t>
      </w:r>
    </w:p>
    <w:p w14:paraId="17792037" w14:textId="77777777" w:rsidR="00393963" w:rsidRPr="00F851FA" w:rsidRDefault="00393963" w:rsidP="00A667C4">
      <w:pPr>
        <w:autoSpaceDE w:val="0"/>
        <w:autoSpaceDN w:val="0"/>
        <w:adjustRightInd w:val="0"/>
        <w:spacing w:after="0" w:line="276" w:lineRule="auto"/>
        <w:ind w:firstLine="567"/>
        <w:jc w:val="both"/>
        <w:rPr>
          <w:rFonts w:asciiTheme="majorBidi" w:hAnsiTheme="majorBidi" w:cstheme="majorBidi"/>
          <w:szCs w:val="24"/>
          <w:lang w:val="lv-LV"/>
        </w:rPr>
      </w:pPr>
    </w:p>
    <w:p w14:paraId="17C112B0" w14:textId="5E7C5F3B" w:rsidR="00BD7B50" w:rsidRPr="00F851FA" w:rsidRDefault="00797E6F"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lastRenderedPageBreak/>
        <w:t>[</w:t>
      </w:r>
      <w:r w:rsidR="00724764" w:rsidRPr="00F851FA">
        <w:rPr>
          <w:rFonts w:asciiTheme="majorBidi" w:hAnsiTheme="majorBidi" w:cstheme="majorBidi"/>
          <w:szCs w:val="24"/>
          <w:lang w:val="lv-LV"/>
        </w:rPr>
        <w:t>9</w:t>
      </w:r>
      <w:r w:rsidRPr="00F851FA">
        <w:rPr>
          <w:rFonts w:asciiTheme="majorBidi" w:hAnsiTheme="majorBidi" w:cstheme="majorBidi"/>
          <w:szCs w:val="24"/>
          <w:lang w:val="lv-LV"/>
        </w:rPr>
        <w:t xml:space="preserve">] </w:t>
      </w:r>
      <w:r w:rsidR="00BD7FEE" w:rsidRPr="00F851FA">
        <w:rPr>
          <w:rFonts w:asciiTheme="majorBidi" w:hAnsiTheme="majorBidi" w:cstheme="majorBidi"/>
          <w:szCs w:val="24"/>
          <w:lang w:val="lv-LV"/>
        </w:rPr>
        <w:t xml:space="preserve">Ievērojot, ka blakus sūdzība iesniegta </w:t>
      </w:r>
      <w:r w:rsidR="001652CF" w:rsidRPr="00F851FA">
        <w:rPr>
          <w:rFonts w:asciiTheme="majorBidi" w:hAnsiTheme="majorBidi" w:cstheme="majorBidi"/>
          <w:szCs w:val="24"/>
          <w:lang w:val="lv-LV"/>
        </w:rPr>
        <w:t xml:space="preserve">par lēmumu, kurā kļūdaini norādīts, ka tas ir pārsūdzams, </w:t>
      </w:r>
      <w:r w:rsidR="00BD7FEE" w:rsidRPr="00F851FA">
        <w:rPr>
          <w:rFonts w:asciiTheme="majorBidi" w:hAnsiTheme="majorBidi" w:cstheme="majorBidi"/>
          <w:szCs w:val="24"/>
          <w:lang w:val="lv-LV"/>
        </w:rPr>
        <w:t>iemaksātā drošības nauda atmaksājama</w:t>
      </w:r>
      <w:r w:rsidR="001652CF" w:rsidRPr="00F851FA">
        <w:rPr>
          <w:rFonts w:asciiTheme="majorBidi" w:hAnsiTheme="majorBidi" w:cstheme="majorBidi"/>
          <w:szCs w:val="24"/>
          <w:lang w:val="lv-LV"/>
        </w:rPr>
        <w:t xml:space="preserve"> (Civilprocesa likuma 444.</w:t>
      </w:r>
      <w:proofErr w:type="gramStart"/>
      <w:r w:rsidR="001652CF" w:rsidRPr="00F851FA">
        <w:rPr>
          <w:rFonts w:asciiTheme="majorBidi" w:hAnsiTheme="majorBidi" w:cstheme="majorBidi"/>
          <w:szCs w:val="24"/>
          <w:vertAlign w:val="superscript"/>
          <w:lang w:val="lv-LV"/>
        </w:rPr>
        <w:t>1</w:t>
      </w:r>
      <w:r w:rsidR="001652CF" w:rsidRPr="00F851FA">
        <w:rPr>
          <w:rFonts w:asciiTheme="majorBidi" w:hAnsiTheme="majorBidi" w:cstheme="majorBidi"/>
          <w:szCs w:val="24"/>
          <w:lang w:val="lv-LV"/>
        </w:rPr>
        <w:t>panta</w:t>
      </w:r>
      <w:proofErr w:type="gramEnd"/>
      <w:r w:rsidR="001652CF" w:rsidRPr="00F851FA">
        <w:rPr>
          <w:rFonts w:asciiTheme="majorBidi" w:hAnsiTheme="majorBidi" w:cstheme="majorBidi"/>
          <w:szCs w:val="24"/>
          <w:lang w:val="lv-LV"/>
        </w:rPr>
        <w:t xml:space="preserve"> otrās daļas otrais teikums)</w:t>
      </w:r>
      <w:r w:rsidR="00BD7FEE" w:rsidRPr="00F851FA">
        <w:rPr>
          <w:rFonts w:asciiTheme="majorBidi" w:hAnsiTheme="majorBidi" w:cstheme="majorBidi"/>
          <w:szCs w:val="24"/>
          <w:lang w:val="lv-LV"/>
        </w:rPr>
        <w:t>.</w:t>
      </w:r>
    </w:p>
    <w:p w14:paraId="5CC91F84" w14:textId="77777777" w:rsidR="00BD7FEE" w:rsidRPr="00F851FA" w:rsidRDefault="00BD7FEE" w:rsidP="00A667C4">
      <w:pPr>
        <w:autoSpaceDE w:val="0"/>
        <w:autoSpaceDN w:val="0"/>
        <w:adjustRightInd w:val="0"/>
        <w:spacing w:after="0" w:line="276" w:lineRule="auto"/>
        <w:ind w:firstLine="567"/>
        <w:jc w:val="both"/>
        <w:rPr>
          <w:rFonts w:asciiTheme="majorBidi" w:hAnsiTheme="majorBidi" w:cstheme="majorBidi"/>
          <w:szCs w:val="24"/>
          <w:lang w:val="lv-LV"/>
        </w:rPr>
      </w:pPr>
    </w:p>
    <w:p w14:paraId="19F26741" w14:textId="77777777" w:rsidR="00BD7B50" w:rsidRPr="00F851FA" w:rsidRDefault="00BE7754" w:rsidP="00A667C4">
      <w:pPr>
        <w:autoSpaceDE w:val="0"/>
        <w:autoSpaceDN w:val="0"/>
        <w:adjustRightInd w:val="0"/>
        <w:spacing w:after="0" w:line="276" w:lineRule="auto"/>
        <w:ind w:firstLine="567"/>
        <w:jc w:val="both"/>
        <w:rPr>
          <w:rFonts w:asciiTheme="majorBidi" w:hAnsiTheme="majorBidi" w:cstheme="majorBidi"/>
          <w:szCs w:val="24"/>
          <w:lang w:val="lv-LV"/>
        </w:rPr>
      </w:pPr>
      <w:r w:rsidRPr="00F851FA">
        <w:rPr>
          <w:rFonts w:asciiTheme="majorBidi" w:hAnsiTheme="majorBidi" w:cstheme="majorBidi"/>
          <w:szCs w:val="24"/>
          <w:lang w:val="lv-LV"/>
        </w:rPr>
        <w:t xml:space="preserve">Pamatojoties uz Civilprocesa likuma </w:t>
      </w:r>
      <w:proofErr w:type="gramStart"/>
      <w:r w:rsidRPr="00F851FA">
        <w:rPr>
          <w:rFonts w:asciiTheme="majorBidi" w:hAnsiTheme="majorBidi" w:cstheme="majorBidi"/>
          <w:szCs w:val="24"/>
          <w:lang w:val="lv-LV"/>
        </w:rPr>
        <w:t>464.panta</w:t>
      </w:r>
      <w:proofErr w:type="gramEnd"/>
      <w:r w:rsidRPr="00F851FA">
        <w:rPr>
          <w:rFonts w:asciiTheme="majorBidi" w:hAnsiTheme="majorBidi" w:cstheme="majorBidi"/>
          <w:szCs w:val="24"/>
          <w:lang w:val="lv-LV"/>
        </w:rPr>
        <w:t xml:space="preserve"> sesto daļu, senatoru kolēģija</w:t>
      </w:r>
    </w:p>
    <w:p w14:paraId="26EA9E7B" w14:textId="77777777" w:rsidR="00BD7B50" w:rsidRPr="00F851FA" w:rsidRDefault="00BD7B50" w:rsidP="00A667C4">
      <w:pPr>
        <w:autoSpaceDE w:val="0"/>
        <w:autoSpaceDN w:val="0"/>
        <w:adjustRightInd w:val="0"/>
        <w:spacing w:after="0" w:line="276" w:lineRule="auto"/>
        <w:ind w:firstLine="567"/>
        <w:jc w:val="both"/>
        <w:rPr>
          <w:rFonts w:asciiTheme="majorBidi" w:hAnsiTheme="majorBidi" w:cstheme="majorBidi"/>
          <w:b/>
          <w:bCs/>
          <w:color w:val="000000"/>
          <w:szCs w:val="24"/>
          <w:lang w:val="lv-LV"/>
        </w:rPr>
      </w:pPr>
    </w:p>
    <w:p w14:paraId="758831DA" w14:textId="0D6997A0" w:rsidR="00BD7B50" w:rsidRPr="00F851FA" w:rsidRDefault="00BD7B50" w:rsidP="00A667C4">
      <w:pPr>
        <w:autoSpaceDE w:val="0"/>
        <w:autoSpaceDN w:val="0"/>
        <w:adjustRightInd w:val="0"/>
        <w:spacing w:after="0" w:line="276" w:lineRule="auto"/>
        <w:jc w:val="center"/>
        <w:rPr>
          <w:rFonts w:asciiTheme="majorBidi" w:hAnsiTheme="majorBidi" w:cstheme="majorBidi"/>
          <w:b/>
          <w:bCs/>
          <w:color w:val="000000"/>
          <w:szCs w:val="24"/>
          <w:lang w:val="lv-LV"/>
        </w:rPr>
      </w:pPr>
      <w:r w:rsidRPr="00F851FA">
        <w:rPr>
          <w:rFonts w:asciiTheme="majorBidi" w:hAnsiTheme="majorBidi" w:cstheme="majorBidi"/>
          <w:b/>
          <w:bCs/>
          <w:color w:val="000000"/>
          <w:szCs w:val="24"/>
          <w:lang w:val="lv-LV"/>
        </w:rPr>
        <w:t>n</w:t>
      </w:r>
      <w:r w:rsidR="00BE7754" w:rsidRPr="00F851FA">
        <w:rPr>
          <w:rFonts w:asciiTheme="majorBidi" w:hAnsiTheme="majorBidi" w:cstheme="majorBidi"/>
          <w:b/>
          <w:bCs/>
          <w:color w:val="000000"/>
          <w:szCs w:val="24"/>
          <w:lang w:val="lv-LV"/>
        </w:rPr>
        <w:t>olēma</w:t>
      </w:r>
    </w:p>
    <w:p w14:paraId="400A47DD" w14:textId="77777777" w:rsidR="00BD7B50" w:rsidRPr="00F851FA" w:rsidRDefault="00BD7B50" w:rsidP="00A667C4">
      <w:pPr>
        <w:autoSpaceDE w:val="0"/>
        <w:autoSpaceDN w:val="0"/>
        <w:adjustRightInd w:val="0"/>
        <w:spacing w:after="0" w:line="276" w:lineRule="auto"/>
        <w:ind w:firstLine="567"/>
        <w:jc w:val="both"/>
        <w:rPr>
          <w:rFonts w:asciiTheme="majorBidi" w:hAnsiTheme="majorBidi" w:cstheme="majorBidi"/>
          <w:color w:val="000000"/>
          <w:szCs w:val="24"/>
          <w:lang w:val="lv-LV"/>
        </w:rPr>
      </w:pPr>
    </w:p>
    <w:p w14:paraId="2155E352" w14:textId="617D5244" w:rsidR="00BD7B50" w:rsidRPr="00F851FA" w:rsidRDefault="00BE7754" w:rsidP="00A667C4">
      <w:pPr>
        <w:autoSpaceDE w:val="0"/>
        <w:autoSpaceDN w:val="0"/>
        <w:adjustRightInd w:val="0"/>
        <w:spacing w:after="0" w:line="276" w:lineRule="auto"/>
        <w:ind w:firstLine="567"/>
        <w:jc w:val="both"/>
        <w:rPr>
          <w:rFonts w:asciiTheme="majorBidi" w:hAnsiTheme="majorBidi" w:cstheme="majorBidi"/>
          <w:color w:val="000000"/>
          <w:szCs w:val="24"/>
          <w:lang w:val="lv-LV"/>
        </w:rPr>
      </w:pPr>
      <w:r w:rsidRPr="00F851FA">
        <w:rPr>
          <w:rFonts w:asciiTheme="majorBidi" w:hAnsiTheme="majorBidi" w:cstheme="majorBidi"/>
          <w:color w:val="000000"/>
          <w:szCs w:val="24"/>
          <w:lang w:val="lv-LV"/>
        </w:rPr>
        <w:t xml:space="preserve">atteikt pieņemt </w:t>
      </w:r>
      <w:r w:rsidR="00566370" w:rsidRPr="00F851FA">
        <w:rPr>
          <w:rFonts w:asciiTheme="majorBidi" w:hAnsiTheme="majorBidi" w:cstheme="majorBidi"/>
          <w:color w:val="000000"/>
          <w:szCs w:val="24"/>
          <w:lang w:val="lv-LV"/>
        </w:rPr>
        <w:t>SIA „</w:t>
      </w:r>
      <w:proofErr w:type="spellStart"/>
      <w:r w:rsidR="00566370" w:rsidRPr="00F851FA">
        <w:rPr>
          <w:rFonts w:asciiTheme="majorBidi" w:hAnsiTheme="majorBidi" w:cstheme="majorBidi"/>
          <w:color w:val="000000"/>
          <w:szCs w:val="24"/>
          <w:lang w:val="lv-LV"/>
        </w:rPr>
        <w:t>Banderi</w:t>
      </w:r>
      <w:proofErr w:type="spellEnd"/>
      <w:r w:rsidR="00566370" w:rsidRPr="00F851FA">
        <w:rPr>
          <w:rFonts w:asciiTheme="majorBidi" w:hAnsiTheme="majorBidi" w:cstheme="majorBidi"/>
          <w:color w:val="000000"/>
          <w:szCs w:val="24"/>
          <w:lang w:val="lv-LV"/>
        </w:rPr>
        <w:t xml:space="preserve"> </w:t>
      </w:r>
      <w:proofErr w:type="spellStart"/>
      <w:r w:rsidR="00566370" w:rsidRPr="00F851FA">
        <w:rPr>
          <w:rFonts w:asciiTheme="majorBidi" w:hAnsiTheme="majorBidi" w:cstheme="majorBidi"/>
          <w:color w:val="000000"/>
          <w:szCs w:val="24"/>
          <w:lang w:val="lv-LV"/>
        </w:rPr>
        <w:t>Dea</w:t>
      </w:r>
      <w:proofErr w:type="spellEnd"/>
      <w:r w:rsidR="00566370" w:rsidRPr="00F851FA">
        <w:rPr>
          <w:rFonts w:asciiTheme="majorBidi" w:hAnsiTheme="majorBidi" w:cstheme="majorBidi"/>
          <w:color w:val="000000"/>
          <w:szCs w:val="24"/>
          <w:lang w:val="lv-LV"/>
        </w:rPr>
        <w:t>”</w:t>
      </w:r>
      <w:r w:rsidRPr="00F851FA">
        <w:rPr>
          <w:rFonts w:asciiTheme="majorBidi" w:hAnsiTheme="majorBidi" w:cstheme="majorBidi"/>
          <w:color w:val="000000"/>
          <w:szCs w:val="24"/>
          <w:lang w:val="lv-LV"/>
        </w:rPr>
        <w:t xml:space="preserve"> blakus sūdzību par Rīgas apgabaltiesas </w:t>
      </w:r>
      <w:r w:rsidR="00566370" w:rsidRPr="00F851FA">
        <w:rPr>
          <w:rFonts w:asciiTheme="majorBidi" w:hAnsiTheme="majorBidi" w:cstheme="majorBidi"/>
          <w:color w:val="000000"/>
          <w:szCs w:val="24"/>
          <w:lang w:val="lv-LV"/>
        </w:rPr>
        <w:t xml:space="preserve">Civillietu tiesas kolēģijas </w:t>
      </w:r>
      <w:proofErr w:type="gramStart"/>
      <w:r w:rsidRPr="00F851FA">
        <w:rPr>
          <w:rFonts w:asciiTheme="majorBidi" w:hAnsiTheme="majorBidi" w:cstheme="majorBidi"/>
          <w:color w:val="000000"/>
          <w:szCs w:val="24"/>
          <w:lang w:val="lv-LV"/>
        </w:rPr>
        <w:t>20</w:t>
      </w:r>
      <w:r w:rsidR="00566370" w:rsidRPr="00F851FA">
        <w:rPr>
          <w:rFonts w:asciiTheme="majorBidi" w:hAnsiTheme="majorBidi" w:cstheme="majorBidi"/>
          <w:color w:val="000000"/>
          <w:szCs w:val="24"/>
          <w:lang w:val="lv-LV"/>
        </w:rPr>
        <w:t>2</w:t>
      </w:r>
      <w:r w:rsidRPr="00F851FA">
        <w:rPr>
          <w:rFonts w:asciiTheme="majorBidi" w:hAnsiTheme="majorBidi" w:cstheme="majorBidi"/>
          <w:color w:val="000000"/>
          <w:szCs w:val="24"/>
          <w:lang w:val="lv-LV"/>
        </w:rPr>
        <w:t>1.gada</w:t>
      </w:r>
      <w:proofErr w:type="gramEnd"/>
      <w:r w:rsidR="00566370" w:rsidRPr="00F851FA">
        <w:rPr>
          <w:rFonts w:asciiTheme="majorBidi" w:hAnsiTheme="majorBidi" w:cstheme="majorBidi"/>
          <w:color w:val="000000"/>
          <w:szCs w:val="24"/>
          <w:lang w:val="lv-LV"/>
        </w:rPr>
        <w:t xml:space="preserve"> 2</w:t>
      </w:r>
      <w:r w:rsidR="00CF14E0" w:rsidRPr="00F851FA">
        <w:rPr>
          <w:rFonts w:asciiTheme="majorBidi" w:hAnsiTheme="majorBidi" w:cstheme="majorBidi"/>
          <w:color w:val="000000"/>
          <w:szCs w:val="24"/>
          <w:lang w:val="lv-LV"/>
        </w:rPr>
        <w:t xml:space="preserve">.jūnija </w:t>
      </w:r>
      <w:r w:rsidRPr="00F851FA">
        <w:rPr>
          <w:rFonts w:asciiTheme="majorBidi" w:hAnsiTheme="majorBidi" w:cstheme="majorBidi"/>
          <w:color w:val="000000"/>
          <w:szCs w:val="24"/>
          <w:lang w:val="lv-LV"/>
        </w:rPr>
        <w:t xml:space="preserve"> lēmumu.</w:t>
      </w:r>
    </w:p>
    <w:p w14:paraId="17C217CB" w14:textId="55A566A5" w:rsidR="001326C6" w:rsidRPr="00F851FA" w:rsidRDefault="001326C6" w:rsidP="00A667C4">
      <w:pPr>
        <w:autoSpaceDE w:val="0"/>
        <w:autoSpaceDN w:val="0"/>
        <w:adjustRightInd w:val="0"/>
        <w:spacing w:after="0" w:line="276" w:lineRule="auto"/>
        <w:ind w:firstLine="567"/>
        <w:jc w:val="both"/>
        <w:rPr>
          <w:rFonts w:asciiTheme="majorBidi" w:hAnsiTheme="majorBidi" w:cstheme="majorBidi"/>
          <w:color w:val="000000"/>
          <w:szCs w:val="24"/>
          <w:lang w:val="lv-LV"/>
        </w:rPr>
      </w:pPr>
      <w:r w:rsidRPr="00F851FA">
        <w:rPr>
          <w:rFonts w:asciiTheme="majorBidi" w:hAnsiTheme="majorBidi" w:cstheme="majorBidi"/>
          <w:color w:val="000000"/>
          <w:szCs w:val="24"/>
          <w:lang w:val="lv-LV"/>
        </w:rPr>
        <w:t xml:space="preserve">Atmaksāt </w:t>
      </w:r>
      <w:r w:rsidR="00797E6F" w:rsidRPr="00F851FA">
        <w:rPr>
          <w:rFonts w:asciiTheme="majorBidi" w:hAnsiTheme="majorBidi" w:cstheme="majorBidi"/>
          <w:color w:val="000000"/>
          <w:szCs w:val="24"/>
          <w:lang w:val="lv-LV"/>
        </w:rPr>
        <w:t>SIA „</w:t>
      </w:r>
      <w:proofErr w:type="spellStart"/>
      <w:r w:rsidR="00797E6F" w:rsidRPr="00F851FA">
        <w:rPr>
          <w:rFonts w:asciiTheme="majorBidi" w:hAnsiTheme="majorBidi" w:cstheme="majorBidi"/>
          <w:color w:val="000000"/>
          <w:szCs w:val="24"/>
          <w:lang w:val="lv-LV"/>
        </w:rPr>
        <w:t>Banderi</w:t>
      </w:r>
      <w:proofErr w:type="spellEnd"/>
      <w:r w:rsidR="00797E6F" w:rsidRPr="00F851FA">
        <w:rPr>
          <w:rFonts w:asciiTheme="majorBidi" w:hAnsiTheme="majorBidi" w:cstheme="majorBidi"/>
          <w:color w:val="000000"/>
          <w:szCs w:val="24"/>
          <w:lang w:val="lv-LV"/>
        </w:rPr>
        <w:t xml:space="preserve"> </w:t>
      </w:r>
      <w:proofErr w:type="spellStart"/>
      <w:r w:rsidR="00797E6F" w:rsidRPr="00F851FA">
        <w:rPr>
          <w:rFonts w:asciiTheme="majorBidi" w:hAnsiTheme="majorBidi" w:cstheme="majorBidi"/>
          <w:color w:val="000000"/>
          <w:szCs w:val="24"/>
          <w:lang w:val="lv-LV"/>
        </w:rPr>
        <w:t>Dea</w:t>
      </w:r>
      <w:proofErr w:type="spellEnd"/>
      <w:r w:rsidR="00797E6F" w:rsidRPr="00F851FA">
        <w:rPr>
          <w:rFonts w:asciiTheme="majorBidi" w:hAnsiTheme="majorBidi" w:cstheme="majorBidi"/>
          <w:color w:val="000000"/>
          <w:szCs w:val="24"/>
          <w:lang w:val="lv-LV"/>
        </w:rPr>
        <w:t xml:space="preserve">” </w:t>
      </w:r>
      <w:r w:rsidRPr="00F851FA">
        <w:rPr>
          <w:rFonts w:asciiTheme="majorBidi" w:hAnsiTheme="majorBidi" w:cstheme="majorBidi"/>
          <w:color w:val="000000"/>
          <w:szCs w:val="24"/>
          <w:lang w:val="lv-LV"/>
        </w:rPr>
        <w:t>drošības naudu</w:t>
      </w:r>
      <w:r w:rsidR="00797E6F" w:rsidRPr="00F851FA">
        <w:rPr>
          <w:rFonts w:asciiTheme="majorBidi" w:hAnsiTheme="majorBidi" w:cstheme="majorBidi"/>
          <w:color w:val="000000"/>
          <w:szCs w:val="24"/>
          <w:lang w:val="lv-LV"/>
        </w:rPr>
        <w:t xml:space="preserve"> 70 EUR</w:t>
      </w:r>
      <w:r w:rsidR="00BF49D4" w:rsidRPr="00F851FA">
        <w:rPr>
          <w:lang w:val="lv-LV"/>
        </w:rPr>
        <w:t xml:space="preserve"> (septiņdesmit </w:t>
      </w:r>
      <w:proofErr w:type="spellStart"/>
      <w:r w:rsidR="00BF49D4" w:rsidRPr="00F851FA">
        <w:rPr>
          <w:i/>
          <w:iCs/>
          <w:lang w:val="lv-LV"/>
        </w:rPr>
        <w:t>euro</w:t>
      </w:r>
      <w:proofErr w:type="spellEnd"/>
      <w:r w:rsidR="00BF49D4" w:rsidRPr="00F851FA">
        <w:rPr>
          <w:lang w:val="lv-LV"/>
        </w:rPr>
        <w:t>).</w:t>
      </w:r>
    </w:p>
    <w:p w14:paraId="78370D81" w14:textId="49F02C72" w:rsidR="00BE5005" w:rsidRDefault="00BE7754" w:rsidP="00775AC9">
      <w:pPr>
        <w:autoSpaceDE w:val="0"/>
        <w:autoSpaceDN w:val="0"/>
        <w:adjustRightInd w:val="0"/>
        <w:spacing w:after="0" w:line="276" w:lineRule="auto"/>
        <w:ind w:firstLine="567"/>
        <w:jc w:val="both"/>
        <w:rPr>
          <w:rFonts w:asciiTheme="majorBidi" w:hAnsiTheme="majorBidi" w:cstheme="majorBidi"/>
          <w:color w:val="000000"/>
          <w:szCs w:val="24"/>
          <w:lang w:val="lv-LV"/>
        </w:rPr>
      </w:pPr>
      <w:r w:rsidRPr="00F851FA">
        <w:rPr>
          <w:rFonts w:asciiTheme="majorBidi" w:hAnsiTheme="majorBidi" w:cstheme="majorBidi"/>
          <w:color w:val="000000"/>
          <w:szCs w:val="24"/>
          <w:lang w:val="lv-LV"/>
        </w:rPr>
        <w:t>Lēmums nav pārsūdzams.</w:t>
      </w:r>
    </w:p>
    <w:sectPr w:rsidR="00BE5005" w:rsidSect="0054294B">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2B2F" w14:textId="77777777" w:rsidR="0097595C" w:rsidRDefault="0097595C" w:rsidP="00E21818">
      <w:pPr>
        <w:spacing w:after="0" w:line="240" w:lineRule="auto"/>
      </w:pPr>
      <w:r>
        <w:separator/>
      </w:r>
    </w:p>
  </w:endnote>
  <w:endnote w:type="continuationSeparator" w:id="0">
    <w:p w14:paraId="40062DED" w14:textId="77777777" w:rsidR="0097595C" w:rsidRDefault="0097595C" w:rsidP="00E2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1795" w14:textId="77777777" w:rsidR="00E21818" w:rsidRPr="00A42DC1" w:rsidRDefault="00E21818" w:rsidP="00E21818">
    <w:pPr>
      <w:tabs>
        <w:tab w:val="center" w:pos="4320"/>
        <w:tab w:val="right" w:pos="8640"/>
      </w:tabs>
      <w:spacing w:after="0" w:line="240" w:lineRule="auto"/>
      <w:jc w:val="center"/>
    </w:pPr>
    <w:r w:rsidRPr="00A42DC1">
      <w:rPr>
        <w:szCs w:val="24"/>
      </w:rPr>
      <w:fldChar w:fldCharType="begin"/>
    </w:r>
    <w:r w:rsidRPr="00A42DC1">
      <w:rPr>
        <w:szCs w:val="24"/>
      </w:rPr>
      <w:instrText xml:space="preserve"> PAGE </w:instrText>
    </w:r>
    <w:r w:rsidRPr="00A42DC1">
      <w:rPr>
        <w:szCs w:val="24"/>
      </w:rPr>
      <w:fldChar w:fldCharType="separate"/>
    </w:r>
    <w:r w:rsidR="00CF14E0">
      <w:rPr>
        <w:noProof/>
        <w:szCs w:val="24"/>
      </w:rPr>
      <w:t>4</w:t>
    </w:r>
    <w:r w:rsidRPr="00A42DC1">
      <w:rPr>
        <w:szCs w:val="24"/>
      </w:rPr>
      <w:fldChar w:fldCharType="end"/>
    </w:r>
    <w:r w:rsidRPr="00A42DC1">
      <w:rPr>
        <w:szCs w:val="24"/>
      </w:rPr>
      <w:t xml:space="preserve"> no </w:t>
    </w:r>
    <w:r w:rsidRPr="00A42DC1">
      <w:rPr>
        <w:szCs w:val="24"/>
      </w:rPr>
      <w:fldChar w:fldCharType="begin"/>
    </w:r>
    <w:r w:rsidRPr="00A42DC1">
      <w:rPr>
        <w:szCs w:val="24"/>
      </w:rPr>
      <w:instrText xml:space="preserve"> NUMPAGES  </w:instrText>
    </w:r>
    <w:r w:rsidRPr="00A42DC1">
      <w:rPr>
        <w:szCs w:val="24"/>
      </w:rPr>
      <w:fldChar w:fldCharType="separate"/>
    </w:r>
    <w:r w:rsidR="00CF14E0">
      <w:rPr>
        <w:noProof/>
        <w:szCs w:val="24"/>
      </w:rPr>
      <w:t>4</w:t>
    </w:r>
    <w:r w:rsidRPr="00A42DC1">
      <w:rPr>
        <w:szCs w:val="24"/>
      </w:rPr>
      <w:fldChar w:fldCharType="end"/>
    </w:r>
  </w:p>
  <w:p w14:paraId="2C0DB9A5" w14:textId="77777777" w:rsidR="00E21818" w:rsidRDefault="00E21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8481" w14:textId="77777777" w:rsidR="0097595C" w:rsidRDefault="0097595C" w:rsidP="00E21818">
      <w:pPr>
        <w:spacing w:after="0" w:line="240" w:lineRule="auto"/>
      </w:pPr>
      <w:r>
        <w:separator/>
      </w:r>
    </w:p>
  </w:footnote>
  <w:footnote w:type="continuationSeparator" w:id="0">
    <w:p w14:paraId="049D0F57" w14:textId="77777777" w:rsidR="0097595C" w:rsidRDefault="0097595C" w:rsidP="00E21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E2E"/>
    <w:rsid w:val="00030F22"/>
    <w:rsid w:val="000427BD"/>
    <w:rsid w:val="00046B1A"/>
    <w:rsid w:val="00051E2E"/>
    <w:rsid w:val="000660DA"/>
    <w:rsid w:val="00076AB2"/>
    <w:rsid w:val="00087C69"/>
    <w:rsid w:val="001218B9"/>
    <w:rsid w:val="001326C6"/>
    <w:rsid w:val="00144336"/>
    <w:rsid w:val="00150021"/>
    <w:rsid w:val="001510F3"/>
    <w:rsid w:val="001652CF"/>
    <w:rsid w:val="00171554"/>
    <w:rsid w:val="001715F1"/>
    <w:rsid w:val="00172B5E"/>
    <w:rsid w:val="00195AFD"/>
    <w:rsid w:val="001A5F08"/>
    <w:rsid w:val="001B179F"/>
    <w:rsid w:val="001D2320"/>
    <w:rsid w:val="00233544"/>
    <w:rsid w:val="00266026"/>
    <w:rsid w:val="00275B8B"/>
    <w:rsid w:val="002855E0"/>
    <w:rsid w:val="00293344"/>
    <w:rsid w:val="002A7361"/>
    <w:rsid w:val="002B463E"/>
    <w:rsid w:val="002C5162"/>
    <w:rsid w:val="002E7125"/>
    <w:rsid w:val="00304A4E"/>
    <w:rsid w:val="0030646F"/>
    <w:rsid w:val="003250AE"/>
    <w:rsid w:val="003340B7"/>
    <w:rsid w:val="00357672"/>
    <w:rsid w:val="00373A87"/>
    <w:rsid w:val="003917DB"/>
    <w:rsid w:val="00393963"/>
    <w:rsid w:val="00397E86"/>
    <w:rsid w:val="003A7171"/>
    <w:rsid w:val="003C4F1F"/>
    <w:rsid w:val="004161B0"/>
    <w:rsid w:val="00447E1F"/>
    <w:rsid w:val="004952E9"/>
    <w:rsid w:val="004A759A"/>
    <w:rsid w:val="004C188D"/>
    <w:rsid w:val="004C512A"/>
    <w:rsid w:val="004E75B8"/>
    <w:rsid w:val="00521D1E"/>
    <w:rsid w:val="00532A4F"/>
    <w:rsid w:val="0054294B"/>
    <w:rsid w:val="005468B3"/>
    <w:rsid w:val="00566370"/>
    <w:rsid w:val="00583A9B"/>
    <w:rsid w:val="00584A11"/>
    <w:rsid w:val="00586B38"/>
    <w:rsid w:val="005A3FBD"/>
    <w:rsid w:val="005C4767"/>
    <w:rsid w:val="005E7597"/>
    <w:rsid w:val="0065386F"/>
    <w:rsid w:val="00705A7B"/>
    <w:rsid w:val="00724764"/>
    <w:rsid w:val="00725424"/>
    <w:rsid w:val="00737D81"/>
    <w:rsid w:val="00775AC9"/>
    <w:rsid w:val="00797CF4"/>
    <w:rsid w:val="00797E6F"/>
    <w:rsid w:val="007B0C93"/>
    <w:rsid w:val="007D1FA2"/>
    <w:rsid w:val="007E1539"/>
    <w:rsid w:val="0084094D"/>
    <w:rsid w:val="00894F86"/>
    <w:rsid w:val="008B76D3"/>
    <w:rsid w:val="008E2D3D"/>
    <w:rsid w:val="008F3097"/>
    <w:rsid w:val="008F59CA"/>
    <w:rsid w:val="008F601A"/>
    <w:rsid w:val="00906E20"/>
    <w:rsid w:val="009174DD"/>
    <w:rsid w:val="00930893"/>
    <w:rsid w:val="00936F3A"/>
    <w:rsid w:val="009449BC"/>
    <w:rsid w:val="0095026C"/>
    <w:rsid w:val="00966B28"/>
    <w:rsid w:val="0097595C"/>
    <w:rsid w:val="00977D2A"/>
    <w:rsid w:val="009836B8"/>
    <w:rsid w:val="009A7AA9"/>
    <w:rsid w:val="009B5D6F"/>
    <w:rsid w:val="009E1CE7"/>
    <w:rsid w:val="00A4704B"/>
    <w:rsid w:val="00A667C4"/>
    <w:rsid w:val="00A67034"/>
    <w:rsid w:val="00A93A81"/>
    <w:rsid w:val="00AF2426"/>
    <w:rsid w:val="00B20877"/>
    <w:rsid w:val="00B4273C"/>
    <w:rsid w:val="00B54CA5"/>
    <w:rsid w:val="00B57432"/>
    <w:rsid w:val="00B7120E"/>
    <w:rsid w:val="00B8001F"/>
    <w:rsid w:val="00B96A1D"/>
    <w:rsid w:val="00BA17CD"/>
    <w:rsid w:val="00BC705A"/>
    <w:rsid w:val="00BD7B50"/>
    <w:rsid w:val="00BD7FEE"/>
    <w:rsid w:val="00BE5005"/>
    <w:rsid w:val="00BE7754"/>
    <w:rsid w:val="00BF49D4"/>
    <w:rsid w:val="00C35402"/>
    <w:rsid w:val="00C47E3A"/>
    <w:rsid w:val="00C645C5"/>
    <w:rsid w:val="00C74A5A"/>
    <w:rsid w:val="00C759AB"/>
    <w:rsid w:val="00C868D3"/>
    <w:rsid w:val="00CA3A0E"/>
    <w:rsid w:val="00CF14E0"/>
    <w:rsid w:val="00D00C1B"/>
    <w:rsid w:val="00D11F88"/>
    <w:rsid w:val="00D52798"/>
    <w:rsid w:val="00D66BA6"/>
    <w:rsid w:val="00D72B55"/>
    <w:rsid w:val="00D81043"/>
    <w:rsid w:val="00D842D1"/>
    <w:rsid w:val="00DC7758"/>
    <w:rsid w:val="00DD56E5"/>
    <w:rsid w:val="00E21818"/>
    <w:rsid w:val="00E31C87"/>
    <w:rsid w:val="00E348C6"/>
    <w:rsid w:val="00E4164E"/>
    <w:rsid w:val="00EA0D60"/>
    <w:rsid w:val="00EA15E3"/>
    <w:rsid w:val="00EC29B7"/>
    <w:rsid w:val="00ED2C06"/>
    <w:rsid w:val="00EF5554"/>
    <w:rsid w:val="00F106B3"/>
    <w:rsid w:val="00F56A46"/>
    <w:rsid w:val="00F851FA"/>
    <w:rsid w:val="00FA101F"/>
    <w:rsid w:val="00FA615D"/>
    <w:rsid w:val="00FE0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9FD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818"/>
  </w:style>
  <w:style w:type="paragraph" w:styleId="Footer">
    <w:name w:val="footer"/>
    <w:basedOn w:val="Normal"/>
    <w:link w:val="FooterChar"/>
    <w:uiPriority w:val="99"/>
    <w:unhideWhenUsed/>
    <w:rsid w:val="00E21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818"/>
  </w:style>
  <w:style w:type="character" w:styleId="Hyperlink">
    <w:name w:val="Hyperlink"/>
    <w:basedOn w:val="DefaultParagraphFont"/>
    <w:uiPriority w:val="99"/>
    <w:semiHidden/>
    <w:unhideWhenUsed/>
    <w:rsid w:val="00566370"/>
    <w:rPr>
      <w:color w:val="0000FF"/>
      <w:u w:val="single"/>
    </w:rPr>
  </w:style>
  <w:style w:type="character" w:styleId="CommentReference">
    <w:name w:val="annotation reference"/>
    <w:basedOn w:val="DefaultParagraphFont"/>
    <w:uiPriority w:val="99"/>
    <w:semiHidden/>
    <w:unhideWhenUsed/>
    <w:rsid w:val="00C645C5"/>
    <w:rPr>
      <w:sz w:val="16"/>
      <w:szCs w:val="16"/>
    </w:rPr>
  </w:style>
  <w:style w:type="paragraph" w:styleId="CommentText">
    <w:name w:val="annotation text"/>
    <w:basedOn w:val="Normal"/>
    <w:link w:val="CommentTextChar"/>
    <w:uiPriority w:val="99"/>
    <w:semiHidden/>
    <w:unhideWhenUsed/>
    <w:rsid w:val="00C645C5"/>
    <w:pPr>
      <w:spacing w:line="240" w:lineRule="auto"/>
    </w:pPr>
    <w:rPr>
      <w:sz w:val="20"/>
      <w:szCs w:val="20"/>
    </w:rPr>
  </w:style>
  <w:style w:type="character" w:customStyle="1" w:styleId="CommentTextChar">
    <w:name w:val="Comment Text Char"/>
    <w:basedOn w:val="DefaultParagraphFont"/>
    <w:link w:val="CommentText"/>
    <w:uiPriority w:val="99"/>
    <w:semiHidden/>
    <w:rsid w:val="00C645C5"/>
    <w:rPr>
      <w:sz w:val="20"/>
      <w:szCs w:val="20"/>
    </w:rPr>
  </w:style>
  <w:style w:type="paragraph" w:styleId="CommentSubject">
    <w:name w:val="annotation subject"/>
    <w:basedOn w:val="CommentText"/>
    <w:next w:val="CommentText"/>
    <w:link w:val="CommentSubjectChar"/>
    <w:uiPriority w:val="99"/>
    <w:semiHidden/>
    <w:unhideWhenUsed/>
    <w:rsid w:val="00C645C5"/>
    <w:rPr>
      <w:b/>
      <w:bCs/>
    </w:rPr>
  </w:style>
  <w:style w:type="character" w:customStyle="1" w:styleId="CommentSubjectChar">
    <w:name w:val="Comment Subject Char"/>
    <w:basedOn w:val="CommentTextChar"/>
    <w:link w:val="CommentSubject"/>
    <w:uiPriority w:val="99"/>
    <w:semiHidden/>
    <w:rsid w:val="00C645C5"/>
    <w:rPr>
      <w:b/>
      <w:bCs/>
      <w:sz w:val="20"/>
      <w:szCs w:val="20"/>
    </w:rPr>
  </w:style>
  <w:style w:type="paragraph" w:styleId="BalloonText">
    <w:name w:val="Balloon Text"/>
    <w:basedOn w:val="Normal"/>
    <w:link w:val="BalloonTextChar"/>
    <w:uiPriority w:val="99"/>
    <w:semiHidden/>
    <w:unhideWhenUsed/>
    <w:rsid w:val="00CF1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011.SKC101321.6.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9737-E93F-4E4F-9918-F4F8068F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5293</Words>
  <Characters>3018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2021-11-09T14:07:00Z</dcterms:created>
  <dcterms:modified xsi:type="dcterms:W3CDTF">2021-11-11T08:32:00Z</dcterms:modified>
</cp:coreProperties>
</file>