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D9B4A" w14:textId="77777777" w:rsidR="001D04B0" w:rsidRPr="001D04B0" w:rsidRDefault="001D04B0" w:rsidP="001D04B0">
      <w:pPr>
        <w:spacing w:line="276" w:lineRule="auto"/>
        <w:rPr>
          <w:b/>
          <w:bCs/>
          <w:lang w:eastAsia="en-US"/>
        </w:rPr>
      </w:pPr>
      <w:bookmarkStart w:id="0" w:name="_Hlk37843607"/>
      <w:r w:rsidRPr="001D04B0">
        <w:rPr>
          <w:b/>
          <w:bCs/>
        </w:rPr>
        <w:t xml:space="preserve">Nodokļu maksātāja iekļaušana riska personu sarakstā </w:t>
      </w:r>
    </w:p>
    <w:p w14:paraId="008B1791" w14:textId="77777777" w:rsidR="001D04B0" w:rsidRPr="001D04B0" w:rsidRDefault="001D04B0" w:rsidP="001D04B0">
      <w:pPr>
        <w:autoSpaceDE w:val="0"/>
        <w:autoSpaceDN w:val="0"/>
        <w:spacing w:line="276" w:lineRule="auto"/>
        <w:jc w:val="both"/>
      </w:pPr>
      <w:r w:rsidRPr="001D04B0">
        <w:t>Personas iekļaušanai riska personu sarakstā nav pietiekami konstatēt vienīgi to, ka personas darbības laikā konkrētajam uzņēmumam izveidojās nokavētie nodokļu maksājumi, lielāki par 15 000 </w:t>
      </w:r>
      <w:proofErr w:type="spellStart"/>
      <w:r w:rsidRPr="001D04B0">
        <w:rPr>
          <w:i/>
          <w:iCs/>
        </w:rPr>
        <w:t>euro</w:t>
      </w:r>
      <w:proofErr w:type="spellEnd"/>
      <w:r w:rsidRPr="001D04B0">
        <w:t xml:space="preserve">, un uzņēmums tos nav samaksājis valsts budžetā. Tas ir tikai viens no formālajiem kritērijiem likumā. Papildus nokavēto nodokļu maksājumu apmēram ir jāvērtē arī iemesli, kuru dēļ uzņēmumam konkrētās personas vadības laikā izveidojās nesamaksāts nodokļu parāds. Nodokļu nemaksāšanai var būt dažādi iemesli un cēloņi, tāpēc nodokļu nemaksāšana nav automātiski pielīdzināma negodprātīgai vai pat noziedzīgai nodokļu maksātāja rīcībai. </w:t>
      </w:r>
    </w:p>
    <w:p w14:paraId="44EC0992" w14:textId="179CAE93" w:rsidR="00447736" w:rsidRPr="001D04B0" w:rsidRDefault="001D04B0" w:rsidP="001D04B0">
      <w:pPr>
        <w:autoSpaceDE w:val="0"/>
        <w:autoSpaceDN w:val="0"/>
        <w:spacing w:line="276" w:lineRule="auto"/>
        <w:jc w:val="both"/>
      </w:pPr>
      <w:r w:rsidRPr="001D04B0">
        <w:t>Valsts ieņēmumu dienestam ir pienākums vērsties pret negodprātīgiem nodokļu nemaksātājiem, tostarp iekļaujot tos riska personu sarakstā. Taču šāds pienākums dienestam jāizpilda, ja dienests konstatē ne tikai nodokļu nemaksāšanas faktu, bet arī to, ka nodokļu nemaksāšanas pamatā ir personas negodprātīga rīcība.</w:t>
      </w:r>
    </w:p>
    <w:p w14:paraId="2E37F70A" w14:textId="55CE74BC" w:rsidR="00447736" w:rsidRPr="001D04B0" w:rsidRDefault="00447736" w:rsidP="001D04B0">
      <w:pPr>
        <w:pStyle w:val="BodyText2"/>
        <w:spacing w:after="0" w:line="276" w:lineRule="auto"/>
        <w:jc w:val="center"/>
      </w:pPr>
    </w:p>
    <w:p w14:paraId="340CFBAC" w14:textId="654161E7" w:rsidR="00447736" w:rsidRPr="001D04B0" w:rsidRDefault="001D04B0" w:rsidP="001D04B0">
      <w:pPr>
        <w:spacing w:line="276" w:lineRule="auto"/>
        <w:jc w:val="center"/>
        <w:rPr>
          <w:b/>
        </w:rPr>
      </w:pPr>
      <w:r w:rsidRPr="001D04B0">
        <w:rPr>
          <w:b/>
        </w:rPr>
        <w:t>Latvijas Republikas Senāta</w:t>
      </w:r>
    </w:p>
    <w:p w14:paraId="1855D6A1" w14:textId="652FCE8E" w:rsidR="001D04B0" w:rsidRPr="001D04B0" w:rsidRDefault="001D04B0" w:rsidP="001D04B0">
      <w:pPr>
        <w:spacing w:line="276" w:lineRule="auto"/>
        <w:jc w:val="center"/>
        <w:rPr>
          <w:b/>
        </w:rPr>
      </w:pPr>
      <w:r w:rsidRPr="001D04B0">
        <w:rPr>
          <w:b/>
        </w:rPr>
        <w:t>Administratīvo lietu departamenta</w:t>
      </w:r>
    </w:p>
    <w:p w14:paraId="2BB4EF0B" w14:textId="76141A30" w:rsidR="001D04B0" w:rsidRPr="001D04B0" w:rsidRDefault="001D04B0" w:rsidP="001D04B0">
      <w:pPr>
        <w:spacing w:line="276" w:lineRule="auto"/>
        <w:jc w:val="center"/>
        <w:rPr>
          <w:b/>
        </w:rPr>
      </w:pPr>
      <w:proofErr w:type="gramStart"/>
      <w:r w:rsidRPr="001D04B0">
        <w:rPr>
          <w:b/>
        </w:rPr>
        <w:t>2021.gada</w:t>
      </w:r>
      <w:proofErr w:type="gramEnd"/>
      <w:r w:rsidRPr="001D04B0">
        <w:rPr>
          <w:b/>
        </w:rPr>
        <w:t xml:space="preserve"> 1.oktobra</w:t>
      </w:r>
    </w:p>
    <w:p w14:paraId="711FC26F" w14:textId="77777777" w:rsidR="00447736" w:rsidRPr="001D04B0" w:rsidRDefault="00447736" w:rsidP="001D04B0">
      <w:pPr>
        <w:spacing w:line="276" w:lineRule="auto"/>
        <w:jc w:val="center"/>
        <w:rPr>
          <w:b/>
        </w:rPr>
      </w:pPr>
      <w:r w:rsidRPr="001D04B0">
        <w:rPr>
          <w:b/>
        </w:rPr>
        <w:t>RĪCĪBAS SĒDES LĒMUMS</w:t>
      </w:r>
    </w:p>
    <w:p w14:paraId="6C9D6510" w14:textId="77777777" w:rsidR="001D04B0" w:rsidRPr="001D04B0" w:rsidRDefault="001D04B0" w:rsidP="001D04B0">
      <w:pPr>
        <w:spacing w:line="276" w:lineRule="auto"/>
        <w:ind w:firstLine="567"/>
        <w:jc w:val="center"/>
        <w:rPr>
          <w:b/>
          <w:lang w:eastAsia="lv-LV"/>
        </w:rPr>
      </w:pPr>
      <w:r w:rsidRPr="001D04B0">
        <w:rPr>
          <w:b/>
        </w:rPr>
        <w:t>Lieta Nr. A420289719, SKA</w:t>
      </w:r>
      <w:r w:rsidRPr="001D04B0">
        <w:rPr>
          <w:b/>
          <w:lang w:eastAsia="lv-LV"/>
        </w:rPr>
        <w:t>-1086/2021</w:t>
      </w:r>
    </w:p>
    <w:p w14:paraId="399E3B9F" w14:textId="3F6D750A" w:rsidR="001D04B0" w:rsidRPr="001D04B0" w:rsidRDefault="00DC3C80" w:rsidP="001D04B0">
      <w:pPr>
        <w:spacing w:line="276" w:lineRule="auto"/>
        <w:ind w:firstLine="567"/>
        <w:jc w:val="center"/>
      </w:pPr>
      <w:hyperlink r:id="rId7" w:history="1">
        <w:r w:rsidR="001D04B0" w:rsidRPr="001D04B0">
          <w:rPr>
            <w:rStyle w:val="Hyperlink"/>
          </w:rPr>
          <w:t>ECLI:LV:AT:2021:1001.A420289719.16.L</w:t>
        </w:r>
      </w:hyperlink>
      <w:r w:rsidR="001D04B0" w:rsidRPr="001D04B0">
        <w:t xml:space="preserve"> </w:t>
      </w:r>
    </w:p>
    <w:p w14:paraId="5A7C76FF" w14:textId="77777777" w:rsidR="00447736" w:rsidRPr="001D04B0" w:rsidRDefault="00447736" w:rsidP="001D04B0">
      <w:pPr>
        <w:spacing w:line="276" w:lineRule="auto"/>
        <w:jc w:val="both"/>
      </w:pPr>
    </w:p>
    <w:p w14:paraId="5D55DB8A" w14:textId="06998C6D" w:rsidR="002200F9" w:rsidRPr="001D04B0" w:rsidRDefault="00447736" w:rsidP="001D04B0">
      <w:pPr>
        <w:autoSpaceDE w:val="0"/>
        <w:autoSpaceDN w:val="0"/>
        <w:adjustRightInd w:val="0"/>
        <w:spacing w:line="276" w:lineRule="auto"/>
        <w:ind w:firstLine="567"/>
        <w:jc w:val="both"/>
      </w:pPr>
      <w:r w:rsidRPr="001D04B0">
        <w:t>[1] </w:t>
      </w:r>
      <w:r w:rsidR="002200F9" w:rsidRPr="001D04B0">
        <w:t xml:space="preserve">Ar Administratīvās apgabaltiesas </w:t>
      </w:r>
      <w:proofErr w:type="gramStart"/>
      <w:r w:rsidR="002200F9" w:rsidRPr="001D04B0">
        <w:t>2021.gada</w:t>
      </w:r>
      <w:proofErr w:type="gramEnd"/>
      <w:r w:rsidR="002200F9" w:rsidRPr="001D04B0">
        <w:t xml:space="preserve"> 17.maija spriedumu atcelts Valsts ieņēmumu dienesta 2019.gada 24.oktobra lēmums Nr. 31.1-22.11/4755, ar kuru pieteicējs </w:t>
      </w:r>
      <w:r w:rsidR="001D04B0" w:rsidRPr="001D04B0">
        <w:t xml:space="preserve">[pers. A] </w:t>
      </w:r>
      <w:r w:rsidR="002200F9" w:rsidRPr="001D04B0">
        <w:t>(</w:t>
      </w:r>
      <w:r w:rsidR="001D04B0" w:rsidRPr="001D04B0">
        <w:rPr>
          <w:i/>
          <w:iCs/>
        </w:rPr>
        <w:t>[pers. A]</w:t>
      </w:r>
      <w:r w:rsidR="002200F9" w:rsidRPr="001D04B0">
        <w:t>) iekļauts riska personu sarakstā. Apgabaltiesa atzina, ka Valsts ieņēmumu dienests lēmumā nav norādījis apstākļus un pierādījumus, kas objektīvi pamatotu pieteicēja iekļaušanu riska personu sarakstā. Pats par sevi apstāklis, ka personas vadītajam uzņēmumam ir izveidojies nodokļ</w:t>
      </w:r>
      <w:r w:rsidR="00A7061C" w:rsidRPr="001D04B0">
        <w:t>u</w:t>
      </w:r>
      <w:r w:rsidR="002200F9" w:rsidRPr="001D04B0">
        <w:t xml:space="preserve"> parāds, nav pietiekams šīs personas</w:t>
      </w:r>
      <w:r w:rsidR="00A7061C" w:rsidRPr="001D04B0">
        <w:t xml:space="preserve"> atzīšanai par ri</w:t>
      </w:r>
      <w:r w:rsidR="002200F9" w:rsidRPr="001D04B0">
        <w:t>ska personu.</w:t>
      </w:r>
    </w:p>
    <w:p w14:paraId="66C09EF4" w14:textId="77777777" w:rsidR="00293821" w:rsidRPr="001D04B0" w:rsidRDefault="00293821" w:rsidP="001D04B0">
      <w:pPr>
        <w:autoSpaceDE w:val="0"/>
        <w:autoSpaceDN w:val="0"/>
        <w:adjustRightInd w:val="0"/>
        <w:spacing w:line="276" w:lineRule="auto"/>
        <w:ind w:firstLine="567"/>
        <w:jc w:val="both"/>
      </w:pPr>
    </w:p>
    <w:p w14:paraId="462E29C8" w14:textId="16258050" w:rsidR="002200F9" w:rsidRPr="001D04B0" w:rsidRDefault="002200F9" w:rsidP="001D04B0">
      <w:pPr>
        <w:autoSpaceDE w:val="0"/>
        <w:autoSpaceDN w:val="0"/>
        <w:adjustRightInd w:val="0"/>
        <w:spacing w:line="276" w:lineRule="auto"/>
        <w:ind w:firstLine="567"/>
        <w:jc w:val="both"/>
      </w:pPr>
      <w:r w:rsidRPr="001D04B0">
        <w:t>[</w:t>
      </w:r>
      <w:r w:rsidR="002177EC" w:rsidRPr="001D04B0">
        <w:t>2</w:t>
      </w:r>
      <w:r w:rsidRPr="001D04B0">
        <w:t>] Valsts ieņēmumu dienests ir iesniedzis kasācijas sūdzību.</w:t>
      </w:r>
    </w:p>
    <w:p w14:paraId="51947DCB" w14:textId="7A4CE0FA" w:rsidR="002200F9" w:rsidRPr="001D04B0" w:rsidRDefault="002200F9" w:rsidP="001D04B0">
      <w:pPr>
        <w:autoSpaceDE w:val="0"/>
        <w:autoSpaceDN w:val="0"/>
        <w:adjustRightInd w:val="0"/>
        <w:spacing w:line="276" w:lineRule="auto"/>
        <w:ind w:firstLine="567"/>
        <w:jc w:val="both"/>
      </w:pPr>
      <w:r w:rsidRPr="001D04B0">
        <w:t>Novērtējot tajā norādītos argumentus kopsakarā ar pārsūdzētā sprieduma argumentāciju, senatoru kolēģijai turpmāk norādīto apsvērumu dēļ nerodas šaubas par sprieduma tiesiskumu.</w:t>
      </w:r>
    </w:p>
    <w:p w14:paraId="65516187" w14:textId="77777777" w:rsidR="002200F9" w:rsidRPr="001D04B0" w:rsidRDefault="002200F9" w:rsidP="001D04B0">
      <w:pPr>
        <w:autoSpaceDE w:val="0"/>
        <w:autoSpaceDN w:val="0"/>
        <w:adjustRightInd w:val="0"/>
        <w:spacing w:line="276" w:lineRule="auto"/>
        <w:ind w:firstLine="567"/>
        <w:jc w:val="both"/>
      </w:pPr>
    </w:p>
    <w:p w14:paraId="22166FE7" w14:textId="76BBA593" w:rsidR="004C3FE6" w:rsidRPr="001D04B0" w:rsidRDefault="002200F9" w:rsidP="001D04B0">
      <w:pPr>
        <w:autoSpaceDE w:val="0"/>
        <w:autoSpaceDN w:val="0"/>
        <w:adjustRightInd w:val="0"/>
        <w:spacing w:line="276" w:lineRule="auto"/>
        <w:ind w:firstLine="567"/>
        <w:jc w:val="both"/>
      </w:pPr>
      <w:r w:rsidRPr="001D04B0">
        <w:t>[</w:t>
      </w:r>
      <w:r w:rsidR="002177EC" w:rsidRPr="001D04B0">
        <w:t>3</w:t>
      </w:r>
      <w:r w:rsidRPr="001D04B0">
        <w:t>] </w:t>
      </w:r>
      <w:r w:rsidR="002177EC" w:rsidRPr="001D04B0">
        <w:t xml:space="preserve">Valsts ieņēmumu dienests, atsaucoties uz normatīvajiem aktiem un juridisko literatūru, plaši skaidro, ka ikviena uzņēmuma vadītājam kā krietnam un rūpīgam saimniekam ir jāievēro normatīvie akti, jāmaksā nodokļi, rūpīgi jāizsver lēmumu pieņemšana un jārīkojas maksimāli efektīvi, precīzi un tiesiski, prognozējot pieņemtā lēmuma iespējamās sekas. Senatoru kolēģija tam pilnībā pievienojas un atgādina, ka ikvienas personas pienākums ir aprēķināt normatīvajos aktos paredzētos nodokļus, savlaicīgi un pilnā apmērā tos samaksāt budžetā. Tas tiešā tekstā ir paredzēts likuma </w:t>
      </w:r>
      <w:bookmarkStart w:id="1" w:name="_Hlk76366490"/>
      <w:r w:rsidR="00A7061C" w:rsidRPr="001D04B0">
        <w:t>„</w:t>
      </w:r>
      <w:bookmarkEnd w:id="1"/>
      <w:r w:rsidR="002177EC" w:rsidRPr="001D04B0">
        <w:t>Par nodokļiem un nodevām” 15.pantā</w:t>
      </w:r>
      <w:r w:rsidR="004C3FE6" w:rsidRPr="001D04B0">
        <w:t xml:space="preserve">. </w:t>
      </w:r>
      <w:r w:rsidR="002177EC" w:rsidRPr="001D04B0">
        <w:t xml:space="preserve">Tāpat senatoru kolēģija atgādina, ka par nodokļu nemaksāšanu likumdevējs ir paredzējis atbildību. Likumdevēja </w:t>
      </w:r>
      <w:r w:rsidR="0054486F" w:rsidRPr="001D04B0">
        <w:t>noteikti</w:t>
      </w:r>
      <w:r w:rsidR="00796B8E" w:rsidRPr="001D04B0">
        <w:t>e</w:t>
      </w:r>
      <w:r w:rsidR="0054486F" w:rsidRPr="001D04B0">
        <w:t xml:space="preserve"> a</w:t>
      </w:r>
      <w:r w:rsidR="002177EC" w:rsidRPr="001D04B0">
        <w:t>tbildības veidi ir dažādi, u</w:t>
      </w:r>
      <w:r w:rsidR="0054486F" w:rsidRPr="001D04B0">
        <w:t xml:space="preserve">n nodokļu maksāšanas pienākuma nepildīšanas sekas var būt arī personas </w:t>
      </w:r>
      <w:r w:rsidR="004C3FE6" w:rsidRPr="001D04B0">
        <w:t xml:space="preserve">atzīšana par </w:t>
      </w:r>
      <w:r w:rsidR="0054486F" w:rsidRPr="001D04B0">
        <w:t xml:space="preserve">riska personu, </w:t>
      </w:r>
      <w:r w:rsidR="00796B8E" w:rsidRPr="001D04B0">
        <w:t xml:space="preserve">kā to noteic </w:t>
      </w:r>
      <w:r w:rsidR="0054486F" w:rsidRPr="001D04B0">
        <w:t xml:space="preserve">likuma </w:t>
      </w:r>
      <w:r w:rsidR="00A7061C" w:rsidRPr="001D04B0">
        <w:t>„</w:t>
      </w:r>
      <w:r w:rsidR="0054486F" w:rsidRPr="001D04B0">
        <w:t>Par nodokļiem un nodevām” 1.panta 31.punkt</w:t>
      </w:r>
      <w:r w:rsidR="004C3FE6" w:rsidRPr="001D04B0">
        <w:t xml:space="preserve">a </w:t>
      </w:r>
      <w:r w:rsidR="00A7061C" w:rsidRPr="001D04B0">
        <w:t>„</w:t>
      </w:r>
      <w:r w:rsidR="004C3FE6" w:rsidRPr="001D04B0">
        <w:t>e” apakšpunkts.</w:t>
      </w:r>
    </w:p>
    <w:p w14:paraId="7AA7242A" w14:textId="6A27ABB9" w:rsidR="004C3FE6" w:rsidRPr="001D04B0" w:rsidRDefault="004C3FE6" w:rsidP="001D04B0">
      <w:pPr>
        <w:autoSpaceDE w:val="0"/>
        <w:autoSpaceDN w:val="0"/>
        <w:adjustRightInd w:val="0"/>
        <w:spacing w:line="276" w:lineRule="auto"/>
        <w:ind w:firstLine="567"/>
        <w:jc w:val="both"/>
        <w:rPr>
          <w:i/>
          <w:iCs/>
        </w:rPr>
      </w:pPr>
      <w:r w:rsidRPr="001D04B0">
        <w:t>Vienlaikus</w:t>
      </w:r>
      <w:r w:rsidR="00A7061C" w:rsidRPr="001D04B0">
        <w:t xml:space="preserve"> jāņem vērā</w:t>
      </w:r>
      <w:r w:rsidRPr="001D04B0">
        <w:t>,</w:t>
      </w:r>
      <w:r w:rsidR="00A7061C" w:rsidRPr="001D04B0">
        <w:t xml:space="preserve"> ka</w:t>
      </w:r>
      <w:r w:rsidRPr="001D04B0">
        <w:t xml:space="preserve"> likumdevēja mērķis, ieviešot riska personu sarakstu, bija aizsargāt sabiedrības intereses no </w:t>
      </w:r>
      <w:r w:rsidR="00A7061C" w:rsidRPr="001D04B0">
        <w:t xml:space="preserve">personas </w:t>
      </w:r>
      <w:r w:rsidRPr="001D04B0">
        <w:t xml:space="preserve">pretlikumīgas rīcības, </w:t>
      </w:r>
      <w:r w:rsidR="00A7061C" w:rsidRPr="001D04B0">
        <w:t xml:space="preserve">personai izvairoties </w:t>
      </w:r>
      <w:r w:rsidRPr="001D04B0">
        <w:t>no nodokļu nomaksas</w:t>
      </w:r>
      <w:r w:rsidR="00A7061C" w:rsidRPr="001D04B0">
        <w:t xml:space="preserve"> un tādējādi nodarot </w:t>
      </w:r>
      <w:r w:rsidRPr="001D04B0">
        <w:t>zaudējumus valsts interesēm. Arī Senāts</w:t>
      </w:r>
      <w:r w:rsidR="00754731" w:rsidRPr="001D04B0">
        <w:t>,</w:t>
      </w:r>
      <w:r w:rsidRPr="001D04B0">
        <w:t xml:space="preserve"> jau iepriekš </w:t>
      </w:r>
      <w:r w:rsidRPr="001D04B0">
        <w:lastRenderedPageBreak/>
        <w:t>analizējot likumdevēja gribu, norādīja, ka personas iekļaušanas riska personu sarakstā mērķis ir vērsties pret negodīgiem komersantiem. Ja apstākļu kopums liek secināt, ka persona</w:t>
      </w:r>
      <w:r w:rsidR="00A7061C" w:rsidRPr="001D04B0">
        <w:t>s</w:t>
      </w:r>
      <w:r w:rsidRPr="001D04B0">
        <w:t xml:space="preserve"> mērķis ir nevis komercdarbības vei</w:t>
      </w:r>
      <w:r w:rsidR="00822109" w:rsidRPr="001D04B0">
        <w:t>k</w:t>
      </w:r>
      <w:r w:rsidRPr="001D04B0">
        <w:t>šana pēc būtības, bet tādē</w:t>
      </w:r>
      <w:r w:rsidR="00822109" w:rsidRPr="001D04B0">
        <w:t>ļ</w:t>
      </w:r>
      <w:r w:rsidRPr="001D04B0">
        <w:t>, lai no valsts budžeta izkrāptu fina</w:t>
      </w:r>
      <w:r w:rsidR="00822109" w:rsidRPr="001D04B0">
        <w:t>n</w:t>
      </w:r>
      <w:r w:rsidRPr="001D04B0">
        <w:t>šu līdzekļus, legalizēt</w:t>
      </w:r>
      <w:r w:rsidR="00E20BF5" w:rsidRPr="001D04B0">
        <w:t>u</w:t>
      </w:r>
      <w:r w:rsidRPr="001D04B0">
        <w:t xml:space="preserve"> nelegālus ienākumus vai ar citu</w:t>
      </w:r>
      <w:r w:rsidR="006B0E14" w:rsidRPr="001D04B0">
        <w:t>,</w:t>
      </w:r>
      <w:r w:rsidRPr="001D04B0">
        <w:t xml:space="preserve"> šim līdzīgu nolūku, personai tiek atņemtas tiesības pārstāvēt komercsabiedrības. Tādē</w:t>
      </w:r>
      <w:r w:rsidR="00822109" w:rsidRPr="001D04B0">
        <w:t xml:space="preserve">ļ </w:t>
      </w:r>
      <w:r w:rsidRPr="001D04B0">
        <w:t xml:space="preserve">ierobežojums tiek noteikts personām, kuras vispār vai lielākajā mērā nemaz neveic komercdarbību pēc tās ekonomiskās būtības, bet to imitē (piemēram, </w:t>
      </w:r>
      <w:r w:rsidRPr="001D04B0">
        <w:rPr>
          <w:i/>
          <w:iCs/>
        </w:rPr>
        <w:t xml:space="preserve">Senāta </w:t>
      </w:r>
      <w:proofErr w:type="gramStart"/>
      <w:r w:rsidRPr="001D04B0">
        <w:rPr>
          <w:i/>
          <w:iCs/>
        </w:rPr>
        <w:t>2019.gada</w:t>
      </w:r>
      <w:proofErr w:type="gramEnd"/>
      <w:r w:rsidRPr="001D04B0">
        <w:rPr>
          <w:i/>
          <w:iCs/>
        </w:rPr>
        <w:t xml:space="preserve"> 17.aprīļa sprieduma lietā Nr. SKA-229/2019 </w:t>
      </w:r>
      <w:r w:rsidR="001A4AA9" w:rsidRPr="001D04B0">
        <w:rPr>
          <w:i/>
          <w:iCs/>
          <w:color w:val="000000" w:themeColor="text1"/>
        </w:rPr>
        <w:t>(</w:t>
      </w:r>
      <w:hyperlink r:id="rId8" w:history="1">
        <w:r w:rsidR="006B0E14" w:rsidRPr="001D04B0">
          <w:rPr>
            <w:rStyle w:val="Hyperlink"/>
            <w:i/>
            <w:iCs/>
            <w:color w:val="000000" w:themeColor="text1"/>
            <w:u w:val="none"/>
          </w:rPr>
          <w:t>ECLI:LV:AT:2019:0417.A420249915.2.S</w:t>
        </w:r>
      </w:hyperlink>
      <w:r w:rsidR="001A4AA9" w:rsidRPr="001D04B0">
        <w:rPr>
          <w:i/>
          <w:iCs/>
          <w:color w:val="000000" w:themeColor="text1"/>
        </w:rPr>
        <w:t>)</w:t>
      </w:r>
      <w:r w:rsidR="001A4AA9" w:rsidRPr="001D04B0">
        <w:rPr>
          <w:color w:val="000000" w:themeColor="text1"/>
        </w:rPr>
        <w:t xml:space="preserve"> </w:t>
      </w:r>
      <w:r w:rsidRPr="001D04B0">
        <w:rPr>
          <w:i/>
          <w:iCs/>
        </w:rPr>
        <w:t>8.punkts, 2019.gada 30.janvāra sprieduma lietā Nr. SKA-66/2019</w:t>
      </w:r>
      <w:r w:rsidR="001A4AA9" w:rsidRPr="001D04B0">
        <w:rPr>
          <w:i/>
          <w:iCs/>
        </w:rPr>
        <w:t xml:space="preserve"> (</w:t>
      </w:r>
      <w:hyperlink r:id="rId9" w:history="1">
        <w:r w:rsidR="006B0E14" w:rsidRPr="001D04B0">
          <w:rPr>
            <w:rStyle w:val="Hyperlink"/>
            <w:i/>
            <w:iCs/>
            <w:color w:val="000000" w:themeColor="text1"/>
            <w:u w:val="none"/>
          </w:rPr>
          <w:t>ECLI:LV:AT:2019:0130.A420199815.2.S</w:t>
        </w:r>
      </w:hyperlink>
      <w:r w:rsidR="001A4AA9" w:rsidRPr="001D04B0">
        <w:rPr>
          <w:i/>
          <w:iCs/>
          <w:color w:val="000000" w:themeColor="text1"/>
        </w:rPr>
        <w:t>)</w:t>
      </w:r>
      <w:r w:rsidRPr="001D04B0">
        <w:rPr>
          <w:i/>
          <w:iCs/>
          <w:color w:val="000000" w:themeColor="text1"/>
        </w:rPr>
        <w:t xml:space="preserve"> </w:t>
      </w:r>
      <w:r w:rsidRPr="001D04B0">
        <w:rPr>
          <w:i/>
          <w:iCs/>
        </w:rPr>
        <w:t>7.punkts</w:t>
      </w:r>
      <w:r w:rsidRPr="001D04B0">
        <w:t>).</w:t>
      </w:r>
    </w:p>
    <w:p w14:paraId="066F27B2" w14:textId="5D6FC432" w:rsidR="00754731" w:rsidRPr="001D04B0" w:rsidRDefault="00822109" w:rsidP="001D04B0">
      <w:pPr>
        <w:autoSpaceDE w:val="0"/>
        <w:autoSpaceDN w:val="0"/>
        <w:adjustRightInd w:val="0"/>
        <w:spacing w:line="276" w:lineRule="auto"/>
        <w:ind w:firstLine="567"/>
        <w:jc w:val="both"/>
      </w:pPr>
      <w:r w:rsidRPr="001D04B0">
        <w:t>Tas nozīmē, ka personas iekļaušanai riska personu sarakstā nav pietiekami konstatēt vienīgi to, ka personas darbības laikā konkrētajam uzņēmumam izveidojās nokavētie nodokļu maksājumi, lielāki par 15 000 </w:t>
      </w:r>
      <w:proofErr w:type="spellStart"/>
      <w:r w:rsidRPr="001D04B0">
        <w:rPr>
          <w:i/>
          <w:iCs/>
        </w:rPr>
        <w:t>euro</w:t>
      </w:r>
      <w:proofErr w:type="spellEnd"/>
      <w:r w:rsidRPr="001D04B0">
        <w:t>, un uzņēmums tos n</w:t>
      </w:r>
      <w:r w:rsidR="00754731" w:rsidRPr="001D04B0">
        <w:t>av sa</w:t>
      </w:r>
      <w:r w:rsidRPr="001D04B0">
        <w:t>maksāj</w:t>
      </w:r>
      <w:r w:rsidR="00754731" w:rsidRPr="001D04B0">
        <w:t>is</w:t>
      </w:r>
      <w:r w:rsidRPr="001D04B0">
        <w:t xml:space="preserve"> valsts budžetā. Tas ir tikai viens no formālajiem kritērijiem, ko paredz Valsts ieņēmumu dienesta šajā lietā piemērotā tiesību norma – likuma </w:t>
      </w:r>
      <w:r w:rsidR="00A7061C" w:rsidRPr="001D04B0">
        <w:t>„</w:t>
      </w:r>
      <w:r w:rsidRPr="001D04B0">
        <w:t xml:space="preserve">Par nodokļiem un nodevām” </w:t>
      </w:r>
      <w:proofErr w:type="gramStart"/>
      <w:r w:rsidRPr="001D04B0">
        <w:t>1.panta</w:t>
      </w:r>
      <w:proofErr w:type="gramEnd"/>
      <w:r w:rsidRPr="001D04B0">
        <w:t xml:space="preserve"> 31.punkta </w:t>
      </w:r>
      <w:r w:rsidR="00A7061C" w:rsidRPr="001D04B0">
        <w:t>„</w:t>
      </w:r>
      <w:r w:rsidRPr="001D04B0">
        <w:t xml:space="preserve">e” apakšpunkts. Papildus tam ir jāvērtē iemesli, kuru dēļ uzņēmumam konkrētās personas vadības laikā izveidojās </w:t>
      </w:r>
      <w:r w:rsidR="00754731" w:rsidRPr="001D04B0">
        <w:t xml:space="preserve">nesamaksāts </w:t>
      </w:r>
      <w:r w:rsidRPr="001D04B0">
        <w:t xml:space="preserve">nodokļu parāds, jo nodokļu nemaksāšanas fakts viens pats nav pietiekams, lai izdarītu secinājumu par konkrētās personas godprātīgu (vai negodprātīgu) attieksmi pret nodokļu samaksas pienākumu. Nodokļu nemaksāšanai var būt dažādi iemesli un cēloņi, tāpēc likumdevēja mērķim neatbilstoša būtu iestādes un secīgi tiesas rīcība nodokļu nemaksāšanu vienmēr pielīdzināt </w:t>
      </w:r>
      <w:r w:rsidR="00754731" w:rsidRPr="001D04B0">
        <w:t xml:space="preserve">negodprātīgai vai pat noziedzīgai rīcībai. Likumdevējs, pieņemot tiesisko regulējumu par riska personām, skaidri norādīja, ka kritēriji riska personas statusa noteikšanai izvēlēti, ņemot vērā Valsts ieņēmumu dienesta rīcībā esošus statistikas datus par izmantotajiem paņēmieniem nodokļu izkrāpšanai no valsts budžeta. Likumprojekta izstrādes laikā tika konstatēts, ka ir virkne tādu komercsabiedrību, kuru dalībnieki vai amatpersonas nezina par savu reģistrāciju šajos uzņēmumos (vai arī ir darījuši to par samaksu) </w:t>
      </w:r>
      <w:proofErr w:type="gramStart"/>
      <w:r w:rsidR="00754731" w:rsidRPr="001D04B0">
        <w:t>un</w:t>
      </w:r>
      <w:proofErr w:type="gramEnd"/>
      <w:r w:rsidR="00754731" w:rsidRPr="001D04B0">
        <w:t xml:space="preserve"> ka šādas komercsabiedrības tiek izmantotas „naudas atmazgāšanas” un nodokļu izkrāpšanas shēmās, tādējādi nodarot ievērojamus zaudējumus valsts budžetam un aizskarot visas sabiedrības intereses.</w:t>
      </w:r>
    </w:p>
    <w:p w14:paraId="5E28D77E" w14:textId="5506B599" w:rsidR="00754731" w:rsidRPr="001D04B0" w:rsidRDefault="00754731" w:rsidP="001D04B0">
      <w:pPr>
        <w:autoSpaceDE w:val="0"/>
        <w:autoSpaceDN w:val="0"/>
        <w:adjustRightInd w:val="0"/>
        <w:spacing w:line="276" w:lineRule="auto"/>
        <w:ind w:firstLine="567"/>
        <w:jc w:val="both"/>
      </w:pPr>
      <w:r w:rsidRPr="001D04B0">
        <w:t xml:space="preserve">Rezumējot minēto, senatoru kolēģija piekrīt Valsts ieņēmumu dienestam, ka tam ir pienākums vērsties pret negodprātīgiem nodokļu nemaksātājiem, tostarp iekļaujot tos riska personu sarakstā, taču </w:t>
      </w:r>
      <w:r w:rsidR="006C1B0D" w:rsidRPr="001D04B0">
        <w:t xml:space="preserve">senatoru kolēģija nepiekrīt, ka šāds pienākums Valsts ieņēmums dienestam iestājas ikvienā gadījumā, kad ir konstatējami likumdevēja noteiktie formālie kritēriji. Citiem vārdiem sakot, minētais </w:t>
      </w:r>
      <w:r w:rsidRPr="001D04B0">
        <w:t xml:space="preserve">pienākums </w:t>
      </w:r>
      <w:r w:rsidR="006C1B0D" w:rsidRPr="001D04B0">
        <w:t xml:space="preserve">Valsts ieņēmumu </w:t>
      </w:r>
      <w:r w:rsidRPr="001D04B0">
        <w:t xml:space="preserve">dienestam </w:t>
      </w:r>
      <w:r w:rsidR="006C1B0D" w:rsidRPr="001D04B0">
        <w:t>jāizpilda, ja</w:t>
      </w:r>
      <w:r w:rsidRPr="001D04B0">
        <w:t xml:space="preserve"> dienests konstatē ne </w:t>
      </w:r>
      <w:r w:rsidR="006C1B0D" w:rsidRPr="001D04B0">
        <w:t>tikai</w:t>
      </w:r>
      <w:r w:rsidRPr="001D04B0">
        <w:t xml:space="preserve"> nodokļu nemaksāšanas faktu, bet arī </w:t>
      </w:r>
      <w:r w:rsidR="006C1B0D" w:rsidRPr="001D04B0">
        <w:t>to, ka nodokļu nemaksāšanas pamatā ir personas negodprātīga rīcība.</w:t>
      </w:r>
    </w:p>
    <w:p w14:paraId="0E6DFE68" w14:textId="7488035A" w:rsidR="00754731" w:rsidRPr="001D04B0" w:rsidRDefault="00754731" w:rsidP="001D04B0">
      <w:pPr>
        <w:autoSpaceDE w:val="0"/>
        <w:autoSpaceDN w:val="0"/>
        <w:adjustRightInd w:val="0"/>
        <w:spacing w:line="276" w:lineRule="auto"/>
        <w:ind w:firstLine="567"/>
        <w:jc w:val="both"/>
      </w:pPr>
    </w:p>
    <w:p w14:paraId="61C3390C" w14:textId="6FDBC936" w:rsidR="006C1B0D" w:rsidRPr="001D04B0" w:rsidRDefault="006C1B0D" w:rsidP="001D04B0">
      <w:pPr>
        <w:autoSpaceDE w:val="0"/>
        <w:autoSpaceDN w:val="0"/>
        <w:adjustRightInd w:val="0"/>
        <w:spacing w:line="276" w:lineRule="auto"/>
        <w:ind w:firstLine="567"/>
        <w:jc w:val="both"/>
      </w:pPr>
      <w:r w:rsidRPr="001D04B0">
        <w:t>[</w:t>
      </w:r>
      <w:r w:rsidR="00CF38AA" w:rsidRPr="001D04B0">
        <w:t>4</w:t>
      </w:r>
      <w:r w:rsidRPr="001D04B0">
        <w:t xml:space="preserve">] Apgabaltiesa, novērtējot pārsūdzēto Valsts ieņēmumu dienesta lēmumu, konstatēja, ka dienests ir koncentrējies vienīgi uz to, ka uzņēmumam pieteicēja vadības laikā bija izveidojies nodokļu parāds un ka uzņēmums neievēroja nodokļu samaksas termiņus. Vienlaikus apgabaltiesa konstatēja, ka dienests pārsūdzētajā lēmumā nav norādījis apstākļus, kas </w:t>
      </w:r>
      <w:r w:rsidR="000E3906" w:rsidRPr="001D04B0">
        <w:t>ap</w:t>
      </w:r>
      <w:r w:rsidRPr="001D04B0">
        <w:t>liecinātu pieteicēja negodprātīgu rīcību</w:t>
      </w:r>
      <w:r w:rsidR="000E3906" w:rsidRPr="001D04B0">
        <w:t xml:space="preserve">, un no </w:t>
      </w:r>
      <w:r w:rsidRPr="001D04B0">
        <w:t>pārsūdzētā lēmum</w:t>
      </w:r>
      <w:r w:rsidR="000E3906" w:rsidRPr="001D04B0">
        <w:t>a pamatojuma neizriet secinājums, ka nenomaksātie nokavētie nodokļu maksājumi izveidojušies šādas pieteicēja rīcības dēļ. Ap</w:t>
      </w:r>
      <w:r w:rsidRPr="001D04B0">
        <w:t>gabaltiesas spriedumā norādīts, ka uzņēmuma nespēja samaksāt nokavētos nodokļu maksājumus pati par sevi nav pietiekama pieteicēja iekļaušanai riska personu sarakstā.</w:t>
      </w:r>
      <w:r w:rsidR="00F53D2A" w:rsidRPr="001D04B0">
        <w:t xml:space="preserve"> </w:t>
      </w:r>
      <w:r w:rsidR="00F53D2A" w:rsidRPr="001D04B0">
        <w:lastRenderedPageBreak/>
        <w:t>Šajā sakarā apgabaltiesa vērtēja iemeslus, kuru dēļ izveidojās pievienotās vērtības nodokļa parāds, un pieteicēja rīcību, kas vērsta uz nodokļu parāda samaksas jautājuma risināšanu.</w:t>
      </w:r>
    </w:p>
    <w:p w14:paraId="43C27425" w14:textId="56E0BCDF" w:rsidR="006C1B0D" w:rsidRPr="001D04B0" w:rsidRDefault="006C1B0D" w:rsidP="001D04B0">
      <w:pPr>
        <w:autoSpaceDE w:val="0"/>
        <w:autoSpaceDN w:val="0"/>
        <w:adjustRightInd w:val="0"/>
        <w:spacing w:line="276" w:lineRule="auto"/>
        <w:ind w:firstLine="567"/>
        <w:jc w:val="both"/>
      </w:pPr>
      <w:r w:rsidRPr="001D04B0">
        <w:t xml:space="preserve">Senatoru kolēģija atzīst, ka </w:t>
      </w:r>
      <w:r w:rsidR="00B959FE" w:rsidRPr="001D04B0">
        <w:t>apgabaltiesas spriedumā norādītais vērtējums un secinājumi atbilst gan likumdevēja mērķim, pieņ</w:t>
      </w:r>
      <w:r w:rsidR="000E3906" w:rsidRPr="001D04B0">
        <w:t xml:space="preserve">emot </w:t>
      </w:r>
      <w:r w:rsidR="00B959FE" w:rsidRPr="001D04B0">
        <w:t>regulējumu par riska personām, gan judikatūras atziņām.</w:t>
      </w:r>
    </w:p>
    <w:p w14:paraId="7A62AF9A" w14:textId="7DDDDB2F" w:rsidR="006C1B0D" w:rsidRPr="001D04B0" w:rsidRDefault="006C1B0D" w:rsidP="001D04B0">
      <w:pPr>
        <w:autoSpaceDE w:val="0"/>
        <w:autoSpaceDN w:val="0"/>
        <w:adjustRightInd w:val="0"/>
        <w:spacing w:line="276" w:lineRule="auto"/>
        <w:ind w:firstLine="567"/>
        <w:jc w:val="both"/>
      </w:pPr>
    </w:p>
    <w:p w14:paraId="1221CD69" w14:textId="70B019AC" w:rsidR="00FA196D" w:rsidRPr="001D04B0" w:rsidRDefault="00F53D2A" w:rsidP="001D04B0">
      <w:pPr>
        <w:autoSpaceDE w:val="0"/>
        <w:autoSpaceDN w:val="0"/>
        <w:adjustRightInd w:val="0"/>
        <w:spacing w:line="276" w:lineRule="auto"/>
        <w:ind w:firstLine="567"/>
        <w:jc w:val="both"/>
      </w:pPr>
      <w:r w:rsidRPr="001D04B0">
        <w:t>[</w:t>
      </w:r>
      <w:r w:rsidR="00CF38AA" w:rsidRPr="001D04B0">
        <w:t>5</w:t>
      </w:r>
      <w:r w:rsidRPr="001D04B0">
        <w:t>] Valsts ieņēmumu dienests norāda, ka apgabaltiesa, izdarot minēto secinājumu, nav ņēmusi vērā virkni dienesta iesniegto pierādījumu</w:t>
      </w:r>
      <w:r w:rsidR="00FA196D" w:rsidRPr="001D04B0">
        <w:t>.</w:t>
      </w:r>
    </w:p>
    <w:p w14:paraId="480B19DF" w14:textId="6C7C7846" w:rsidR="00FA196D" w:rsidRPr="001D04B0" w:rsidRDefault="00FA196D" w:rsidP="001D04B0">
      <w:pPr>
        <w:autoSpaceDE w:val="0"/>
        <w:autoSpaceDN w:val="0"/>
        <w:adjustRightInd w:val="0"/>
        <w:spacing w:line="276" w:lineRule="auto"/>
        <w:ind w:firstLine="567"/>
        <w:jc w:val="both"/>
      </w:pPr>
      <w:r w:rsidRPr="001D04B0">
        <w:t>Senatoru kolēģija konstatē, ka pierādījumi, uz kuriem dienests atsaucas kasācijas sūdzībā, pirmo reizi iesniegti tikai apgabaltiesā</w:t>
      </w:r>
      <w:r w:rsidR="00293C72" w:rsidRPr="001D04B0">
        <w:t>,</w:t>
      </w:r>
      <w:r w:rsidRPr="001D04B0">
        <w:t xml:space="preserve"> un tajos norādīti arī pārsūdzētajā lēmumā neminēti apstākļi.</w:t>
      </w:r>
    </w:p>
    <w:p w14:paraId="4FFDC53A" w14:textId="2BD725F8" w:rsidR="00CC28D8" w:rsidRPr="001D04B0" w:rsidRDefault="00FA196D" w:rsidP="001D04B0">
      <w:pPr>
        <w:autoSpaceDE w:val="0"/>
        <w:autoSpaceDN w:val="0"/>
        <w:adjustRightInd w:val="0"/>
        <w:spacing w:line="276" w:lineRule="auto"/>
        <w:ind w:firstLine="567"/>
        <w:jc w:val="both"/>
        <w:rPr>
          <w:shd w:val="clear" w:color="auto" w:fill="FFFFFF"/>
        </w:rPr>
      </w:pPr>
      <w:r w:rsidRPr="001D04B0">
        <w:t xml:space="preserve">Saskaņā ar Administratīvā procesa likuma </w:t>
      </w:r>
      <w:proofErr w:type="gramStart"/>
      <w:r w:rsidRPr="001D04B0">
        <w:t>250.panta</w:t>
      </w:r>
      <w:proofErr w:type="gramEnd"/>
      <w:r w:rsidRPr="001D04B0">
        <w:t xml:space="preserve"> otro daļu t</w:t>
      </w:r>
      <w:r w:rsidRPr="001D04B0">
        <w:rPr>
          <w:shd w:val="clear" w:color="auto" w:fill="FFFFFF"/>
        </w:rPr>
        <w:t>iesa, vērtējot administratīvā akta tiesiskumu, spriedumā ņem vērā tikai to pamatojumu, ko iestāde ietvērusi administratīvajā aktā. Minētais ierobežojums neattiecas uz lietām, kurās prasījums ir labvēlīga administratīvā akta izdošana. Tātad,</w:t>
      </w:r>
      <w:r w:rsidR="000E0199" w:rsidRPr="001D04B0">
        <w:rPr>
          <w:shd w:val="clear" w:color="auto" w:fill="FFFFFF"/>
        </w:rPr>
        <w:t xml:space="preserve"> </w:t>
      </w:r>
      <w:r w:rsidRPr="001D04B0">
        <w:rPr>
          <w:shd w:val="clear" w:color="auto" w:fill="FFFFFF"/>
        </w:rPr>
        <w:t>pieņemot lēmumu par personas iekļaušanu riska personu sarakstā, kas ir personai nelabvēlīgs administratīvais akts, Valsts ieņēmumu dienestam</w:t>
      </w:r>
      <w:r w:rsidR="00C55DEC" w:rsidRPr="001D04B0">
        <w:rPr>
          <w:shd w:val="clear" w:color="auto" w:fill="FFFFFF"/>
        </w:rPr>
        <w:t xml:space="preserve"> jāpamato ne tikai</w:t>
      </w:r>
      <w:r w:rsidRPr="001D04B0">
        <w:rPr>
          <w:shd w:val="clear" w:color="auto" w:fill="FFFFFF"/>
        </w:rPr>
        <w:t xml:space="preserve"> </w:t>
      </w:r>
      <w:r w:rsidR="00C55DEC" w:rsidRPr="001D04B0">
        <w:rPr>
          <w:shd w:val="clear" w:color="auto" w:fill="FFFFFF"/>
        </w:rPr>
        <w:t xml:space="preserve">formālo likuma </w:t>
      </w:r>
      <w:r w:rsidR="00850AFC" w:rsidRPr="001D04B0">
        <w:t>„</w:t>
      </w:r>
      <w:r w:rsidR="00C55DEC" w:rsidRPr="001D04B0">
        <w:rPr>
          <w:shd w:val="clear" w:color="auto" w:fill="FFFFFF"/>
        </w:rPr>
        <w:t xml:space="preserve">Par nodokļiem un nodevām” </w:t>
      </w:r>
      <w:proofErr w:type="gramStart"/>
      <w:r w:rsidR="00C55DEC" w:rsidRPr="001D04B0">
        <w:rPr>
          <w:shd w:val="clear" w:color="auto" w:fill="FFFFFF"/>
        </w:rPr>
        <w:t>1.panta</w:t>
      </w:r>
      <w:proofErr w:type="gramEnd"/>
      <w:r w:rsidR="00C55DEC" w:rsidRPr="001D04B0">
        <w:rPr>
          <w:shd w:val="clear" w:color="auto" w:fill="FFFFFF"/>
        </w:rPr>
        <w:t xml:space="preserve"> 31.punkta </w:t>
      </w:r>
      <w:r w:rsidR="00850AFC" w:rsidRPr="001D04B0">
        <w:t>„</w:t>
      </w:r>
      <w:r w:rsidR="00C55DEC" w:rsidRPr="001D04B0">
        <w:rPr>
          <w:shd w:val="clear" w:color="auto" w:fill="FFFFFF"/>
        </w:rPr>
        <w:t>e” apakšpunktā paredzēto kritēriju esība, bet arī t</w:t>
      </w:r>
      <w:r w:rsidR="00D04EF2" w:rsidRPr="001D04B0">
        <w:rPr>
          <w:shd w:val="clear" w:color="auto" w:fill="FFFFFF"/>
        </w:rPr>
        <w:t>as</w:t>
      </w:r>
      <w:r w:rsidR="00C55DEC" w:rsidRPr="001D04B0">
        <w:rPr>
          <w:shd w:val="clear" w:color="auto" w:fill="FFFFFF"/>
        </w:rPr>
        <w:t xml:space="preserve">, ka personas rīcība pēc būtības ir vērsta uz saimnieciskās darbības imitēšanu un izvairīšanos no nodokļu nomaksas. Turklāt </w:t>
      </w:r>
      <w:r w:rsidR="00D04EF2" w:rsidRPr="001D04B0">
        <w:rPr>
          <w:shd w:val="clear" w:color="auto" w:fill="FFFFFF"/>
        </w:rPr>
        <w:t xml:space="preserve">šādas rīcības </w:t>
      </w:r>
      <w:r w:rsidR="00850AFC" w:rsidRPr="001D04B0">
        <w:rPr>
          <w:shd w:val="clear" w:color="auto" w:fill="FFFFFF"/>
        </w:rPr>
        <w:t xml:space="preserve">konstatēšana </w:t>
      </w:r>
      <w:r w:rsidR="00D04EF2" w:rsidRPr="001D04B0">
        <w:rPr>
          <w:shd w:val="clear" w:color="auto" w:fill="FFFFFF"/>
        </w:rPr>
        <w:t xml:space="preserve">nenotiek tikai uz krimināllietā pieņemtā notiesājošā sprieduma pamata. Par to var liecināt arī virkne citu apstākļu, tostarp apstāklis, ka personas rīcības rezultātā tās vadītajiem uzņēmumiem sistemātiski izveidojas nodokļu parādi, kas nav tikai neveiksmīgas uzņēmējdarbības vai nenovērtēto risku sekas. Taču šiem apstākļiem, kas raksturo personas rīcību un atklāj patiesos </w:t>
      </w:r>
      <w:r w:rsidR="00CC28D8" w:rsidRPr="001D04B0">
        <w:rPr>
          <w:shd w:val="clear" w:color="auto" w:fill="FFFFFF"/>
        </w:rPr>
        <w:t>nolūkus</w:t>
      </w:r>
      <w:r w:rsidR="00D04EF2" w:rsidRPr="001D04B0">
        <w:rPr>
          <w:shd w:val="clear" w:color="auto" w:fill="FFFFFF"/>
        </w:rPr>
        <w:t>,</w:t>
      </w:r>
      <w:r w:rsidR="00CC28D8" w:rsidRPr="001D04B0">
        <w:rPr>
          <w:shd w:val="clear" w:color="auto" w:fill="FFFFFF"/>
        </w:rPr>
        <w:t xml:space="preserve"> regulāri</w:t>
      </w:r>
      <w:r w:rsidR="00D04EF2" w:rsidRPr="001D04B0">
        <w:rPr>
          <w:shd w:val="clear" w:color="auto" w:fill="FFFFFF"/>
        </w:rPr>
        <w:t xml:space="preserve"> dibinot un vadot virkni uzņēmumu, kuriem galarezultātā izveidojas nokavētie nodokļu maksājumi</w:t>
      </w:r>
      <w:r w:rsidR="00CC28D8" w:rsidRPr="001D04B0">
        <w:rPr>
          <w:shd w:val="clear" w:color="auto" w:fill="FFFFFF"/>
        </w:rPr>
        <w:t xml:space="preserve">, pēc kā </w:t>
      </w:r>
      <w:r w:rsidR="00D04EF2" w:rsidRPr="001D04B0">
        <w:rPr>
          <w:shd w:val="clear" w:color="auto" w:fill="FFFFFF"/>
        </w:rPr>
        <w:t xml:space="preserve">persona </w:t>
      </w:r>
      <w:r w:rsidR="00850AFC" w:rsidRPr="001D04B0">
        <w:t>„</w:t>
      </w:r>
      <w:r w:rsidR="00D04EF2" w:rsidRPr="001D04B0">
        <w:rPr>
          <w:shd w:val="clear" w:color="auto" w:fill="FFFFFF"/>
        </w:rPr>
        <w:t>pamet”</w:t>
      </w:r>
      <w:r w:rsidR="00CC28D8" w:rsidRPr="001D04B0">
        <w:rPr>
          <w:shd w:val="clear" w:color="auto" w:fill="FFFFFF"/>
        </w:rPr>
        <w:t xml:space="preserve"> šos uzņēmumus</w:t>
      </w:r>
      <w:r w:rsidR="00D04EF2" w:rsidRPr="001D04B0">
        <w:rPr>
          <w:shd w:val="clear" w:color="auto" w:fill="FFFFFF"/>
        </w:rPr>
        <w:t>, jābūt norādītiem un izvērtētiem iestādes pieņemtajā nelabvēlīgajā administratīvajā aktā</w:t>
      </w:r>
      <w:r w:rsidR="00D05AAA" w:rsidRPr="001D04B0">
        <w:rPr>
          <w:shd w:val="clear" w:color="auto" w:fill="FFFFFF"/>
        </w:rPr>
        <w:t>, lai tiesa varētu pārbaudīt administratīvā akta tiesiskumu un pamatotību</w:t>
      </w:r>
      <w:r w:rsidR="00D04EF2" w:rsidRPr="001D04B0">
        <w:rPr>
          <w:shd w:val="clear" w:color="auto" w:fill="FFFFFF"/>
        </w:rPr>
        <w:t>.</w:t>
      </w:r>
      <w:r w:rsidR="00CC28D8" w:rsidRPr="001D04B0">
        <w:rPr>
          <w:shd w:val="clear" w:color="auto" w:fill="FFFFFF"/>
        </w:rPr>
        <w:t xml:space="preserve"> Tomēr, kā </w:t>
      </w:r>
      <w:r w:rsidR="00850AFC" w:rsidRPr="001D04B0">
        <w:rPr>
          <w:shd w:val="clear" w:color="auto" w:fill="FFFFFF"/>
        </w:rPr>
        <w:t xml:space="preserve">jau minēts, atbilstoši apgabaltiesas </w:t>
      </w:r>
      <w:r w:rsidR="00CC28D8" w:rsidRPr="001D04B0">
        <w:rPr>
          <w:shd w:val="clear" w:color="auto" w:fill="FFFFFF"/>
        </w:rPr>
        <w:t>konstatē</w:t>
      </w:r>
      <w:r w:rsidR="00850AFC" w:rsidRPr="001D04B0">
        <w:rPr>
          <w:shd w:val="clear" w:color="auto" w:fill="FFFFFF"/>
        </w:rPr>
        <w:t xml:space="preserve">tajam </w:t>
      </w:r>
      <w:r w:rsidR="00CC28D8" w:rsidRPr="001D04B0">
        <w:rPr>
          <w:shd w:val="clear" w:color="auto" w:fill="FFFFFF"/>
        </w:rPr>
        <w:t xml:space="preserve">izskatāmajā gadījumā Valsts ieņēmumu dienests </w:t>
      </w:r>
      <w:r w:rsidR="00D05AAA" w:rsidRPr="001D04B0">
        <w:rPr>
          <w:shd w:val="clear" w:color="auto" w:fill="FFFFFF"/>
        </w:rPr>
        <w:t xml:space="preserve">pieteicēja negodprātīgu rīcību pamatojošus </w:t>
      </w:r>
      <w:r w:rsidR="00CC28D8" w:rsidRPr="001D04B0">
        <w:rPr>
          <w:shd w:val="clear" w:color="auto" w:fill="FFFFFF"/>
        </w:rPr>
        <w:t>apstākļus administratīvajā aktā nav norādījis, vien koncentrējies uz nodokļu parāda esību un tā samaksas neiespējamību. Iestādei nav liegts tiesvedības laikā iesniegt jaunus, administratīv</w:t>
      </w:r>
      <w:r w:rsidR="00D05AAA" w:rsidRPr="001D04B0">
        <w:rPr>
          <w:shd w:val="clear" w:color="auto" w:fill="FFFFFF"/>
        </w:rPr>
        <w:t>aj</w:t>
      </w:r>
      <w:r w:rsidR="00CC28D8" w:rsidRPr="001D04B0">
        <w:rPr>
          <w:shd w:val="clear" w:color="auto" w:fill="FFFFFF"/>
        </w:rPr>
        <w:t>ā aktā neminētus pierādījumus administratīvā akta pamatojuma apstiprināšanai. Taču izskatāmajā gadījumā, iesniedzot apgabaltiesai virkni pierādījumu, dienests ir nevis apstiprinājis (pierādījis) pārsūdzētā administratīvā akta pamatojumu, bet gan mēģinājis papildināt administratīvā akta pamatojumu, norādot uz pieteicēja negodprātīgo rīcību.</w:t>
      </w:r>
    </w:p>
    <w:p w14:paraId="4E650414" w14:textId="3209B797" w:rsidR="00D05AAA" w:rsidRPr="001D04B0" w:rsidRDefault="00D05AAA" w:rsidP="001D04B0">
      <w:pPr>
        <w:autoSpaceDE w:val="0"/>
        <w:autoSpaceDN w:val="0"/>
        <w:adjustRightInd w:val="0"/>
        <w:spacing w:line="276" w:lineRule="auto"/>
        <w:ind w:firstLine="567"/>
        <w:jc w:val="both"/>
        <w:rPr>
          <w:shd w:val="clear" w:color="auto" w:fill="FFFFFF"/>
        </w:rPr>
      </w:pPr>
      <w:r w:rsidRPr="001D04B0">
        <w:rPr>
          <w:shd w:val="clear" w:color="auto" w:fill="FFFFFF"/>
        </w:rPr>
        <w:t xml:space="preserve">Ievērojot minēto, senatoru kolēģija atzīst, ka apgabaltiesa, nevērtējot virkni Valsts ieņēmumu dienesta iesniegto pierādījumu, bet pārbaudot pārsūdzētā lēmuma pamatojumu, ir rīkojusies atbilstoši Administratīvā procesa likuma </w:t>
      </w:r>
      <w:proofErr w:type="gramStart"/>
      <w:r w:rsidRPr="001D04B0">
        <w:rPr>
          <w:shd w:val="clear" w:color="auto" w:fill="FFFFFF"/>
        </w:rPr>
        <w:t>250.panta</w:t>
      </w:r>
      <w:proofErr w:type="gramEnd"/>
      <w:r w:rsidRPr="001D04B0">
        <w:rPr>
          <w:shd w:val="clear" w:color="auto" w:fill="FFFFFF"/>
        </w:rPr>
        <w:t xml:space="preserve"> otrajai daļai.</w:t>
      </w:r>
      <w:r w:rsidR="00850AFC" w:rsidRPr="001D04B0">
        <w:rPr>
          <w:shd w:val="clear" w:color="auto" w:fill="FFFFFF"/>
        </w:rPr>
        <w:t xml:space="preserve"> Vienlaikus jāpiekrīt dienestam, </w:t>
      </w:r>
      <w:r w:rsidRPr="001D04B0">
        <w:rPr>
          <w:shd w:val="clear" w:color="auto" w:fill="FFFFFF"/>
        </w:rPr>
        <w:t>ka tiesa ir vērtējusi tikai ar pievienotās vērtības nodokļa parādu saistītos, administratīvajā aktā minētos apstākļus, neņemot vērā, ka administratīvajā aktā ir konstatēti arī citu nodokļu parādi. Taču Valsts ieņēmumu dienests nav norādījis, kā šī apstākļa nenovērtēšana ir</w:t>
      </w:r>
      <w:proofErr w:type="gramStart"/>
      <w:r w:rsidRPr="001D04B0">
        <w:rPr>
          <w:shd w:val="clear" w:color="auto" w:fill="FFFFFF"/>
        </w:rPr>
        <w:t xml:space="preserve"> ietekmējusi lietas izskatīšanu</w:t>
      </w:r>
      <w:proofErr w:type="gramEnd"/>
      <w:r w:rsidRPr="001D04B0">
        <w:rPr>
          <w:shd w:val="clear" w:color="auto" w:fill="FFFFFF"/>
        </w:rPr>
        <w:t>, jo īpaši ievērojot to, ka dienests nav norādījis apstākļus, kas apliecinātu, ka citu nodokļu parāda rašanās iemesls ir bijis pieteicēja negodprātīga rīcība</w:t>
      </w:r>
      <w:r w:rsidR="00850AFC" w:rsidRPr="001D04B0">
        <w:rPr>
          <w:shd w:val="clear" w:color="auto" w:fill="FFFFFF"/>
        </w:rPr>
        <w:t xml:space="preserve"> un ka par to tika runāts jau administratīvajā aktā</w:t>
      </w:r>
      <w:r w:rsidRPr="001D04B0">
        <w:rPr>
          <w:shd w:val="clear" w:color="auto" w:fill="FFFFFF"/>
        </w:rPr>
        <w:t xml:space="preserve">. </w:t>
      </w:r>
      <w:r w:rsidR="00850AFC" w:rsidRPr="001D04B0">
        <w:rPr>
          <w:shd w:val="clear" w:color="auto" w:fill="FFFFFF"/>
        </w:rPr>
        <w:t xml:space="preserve">Papildus </w:t>
      </w:r>
      <w:r w:rsidRPr="001D04B0">
        <w:rPr>
          <w:shd w:val="clear" w:color="auto" w:fill="FFFFFF"/>
        </w:rPr>
        <w:t xml:space="preserve">senatoru kolēģija </w:t>
      </w:r>
      <w:r w:rsidR="00850AFC" w:rsidRPr="001D04B0">
        <w:rPr>
          <w:shd w:val="clear" w:color="auto" w:fill="FFFFFF"/>
        </w:rPr>
        <w:t>uzsver</w:t>
      </w:r>
      <w:r w:rsidRPr="001D04B0">
        <w:rPr>
          <w:shd w:val="clear" w:color="auto" w:fill="FFFFFF"/>
        </w:rPr>
        <w:t xml:space="preserve">, ka </w:t>
      </w:r>
      <w:r w:rsidR="00D04EF2" w:rsidRPr="001D04B0">
        <w:rPr>
          <w:shd w:val="clear" w:color="auto" w:fill="FFFFFF"/>
        </w:rPr>
        <w:t xml:space="preserve">apgabaltiesa </w:t>
      </w:r>
      <w:r w:rsidRPr="001D04B0">
        <w:rPr>
          <w:shd w:val="clear" w:color="auto" w:fill="FFFFFF"/>
        </w:rPr>
        <w:t xml:space="preserve">pretēji kasācijas sūdzībā norādītajam </w:t>
      </w:r>
      <w:r w:rsidR="00D04EF2" w:rsidRPr="001D04B0">
        <w:rPr>
          <w:shd w:val="clear" w:color="auto" w:fill="FFFFFF"/>
        </w:rPr>
        <w:t xml:space="preserve">nav atzinusi, ka </w:t>
      </w:r>
      <w:r w:rsidRPr="001D04B0">
        <w:rPr>
          <w:shd w:val="clear" w:color="auto" w:fill="FFFFFF"/>
        </w:rPr>
        <w:t xml:space="preserve">likuma </w:t>
      </w:r>
      <w:r w:rsidR="00850AFC" w:rsidRPr="001D04B0">
        <w:t>„</w:t>
      </w:r>
      <w:r w:rsidRPr="001D04B0">
        <w:rPr>
          <w:shd w:val="clear" w:color="auto" w:fill="FFFFFF"/>
        </w:rPr>
        <w:t xml:space="preserve">Par nodokļiem un nodevām” </w:t>
      </w:r>
      <w:r w:rsidRPr="001D04B0">
        <w:rPr>
          <w:shd w:val="clear" w:color="auto" w:fill="FFFFFF"/>
        </w:rPr>
        <w:lastRenderedPageBreak/>
        <w:t xml:space="preserve">1.panta 31.punkta </w:t>
      </w:r>
      <w:r w:rsidR="00850AFC" w:rsidRPr="001D04B0">
        <w:t>„</w:t>
      </w:r>
      <w:r w:rsidRPr="001D04B0">
        <w:rPr>
          <w:shd w:val="clear" w:color="auto" w:fill="FFFFFF"/>
        </w:rPr>
        <w:t xml:space="preserve">e” apakšpunkta piemērošanai </w:t>
      </w:r>
      <w:r w:rsidR="00D04EF2" w:rsidRPr="001D04B0">
        <w:rPr>
          <w:shd w:val="clear" w:color="auto" w:fill="FFFFFF"/>
        </w:rPr>
        <w:t xml:space="preserve">personas </w:t>
      </w:r>
      <w:r w:rsidRPr="001D04B0">
        <w:rPr>
          <w:shd w:val="clear" w:color="auto" w:fill="FFFFFF"/>
        </w:rPr>
        <w:t xml:space="preserve">negodprātīga </w:t>
      </w:r>
      <w:r w:rsidR="00D04EF2" w:rsidRPr="001D04B0">
        <w:rPr>
          <w:shd w:val="clear" w:color="auto" w:fill="FFFFFF"/>
        </w:rPr>
        <w:t>rīcība</w:t>
      </w:r>
      <w:r w:rsidRPr="001D04B0">
        <w:rPr>
          <w:shd w:val="clear" w:color="auto" w:fill="FFFFFF"/>
        </w:rPr>
        <w:t xml:space="preserve"> ir pierādāma vienīgi ar no</w:t>
      </w:r>
      <w:r w:rsidR="00D04EF2" w:rsidRPr="001D04B0">
        <w:rPr>
          <w:shd w:val="clear" w:color="auto" w:fill="FFFFFF"/>
        </w:rPr>
        <w:t>tiesājoš</w:t>
      </w:r>
      <w:r w:rsidRPr="001D04B0">
        <w:rPr>
          <w:shd w:val="clear" w:color="auto" w:fill="FFFFFF"/>
        </w:rPr>
        <w:t>u</w:t>
      </w:r>
      <w:r w:rsidR="00D04EF2" w:rsidRPr="001D04B0">
        <w:rPr>
          <w:shd w:val="clear" w:color="auto" w:fill="FFFFFF"/>
        </w:rPr>
        <w:t xml:space="preserve"> nolēmum</w:t>
      </w:r>
      <w:r w:rsidR="00850AFC" w:rsidRPr="001D04B0">
        <w:rPr>
          <w:shd w:val="clear" w:color="auto" w:fill="FFFFFF"/>
        </w:rPr>
        <w:t>u</w:t>
      </w:r>
      <w:r w:rsidR="00D04EF2" w:rsidRPr="001D04B0">
        <w:rPr>
          <w:shd w:val="clear" w:color="auto" w:fill="FFFFFF"/>
        </w:rPr>
        <w:t xml:space="preserve"> krimināllietā. Šāda apgalvojuma un secinājuma apgabaltiesas spriedumā nav.</w:t>
      </w:r>
    </w:p>
    <w:p w14:paraId="6F7C5156" w14:textId="77777777" w:rsidR="00914912" w:rsidRPr="001D04B0" w:rsidRDefault="00914912" w:rsidP="001D04B0">
      <w:pPr>
        <w:autoSpaceDE w:val="0"/>
        <w:autoSpaceDN w:val="0"/>
        <w:adjustRightInd w:val="0"/>
        <w:spacing w:line="276" w:lineRule="auto"/>
        <w:ind w:firstLine="567"/>
        <w:jc w:val="both"/>
      </w:pPr>
      <w:bookmarkStart w:id="2" w:name="_Hlk53214602"/>
    </w:p>
    <w:p w14:paraId="1052AF9D" w14:textId="59C18B07" w:rsidR="00517ABF" w:rsidRPr="001D04B0" w:rsidRDefault="00215D9F" w:rsidP="001D04B0">
      <w:pPr>
        <w:autoSpaceDE w:val="0"/>
        <w:autoSpaceDN w:val="0"/>
        <w:adjustRightInd w:val="0"/>
        <w:spacing w:line="276" w:lineRule="auto"/>
        <w:ind w:firstLine="567"/>
        <w:jc w:val="both"/>
      </w:pPr>
      <w:r w:rsidRPr="001D04B0">
        <w:t>[</w:t>
      </w:r>
      <w:r w:rsidR="00517ABF" w:rsidRPr="001D04B0">
        <w:t>6</w:t>
      </w:r>
      <w:r w:rsidRPr="001D04B0">
        <w:t>] Ņemot vērā minēto, kā arī to, ka lietai nav nozīmes judikatūras veidošanā, ir pamats atteikt ierosināt kasācijas tiesvedību</w:t>
      </w:r>
      <w:r w:rsidR="00517ABF" w:rsidRPr="001D04B0">
        <w:t>.</w:t>
      </w:r>
    </w:p>
    <w:p w14:paraId="24650660" w14:textId="1489A549" w:rsidR="00215D9F" w:rsidRPr="001D04B0" w:rsidRDefault="00215D9F" w:rsidP="001D04B0">
      <w:pPr>
        <w:autoSpaceDE w:val="0"/>
        <w:autoSpaceDN w:val="0"/>
        <w:adjustRightInd w:val="0"/>
        <w:spacing w:line="276" w:lineRule="auto"/>
        <w:ind w:firstLine="567"/>
        <w:jc w:val="both"/>
      </w:pPr>
    </w:p>
    <w:bookmarkEnd w:id="2"/>
    <w:p w14:paraId="1ABFD5B1" w14:textId="1917942A" w:rsidR="00447736" w:rsidRPr="001D04B0" w:rsidRDefault="00447736" w:rsidP="001D04B0">
      <w:pPr>
        <w:spacing w:line="276" w:lineRule="auto"/>
        <w:ind w:firstLine="567"/>
        <w:jc w:val="both"/>
        <w:rPr>
          <w:strike/>
        </w:rPr>
      </w:pPr>
      <w:r w:rsidRPr="001D04B0">
        <w:t xml:space="preserve">Pamatojoties uz Administratīvā procesa likuma </w:t>
      </w:r>
      <w:proofErr w:type="gramStart"/>
      <w:r w:rsidRPr="001D04B0">
        <w:t>338.panta</w:t>
      </w:r>
      <w:proofErr w:type="gramEnd"/>
      <w:r w:rsidRPr="001D04B0">
        <w:t xml:space="preserve"> otro</w:t>
      </w:r>
      <w:r w:rsidR="00517ABF" w:rsidRPr="001D04B0">
        <w:t xml:space="preserve"> daļu,</w:t>
      </w:r>
      <w:r w:rsidRPr="001D04B0">
        <w:t xml:space="preserve"> 338.</w:t>
      </w:r>
      <w:r w:rsidRPr="001D04B0">
        <w:rPr>
          <w:vertAlign w:val="superscript"/>
        </w:rPr>
        <w:t>1</w:t>
      </w:r>
      <w:r w:rsidRPr="001D04B0">
        <w:t>panta otrās daļas 2.punktu, senatoru kolēģija</w:t>
      </w:r>
    </w:p>
    <w:p w14:paraId="4C75A245" w14:textId="77777777" w:rsidR="00447736" w:rsidRPr="001D04B0" w:rsidRDefault="00447736" w:rsidP="001D04B0">
      <w:pPr>
        <w:spacing w:line="276" w:lineRule="auto"/>
        <w:ind w:firstLine="567"/>
        <w:jc w:val="both"/>
      </w:pPr>
    </w:p>
    <w:p w14:paraId="57DF0908" w14:textId="77777777" w:rsidR="00447736" w:rsidRPr="001D04B0" w:rsidRDefault="00447736" w:rsidP="001D04B0">
      <w:pPr>
        <w:spacing w:line="276" w:lineRule="auto"/>
        <w:jc w:val="center"/>
        <w:rPr>
          <w:b/>
        </w:rPr>
      </w:pPr>
      <w:r w:rsidRPr="001D04B0">
        <w:rPr>
          <w:b/>
        </w:rPr>
        <w:t>nolēma</w:t>
      </w:r>
    </w:p>
    <w:p w14:paraId="226A5B30" w14:textId="77777777" w:rsidR="00447736" w:rsidRPr="001D04B0" w:rsidRDefault="00447736" w:rsidP="001D04B0">
      <w:pPr>
        <w:spacing w:line="276" w:lineRule="auto"/>
        <w:jc w:val="center"/>
        <w:rPr>
          <w:b/>
        </w:rPr>
      </w:pPr>
    </w:p>
    <w:p w14:paraId="586CC22C" w14:textId="2DADF746" w:rsidR="00517ABF" w:rsidRPr="001D04B0" w:rsidRDefault="00447736" w:rsidP="001D04B0">
      <w:pPr>
        <w:spacing w:line="276" w:lineRule="auto"/>
        <w:ind w:firstLine="567"/>
        <w:jc w:val="both"/>
      </w:pPr>
      <w:r w:rsidRPr="001D04B0">
        <w:t>Atteikt ierosināt kasācijas tiesvedību sakarā ar</w:t>
      </w:r>
      <w:r w:rsidR="00592B1F" w:rsidRPr="001D04B0">
        <w:t xml:space="preserve"> </w:t>
      </w:r>
      <w:r w:rsidR="00D05AAA" w:rsidRPr="001D04B0">
        <w:t xml:space="preserve">Valsts ieņēmumu dienesta </w:t>
      </w:r>
      <w:r w:rsidR="00FA3A17" w:rsidRPr="001D04B0">
        <w:t xml:space="preserve">kasācijas sūdzību par Administratīvās apgabaltiesas </w:t>
      </w:r>
      <w:proofErr w:type="gramStart"/>
      <w:r w:rsidR="00CA6D4D" w:rsidRPr="001D04B0">
        <w:t>202</w:t>
      </w:r>
      <w:r w:rsidR="00215D9F" w:rsidRPr="001D04B0">
        <w:t>1</w:t>
      </w:r>
      <w:r w:rsidR="00CA6D4D" w:rsidRPr="001D04B0">
        <w:t>.gada</w:t>
      </w:r>
      <w:proofErr w:type="gramEnd"/>
      <w:r w:rsidR="00517ABF" w:rsidRPr="001D04B0">
        <w:t xml:space="preserve"> </w:t>
      </w:r>
      <w:r w:rsidR="00A7061C" w:rsidRPr="001D04B0">
        <w:t>1</w:t>
      </w:r>
      <w:r w:rsidR="00517ABF" w:rsidRPr="001D04B0">
        <w:t>7.</w:t>
      </w:r>
      <w:r w:rsidR="00A7061C" w:rsidRPr="001D04B0">
        <w:t xml:space="preserve">maija </w:t>
      </w:r>
      <w:r w:rsidR="00FA3A17" w:rsidRPr="001D04B0">
        <w:t>spriedumu</w:t>
      </w:r>
      <w:r w:rsidR="00517ABF" w:rsidRPr="001D04B0">
        <w:t>.</w:t>
      </w:r>
    </w:p>
    <w:p w14:paraId="644A3E4D" w14:textId="715E7F8A" w:rsidR="00447736" w:rsidRDefault="00447736" w:rsidP="001D04B0">
      <w:pPr>
        <w:spacing w:line="276" w:lineRule="auto"/>
        <w:ind w:firstLine="567"/>
        <w:jc w:val="both"/>
      </w:pPr>
      <w:r w:rsidRPr="001D04B0">
        <w:t>Lēmums nav pārsūdzams</w:t>
      </w:r>
      <w:bookmarkEnd w:id="0"/>
      <w:r w:rsidR="001D04B0" w:rsidRPr="001D04B0">
        <w:t>.</w:t>
      </w:r>
    </w:p>
    <w:p w14:paraId="0BBAD8FB" w14:textId="77777777" w:rsidR="00DC3C80" w:rsidRDefault="00DC3C80" w:rsidP="001D04B0">
      <w:pPr>
        <w:spacing w:line="276" w:lineRule="auto"/>
        <w:ind w:firstLine="567"/>
        <w:jc w:val="both"/>
      </w:pPr>
    </w:p>
    <w:p w14:paraId="1A22C404" w14:textId="77777777" w:rsidR="00DC3C80" w:rsidRDefault="00DC3C80" w:rsidP="001D04B0">
      <w:pPr>
        <w:spacing w:line="276" w:lineRule="auto"/>
        <w:ind w:firstLine="567"/>
        <w:jc w:val="both"/>
      </w:pPr>
    </w:p>
    <w:p w14:paraId="42C69516" w14:textId="77777777" w:rsidR="00DC3C80" w:rsidRDefault="00DC3C80" w:rsidP="001D04B0">
      <w:pPr>
        <w:spacing w:line="276" w:lineRule="auto"/>
        <w:ind w:firstLine="567"/>
        <w:jc w:val="both"/>
      </w:pPr>
      <w:bookmarkStart w:id="3" w:name="_GoBack"/>
      <w:bookmarkEnd w:id="3"/>
    </w:p>
    <w:p w14:paraId="086EC255" w14:textId="77777777" w:rsidR="00DC3C80" w:rsidRPr="008F6FF8" w:rsidRDefault="00DC3C80" w:rsidP="00DC3C80">
      <w:pPr>
        <w:tabs>
          <w:tab w:val="center" w:pos="1276"/>
          <w:tab w:val="center" w:pos="4678"/>
          <w:tab w:val="center" w:pos="8080"/>
        </w:tabs>
        <w:spacing w:line="276" w:lineRule="auto"/>
        <w:jc w:val="both"/>
      </w:pPr>
      <w:r w:rsidRPr="008F6FF8">
        <w:tab/>
        <w:t>Senatore D. Makarova</w:t>
      </w:r>
      <w:r w:rsidRPr="008F6FF8">
        <w:tab/>
        <w:t>Senatore Dz. Amerika</w:t>
      </w:r>
      <w:r w:rsidRPr="008F6FF8">
        <w:tab/>
        <w:t>Senatore V. Kakste</w:t>
      </w:r>
    </w:p>
    <w:p w14:paraId="57523958" w14:textId="77777777" w:rsidR="00DC3C80" w:rsidRPr="001D04B0" w:rsidRDefault="00DC3C80" w:rsidP="001D04B0">
      <w:pPr>
        <w:spacing w:line="276" w:lineRule="auto"/>
        <w:ind w:firstLine="567"/>
        <w:jc w:val="both"/>
      </w:pPr>
    </w:p>
    <w:sectPr w:rsidR="00DC3C80" w:rsidRPr="001D04B0" w:rsidSect="00EE384B">
      <w:footerReference w:type="default" r:id="rId10"/>
      <w:pgSz w:w="11906" w:h="16838" w:code="9"/>
      <w:pgMar w:top="1191" w:right="1191" w:bottom="119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8FE89" w14:textId="77777777" w:rsidR="00A4026F" w:rsidRDefault="00A4026F">
      <w:r>
        <w:separator/>
      </w:r>
    </w:p>
  </w:endnote>
  <w:endnote w:type="continuationSeparator" w:id="0">
    <w:p w14:paraId="6A286653" w14:textId="77777777" w:rsidR="00A4026F" w:rsidRDefault="00A4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D1E84" w14:textId="77777777" w:rsidR="00215D9F" w:rsidRDefault="00215D9F" w:rsidP="00353D1D">
    <w:pPr>
      <w:pStyle w:val="Footer"/>
      <w:tabs>
        <w:tab w:val="clear" w:pos="4153"/>
        <w:tab w:val="clear" w:pos="8306"/>
      </w:tabs>
      <w:jc w:val="center"/>
      <w:rPr>
        <w:rStyle w:val="PageNumber"/>
      </w:rPr>
    </w:pPr>
  </w:p>
  <w:p w14:paraId="3AA6EB38" w14:textId="329D3D1B" w:rsidR="00454626" w:rsidRDefault="00454626" w:rsidP="00353D1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C3C80">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C3C80">
      <w:rPr>
        <w:rStyle w:val="PageNumber"/>
        <w:noProof/>
      </w:rPr>
      <w:t>4</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0574E" w14:textId="77777777" w:rsidR="00A4026F" w:rsidRDefault="00A4026F">
      <w:r>
        <w:separator/>
      </w:r>
    </w:p>
  </w:footnote>
  <w:footnote w:type="continuationSeparator" w:id="0">
    <w:p w14:paraId="23CB9239" w14:textId="77777777" w:rsidR="00A4026F" w:rsidRDefault="00A40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6CD8"/>
    <w:multiLevelType w:val="hybridMultilevel"/>
    <w:tmpl w:val="BA7E13D4"/>
    <w:lvl w:ilvl="0" w:tplc="F3E8C8B6">
      <w:start w:val="1"/>
      <w:numFmt w:val="bullet"/>
      <w:lvlText w:val=""/>
      <w:lvlJc w:val="left"/>
      <w:pPr>
        <w:tabs>
          <w:tab w:val="num" w:pos="720"/>
        </w:tabs>
        <w:ind w:left="720" w:hanging="360"/>
      </w:pPr>
      <w:rPr>
        <w:rFonts w:ascii="Wingdings 3" w:hAnsi="Wingdings 3" w:hint="default"/>
      </w:rPr>
    </w:lvl>
    <w:lvl w:ilvl="1" w:tplc="9F2030B2" w:tentative="1">
      <w:start w:val="1"/>
      <w:numFmt w:val="bullet"/>
      <w:lvlText w:val=""/>
      <w:lvlJc w:val="left"/>
      <w:pPr>
        <w:tabs>
          <w:tab w:val="num" w:pos="1440"/>
        </w:tabs>
        <w:ind w:left="1440" w:hanging="360"/>
      </w:pPr>
      <w:rPr>
        <w:rFonts w:ascii="Wingdings 3" w:hAnsi="Wingdings 3" w:hint="default"/>
      </w:rPr>
    </w:lvl>
    <w:lvl w:ilvl="2" w:tplc="7EEEDF40" w:tentative="1">
      <w:start w:val="1"/>
      <w:numFmt w:val="bullet"/>
      <w:lvlText w:val=""/>
      <w:lvlJc w:val="left"/>
      <w:pPr>
        <w:tabs>
          <w:tab w:val="num" w:pos="2160"/>
        </w:tabs>
        <w:ind w:left="2160" w:hanging="360"/>
      </w:pPr>
      <w:rPr>
        <w:rFonts w:ascii="Wingdings 3" w:hAnsi="Wingdings 3" w:hint="default"/>
      </w:rPr>
    </w:lvl>
    <w:lvl w:ilvl="3" w:tplc="595EE132" w:tentative="1">
      <w:start w:val="1"/>
      <w:numFmt w:val="bullet"/>
      <w:lvlText w:val=""/>
      <w:lvlJc w:val="left"/>
      <w:pPr>
        <w:tabs>
          <w:tab w:val="num" w:pos="2880"/>
        </w:tabs>
        <w:ind w:left="2880" w:hanging="360"/>
      </w:pPr>
      <w:rPr>
        <w:rFonts w:ascii="Wingdings 3" w:hAnsi="Wingdings 3" w:hint="default"/>
      </w:rPr>
    </w:lvl>
    <w:lvl w:ilvl="4" w:tplc="B7BE9DA2" w:tentative="1">
      <w:start w:val="1"/>
      <w:numFmt w:val="bullet"/>
      <w:lvlText w:val=""/>
      <w:lvlJc w:val="left"/>
      <w:pPr>
        <w:tabs>
          <w:tab w:val="num" w:pos="3600"/>
        </w:tabs>
        <w:ind w:left="3600" w:hanging="360"/>
      </w:pPr>
      <w:rPr>
        <w:rFonts w:ascii="Wingdings 3" w:hAnsi="Wingdings 3" w:hint="default"/>
      </w:rPr>
    </w:lvl>
    <w:lvl w:ilvl="5" w:tplc="E0E8B86E" w:tentative="1">
      <w:start w:val="1"/>
      <w:numFmt w:val="bullet"/>
      <w:lvlText w:val=""/>
      <w:lvlJc w:val="left"/>
      <w:pPr>
        <w:tabs>
          <w:tab w:val="num" w:pos="4320"/>
        </w:tabs>
        <w:ind w:left="4320" w:hanging="360"/>
      </w:pPr>
      <w:rPr>
        <w:rFonts w:ascii="Wingdings 3" w:hAnsi="Wingdings 3" w:hint="default"/>
      </w:rPr>
    </w:lvl>
    <w:lvl w:ilvl="6" w:tplc="03A2C1BA" w:tentative="1">
      <w:start w:val="1"/>
      <w:numFmt w:val="bullet"/>
      <w:lvlText w:val=""/>
      <w:lvlJc w:val="left"/>
      <w:pPr>
        <w:tabs>
          <w:tab w:val="num" w:pos="5040"/>
        </w:tabs>
        <w:ind w:left="5040" w:hanging="360"/>
      </w:pPr>
      <w:rPr>
        <w:rFonts w:ascii="Wingdings 3" w:hAnsi="Wingdings 3" w:hint="default"/>
      </w:rPr>
    </w:lvl>
    <w:lvl w:ilvl="7" w:tplc="889687B8" w:tentative="1">
      <w:start w:val="1"/>
      <w:numFmt w:val="bullet"/>
      <w:lvlText w:val=""/>
      <w:lvlJc w:val="left"/>
      <w:pPr>
        <w:tabs>
          <w:tab w:val="num" w:pos="5760"/>
        </w:tabs>
        <w:ind w:left="5760" w:hanging="360"/>
      </w:pPr>
      <w:rPr>
        <w:rFonts w:ascii="Wingdings 3" w:hAnsi="Wingdings 3" w:hint="default"/>
      </w:rPr>
    </w:lvl>
    <w:lvl w:ilvl="8" w:tplc="1B7A5C7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5E257E57"/>
    <w:multiLevelType w:val="hybridMultilevel"/>
    <w:tmpl w:val="6A5831A4"/>
    <w:lvl w:ilvl="0" w:tplc="ECB47030">
      <w:start w:val="1"/>
      <w:numFmt w:val="bullet"/>
      <w:lvlText w:val=""/>
      <w:lvlJc w:val="left"/>
      <w:pPr>
        <w:tabs>
          <w:tab w:val="num" w:pos="720"/>
        </w:tabs>
        <w:ind w:left="720" w:hanging="360"/>
      </w:pPr>
      <w:rPr>
        <w:rFonts w:ascii="Wingdings 3" w:hAnsi="Wingdings 3" w:hint="default"/>
      </w:rPr>
    </w:lvl>
    <w:lvl w:ilvl="1" w:tplc="697E9BEE" w:tentative="1">
      <w:start w:val="1"/>
      <w:numFmt w:val="bullet"/>
      <w:lvlText w:val=""/>
      <w:lvlJc w:val="left"/>
      <w:pPr>
        <w:tabs>
          <w:tab w:val="num" w:pos="1440"/>
        </w:tabs>
        <w:ind w:left="1440" w:hanging="360"/>
      </w:pPr>
      <w:rPr>
        <w:rFonts w:ascii="Wingdings 3" w:hAnsi="Wingdings 3" w:hint="default"/>
      </w:rPr>
    </w:lvl>
    <w:lvl w:ilvl="2" w:tplc="6BAE5E0C" w:tentative="1">
      <w:start w:val="1"/>
      <w:numFmt w:val="bullet"/>
      <w:lvlText w:val=""/>
      <w:lvlJc w:val="left"/>
      <w:pPr>
        <w:tabs>
          <w:tab w:val="num" w:pos="2160"/>
        </w:tabs>
        <w:ind w:left="2160" w:hanging="360"/>
      </w:pPr>
      <w:rPr>
        <w:rFonts w:ascii="Wingdings 3" w:hAnsi="Wingdings 3" w:hint="default"/>
      </w:rPr>
    </w:lvl>
    <w:lvl w:ilvl="3" w:tplc="5808890C" w:tentative="1">
      <w:start w:val="1"/>
      <w:numFmt w:val="bullet"/>
      <w:lvlText w:val=""/>
      <w:lvlJc w:val="left"/>
      <w:pPr>
        <w:tabs>
          <w:tab w:val="num" w:pos="2880"/>
        </w:tabs>
        <w:ind w:left="2880" w:hanging="360"/>
      </w:pPr>
      <w:rPr>
        <w:rFonts w:ascii="Wingdings 3" w:hAnsi="Wingdings 3" w:hint="default"/>
      </w:rPr>
    </w:lvl>
    <w:lvl w:ilvl="4" w:tplc="F78699E2" w:tentative="1">
      <w:start w:val="1"/>
      <w:numFmt w:val="bullet"/>
      <w:lvlText w:val=""/>
      <w:lvlJc w:val="left"/>
      <w:pPr>
        <w:tabs>
          <w:tab w:val="num" w:pos="3600"/>
        </w:tabs>
        <w:ind w:left="3600" w:hanging="360"/>
      </w:pPr>
      <w:rPr>
        <w:rFonts w:ascii="Wingdings 3" w:hAnsi="Wingdings 3" w:hint="default"/>
      </w:rPr>
    </w:lvl>
    <w:lvl w:ilvl="5" w:tplc="05E0CEEE" w:tentative="1">
      <w:start w:val="1"/>
      <w:numFmt w:val="bullet"/>
      <w:lvlText w:val=""/>
      <w:lvlJc w:val="left"/>
      <w:pPr>
        <w:tabs>
          <w:tab w:val="num" w:pos="4320"/>
        </w:tabs>
        <w:ind w:left="4320" w:hanging="360"/>
      </w:pPr>
      <w:rPr>
        <w:rFonts w:ascii="Wingdings 3" w:hAnsi="Wingdings 3" w:hint="default"/>
      </w:rPr>
    </w:lvl>
    <w:lvl w:ilvl="6" w:tplc="33B861FA" w:tentative="1">
      <w:start w:val="1"/>
      <w:numFmt w:val="bullet"/>
      <w:lvlText w:val=""/>
      <w:lvlJc w:val="left"/>
      <w:pPr>
        <w:tabs>
          <w:tab w:val="num" w:pos="5040"/>
        </w:tabs>
        <w:ind w:left="5040" w:hanging="360"/>
      </w:pPr>
      <w:rPr>
        <w:rFonts w:ascii="Wingdings 3" w:hAnsi="Wingdings 3" w:hint="default"/>
      </w:rPr>
    </w:lvl>
    <w:lvl w:ilvl="7" w:tplc="181C6B32" w:tentative="1">
      <w:start w:val="1"/>
      <w:numFmt w:val="bullet"/>
      <w:lvlText w:val=""/>
      <w:lvlJc w:val="left"/>
      <w:pPr>
        <w:tabs>
          <w:tab w:val="num" w:pos="5760"/>
        </w:tabs>
        <w:ind w:left="5760" w:hanging="360"/>
      </w:pPr>
      <w:rPr>
        <w:rFonts w:ascii="Wingdings 3" w:hAnsi="Wingdings 3" w:hint="default"/>
      </w:rPr>
    </w:lvl>
    <w:lvl w:ilvl="8" w:tplc="B72CA9B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621E6250"/>
    <w:multiLevelType w:val="hybridMultilevel"/>
    <w:tmpl w:val="B8182476"/>
    <w:lvl w:ilvl="0" w:tplc="2722A8D6">
      <w:start w:val="1"/>
      <w:numFmt w:val="bullet"/>
      <w:lvlText w:val=""/>
      <w:lvlJc w:val="left"/>
      <w:pPr>
        <w:tabs>
          <w:tab w:val="num" w:pos="720"/>
        </w:tabs>
        <w:ind w:left="720" w:hanging="360"/>
      </w:pPr>
      <w:rPr>
        <w:rFonts w:ascii="Wingdings 3" w:hAnsi="Wingdings 3" w:hint="default"/>
      </w:rPr>
    </w:lvl>
    <w:lvl w:ilvl="1" w:tplc="8A92A304" w:tentative="1">
      <w:start w:val="1"/>
      <w:numFmt w:val="bullet"/>
      <w:lvlText w:val=""/>
      <w:lvlJc w:val="left"/>
      <w:pPr>
        <w:tabs>
          <w:tab w:val="num" w:pos="1440"/>
        </w:tabs>
        <w:ind w:left="1440" w:hanging="360"/>
      </w:pPr>
      <w:rPr>
        <w:rFonts w:ascii="Wingdings 3" w:hAnsi="Wingdings 3" w:hint="default"/>
      </w:rPr>
    </w:lvl>
    <w:lvl w:ilvl="2" w:tplc="43E04846" w:tentative="1">
      <w:start w:val="1"/>
      <w:numFmt w:val="bullet"/>
      <w:lvlText w:val=""/>
      <w:lvlJc w:val="left"/>
      <w:pPr>
        <w:tabs>
          <w:tab w:val="num" w:pos="2160"/>
        </w:tabs>
        <w:ind w:left="2160" w:hanging="360"/>
      </w:pPr>
      <w:rPr>
        <w:rFonts w:ascii="Wingdings 3" w:hAnsi="Wingdings 3" w:hint="default"/>
      </w:rPr>
    </w:lvl>
    <w:lvl w:ilvl="3" w:tplc="2534A25E" w:tentative="1">
      <w:start w:val="1"/>
      <w:numFmt w:val="bullet"/>
      <w:lvlText w:val=""/>
      <w:lvlJc w:val="left"/>
      <w:pPr>
        <w:tabs>
          <w:tab w:val="num" w:pos="2880"/>
        </w:tabs>
        <w:ind w:left="2880" w:hanging="360"/>
      </w:pPr>
      <w:rPr>
        <w:rFonts w:ascii="Wingdings 3" w:hAnsi="Wingdings 3" w:hint="default"/>
      </w:rPr>
    </w:lvl>
    <w:lvl w:ilvl="4" w:tplc="60D895B0" w:tentative="1">
      <w:start w:val="1"/>
      <w:numFmt w:val="bullet"/>
      <w:lvlText w:val=""/>
      <w:lvlJc w:val="left"/>
      <w:pPr>
        <w:tabs>
          <w:tab w:val="num" w:pos="3600"/>
        </w:tabs>
        <w:ind w:left="3600" w:hanging="360"/>
      </w:pPr>
      <w:rPr>
        <w:rFonts w:ascii="Wingdings 3" w:hAnsi="Wingdings 3" w:hint="default"/>
      </w:rPr>
    </w:lvl>
    <w:lvl w:ilvl="5" w:tplc="05E6AC46" w:tentative="1">
      <w:start w:val="1"/>
      <w:numFmt w:val="bullet"/>
      <w:lvlText w:val=""/>
      <w:lvlJc w:val="left"/>
      <w:pPr>
        <w:tabs>
          <w:tab w:val="num" w:pos="4320"/>
        </w:tabs>
        <w:ind w:left="4320" w:hanging="360"/>
      </w:pPr>
      <w:rPr>
        <w:rFonts w:ascii="Wingdings 3" w:hAnsi="Wingdings 3" w:hint="default"/>
      </w:rPr>
    </w:lvl>
    <w:lvl w:ilvl="6" w:tplc="90908178" w:tentative="1">
      <w:start w:val="1"/>
      <w:numFmt w:val="bullet"/>
      <w:lvlText w:val=""/>
      <w:lvlJc w:val="left"/>
      <w:pPr>
        <w:tabs>
          <w:tab w:val="num" w:pos="5040"/>
        </w:tabs>
        <w:ind w:left="5040" w:hanging="360"/>
      </w:pPr>
      <w:rPr>
        <w:rFonts w:ascii="Wingdings 3" w:hAnsi="Wingdings 3" w:hint="default"/>
      </w:rPr>
    </w:lvl>
    <w:lvl w:ilvl="7" w:tplc="66BC8F52" w:tentative="1">
      <w:start w:val="1"/>
      <w:numFmt w:val="bullet"/>
      <w:lvlText w:val=""/>
      <w:lvlJc w:val="left"/>
      <w:pPr>
        <w:tabs>
          <w:tab w:val="num" w:pos="5760"/>
        </w:tabs>
        <w:ind w:left="5760" w:hanging="360"/>
      </w:pPr>
      <w:rPr>
        <w:rFonts w:ascii="Wingdings 3" w:hAnsi="Wingdings 3" w:hint="default"/>
      </w:rPr>
    </w:lvl>
    <w:lvl w:ilvl="8" w:tplc="CD1AF20E"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711C121B"/>
    <w:multiLevelType w:val="hybridMultilevel"/>
    <w:tmpl w:val="944A41D0"/>
    <w:lvl w:ilvl="0" w:tplc="437439A0">
      <w:start w:val="1"/>
      <w:numFmt w:val="bullet"/>
      <w:lvlText w:val=""/>
      <w:lvlJc w:val="left"/>
      <w:pPr>
        <w:tabs>
          <w:tab w:val="num" w:pos="720"/>
        </w:tabs>
        <w:ind w:left="720" w:hanging="360"/>
      </w:pPr>
      <w:rPr>
        <w:rFonts w:ascii="Wingdings 3" w:hAnsi="Wingdings 3" w:hint="default"/>
      </w:rPr>
    </w:lvl>
    <w:lvl w:ilvl="1" w:tplc="35D6C050" w:tentative="1">
      <w:start w:val="1"/>
      <w:numFmt w:val="bullet"/>
      <w:lvlText w:val=""/>
      <w:lvlJc w:val="left"/>
      <w:pPr>
        <w:tabs>
          <w:tab w:val="num" w:pos="1440"/>
        </w:tabs>
        <w:ind w:left="1440" w:hanging="360"/>
      </w:pPr>
      <w:rPr>
        <w:rFonts w:ascii="Wingdings 3" w:hAnsi="Wingdings 3" w:hint="default"/>
      </w:rPr>
    </w:lvl>
    <w:lvl w:ilvl="2" w:tplc="302EB4E2" w:tentative="1">
      <w:start w:val="1"/>
      <w:numFmt w:val="bullet"/>
      <w:lvlText w:val=""/>
      <w:lvlJc w:val="left"/>
      <w:pPr>
        <w:tabs>
          <w:tab w:val="num" w:pos="2160"/>
        </w:tabs>
        <w:ind w:left="2160" w:hanging="360"/>
      </w:pPr>
      <w:rPr>
        <w:rFonts w:ascii="Wingdings 3" w:hAnsi="Wingdings 3" w:hint="default"/>
      </w:rPr>
    </w:lvl>
    <w:lvl w:ilvl="3" w:tplc="F63C2508" w:tentative="1">
      <w:start w:val="1"/>
      <w:numFmt w:val="bullet"/>
      <w:lvlText w:val=""/>
      <w:lvlJc w:val="left"/>
      <w:pPr>
        <w:tabs>
          <w:tab w:val="num" w:pos="2880"/>
        </w:tabs>
        <w:ind w:left="2880" w:hanging="360"/>
      </w:pPr>
      <w:rPr>
        <w:rFonts w:ascii="Wingdings 3" w:hAnsi="Wingdings 3" w:hint="default"/>
      </w:rPr>
    </w:lvl>
    <w:lvl w:ilvl="4" w:tplc="F0C0B66C" w:tentative="1">
      <w:start w:val="1"/>
      <w:numFmt w:val="bullet"/>
      <w:lvlText w:val=""/>
      <w:lvlJc w:val="left"/>
      <w:pPr>
        <w:tabs>
          <w:tab w:val="num" w:pos="3600"/>
        </w:tabs>
        <w:ind w:left="3600" w:hanging="360"/>
      </w:pPr>
      <w:rPr>
        <w:rFonts w:ascii="Wingdings 3" w:hAnsi="Wingdings 3" w:hint="default"/>
      </w:rPr>
    </w:lvl>
    <w:lvl w:ilvl="5" w:tplc="FFDA1A8A" w:tentative="1">
      <w:start w:val="1"/>
      <w:numFmt w:val="bullet"/>
      <w:lvlText w:val=""/>
      <w:lvlJc w:val="left"/>
      <w:pPr>
        <w:tabs>
          <w:tab w:val="num" w:pos="4320"/>
        </w:tabs>
        <w:ind w:left="4320" w:hanging="360"/>
      </w:pPr>
      <w:rPr>
        <w:rFonts w:ascii="Wingdings 3" w:hAnsi="Wingdings 3" w:hint="default"/>
      </w:rPr>
    </w:lvl>
    <w:lvl w:ilvl="6" w:tplc="6EC290B8" w:tentative="1">
      <w:start w:val="1"/>
      <w:numFmt w:val="bullet"/>
      <w:lvlText w:val=""/>
      <w:lvlJc w:val="left"/>
      <w:pPr>
        <w:tabs>
          <w:tab w:val="num" w:pos="5040"/>
        </w:tabs>
        <w:ind w:left="5040" w:hanging="360"/>
      </w:pPr>
      <w:rPr>
        <w:rFonts w:ascii="Wingdings 3" w:hAnsi="Wingdings 3" w:hint="default"/>
      </w:rPr>
    </w:lvl>
    <w:lvl w:ilvl="7" w:tplc="81B6BA5C" w:tentative="1">
      <w:start w:val="1"/>
      <w:numFmt w:val="bullet"/>
      <w:lvlText w:val=""/>
      <w:lvlJc w:val="left"/>
      <w:pPr>
        <w:tabs>
          <w:tab w:val="num" w:pos="5760"/>
        </w:tabs>
        <w:ind w:left="5760" w:hanging="360"/>
      </w:pPr>
      <w:rPr>
        <w:rFonts w:ascii="Wingdings 3" w:hAnsi="Wingdings 3" w:hint="default"/>
      </w:rPr>
    </w:lvl>
    <w:lvl w:ilvl="8" w:tplc="E466CDB8"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736"/>
    <w:rsid w:val="0000129C"/>
    <w:rsid w:val="00001538"/>
    <w:rsid w:val="000047E8"/>
    <w:rsid w:val="000122F9"/>
    <w:rsid w:val="00012929"/>
    <w:rsid w:val="00016F0C"/>
    <w:rsid w:val="00022F3A"/>
    <w:rsid w:val="00024066"/>
    <w:rsid w:val="000241D3"/>
    <w:rsid w:val="0002579E"/>
    <w:rsid w:val="00033A74"/>
    <w:rsid w:val="00052B50"/>
    <w:rsid w:val="00055DAA"/>
    <w:rsid w:val="0005672E"/>
    <w:rsid w:val="00057722"/>
    <w:rsid w:val="00063306"/>
    <w:rsid w:val="00064263"/>
    <w:rsid w:val="00070C27"/>
    <w:rsid w:val="0007363E"/>
    <w:rsid w:val="00074B2F"/>
    <w:rsid w:val="0008061B"/>
    <w:rsid w:val="00082FE6"/>
    <w:rsid w:val="00087064"/>
    <w:rsid w:val="00094DB1"/>
    <w:rsid w:val="000A0010"/>
    <w:rsid w:val="000A0A3D"/>
    <w:rsid w:val="000A237A"/>
    <w:rsid w:val="000A2DE1"/>
    <w:rsid w:val="000A4890"/>
    <w:rsid w:val="000A6282"/>
    <w:rsid w:val="000A658B"/>
    <w:rsid w:val="000B0089"/>
    <w:rsid w:val="000B1650"/>
    <w:rsid w:val="000B7B82"/>
    <w:rsid w:val="000C0321"/>
    <w:rsid w:val="000C2550"/>
    <w:rsid w:val="000C50E9"/>
    <w:rsid w:val="000D2687"/>
    <w:rsid w:val="000D31F6"/>
    <w:rsid w:val="000D4F18"/>
    <w:rsid w:val="000E00C3"/>
    <w:rsid w:val="000E0199"/>
    <w:rsid w:val="000E123C"/>
    <w:rsid w:val="000E3906"/>
    <w:rsid w:val="000F3DCF"/>
    <w:rsid w:val="000F6737"/>
    <w:rsid w:val="000F6D22"/>
    <w:rsid w:val="001021DA"/>
    <w:rsid w:val="001148B4"/>
    <w:rsid w:val="00114D12"/>
    <w:rsid w:val="00122FF2"/>
    <w:rsid w:val="001334BD"/>
    <w:rsid w:val="001336ED"/>
    <w:rsid w:val="001343EC"/>
    <w:rsid w:val="00145E14"/>
    <w:rsid w:val="00162583"/>
    <w:rsid w:val="00173EC3"/>
    <w:rsid w:val="00181859"/>
    <w:rsid w:val="001850F5"/>
    <w:rsid w:val="00196C9B"/>
    <w:rsid w:val="001A0B06"/>
    <w:rsid w:val="001A1ABA"/>
    <w:rsid w:val="001A4AA9"/>
    <w:rsid w:val="001A6861"/>
    <w:rsid w:val="001A7BDD"/>
    <w:rsid w:val="001B3C92"/>
    <w:rsid w:val="001B48EC"/>
    <w:rsid w:val="001B520F"/>
    <w:rsid w:val="001D04B0"/>
    <w:rsid w:val="001D45FE"/>
    <w:rsid w:val="001E2AC9"/>
    <w:rsid w:val="001F08F0"/>
    <w:rsid w:val="001F0DFE"/>
    <w:rsid w:val="001F3A90"/>
    <w:rsid w:val="001F3F47"/>
    <w:rsid w:val="001F4F43"/>
    <w:rsid w:val="001F57E3"/>
    <w:rsid w:val="001F64D1"/>
    <w:rsid w:val="001F7FFC"/>
    <w:rsid w:val="002035A3"/>
    <w:rsid w:val="00203B47"/>
    <w:rsid w:val="00204A31"/>
    <w:rsid w:val="00205071"/>
    <w:rsid w:val="00210C92"/>
    <w:rsid w:val="00215D9F"/>
    <w:rsid w:val="00215E6F"/>
    <w:rsid w:val="00216A1D"/>
    <w:rsid w:val="002177EC"/>
    <w:rsid w:val="002200F9"/>
    <w:rsid w:val="00220715"/>
    <w:rsid w:val="00221699"/>
    <w:rsid w:val="0022398C"/>
    <w:rsid w:val="00227F80"/>
    <w:rsid w:val="00233454"/>
    <w:rsid w:val="00242531"/>
    <w:rsid w:val="002442EB"/>
    <w:rsid w:val="0024636A"/>
    <w:rsid w:val="0024661E"/>
    <w:rsid w:val="0025292F"/>
    <w:rsid w:val="00254604"/>
    <w:rsid w:val="00254C87"/>
    <w:rsid w:val="00262BAB"/>
    <w:rsid w:val="002630F7"/>
    <w:rsid w:val="00264D17"/>
    <w:rsid w:val="00266DC2"/>
    <w:rsid w:val="00271E85"/>
    <w:rsid w:val="0027422A"/>
    <w:rsid w:val="00274A03"/>
    <w:rsid w:val="00274A8F"/>
    <w:rsid w:val="00277B30"/>
    <w:rsid w:val="00284391"/>
    <w:rsid w:val="00287A34"/>
    <w:rsid w:val="00293821"/>
    <w:rsid w:val="00293C72"/>
    <w:rsid w:val="002956A2"/>
    <w:rsid w:val="002A39DF"/>
    <w:rsid w:val="002B259A"/>
    <w:rsid w:val="002B4842"/>
    <w:rsid w:val="002C208B"/>
    <w:rsid w:val="002D7812"/>
    <w:rsid w:val="002D7EB5"/>
    <w:rsid w:val="002E0733"/>
    <w:rsid w:val="002F3311"/>
    <w:rsid w:val="002F581A"/>
    <w:rsid w:val="00304DAE"/>
    <w:rsid w:val="003062D4"/>
    <w:rsid w:val="00306DC6"/>
    <w:rsid w:val="003129EC"/>
    <w:rsid w:val="00315DA7"/>
    <w:rsid w:val="00316510"/>
    <w:rsid w:val="003208D5"/>
    <w:rsid w:val="0032598B"/>
    <w:rsid w:val="003373E4"/>
    <w:rsid w:val="00342AF0"/>
    <w:rsid w:val="00347769"/>
    <w:rsid w:val="00351D5D"/>
    <w:rsid w:val="003520BE"/>
    <w:rsid w:val="00353D1D"/>
    <w:rsid w:val="0035770B"/>
    <w:rsid w:val="00366D56"/>
    <w:rsid w:val="003806C8"/>
    <w:rsid w:val="0038732C"/>
    <w:rsid w:val="00387511"/>
    <w:rsid w:val="003917D6"/>
    <w:rsid w:val="0039462F"/>
    <w:rsid w:val="003A052C"/>
    <w:rsid w:val="003A137C"/>
    <w:rsid w:val="003A4E9B"/>
    <w:rsid w:val="003A5692"/>
    <w:rsid w:val="003A62AB"/>
    <w:rsid w:val="003A713F"/>
    <w:rsid w:val="003B5C35"/>
    <w:rsid w:val="003B6F1D"/>
    <w:rsid w:val="003B7634"/>
    <w:rsid w:val="003B7CC9"/>
    <w:rsid w:val="003C04C0"/>
    <w:rsid w:val="003C09C2"/>
    <w:rsid w:val="003C1348"/>
    <w:rsid w:val="003C2CFD"/>
    <w:rsid w:val="003C6C7C"/>
    <w:rsid w:val="003C7429"/>
    <w:rsid w:val="003D27DD"/>
    <w:rsid w:val="003D650E"/>
    <w:rsid w:val="003D7521"/>
    <w:rsid w:val="003E35EB"/>
    <w:rsid w:val="003E78BC"/>
    <w:rsid w:val="003F6D0E"/>
    <w:rsid w:val="003F6D3B"/>
    <w:rsid w:val="00400407"/>
    <w:rsid w:val="00407DCF"/>
    <w:rsid w:val="00411EC2"/>
    <w:rsid w:val="00413CE8"/>
    <w:rsid w:val="00414AE3"/>
    <w:rsid w:val="0042289B"/>
    <w:rsid w:val="00423DC8"/>
    <w:rsid w:val="00423E96"/>
    <w:rsid w:val="00426F64"/>
    <w:rsid w:val="004336BE"/>
    <w:rsid w:val="00434A68"/>
    <w:rsid w:val="00441208"/>
    <w:rsid w:val="00441618"/>
    <w:rsid w:val="00442F43"/>
    <w:rsid w:val="00444B9E"/>
    <w:rsid w:val="00445140"/>
    <w:rsid w:val="00447736"/>
    <w:rsid w:val="00450240"/>
    <w:rsid w:val="00454626"/>
    <w:rsid w:val="00454CD8"/>
    <w:rsid w:val="00457A0D"/>
    <w:rsid w:val="0047249E"/>
    <w:rsid w:val="00473831"/>
    <w:rsid w:val="004738EE"/>
    <w:rsid w:val="00475DD0"/>
    <w:rsid w:val="004810C6"/>
    <w:rsid w:val="00481BD9"/>
    <w:rsid w:val="0048447F"/>
    <w:rsid w:val="0048661B"/>
    <w:rsid w:val="004933A7"/>
    <w:rsid w:val="00495F27"/>
    <w:rsid w:val="004A04C3"/>
    <w:rsid w:val="004A1342"/>
    <w:rsid w:val="004A1D9A"/>
    <w:rsid w:val="004A2D7D"/>
    <w:rsid w:val="004A32FF"/>
    <w:rsid w:val="004A3C97"/>
    <w:rsid w:val="004B2EAA"/>
    <w:rsid w:val="004B30D8"/>
    <w:rsid w:val="004B77B1"/>
    <w:rsid w:val="004C33AD"/>
    <w:rsid w:val="004C3C8D"/>
    <w:rsid w:val="004C3FE6"/>
    <w:rsid w:val="004C5A2C"/>
    <w:rsid w:val="004D291B"/>
    <w:rsid w:val="004D5805"/>
    <w:rsid w:val="004D71E9"/>
    <w:rsid w:val="004E2AFC"/>
    <w:rsid w:val="004E59F8"/>
    <w:rsid w:val="004E66A0"/>
    <w:rsid w:val="004F3151"/>
    <w:rsid w:val="004F71D0"/>
    <w:rsid w:val="005035C2"/>
    <w:rsid w:val="0051514A"/>
    <w:rsid w:val="00517ABF"/>
    <w:rsid w:val="0052091B"/>
    <w:rsid w:val="005212A7"/>
    <w:rsid w:val="005240C9"/>
    <w:rsid w:val="00524A58"/>
    <w:rsid w:val="00525049"/>
    <w:rsid w:val="00526B04"/>
    <w:rsid w:val="005271D1"/>
    <w:rsid w:val="00530E8B"/>
    <w:rsid w:val="005313D4"/>
    <w:rsid w:val="0053291B"/>
    <w:rsid w:val="00532BA4"/>
    <w:rsid w:val="00535039"/>
    <w:rsid w:val="005351DE"/>
    <w:rsid w:val="00535943"/>
    <w:rsid w:val="00537E31"/>
    <w:rsid w:val="00540ECA"/>
    <w:rsid w:val="00543260"/>
    <w:rsid w:val="0054486F"/>
    <w:rsid w:val="005453B5"/>
    <w:rsid w:val="00546806"/>
    <w:rsid w:val="00550CC5"/>
    <w:rsid w:val="00552A52"/>
    <w:rsid w:val="005533F9"/>
    <w:rsid w:val="00554C12"/>
    <w:rsid w:val="00556F6B"/>
    <w:rsid w:val="005614D8"/>
    <w:rsid w:val="00563FC3"/>
    <w:rsid w:val="00564551"/>
    <w:rsid w:val="005653A9"/>
    <w:rsid w:val="00566444"/>
    <w:rsid w:val="005758DA"/>
    <w:rsid w:val="005803DA"/>
    <w:rsid w:val="0058173F"/>
    <w:rsid w:val="0058252E"/>
    <w:rsid w:val="00583040"/>
    <w:rsid w:val="005866C3"/>
    <w:rsid w:val="005911E0"/>
    <w:rsid w:val="00592B1F"/>
    <w:rsid w:val="005940A9"/>
    <w:rsid w:val="0059729C"/>
    <w:rsid w:val="00597A70"/>
    <w:rsid w:val="005B213D"/>
    <w:rsid w:val="005B3520"/>
    <w:rsid w:val="005B3929"/>
    <w:rsid w:val="005B6792"/>
    <w:rsid w:val="005B763E"/>
    <w:rsid w:val="005C0DC4"/>
    <w:rsid w:val="005C3D5B"/>
    <w:rsid w:val="005C5FE3"/>
    <w:rsid w:val="005D3210"/>
    <w:rsid w:val="005D5AF0"/>
    <w:rsid w:val="005D602E"/>
    <w:rsid w:val="005E3159"/>
    <w:rsid w:val="005E3294"/>
    <w:rsid w:val="005E6E1D"/>
    <w:rsid w:val="005F1462"/>
    <w:rsid w:val="005F5571"/>
    <w:rsid w:val="00600772"/>
    <w:rsid w:val="00603B05"/>
    <w:rsid w:val="00607019"/>
    <w:rsid w:val="00613178"/>
    <w:rsid w:val="00613416"/>
    <w:rsid w:val="00616718"/>
    <w:rsid w:val="006179AF"/>
    <w:rsid w:val="00623331"/>
    <w:rsid w:val="006265AD"/>
    <w:rsid w:val="0063486B"/>
    <w:rsid w:val="00642BED"/>
    <w:rsid w:val="006532B8"/>
    <w:rsid w:val="00661A3B"/>
    <w:rsid w:val="0066416B"/>
    <w:rsid w:val="00664562"/>
    <w:rsid w:val="006702E5"/>
    <w:rsid w:val="00671AFE"/>
    <w:rsid w:val="0068657B"/>
    <w:rsid w:val="00694F6B"/>
    <w:rsid w:val="006974DF"/>
    <w:rsid w:val="006A1183"/>
    <w:rsid w:val="006A230C"/>
    <w:rsid w:val="006A2565"/>
    <w:rsid w:val="006A3B3B"/>
    <w:rsid w:val="006A7019"/>
    <w:rsid w:val="006A7E88"/>
    <w:rsid w:val="006B0E14"/>
    <w:rsid w:val="006B124C"/>
    <w:rsid w:val="006B2E8E"/>
    <w:rsid w:val="006C08F2"/>
    <w:rsid w:val="006C1B0D"/>
    <w:rsid w:val="006C495E"/>
    <w:rsid w:val="006D028C"/>
    <w:rsid w:val="006D0E7A"/>
    <w:rsid w:val="006D4BB5"/>
    <w:rsid w:val="006E1E43"/>
    <w:rsid w:val="006E2838"/>
    <w:rsid w:val="006E7416"/>
    <w:rsid w:val="006F0533"/>
    <w:rsid w:val="006F3D40"/>
    <w:rsid w:val="006F4135"/>
    <w:rsid w:val="006F547B"/>
    <w:rsid w:val="00702342"/>
    <w:rsid w:val="0070348A"/>
    <w:rsid w:val="00703B77"/>
    <w:rsid w:val="00705996"/>
    <w:rsid w:val="007067A4"/>
    <w:rsid w:val="00710E75"/>
    <w:rsid w:val="00710FB9"/>
    <w:rsid w:val="00713254"/>
    <w:rsid w:val="007177B7"/>
    <w:rsid w:val="00720487"/>
    <w:rsid w:val="007226F5"/>
    <w:rsid w:val="00727452"/>
    <w:rsid w:val="00741040"/>
    <w:rsid w:val="00741A32"/>
    <w:rsid w:val="00741E71"/>
    <w:rsid w:val="007437FC"/>
    <w:rsid w:val="00743919"/>
    <w:rsid w:val="00750E5F"/>
    <w:rsid w:val="0075327B"/>
    <w:rsid w:val="00754731"/>
    <w:rsid w:val="00760B20"/>
    <w:rsid w:val="00766D7C"/>
    <w:rsid w:val="0077418F"/>
    <w:rsid w:val="007766C0"/>
    <w:rsid w:val="00777D22"/>
    <w:rsid w:val="00781F38"/>
    <w:rsid w:val="0078542E"/>
    <w:rsid w:val="0078556F"/>
    <w:rsid w:val="007911E5"/>
    <w:rsid w:val="00794C23"/>
    <w:rsid w:val="00796B8E"/>
    <w:rsid w:val="00796E94"/>
    <w:rsid w:val="007A0B57"/>
    <w:rsid w:val="007A0E1B"/>
    <w:rsid w:val="007A1104"/>
    <w:rsid w:val="007A69EC"/>
    <w:rsid w:val="007B27F4"/>
    <w:rsid w:val="007B3028"/>
    <w:rsid w:val="007B42B2"/>
    <w:rsid w:val="007C3AAB"/>
    <w:rsid w:val="007D2552"/>
    <w:rsid w:val="007D4949"/>
    <w:rsid w:val="007E233D"/>
    <w:rsid w:val="007E34CE"/>
    <w:rsid w:val="007F59A5"/>
    <w:rsid w:val="00812BE8"/>
    <w:rsid w:val="00814D23"/>
    <w:rsid w:val="00822109"/>
    <w:rsid w:val="008235FD"/>
    <w:rsid w:val="00826593"/>
    <w:rsid w:val="00827C75"/>
    <w:rsid w:val="00830F77"/>
    <w:rsid w:val="00834A4C"/>
    <w:rsid w:val="0083676F"/>
    <w:rsid w:val="00841908"/>
    <w:rsid w:val="00845A84"/>
    <w:rsid w:val="00850AFC"/>
    <w:rsid w:val="00850E80"/>
    <w:rsid w:val="00851FB7"/>
    <w:rsid w:val="00853961"/>
    <w:rsid w:val="00854489"/>
    <w:rsid w:val="00855CF5"/>
    <w:rsid w:val="00857E17"/>
    <w:rsid w:val="00860E47"/>
    <w:rsid w:val="00861ADC"/>
    <w:rsid w:val="00861FB5"/>
    <w:rsid w:val="00864872"/>
    <w:rsid w:val="00864D0F"/>
    <w:rsid w:val="00865785"/>
    <w:rsid w:val="00867655"/>
    <w:rsid w:val="00871283"/>
    <w:rsid w:val="00872F88"/>
    <w:rsid w:val="008730F8"/>
    <w:rsid w:val="0087340B"/>
    <w:rsid w:val="0087762E"/>
    <w:rsid w:val="008827C9"/>
    <w:rsid w:val="00883081"/>
    <w:rsid w:val="008830BB"/>
    <w:rsid w:val="00884ACD"/>
    <w:rsid w:val="008923FC"/>
    <w:rsid w:val="00897906"/>
    <w:rsid w:val="008A3C6F"/>
    <w:rsid w:val="008A5035"/>
    <w:rsid w:val="008A5A40"/>
    <w:rsid w:val="008A60E1"/>
    <w:rsid w:val="008B03B7"/>
    <w:rsid w:val="008B04AC"/>
    <w:rsid w:val="008B19C4"/>
    <w:rsid w:val="008B57DD"/>
    <w:rsid w:val="008C17F2"/>
    <w:rsid w:val="008C772F"/>
    <w:rsid w:val="008D2FCD"/>
    <w:rsid w:val="008D3596"/>
    <w:rsid w:val="008D795D"/>
    <w:rsid w:val="008E008D"/>
    <w:rsid w:val="008E2395"/>
    <w:rsid w:val="008E3036"/>
    <w:rsid w:val="008E6E77"/>
    <w:rsid w:val="008E7FF7"/>
    <w:rsid w:val="008F082D"/>
    <w:rsid w:val="008F0B49"/>
    <w:rsid w:val="008F5765"/>
    <w:rsid w:val="008F6FF8"/>
    <w:rsid w:val="008F7806"/>
    <w:rsid w:val="008F7D0F"/>
    <w:rsid w:val="00901EE2"/>
    <w:rsid w:val="00902B08"/>
    <w:rsid w:val="009030C1"/>
    <w:rsid w:val="009079E6"/>
    <w:rsid w:val="00911831"/>
    <w:rsid w:val="00914912"/>
    <w:rsid w:val="00916A36"/>
    <w:rsid w:val="009202B6"/>
    <w:rsid w:val="00920AFC"/>
    <w:rsid w:val="009228F2"/>
    <w:rsid w:val="00934A81"/>
    <w:rsid w:val="0093570E"/>
    <w:rsid w:val="0094305B"/>
    <w:rsid w:val="00943BEB"/>
    <w:rsid w:val="009468C9"/>
    <w:rsid w:val="00946ADD"/>
    <w:rsid w:val="00947D9B"/>
    <w:rsid w:val="00954EB4"/>
    <w:rsid w:val="00961F24"/>
    <w:rsid w:val="00963EA5"/>
    <w:rsid w:val="00965AD3"/>
    <w:rsid w:val="00967854"/>
    <w:rsid w:val="00974235"/>
    <w:rsid w:val="00975B26"/>
    <w:rsid w:val="00976538"/>
    <w:rsid w:val="009777FD"/>
    <w:rsid w:val="009839A6"/>
    <w:rsid w:val="0098404A"/>
    <w:rsid w:val="00986357"/>
    <w:rsid w:val="00987407"/>
    <w:rsid w:val="00987FA4"/>
    <w:rsid w:val="009903F8"/>
    <w:rsid w:val="00992B76"/>
    <w:rsid w:val="009935D2"/>
    <w:rsid w:val="009948A0"/>
    <w:rsid w:val="00994D60"/>
    <w:rsid w:val="00994E20"/>
    <w:rsid w:val="00996709"/>
    <w:rsid w:val="009A0B43"/>
    <w:rsid w:val="009A1B5B"/>
    <w:rsid w:val="009A224F"/>
    <w:rsid w:val="009A2A31"/>
    <w:rsid w:val="009A6DEB"/>
    <w:rsid w:val="009A6EED"/>
    <w:rsid w:val="009A7FB0"/>
    <w:rsid w:val="009B06A5"/>
    <w:rsid w:val="009B136F"/>
    <w:rsid w:val="009B2210"/>
    <w:rsid w:val="009B48BA"/>
    <w:rsid w:val="009B7A79"/>
    <w:rsid w:val="009C58C0"/>
    <w:rsid w:val="009D005C"/>
    <w:rsid w:val="009D1BE9"/>
    <w:rsid w:val="009D3764"/>
    <w:rsid w:val="009D753A"/>
    <w:rsid w:val="009E0210"/>
    <w:rsid w:val="009E0220"/>
    <w:rsid w:val="009E0C74"/>
    <w:rsid w:val="009E1E60"/>
    <w:rsid w:val="009E35EF"/>
    <w:rsid w:val="009F0780"/>
    <w:rsid w:val="009F1257"/>
    <w:rsid w:val="009F2E09"/>
    <w:rsid w:val="009F399A"/>
    <w:rsid w:val="00A11724"/>
    <w:rsid w:val="00A144FA"/>
    <w:rsid w:val="00A25F15"/>
    <w:rsid w:val="00A26786"/>
    <w:rsid w:val="00A324D4"/>
    <w:rsid w:val="00A3310F"/>
    <w:rsid w:val="00A4026F"/>
    <w:rsid w:val="00A406E7"/>
    <w:rsid w:val="00A40BF5"/>
    <w:rsid w:val="00A41CE5"/>
    <w:rsid w:val="00A41EA7"/>
    <w:rsid w:val="00A42E76"/>
    <w:rsid w:val="00A45A8F"/>
    <w:rsid w:val="00A45D52"/>
    <w:rsid w:val="00A46271"/>
    <w:rsid w:val="00A46CFD"/>
    <w:rsid w:val="00A530A4"/>
    <w:rsid w:val="00A564D9"/>
    <w:rsid w:val="00A568C7"/>
    <w:rsid w:val="00A66922"/>
    <w:rsid w:val="00A67552"/>
    <w:rsid w:val="00A7061C"/>
    <w:rsid w:val="00A718D3"/>
    <w:rsid w:val="00A808A7"/>
    <w:rsid w:val="00A82B5D"/>
    <w:rsid w:val="00A83677"/>
    <w:rsid w:val="00A85211"/>
    <w:rsid w:val="00A85557"/>
    <w:rsid w:val="00A87848"/>
    <w:rsid w:val="00A91C60"/>
    <w:rsid w:val="00A95303"/>
    <w:rsid w:val="00AA07D7"/>
    <w:rsid w:val="00AA1B8C"/>
    <w:rsid w:val="00AA37D2"/>
    <w:rsid w:val="00AA3E54"/>
    <w:rsid w:val="00AA6B9D"/>
    <w:rsid w:val="00AA74D6"/>
    <w:rsid w:val="00AB707F"/>
    <w:rsid w:val="00AB784F"/>
    <w:rsid w:val="00AB7D41"/>
    <w:rsid w:val="00AC2A42"/>
    <w:rsid w:val="00AD1CC6"/>
    <w:rsid w:val="00AD1F8D"/>
    <w:rsid w:val="00AD6DCB"/>
    <w:rsid w:val="00AE1DA3"/>
    <w:rsid w:val="00AE58B3"/>
    <w:rsid w:val="00AE6FCA"/>
    <w:rsid w:val="00AF22F0"/>
    <w:rsid w:val="00AF41CD"/>
    <w:rsid w:val="00AF4207"/>
    <w:rsid w:val="00AF76B2"/>
    <w:rsid w:val="00AF7D7E"/>
    <w:rsid w:val="00B002E8"/>
    <w:rsid w:val="00B074C8"/>
    <w:rsid w:val="00B21423"/>
    <w:rsid w:val="00B22113"/>
    <w:rsid w:val="00B2222B"/>
    <w:rsid w:val="00B22B33"/>
    <w:rsid w:val="00B23872"/>
    <w:rsid w:val="00B24AC6"/>
    <w:rsid w:val="00B25DA9"/>
    <w:rsid w:val="00B27F0E"/>
    <w:rsid w:val="00B31ECB"/>
    <w:rsid w:val="00B35901"/>
    <w:rsid w:val="00B37A60"/>
    <w:rsid w:val="00B43FF3"/>
    <w:rsid w:val="00B51EF6"/>
    <w:rsid w:val="00B520AA"/>
    <w:rsid w:val="00B52362"/>
    <w:rsid w:val="00B624F0"/>
    <w:rsid w:val="00B62848"/>
    <w:rsid w:val="00B6360C"/>
    <w:rsid w:val="00B65078"/>
    <w:rsid w:val="00B65CCD"/>
    <w:rsid w:val="00B65FDD"/>
    <w:rsid w:val="00B66563"/>
    <w:rsid w:val="00B66903"/>
    <w:rsid w:val="00B702A8"/>
    <w:rsid w:val="00B71898"/>
    <w:rsid w:val="00B723FC"/>
    <w:rsid w:val="00B77D24"/>
    <w:rsid w:val="00B919A4"/>
    <w:rsid w:val="00B9232D"/>
    <w:rsid w:val="00B959FE"/>
    <w:rsid w:val="00BA03FC"/>
    <w:rsid w:val="00BA040C"/>
    <w:rsid w:val="00BA7891"/>
    <w:rsid w:val="00BB0188"/>
    <w:rsid w:val="00BB16A0"/>
    <w:rsid w:val="00BB5F42"/>
    <w:rsid w:val="00BC55E7"/>
    <w:rsid w:val="00BD1430"/>
    <w:rsid w:val="00BD68E7"/>
    <w:rsid w:val="00BD74B5"/>
    <w:rsid w:val="00BD74BE"/>
    <w:rsid w:val="00BE561F"/>
    <w:rsid w:val="00BE6D03"/>
    <w:rsid w:val="00BE7C37"/>
    <w:rsid w:val="00BF1C94"/>
    <w:rsid w:val="00BF1F22"/>
    <w:rsid w:val="00C03BA6"/>
    <w:rsid w:val="00C0786E"/>
    <w:rsid w:val="00C07DB4"/>
    <w:rsid w:val="00C102C6"/>
    <w:rsid w:val="00C12C56"/>
    <w:rsid w:val="00C14EC7"/>
    <w:rsid w:val="00C235E4"/>
    <w:rsid w:val="00C26B52"/>
    <w:rsid w:val="00C330A2"/>
    <w:rsid w:val="00C362BC"/>
    <w:rsid w:val="00C36DB5"/>
    <w:rsid w:val="00C50879"/>
    <w:rsid w:val="00C5117F"/>
    <w:rsid w:val="00C55DEC"/>
    <w:rsid w:val="00C6054A"/>
    <w:rsid w:val="00C63F74"/>
    <w:rsid w:val="00C655AF"/>
    <w:rsid w:val="00C7307F"/>
    <w:rsid w:val="00C7683D"/>
    <w:rsid w:val="00C77630"/>
    <w:rsid w:val="00C80E47"/>
    <w:rsid w:val="00C81BDF"/>
    <w:rsid w:val="00C82169"/>
    <w:rsid w:val="00C92335"/>
    <w:rsid w:val="00C94B1B"/>
    <w:rsid w:val="00C9615F"/>
    <w:rsid w:val="00C96537"/>
    <w:rsid w:val="00C96823"/>
    <w:rsid w:val="00CA57E3"/>
    <w:rsid w:val="00CA6D4D"/>
    <w:rsid w:val="00CB566F"/>
    <w:rsid w:val="00CB5751"/>
    <w:rsid w:val="00CC276C"/>
    <w:rsid w:val="00CC28D8"/>
    <w:rsid w:val="00CC5606"/>
    <w:rsid w:val="00CD0C47"/>
    <w:rsid w:val="00CD31EE"/>
    <w:rsid w:val="00CD68F2"/>
    <w:rsid w:val="00CE228D"/>
    <w:rsid w:val="00CE4510"/>
    <w:rsid w:val="00CF38AA"/>
    <w:rsid w:val="00D01C89"/>
    <w:rsid w:val="00D02757"/>
    <w:rsid w:val="00D041F3"/>
    <w:rsid w:val="00D04EF2"/>
    <w:rsid w:val="00D052E8"/>
    <w:rsid w:val="00D05AAA"/>
    <w:rsid w:val="00D05D8E"/>
    <w:rsid w:val="00D07B7E"/>
    <w:rsid w:val="00D10658"/>
    <w:rsid w:val="00D1243D"/>
    <w:rsid w:val="00D13639"/>
    <w:rsid w:val="00D16FEF"/>
    <w:rsid w:val="00D17927"/>
    <w:rsid w:val="00D22145"/>
    <w:rsid w:val="00D223FF"/>
    <w:rsid w:val="00D232D4"/>
    <w:rsid w:val="00D30401"/>
    <w:rsid w:val="00D35948"/>
    <w:rsid w:val="00D42E6E"/>
    <w:rsid w:val="00D44DD0"/>
    <w:rsid w:val="00D51C22"/>
    <w:rsid w:val="00D55D4F"/>
    <w:rsid w:val="00D5702D"/>
    <w:rsid w:val="00D60847"/>
    <w:rsid w:val="00D65BA2"/>
    <w:rsid w:val="00D720D1"/>
    <w:rsid w:val="00D743FC"/>
    <w:rsid w:val="00D81E7F"/>
    <w:rsid w:val="00D86176"/>
    <w:rsid w:val="00D93C66"/>
    <w:rsid w:val="00D93DA3"/>
    <w:rsid w:val="00D94803"/>
    <w:rsid w:val="00D959E9"/>
    <w:rsid w:val="00DA084B"/>
    <w:rsid w:val="00DA16CB"/>
    <w:rsid w:val="00DA197D"/>
    <w:rsid w:val="00DA4F3A"/>
    <w:rsid w:val="00DA7E1B"/>
    <w:rsid w:val="00DB6CDB"/>
    <w:rsid w:val="00DC3C80"/>
    <w:rsid w:val="00DC4EE2"/>
    <w:rsid w:val="00DD4417"/>
    <w:rsid w:val="00DD4E76"/>
    <w:rsid w:val="00DE0C61"/>
    <w:rsid w:val="00DF0CA7"/>
    <w:rsid w:val="00DF20D9"/>
    <w:rsid w:val="00DF37A3"/>
    <w:rsid w:val="00E01286"/>
    <w:rsid w:val="00E02916"/>
    <w:rsid w:val="00E02A10"/>
    <w:rsid w:val="00E14DF1"/>
    <w:rsid w:val="00E15514"/>
    <w:rsid w:val="00E17F60"/>
    <w:rsid w:val="00E20BF5"/>
    <w:rsid w:val="00E23908"/>
    <w:rsid w:val="00E26A72"/>
    <w:rsid w:val="00E33620"/>
    <w:rsid w:val="00E4271A"/>
    <w:rsid w:val="00E469C1"/>
    <w:rsid w:val="00E54F3F"/>
    <w:rsid w:val="00E56E48"/>
    <w:rsid w:val="00E60F15"/>
    <w:rsid w:val="00E672E0"/>
    <w:rsid w:val="00E67EA5"/>
    <w:rsid w:val="00E70EF9"/>
    <w:rsid w:val="00E75E4E"/>
    <w:rsid w:val="00E80189"/>
    <w:rsid w:val="00E827B1"/>
    <w:rsid w:val="00E828F0"/>
    <w:rsid w:val="00E82BE4"/>
    <w:rsid w:val="00E848FA"/>
    <w:rsid w:val="00E95446"/>
    <w:rsid w:val="00E96865"/>
    <w:rsid w:val="00E96E84"/>
    <w:rsid w:val="00EA00AA"/>
    <w:rsid w:val="00EA066F"/>
    <w:rsid w:val="00EA1AD8"/>
    <w:rsid w:val="00EA1AF8"/>
    <w:rsid w:val="00EA60EF"/>
    <w:rsid w:val="00EB785F"/>
    <w:rsid w:val="00EC1489"/>
    <w:rsid w:val="00EC439B"/>
    <w:rsid w:val="00EC5657"/>
    <w:rsid w:val="00EC6D3B"/>
    <w:rsid w:val="00EC7F27"/>
    <w:rsid w:val="00ED0F68"/>
    <w:rsid w:val="00ED1CC3"/>
    <w:rsid w:val="00ED4ECF"/>
    <w:rsid w:val="00ED7325"/>
    <w:rsid w:val="00EE2318"/>
    <w:rsid w:val="00EE384B"/>
    <w:rsid w:val="00EF4242"/>
    <w:rsid w:val="00EF4B60"/>
    <w:rsid w:val="00EF7178"/>
    <w:rsid w:val="00F00885"/>
    <w:rsid w:val="00F019BC"/>
    <w:rsid w:val="00F033F0"/>
    <w:rsid w:val="00F116E9"/>
    <w:rsid w:val="00F12235"/>
    <w:rsid w:val="00F217B0"/>
    <w:rsid w:val="00F247BC"/>
    <w:rsid w:val="00F2488C"/>
    <w:rsid w:val="00F25129"/>
    <w:rsid w:val="00F32BBC"/>
    <w:rsid w:val="00F40E31"/>
    <w:rsid w:val="00F413EB"/>
    <w:rsid w:val="00F448B8"/>
    <w:rsid w:val="00F47B42"/>
    <w:rsid w:val="00F50DE2"/>
    <w:rsid w:val="00F50F3E"/>
    <w:rsid w:val="00F52337"/>
    <w:rsid w:val="00F53D2A"/>
    <w:rsid w:val="00F5531B"/>
    <w:rsid w:val="00F57749"/>
    <w:rsid w:val="00F60A9C"/>
    <w:rsid w:val="00F60EC8"/>
    <w:rsid w:val="00F62BF2"/>
    <w:rsid w:val="00F63D39"/>
    <w:rsid w:val="00F67C8C"/>
    <w:rsid w:val="00F7057C"/>
    <w:rsid w:val="00F7095F"/>
    <w:rsid w:val="00F75CB5"/>
    <w:rsid w:val="00F75F8A"/>
    <w:rsid w:val="00F80CCE"/>
    <w:rsid w:val="00F80DCA"/>
    <w:rsid w:val="00F8317F"/>
    <w:rsid w:val="00F83209"/>
    <w:rsid w:val="00F83565"/>
    <w:rsid w:val="00F8687B"/>
    <w:rsid w:val="00F90FED"/>
    <w:rsid w:val="00F927B6"/>
    <w:rsid w:val="00F947AE"/>
    <w:rsid w:val="00F95BE0"/>
    <w:rsid w:val="00F965AA"/>
    <w:rsid w:val="00FA196D"/>
    <w:rsid w:val="00FA23C9"/>
    <w:rsid w:val="00FA32E2"/>
    <w:rsid w:val="00FA3A17"/>
    <w:rsid w:val="00FB15E2"/>
    <w:rsid w:val="00FB23A8"/>
    <w:rsid w:val="00FB2FFC"/>
    <w:rsid w:val="00FB3BD8"/>
    <w:rsid w:val="00FB5139"/>
    <w:rsid w:val="00FB6EED"/>
    <w:rsid w:val="00FB72A2"/>
    <w:rsid w:val="00FB76B8"/>
    <w:rsid w:val="00FC2709"/>
    <w:rsid w:val="00FC4855"/>
    <w:rsid w:val="00FC5F2B"/>
    <w:rsid w:val="00FC7572"/>
    <w:rsid w:val="00FD36B7"/>
    <w:rsid w:val="00FD6F52"/>
    <w:rsid w:val="00FF1A50"/>
    <w:rsid w:val="00FF2BF6"/>
    <w:rsid w:val="00FF4FB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FA31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73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47736"/>
    <w:pPr>
      <w:spacing w:after="120" w:line="480" w:lineRule="auto"/>
    </w:pPr>
    <w:rPr>
      <w:lang w:val="x-none"/>
    </w:rPr>
  </w:style>
  <w:style w:type="character" w:customStyle="1" w:styleId="BodyText2Char">
    <w:name w:val="Body Text 2 Char"/>
    <w:basedOn w:val="DefaultParagraphFont"/>
    <w:link w:val="BodyText2"/>
    <w:rsid w:val="00447736"/>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447736"/>
    <w:pPr>
      <w:tabs>
        <w:tab w:val="center" w:pos="4153"/>
        <w:tab w:val="right" w:pos="8306"/>
      </w:tabs>
    </w:pPr>
  </w:style>
  <w:style w:type="character" w:customStyle="1" w:styleId="FooterChar">
    <w:name w:val="Footer Char"/>
    <w:basedOn w:val="DefaultParagraphFont"/>
    <w:link w:val="Footer"/>
    <w:rsid w:val="00447736"/>
    <w:rPr>
      <w:rFonts w:ascii="Times New Roman" w:eastAsia="Times New Roman" w:hAnsi="Times New Roman" w:cs="Times New Roman"/>
      <w:sz w:val="24"/>
      <w:szCs w:val="24"/>
      <w:lang w:eastAsia="ru-RU"/>
    </w:rPr>
  </w:style>
  <w:style w:type="character" w:styleId="PageNumber">
    <w:name w:val="page number"/>
    <w:basedOn w:val="DefaultParagraphFont"/>
    <w:rsid w:val="00447736"/>
  </w:style>
  <w:style w:type="paragraph" w:customStyle="1" w:styleId="ATpamatteksts">
    <w:name w:val="AT pamatteksts"/>
    <w:basedOn w:val="BodyText2"/>
    <w:link w:val="ATpamattekstsChar"/>
    <w:qFormat/>
    <w:rsid w:val="00447736"/>
    <w:pPr>
      <w:spacing w:after="0" w:line="276" w:lineRule="auto"/>
      <w:ind w:firstLine="567"/>
      <w:jc w:val="both"/>
    </w:pPr>
  </w:style>
  <w:style w:type="character" w:customStyle="1" w:styleId="ATpamattekstsChar">
    <w:name w:val="AT pamatteksts Char"/>
    <w:basedOn w:val="BodyText2Char"/>
    <w:link w:val="ATpamatteksts"/>
    <w:rsid w:val="00447736"/>
    <w:rPr>
      <w:rFonts w:ascii="Times New Roman" w:eastAsia="Times New Roman" w:hAnsi="Times New Roman" w:cs="Times New Roman"/>
      <w:sz w:val="24"/>
      <w:szCs w:val="24"/>
      <w:lang w:val="x-none" w:eastAsia="ru-RU"/>
    </w:rPr>
  </w:style>
  <w:style w:type="paragraph" w:customStyle="1" w:styleId="tv213">
    <w:name w:val="tv213"/>
    <w:basedOn w:val="Normal"/>
    <w:rsid w:val="00447736"/>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561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4D8"/>
    <w:rPr>
      <w:rFonts w:ascii="Segoe UI" w:eastAsia="Times New Roman" w:hAnsi="Segoe UI" w:cs="Segoe UI"/>
      <w:sz w:val="18"/>
      <w:szCs w:val="18"/>
      <w:lang w:eastAsia="ru-RU"/>
    </w:rPr>
  </w:style>
  <w:style w:type="character" w:customStyle="1" w:styleId="fontsize2">
    <w:name w:val="fontsize2"/>
    <w:basedOn w:val="DefaultParagraphFont"/>
    <w:rsid w:val="00F47B42"/>
  </w:style>
  <w:style w:type="character" w:styleId="Hyperlink">
    <w:name w:val="Hyperlink"/>
    <w:basedOn w:val="DefaultParagraphFont"/>
    <w:uiPriority w:val="99"/>
    <w:unhideWhenUsed/>
    <w:rsid w:val="00F47B42"/>
    <w:rPr>
      <w:color w:val="0000FF"/>
      <w:u w:val="single"/>
    </w:rPr>
  </w:style>
  <w:style w:type="character" w:styleId="CommentReference">
    <w:name w:val="annotation reference"/>
    <w:basedOn w:val="DefaultParagraphFont"/>
    <w:uiPriority w:val="99"/>
    <w:semiHidden/>
    <w:unhideWhenUsed/>
    <w:rsid w:val="004A3C97"/>
    <w:rPr>
      <w:sz w:val="16"/>
      <w:szCs w:val="16"/>
    </w:rPr>
  </w:style>
  <w:style w:type="paragraph" w:styleId="CommentText">
    <w:name w:val="annotation text"/>
    <w:basedOn w:val="Normal"/>
    <w:link w:val="CommentTextChar"/>
    <w:uiPriority w:val="99"/>
    <w:semiHidden/>
    <w:unhideWhenUsed/>
    <w:rsid w:val="004A3C97"/>
    <w:rPr>
      <w:sz w:val="20"/>
      <w:szCs w:val="20"/>
    </w:rPr>
  </w:style>
  <w:style w:type="character" w:customStyle="1" w:styleId="CommentTextChar">
    <w:name w:val="Comment Text Char"/>
    <w:basedOn w:val="DefaultParagraphFont"/>
    <w:link w:val="CommentText"/>
    <w:uiPriority w:val="99"/>
    <w:semiHidden/>
    <w:rsid w:val="004A3C97"/>
    <w:rPr>
      <w:rFonts w:ascii="Times New Roman" w:eastAsia="Times New Roman" w:hAnsi="Times New Roman" w:cs="Times New Roman"/>
      <w:sz w:val="20"/>
      <w:szCs w:val="20"/>
      <w:lang w:eastAsia="ru-RU"/>
    </w:rPr>
  </w:style>
  <w:style w:type="paragraph" w:styleId="ListParagraph">
    <w:name w:val="List Paragraph"/>
    <w:basedOn w:val="Normal"/>
    <w:uiPriority w:val="34"/>
    <w:qFormat/>
    <w:rsid w:val="003D27DD"/>
    <w:pPr>
      <w:ind w:left="720"/>
      <w:contextualSpacing/>
    </w:pPr>
    <w:rPr>
      <w:lang w:eastAsia="lv-LV"/>
    </w:rPr>
  </w:style>
  <w:style w:type="paragraph" w:styleId="NormalWeb">
    <w:name w:val="Normal (Web)"/>
    <w:basedOn w:val="Normal"/>
    <w:uiPriority w:val="99"/>
    <w:unhideWhenUsed/>
    <w:rsid w:val="003D27DD"/>
    <w:pPr>
      <w:spacing w:before="100" w:beforeAutospacing="1" w:after="100" w:afterAutospacing="1"/>
    </w:pPr>
    <w:rPr>
      <w:lang w:eastAsia="lv-LV"/>
    </w:rPr>
  </w:style>
  <w:style w:type="paragraph" w:styleId="CommentSubject">
    <w:name w:val="annotation subject"/>
    <w:basedOn w:val="CommentText"/>
    <w:next w:val="CommentText"/>
    <w:link w:val="CommentSubjectChar"/>
    <w:uiPriority w:val="99"/>
    <w:semiHidden/>
    <w:unhideWhenUsed/>
    <w:rsid w:val="00A11724"/>
    <w:rPr>
      <w:b/>
      <w:bCs/>
    </w:rPr>
  </w:style>
  <w:style w:type="character" w:customStyle="1" w:styleId="CommentSubjectChar">
    <w:name w:val="Comment Subject Char"/>
    <w:basedOn w:val="CommentTextChar"/>
    <w:link w:val="CommentSubject"/>
    <w:uiPriority w:val="99"/>
    <w:semiHidden/>
    <w:rsid w:val="00A11724"/>
    <w:rPr>
      <w:rFonts w:ascii="Times New Roman" w:eastAsia="Times New Roman" w:hAnsi="Times New Roman" w:cs="Times New Roman"/>
      <w:b/>
      <w:bCs/>
      <w:sz w:val="20"/>
      <w:szCs w:val="20"/>
      <w:lang w:eastAsia="ru-RU"/>
    </w:rPr>
  </w:style>
  <w:style w:type="character" w:customStyle="1" w:styleId="UnresolvedMention">
    <w:name w:val="Unresolved Mention"/>
    <w:basedOn w:val="DefaultParagraphFont"/>
    <w:uiPriority w:val="99"/>
    <w:semiHidden/>
    <w:unhideWhenUsed/>
    <w:rsid w:val="003C6C7C"/>
    <w:rPr>
      <w:color w:val="605E5C"/>
      <w:shd w:val="clear" w:color="auto" w:fill="E1DFDD"/>
    </w:rPr>
  </w:style>
  <w:style w:type="paragraph" w:styleId="Header">
    <w:name w:val="header"/>
    <w:basedOn w:val="Normal"/>
    <w:link w:val="HeaderChar"/>
    <w:uiPriority w:val="99"/>
    <w:unhideWhenUsed/>
    <w:rsid w:val="00215D9F"/>
    <w:pPr>
      <w:tabs>
        <w:tab w:val="center" w:pos="4513"/>
        <w:tab w:val="right" w:pos="9026"/>
      </w:tabs>
    </w:pPr>
  </w:style>
  <w:style w:type="character" w:customStyle="1" w:styleId="HeaderChar">
    <w:name w:val="Header Char"/>
    <w:basedOn w:val="DefaultParagraphFont"/>
    <w:link w:val="Header"/>
    <w:uiPriority w:val="99"/>
    <w:rsid w:val="00215D9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1397">
      <w:bodyDiv w:val="1"/>
      <w:marLeft w:val="0"/>
      <w:marRight w:val="0"/>
      <w:marTop w:val="0"/>
      <w:marBottom w:val="0"/>
      <w:divBdr>
        <w:top w:val="none" w:sz="0" w:space="0" w:color="auto"/>
        <w:left w:val="none" w:sz="0" w:space="0" w:color="auto"/>
        <w:bottom w:val="none" w:sz="0" w:space="0" w:color="auto"/>
        <w:right w:val="none" w:sz="0" w:space="0" w:color="auto"/>
      </w:divBdr>
    </w:div>
    <w:div w:id="93138118">
      <w:bodyDiv w:val="1"/>
      <w:marLeft w:val="0"/>
      <w:marRight w:val="0"/>
      <w:marTop w:val="0"/>
      <w:marBottom w:val="0"/>
      <w:divBdr>
        <w:top w:val="none" w:sz="0" w:space="0" w:color="auto"/>
        <w:left w:val="none" w:sz="0" w:space="0" w:color="auto"/>
        <w:bottom w:val="none" w:sz="0" w:space="0" w:color="auto"/>
        <w:right w:val="none" w:sz="0" w:space="0" w:color="auto"/>
      </w:divBdr>
    </w:div>
    <w:div w:id="116994509">
      <w:bodyDiv w:val="1"/>
      <w:marLeft w:val="0"/>
      <w:marRight w:val="0"/>
      <w:marTop w:val="0"/>
      <w:marBottom w:val="0"/>
      <w:divBdr>
        <w:top w:val="none" w:sz="0" w:space="0" w:color="auto"/>
        <w:left w:val="none" w:sz="0" w:space="0" w:color="auto"/>
        <w:bottom w:val="none" w:sz="0" w:space="0" w:color="auto"/>
        <w:right w:val="none" w:sz="0" w:space="0" w:color="auto"/>
      </w:divBdr>
    </w:div>
    <w:div w:id="119619340">
      <w:bodyDiv w:val="1"/>
      <w:marLeft w:val="0"/>
      <w:marRight w:val="0"/>
      <w:marTop w:val="0"/>
      <w:marBottom w:val="0"/>
      <w:divBdr>
        <w:top w:val="none" w:sz="0" w:space="0" w:color="auto"/>
        <w:left w:val="none" w:sz="0" w:space="0" w:color="auto"/>
        <w:bottom w:val="none" w:sz="0" w:space="0" w:color="auto"/>
        <w:right w:val="none" w:sz="0" w:space="0" w:color="auto"/>
      </w:divBdr>
    </w:div>
    <w:div w:id="229314832">
      <w:bodyDiv w:val="1"/>
      <w:marLeft w:val="0"/>
      <w:marRight w:val="0"/>
      <w:marTop w:val="0"/>
      <w:marBottom w:val="0"/>
      <w:divBdr>
        <w:top w:val="none" w:sz="0" w:space="0" w:color="auto"/>
        <w:left w:val="none" w:sz="0" w:space="0" w:color="auto"/>
        <w:bottom w:val="none" w:sz="0" w:space="0" w:color="auto"/>
        <w:right w:val="none" w:sz="0" w:space="0" w:color="auto"/>
      </w:divBdr>
    </w:div>
    <w:div w:id="340394852">
      <w:bodyDiv w:val="1"/>
      <w:marLeft w:val="0"/>
      <w:marRight w:val="0"/>
      <w:marTop w:val="0"/>
      <w:marBottom w:val="0"/>
      <w:divBdr>
        <w:top w:val="none" w:sz="0" w:space="0" w:color="auto"/>
        <w:left w:val="none" w:sz="0" w:space="0" w:color="auto"/>
        <w:bottom w:val="none" w:sz="0" w:space="0" w:color="auto"/>
        <w:right w:val="none" w:sz="0" w:space="0" w:color="auto"/>
      </w:divBdr>
    </w:div>
    <w:div w:id="648899585">
      <w:bodyDiv w:val="1"/>
      <w:marLeft w:val="0"/>
      <w:marRight w:val="0"/>
      <w:marTop w:val="0"/>
      <w:marBottom w:val="0"/>
      <w:divBdr>
        <w:top w:val="none" w:sz="0" w:space="0" w:color="auto"/>
        <w:left w:val="none" w:sz="0" w:space="0" w:color="auto"/>
        <w:bottom w:val="none" w:sz="0" w:space="0" w:color="auto"/>
        <w:right w:val="none" w:sz="0" w:space="0" w:color="auto"/>
      </w:divBdr>
      <w:divsChild>
        <w:div w:id="775370697">
          <w:marLeft w:val="547"/>
          <w:marRight w:val="0"/>
          <w:marTop w:val="200"/>
          <w:marBottom w:val="0"/>
          <w:divBdr>
            <w:top w:val="none" w:sz="0" w:space="0" w:color="auto"/>
            <w:left w:val="none" w:sz="0" w:space="0" w:color="auto"/>
            <w:bottom w:val="none" w:sz="0" w:space="0" w:color="auto"/>
            <w:right w:val="none" w:sz="0" w:space="0" w:color="auto"/>
          </w:divBdr>
        </w:div>
      </w:divsChild>
    </w:div>
    <w:div w:id="723869400">
      <w:bodyDiv w:val="1"/>
      <w:marLeft w:val="0"/>
      <w:marRight w:val="0"/>
      <w:marTop w:val="0"/>
      <w:marBottom w:val="0"/>
      <w:divBdr>
        <w:top w:val="none" w:sz="0" w:space="0" w:color="auto"/>
        <w:left w:val="none" w:sz="0" w:space="0" w:color="auto"/>
        <w:bottom w:val="none" w:sz="0" w:space="0" w:color="auto"/>
        <w:right w:val="none" w:sz="0" w:space="0" w:color="auto"/>
      </w:divBdr>
    </w:div>
    <w:div w:id="730080267">
      <w:bodyDiv w:val="1"/>
      <w:marLeft w:val="0"/>
      <w:marRight w:val="0"/>
      <w:marTop w:val="0"/>
      <w:marBottom w:val="0"/>
      <w:divBdr>
        <w:top w:val="none" w:sz="0" w:space="0" w:color="auto"/>
        <w:left w:val="none" w:sz="0" w:space="0" w:color="auto"/>
        <w:bottom w:val="none" w:sz="0" w:space="0" w:color="auto"/>
        <w:right w:val="none" w:sz="0" w:space="0" w:color="auto"/>
      </w:divBdr>
    </w:div>
    <w:div w:id="749473887">
      <w:bodyDiv w:val="1"/>
      <w:marLeft w:val="0"/>
      <w:marRight w:val="0"/>
      <w:marTop w:val="0"/>
      <w:marBottom w:val="0"/>
      <w:divBdr>
        <w:top w:val="none" w:sz="0" w:space="0" w:color="auto"/>
        <w:left w:val="none" w:sz="0" w:space="0" w:color="auto"/>
        <w:bottom w:val="none" w:sz="0" w:space="0" w:color="auto"/>
        <w:right w:val="none" w:sz="0" w:space="0" w:color="auto"/>
      </w:divBdr>
    </w:div>
    <w:div w:id="755709549">
      <w:bodyDiv w:val="1"/>
      <w:marLeft w:val="0"/>
      <w:marRight w:val="0"/>
      <w:marTop w:val="0"/>
      <w:marBottom w:val="0"/>
      <w:divBdr>
        <w:top w:val="none" w:sz="0" w:space="0" w:color="auto"/>
        <w:left w:val="none" w:sz="0" w:space="0" w:color="auto"/>
        <w:bottom w:val="none" w:sz="0" w:space="0" w:color="auto"/>
        <w:right w:val="none" w:sz="0" w:space="0" w:color="auto"/>
      </w:divBdr>
    </w:div>
    <w:div w:id="919948778">
      <w:bodyDiv w:val="1"/>
      <w:marLeft w:val="0"/>
      <w:marRight w:val="0"/>
      <w:marTop w:val="0"/>
      <w:marBottom w:val="0"/>
      <w:divBdr>
        <w:top w:val="none" w:sz="0" w:space="0" w:color="auto"/>
        <w:left w:val="none" w:sz="0" w:space="0" w:color="auto"/>
        <w:bottom w:val="none" w:sz="0" w:space="0" w:color="auto"/>
        <w:right w:val="none" w:sz="0" w:space="0" w:color="auto"/>
      </w:divBdr>
    </w:div>
    <w:div w:id="978921760">
      <w:bodyDiv w:val="1"/>
      <w:marLeft w:val="0"/>
      <w:marRight w:val="0"/>
      <w:marTop w:val="0"/>
      <w:marBottom w:val="0"/>
      <w:divBdr>
        <w:top w:val="none" w:sz="0" w:space="0" w:color="auto"/>
        <w:left w:val="none" w:sz="0" w:space="0" w:color="auto"/>
        <w:bottom w:val="none" w:sz="0" w:space="0" w:color="auto"/>
        <w:right w:val="none" w:sz="0" w:space="0" w:color="auto"/>
      </w:divBdr>
    </w:div>
    <w:div w:id="1000230351">
      <w:bodyDiv w:val="1"/>
      <w:marLeft w:val="0"/>
      <w:marRight w:val="0"/>
      <w:marTop w:val="0"/>
      <w:marBottom w:val="0"/>
      <w:divBdr>
        <w:top w:val="none" w:sz="0" w:space="0" w:color="auto"/>
        <w:left w:val="none" w:sz="0" w:space="0" w:color="auto"/>
        <w:bottom w:val="none" w:sz="0" w:space="0" w:color="auto"/>
        <w:right w:val="none" w:sz="0" w:space="0" w:color="auto"/>
      </w:divBdr>
    </w:div>
    <w:div w:id="1059207958">
      <w:bodyDiv w:val="1"/>
      <w:marLeft w:val="0"/>
      <w:marRight w:val="0"/>
      <w:marTop w:val="0"/>
      <w:marBottom w:val="0"/>
      <w:divBdr>
        <w:top w:val="none" w:sz="0" w:space="0" w:color="auto"/>
        <w:left w:val="none" w:sz="0" w:space="0" w:color="auto"/>
        <w:bottom w:val="none" w:sz="0" w:space="0" w:color="auto"/>
        <w:right w:val="none" w:sz="0" w:space="0" w:color="auto"/>
      </w:divBdr>
    </w:div>
    <w:div w:id="1090469349">
      <w:bodyDiv w:val="1"/>
      <w:marLeft w:val="0"/>
      <w:marRight w:val="0"/>
      <w:marTop w:val="0"/>
      <w:marBottom w:val="0"/>
      <w:divBdr>
        <w:top w:val="none" w:sz="0" w:space="0" w:color="auto"/>
        <w:left w:val="none" w:sz="0" w:space="0" w:color="auto"/>
        <w:bottom w:val="none" w:sz="0" w:space="0" w:color="auto"/>
        <w:right w:val="none" w:sz="0" w:space="0" w:color="auto"/>
      </w:divBdr>
    </w:div>
    <w:div w:id="1095787821">
      <w:bodyDiv w:val="1"/>
      <w:marLeft w:val="0"/>
      <w:marRight w:val="0"/>
      <w:marTop w:val="0"/>
      <w:marBottom w:val="0"/>
      <w:divBdr>
        <w:top w:val="none" w:sz="0" w:space="0" w:color="auto"/>
        <w:left w:val="none" w:sz="0" w:space="0" w:color="auto"/>
        <w:bottom w:val="none" w:sz="0" w:space="0" w:color="auto"/>
        <w:right w:val="none" w:sz="0" w:space="0" w:color="auto"/>
      </w:divBdr>
    </w:div>
    <w:div w:id="1100298473">
      <w:bodyDiv w:val="1"/>
      <w:marLeft w:val="0"/>
      <w:marRight w:val="0"/>
      <w:marTop w:val="0"/>
      <w:marBottom w:val="0"/>
      <w:divBdr>
        <w:top w:val="none" w:sz="0" w:space="0" w:color="auto"/>
        <w:left w:val="none" w:sz="0" w:space="0" w:color="auto"/>
        <w:bottom w:val="none" w:sz="0" w:space="0" w:color="auto"/>
        <w:right w:val="none" w:sz="0" w:space="0" w:color="auto"/>
      </w:divBdr>
    </w:div>
    <w:div w:id="1126505981">
      <w:bodyDiv w:val="1"/>
      <w:marLeft w:val="0"/>
      <w:marRight w:val="0"/>
      <w:marTop w:val="0"/>
      <w:marBottom w:val="0"/>
      <w:divBdr>
        <w:top w:val="none" w:sz="0" w:space="0" w:color="auto"/>
        <w:left w:val="none" w:sz="0" w:space="0" w:color="auto"/>
        <w:bottom w:val="none" w:sz="0" w:space="0" w:color="auto"/>
        <w:right w:val="none" w:sz="0" w:space="0" w:color="auto"/>
      </w:divBdr>
    </w:div>
    <w:div w:id="1184517536">
      <w:bodyDiv w:val="1"/>
      <w:marLeft w:val="0"/>
      <w:marRight w:val="0"/>
      <w:marTop w:val="0"/>
      <w:marBottom w:val="0"/>
      <w:divBdr>
        <w:top w:val="none" w:sz="0" w:space="0" w:color="auto"/>
        <w:left w:val="none" w:sz="0" w:space="0" w:color="auto"/>
        <w:bottom w:val="none" w:sz="0" w:space="0" w:color="auto"/>
        <w:right w:val="none" w:sz="0" w:space="0" w:color="auto"/>
      </w:divBdr>
    </w:div>
    <w:div w:id="1211915265">
      <w:bodyDiv w:val="1"/>
      <w:marLeft w:val="0"/>
      <w:marRight w:val="0"/>
      <w:marTop w:val="0"/>
      <w:marBottom w:val="0"/>
      <w:divBdr>
        <w:top w:val="none" w:sz="0" w:space="0" w:color="auto"/>
        <w:left w:val="none" w:sz="0" w:space="0" w:color="auto"/>
        <w:bottom w:val="none" w:sz="0" w:space="0" w:color="auto"/>
        <w:right w:val="none" w:sz="0" w:space="0" w:color="auto"/>
      </w:divBdr>
    </w:div>
    <w:div w:id="1456099043">
      <w:bodyDiv w:val="1"/>
      <w:marLeft w:val="0"/>
      <w:marRight w:val="0"/>
      <w:marTop w:val="0"/>
      <w:marBottom w:val="0"/>
      <w:divBdr>
        <w:top w:val="none" w:sz="0" w:space="0" w:color="auto"/>
        <w:left w:val="none" w:sz="0" w:space="0" w:color="auto"/>
        <w:bottom w:val="none" w:sz="0" w:space="0" w:color="auto"/>
        <w:right w:val="none" w:sz="0" w:space="0" w:color="auto"/>
      </w:divBdr>
      <w:divsChild>
        <w:div w:id="1934896764">
          <w:marLeft w:val="547"/>
          <w:marRight w:val="0"/>
          <w:marTop w:val="200"/>
          <w:marBottom w:val="0"/>
          <w:divBdr>
            <w:top w:val="none" w:sz="0" w:space="0" w:color="auto"/>
            <w:left w:val="none" w:sz="0" w:space="0" w:color="auto"/>
            <w:bottom w:val="none" w:sz="0" w:space="0" w:color="auto"/>
            <w:right w:val="none" w:sz="0" w:space="0" w:color="auto"/>
          </w:divBdr>
        </w:div>
      </w:divsChild>
    </w:div>
    <w:div w:id="1474299775">
      <w:bodyDiv w:val="1"/>
      <w:marLeft w:val="0"/>
      <w:marRight w:val="0"/>
      <w:marTop w:val="0"/>
      <w:marBottom w:val="0"/>
      <w:divBdr>
        <w:top w:val="none" w:sz="0" w:space="0" w:color="auto"/>
        <w:left w:val="none" w:sz="0" w:space="0" w:color="auto"/>
        <w:bottom w:val="none" w:sz="0" w:space="0" w:color="auto"/>
        <w:right w:val="none" w:sz="0" w:space="0" w:color="auto"/>
      </w:divBdr>
    </w:div>
    <w:div w:id="1509252170">
      <w:bodyDiv w:val="1"/>
      <w:marLeft w:val="0"/>
      <w:marRight w:val="0"/>
      <w:marTop w:val="0"/>
      <w:marBottom w:val="0"/>
      <w:divBdr>
        <w:top w:val="none" w:sz="0" w:space="0" w:color="auto"/>
        <w:left w:val="none" w:sz="0" w:space="0" w:color="auto"/>
        <w:bottom w:val="none" w:sz="0" w:space="0" w:color="auto"/>
        <w:right w:val="none" w:sz="0" w:space="0" w:color="auto"/>
      </w:divBdr>
      <w:divsChild>
        <w:div w:id="1222330369">
          <w:marLeft w:val="547"/>
          <w:marRight w:val="0"/>
          <w:marTop w:val="200"/>
          <w:marBottom w:val="0"/>
          <w:divBdr>
            <w:top w:val="none" w:sz="0" w:space="0" w:color="auto"/>
            <w:left w:val="none" w:sz="0" w:space="0" w:color="auto"/>
            <w:bottom w:val="none" w:sz="0" w:space="0" w:color="auto"/>
            <w:right w:val="none" w:sz="0" w:space="0" w:color="auto"/>
          </w:divBdr>
        </w:div>
      </w:divsChild>
    </w:div>
    <w:div w:id="1645235347">
      <w:bodyDiv w:val="1"/>
      <w:marLeft w:val="0"/>
      <w:marRight w:val="0"/>
      <w:marTop w:val="0"/>
      <w:marBottom w:val="0"/>
      <w:divBdr>
        <w:top w:val="none" w:sz="0" w:space="0" w:color="auto"/>
        <w:left w:val="none" w:sz="0" w:space="0" w:color="auto"/>
        <w:bottom w:val="none" w:sz="0" w:space="0" w:color="auto"/>
        <w:right w:val="none" w:sz="0" w:space="0" w:color="auto"/>
      </w:divBdr>
    </w:div>
    <w:div w:id="1663193740">
      <w:bodyDiv w:val="1"/>
      <w:marLeft w:val="0"/>
      <w:marRight w:val="0"/>
      <w:marTop w:val="0"/>
      <w:marBottom w:val="0"/>
      <w:divBdr>
        <w:top w:val="none" w:sz="0" w:space="0" w:color="auto"/>
        <w:left w:val="none" w:sz="0" w:space="0" w:color="auto"/>
        <w:bottom w:val="none" w:sz="0" w:space="0" w:color="auto"/>
        <w:right w:val="none" w:sz="0" w:space="0" w:color="auto"/>
      </w:divBdr>
      <w:divsChild>
        <w:div w:id="870648212">
          <w:marLeft w:val="547"/>
          <w:marRight w:val="0"/>
          <w:marTop w:val="200"/>
          <w:marBottom w:val="0"/>
          <w:divBdr>
            <w:top w:val="none" w:sz="0" w:space="0" w:color="auto"/>
            <w:left w:val="none" w:sz="0" w:space="0" w:color="auto"/>
            <w:bottom w:val="none" w:sz="0" w:space="0" w:color="auto"/>
            <w:right w:val="none" w:sz="0" w:space="0" w:color="auto"/>
          </w:divBdr>
        </w:div>
        <w:div w:id="1999260316">
          <w:marLeft w:val="547"/>
          <w:marRight w:val="0"/>
          <w:marTop w:val="200"/>
          <w:marBottom w:val="0"/>
          <w:divBdr>
            <w:top w:val="none" w:sz="0" w:space="0" w:color="auto"/>
            <w:left w:val="none" w:sz="0" w:space="0" w:color="auto"/>
            <w:bottom w:val="none" w:sz="0" w:space="0" w:color="auto"/>
            <w:right w:val="none" w:sz="0" w:space="0" w:color="auto"/>
          </w:divBdr>
        </w:div>
      </w:divsChild>
    </w:div>
    <w:div w:id="1908375431">
      <w:bodyDiv w:val="1"/>
      <w:marLeft w:val="0"/>
      <w:marRight w:val="0"/>
      <w:marTop w:val="0"/>
      <w:marBottom w:val="0"/>
      <w:divBdr>
        <w:top w:val="none" w:sz="0" w:space="0" w:color="auto"/>
        <w:left w:val="none" w:sz="0" w:space="0" w:color="auto"/>
        <w:bottom w:val="none" w:sz="0" w:space="0" w:color="auto"/>
        <w:right w:val="none" w:sz="0" w:space="0" w:color="auto"/>
      </w:divBdr>
    </w:div>
    <w:div w:id="1994873962">
      <w:bodyDiv w:val="1"/>
      <w:marLeft w:val="0"/>
      <w:marRight w:val="0"/>
      <w:marTop w:val="0"/>
      <w:marBottom w:val="0"/>
      <w:divBdr>
        <w:top w:val="none" w:sz="0" w:space="0" w:color="auto"/>
        <w:left w:val="none" w:sz="0" w:space="0" w:color="auto"/>
        <w:bottom w:val="none" w:sz="0" w:space="0" w:color="auto"/>
        <w:right w:val="none" w:sz="0" w:space="0" w:color="auto"/>
      </w:divBdr>
    </w:div>
    <w:div w:id="2037610240">
      <w:bodyDiv w:val="1"/>
      <w:marLeft w:val="0"/>
      <w:marRight w:val="0"/>
      <w:marTop w:val="0"/>
      <w:marBottom w:val="0"/>
      <w:divBdr>
        <w:top w:val="none" w:sz="0" w:space="0" w:color="auto"/>
        <w:left w:val="none" w:sz="0" w:space="0" w:color="auto"/>
        <w:bottom w:val="none" w:sz="0" w:space="0" w:color="auto"/>
        <w:right w:val="none" w:sz="0" w:space="0" w:color="auto"/>
      </w:divBdr>
    </w:div>
    <w:div w:id="211697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417.A420249915.2.S" TargetMode="External"/><Relationship Id="rId3" Type="http://schemas.openxmlformats.org/officeDocument/2006/relationships/settings" Target="settings.xml"/><Relationship Id="rId7" Type="http://schemas.openxmlformats.org/officeDocument/2006/relationships/hyperlink" Target="https://manas.tiesas.lv/eTiesasMvc/eclinolemumi/ECLI:LV:AT:2021:1001.A420289719.16.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eclinolemumi/ECLI:LV:AT:2019:0130.A420199815.2.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1727</Words>
  <Characters>9845</Characters>
  <Application>Microsoft Office Word</Application>
  <DocSecurity>0</DocSecurity>
  <Lines>82</Lines>
  <Paragraphs>23</Paragraphs>
  <ScaleCrop>false</ScaleCrop>
  <Company/>
  <LinksUpToDate>false</LinksUpToDate>
  <CharactersWithSpaces>11549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2021-11-11T12:43:00Z</dcterms:created>
  <dcterms:modified xsi:type="dcterms:W3CDTF">2022-03-10T13:44:00Z</dcterms:modified>
</cp:coreProperties>
</file>