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013B" w14:textId="66ED631C" w:rsidR="00F049D1" w:rsidRDefault="004E52FF" w:rsidP="004E52FF">
      <w:pPr>
        <w:spacing w:line="276" w:lineRule="auto"/>
        <w:jc w:val="both"/>
        <w:rPr>
          <w:b/>
          <w:bCs/>
        </w:rPr>
      </w:pPr>
      <w:r w:rsidRPr="00256380">
        <w:rPr>
          <w:b/>
          <w:bCs/>
        </w:rPr>
        <w:t xml:space="preserve">Krimināllikuma </w:t>
      </w:r>
      <w:proofErr w:type="gramStart"/>
      <w:r w:rsidRPr="00256380">
        <w:rPr>
          <w:b/>
          <w:bCs/>
        </w:rPr>
        <w:t>148.pantā</w:t>
      </w:r>
      <w:proofErr w:type="gramEnd"/>
      <w:r w:rsidRPr="00256380">
        <w:rPr>
          <w:b/>
          <w:bCs/>
        </w:rPr>
        <w:t xml:space="preserve"> paredzētā noziedzīgā nodarījuma (autortiesību un blakustiesību pārkāpšana) objektīvās puses izpausme – datorprogrammas reproducēšana bez autortiesību subjekta atļaujas</w:t>
      </w:r>
    </w:p>
    <w:p w14:paraId="3C0008DB" w14:textId="01F035B2" w:rsidR="004E52FF" w:rsidRPr="004E52FF" w:rsidRDefault="004E52FF" w:rsidP="004E52FF">
      <w:pPr>
        <w:spacing w:line="276" w:lineRule="auto"/>
        <w:jc w:val="both"/>
        <w:rPr>
          <w:color w:val="000000"/>
        </w:rPr>
      </w:pPr>
      <w:r w:rsidRPr="004E52FF">
        <w:rPr>
          <w:color w:val="000000"/>
        </w:rPr>
        <w:t xml:space="preserve">Nosakot, vai persona saucama pie kriminālatbildības pēc Krimināllikuma </w:t>
      </w:r>
      <w:proofErr w:type="gramStart"/>
      <w:r w:rsidRPr="004E52FF">
        <w:rPr>
          <w:color w:val="000000"/>
        </w:rPr>
        <w:t>148.panta</w:t>
      </w:r>
      <w:proofErr w:type="gramEnd"/>
      <w:r w:rsidRPr="004E52FF">
        <w:rPr>
          <w:color w:val="000000"/>
        </w:rPr>
        <w:t xml:space="preserve"> par autortiesību pārkāpšanu, jāņem vērā, ka Autortiesību likuma 15.panta ceturtajā daļā nav norādītas patstāvīgas autora izņēmuma tiesības un no tām arī nevar izsecināt likumā tieši nenorādītu izņēmuma tiesību pastāvēšanu.</w:t>
      </w:r>
    </w:p>
    <w:p w14:paraId="7748A1F6" w14:textId="79528CBD" w:rsidR="004E52FF" w:rsidRDefault="004E52FF" w:rsidP="004E52FF">
      <w:pPr>
        <w:spacing w:line="276" w:lineRule="auto"/>
        <w:jc w:val="both"/>
        <w:rPr>
          <w:color w:val="000000"/>
        </w:rPr>
      </w:pPr>
      <w:r w:rsidRPr="004E52FF">
        <w:rPr>
          <w:color w:val="000000"/>
        </w:rPr>
        <w:t xml:space="preserve">Autortiesību likuma </w:t>
      </w:r>
      <w:proofErr w:type="gramStart"/>
      <w:r w:rsidRPr="004E52FF">
        <w:rPr>
          <w:color w:val="000000"/>
        </w:rPr>
        <w:t>15.panta</w:t>
      </w:r>
      <w:proofErr w:type="gramEnd"/>
      <w:r w:rsidRPr="004E52FF">
        <w:rPr>
          <w:color w:val="000000"/>
        </w:rPr>
        <w:t xml:space="preserve"> ceturtajā daļā norādīto tiesību pārkāpumu var konstatēt tikai kopsakarā ar kādu no šī panta pirmajā, otrajā vai trešajā daļā norādīto autora izņēmuma tiesību pārkāpumiem.</w:t>
      </w:r>
    </w:p>
    <w:p w14:paraId="6EEE2BCA" w14:textId="4212CB69" w:rsidR="004E52FF" w:rsidRDefault="004E52FF" w:rsidP="004E52FF">
      <w:pPr>
        <w:spacing w:line="276" w:lineRule="auto"/>
        <w:jc w:val="both"/>
        <w:rPr>
          <w:color w:val="000000"/>
        </w:rPr>
      </w:pPr>
    </w:p>
    <w:p w14:paraId="66124BB1" w14:textId="66EEA941" w:rsidR="004E52FF" w:rsidRPr="004E52FF" w:rsidRDefault="004E52FF" w:rsidP="004E52FF">
      <w:pPr>
        <w:spacing w:line="276" w:lineRule="auto"/>
        <w:jc w:val="both"/>
      </w:pPr>
      <w:r w:rsidRPr="00256380">
        <w:rPr>
          <w:b/>
          <w:bCs/>
        </w:rPr>
        <w:t>Kriminālprocesā iesaistītās personas lūguma par jautājuma uzdošanu Eiropas Savienības tiesai izlemšana</w:t>
      </w:r>
    </w:p>
    <w:p w14:paraId="3BB08724" w14:textId="6FA2863D" w:rsidR="00F049D1" w:rsidRPr="00115971" w:rsidRDefault="00F049D1" w:rsidP="004E52FF">
      <w:pPr>
        <w:pStyle w:val="BodyText2"/>
        <w:spacing w:line="276" w:lineRule="auto"/>
        <w:jc w:val="left"/>
        <w:rPr>
          <w:rFonts w:ascii="Times New Roman" w:hAnsi="Times New Roman"/>
          <w:sz w:val="22"/>
          <w:szCs w:val="24"/>
        </w:rPr>
      </w:pPr>
    </w:p>
    <w:p w14:paraId="7381D325" w14:textId="77777777" w:rsidR="00DD5F9C" w:rsidRPr="00DD5F9C" w:rsidRDefault="00F049D1" w:rsidP="00F049D1">
      <w:pPr>
        <w:spacing w:line="276" w:lineRule="auto"/>
        <w:jc w:val="center"/>
        <w:rPr>
          <w:b/>
        </w:rPr>
      </w:pPr>
      <w:r w:rsidRPr="00DD5F9C">
        <w:rPr>
          <w:b/>
        </w:rPr>
        <w:t>Latvijas Republikas Senāt</w:t>
      </w:r>
      <w:r w:rsidR="00DD5F9C" w:rsidRPr="00DD5F9C">
        <w:rPr>
          <w:b/>
        </w:rPr>
        <w:t xml:space="preserve">a </w:t>
      </w:r>
    </w:p>
    <w:p w14:paraId="0360177A" w14:textId="77777777" w:rsidR="00DD5F9C" w:rsidRPr="00DD5F9C" w:rsidRDefault="00DD5F9C" w:rsidP="00F049D1">
      <w:pPr>
        <w:spacing w:line="276" w:lineRule="auto"/>
        <w:jc w:val="center"/>
        <w:rPr>
          <w:b/>
        </w:rPr>
      </w:pPr>
      <w:r w:rsidRPr="00DD5F9C">
        <w:rPr>
          <w:b/>
        </w:rPr>
        <w:t>Krimināllietu departamenta</w:t>
      </w:r>
    </w:p>
    <w:p w14:paraId="7E3D5694" w14:textId="205F4ED5" w:rsidR="00F049D1" w:rsidRPr="00DD5F9C" w:rsidRDefault="00DD5F9C" w:rsidP="00F049D1">
      <w:pPr>
        <w:spacing w:line="276" w:lineRule="auto"/>
        <w:jc w:val="center"/>
        <w:rPr>
          <w:b/>
        </w:rPr>
      </w:pPr>
      <w:proofErr w:type="gramStart"/>
      <w:r w:rsidRPr="00DD5F9C">
        <w:rPr>
          <w:b/>
        </w:rPr>
        <w:t>2021.gada</w:t>
      </w:r>
      <w:proofErr w:type="gramEnd"/>
      <w:r w:rsidRPr="00DD5F9C">
        <w:rPr>
          <w:b/>
        </w:rPr>
        <w:t xml:space="preserve"> 21.septembra</w:t>
      </w:r>
    </w:p>
    <w:p w14:paraId="122F63A7" w14:textId="77777777" w:rsidR="00F049D1" w:rsidRPr="00DD5F9C" w:rsidRDefault="00F049D1" w:rsidP="00F049D1">
      <w:pPr>
        <w:spacing w:line="276" w:lineRule="auto"/>
        <w:jc w:val="center"/>
        <w:rPr>
          <w:b/>
        </w:rPr>
      </w:pPr>
      <w:r w:rsidRPr="00DD5F9C">
        <w:rPr>
          <w:b/>
        </w:rPr>
        <w:t>LĒMUMS</w:t>
      </w:r>
    </w:p>
    <w:p w14:paraId="3F0EC91F" w14:textId="007D49E8" w:rsidR="00F049D1" w:rsidRDefault="00DD5F9C" w:rsidP="00F049D1">
      <w:pPr>
        <w:spacing w:line="276" w:lineRule="auto"/>
        <w:jc w:val="center"/>
        <w:rPr>
          <w:b/>
        </w:rPr>
      </w:pPr>
      <w:r w:rsidRPr="00DD5F9C">
        <w:rPr>
          <w:b/>
        </w:rPr>
        <w:t>Lieta Nr. 11816005315, SKK-9/2021</w:t>
      </w:r>
    </w:p>
    <w:p w14:paraId="618901B3" w14:textId="7AEB635C" w:rsidR="004E52FF" w:rsidRPr="004E52FF" w:rsidRDefault="007B4229" w:rsidP="00F049D1">
      <w:pPr>
        <w:spacing w:line="276" w:lineRule="auto"/>
        <w:jc w:val="center"/>
        <w:rPr>
          <w:b/>
        </w:rPr>
      </w:pPr>
      <w:hyperlink r:id="rId8" w:history="1">
        <w:r w:rsidR="004E52FF" w:rsidRPr="004E52FF">
          <w:rPr>
            <w:rStyle w:val="Hyperlink"/>
            <w:shd w:val="clear" w:color="auto" w:fill="FFFFFF"/>
          </w:rPr>
          <w:t>ECLI:LV:AT:2021:0921.11816005315.3.L</w:t>
        </w:r>
      </w:hyperlink>
    </w:p>
    <w:p w14:paraId="354680BB" w14:textId="77777777" w:rsidR="00F049D1" w:rsidRPr="00115971" w:rsidRDefault="00F049D1" w:rsidP="00F049D1">
      <w:pPr>
        <w:spacing w:line="276" w:lineRule="auto"/>
      </w:pPr>
    </w:p>
    <w:p w14:paraId="6CC550EF" w14:textId="77777777" w:rsidR="00F049D1" w:rsidRPr="00115971" w:rsidRDefault="00F049D1" w:rsidP="00F049D1">
      <w:pPr>
        <w:spacing w:line="276" w:lineRule="auto"/>
        <w:ind w:firstLine="709"/>
        <w:jc w:val="both"/>
      </w:pPr>
      <w:r w:rsidRPr="00115971">
        <w:t>Tiesa šādā sastāvā: senatores Sandra Kaija, Aija Branta, Anita Poļakova</w:t>
      </w:r>
    </w:p>
    <w:p w14:paraId="68BEDA35" w14:textId="77777777" w:rsidR="00F049D1" w:rsidRPr="00115971" w:rsidRDefault="00F049D1" w:rsidP="00F049D1">
      <w:pPr>
        <w:tabs>
          <w:tab w:val="left" w:pos="567"/>
        </w:tabs>
        <w:spacing w:line="276" w:lineRule="auto"/>
        <w:ind w:firstLine="709"/>
        <w:jc w:val="both"/>
      </w:pPr>
      <w:r w:rsidRPr="00115971">
        <w:tab/>
      </w:r>
    </w:p>
    <w:p w14:paraId="7CC606FB" w14:textId="200DE25D" w:rsidR="00F049D1" w:rsidRPr="00115971" w:rsidRDefault="00F049D1" w:rsidP="00F049D1">
      <w:pPr>
        <w:tabs>
          <w:tab w:val="left" w:pos="567"/>
        </w:tabs>
        <w:spacing w:line="276" w:lineRule="auto"/>
        <w:ind w:firstLine="709"/>
        <w:jc w:val="both"/>
      </w:pPr>
      <w:r w:rsidRPr="00115971">
        <w:tab/>
        <w:t xml:space="preserve">izskatīja rakstveida procesā krimināllietu sakarā ar apsūdzētā </w:t>
      </w:r>
      <w:r w:rsidR="004E52FF">
        <w:t>[pers. A]</w:t>
      </w:r>
      <w:r w:rsidRPr="00115971">
        <w:t xml:space="preserve"> aizstāvja Māra Gruduļa kasācijas sūdzību par Rīgas apgabaltiesas </w:t>
      </w:r>
      <w:proofErr w:type="gramStart"/>
      <w:r w:rsidRPr="00115971">
        <w:t>2019.gada</w:t>
      </w:r>
      <w:proofErr w:type="gramEnd"/>
      <w:r w:rsidRPr="00115971">
        <w:t xml:space="preserve"> 4.oktobra spriedumu. </w:t>
      </w:r>
    </w:p>
    <w:p w14:paraId="5406C252" w14:textId="77777777" w:rsidR="00F049D1" w:rsidRPr="00115971" w:rsidRDefault="00F049D1" w:rsidP="00F049D1">
      <w:pPr>
        <w:pStyle w:val="Heading2"/>
        <w:spacing w:before="0" w:after="0" w:line="276" w:lineRule="auto"/>
        <w:jc w:val="both"/>
        <w:rPr>
          <w:rFonts w:ascii="Times New Roman" w:hAnsi="Times New Roman" w:cs="Times New Roman"/>
          <w:sz w:val="24"/>
          <w:szCs w:val="24"/>
        </w:rPr>
      </w:pPr>
      <w:r w:rsidRPr="00115971">
        <w:rPr>
          <w:rFonts w:ascii="Times New Roman" w:hAnsi="Times New Roman" w:cs="Times New Roman"/>
          <w:sz w:val="24"/>
          <w:szCs w:val="24"/>
        </w:rPr>
        <w:t xml:space="preserve"> </w:t>
      </w:r>
    </w:p>
    <w:p w14:paraId="22599670" w14:textId="77777777" w:rsidR="00F049D1" w:rsidRPr="00115971" w:rsidRDefault="00F049D1" w:rsidP="00F049D1">
      <w:pPr>
        <w:pStyle w:val="Heading2"/>
        <w:spacing w:before="0" w:after="0" w:line="276" w:lineRule="auto"/>
        <w:jc w:val="center"/>
        <w:rPr>
          <w:rFonts w:ascii="Times New Roman" w:hAnsi="Times New Roman" w:cs="Times New Roman"/>
          <w:i w:val="0"/>
          <w:sz w:val="24"/>
          <w:szCs w:val="24"/>
        </w:rPr>
      </w:pPr>
      <w:r w:rsidRPr="00115971">
        <w:rPr>
          <w:rFonts w:ascii="Times New Roman" w:hAnsi="Times New Roman" w:cs="Times New Roman"/>
          <w:i w:val="0"/>
          <w:sz w:val="24"/>
          <w:szCs w:val="24"/>
        </w:rPr>
        <w:t>Aprakstošā daļa</w:t>
      </w:r>
    </w:p>
    <w:p w14:paraId="61ED0793" w14:textId="77777777" w:rsidR="00F049D1" w:rsidRPr="00115971" w:rsidRDefault="00F049D1" w:rsidP="00F049D1">
      <w:pPr>
        <w:spacing w:line="276" w:lineRule="auto"/>
        <w:ind w:firstLine="709"/>
        <w:jc w:val="both"/>
      </w:pPr>
    </w:p>
    <w:p w14:paraId="24369827" w14:textId="77777777" w:rsidR="00ED6264" w:rsidRDefault="00F049D1" w:rsidP="00F049D1">
      <w:pPr>
        <w:spacing w:line="276" w:lineRule="auto"/>
        <w:ind w:firstLine="709"/>
        <w:jc w:val="both"/>
        <w:rPr>
          <w:lang w:eastAsia="lv-LV"/>
        </w:rPr>
      </w:pPr>
      <w:r w:rsidRPr="00115971">
        <w:t xml:space="preserve">[1] </w:t>
      </w:r>
      <w:r w:rsidRPr="00115971">
        <w:rPr>
          <w:lang w:eastAsia="lv-LV"/>
        </w:rPr>
        <w:t xml:space="preserve">Ar Rīgas rajona tiesas </w:t>
      </w:r>
      <w:proofErr w:type="gramStart"/>
      <w:r w:rsidRPr="00115971">
        <w:rPr>
          <w:lang w:eastAsia="lv-LV"/>
        </w:rPr>
        <w:t>2016.gada</w:t>
      </w:r>
      <w:proofErr w:type="gramEnd"/>
      <w:r w:rsidRPr="00115971">
        <w:rPr>
          <w:lang w:eastAsia="lv-LV"/>
        </w:rPr>
        <w:t xml:space="preserve"> 2.decembra spriedumu </w:t>
      </w:r>
    </w:p>
    <w:p w14:paraId="5925E541" w14:textId="008D9DD9" w:rsidR="00ED6264" w:rsidRDefault="004E52FF" w:rsidP="00F049D1">
      <w:pPr>
        <w:spacing w:line="276" w:lineRule="auto"/>
        <w:ind w:firstLine="709"/>
        <w:jc w:val="both"/>
        <w:rPr>
          <w:lang w:eastAsia="lv-LV"/>
        </w:rPr>
      </w:pPr>
      <w:r>
        <w:t>[pers. A]</w:t>
      </w:r>
      <w:r w:rsidR="00F049D1" w:rsidRPr="00115971">
        <w:t xml:space="preserve">, personas kods </w:t>
      </w:r>
      <w:r>
        <w:t>[..]</w:t>
      </w:r>
      <w:r w:rsidR="00F049D1" w:rsidRPr="00115971">
        <w:t>,</w:t>
      </w:r>
      <w:r w:rsidR="00F049D1" w:rsidRPr="00115971">
        <w:rPr>
          <w:lang w:eastAsia="lv-LV"/>
        </w:rPr>
        <w:t xml:space="preserve"> </w:t>
      </w:r>
    </w:p>
    <w:p w14:paraId="5D4877C7" w14:textId="5DF0DB36" w:rsidR="00F049D1" w:rsidRPr="00115971" w:rsidRDefault="00F049D1" w:rsidP="00F049D1">
      <w:pPr>
        <w:spacing w:line="276" w:lineRule="auto"/>
        <w:ind w:firstLine="709"/>
        <w:jc w:val="both"/>
        <w:rPr>
          <w:lang w:eastAsia="lv-LV"/>
        </w:rPr>
      </w:pPr>
      <w:r w:rsidRPr="00115971">
        <w:t xml:space="preserve">atzīts par vainīgu Krimināllikuma </w:t>
      </w:r>
      <w:proofErr w:type="gramStart"/>
      <w:r w:rsidRPr="00115971">
        <w:t>148.panta</w:t>
      </w:r>
      <w:proofErr w:type="gramEnd"/>
      <w:r w:rsidRPr="00115971">
        <w:t xml:space="preserve"> trešajā daļā paredzētajā noziedzīgajā nodarījumā un sodīts ar brīvības atņemšanu uz 6 mēnešiem, atņemot tiesības pildīt amata pienākumus saistītus ar likumīgu datorprogrammu iegādes un izmantošanas kontroli, datorsistēmu un datorprogrammu darba kārtības nodrošināšanu, inženieru un citu darbinieku, kas izmanto datorsistēmas ar datorprogrammām, uzraudzību un darba organizēšanu</w:t>
      </w:r>
      <w:r w:rsidR="007D57C1">
        <w:t xml:space="preserve"> </w:t>
      </w:r>
      <w:r w:rsidR="007D57C1" w:rsidRPr="00115971">
        <w:t>SIA „</w:t>
      </w:r>
      <w:r w:rsidR="004E52FF">
        <w:t>[Nosaukums]</w:t>
      </w:r>
      <w:r w:rsidR="007D57C1" w:rsidRPr="00115971">
        <w:t>”</w:t>
      </w:r>
      <w:r w:rsidRPr="00115971">
        <w:t>, uz 1 gadu.</w:t>
      </w:r>
    </w:p>
    <w:p w14:paraId="40280448" w14:textId="77777777" w:rsidR="00F049D1" w:rsidRPr="00115971" w:rsidRDefault="00F049D1" w:rsidP="00F049D1">
      <w:pPr>
        <w:spacing w:line="276" w:lineRule="auto"/>
        <w:ind w:firstLine="709"/>
        <w:jc w:val="both"/>
      </w:pPr>
      <w:r w:rsidRPr="00115971">
        <w:t xml:space="preserve">Saskaņā ar Krimināllikuma </w:t>
      </w:r>
      <w:proofErr w:type="gramStart"/>
      <w:r w:rsidRPr="00115971">
        <w:t>55.pantu</w:t>
      </w:r>
      <w:proofErr w:type="gramEnd"/>
      <w:r w:rsidRPr="00115971">
        <w:t xml:space="preserve"> brīvības atņemšanas sods noteikts nosacīti ar pārbaudes laiku uz 6 mēnešiem.</w:t>
      </w:r>
    </w:p>
    <w:p w14:paraId="5A3902B7" w14:textId="77777777" w:rsidR="00F049D1" w:rsidRPr="00115971" w:rsidRDefault="00F049D1" w:rsidP="00F049D1">
      <w:pPr>
        <w:spacing w:line="276" w:lineRule="auto"/>
        <w:ind w:firstLine="709"/>
        <w:jc w:val="both"/>
      </w:pPr>
    </w:p>
    <w:p w14:paraId="582A0809" w14:textId="28F4E4DC" w:rsidR="00F049D1" w:rsidRPr="00115971" w:rsidRDefault="00F049D1" w:rsidP="00F049D1">
      <w:pPr>
        <w:spacing w:line="276" w:lineRule="auto"/>
        <w:ind w:firstLine="709"/>
        <w:jc w:val="both"/>
      </w:pPr>
      <w:r w:rsidRPr="00115971">
        <w:t xml:space="preserve">[2] </w:t>
      </w:r>
      <w:r w:rsidRPr="00115971">
        <w:rPr>
          <w:lang w:eastAsia="lv-LV"/>
        </w:rPr>
        <w:t>Ar pirmās instances tiesas spriedumu</w:t>
      </w:r>
      <w:r w:rsidRPr="00115971">
        <w:t xml:space="preserve"> </w:t>
      </w:r>
      <w:r w:rsidR="004E52FF">
        <w:t>[pers. A]</w:t>
      </w:r>
      <w:r w:rsidRPr="00115971">
        <w:t xml:space="preserve"> atzīts par vainīgu un sodīts par autortiesību pārkāpšanu lielā apmērā.</w:t>
      </w:r>
    </w:p>
    <w:p w14:paraId="5F832E24" w14:textId="77777777" w:rsidR="00F049D1" w:rsidRPr="00115971" w:rsidRDefault="00F049D1" w:rsidP="00F049D1">
      <w:pPr>
        <w:spacing w:line="276" w:lineRule="auto"/>
        <w:ind w:firstLine="709"/>
        <w:jc w:val="both"/>
      </w:pPr>
    </w:p>
    <w:p w14:paraId="468DF1FF" w14:textId="7BCC9370" w:rsidR="00F049D1" w:rsidRPr="00115971" w:rsidRDefault="00F049D1" w:rsidP="00F049D1">
      <w:pPr>
        <w:spacing w:line="276" w:lineRule="auto"/>
        <w:ind w:firstLine="709"/>
        <w:jc w:val="both"/>
      </w:pPr>
      <w:r w:rsidRPr="00115971">
        <w:t xml:space="preserve">[3] Ar Rīgas apgabaltiesas </w:t>
      </w:r>
      <w:proofErr w:type="gramStart"/>
      <w:r w:rsidRPr="00115971">
        <w:t>2019.gada</w:t>
      </w:r>
      <w:proofErr w:type="gramEnd"/>
      <w:r w:rsidRPr="00115971">
        <w:t xml:space="preserve"> 4.oktobra spriedumu</w:t>
      </w:r>
      <w:r w:rsidR="0011193D">
        <w:t xml:space="preserve">, iztiesājot lietu sakarā ar apsūdzētā </w:t>
      </w:r>
      <w:r w:rsidR="004E52FF">
        <w:t>[pers. A]</w:t>
      </w:r>
      <w:r w:rsidR="0011193D">
        <w:t xml:space="preserve"> aizstāvja M. Gruduļa </w:t>
      </w:r>
      <w:r w:rsidR="00361E7E">
        <w:t xml:space="preserve">apelācijas </w:t>
      </w:r>
      <w:r w:rsidR="0011193D">
        <w:t>sūdzību,</w:t>
      </w:r>
      <w:r w:rsidRPr="00115971">
        <w:t xml:space="preserve"> Rīgas rajona tiesas 2016.gada </w:t>
      </w:r>
      <w:r w:rsidRPr="00115971">
        <w:lastRenderedPageBreak/>
        <w:t xml:space="preserve">2.decembra spriedums atcelts daļā par </w:t>
      </w:r>
      <w:r w:rsidR="004E52FF">
        <w:t>[pers. A]</w:t>
      </w:r>
      <w:r w:rsidRPr="00115971">
        <w:t xml:space="preserve"> atzīšanu par vainīgu un sodīšanu pēc Krimināllikuma 148.panta trešās daļas.</w:t>
      </w:r>
    </w:p>
    <w:p w14:paraId="4E899216" w14:textId="67D4B9F9" w:rsidR="00F049D1" w:rsidRPr="00115971" w:rsidRDefault="004E52FF" w:rsidP="00F049D1">
      <w:pPr>
        <w:spacing w:line="276" w:lineRule="auto"/>
        <w:ind w:firstLine="709"/>
        <w:jc w:val="both"/>
      </w:pPr>
      <w:r>
        <w:t>[Pers. A]</w:t>
      </w:r>
      <w:r w:rsidR="00F049D1" w:rsidRPr="00115971">
        <w:t xml:space="preserve"> atzīts par vainīgu Krimināllikuma </w:t>
      </w:r>
      <w:proofErr w:type="gramStart"/>
      <w:r w:rsidR="00F049D1" w:rsidRPr="00115971">
        <w:t>148.panta</w:t>
      </w:r>
      <w:proofErr w:type="gramEnd"/>
      <w:r w:rsidR="00F049D1" w:rsidRPr="00115971">
        <w:t xml:space="preserve"> trešajā daļā paredzētajā noziedzīgajā nodarījumā un, piemērojot Krimināllikuma 49.</w:t>
      </w:r>
      <w:r w:rsidR="00F049D1" w:rsidRPr="00115971">
        <w:rPr>
          <w:vertAlign w:val="superscript"/>
        </w:rPr>
        <w:t>1</w:t>
      </w:r>
      <w:r w:rsidR="00F049D1" w:rsidRPr="00115971">
        <w:t>panta pirmās daļas 1.punktu, sodīts ar brīvības atņemšanu uz 4 mēnešiem, atņemot tiesības pildīt amata pienākumus saistītus ar likumīgu datorprogrammu iegādes un izmantošanas kontroli, datorsistēmu un datorprogrammu darba kārtības nodrošināšanu, inženieru un citu darbinieku, kas izmanto datorsistēmas ar datorprogrammām, uzraudzību un darba organizēšanu</w:t>
      </w:r>
      <w:r w:rsidR="00BD25E6">
        <w:t xml:space="preserve"> </w:t>
      </w:r>
      <w:r w:rsidR="00BD25E6" w:rsidRPr="00115971">
        <w:t>SIA „</w:t>
      </w:r>
      <w:r>
        <w:t>[Nosaukums]</w:t>
      </w:r>
      <w:r w:rsidR="00BD25E6" w:rsidRPr="00115971">
        <w:t>”</w:t>
      </w:r>
      <w:r w:rsidR="00F049D1" w:rsidRPr="00115971">
        <w:t>, uz 1 gadu.</w:t>
      </w:r>
    </w:p>
    <w:p w14:paraId="0EB636A7" w14:textId="77777777" w:rsidR="00F049D1" w:rsidRPr="00115971" w:rsidRDefault="00F049D1" w:rsidP="00F049D1">
      <w:pPr>
        <w:spacing w:line="276" w:lineRule="auto"/>
        <w:ind w:firstLine="709"/>
        <w:jc w:val="both"/>
      </w:pPr>
      <w:r w:rsidRPr="00115971">
        <w:t xml:space="preserve">Saskaņā ar Krimināllikuma </w:t>
      </w:r>
      <w:proofErr w:type="gramStart"/>
      <w:r w:rsidRPr="00115971">
        <w:t>55.pantu</w:t>
      </w:r>
      <w:proofErr w:type="gramEnd"/>
      <w:r w:rsidRPr="00115971">
        <w:t xml:space="preserve"> brīvības atņemšanas sods noteikts nosacīti ar pārbaudes laiku uz 6 mēnešiem.</w:t>
      </w:r>
    </w:p>
    <w:p w14:paraId="7F5B6447" w14:textId="77777777" w:rsidR="00F049D1" w:rsidRPr="00115971" w:rsidRDefault="00F049D1" w:rsidP="00F049D1">
      <w:pPr>
        <w:spacing w:line="276" w:lineRule="auto"/>
        <w:ind w:firstLine="709"/>
        <w:jc w:val="both"/>
      </w:pPr>
      <w:r w:rsidRPr="00115971">
        <w:t>Pārējā daļā pirmās instances tiesas spriedums atstāts negrozīts.</w:t>
      </w:r>
    </w:p>
    <w:p w14:paraId="70230029" w14:textId="77777777" w:rsidR="00F049D1" w:rsidRPr="00115971" w:rsidRDefault="00F049D1" w:rsidP="00F049D1">
      <w:pPr>
        <w:spacing w:line="276" w:lineRule="auto"/>
        <w:ind w:firstLine="709"/>
        <w:jc w:val="both"/>
      </w:pPr>
    </w:p>
    <w:p w14:paraId="42CBF7DE" w14:textId="295BB6E0" w:rsidR="00B2141F" w:rsidRDefault="00B2141F" w:rsidP="00B2141F">
      <w:pPr>
        <w:spacing w:line="276" w:lineRule="auto"/>
        <w:ind w:firstLine="709"/>
        <w:jc w:val="both"/>
      </w:pPr>
      <w:r w:rsidRPr="00C704D1">
        <w:t xml:space="preserve">[4]  Apsūdzētā </w:t>
      </w:r>
      <w:r w:rsidR="004E52FF">
        <w:t>[pers. A]</w:t>
      </w:r>
      <w:r w:rsidRPr="00C704D1">
        <w:t xml:space="preserve"> aizstāvis </w:t>
      </w:r>
      <w:r>
        <w:t>M</w:t>
      </w:r>
      <w:r w:rsidRPr="00C704D1">
        <w:t xml:space="preserve">. </w:t>
      </w:r>
      <w:r>
        <w:t xml:space="preserve">Grudulis </w:t>
      </w:r>
      <w:r w:rsidRPr="00C704D1">
        <w:t>kasācijas sūdzībā lūdz atcelt apelācijas instances tiesas spriedumu</w:t>
      </w:r>
      <w:proofErr w:type="gramStart"/>
      <w:r>
        <w:t xml:space="preserve"> un</w:t>
      </w:r>
      <w:proofErr w:type="gramEnd"/>
      <w:r>
        <w:t xml:space="preserve"> nosūtīt lietu jaunai izskatīšanai apelācijas instances tiesā</w:t>
      </w:r>
      <w:r w:rsidRPr="00C704D1">
        <w:t>.</w:t>
      </w:r>
    </w:p>
    <w:p w14:paraId="25F0E28E" w14:textId="692AAD72" w:rsidR="00B2141F" w:rsidRPr="00C704D1" w:rsidRDefault="005E422E" w:rsidP="00B2141F">
      <w:pPr>
        <w:spacing w:line="276" w:lineRule="auto"/>
        <w:ind w:firstLine="709"/>
        <w:jc w:val="both"/>
      </w:pPr>
      <w:r>
        <w:t>Kasācijas s</w:t>
      </w:r>
      <w:r w:rsidR="00B2141F" w:rsidRPr="00C704D1">
        <w:t>ūdzība pamatota ar šādiem argumentiem.</w:t>
      </w:r>
    </w:p>
    <w:p w14:paraId="57CDA824" w14:textId="7F52F7A8" w:rsidR="00B2141F" w:rsidRPr="00750B7C" w:rsidRDefault="00B2141F" w:rsidP="00B2141F">
      <w:pPr>
        <w:spacing w:line="276" w:lineRule="auto"/>
        <w:ind w:firstLine="709"/>
        <w:jc w:val="both"/>
        <w:rPr>
          <w:rFonts w:eastAsiaTheme="minorHAnsi" w:cstheme="minorBidi"/>
          <w:szCs w:val="22"/>
        </w:rPr>
      </w:pPr>
      <w:r w:rsidRPr="00C704D1">
        <w:t>[4</w:t>
      </w:r>
      <w:r>
        <w:t>.1</w:t>
      </w:r>
      <w:r w:rsidRPr="00C704D1">
        <w:t>]</w:t>
      </w:r>
      <w:r>
        <w:t xml:space="preserve"> </w:t>
      </w:r>
      <w:r w:rsidRPr="00750B7C">
        <w:rPr>
          <w:rFonts w:eastAsiaTheme="minorHAnsi" w:cstheme="minorBidi"/>
          <w:szCs w:val="22"/>
        </w:rPr>
        <w:t xml:space="preserve">Nepareizi piemērojot Autortiesību likuma </w:t>
      </w:r>
      <w:proofErr w:type="gramStart"/>
      <w:r w:rsidRPr="00750B7C">
        <w:rPr>
          <w:rFonts w:eastAsiaTheme="minorHAnsi" w:cstheme="minorBidi"/>
          <w:szCs w:val="22"/>
        </w:rPr>
        <w:t>15.panta</w:t>
      </w:r>
      <w:proofErr w:type="gramEnd"/>
      <w:r w:rsidRPr="00750B7C">
        <w:rPr>
          <w:rFonts w:eastAsiaTheme="minorHAnsi" w:cstheme="minorBidi"/>
          <w:szCs w:val="22"/>
        </w:rPr>
        <w:t xml:space="preserve"> ceturto daļu</w:t>
      </w:r>
      <w:r w:rsidR="0091320E">
        <w:rPr>
          <w:rFonts w:eastAsiaTheme="minorHAnsi" w:cstheme="minorBidi"/>
          <w:szCs w:val="22"/>
        </w:rPr>
        <w:t>,</w:t>
      </w:r>
      <w:r w:rsidRPr="00750B7C">
        <w:rPr>
          <w:rFonts w:eastAsiaTheme="minorHAnsi" w:cstheme="minorBidi"/>
          <w:szCs w:val="22"/>
        </w:rPr>
        <w:t xml:space="preserve"> pieļaut</w:t>
      </w:r>
      <w:r w:rsidR="0091320E">
        <w:rPr>
          <w:rFonts w:eastAsiaTheme="minorHAnsi" w:cstheme="minorBidi"/>
          <w:szCs w:val="22"/>
        </w:rPr>
        <w:t>s</w:t>
      </w:r>
      <w:r w:rsidRPr="00750B7C">
        <w:rPr>
          <w:rFonts w:eastAsiaTheme="minorHAnsi" w:cstheme="minorBidi"/>
          <w:szCs w:val="22"/>
        </w:rPr>
        <w:t xml:space="preserve"> Kriminālprocesa likuma 574.panta 2.punktā minēt</w:t>
      </w:r>
      <w:r w:rsidR="0091320E">
        <w:rPr>
          <w:rFonts w:eastAsiaTheme="minorHAnsi" w:cstheme="minorBidi"/>
          <w:szCs w:val="22"/>
        </w:rPr>
        <w:t>ais</w:t>
      </w:r>
      <w:r w:rsidRPr="00750B7C">
        <w:rPr>
          <w:rFonts w:eastAsiaTheme="minorHAnsi" w:cstheme="minorBidi"/>
          <w:szCs w:val="22"/>
        </w:rPr>
        <w:t xml:space="preserve"> </w:t>
      </w:r>
      <w:r w:rsidR="00EB0834">
        <w:rPr>
          <w:rFonts w:eastAsiaTheme="minorHAnsi" w:cstheme="minorBidi"/>
          <w:szCs w:val="22"/>
        </w:rPr>
        <w:t>pārkāpums</w:t>
      </w:r>
      <w:r w:rsidRPr="00750B7C">
        <w:rPr>
          <w:rFonts w:eastAsiaTheme="minorHAnsi" w:cstheme="minorBidi"/>
          <w:szCs w:val="22"/>
        </w:rPr>
        <w:t>, kā rezultātā taisīts nelikumīgs spriedums.</w:t>
      </w:r>
    </w:p>
    <w:p w14:paraId="30ED4D7B" w14:textId="426FF88B" w:rsidR="00B2141F" w:rsidRDefault="0040114C" w:rsidP="00B2141F">
      <w:pPr>
        <w:spacing w:line="276" w:lineRule="auto"/>
        <w:ind w:firstLine="709"/>
        <w:jc w:val="both"/>
        <w:rPr>
          <w:rFonts w:eastAsiaTheme="minorHAnsi" w:cstheme="minorBidi"/>
          <w:szCs w:val="22"/>
        </w:rPr>
      </w:pPr>
      <w:bookmarkStart w:id="0" w:name="_Hlk82166354"/>
      <w:r>
        <w:rPr>
          <w:rFonts w:eastAsiaTheme="minorHAnsi" w:cstheme="minorBidi"/>
          <w:szCs w:val="22"/>
        </w:rPr>
        <w:t>S</w:t>
      </w:r>
      <w:r w:rsidR="00B2141F" w:rsidRPr="00750B7C">
        <w:rPr>
          <w:rFonts w:eastAsiaTheme="minorHAnsi" w:cstheme="minorBidi"/>
          <w:szCs w:val="22"/>
        </w:rPr>
        <w:t xml:space="preserve">askaņā ar Autortiesību likuma </w:t>
      </w:r>
      <w:proofErr w:type="gramStart"/>
      <w:r w:rsidR="00B2141F" w:rsidRPr="00750B7C">
        <w:rPr>
          <w:rFonts w:eastAsiaTheme="minorHAnsi" w:cstheme="minorBidi"/>
          <w:szCs w:val="22"/>
        </w:rPr>
        <w:t>15.panta</w:t>
      </w:r>
      <w:proofErr w:type="gramEnd"/>
      <w:r w:rsidR="00B2141F" w:rsidRPr="00750B7C">
        <w:rPr>
          <w:rFonts w:eastAsiaTheme="minorHAnsi" w:cstheme="minorBidi"/>
          <w:szCs w:val="22"/>
        </w:rPr>
        <w:t xml:space="preserve"> ceturto daļu </w:t>
      </w:r>
      <w:r w:rsidR="00620F44">
        <w:rPr>
          <w:rFonts w:eastAsiaTheme="minorHAnsi" w:cstheme="minorBidi"/>
          <w:szCs w:val="22"/>
        </w:rPr>
        <w:t>apsūdzētā</w:t>
      </w:r>
      <w:r w:rsidRPr="00750B7C">
        <w:rPr>
          <w:rFonts w:eastAsiaTheme="minorHAnsi" w:cstheme="minorBidi"/>
          <w:szCs w:val="22"/>
        </w:rPr>
        <w:t xml:space="preserve"> darbību kvalifikācija </w:t>
      </w:r>
      <w:r w:rsidR="00B2141F" w:rsidRPr="00750B7C">
        <w:rPr>
          <w:rFonts w:eastAsiaTheme="minorHAnsi" w:cstheme="minorBidi"/>
          <w:szCs w:val="22"/>
        </w:rPr>
        <w:t>ir nepareiza un n</w:t>
      </w:r>
      <w:r w:rsidR="0011193D">
        <w:rPr>
          <w:rFonts w:eastAsiaTheme="minorHAnsi" w:cstheme="minorBidi"/>
          <w:szCs w:val="22"/>
        </w:rPr>
        <w:t>eatbilst</w:t>
      </w:r>
      <w:r w:rsidR="00B2141F" w:rsidRPr="00750B7C">
        <w:rPr>
          <w:rFonts w:eastAsiaTheme="minorHAnsi" w:cstheme="minorBidi"/>
          <w:szCs w:val="22"/>
        </w:rPr>
        <w:t xml:space="preserve"> lietā konstatē</w:t>
      </w:r>
      <w:r w:rsidR="0011193D">
        <w:rPr>
          <w:rFonts w:eastAsiaTheme="minorHAnsi" w:cstheme="minorBidi"/>
          <w:szCs w:val="22"/>
        </w:rPr>
        <w:t>tajiem</w:t>
      </w:r>
      <w:r w:rsidR="00B2141F" w:rsidRPr="00750B7C">
        <w:rPr>
          <w:rFonts w:eastAsiaTheme="minorHAnsi" w:cstheme="minorBidi"/>
          <w:szCs w:val="22"/>
        </w:rPr>
        <w:t xml:space="preserve"> faktisk</w:t>
      </w:r>
      <w:r w:rsidR="0011193D">
        <w:rPr>
          <w:rFonts w:eastAsiaTheme="minorHAnsi" w:cstheme="minorBidi"/>
          <w:szCs w:val="22"/>
        </w:rPr>
        <w:t>ajiem</w:t>
      </w:r>
      <w:r w:rsidR="00B2141F" w:rsidRPr="00750B7C">
        <w:rPr>
          <w:rFonts w:eastAsiaTheme="minorHAnsi" w:cstheme="minorBidi"/>
          <w:szCs w:val="22"/>
        </w:rPr>
        <w:t xml:space="preserve"> apstākļ</w:t>
      </w:r>
      <w:r w:rsidR="0011193D">
        <w:rPr>
          <w:rFonts w:eastAsiaTheme="minorHAnsi" w:cstheme="minorBidi"/>
          <w:szCs w:val="22"/>
        </w:rPr>
        <w:t>iem</w:t>
      </w:r>
      <w:r w:rsidR="00B2141F">
        <w:rPr>
          <w:rFonts w:eastAsiaTheme="minorHAnsi" w:cstheme="minorBidi"/>
          <w:szCs w:val="22"/>
        </w:rPr>
        <w:t xml:space="preserve">, jo </w:t>
      </w:r>
      <w:r w:rsidR="00B2141F" w:rsidRPr="00750B7C">
        <w:rPr>
          <w:rFonts w:eastAsiaTheme="minorHAnsi" w:cstheme="minorBidi"/>
          <w:szCs w:val="22"/>
        </w:rPr>
        <w:t>darbības, kas nav tieši autora tiesību pārkāpums</w:t>
      </w:r>
      <w:r w:rsidR="00B2141F">
        <w:rPr>
          <w:rFonts w:eastAsiaTheme="minorHAnsi" w:cstheme="minorBidi"/>
          <w:szCs w:val="22"/>
        </w:rPr>
        <w:t>,</w:t>
      </w:r>
      <w:r w:rsidR="00B2141F" w:rsidRPr="00750B7C">
        <w:rPr>
          <w:rFonts w:eastAsiaTheme="minorHAnsi" w:cstheme="minorBidi"/>
          <w:szCs w:val="22"/>
        </w:rPr>
        <w:t xml:space="preserve"> nav krimināli sodāmas.</w:t>
      </w:r>
      <w:r w:rsidR="00B2141F">
        <w:rPr>
          <w:rFonts w:eastAsiaTheme="minorHAnsi" w:cstheme="minorBidi"/>
          <w:szCs w:val="22"/>
        </w:rPr>
        <w:t xml:space="preserve"> </w:t>
      </w:r>
      <w:r w:rsidR="00B2141F" w:rsidRPr="00750B7C">
        <w:rPr>
          <w:rFonts w:eastAsiaTheme="minorHAnsi" w:cstheme="minorBidi"/>
          <w:szCs w:val="22"/>
        </w:rPr>
        <w:t xml:space="preserve">Šajā lietā esošajiem autortiesību subjektiem (juridiskām personām) </w:t>
      </w:r>
      <w:r w:rsidR="00620F44">
        <w:rPr>
          <w:rFonts w:eastAsiaTheme="minorHAnsi" w:cstheme="minorBidi"/>
          <w:szCs w:val="22"/>
        </w:rPr>
        <w:t>nav</w:t>
      </w:r>
      <w:r w:rsidR="00B2141F" w:rsidRPr="00750B7C">
        <w:rPr>
          <w:rFonts w:eastAsiaTheme="minorHAnsi" w:cstheme="minorBidi"/>
          <w:szCs w:val="22"/>
        </w:rPr>
        <w:t xml:space="preserve"> Autortiesību likuma 15.panta ceturtajā daļā noteiktās tiesības.</w:t>
      </w:r>
    </w:p>
    <w:bookmarkEnd w:id="0"/>
    <w:p w14:paraId="5EB0690D" w14:textId="69BD0398" w:rsidR="00107D0E" w:rsidRPr="009E272A" w:rsidRDefault="00107D0E" w:rsidP="0040114C">
      <w:pPr>
        <w:spacing w:line="276" w:lineRule="auto"/>
        <w:ind w:firstLine="709"/>
        <w:contextualSpacing/>
        <w:jc w:val="both"/>
        <w:rPr>
          <w:rFonts w:eastAsiaTheme="minorHAnsi" w:cstheme="minorBidi"/>
          <w:color w:val="000000" w:themeColor="text1"/>
          <w:szCs w:val="22"/>
        </w:rPr>
      </w:pPr>
      <w:r w:rsidRPr="00C704D1">
        <w:t>[4</w:t>
      </w:r>
      <w:r>
        <w:t>.</w:t>
      </w:r>
      <w:r w:rsidR="0011193D">
        <w:t>2</w:t>
      </w:r>
      <w:r w:rsidRPr="00C704D1">
        <w:t>]</w:t>
      </w:r>
      <w:r w:rsidR="00361E7E">
        <w:t xml:space="preserve"> </w:t>
      </w:r>
      <w:r w:rsidR="004E52FF">
        <w:rPr>
          <w:rFonts w:eastAsiaTheme="minorHAnsi" w:cstheme="minorBidi"/>
          <w:szCs w:val="22"/>
        </w:rPr>
        <w:t>[Pers. A]</w:t>
      </w:r>
      <w:r w:rsidRPr="00750B7C">
        <w:rPr>
          <w:rFonts w:eastAsiaTheme="minorHAnsi" w:cstheme="minorBidi"/>
          <w:szCs w:val="22"/>
        </w:rPr>
        <w:t xml:space="preserve"> inkriminēt</w:t>
      </w:r>
      <w:r>
        <w:rPr>
          <w:rFonts w:eastAsiaTheme="minorHAnsi" w:cstheme="minorBidi"/>
          <w:szCs w:val="22"/>
        </w:rPr>
        <w:t xml:space="preserve">a </w:t>
      </w:r>
      <w:r w:rsidRPr="00750B7C">
        <w:rPr>
          <w:rFonts w:eastAsiaTheme="minorHAnsi" w:cstheme="minorBidi"/>
          <w:szCs w:val="22"/>
        </w:rPr>
        <w:t xml:space="preserve">datorprogrammu neatļauta reproducēšana. Reproducēšanas jēdziens ir definēts Autortiesību likuma </w:t>
      </w:r>
      <w:proofErr w:type="gramStart"/>
      <w:r w:rsidRPr="00750B7C">
        <w:rPr>
          <w:rFonts w:eastAsiaTheme="minorHAnsi" w:cstheme="minorBidi"/>
          <w:szCs w:val="22"/>
        </w:rPr>
        <w:t>1.panta</w:t>
      </w:r>
      <w:proofErr w:type="gramEnd"/>
      <w:r w:rsidRPr="00750B7C">
        <w:rPr>
          <w:rFonts w:eastAsiaTheme="minorHAnsi" w:cstheme="minorBidi"/>
          <w:szCs w:val="22"/>
        </w:rPr>
        <w:t xml:space="preserve"> 17.punktā</w:t>
      </w:r>
      <w:r w:rsidR="0040114C">
        <w:rPr>
          <w:rFonts w:eastAsiaTheme="minorHAnsi" w:cstheme="minorBidi"/>
          <w:szCs w:val="22"/>
        </w:rPr>
        <w:t xml:space="preserve"> un a</w:t>
      </w:r>
      <w:r w:rsidRPr="00750B7C">
        <w:rPr>
          <w:rFonts w:eastAsiaTheme="minorHAnsi" w:cstheme="minorBidi"/>
          <w:szCs w:val="22"/>
        </w:rPr>
        <w:t>pelācijas instances tiesa ir veikusi šī jēdziena interpretāciju. Jēdziens reproducēšana ir Eiropas Savienības tiesību jēdziens, kurš izriet no Eiropas Parlamenta un Padomes direktīvas Nr.</w:t>
      </w:r>
      <w:r w:rsidR="0040114C">
        <w:rPr>
          <w:rFonts w:eastAsiaTheme="minorHAnsi" w:cstheme="minorBidi"/>
          <w:szCs w:val="22"/>
        </w:rPr>
        <w:t> </w:t>
      </w:r>
      <w:r w:rsidRPr="00750B7C">
        <w:rPr>
          <w:rFonts w:eastAsiaTheme="minorHAnsi" w:cstheme="minorBidi"/>
          <w:szCs w:val="22"/>
        </w:rPr>
        <w:t xml:space="preserve">2001/29, kas attiecas uz dažu autortiesību un blakustiesību aspektu harmonizēšanu informācijas sabiedrībā </w:t>
      </w:r>
      <w:proofErr w:type="gramStart"/>
      <w:r w:rsidRPr="00750B7C">
        <w:rPr>
          <w:rFonts w:eastAsiaTheme="minorHAnsi" w:cstheme="minorBidi"/>
          <w:szCs w:val="22"/>
        </w:rPr>
        <w:t>2.panta</w:t>
      </w:r>
      <w:proofErr w:type="gramEnd"/>
      <w:r w:rsidRPr="00750B7C">
        <w:rPr>
          <w:rFonts w:eastAsiaTheme="minorHAnsi" w:cstheme="minorBidi"/>
          <w:szCs w:val="22"/>
        </w:rPr>
        <w:t>, kurā noteikts, ka autoriem ir ekskluzīva (izņēmuma) tiesība atļaut vai aizliegt tiešu vai netiešu, pagaidu vai pastāvīgu savu darbu vai to daļas reproducēšanu jebkādā formā un ar jebkādiem līdzekļiem.</w:t>
      </w:r>
      <w:r w:rsidR="0040114C">
        <w:rPr>
          <w:rFonts w:eastAsiaTheme="minorHAnsi" w:cstheme="minorBidi"/>
          <w:color w:val="000000" w:themeColor="text1"/>
          <w:szCs w:val="22"/>
        </w:rPr>
        <w:t xml:space="preserve"> </w:t>
      </w:r>
      <w:r w:rsidRPr="009E272A">
        <w:rPr>
          <w:rFonts w:eastAsiaTheme="minorHAnsi" w:cstheme="minorBidi"/>
          <w:color w:val="000000" w:themeColor="text1"/>
          <w:szCs w:val="22"/>
        </w:rPr>
        <w:t>Nacionālajām tiesām nav tiesību interpretēt Eiropas Savienības tiesību jēdzienus. Apelācijas instances tiesa ir pārkāpusi Kriminālprocesa likuma 2.panta otr</w:t>
      </w:r>
      <w:r w:rsidR="0040114C">
        <w:rPr>
          <w:rFonts w:eastAsiaTheme="minorHAnsi" w:cstheme="minorBidi"/>
          <w:color w:val="000000" w:themeColor="text1"/>
          <w:szCs w:val="22"/>
        </w:rPr>
        <w:t>o daļu</w:t>
      </w:r>
      <w:r w:rsidRPr="009E272A">
        <w:rPr>
          <w:rFonts w:eastAsiaTheme="minorHAnsi" w:cstheme="minorBidi"/>
          <w:color w:val="000000" w:themeColor="text1"/>
          <w:szCs w:val="22"/>
        </w:rPr>
        <w:t>, kas nosaka, ka, piemērojot Eiropas Savienības tiesību normu, ņem vērā Eiropas Savienības Tiesas judikatūru.</w:t>
      </w:r>
    </w:p>
    <w:p w14:paraId="30BB015F" w14:textId="6BE983A1" w:rsidR="00107D0E" w:rsidRPr="00290919" w:rsidRDefault="00107D0E" w:rsidP="00107D0E">
      <w:pPr>
        <w:spacing w:line="276" w:lineRule="auto"/>
        <w:ind w:firstLine="709"/>
        <w:contextualSpacing/>
        <w:jc w:val="both"/>
        <w:rPr>
          <w:rFonts w:eastAsiaTheme="minorHAnsi" w:cstheme="minorBidi"/>
          <w:color w:val="000000" w:themeColor="text1"/>
          <w:szCs w:val="22"/>
        </w:rPr>
      </w:pPr>
      <w:r w:rsidRPr="009E272A">
        <w:rPr>
          <w:rFonts w:eastAsiaTheme="minorHAnsi" w:cstheme="minorBidi"/>
          <w:color w:val="000000" w:themeColor="text1"/>
          <w:szCs w:val="22"/>
        </w:rPr>
        <w:t xml:space="preserve">Saskaņā ar Kriminālprocesa likuma </w:t>
      </w:r>
      <w:proofErr w:type="gramStart"/>
      <w:r w:rsidRPr="009E272A">
        <w:rPr>
          <w:rFonts w:eastAsiaTheme="minorHAnsi" w:cstheme="minorBidi"/>
          <w:color w:val="000000" w:themeColor="text1"/>
          <w:szCs w:val="22"/>
        </w:rPr>
        <w:t>478.pantu</w:t>
      </w:r>
      <w:proofErr w:type="gramEnd"/>
      <w:r w:rsidRPr="009E272A">
        <w:rPr>
          <w:rFonts w:eastAsiaTheme="minorHAnsi" w:cstheme="minorBidi"/>
          <w:color w:val="000000" w:themeColor="text1"/>
          <w:szCs w:val="22"/>
        </w:rPr>
        <w:t xml:space="preserve"> tiesai ir jāvērtē, vai nepastāv pamats vērsties Eiropas Savienības Tiesā prejudiciāla nolēmuma taisīšanai. Šo nepieciešamību, kas tika norādīta apelācijas sūdzībā, tiesa</w:t>
      </w:r>
      <w:r w:rsidR="0040114C">
        <w:rPr>
          <w:rFonts w:eastAsiaTheme="minorHAnsi" w:cstheme="minorBidi"/>
          <w:color w:val="000000" w:themeColor="text1"/>
          <w:szCs w:val="22"/>
        </w:rPr>
        <w:t xml:space="preserve"> nav vērtējusi</w:t>
      </w:r>
      <w:r w:rsidRPr="00290919">
        <w:rPr>
          <w:rFonts w:eastAsiaTheme="minorHAnsi" w:cstheme="minorBidi"/>
          <w:color w:val="000000" w:themeColor="text1"/>
          <w:szCs w:val="22"/>
        </w:rPr>
        <w:t>.</w:t>
      </w:r>
    </w:p>
    <w:p w14:paraId="00EA418D" w14:textId="668E5F51" w:rsidR="00290919" w:rsidRPr="00290919" w:rsidRDefault="00290919" w:rsidP="004B0388">
      <w:pPr>
        <w:spacing w:line="276" w:lineRule="auto"/>
        <w:ind w:firstLine="709"/>
        <w:contextualSpacing/>
        <w:jc w:val="both"/>
        <w:rPr>
          <w:rFonts w:eastAsiaTheme="minorHAnsi" w:cstheme="minorBidi"/>
          <w:szCs w:val="22"/>
        </w:rPr>
      </w:pPr>
      <w:r w:rsidRPr="00290919">
        <w:rPr>
          <w:rFonts w:eastAsiaTheme="minorHAnsi" w:cstheme="minorBidi"/>
          <w:szCs w:val="22"/>
        </w:rPr>
        <w:t xml:space="preserve">Saskaņā ar apelācijas instances tiesas veikto normas interpretāciju, par autortiesību pārkāpēju tiek atzīta ne vien tā persona, kura nelikumīgi lejupielādē datorprogrammu, bet arī tā persona, kura turpina šo datorprogrammu uzglabāt datorā, kaut arī pati šo programmu </w:t>
      </w:r>
      <w:r w:rsidR="0040114C">
        <w:rPr>
          <w:rFonts w:eastAsiaTheme="minorHAnsi" w:cstheme="minorBidi"/>
          <w:szCs w:val="22"/>
        </w:rPr>
        <w:t xml:space="preserve">nav </w:t>
      </w:r>
      <w:r w:rsidRPr="00290919">
        <w:rPr>
          <w:rFonts w:eastAsiaTheme="minorHAnsi" w:cstheme="minorBidi"/>
          <w:szCs w:val="22"/>
        </w:rPr>
        <w:t>lejupielādējusi.</w:t>
      </w:r>
      <w:r w:rsidR="004B0388">
        <w:rPr>
          <w:rFonts w:eastAsiaTheme="minorHAnsi" w:cstheme="minorBidi"/>
          <w:szCs w:val="22"/>
        </w:rPr>
        <w:t xml:space="preserve"> T</w:t>
      </w:r>
      <w:r w:rsidRPr="00290919">
        <w:rPr>
          <w:rFonts w:eastAsiaTheme="minorHAnsi" w:cstheme="minorBidi"/>
          <w:szCs w:val="22"/>
        </w:rPr>
        <w:t>iesa nav vērtējusi, ka izdzēst datorprogrammu ir līgumisks pienākums, kas izriet no izmēģinājuma licences līgumiskajiem nosacījumiem, bet atzinusi šo pienākuma neizpildi par autortiesību pārkāpumu.</w:t>
      </w:r>
    </w:p>
    <w:p w14:paraId="2CBA3B03" w14:textId="5BA4EDBD" w:rsidR="006F4876" w:rsidRPr="0065732A" w:rsidRDefault="006C5166" w:rsidP="0011193D">
      <w:pPr>
        <w:spacing w:line="276" w:lineRule="auto"/>
        <w:ind w:firstLine="709"/>
        <w:jc w:val="both"/>
      </w:pPr>
      <w:r w:rsidRPr="00C704D1">
        <w:lastRenderedPageBreak/>
        <w:t>[4</w:t>
      </w:r>
      <w:r>
        <w:t>.</w:t>
      </w:r>
      <w:r w:rsidR="0011193D">
        <w:t>3</w:t>
      </w:r>
      <w:r w:rsidRPr="00C704D1">
        <w:t>]</w:t>
      </w:r>
      <w:r>
        <w:t xml:space="preserve"> </w:t>
      </w:r>
      <w:r w:rsidR="0011193D" w:rsidRPr="0065732A">
        <w:t xml:space="preserve">Lai konstatētu Krimināllikuma </w:t>
      </w:r>
      <w:proofErr w:type="gramStart"/>
      <w:r w:rsidR="0011193D" w:rsidRPr="0065732A">
        <w:t>148.panta</w:t>
      </w:r>
      <w:proofErr w:type="gramEnd"/>
      <w:r w:rsidR="0011193D" w:rsidRPr="0065732A">
        <w:t xml:space="preserve"> sastāva objektīvās puses pazīmi, nepieciešams konstatēt konkrētu autora tiesību pārkāpumu.</w:t>
      </w:r>
      <w:r w:rsidR="0011193D">
        <w:t xml:space="preserve"> </w:t>
      </w:r>
      <w:r w:rsidR="006F4876" w:rsidRPr="0065732A">
        <w:t xml:space="preserve">Apsūdzētā </w:t>
      </w:r>
      <w:r w:rsidR="004E52FF">
        <w:t>[pers. A]</w:t>
      </w:r>
      <w:r w:rsidR="006F4876" w:rsidRPr="0065732A">
        <w:t xml:space="preserve"> darbību apraksts neatbilst Krimināllikuma </w:t>
      </w:r>
      <w:proofErr w:type="gramStart"/>
      <w:r w:rsidR="006F4876" w:rsidRPr="0065732A">
        <w:t>148.pantā</w:t>
      </w:r>
      <w:proofErr w:type="gramEnd"/>
      <w:r w:rsidR="006F4876" w:rsidRPr="0065732A">
        <w:t xml:space="preserve"> paredzētajam nodarījumam. </w:t>
      </w:r>
    </w:p>
    <w:p w14:paraId="0D235E3E" w14:textId="7DD89172" w:rsidR="006F4876" w:rsidRPr="006F4876" w:rsidRDefault="006F4876" w:rsidP="0065732A">
      <w:pPr>
        <w:spacing w:line="276" w:lineRule="auto"/>
        <w:ind w:firstLine="709"/>
        <w:jc w:val="both"/>
      </w:pPr>
      <w:r w:rsidRPr="0065732A">
        <w:t xml:space="preserve">Apelācijas instances tiesas secinājums, ka </w:t>
      </w:r>
      <w:r w:rsidR="004E52FF">
        <w:t>[pers. A]</w:t>
      </w:r>
      <w:r w:rsidRPr="0065732A">
        <w:t xml:space="preserve"> ir apzinājies savas bezdarbības kaitīgumu, paredzēj</w:t>
      </w:r>
      <w:r w:rsidR="0091320E">
        <w:t>is</w:t>
      </w:r>
      <w:r w:rsidRPr="0065732A">
        <w:t xml:space="preserve"> nodarījuma sekas un vēlēj</w:t>
      </w:r>
      <w:r w:rsidR="0091320E">
        <w:t>ies</w:t>
      </w:r>
      <w:r w:rsidRPr="0065732A">
        <w:t xml:space="preserve"> seku iestāšanos</w:t>
      </w:r>
      <w:r w:rsidR="009A3DF3">
        <w:t>,</w:t>
      </w:r>
      <w:r w:rsidRPr="0065732A">
        <w:t xml:space="preserve"> atbilst Krimināllikuma </w:t>
      </w:r>
      <w:proofErr w:type="gramStart"/>
      <w:r w:rsidRPr="0065732A">
        <w:t>197.pantā</w:t>
      </w:r>
      <w:proofErr w:type="gramEnd"/>
      <w:r w:rsidRPr="0065732A">
        <w:t xml:space="preserve"> paredzētajam </w:t>
      </w:r>
      <w:r w:rsidR="0091320E">
        <w:t xml:space="preserve">noziedzīgajam </w:t>
      </w:r>
      <w:r w:rsidRPr="0065732A">
        <w:t xml:space="preserve">nodarījumam, nevis autortiesību pārkāpumam, kas paredzēts Krimināllikuma 148.pantā. </w:t>
      </w:r>
      <w:r w:rsidR="00642ABC" w:rsidRPr="00642ABC">
        <w:t>A</w:t>
      </w:r>
      <w:r w:rsidRPr="00642ABC">
        <w:t xml:space="preserve">izstāvis </w:t>
      </w:r>
      <w:r w:rsidR="00642ABC" w:rsidRPr="00642ABC">
        <w:t>norāda</w:t>
      </w:r>
      <w:r w:rsidRPr="00642ABC">
        <w:t xml:space="preserve">, ka nedz datorprogrammu reproducēšana, nedz uzglabāšana nav īstenojama bezdarbības formā, jo tās var veikt </w:t>
      </w:r>
      <w:r w:rsidR="004B0388" w:rsidRPr="00642ABC">
        <w:t>tikai</w:t>
      </w:r>
      <w:r w:rsidRPr="00642ABC">
        <w:t xml:space="preserve"> ar darbību.</w:t>
      </w:r>
      <w:r w:rsidRPr="00AC3462">
        <w:rPr>
          <w:b/>
          <w:bCs/>
        </w:rPr>
        <w:t xml:space="preserve"> </w:t>
      </w:r>
      <w:r w:rsidRPr="00115971">
        <w:t>Turklāt nedz reproducēšana, nedz uzglabāšana neraksturojas kā pienākumu neveikšana, pavirša uzraudzība vai darba organizēšana</w:t>
      </w:r>
      <w:r>
        <w:t>.</w:t>
      </w:r>
      <w:r w:rsidRPr="00290919">
        <w:rPr>
          <w:rFonts w:eastAsiaTheme="minorHAnsi" w:cstheme="minorBidi"/>
          <w:szCs w:val="22"/>
        </w:rPr>
        <w:t xml:space="preserve"> Spriedums, kurā kā objektīvās puses pazīme vienlaicīgi konstatēta gan darbība, gan </w:t>
      </w:r>
      <w:r w:rsidR="004D41BE">
        <w:rPr>
          <w:rFonts w:eastAsiaTheme="minorHAnsi" w:cstheme="minorBidi"/>
          <w:szCs w:val="22"/>
        </w:rPr>
        <w:t>bez</w:t>
      </w:r>
      <w:r w:rsidRPr="00290919">
        <w:rPr>
          <w:rFonts w:eastAsiaTheme="minorHAnsi" w:cstheme="minorBidi"/>
          <w:szCs w:val="22"/>
        </w:rPr>
        <w:t xml:space="preserve">darbība, ir </w:t>
      </w:r>
      <w:r w:rsidRPr="00750B7C">
        <w:rPr>
          <w:rFonts w:eastAsiaTheme="minorHAnsi" w:cstheme="minorBidi"/>
          <w:szCs w:val="22"/>
        </w:rPr>
        <w:t>pretrunīgs</w:t>
      </w:r>
      <w:r w:rsidR="004B0388">
        <w:rPr>
          <w:rFonts w:eastAsiaTheme="minorHAnsi" w:cstheme="minorBidi"/>
          <w:szCs w:val="22"/>
        </w:rPr>
        <w:t xml:space="preserve">, kas </w:t>
      </w:r>
      <w:r w:rsidRPr="006F4876">
        <w:rPr>
          <w:rFonts w:eastAsiaTheme="minorHAnsi" w:cstheme="minorBidi"/>
          <w:szCs w:val="22"/>
        </w:rPr>
        <w:t>ierobežo tiesības uz aizstāvību.</w:t>
      </w:r>
      <w:r w:rsidRPr="006F4876">
        <w:t xml:space="preserve"> </w:t>
      </w:r>
    </w:p>
    <w:p w14:paraId="4E6D4A54" w14:textId="224DABE4" w:rsidR="00F73635" w:rsidRPr="006F4876" w:rsidRDefault="006F4876" w:rsidP="00F73635">
      <w:pPr>
        <w:spacing w:line="276" w:lineRule="auto"/>
        <w:ind w:firstLine="709"/>
        <w:jc w:val="both"/>
      </w:pPr>
      <w:r w:rsidRPr="006F4876">
        <w:t xml:space="preserve">Tiesa nepareizi tulkojusi Autortiesību likuma </w:t>
      </w:r>
      <w:proofErr w:type="gramStart"/>
      <w:r w:rsidRPr="006F4876">
        <w:t>68.panta</w:t>
      </w:r>
      <w:proofErr w:type="gramEnd"/>
      <w:r w:rsidRPr="006F4876">
        <w:t xml:space="preserve"> pirmo daļu, norādot, ka personu par iespējamo autortiesību pārkāpumu var saukt pie atbildības par autortiesību objekta izgatavošanu vai uzglabāšanu, vai arī par abu šo darbību izdarīšanu. </w:t>
      </w:r>
      <w:r w:rsidR="00BD25E6">
        <w:t>M</w:t>
      </w:r>
      <w:r w:rsidRPr="006F4876">
        <w:t xml:space="preserve">inētie apelācijas instances tiesas secinājumi ir pretrunīgi un ierobežo tiesības </w:t>
      </w:r>
      <w:r w:rsidR="004E52FF">
        <w:t>[pers. A]</w:t>
      </w:r>
      <w:r w:rsidRPr="006F4876">
        <w:t xml:space="preserve"> uz aizstāvību. </w:t>
      </w:r>
    </w:p>
    <w:p w14:paraId="1CD253CF" w14:textId="4E66A0AA" w:rsidR="00290919" w:rsidRDefault="000447E7" w:rsidP="006F4876">
      <w:pPr>
        <w:spacing w:line="276" w:lineRule="auto"/>
        <w:ind w:firstLine="709"/>
        <w:jc w:val="both"/>
      </w:pPr>
      <w:r>
        <w:t>S</w:t>
      </w:r>
      <w:r w:rsidR="006F4876" w:rsidRPr="006F4876">
        <w:t xml:space="preserve">askaņā ar Krimināllikuma </w:t>
      </w:r>
      <w:proofErr w:type="gramStart"/>
      <w:r w:rsidR="006F4876" w:rsidRPr="006F4876">
        <w:t>23.pantu</w:t>
      </w:r>
      <w:proofErr w:type="gramEnd"/>
      <w:r>
        <w:t xml:space="preserve"> būtiska nozīme</w:t>
      </w:r>
      <w:r w:rsidR="006F4876" w:rsidRPr="006F4876">
        <w:t xml:space="preserve"> ir faktam, vai noziedzīgs nodarījums ir turpināts vai ilgstošs. </w:t>
      </w:r>
      <w:r w:rsidR="00BD25E6">
        <w:t>T</w:t>
      </w:r>
      <w:r w:rsidR="006F4876" w:rsidRPr="006F4876">
        <w:t xml:space="preserve">iesas spriedumā noziedzīgo nodarījumu apraksts atbilst turpinātam noziedzīgam nodarījumam, savukārt </w:t>
      </w:r>
      <w:r w:rsidR="0011193D">
        <w:t xml:space="preserve">apsūdzētā </w:t>
      </w:r>
      <w:r w:rsidR="006F4876" w:rsidRPr="006F4876">
        <w:t xml:space="preserve">darbības kvalificētas kā ilgstošs noziedzīgs nodarījums. </w:t>
      </w:r>
      <w:r w:rsidR="009E272A" w:rsidRPr="00750B7C">
        <w:rPr>
          <w:rFonts w:eastAsiaTheme="minorHAnsi" w:cstheme="minorBidi"/>
          <w:szCs w:val="22"/>
        </w:rPr>
        <w:t xml:space="preserve">Krimināllikuma </w:t>
      </w:r>
      <w:proofErr w:type="gramStart"/>
      <w:r w:rsidR="009E272A" w:rsidRPr="00750B7C">
        <w:rPr>
          <w:rFonts w:eastAsiaTheme="minorHAnsi" w:cstheme="minorBidi"/>
          <w:szCs w:val="22"/>
        </w:rPr>
        <w:t>148.panta</w:t>
      </w:r>
      <w:proofErr w:type="gramEnd"/>
      <w:r w:rsidR="009E272A" w:rsidRPr="00750B7C">
        <w:rPr>
          <w:rFonts w:eastAsiaTheme="minorHAnsi" w:cstheme="minorBidi"/>
          <w:szCs w:val="22"/>
        </w:rPr>
        <w:t xml:space="preserve"> trešajā daļā paredzēta</w:t>
      </w:r>
      <w:r w:rsidR="009E272A">
        <w:rPr>
          <w:rFonts w:eastAsiaTheme="minorHAnsi" w:cstheme="minorBidi"/>
          <w:szCs w:val="22"/>
        </w:rPr>
        <w:t>jam</w:t>
      </w:r>
      <w:r w:rsidR="009E272A" w:rsidRPr="00750B7C">
        <w:rPr>
          <w:rFonts w:eastAsiaTheme="minorHAnsi" w:cstheme="minorBidi"/>
          <w:szCs w:val="22"/>
        </w:rPr>
        <w:t xml:space="preserve"> noziegum</w:t>
      </w:r>
      <w:r w:rsidR="009E272A">
        <w:rPr>
          <w:rFonts w:eastAsiaTheme="minorHAnsi" w:cstheme="minorBidi"/>
          <w:szCs w:val="22"/>
        </w:rPr>
        <w:t xml:space="preserve">am </w:t>
      </w:r>
      <w:r w:rsidR="009E272A" w:rsidRPr="00750B7C">
        <w:rPr>
          <w:rFonts w:eastAsiaTheme="minorHAnsi" w:cstheme="minorBidi"/>
          <w:szCs w:val="22"/>
        </w:rPr>
        <w:t>ir materiāl</w:t>
      </w:r>
      <w:r w:rsidR="009E272A">
        <w:rPr>
          <w:rFonts w:eastAsiaTheme="minorHAnsi" w:cstheme="minorBidi"/>
          <w:szCs w:val="22"/>
        </w:rPr>
        <w:t>s</w:t>
      </w:r>
      <w:r w:rsidR="009E272A" w:rsidRPr="00750B7C">
        <w:rPr>
          <w:rFonts w:eastAsiaTheme="minorHAnsi" w:cstheme="minorBidi"/>
          <w:szCs w:val="22"/>
        </w:rPr>
        <w:t xml:space="preserve"> sastāv</w:t>
      </w:r>
      <w:r w:rsidR="009E272A">
        <w:rPr>
          <w:rFonts w:eastAsiaTheme="minorHAnsi" w:cstheme="minorBidi"/>
          <w:szCs w:val="22"/>
        </w:rPr>
        <w:t>s</w:t>
      </w:r>
      <w:r w:rsidR="009E272A" w:rsidRPr="00750B7C">
        <w:rPr>
          <w:rFonts w:eastAsiaTheme="minorHAnsi" w:cstheme="minorBidi"/>
          <w:szCs w:val="22"/>
        </w:rPr>
        <w:t xml:space="preserve">, jo tā obligāta pazīme ir </w:t>
      </w:r>
      <w:r w:rsidR="009E272A" w:rsidRPr="00290919">
        <w:rPr>
          <w:rFonts w:eastAsiaTheme="minorHAnsi" w:cstheme="minorBidi"/>
          <w:szCs w:val="22"/>
        </w:rPr>
        <w:t>sekas  – liels apmērs</w:t>
      </w:r>
      <w:r w:rsidR="009E272A" w:rsidRPr="00750B7C">
        <w:rPr>
          <w:rFonts w:eastAsiaTheme="minorHAnsi" w:cstheme="minorBidi"/>
          <w:szCs w:val="22"/>
        </w:rPr>
        <w:t xml:space="preserve">. </w:t>
      </w:r>
      <w:bookmarkStart w:id="1" w:name="_Hlk82166906"/>
      <w:r w:rsidR="009E272A" w:rsidRPr="00750B7C">
        <w:rPr>
          <w:rFonts w:eastAsiaTheme="minorHAnsi" w:cstheme="minorBidi"/>
          <w:szCs w:val="22"/>
        </w:rPr>
        <w:t>T</w:t>
      </w:r>
      <w:r w:rsidR="0011193D">
        <w:rPr>
          <w:rFonts w:eastAsiaTheme="minorHAnsi" w:cstheme="minorBidi"/>
          <w:szCs w:val="22"/>
        </w:rPr>
        <w:t xml:space="preserve">ikai </w:t>
      </w:r>
      <w:r w:rsidR="009E272A" w:rsidRPr="00750B7C">
        <w:rPr>
          <w:rFonts w:eastAsiaTheme="minorHAnsi" w:cstheme="minorBidi"/>
          <w:szCs w:val="22"/>
        </w:rPr>
        <w:t>sasniedzot lielus apmērus</w:t>
      </w:r>
      <w:r>
        <w:rPr>
          <w:rFonts w:eastAsiaTheme="minorHAnsi" w:cstheme="minorBidi"/>
          <w:szCs w:val="22"/>
        </w:rPr>
        <w:t>,</w:t>
      </w:r>
      <w:r w:rsidR="009E272A" w:rsidRPr="00750B7C">
        <w:rPr>
          <w:rFonts w:eastAsiaTheme="minorHAnsi" w:cstheme="minorBidi"/>
          <w:szCs w:val="22"/>
        </w:rPr>
        <w:t xml:space="preserve"> īstenojas noziedzīga nodarījuma sastāvs un </w:t>
      </w:r>
      <w:r w:rsidR="00620F44">
        <w:rPr>
          <w:rFonts w:eastAsiaTheme="minorHAnsi" w:cstheme="minorBidi"/>
          <w:szCs w:val="22"/>
        </w:rPr>
        <w:t xml:space="preserve">tas neveido </w:t>
      </w:r>
      <w:r w:rsidR="009E272A" w:rsidRPr="00750B7C">
        <w:rPr>
          <w:rFonts w:eastAsiaTheme="minorHAnsi" w:cstheme="minorBidi"/>
          <w:szCs w:val="22"/>
        </w:rPr>
        <w:t xml:space="preserve">ilgstošu nodarījumu. </w:t>
      </w:r>
      <w:bookmarkEnd w:id="1"/>
      <w:r w:rsidR="009E272A" w:rsidRPr="00750B7C">
        <w:rPr>
          <w:rFonts w:eastAsiaTheme="minorHAnsi" w:cstheme="minorBidi"/>
          <w:szCs w:val="22"/>
        </w:rPr>
        <w:t>Sekas nav iespējams realizēt nepārtraukti un ilgstoši.</w:t>
      </w:r>
      <w:r w:rsidR="009E272A">
        <w:rPr>
          <w:rFonts w:eastAsiaTheme="minorHAnsi" w:cstheme="minorBidi"/>
          <w:szCs w:val="22"/>
        </w:rPr>
        <w:t xml:space="preserve"> </w:t>
      </w:r>
      <w:r w:rsidR="006C5166" w:rsidRPr="00115971">
        <w:t xml:space="preserve">Ņemot vērā minēto, nepareiza noziedzīgā nodarījuma pabeigšanas brīža konstatēšana novedusi pie nepareizas noziedzīgā nodarījuma </w:t>
      </w:r>
      <w:r w:rsidR="00BD25E6">
        <w:t>zaudējuma</w:t>
      </w:r>
      <w:r w:rsidR="006C5166" w:rsidRPr="00115971">
        <w:t xml:space="preserve"> aprēķināšanas, proti, tiesa ir piemērojusi to minimālās algas likmi, kas noteikta uz </w:t>
      </w:r>
      <w:proofErr w:type="gramStart"/>
      <w:r w:rsidR="006C5166" w:rsidRPr="00115971">
        <w:t>2015.gada</w:t>
      </w:r>
      <w:proofErr w:type="gramEnd"/>
      <w:r w:rsidR="006C5166" w:rsidRPr="00115971">
        <w:t xml:space="preserve"> 12.martu, nevis uz brīdi, kad attiecīgās datorprogrammas tika instalētas datoros. </w:t>
      </w:r>
    </w:p>
    <w:p w14:paraId="5908BB1D" w14:textId="01ED516F" w:rsidR="0011193D" w:rsidRPr="00115971" w:rsidRDefault="00B2141F" w:rsidP="0011193D">
      <w:pPr>
        <w:spacing w:line="276" w:lineRule="auto"/>
        <w:ind w:firstLine="709"/>
        <w:jc w:val="both"/>
      </w:pPr>
      <w:r w:rsidRPr="00C704D1">
        <w:t>[4</w:t>
      </w:r>
      <w:r>
        <w:t>.</w:t>
      </w:r>
      <w:r w:rsidR="0011193D">
        <w:t>4</w:t>
      </w:r>
      <w:r w:rsidRPr="00C704D1">
        <w:t>]</w:t>
      </w:r>
      <w:r>
        <w:t xml:space="preserve"> </w:t>
      </w:r>
      <w:r w:rsidR="0011193D" w:rsidRPr="00115971">
        <w:t>Tiesa spriedumā ir konstatējusi tādu faktisko apstākļu es</w:t>
      </w:r>
      <w:r w:rsidR="0011193D">
        <w:t>ību</w:t>
      </w:r>
      <w:r w:rsidR="0011193D" w:rsidRPr="00115971">
        <w:t xml:space="preserve"> – datorprogrammu izmantošanu, kādi nav minēti apsūdzībā. </w:t>
      </w:r>
      <w:r w:rsidR="004E52FF">
        <w:t>[Pers. A]</w:t>
      </w:r>
      <w:r w:rsidR="0011193D" w:rsidRPr="00115971">
        <w:t xml:space="preserve"> tiek inkriminēta rīcība, kas izpaudusies bezdarbības un darbības </w:t>
      </w:r>
      <w:r w:rsidR="0011193D">
        <w:t>veidā</w:t>
      </w:r>
      <w:r w:rsidR="0011193D" w:rsidRPr="00115971">
        <w:t>. Proti, kā bezdarbība minēta SIA ,,</w:t>
      </w:r>
      <w:r w:rsidR="004E52FF">
        <w:t>[Nosaukums]</w:t>
      </w:r>
      <w:r w:rsidR="0011193D" w:rsidRPr="00115971">
        <w:t>” datorsistēmu nenodrošināšana ar uzņēmējdarbības veikšanai nepieciešamajām licencētām datorprogrammām</w:t>
      </w:r>
      <w:r w:rsidR="0011193D">
        <w:t>, s</w:t>
      </w:r>
      <w:r w:rsidR="0011193D" w:rsidRPr="00115971">
        <w:t>avukārt kā darbība minēta apzināta datorsistēmu nodošana SIA ,,</w:t>
      </w:r>
      <w:r w:rsidR="004E52FF">
        <w:t>[Nosaukums]</w:t>
      </w:r>
      <w:r w:rsidR="0011193D" w:rsidRPr="00115971">
        <w:t xml:space="preserve">” darbiniekiem, kurās tika reproducētas datorprogrammas bez tiesiskā īpašnieka atļaujas. </w:t>
      </w:r>
      <w:r w:rsidR="0011193D">
        <w:t>T</w:t>
      </w:r>
      <w:r w:rsidR="0011193D" w:rsidRPr="00115971">
        <w:t xml:space="preserve">iesa nav ievērojusi apsūdzības robežas, jo pēc savas iniciatīvas konstatējusi </w:t>
      </w:r>
      <w:r w:rsidR="00AC3462">
        <w:t>apsūdzībā neminēt</w:t>
      </w:r>
      <w:r w:rsidR="00FF1201">
        <w:t>u</w:t>
      </w:r>
      <w:r w:rsidR="00AC3462">
        <w:t xml:space="preserve">s </w:t>
      </w:r>
      <w:r w:rsidR="00FF1201">
        <w:t xml:space="preserve">faktiskos </w:t>
      </w:r>
      <w:r w:rsidR="00AC3462">
        <w:t>apstākļus.</w:t>
      </w:r>
    </w:p>
    <w:p w14:paraId="3EFF1BC1" w14:textId="4B568711" w:rsidR="0011193D" w:rsidRPr="00115971" w:rsidRDefault="0011193D" w:rsidP="0011193D">
      <w:pPr>
        <w:spacing w:line="276" w:lineRule="auto"/>
        <w:ind w:firstLine="709"/>
        <w:contextualSpacing/>
        <w:jc w:val="both"/>
      </w:pPr>
      <w:r w:rsidRPr="00115971">
        <w:t xml:space="preserve"> Sūdzībā ir atsauce uz Augstākās tiesas lēmumu lietā Nr.</w:t>
      </w:r>
      <w:r>
        <w:t xml:space="preserve"> </w:t>
      </w:r>
      <w:r w:rsidRPr="00115971">
        <w:t>SKK-314/2010, kur secināts, ka pierādīšanas priekšmets kriminālprocesā ir visi tie apstākļi, kādi norādīti apsūdzībā. Ja kādi apstākļi nav norādīti apsūdzībā, tad tie nevar būt par pierādīšanas priekšmetu. Kā arī atsauce uz lēmum</w:t>
      </w:r>
      <w:r w:rsidR="00AC3462">
        <w:t>ā</w:t>
      </w:r>
      <w:r w:rsidRPr="00115971">
        <w:t xml:space="preserve"> lietā Nr.</w:t>
      </w:r>
      <w:r>
        <w:t xml:space="preserve"> </w:t>
      </w:r>
      <w:r w:rsidRPr="00115971">
        <w:t>SKK-8/2012 secināto, ka apsūdzību nevar papildināt, precizēt vai kādā daļā izveidot no jauna, jo tādā veidā tiktu pārkāpts procesuālo pilnvaru nodalīšanas princips.</w:t>
      </w:r>
    </w:p>
    <w:p w14:paraId="1FA005BC" w14:textId="57EF3FD1" w:rsidR="0011193D" w:rsidRPr="00642ABC" w:rsidRDefault="0011193D" w:rsidP="00361E7E">
      <w:pPr>
        <w:spacing w:line="276" w:lineRule="auto"/>
        <w:ind w:firstLine="709"/>
        <w:jc w:val="both"/>
      </w:pPr>
      <w:r w:rsidRPr="00642ABC">
        <w:t>[4.</w:t>
      </w:r>
      <w:r w:rsidR="0002250A" w:rsidRPr="00642ABC">
        <w:t>5</w:t>
      </w:r>
      <w:r w:rsidRPr="00642ABC">
        <w:t xml:space="preserve">] Tiesa nav novērsusi saprātīgas šaubas par to, ka minētās datorprogrammas aktivizējas automātiski un neviena persona tās ar nodomu nav aktivizējusi un nav lietojusi. Nepareiza pierādījumu izvērtēšana, neievērojot Kriminālprocesa likuma </w:t>
      </w:r>
      <w:proofErr w:type="gramStart"/>
      <w:r w:rsidRPr="00642ABC">
        <w:t>124.panta</w:t>
      </w:r>
      <w:proofErr w:type="gramEnd"/>
      <w:r w:rsidRPr="00642ABC">
        <w:t xml:space="preserve"> piekto daļu, novedusi pie nepamatotas </w:t>
      </w:r>
      <w:r w:rsidR="004E52FF">
        <w:t>[pers. A]</w:t>
      </w:r>
      <w:r w:rsidRPr="00642ABC">
        <w:t xml:space="preserve"> subjektīvās puses – tieša nodoma konstatēšanas</w:t>
      </w:r>
      <w:r w:rsidR="00361E7E" w:rsidRPr="00642ABC">
        <w:t xml:space="preserve"> –</w:t>
      </w:r>
      <w:r w:rsidRPr="00642ABC">
        <w:t>, kā rezultāt</w:t>
      </w:r>
      <w:r w:rsidR="00361E7E" w:rsidRPr="00642ABC">
        <w:t>ā</w:t>
      </w:r>
      <w:r w:rsidRPr="00642ABC">
        <w:t xml:space="preserve"> apelācijas instances tiesas spriedums nav atzīstams par likumīgu. </w:t>
      </w:r>
    </w:p>
    <w:p w14:paraId="139C8A82" w14:textId="01CA9E41" w:rsidR="006F4876" w:rsidRDefault="0002250A" w:rsidP="00BD25E6">
      <w:pPr>
        <w:spacing w:line="276" w:lineRule="auto"/>
        <w:ind w:firstLine="709"/>
        <w:contextualSpacing/>
        <w:jc w:val="both"/>
        <w:rPr>
          <w:rFonts w:eastAsiaTheme="minorHAnsi" w:cstheme="minorBidi"/>
          <w:szCs w:val="22"/>
        </w:rPr>
      </w:pPr>
      <w:r>
        <w:t>[4.</w:t>
      </w:r>
      <w:r w:rsidR="00DC5E91">
        <w:t>6</w:t>
      </w:r>
      <w:r>
        <w:t xml:space="preserve">] </w:t>
      </w:r>
      <w:r w:rsidR="006F4876">
        <w:t>Apelācijas instances tiesa</w:t>
      </w:r>
      <w:r w:rsidR="00B67365">
        <w:t xml:space="preserve"> </w:t>
      </w:r>
      <w:r w:rsidR="006F4876" w:rsidRPr="00750B7C">
        <w:rPr>
          <w:rFonts w:eastAsiaTheme="minorHAnsi" w:cstheme="minorBidi"/>
          <w:szCs w:val="22"/>
        </w:rPr>
        <w:t>pārkā</w:t>
      </w:r>
      <w:r w:rsidR="006F4876">
        <w:rPr>
          <w:rFonts w:eastAsiaTheme="minorHAnsi" w:cstheme="minorBidi"/>
          <w:szCs w:val="22"/>
        </w:rPr>
        <w:t xml:space="preserve">pusi </w:t>
      </w:r>
      <w:r w:rsidR="004E52FF">
        <w:rPr>
          <w:rFonts w:eastAsiaTheme="minorHAnsi" w:cstheme="minorBidi"/>
          <w:szCs w:val="22"/>
        </w:rPr>
        <w:t>[pers. A]</w:t>
      </w:r>
      <w:r w:rsidR="006F4876" w:rsidRPr="00750B7C">
        <w:rPr>
          <w:rFonts w:eastAsiaTheme="minorHAnsi" w:cstheme="minorBidi"/>
          <w:szCs w:val="22"/>
        </w:rPr>
        <w:t xml:space="preserve"> tiesības uz taisnīgu tiesu, kas </w:t>
      </w:r>
      <w:r>
        <w:rPr>
          <w:rFonts w:eastAsiaTheme="minorHAnsi" w:cstheme="minorBidi"/>
          <w:szCs w:val="22"/>
        </w:rPr>
        <w:t xml:space="preserve">noteiktas </w:t>
      </w:r>
      <w:r w:rsidR="006F4876" w:rsidRPr="00750B7C">
        <w:rPr>
          <w:rFonts w:eastAsiaTheme="minorHAnsi" w:cstheme="minorBidi"/>
          <w:szCs w:val="22"/>
        </w:rPr>
        <w:t xml:space="preserve">Eiropas Cilvēktiesību un pamatbrīvību aizsardzības konvencijas </w:t>
      </w:r>
      <w:proofErr w:type="gramStart"/>
      <w:r w:rsidR="006F4876" w:rsidRPr="00750B7C">
        <w:rPr>
          <w:rFonts w:eastAsiaTheme="minorHAnsi" w:cstheme="minorBidi"/>
          <w:szCs w:val="22"/>
        </w:rPr>
        <w:t>6.pantā</w:t>
      </w:r>
      <w:proofErr w:type="gramEnd"/>
      <w:r>
        <w:rPr>
          <w:rFonts w:eastAsiaTheme="minorHAnsi" w:cstheme="minorBidi"/>
          <w:szCs w:val="22"/>
        </w:rPr>
        <w:t>. Minētais</w:t>
      </w:r>
      <w:r w:rsidR="0065732A">
        <w:rPr>
          <w:rFonts w:eastAsiaTheme="minorHAnsi" w:cstheme="minorBidi"/>
          <w:szCs w:val="22"/>
        </w:rPr>
        <w:t xml:space="preserve"> </w:t>
      </w:r>
      <w:r w:rsidR="0065732A" w:rsidRPr="00750B7C">
        <w:rPr>
          <w:rFonts w:eastAsiaTheme="minorHAnsi" w:cstheme="minorBidi"/>
          <w:szCs w:val="22"/>
        </w:rPr>
        <w:t xml:space="preserve">atzīstams par Kriminālprocesa likuma </w:t>
      </w:r>
      <w:proofErr w:type="gramStart"/>
      <w:r w:rsidR="0065732A" w:rsidRPr="00750B7C">
        <w:rPr>
          <w:rFonts w:eastAsiaTheme="minorHAnsi" w:cstheme="minorBidi"/>
          <w:szCs w:val="22"/>
        </w:rPr>
        <w:t>12.panta</w:t>
      </w:r>
      <w:proofErr w:type="gramEnd"/>
      <w:r w:rsidR="0065732A" w:rsidRPr="00750B7C">
        <w:rPr>
          <w:rFonts w:eastAsiaTheme="minorHAnsi" w:cstheme="minorBidi"/>
          <w:szCs w:val="22"/>
        </w:rPr>
        <w:t xml:space="preserve"> pārkāpumu.</w:t>
      </w:r>
      <w:r w:rsidR="0065732A">
        <w:rPr>
          <w:rFonts w:eastAsiaTheme="minorHAnsi" w:cstheme="minorBidi"/>
          <w:szCs w:val="22"/>
        </w:rPr>
        <w:t xml:space="preserve"> </w:t>
      </w:r>
      <w:r w:rsidR="006F4876" w:rsidRPr="00750B7C">
        <w:rPr>
          <w:rFonts w:eastAsiaTheme="minorHAnsi" w:cstheme="minorBidi"/>
          <w:szCs w:val="22"/>
        </w:rPr>
        <w:t xml:space="preserve">Tiesa par pieļaujamiem atzinusi un izmantojusi pierādījumus, </w:t>
      </w:r>
      <w:r w:rsidR="00BD25E6">
        <w:rPr>
          <w:rFonts w:eastAsiaTheme="minorHAnsi" w:cstheme="minorBidi"/>
          <w:szCs w:val="22"/>
        </w:rPr>
        <w:t xml:space="preserve">pārkāpjot </w:t>
      </w:r>
      <w:r w:rsidR="006F4876" w:rsidRPr="00750B7C">
        <w:rPr>
          <w:rFonts w:eastAsiaTheme="minorHAnsi" w:cstheme="minorBidi"/>
          <w:szCs w:val="22"/>
        </w:rPr>
        <w:t xml:space="preserve">Kriminālprocesa likuma </w:t>
      </w:r>
      <w:proofErr w:type="gramStart"/>
      <w:r w:rsidR="006F4876" w:rsidRPr="00750B7C">
        <w:rPr>
          <w:rFonts w:eastAsiaTheme="minorHAnsi" w:cstheme="minorBidi"/>
          <w:szCs w:val="22"/>
        </w:rPr>
        <w:t>130.panta</w:t>
      </w:r>
      <w:proofErr w:type="gramEnd"/>
      <w:r w:rsidR="006F4876" w:rsidRPr="00750B7C">
        <w:rPr>
          <w:rFonts w:eastAsiaTheme="minorHAnsi" w:cstheme="minorBidi"/>
          <w:szCs w:val="22"/>
        </w:rPr>
        <w:t xml:space="preserve"> otrās daļas 2.punkt</w:t>
      </w:r>
      <w:r w:rsidR="00BD25E6">
        <w:rPr>
          <w:rFonts w:eastAsiaTheme="minorHAnsi" w:cstheme="minorBidi"/>
          <w:szCs w:val="22"/>
        </w:rPr>
        <w:t>u.</w:t>
      </w:r>
      <w:r>
        <w:rPr>
          <w:rFonts w:eastAsiaTheme="minorHAnsi" w:cstheme="minorBidi"/>
          <w:szCs w:val="22"/>
        </w:rPr>
        <w:t xml:space="preserve"> </w:t>
      </w:r>
    </w:p>
    <w:p w14:paraId="1EE4F22F" w14:textId="0CE2C710" w:rsidR="00B2141F" w:rsidRPr="00750B7C" w:rsidRDefault="00B2141F" w:rsidP="006F4876">
      <w:pPr>
        <w:spacing w:line="276" w:lineRule="auto"/>
        <w:ind w:firstLine="709"/>
        <w:contextualSpacing/>
        <w:jc w:val="both"/>
        <w:rPr>
          <w:rFonts w:eastAsiaTheme="minorHAnsi" w:cstheme="minorBidi"/>
          <w:szCs w:val="22"/>
        </w:rPr>
      </w:pPr>
      <w:r w:rsidRPr="00750B7C">
        <w:rPr>
          <w:rFonts w:eastAsiaTheme="minorHAnsi" w:cstheme="minorBidi"/>
          <w:szCs w:val="22"/>
        </w:rPr>
        <w:t>Apelācijas sūdzībā aizstāvība</w:t>
      </w:r>
      <w:r w:rsidR="004D41BE">
        <w:rPr>
          <w:rFonts w:eastAsiaTheme="minorHAnsi" w:cstheme="minorBidi"/>
          <w:szCs w:val="22"/>
        </w:rPr>
        <w:t xml:space="preserve"> vērsa uzmanību</w:t>
      </w:r>
      <w:r w:rsidRPr="00750B7C">
        <w:rPr>
          <w:rFonts w:eastAsiaTheme="minorHAnsi" w:cstheme="minorBidi"/>
          <w:szCs w:val="22"/>
        </w:rPr>
        <w:t xml:space="preserve">, ka policijas veiktās pārbaudes laikā </w:t>
      </w:r>
      <w:r w:rsidR="0002250A">
        <w:rPr>
          <w:rFonts w:eastAsiaTheme="minorHAnsi" w:cstheme="minorBidi"/>
          <w:szCs w:val="22"/>
        </w:rPr>
        <w:t xml:space="preserve">iegūtās </w:t>
      </w:r>
      <w:r w:rsidRPr="00750B7C">
        <w:rPr>
          <w:rFonts w:eastAsiaTheme="minorHAnsi" w:cstheme="minorBidi"/>
          <w:szCs w:val="22"/>
        </w:rPr>
        <w:t xml:space="preserve">ziņas nav nostiprinātas atbilstoši Kriminālprocesa likuma </w:t>
      </w:r>
      <w:proofErr w:type="gramStart"/>
      <w:r w:rsidRPr="00750B7C">
        <w:rPr>
          <w:rFonts w:eastAsiaTheme="minorHAnsi" w:cstheme="minorBidi"/>
          <w:szCs w:val="22"/>
        </w:rPr>
        <w:t>130.pantā</w:t>
      </w:r>
      <w:proofErr w:type="gramEnd"/>
      <w:r w:rsidRPr="00750B7C">
        <w:rPr>
          <w:rFonts w:eastAsiaTheme="minorHAnsi" w:cstheme="minorBidi"/>
          <w:szCs w:val="22"/>
        </w:rPr>
        <w:t xml:space="preserve"> noteiktajai kārtībai. Veicot datorprogrammu legalitātes pārbaudi</w:t>
      </w:r>
      <w:r w:rsidR="00BB044F">
        <w:rPr>
          <w:rFonts w:eastAsiaTheme="minorHAnsi" w:cstheme="minorBidi"/>
          <w:szCs w:val="22"/>
        </w:rPr>
        <w:t>,</w:t>
      </w:r>
      <w:r w:rsidRPr="00750B7C">
        <w:rPr>
          <w:rFonts w:eastAsiaTheme="minorHAnsi" w:cstheme="minorBidi"/>
          <w:szCs w:val="22"/>
        </w:rPr>
        <w:t xml:space="preserve"> to</w:t>
      </w:r>
      <w:r w:rsidRPr="00DC5E91">
        <w:rPr>
          <w:rFonts w:eastAsiaTheme="minorHAnsi" w:cstheme="minorBidi"/>
          <w:szCs w:val="22"/>
        </w:rPr>
        <w:t xml:space="preserve"> </w:t>
      </w:r>
      <w:r w:rsidRPr="00F73635">
        <w:rPr>
          <w:rFonts w:eastAsiaTheme="minorHAnsi" w:cstheme="minorBidi"/>
          <w:szCs w:val="22"/>
        </w:rPr>
        <w:t>neveica</w:t>
      </w:r>
      <w:r w:rsidRPr="00361E7E">
        <w:rPr>
          <w:rFonts w:eastAsiaTheme="minorHAnsi" w:cstheme="minorBidi"/>
          <w:b/>
          <w:bCs/>
          <w:szCs w:val="22"/>
        </w:rPr>
        <w:t xml:space="preserve"> </w:t>
      </w:r>
      <w:r w:rsidRPr="00F73635">
        <w:rPr>
          <w:rFonts w:eastAsiaTheme="minorHAnsi" w:cstheme="minorBidi"/>
          <w:color w:val="000000" w:themeColor="text1"/>
          <w:szCs w:val="22"/>
        </w:rPr>
        <w:t>personas</w:t>
      </w:r>
      <w:r w:rsidR="00DC5E91" w:rsidRPr="00F73635">
        <w:rPr>
          <w:rFonts w:eastAsiaTheme="minorHAnsi" w:cstheme="minorBidi"/>
          <w:color w:val="000000" w:themeColor="text1"/>
          <w:szCs w:val="22"/>
        </w:rPr>
        <w:t>, kurām saskaņā ar likumu bija šādas tiesības,</w:t>
      </w:r>
      <w:r w:rsidRPr="00750B7C">
        <w:rPr>
          <w:rFonts w:eastAsiaTheme="minorHAnsi" w:cstheme="minorBidi"/>
          <w:szCs w:val="22"/>
        </w:rPr>
        <w:t xml:space="preserve"> un tā netika veikta procesuālajā kārtībā, kuru paredz Kriminālprocesa likums. Saskaņā ar likuma „Par policiju”</w:t>
      </w:r>
      <w:r w:rsidRPr="0065732A">
        <w:rPr>
          <w:rFonts w:eastAsiaTheme="minorHAnsi"/>
        </w:rPr>
        <w:t xml:space="preserve"> </w:t>
      </w:r>
      <w:r w:rsidR="0065732A" w:rsidRPr="0065732A">
        <w:rPr>
          <w:shd w:val="clear" w:color="auto" w:fill="FFFFFF"/>
        </w:rPr>
        <w:t>14.</w:t>
      </w:r>
      <w:proofErr w:type="gramStart"/>
      <w:r w:rsidR="0065732A" w:rsidRPr="0065732A">
        <w:rPr>
          <w:shd w:val="clear" w:color="auto" w:fill="FFFFFF"/>
          <w:vertAlign w:val="superscript"/>
        </w:rPr>
        <w:t>1</w:t>
      </w:r>
      <w:r w:rsidRPr="00750B7C">
        <w:rPr>
          <w:rFonts w:eastAsiaTheme="minorHAnsi" w:cstheme="minorBidi"/>
          <w:szCs w:val="22"/>
        </w:rPr>
        <w:t>panta</w:t>
      </w:r>
      <w:proofErr w:type="gramEnd"/>
      <w:r w:rsidRPr="00750B7C">
        <w:rPr>
          <w:rFonts w:eastAsiaTheme="minorHAnsi" w:cstheme="minorBidi"/>
          <w:szCs w:val="22"/>
        </w:rPr>
        <w:t xml:space="preserve"> otro daļu </w:t>
      </w:r>
      <w:proofErr w:type="spellStart"/>
      <w:r w:rsidRPr="00750B7C">
        <w:rPr>
          <w:rFonts w:eastAsiaTheme="minorHAnsi" w:cstheme="minorBidi"/>
          <w:szCs w:val="22"/>
        </w:rPr>
        <w:t>resoriskās</w:t>
      </w:r>
      <w:proofErr w:type="spellEnd"/>
      <w:r w:rsidRPr="00750B7C">
        <w:rPr>
          <w:rFonts w:eastAsiaTheme="minorHAnsi" w:cstheme="minorBidi"/>
          <w:szCs w:val="22"/>
        </w:rPr>
        <w:t xml:space="preserve"> pārbaudes procesā policijas darbiniekiem nav tiesību veikt darbības, kas īstenojamas tikai kriminālprocesa vai administratīvā pārkāpuma lietvedības ietvaros. Tā kā datorsistēmu apskate ir viens no apskates veidiem, kas īstenojama kriminālprocesa vai administratīvā pārkāpuma procesa ietvaros, tad </w:t>
      </w:r>
      <w:proofErr w:type="spellStart"/>
      <w:r w:rsidRPr="00750B7C">
        <w:rPr>
          <w:rFonts w:eastAsiaTheme="minorHAnsi" w:cstheme="minorBidi"/>
          <w:szCs w:val="22"/>
        </w:rPr>
        <w:t>resoriskās</w:t>
      </w:r>
      <w:proofErr w:type="spellEnd"/>
      <w:r w:rsidRPr="00750B7C">
        <w:rPr>
          <w:rFonts w:eastAsiaTheme="minorHAnsi" w:cstheme="minorBidi"/>
          <w:szCs w:val="22"/>
        </w:rPr>
        <w:t xml:space="preserve"> pārbaudes ietvaros veikt</w:t>
      </w:r>
      <w:r>
        <w:rPr>
          <w:rFonts w:eastAsiaTheme="minorHAnsi" w:cstheme="minorBidi"/>
          <w:szCs w:val="22"/>
        </w:rPr>
        <w:t>ā</w:t>
      </w:r>
      <w:r w:rsidRPr="00750B7C">
        <w:rPr>
          <w:rFonts w:eastAsiaTheme="minorHAnsi" w:cstheme="minorBidi"/>
          <w:szCs w:val="22"/>
        </w:rPr>
        <w:t>s apskates rezultāti ir atzīstami par nepieļaujamiem pierādījumiem kriminālprocesā.</w:t>
      </w:r>
    </w:p>
    <w:p w14:paraId="1D7160C9" w14:textId="6D91D633" w:rsidR="0068676A" w:rsidRPr="00750B7C" w:rsidRDefault="0068676A" w:rsidP="0002250A">
      <w:pPr>
        <w:spacing w:line="276" w:lineRule="auto"/>
        <w:ind w:firstLine="709"/>
        <w:contextualSpacing/>
        <w:jc w:val="both"/>
        <w:rPr>
          <w:rFonts w:eastAsiaTheme="minorHAnsi" w:cstheme="minorBidi"/>
          <w:szCs w:val="22"/>
        </w:rPr>
      </w:pPr>
      <w:r w:rsidRPr="00C704D1">
        <w:t>[4</w:t>
      </w:r>
      <w:r>
        <w:t>.</w:t>
      </w:r>
      <w:r w:rsidR="00DC5E91">
        <w:t>7</w:t>
      </w:r>
      <w:r w:rsidRPr="00C704D1">
        <w:t>]</w:t>
      </w:r>
      <w:r>
        <w:t xml:space="preserve"> </w:t>
      </w:r>
      <w:r w:rsidRPr="00750B7C">
        <w:rPr>
          <w:rFonts w:eastAsiaTheme="minorHAnsi" w:cstheme="minorBidi"/>
          <w:szCs w:val="22"/>
        </w:rPr>
        <w:t xml:space="preserve">Apelācijas instances tiesa ir pārkāpusi Kriminālprocesa likuma </w:t>
      </w:r>
      <w:proofErr w:type="gramStart"/>
      <w:r w:rsidRPr="00750B7C">
        <w:rPr>
          <w:rFonts w:eastAsiaTheme="minorHAnsi" w:cstheme="minorBidi"/>
          <w:szCs w:val="22"/>
        </w:rPr>
        <w:t>128.panta</w:t>
      </w:r>
      <w:proofErr w:type="gramEnd"/>
      <w:r w:rsidRPr="00750B7C">
        <w:rPr>
          <w:rFonts w:eastAsiaTheme="minorHAnsi" w:cstheme="minorBidi"/>
          <w:szCs w:val="22"/>
        </w:rPr>
        <w:t xml:space="preserve"> otrajā daļā noteikto pierādījumu ticamības vērtēšanas kārtību. </w:t>
      </w:r>
      <w:r w:rsidR="0002250A">
        <w:rPr>
          <w:rFonts w:eastAsiaTheme="minorHAnsi" w:cstheme="minorBidi"/>
          <w:szCs w:val="22"/>
        </w:rPr>
        <w:t>T</w:t>
      </w:r>
      <w:r w:rsidRPr="00750B7C">
        <w:rPr>
          <w:rFonts w:eastAsiaTheme="minorHAnsi" w:cstheme="minorBidi"/>
          <w:szCs w:val="22"/>
        </w:rPr>
        <w:t>iesa</w:t>
      </w:r>
      <w:r w:rsidR="00023F80">
        <w:rPr>
          <w:rFonts w:eastAsiaTheme="minorHAnsi" w:cstheme="minorBidi"/>
          <w:szCs w:val="22"/>
        </w:rPr>
        <w:t xml:space="preserve">i </w:t>
      </w:r>
      <w:r w:rsidR="0002250A">
        <w:rPr>
          <w:rFonts w:eastAsiaTheme="minorHAnsi" w:cstheme="minorBidi"/>
          <w:szCs w:val="22"/>
        </w:rPr>
        <w:t xml:space="preserve">bija jāvērtē </w:t>
      </w:r>
      <w:r w:rsidR="004E52FF">
        <w:rPr>
          <w:rFonts w:eastAsiaTheme="minorHAnsi" w:cstheme="minorBidi"/>
          <w:szCs w:val="22"/>
        </w:rPr>
        <w:t>[pers. B]</w:t>
      </w:r>
      <w:r>
        <w:rPr>
          <w:rFonts w:eastAsiaTheme="minorHAnsi" w:cstheme="minorBidi"/>
          <w:szCs w:val="22"/>
        </w:rPr>
        <w:t xml:space="preserve">, </w:t>
      </w:r>
      <w:r w:rsidR="004E52FF">
        <w:rPr>
          <w:rFonts w:eastAsiaTheme="minorHAnsi" w:cstheme="minorBidi"/>
          <w:szCs w:val="22"/>
        </w:rPr>
        <w:t>[pers. </w:t>
      </w:r>
      <w:r w:rsidR="00157F7D">
        <w:rPr>
          <w:rFonts w:eastAsiaTheme="minorHAnsi" w:cstheme="minorBidi"/>
          <w:szCs w:val="22"/>
        </w:rPr>
        <w:t>C</w:t>
      </w:r>
      <w:r w:rsidR="004E52FF">
        <w:rPr>
          <w:rFonts w:eastAsiaTheme="minorHAnsi" w:cstheme="minorBidi"/>
          <w:szCs w:val="22"/>
        </w:rPr>
        <w:t>]</w:t>
      </w:r>
      <w:r>
        <w:rPr>
          <w:rFonts w:eastAsiaTheme="minorHAnsi" w:cstheme="minorBidi"/>
          <w:szCs w:val="22"/>
        </w:rPr>
        <w:t xml:space="preserve">, </w:t>
      </w:r>
      <w:r w:rsidR="004E52FF">
        <w:t>[pers. D]</w:t>
      </w:r>
      <w:r>
        <w:t xml:space="preserve">, </w:t>
      </w:r>
      <w:r w:rsidR="004E52FF">
        <w:t>[pers. A]</w:t>
      </w:r>
      <w:r>
        <w:t xml:space="preserve"> </w:t>
      </w:r>
      <w:r w:rsidRPr="0068676A">
        <w:t>liecībās</w:t>
      </w:r>
      <w:r w:rsidR="0002250A">
        <w:t xml:space="preserve"> ietverto ziņu ticamība, </w:t>
      </w:r>
      <w:r w:rsidRPr="00750B7C">
        <w:rPr>
          <w:rFonts w:eastAsiaTheme="minorHAnsi" w:cstheme="minorBidi"/>
          <w:szCs w:val="22"/>
        </w:rPr>
        <w:t xml:space="preserve">nevis </w:t>
      </w:r>
      <w:r w:rsidR="00620F44">
        <w:rPr>
          <w:rFonts w:eastAsiaTheme="minorHAnsi" w:cstheme="minorBidi"/>
          <w:szCs w:val="22"/>
        </w:rPr>
        <w:t xml:space="preserve">jāizsaka </w:t>
      </w:r>
      <w:r w:rsidRPr="00750B7C">
        <w:rPr>
          <w:rFonts w:eastAsiaTheme="minorHAnsi" w:cstheme="minorBidi"/>
          <w:szCs w:val="22"/>
        </w:rPr>
        <w:t>apsvērum</w:t>
      </w:r>
      <w:r w:rsidR="00620F44">
        <w:rPr>
          <w:rFonts w:eastAsiaTheme="minorHAnsi" w:cstheme="minorBidi"/>
          <w:szCs w:val="22"/>
        </w:rPr>
        <w:t>i</w:t>
      </w:r>
      <w:r w:rsidRPr="00750B7C">
        <w:rPr>
          <w:rFonts w:eastAsiaTheme="minorHAnsi" w:cstheme="minorBidi"/>
          <w:szCs w:val="22"/>
        </w:rPr>
        <w:t xml:space="preserve"> par to ticamību. Tiesas arguments, ka liecībās ietvertās ziņas ir pretrunā </w:t>
      </w:r>
      <w:r w:rsidR="003C0793">
        <w:rPr>
          <w:rFonts w:eastAsiaTheme="minorHAnsi" w:cstheme="minorBidi"/>
          <w:szCs w:val="22"/>
        </w:rPr>
        <w:t xml:space="preserve">ar </w:t>
      </w:r>
      <w:r w:rsidRPr="00750B7C">
        <w:rPr>
          <w:rFonts w:eastAsiaTheme="minorHAnsi" w:cstheme="minorBidi"/>
          <w:szCs w:val="22"/>
        </w:rPr>
        <w:t>citiem</w:t>
      </w:r>
      <w:r w:rsidR="00620F44">
        <w:rPr>
          <w:rFonts w:eastAsiaTheme="minorHAnsi" w:cstheme="minorBidi"/>
          <w:szCs w:val="22"/>
        </w:rPr>
        <w:t xml:space="preserve"> lietā</w:t>
      </w:r>
      <w:r w:rsidRPr="00750B7C">
        <w:rPr>
          <w:rFonts w:eastAsiaTheme="minorHAnsi" w:cstheme="minorBidi"/>
          <w:szCs w:val="22"/>
        </w:rPr>
        <w:t xml:space="preserve"> iegūt</w:t>
      </w:r>
      <w:r w:rsidR="00023F80">
        <w:rPr>
          <w:rFonts w:eastAsiaTheme="minorHAnsi" w:cstheme="minorBidi"/>
          <w:szCs w:val="22"/>
        </w:rPr>
        <w:t>ajiem</w:t>
      </w:r>
      <w:r w:rsidRPr="00750B7C">
        <w:rPr>
          <w:rFonts w:eastAsiaTheme="minorHAnsi" w:cstheme="minorBidi"/>
          <w:szCs w:val="22"/>
        </w:rPr>
        <w:t xml:space="preserve"> un tiesas izmeklēšanā pārbaudītajiem pierādījumiem</w:t>
      </w:r>
      <w:r w:rsidR="00023F80">
        <w:rPr>
          <w:rFonts w:eastAsiaTheme="minorHAnsi" w:cstheme="minorBidi"/>
          <w:szCs w:val="22"/>
        </w:rPr>
        <w:t>,</w:t>
      </w:r>
      <w:r w:rsidRPr="00750B7C">
        <w:rPr>
          <w:rFonts w:eastAsiaTheme="minorHAnsi" w:cstheme="minorBidi"/>
          <w:szCs w:val="22"/>
        </w:rPr>
        <w:t xml:space="preserve"> ir nepamatots, jo tiesa nav veikusi attiecīgo ziņu izvērtēšanu to kopumā un savstarpējā sakarībā</w:t>
      </w:r>
      <w:r w:rsidR="00C86113">
        <w:rPr>
          <w:rFonts w:eastAsiaTheme="minorHAnsi" w:cstheme="minorBidi"/>
          <w:szCs w:val="22"/>
        </w:rPr>
        <w:t>.</w:t>
      </w:r>
      <w:r w:rsidRPr="00750B7C">
        <w:rPr>
          <w:rFonts w:eastAsiaTheme="minorHAnsi" w:cstheme="minorBidi"/>
          <w:szCs w:val="22"/>
        </w:rPr>
        <w:t xml:space="preserve"> </w:t>
      </w:r>
      <w:r w:rsidR="0002250A">
        <w:rPr>
          <w:rFonts w:eastAsiaTheme="minorHAnsi" w:cstheme="minorBidi"/>
          <w:szCs w:val="22"/>
        </w:rPr>
        <w:t xml:space="preserve">Spriedumā neizvērtējot </w:t>
      </w:r>
      <w:r w:rsidRPr="00750B7C">
        <w:rPr>
          <w:rFonts w:eastAsiaTheme="minorHAnsi" w:cstheme="minorBidi"/>
          <w:szCs w:val="22"/>
        </w:rPr>
        <w:t>pierādījumu</w:t>
      </w:r>
      <w:r w:rsidR="0002250A">
        <w:rPr>
          <w:rFonts w:eastAsiaTheme="minorHAnsi" w:cstheme="minorBidi"/>
          <w:szCs w:val="22"/>
        </w:rPr>
        <w:t>s</w:t>
      </w:r>
      <w:r w:rsidRPr="00750B7C">
        <w:rPr>
          <w:rFonts w:eastAsiaTheme="minorHAnsi" w:cstheme="minorBidi"/>
          <w:szCs w:val="22"/>
        </w:rPr>
        <w:t>, tiesa pārkāp</w:t>
      </w:r>
      <w:r w:rsidR="00620F44">
        <w:rPr>
          <w:rFonts w:eastAsiaTheme="minorHAnsi" w:cstheme="minorBidi"/>
          <w:szCs w:val="22"/>
        </w:rPr>
        <w:t>usi</w:t>
      </w:r>
      <w:r w:rsidR="0002250A">
        <w:rPr>
          <w:rFonts w:eastAsiaTheme="minorHAnsi" w:cstheme="minorBidi"/>
          <w:szCs w:val="22"/>
        </w:rPr>
        <w:t xml:space="preserve"> prasības, kādas likums izvirzījis sprieduma motīvu daļai.</w:t>
      </w:r>
      <w:r w:rsidRPr="00750B7C">
        <w:rPr>
          <w:rFonts w:eastAsiaTheme="minorHAnsi" w:cstheme="minorBidi"/>
          <w:szCs w:val="22"/>
        </w:rPr>
        <w:t xml:space="preserve"> </w:t>
      </w:r>
    </w:p>
    <w:p w14:paraId="2F165528" w14:textId="77777777" w:rsidR="00E70062" w:rsidRPr="00115971" w:rsidRDefault="00E70062" w:rsidP="006F4876">
      <w:pPr>
        <w:spacing w:line="276" w:lineRule="auto"/>
        <w:ind w:firstLine="709"/>
        <w:jc w:val="both"/>
      </w:pPr>
    </w:p>
    <w:p w14:paraId="711E2E20" w14:textId="77777777" w:rsidR="00534665" w:rsidRPr="00115971" w:rsidRDefault="00534665" w:rsidP="00534665">
      <w:pPr>
        <w:spacing w:line="276" w:lineRule="auto"/>
        <w:jc w:val="center"/>
        <w:rPr>
          <w:rFonts w:eastAsia="Times New Roman"/>
          <w:b/>
        </w:rPr>
      </w:pPr>
      <w:r w:rsidRPr="00115971">
        <w:rPr>
          <w:rFonts w:eastAsia="Times New Roman"/>
          <w:b/>
        </w:rPr>
        <w:t>Motīvu daļa</w:t>
      </w:r>
    </w:p>
    <w:p w14:paraId="2DDC6415" w14:textId="77777777" w:rsidR="00534665" w:rsidRPr="00115971" w:rsidRDefault="00534665" w:rsidP="00534665">
      <w:pPr>
        <w:tabs>
          <w:tab w:val="left" w:pos="0"/>
          <w:tab w:val="left" w:pos="6660"/>
        </w:tabs>
        <w:spacing w:line="276" w:lineRule="auto"/>
        <w:ind w:firstLine="709"/>
        <w:jc w:val="both"/>
        <w:rPr>
          <w:rFonts w:eastAsiaTheme="minorHAnsi"/>
          <w:iCs/>
        </w:rPr>
      </w:pPr>
    </w:p>
    <w:p w14:paraId="7AF8472D" w14:textId="0969D64B" w:rsidR="00534665" w:rsidRDefault="00534665" w:rsidP="00534665">
      <w:pPr>
        <w:tabs>
          <w:tab w:val="left" w:pos="0"/>
          <w:tab w:val="left" w:pos="6660"/>
        </w:tabs>
        <w:spacing w:line="276" w:lineRule="auto"/>
        <w:ind w:firstLine="709"/>
        <w:jc w:val="both"/>
      </w:pPr>
      <w:r w:rsidRPr="006F495C">
        <w:t xml:space="preserve">[5] Senāts atzīst, ka Rīgas apgabaltiesas </w:t>
      </w:r>
      <w:proofErr w:type="gramStart"/>
      <w:r w:rsidRPr="00115971">
        <w:rPr>
          <w:rFonts w:eastAsiaTheme="minorHAnsi"/>
          <w:iCs/>
        </w:rPr>
        <w:t>2019.gada</w:t>
      </w:r>
      <w:proofErr w:type="gramEnd"/>
      <w:r w:rsidRPr="00115971">
        <w:rPr>
          <w:rFonts w:eastAsiaTheme="minorHAnsi"/>
          <w:iCs/>
        </w:rPr>
        <w:t xml:space="preserve"> 4.oktobra</w:t>
      </w:r>
      <w:r w:rsidR="00A90CF4">
        <w:rPr>
          <w:rFonts w:eastAsiaTheme="minorHAnsi"/>
          <w:iCs/>
        </w:rPr>
        <w:t xml:space="preserve"> </w:t>
      </w:r>
      <w:r w:rsidRPr="00115971">
        <w:rPr>
          <w:rFonts w:eastAsiaTheme="minorHAnsi"/>
          <w:iCs/>
        </w:rPr>
        <w:t xml:space="preserve">spriedums </w:t>
      </w:r>
      <w:r w:rsidRPr="006F495C">
        <w:t xml:space="preserve">atceļams pilnībā un lieta nosūtāma jaunai izskatīšanai apelācijas instances tiesā. </w:t>
      </w:r>
    </w:p>
    <w:p w14:paraId="3C4EAFB2" w14:textId="77777777" w:rsidR="00C625EF" w:rsidRDefault="00C625EF" w:rsidP="00534665">
      <w:pPr>
        <w:tabs>
          <w:tab w:val="left" w:pos="0"/>
          <w:tab w:val="left" w:pos="6660"/>
        </w:tabs>
        <w:spacing w:line="276" w:lineRule="auto"/>
        <w:ind w:firstLine="709"/>
        <w:jc w:val="both"/>
      </w:pPr>
    </w:p>
    <w:p w14:paraId="21CF897A" w14:textId="50B200B3" w:rsidR="00534665" w:rsidRDefault="00534665" w:rsidP="00534665">
      <w:pPr>
        <w:tabs>
          <w:tab w:val="left" w:pos="0"/>
          <w:tab w:val="left" w:pos="6660"/>
        </w:tabs>
        <w:spacing w:line="276" w:lineRule="auto"/>
        <w:ind w:firstLine="709"/>
        <w:jc w:val="both"/>
      </w:pPr>
      <w:r w:rsidRPr="006F495C">
        <w:t>[</w:t>
      </w:r>
      <w:r w:rsidR="00C625EF">
        <w:t>6</w:t>
      </w:r>
      <w:r w:rsidRPr="006F495C">
        <w:t xml:space="preserve">] Saskaņā ar Kriminālprocesa likuma </w:t>
      </w:r>
      <w:proofErr w:type="gramStart"/>
      <w:r w:rsidRPr="006F495C">
        <w:t>511.panta</w:t>
      </w:r>
      <w:proofErr w:type="gramEnd"/>
      <w:r w:rsidRPr="006F495C">
        <w:t xml:space="preserve"> otro daļu spriedumam jābūt tiesiskam un pamatotam.</w:t>
      </w:r>
      <w:r>
        <w:t xml:space="preserve"> </w:t>
      </w:r>
      <w:r w:rsidRPr="006F495C">
        <w:t xml:space="preserve">Spriedums ir tiesisks un pamatots, ja tas atbilst Kriminālprocesa likuma </w:t>
      </w:r>
      <w:proofErr w:type="gramStart"/>
      <w:r w:rsidRPr="006F495C">
        <w:t>512.panta</w:t>
      </w:r>
      <w:proofErr w:type="gramEnd"/>
      <w:r w:rsidRPr="006F495C">
        <w:t xml:space="preserve"> nosacījumiem. Minētās likuma normas attiecināmas arī uz apelācijas instances tiesas nolēmumiem. Senāts atzīst, ka apelācijas instances tiesa, iztiesājot lietu, minētās likuma prasības nav ievērojusi. </w:t>
      </w:r>
    </w:p>
    <w:p w14:paraId="31D9D82D" w14:textId="1F0585DA" w:rsidR="00534665" w:rsidRDefault="00534665" w:rsidP="00534665">
      <w:pPr>
        <w:tabs>
          <w:tab w:val="left" w:pos="0"/>
          <w:tab w:val="left" w:pos="6660"/>
        </w:tabs>
        <w:spacing w:line="276" w:lineRule="auto"/>
        <w:ind w:firstLine="709"/>
        <w:jc w:val="both"/>
        <w:rPr>
          <w:rFonts w:eastAsiaTheme="minorHAnsi"/>
        </w:rPr>
      </w:pPr>
      <w:r w:rsidRPr="00115971">
        <w:rPr>
          <w:rFonts w:eastAsiaTheme="minorHAnsi"/>
        </w:rPr>
        <w:t>Apelācijas instances tiesa</w:t>
      </w:r>
      <w:r w:rsidRPr="002145A6">
        <w:rPr>
          <w:rFonts w:asciiTheme="majorBidi" w:hAnsiTheme="majorBidi" w:cstheme="majorBidi"/>
          <w:color w:val="000000"/>
        </w:rPr>
        <w:t xml:space="preserve">, </w:t>
      </w:r>
      <w:r w:rsidR="009166A7">
        <w:rPr>
          <w:rFonts w:asciiTheme="majorBidi" w:hAnsiTheme="majorBidi" w:cstheme="majorBidi"/>
          <w:color w:val="000000"/>
        </w:rPr>
        <w:t xml:space="preserve">spriedumā </w:t>
      </w:r>
      <w:r w:rsidRPr="002145A6">
        <w:rPr>
          <w:rFonts w:asciiTheme="majorBidi" w:hAnsiTheme="majorBidi" w:cstheme="majorBidi"/>
          <w:color w:val="000000"/>
        </w:rPr>
        <w:t>sniedzot jaunu noziedzīgā nodarījum</w:t>
      </w:r>
      <w:r>
        <w:rPr>
          <w:rFonts w:asciiTheme="majorBidi" w:hAnsiTheme="majorBidi" w:cstheme="majorBidi"/>
          <w:color w:val="000000"/>
        </w:rPr>
        <w:t>a</w:t>
      </w:r>
      <w:r w:rsidRPr="002145A6">
        <w:rPr>
          <w:rFonts w:asciiTheme="majorBidi" w:hAnsiTheme="majorBidi" w:cstheme="majorBidi"/>
          <w:color w:val="000000"/>
        </w:rPr>
        <w:t xml:space="preserve"> aprakstu, </w:t>
      </w:r>
      <w:r w:rsidR="004E52FF">
        <w:rPr>
          <w:rFonts w:asciiTheme="majorBidi" w:hAnsiTheme="majorBidi" w:cstheme="majorBidi"/>
          <w:color w:val="000000"/>
        </w:rPr>
        <w:t>[pers. A]</w:t>
      </w:r>
      <w:r w:rsidRPr="002145A6">
        <w:rPr>
          <w:rFonts w:asciiTheme="majorBidi" w:hAnsiTheme="majorBidi" w:cstheme="majorBidi"/>
          <w:color w:val="000000"/>
        </w:rPr>
        <w:t xml:space="preserve"> atzinusi par vainīgu Krimināllikuma </w:t>
      </w:r>
      <w:proofErr w:type="gramStart"/>
      <w:r w:rsidRPr="002145A6">
        <w:rPr>
          <w:rFonts w:asciiTheme="majorBidi" w:hAnsiTheme="majorBidi" w:cstheme="majorBidi"/>
          <w:color w:val="000000"/>
        </w:rPr>
        <w:t>148.panta</w:t>
      </w:r>
      <w:proofErr w:type="gramEnd"/>
      <w:r w:rsidRPr="002145A6">
        <w:rPr>
          <w:rFonts w:asciiTheme="majorBidi" w:hAnsiTheme="majorBidi" w:cstheme="majorBidi"/>
          <w:color w:val="000000"/>
        </w:rPr>
        <w:t xml:space="preserve"> trešajā daļā paredzēt</w:t>
      </w:r>
      <w:r w:rsidR="009166A7">
        <w:rPr>
          <w:rFonts w:asciiTheme="majorBidi" w:hAnsiTheme="majorBidi" w:cstheme="majorBidi"/>
          <w:color w:val="000000"/>
        </w:rPr>
        <w:t>ā</w:t>
      </w:r>
      <w:r w:rsidRPr="002145A6">
        <w:rPr>
          <w:rFonts w:asciiTheme="majorBidi" w:hAnsiTheme="majorBidi" w:cstheme="majorBidi"/>
          <w:color w:val="000000"/>
        </w:rPr>
        <w:t xml:space="preserve"> noziedzīgā nodarījum</w:t>
      </w:r>
      <w:r w:rsidR="009166A7">
        <w:rPr>
          <w:rFonts w:asciiTheme="majorBidi" w:hAnsiTheme="majorBidi" w:cstheme="majorBidi"/>
          <w:color w:val="000000"/>
        </w:rPr>
        <w:t>a</w:t>
      </w:r>
      <w:r w:rsidRPr="002145A6">
        <w:rPr>
          <w:rFonts w:asciiTheme="majorBidi" w:hAnsiTheme="majorBidi" w:cstheme="majorBidi"/>
          <w:color w:val="000000"/>
        </w:rPr>
        <w:t xml:space="preserve"> izdarīšanā.</w:t>
      </w:r>
      <w:r w:rsidRPr="00115971">
        <w:rPr>
          <w:rFonts w:eastAsiaTheme="minorHAnsi"/>
        </w:rPr>
        <w:t xml:space="preserve"> Apelācijas instances tiesa atzinusi, ka pilnībā ir pierādīt</w:t>
      </w:r>
      <w:r>
        <w:rPr>
          <w:rFonts w:eastAsiaTheme="minorHAnsi"/>
        </w:rPr>
        <w:t>a</w:t>
      </w:r>
      <w:r w:rsidRPr="00115971">
        <w:rPr>
          <w:rFonts w:eastAsiaTheme="minorHAnsi"/>
        </w:rPr>
        <w:t xml:space="preserve"> </w:t>
      </w:r>
      <w:r w:rsidR="004E52FF">
        <w:rPr>
          <w:rFonts w:eastAsiaTheme="minorHAnsi"/>
        </w:rPr>
        <w:t>[pers. A]</w:t>
      </w:r>
      <w:r w:rsidRPr="00115971">
        <w:rPr>
          <w:rFonts w:eastAsiaTheme="minorHAnsi"/>
        </w:rPr>
        <w:t xml:space="preserve"> vaina kompānijas </w:t>
      </w:r>
      <w:r w:rsidR="00682486">
        <w:rPr>
          <w:rFonts w:eastAsiaTheme="minorHAnsi"/>
        </w:rPr>
        <w:t>„</w:t>
      </w:r>
      <w:proofErr w:type="spellStart"/>
      <w:r w:rsidRPr="0058368A">
        <w:rPr>
          <w:rFonts w:eastAsiaTheme="minorHAnsi"/>
          <w:iCs/>
        </w:rPr>
        <w:t>Dassault</w:t>
      </w:r>
      <w:proofErr w:type="spellEnd"/>
      <w:r w:rsidRPr="0058368A">
        <w:rPr>
          <w:rFonts w:eastAsiaTheme="minorHAnsi"/>
          <w:iCs/>
        </w:rPr>
        <w:t xml:space="preserve"> </w:t>
      </w:r>
      <w:proofErr w:type="spellStart"/>
      <w:r w:rsidRPr="0058368A">
        <w:rPr>
          <w:rFonts w:eastAsiaTheme="minorHAnsi"/>
          <w:iCs/>
        </w:rPr>
        <w:t>Systemes</w:t>
      </w:r>
      <w:proofErr w:type="spellEnd"/>
      <w:r w:rsidRPr="0058368A">
        <w:rPr>
          <w:rFonts w:eastAsiaTheme="minorHAnsi"/>
          <w:iCs/>
        </w:rPr>
        <w:t xml:space="preserve"> </w:t>
      </w:r>
      <w:proofErr w:type="spellStart"/>
      <w:r w:rsidRPr="0058368A">
        <w:rPr>
          <w:rFonts w:eastAsiaTheme="minorHAnsi"/>
          <w:iCs/>
        </w:rPr>
        <w:t>SolidWorks</w:t>
      </w:r>
      <w:proofErr w:type="spellEnd"/>
      <w:r w:rsidRPr="0058368A">
        <w:rPr>
          <w:rFonts w:eastAsiaTheme="minorHAnsi"/>
          <w:iCs/>
        </w:rPr>
        <w:t xml:space="preserve"> </w:t>
      </w:r>
      <w:proofErr w:type="spellStart"/>
      <w:r w:rsidRPr="0058368A">
        <w:rPr>
          <w:rFonts w:eastAsiaTheme="minorHAnsi"/>
          <w:iCs/>
        </w:rPr>
        <w:t>Corporation</w:t>
      </w:r>
      <w:proofErr w:type="spellEnd"/>
      <w:r w:rsidR="0058368A">
        <w:rPr>
          <w:rFonts w:eastAsiaTheme="minorHAnsi"/>
          <w:iCs/>
        </w:rPr>
        <w:t>”</w:t>
      </w:r>
      <w:r w:rsidRPr="00115971">
        <w:rPr>
          <w:rFonts w:eastAsiaTheme="minorHAnsi"/>
        </w:rPr>
        <w:t xml:space="preserve"> autortiesību pārkāpšanā lielā apmērā.</w:t>
      </w:r>
    </w:p>
    <w:p w14:paraId="0D46FB6F" w14:textId="45D8CF47" w:rsidR="00534665" w:rsidRDefault="00534665" w:rsidP="00534665">
      <w:pPr>
        <w:tabs>
          <w:tab w:val="left" w:pos="0"/>
          <w:tab w:val="left" w:pos="6660"/>
        </w:tabs>
        <w:spacing w:line="276" w:lineRule="auto"/>
        <w:ind w:firstLine="709"/>
        <w:jc w:val="both"/>
        <w:rPr>
          <w:rFonts w:asciiTheme="majorBidi" w:eastAsiaTheme="minorHAnsi" w:hAnsiTheme="majorBidi" w:cstheme="majorBidi"/>
        </w:rPr>
      </w:pPr>
      <w:r>
        <w:rPr>
          <w:rFonts w:asciiTheme="majorBidi" w:hAnsiTheme="majorBidi" w:cstheme="majorBidi"/>
          <w:color w:val="000000"/>
        </w:rPr>
        <w:t>Noziedzīgā nodarījuma a</w:t>
      </w:r>
      <w:r w:rsidRPr="002145A6">
        <w:rPr>
          <w:rFonts w:asciiTheme="majorBidi" w:hAnsiTheme="majorBidi" w:cstheme="majorBidi"/>
          <w:color w:val="000000"/>
        </w:rPr>
        <w:t xml:space="preserve">prakstā </w:t>
      </w:r>
      <w:r w:rsidR="00137CD8">
        <w:rPr>
          <w:rFonts w:asciiTheme="majorBidi" w:hAnsiTheme="majorBidi" w:cstheme="majorBidi"/>
          <w:color w:val="000000"/>
        </w:rPr>
        <w:t xml:space="preserve">arī </w:t>
      </w:r>
      <w:r w:rsidRPr="002145A6">
        <w:rPr>
          <w:rFonts w:asciiTheme="majorBidi" w:hAnsiTheme="majorBidi" w:cstheme="majorBidi"/>
          <w:color w:val="000000"/>
        </w:rPr>
        <w:t>norād</w:t>
      </w:r>
      <w:r w:rsidRPr="00A90CF4">
        <w:rPr>
          <w:rFonts w:asciiTheme="majorBidi" w:hAnsiTheme="majorBidi" w:cstheme="majorBidi"/>
          <w:color w:val="000000"/>
        </w:rPr>
        <w:t>īts,</w:t>
      </w:r>
      <w:r w:rsidRPr="002145A6">
        <w:rPr>
          <w:rFonts w:asciiTheme="majorBidi" w:hAnsiTheme="majorBidi" w:cstheme="majorBidi"/>
          <w:color w:val="000000"/>
        </w:rPr>
        <w:t xml:space="preserve"> ka </w:t>
      </w:r>
      <w:r w:rsidR="004E52FF">
        <w:rPr>
          <w:rFonts w:asciiTheme="majorBidi" w:eastAsiaTheme="minorHAnsi" w:hAnsiTheme="majorBidi" w:cstheme="majorBidi"/>
        </w:rPr>
        <w:t>[pers. A]</w:t>
      </w:r>
      <w:r w:rsidRPr="002145A6">
        <w:rPr>
          <w:rFonts w:asciiTheme="majorBidi" w:eastAsiaTheme="minorHAnsi" w:hAnsiTheme="majorBidi" w:cstheme="majorBidi"/>
        </w:rPr>
        <w:t>, būdams SIA</w:t>
      </w:r>
      <w:proofErr w:type="gramStart"/>
      <w:r w:rsidRPr="002145A6">
        <w:rPr>
          <w:rFonts w:asciiTheme="majorBidi" w:eastAsiaTheme="minorHAnsi" w:hAnsiTheme="majorBidi" w:cstheme="majorBidi"/>
        </w:rPr>
        <w:t xml:space="preserve"> </w:t>
      </w:r>
      <w:r w:rsidR="00137CD8">
        <w:rPr>
          <w:rFonts w:asciiTheme="majorBidi" w:eastAsiaTheme="minorHAnsi" w:hAnsiTheme="majorBidi" w:cstheme="majorBidi"/>
        </w:rPr>
        <w:t>,,</w:t>
      </w:r>
      <w:proofErr w:type="gramEnd"/>
      <w:r w:rsidR="004E52FF">
        <w:rPr>
          <w:rFonts w:asciiTheme="majorBidi" w:eastAsiaTheme="minorHAnsi" w:hAnsiTheme="majorBidi" w:cstheme="majorBidi"/>
        </w:rPr>
        <w:t>[Nosaukums]</w:t>
      </w:r>
      <w:r w:rsidRPr="002145A6">
        <w:rPr>
          <w:rFonts w:asciiTheme="majorBidi" w:eastAsiaTheme="minorHAnsi" w:hAnsiTheme="majorBidi" w:cstheme="majorBidi"/>
        </w:rPr>
        <w:t>” atbildīgā amatpersona, valdes loceklis ar tiesībām pārstāvēt kapitālsabiedrību atsevišķi, kura pienākumos bija nodrošināt uzņēmumā esošo datorsistēmu un tajās esošo datorprogrammu izmantošanu atbilstoši likumiem, darbinieku, kas izmanto datorsistēmas ar datorprogrammām, uzraudzība un darba organizēšana, nevarēja uzrādīt licences, iegādes legalitāti apstiprinošus dokumentus vai citus legalitāti apliecinošus dokumentus, tādējādi nevarēja pamatot autortiesību iegūšanu un izcelsmi šādām datorprogrammā</w:t>
      </w:r>
      <w:r w:rsidR="001D6CFB">
        <w:rPr>
          <w:rFonts w:asciiTheme="majorBidi" w:eastAsiaTheme="minorHAnsi" w:hAnsiTheme="majorBidi" w:cstheme="majorBidi"/>
        </w:rPr>
        <w:t>m:</w:t>
      </w:r>
      <w:r w:rsidRPr="002145A6">
        <w:rPr>
          <w:rFonts w:asciiTheme="majorBidi" w:eastAsiaTheme="minorHAnsi" w:hAnsiTheme="majorBidi" w:cstheme="majorBidi"/>
        </w:rPr>
        <w:t xml:space="preserve"> 1.</w:t>
      </w:r>
      <w:r>
        <w:rPr>
          <w:rFonts w:asciiTheme="majorBidi" w:eastAsiaTheme="minorHAnsi" w:hAnsiTheme="majorBidi" w:cstheme="majorBidi"/>
        </w:rPr>
        <w:t> </w:t>
      </w:r>
      <w:r w:rsidR="0058368A">
        <w:rPr>
          <w:rFonts w:asciiTheme="majorBidi" w:eastAsiaTheme="minorHAnsi" w:hAnsiTheme="majorBidi" w:cstheme="majorBidi"/>
        </w:rPr>
        <w:t>,,</w:t>
      </w:r>
      <w:proofErr w:type="spellStart"/>
      <w:r w:rsidRPr="002145A6">
        <w:rPr>
          <w:rFonts w:asciiTheme="majorBidi" w:eastAsiaTheme="minorHAnsi" w:hAnsiTheme="majorBidi" w:cstheme="majorBidi"/>
        </w:rPr>
        <w:t>SolidWorks</w:t>
      </w:r>
      <w:proofErr w:type="spellEnd"/>
      <w:r w:rsidRPr="002145A6">
        <w:rPr>
          <w:rFonts w:asciiTheme="majorBidi" w:eastAsiaTheme="minorHAnsi" w:hAnsiTheme="majorBidi" w:cstheme="majorBidi"/>
        </w:rPr>
        <w:t xml:space="preserve"> </w:t>
      </w:r>
      <w:proofErr w:type="spellStart"/>
      <w:r w:rsidRPr="002145A6">
        <w:rPr>
          <w:rFonts w:asciiTheme="majorBidi" w:eastAsiaTheme="minorHAnsi" w:hAnsiTheme="majorBidi" w:cstheme="majorBidi"/>
        </w:rPr>
        <w:t>Premium</w:t>
      </w:r>
      <w:proofErr w:type="spellEnd"/>
      <w:r w:rsidRPr="002145A6">
        <w:rPr>
          <w:rFonts w:asciiTheme="majorBidi" w:eastAsiaTheme="minorHAnsi" w:hAnsiTheme="majorBidi" w:cstheme="majorBidi"/>
        </w:rPr>
        <w:t xml:space="preserve"> 2014</w:t>
      </w:r>
      <w:r w:rsidR="0058368A">
        <w:rPr>
          <w:rFonts w:asciiTheme="majorBidi" w:eastAsiaTheme="minorHAnsi" w:hAnsiTheme="majorBidi" w:cstheme="majorBidi"/>
        </w:rPr>
        <w:t>”</w:t>
      </w:r>
      <w:r w:rsidRPr="002145A6">
        <w:rPr>
          <w:rFonts w:asciiTheme="majorBidi" w:eastAsiaTheme="minorHAnsi" w:hAnsiTheme="majorBidi" w:cstheme="majorBidi"/>
        </w:rPr>
        <w:t>, ka</w:t>
      </w:r>
      <w:r w:rsidRPr="00BE6ACF">
        <w:rPr>
          <w:rFonts w:asciiTheme="majorBidi" w:eastAsiaTheme="minorHAnsi" w:hAnsiTheme="majorBidi" w:cstheme="majorBidi"/>
        </w:rPr>
        <w:t xml:space="preserve">s uzstādīta </w:t>
      </w:r>
      <w:r w:rsidRPr="002145A6">
        <w:rPr>
          <w:rFonts w:asciiTheme="majorBidi" w:eastAsiaTheme="minorHAnsi" w:hAnsiTheme="majorBidi" w:cstheme="majorBidi"/>
        </w:rPr>
        <w:t>2014.gada 27.februārī; 2.</w:t>
      </w:r>
      <w:r>
        <w:rPr>
          <w:rFonts w:asciiTheme="majorBidi" w:eastAsiaTheme="minorHAnsi" w:hAnsiTheme="majorBidi" w:cstheme="majorBidi"/>
        </w:rPr>
        <w:t> </w:t>
      </w:r>
      <w:r w:rsidR="0058368A">
        <w:rPr>
          <w:rFonts w:asciiTheme="majorBidi" w:eastAsiaTheme="minorHAnsi" w:hAnsiTheme="majorBidi" w:cstheme="majorBidi"/>
        </w:rPr>
        <w:t>,,</w:t>
      </w:r>
      <w:proofErr w:type="spellStart"/>
      <w:r>
        <w:rPr>
          <w:rFonts w:asciiTheme="majorBidi" w:eastAsiaTheme="minorHAnsi" w:hAnsiTheme="majorBidi" w:cstheme="majorBidi"/>
        </w:rPr>
        <w:t>S</w:t>
      </w:r>
      <w:r w:rsidRPr="002145A6">
        <w:rPr>
          <w:rFonts w:asciiTheme="majorBidi" w:eastAsiaTheme="minorHAnsi" w:hAnsiTheme="majorBidi" w:cstheme="majorBidi"/>
        </w:rPr>
        <w:t>olidWorks</w:t>
      </w:r>
      <w:proofErr w:type="spellEnd"/>
      <w:r w:rsidRPr="002145A6">
        <w:rPr>
          <w:rFonts w:asciiTheme="majorBidi" w:eastAsiaTheme="minorHAnsi" w:hAnsiTheme="majorBidi" w:cstheme="majorBidi"/>
        </w:rPr>
        <w:t xml:space="preserve"> </w:t>
      </w:r>
      <w:proofErr w:type="spellStart"/>
      <w:r w:rsidRPr="002145A6">
        <w:rPr>
          <w:rFonts w:asciiTheme="majorBidi" w:eastAsiaTheme="minorHAnsi" w:hAnsiTheme="majorBidi" w:cstheme="majorBidi"/>
        </w:rPr>
        <w:t>Premium</w:t>
      </w:r>
      <w:proofErr w:type="spellEnd"/>
      <w:r w:rsidRPr="002145A6">
        <w:rPr>
          <w:rFonts w:asciiTheme="majorBidi" w:eastAsiaTheme="minorHAnsi" w:hAnsiTheme="majorBidi" w:cstheme="majorBidi"/>
        </w:rPr>
        <w:t xml:space="preserve"> 2014</w:t>
      </w:r>
      <w:r w:rsidR="0058368A">
        <w:rPr>
          <w:rFonts w:asciiTheme="majorBidi" w:eastAsiaTheme="minorHAnsi" w:hAnsiTheme="majorBidi" w:cstheme="majorBidi"/>
        </w:rPr>
        <w:t>”</w:t>
      </w:r>
      <w:r w:rsidRPr="002145A6">
        <w:rPr>
          <w:rFonts w:asciiTheme="majorBidi" w:eastAsiaTheme="minorHAnsi" w:hAnsiTheme="majorBidi" w:cstheme="majorBidi"/>
        </w:rPr>
        <w:t>, kas uzstādīta 2014.gada 10.jūlijā; 3.</w:t>
      </w:r>
      <w:r>
        <w:rPr>
          <w:rFonts w:asciiTheme="majorBidi" w:eastAsiaTheme="minorHAnsi" w:hAnsiTheme="majorBidi" w:cstheme="majorBidi"/>
        </w:rPr>
        <w:t> </w:t>
      </w:r>
      <w:r w:rsidR="0058368A">
        <w:rPr>
          <w:rFonts w:asciiTheme="majorBidi" w:eastAsiaTheme="minorHAnsi" w:hAnsiTheme="majorBidi" w:cstheme="majorBidi"/>
        </w:rPr>
        <w:t>,,</w:t>
      </w:r>
      <w:proofErr w:type="spellStart"/>
      <w:r w:rsidRPr="002145A6">
        <w:rPr>
          <w:rFonts w:asciiTheme="majorBidi" w:eastAsiaTheme="minorHAnsi" w:hAnsiTheme="majorBidi" w:cstheme="majorBidi"/>
        </w:rPr>
        <w:t>SolidWorks</w:t>
      </w:r>
      <w:proofErr w:type="spellEnd"/>
      <w:r w:rsidRPr="002145A6">
        <w:rPr>
          <w:rFonts w:asciiTheme="majorBidi" w:eastAsiaTheme="minorHAnsi" w:hAnsiTheme="majorBidi" w:cstheme="majorBidi"/>
        </w:rPr>
        <w:t xml:space="preserve"> </w:t>
      </w:r>
      <w:proofErr w:type="spellStart"/>
      <w:r w:rsidRPr="002145A6">
        <w:rPr>
          <w:rFonts w:asciiTheme="majorBidi" w:eastAsiaTheme="minorHAnsi" w:hAnsiTheme="majorBidi" w:cstheme="majorBidi"/>
        </w:rPr>
        <w:t>Premium</w:t>
      </w:r>
      <w:proofErr w:type="spellEnd"/>
      <w:r w:rsidRPr="002145A6">
        <w:rPr>
          <w:rFonts w:asciiTheme="majorBidi" w:eastAsiaTheme="minorHAnsi" w:hAnsiTheme="majorBidi" w:cstheme="majorBidi"/>
        </w:rPr>
        <w:t xml:space="preserve"> 2014</w:t>
      </w:r>
      <w:r w:rsidR="0058368A">
        <w:rPr>
          <w:rFonts w:asciiTheme="majorBidi" w:eastAsiaTheme="minorHAnsi" w:hAnsiTheme="majorBidi" w:cstheme="majorBidi"/>
        </w:rPr>
        <w:t>”</w:t>
      </w:r>
      <w:r w:rsidRPr="002145A6">
        <w:rPr>
          <w:rFonts w:asciiTheme="majorBidi" w:eastAsiaTheme="minorHAnsi" w:hAnsiTheme="majorBidi" w:cstheme="majorBidi"/>
        </w:rPr>
        <w:t>, kas uzstādīta 2014.gada 8.oktobrī; 4.</w:t>
      </w:r>
      <w:r>
        <w:rPr>
          <w:rFonts w:asciiTheme="majorBidi" w:eastAsiaTheme="minorHAnsi" w:hAnsiTheme="majorBidi" w:cstheme="majorBidi"/>
        </w:rPr>
        <w:t> </w:t>
      </w:r>
      <w:r w:rsidR="0058368A">
        <w:rPr>
          <w:rFonts w:asciiTheme="majorBidi" w:eastAsiaTheme="minorHAnsi" w:hAnsiTheme="majorBidi" w:cstheme="majorBidi"/>
        </w:rPr>
        <w:t>,,</w:t>
      </w:r>
      <w:proofErr w:type="spellStart"/>
      <w:r w:rsidRPr="002145A6">
        <w:rPr>
          <w:rFonts w:asciiTheme="majorBidi" w:eastAsiaTheme="minorHAnsi" w:hAnsiTheme="majorBidi" w:cstheme="majorBidi"/>
        </w:rPr>
        <w:t>SolidWorks</w:t>
      </w:r>
      <w:proofErr w:type="spellEnd"/>
      <w:r w:rsidRPr="002145A6">
        <w:rPr>
          <w:rFonts w:asciiTheme="majorBidi" w:eastAsiaTheme="minorHAnsi" w:hAnsiTheme="majorBidi" w:cstheme="majorBidi"/>
        </w:rPr>
        <w:t xml:space="preserve"> </w:t>
      </w:r>
      <w:proofErr w:type="spellStart"/>
      <w:r w:rsidRPr="002145A6">
        <w:rPr>
          <w:rFonts w:asciiTheme="majorBidi" w:eastAsiaTheme="minorHAnsi" w:hAnsiTheme="majorBidi" w:cstheme="majorBidi"/>
        </w:rPr>
        <w:t>Premium</w:t>
      </w:r>
      <w:proofErr w:type="spellEnd"/>
      <w:r w:rsidRPr="002145A6">
        <w:rPr>
          <w:rFonts w:asciiTheme="majorBidi" w:eastAsiaTheme="minorHAnsi" w:hAnsiTheme="majorBidi" w:cstheme="majorBidi"/>
        </w:rPr>
        <w:t xml:space="preserve"> 2010</w:t>
      </w:r>
      <w:r w:rsidR="0058368A">
        <w:rPr>
          <w:rFonts w:asciiTheme="majorBidi" w:eastAsiaTheme="minorHAnsi" w:hAnsiTheme="majorBidi" w:cstheme="majorBidi"/>
        </w:rPr>
        <w:t>”</w:t>
      </w:r>
      <w:r w:rsidRPr="002145A6">
        <w:rPr>
          <w:rFonts w:asciiTheme="majorBidi" w:eastAsiaTheme="minorHAnsi" w:hAnsiTheme="majorBidi" w:cstheme="majorBidi"/>
        </w:rPr>
        <w:t>, kas uzstādīta 2011.gada 28.septembrī; 5.</w:t>
      </w:r>
      <w:r>
        <w:rPr>
          <w:rFonts w:asciiTheme="majorBidi" w:eastAsiaTheme="minorHAnsi" w:hAnsiTheme="majorBidi" w:cstheme="majorBidi"/>
        </w:rPr>
        <w:t> </w:t>
      </w:r>
      <w:r w:rsidR="0058368A">
        <w:rPr>
          <w:rFonts w:asciiTheme="majorBidi" w:eastAsiaTheme="minorHAnsi" w:hAnsiTheme="majorBidi" w:cstheme="majorBidi"/>
        </w:rPr>
        <w:t>,,</w:t>
      </w:r>
      <w:proofErr w:type="spellStart"/>
      <w:r w:rsidRPr="002145A6">
        <w:rPr>
          <w:rFonts w:asciiTheme="majorBidi" w:eastAsiaTheme="minorHAnsi" w:hAnsiTheme="majorBidi" w:cstheme="majorBidi"/>
        </w:rPr>
        <w:t>SolidWorks</w:t>
      </w:r>
      <w:proofErr w:type="spellEnd"/>
      <w:r w:rsidRPr="002145A6">
        <w:rPr>
          <w:rFonts w:asciiTheme="majorBidi" w:eastAsiaTheme="minorHAnsi" w:hAnsiTheme="majorBidi" w:cstheme="majorBidi"/>
        </w:rPr>
        <w:t xml:space="preserve"> </w:t>
      </w:r>
      <w:proofErr w:type="spellStart"/>
      <w:r w:rsidRPr="002145A6">
        <w:rPr>
          <w:rFonts w:asciiTheme="majorBidi" w:eastAsiaTheme="minorHAnsi" w:hAnsiTheme="majorBidi" w:cstheme="majorBidi"/>
        </w:rPr>
        <w:t>Electrical</w:t>
      </w:r>
      <w:proofErr w:type="spellEnd"/>
      <w:r w:rsidRPr="002145A6">
        <w:rPr>
          <w:rFonts w:asciiTheme="majorBidi" w:eastAsiaTheme="minorHAnsi" w:hAnsiTheme="majorBidi" w:cstheme="majorBidi"/>
        </w:rPr>
        <w:t xml:space="preserve"> 2014</w:t>
      </w:r>
      <w:r w:rsidR="0058368A">
        <w:rPr>
          <w:rFonts w:asciiTheme="majorBidi" w:eastAsiaTheme="minorHAnsi" w:hAnsiTheme="majorBidi" w:cstheme="majorBidi"/>
        </w:rPr>
        <w:t>”</w:t>
      </w:r>
      <w:r w:rsidRPr="002145A6">
        <w:rPr>
          <w:rFonts w:asciiTheme="majorBidi" w:eastAsiaTheme="minorHAnsi" w:hAnsiTheme="majorBidi" w:cstheme="majorBidi"/>
        </w:rPr>
        <w:t>, kas uzstādīta 2014.gada 27.februārī.</w:t>
      </w:r>
    </w:p>
    <w:p w14:paraId="772896EE" w14:textId="0CC94FAB" w:rsidR="00534665" w:rsidRPr="00373AF0" w:rsidRDefault="00534665" w:rsidP="00534665">
      <w:pPr>
        <w:tabs>
          <w:tab w:val="left" w:pos="0"/>
          <w:tab w:val="left" w:pos="6660"/>
        </w:tabs>
        <w:spacing w:line="276" w:lineRule="auto"/>
        <w:ind w:firstLine="709"/>
        <w:jc w:val="both"/>
        <w:rPr>
          <w:rFonts w:ascii="TimesNewRomanPSMT" w:eastAsiaTheme="minorHAnsi" w:hAnsi="TimesNewRomanPSMT" w:cs="TimesNewRomanPSMT"/>
        </w:rPr>
      </w:pPr>
      <w:r w:rsidRPr="002145A6">
        <w:t xml:space="preserve">Savukārt sprieduma motīvu daļā </w:t>
      </w:r>
      <w:r>
        <w:t>apelācijas instances tiesa ir</w:t>
      </w:r>
      <w:r w:rsidRPr="00445E2B">
        <w:rPr>
          <w:rFonts w:ascii="TimesNewRomanPSMT" w:eastAsiaTheme="minorHAnsi" w:hAnsi="TimesNewRomanPSMT" w:cs="TimesNewRomanPSMT"/>
        </w:rPr>
        <w:t xml:space="preserve"> atzinusi, ka </w:t>
      </w:r>
      <w:r w:rsidR="004E52FF">
        <w:rPr>
          <w:rFonts w:ascii="TimesNewRomanPSMT" w:eastAsiaTheme="minorHAnsi" w:hAnsi="TimesNewRomanPSMT" w:cs="TimesNewRomanPSMT"/>
        </w:rPr>
        <w:t>[pers. A]</w:t>
      </w:r>
      <w:r w:rsidRPr="00445E2B">
        <w:rPr>
          <w:rFonts w:ascii="TimesNewRomanPSMT" w:eastAsiaTheme="minorHAnsi" w:hAnsi="TimesNewRomanPSMT" w:cs="TimesNewRomanPSMT"/>
        </w:rPr>
        <w:t xml:space="preserve"> ir saucams pie kriminālatbildības par</w:t>
      </w:r>
      <w:r>
        <w:rPr>
          <w:rFonts w:ascii="TimesNewRomanPSMT" w:eastAsiaTheme="minorHAnsi" w:hAnsi="TimesNewRomanPSMT" w:cs="TimesNewRomanPSMT"/>
        </w:rPr>
        <w:t xml:space="preserve"> </w:t>
      </w:r>
      <w:r w:rsidRPr="00445E2B">
        <w:rPr>
          <w:rFonts w:ascii="TimesNewRomanPSMT" w:eastAsiaTheme="minorHAnsi" w:hAnsi="TimesNewRomanPSMT" w:cs="TimesNewRomanPSMT"/>
        </w:rPr>
        <w:t>autortiesību pārkāpšanu lielā apmērā, jo reproducēja (uzglabāja elektroniskā veidā)</w:t>
      </w:r>
      <w:r>
        <w:rPr>
          <w:rFonts w:ascii="TimesNewRomanPSMT" w:eastAsiaTheme="minorHAnsi" w:hAnsi="TimesNewRomanPSMT" w:cs="TimesNewRomanPSMT"/>
        </w:rPr>
        <w:t xml:space="preserve"> </w:t>
      </w:r>
      <w:r w:rsidRPr="00445E2B">
        <w:rPr>
          <w:rFonts w:ascii="TimesNewRomanPSMT" w:eastAsiaTheme="minorHAnsi" w:hAnsi="TimesNewRomanPSMT" w:cs="TimesNewRomanPSMT"/>
        </w:rPr>
        <w:t xml:space="preserve">datorprogrammas, kuru tiesību īpašnieks ir </w:t>
      </w:r>
      <w:r w:rsidR="00682486">
        <w:rPr>
          <w:rFonts w:ascii="TimesNewRomanPSMT" w:eastAsiaTheme="minorHAnsi" w:hAnsi="TimesNewRomanPSMT" w:cs="TimesNewRomanPSMT"/>
        </w:rPr>
        <w:t>„</w:t>
      </w:r>
      <w:proofErr w:type="spellStart"/>
      <w:r w:rsidRPr="0058368A">
        <w:rPr>
          <w:rFonts w:ascii="TimesNewRomanPSMT" w:eastAsiaTheme="minorHAnsi" w:hAnsi="TimesNewRomanPSMT" w:cs="TimesNewRomanPSMT"/>
        </w:rPr>
        <w:t>Dassault</w:t>
      </w:r>
      <w:proofErr w:type="spellEnd"/>
      <w:r w:rsidRPr="0058368A">
        <w:rPr>
          <w:rFonts w:ascii="TimesNewRomanPSMT" w:eastAsiaTheme="minorHAnsi" w:hAnsi="TimesNewRomanPSMT" w:cs="TimesNewRomanPSMT"/>
        </w:rPr>
        <w:t xml:space="preserve"> </w:t>
      </w:r>
      <w:proofErr w:type="spellStart"/>
      <w:r w:rsidRPr="0058368A">
        <w:rPr>
          <w:rFonts w:ascii="TimesNewRomanPSMT" w:eastAsiaTheme="minorHAnsi" w:hAnsi="TimesNewRomanPSMT" w:cs="TimesNewRomanPSMT"/>
        </w:rPr>
        <w:t>Systemes</w:t>
      </w:r>
      <w:proofErr w:type="spellEnd"/>
      <w:r w:rsidRPr="0058368A">
        <w:rPr>
          <w:rFonts w:ascii="TimesNewRomanPSMT" w:eastAsiaTheme="minorHAnsi" w:hAnsi="TimesNewRomanPSMT" w:cs="TimesNewRomanPSMT"/>
        </w:rPr>
        <w:t xml:space="preserve"> </w:t>
      </w:r>
      <w:proofErr w:type="spellStart"/>
      <w:r w:rsidRPr="0058368A">
        <w:rPr>
          <w:rFonts w:ascii="TimesNewRomanPSMT" w:eastAsiaTheme="minorHAnsi" w:hAnsi="TimesNewRomanPSMT" w:cs="TimesNewRomanPSMT"/>
        </w:rPr>
        <w:t>SolidWorks</w:t>
      </w:r>
      <w:proofErr w:type="spellEnd"/>
      <w:r w:rsidRPr="0058368A">
        <w:rPr>
          <w:rFonts w:ascii="TimesNewRomanPSMT" w:eastAsiaTheme="minorHAnsi" w:hAnsi="TimesNewRomanPSMT" w:cs="TimesNewRomanPSMT"/>
        </w:rPr>
        <w:t xml:space="preserve"> </w:t>
      </w:r>
      <w:proofErr w:type="spellStart"/>
      <w:r w:rsidRPr="0058368A">
        <w:rPr>
          <w:rFonts w:ascii="TimesNewRomanPSMT" w:eastAsiaTheme="minorHAnsi" w:hAnsi="TimesNewRomanPSMT" w:cs="TimesNewRomanPSMT"/>
        </w:rPr>
        <w:t>Corporation</w:t>
      </w:r>
      <w:proofErr w:type="spellEnd"/>
      <w:r w:rsidRPr="0058368A">
        <w:rPr>
          <w:rFonts w:ascii="TimesNewRomanPSMT" w:eastAsiaTheme="minorHAnsi" w:hAnsi="TimesNewRomanPSMT" w:cs="TimesNewRomanPSMT"/>
        </w:rPr>
        <w:t>”</w:t>
      </w:r>
      <w:r>
        <w:rPr>
          <w:rFonts w:ascii="TimesNewRomanPSMT" w:eastAsiaTheme="minorHAnsi" w:hAnsi="TimesNewRomanPSMT" w:cs="TimesNewRomanPSMT"/>
        </w:rPr>
        <w:t>, norādot, ka v</w:t>
      </w:r>
      <w:r w:rsidRPr="00445E2B">
        <w:rPr>
          <w:rFonts w:ascii="TimesNewRomanPSMT" w:eastAsiaTheme="minorHAnsi" w:hAnsi="TimesNewRomanPSMT" w:cs="TimesNewRomanPSMT"/>
        </w:rPr>
        <w:t xml:space="preserve">iena no minētajām datorprogrammām, proti, datorprogramma </w:t>
      </w:r>
      <w:r w:rsidR="0058368A">
        <w:rPr>
          <w:rFonts w:ascii="TimesNewRomanPSMT" w:eastAsiaTheme="minorHAnsi" w:hAnsi="TimesNewRomanPSMT" w:cs="TimesNewRomanPSMT"/>
        </w:rPr>
        <w:t>,,</w:t>
      </w:r>
      <w:proofErr w:type="spellStart"/>
      <w:r w:rsidRPr="00445E2B">
        <w:rPr>
          <w:rFonts w:ascii="TimesNewRomanPSMT" w:eastAsiaTheme="minorHAnsi" w:hAnsi="TimesNewRomanPSMT" w:cs="TimesNewRomanPSMT"/>
        </w:rPr>
        <w:t>SolidWorks</w:t>
      </w:r>
      <w:proofErr w:type="spellEnd"/>
      <w:r w:rsidRPr="00445E2B">
        <w:rPr>
          <w:rFonts w:ascii="TimesNewRomanPSMT" w:eastAsiaTheme="minorHAnsi" w:hAnsi="TimesNewRomanPSMT" w:cs="TimesNewRomanPSMT"/>
        </w:rPr>
        <w:t xml:space="preserve"> </w:t>
      </w:r>
      <w:proofErr w:type="spellStart"/>
      <w:r w:rsidRPr="00445E2B">
        <w:rPr>
          <w:rFonts w:ascii="TimesNewRomanPSMT" w:eastAsiaTheme="minorHAnsi" w:hAnsi="TimesNewRomanPSMT" w:cs="TimesNewRomanPSMT"/>
        </w:rPr>
        <w:t>Electrical</w:t>
      </w:r>
      <w:proofErr w:type="spellEnd"/>
      <w:r w:rsidRPr="00445E2B">
        <w:rPr>
          <w:rFonts w:ascii="TimesNewRomanPSMT" w:eastAsiaTheme="minorHAnsi" w:hAnsi="TimesNewRomanPSMT" w:cs="TimesNewRomanPSMT"/>
        </w:rPr>
        <w:t xml:space="preserve"> 2014</w:t>
      </w:r>
      <w:r w:rsidR="0058368A">
        <w:rPr>
          <w:rFonts w:ascii="TimesNewRomanPSMT" w:eastAsiaTheme="minorHAnsi" w:hAnsi="TimesNewRomanPSMT" w:cs="TimesNewRomanPSMT"/>
        </w:rPr>
        <w:t>”</w:t>
      </w:r>
      <w:r w:rsidRPr="00445E2B">
        <w:rPr>
          <w:rFonts w:ascii="TimesNewRomanPSMT" w:eastAsiaTheme="minorHAnsi" w:hAnsi="TimesNewRomanPSMT" w:cs="TimesNewRomanPSMT"/>
        </w:rPr>
        <w:t>, kas uzstādīta 2014.gada 27.februārī, tika ieinstalēta kā</w:t>
      </w:r>
      <w:r>
        <w:rPr>
          <w:rFonts w:ascii="TimesNewRomanPSMT" w:eastAsiaTheme="minorHAnsi" w:hAnsi="TimesNewRomanPSMT" w:cs="TimesNewRomanPSMT"/>
        </w:rPr>
        <w:t xml:space="preserve"> </w:t>
      </w:r>
      <w:r w:rsidRPr="00445E2B">
        <w:rPr>
          <w:rFonts w:ascii="TimesNewRomanPSMT" w:eastAsiaTheme="minorHAnsi" w:hAnsi="TimesNewRomanPSMT" w:cs="TimesNewRomanPSMT"/>
        </w:rPr>
        <w:t xml:space="preserve">izmēģinājuma </w:t>
      </w:r>
      <w:r w:rsidRPr="00373AF0">
        <w:rPr>
          <w:rFonts w:ascii="TimesNewRomanPSMT" w:eastAsiaTheme="minorHAnsi" w:hAnsi="TimesNewRomanPSMT" w:cs="TimesNewRomanPSMT"/>
        </w:rPr>
        <w:t xml:space="preserve">versija. Tādējādi tiesa ir atzinusi, ka datorprogramma </w:t>
      </w:r>
      <w:r w:rsidR="0058368A">
        <w:rPr>
          <w:rFonts w:ascii="TimesNewRomanPSMT" w:eastAsiaTheme="minorHAnsi" w:hAnsi="TimesNewRomanPSMT" w:cs="TimesNewRomanPSMT"/>
        </w:rPr>
        <w:t>,,</w:t>
      </w:r>
      <w:proofErr w:type="spellStart"/>
      <w:r w:rsidRPr="00373AF0">
        <w:rPr>
          <w:rFonts w:ascii="TimesNewRomanPSMT" w:eastAsiaTheme="minorHAnsi" w:hAnsi="TimesNewRomanPSMT" w:cs="TimesNewRomanPSMT"/>
        </w:rPr>
        <w:t>SolidWorks</w:t>
      </w:r>
      <w:proofErr w:type="spellEnd"/>
      <w:r w:rsidRPr="00373AF0">
        <w:rPr>
          <w:rFonts w:ascii="TimesNewRomanPSMT" w:eastAsiaTheme="minorHAnsi" w:hAnsi="TimesNewRomanPSMT" w:cs="TimesNewRomanPSMT"/>
        </w:rPr>
        <w:t xml:space="preserve"> </w:t>
      </w:r>
      <w:proofErr w:type="spellStart"/>
      <w:r w:rsidRPr="00373AF0">
        <w:rPr>
          <w:rFonts w:ascii="TimesNewRomanPSMT" w:eastAsiaTheme="minorHAnsi" w:hAnsi="TimesNewRomanPSMT" w:cs="TimesNewRomanPSMT"/>
        </w:rPr>
        <w:t>Electrical</w:t>
      </w:r>
      <w:proofErr w:type="spellEnd"/>
      <w:r w:rsidRPr="00373AF0">
        <w:rPr>
          <w:rFonts w:ascii="TimesNewRomanPSMT" w:eastAsiaTheme="minorHAnsi" w:hAnsi="TimesNewRomanPSMT" w:cs="TimesNewRomanPSMT"/>
        </w:rPr>
        <w:t xml:space="preserve"> 2014</w:t>
      </w:r>
      <w:r w:rsidR="0058368A">
        <w:rPr>
          <w:rFonts w:ascii="TimesNewRomanPSMT" w:eastAsiaTheme="minorHAnsi" w:hAnsi="TimesNewRomanPSMT" w:cs="TimesNewRomanPSMT"/>
        </w:rPr>
        <w:t>”</w:t>
      </w:r>
      <w:r w:rsidRPr="00373AF0">
        <w:rPr>
          <w:rFonts w:ascii="TimesNewRomanPSMT" w:eastAsiaTheme="minorHAnsi" w:hAnsi="TimesNewRomanPSMT" w:cs="TimesNewRomanPSMT"/>
        </w:rPr>
        <w:t xml:space="preserve"> ir iegūta legālā veidā.</w:t>
      </w:r>
    </w:p>
    <w:p w14:paraId="6B331ED8" w14:textId="6812D4D7" w:rsidR="00534665" w:rsidRDefault="00E04D7E" w:rsidP="00534665">
      <w:pPr>
        <w:tabs>
          <w:tab w:val="left" w:pos="0"/>
          <w:tab w:val="left" w:pos="6660"/>
        </w:tabs>
        <w:spacing w:line="276" w:lineRule="auto"/>
        <w:ind w:firstLine="709"/>
        <w:jc w:val="both"/>
      </w:pPr>
      <w:r>
        <w:t xml:space="preserve">Līdz ar to </w:t>
      </w:r>
      <w:r w:rsidR="00534665" w:rsidRPr="00373AF0">
        <w:t>Senāts konstatē, ka apelācijas</w:t>
      </w:r>
      <w:r w:rsidR="00534665" w:rsidRPr="006F495C">
        <w:t xml:space="preserve"> instances tiesa</w:t>
      </w:r>
      <w:r w:rsidR="00534665">
        <w:t xml:space="preserve">s spriedumā </w:t>
      </w:r>
      <w:r w:rsidR="00534665" w:rsidRPr="006F495C">
        <w:t>par</w:t>
      </w:r>
      <w:r w:rsidR="00534665" w:rsidRPr="00445E2B">
        <w:rPr>
          <w:rFonts w:asciiTheme="majorBidi" w:eastAsiaTheme="minorHAnsi" w:hAnsiTheme="majorBidi" w:cstheme="majorBidi"/>
        </w:rPr>
        <w:t xml:space="preserve"> </w:t>
      </w:r>
      <w:r w:rsidR="00534665" w:rsidRPr="002145A6">
        <w:rPr>
          <w:rFonts w:asciiTheme="majorBidi" w:eastAsiaTheme="minorHAnsi" w:hAnsiTheme="majorBidi" w:cstheme="majorBidi"/>
        </w:rPr>
        <w:t>datorprogramm</w:t>
      </w:r>
      <w:r w:rsidR="00534665">
        <w:rPr>
          <w:rFonts w:asciiTheme="majorBidi" w:eastAsiaTheme="minorHAnsi" w:hAnsiTheme="majorBidi" w:cstheme="majorBidi"/>
        </w:rPr>
        <w:t>as</w:t>
      </w:r>
      <w:proofErr w:type="gramStart"/>
      <w:r w:rsidR="00534665" w:rsidRPr="006F495C">
        <w:t xml:space="preserve"> </w:t>
      </w:r>
      <w:r w:rsidR="0058368A">
        <w:t>,,</w:t>
      </w:r>
      <w:proofErr w:type="spellStart"/>
      <w:proofErr w:type="gramEnd"/>
      <w:r w:rsidR="00534665" w:rsidRPr="002145A6">
        <w:rPr>
          <w:rFonts w:asciiTheme="majorBidi" w:eastAsiaTheme="minorHAnsi" w:hAnsiTheme="majorBidi" w:cstheme="majorBidi"/>
        </w:rPr>
        <w:t>SolidWorks</w:t>
      </w:r>
      <w:proofErr w:type="spellEnd"/>
      <w:r w:rsidR="00534665" w:rsidRPr="002145A6">
        <w:rPr>
          <w:rFonts w:asciiTheme="majorBidi" w:eastAsiaTheme="minorHAnsi" w:hAnsiTheme="majorBidi" w:cstheme="majorBidi"/>
        </w:rPr>
        <w:t xml:space="preserve"> </w:t>
      </w:r>
      <w:proofErr w:type="spellStart"/>
      <w:r w:rsidR="00534665" w:rsidRPr="002145A6">
        <w:rPr>
          <w:rFonts w:asciiTheme="majorBidi" w:eastAsiaTheme="minorHAnsi" w:hAnsiTheme="majorBidi" w:cstheme="majorBidi"/>
        </w:rPr>
        <w:t>Electrical</w:t>
      </w:r>
      <w:proofErr w:type="spellEnd"/>
      <w:r w:rsidR="0058368A">
        <w:rPr>
          <w:rFonts w:asciiTheme="majorBidi" w:eastAsiaTheme="minorHAnsi" w:hAnsiTheme="majorBidi" w:cstheme="majorBidi"/>
        </w:rPr>
        <w:t>”</w:t>
      </w:r>
      <w:r w:rsidR="00534665" w:rsidRPr="002145A6">
        <w:rPr>
          <w:rFonts w:asciiTheme="majorBidi" w:eastAsiaTheme="minorHAnsi" w:hAnsiTheme="majorBidi" w:cstheme="majorBidi"/>
        </w:rPr>
        <w:t xml:space="preserve"> iegādes legalitāti </w:t>
      </w:r>
      <w:r w:rsidR="00534665">
        <w:t>ir izklāstītas pretrunīgas atziņas.</w:t>
      </w:r>
      <w:r w:rsidR="00534665" w:rsidRPr="0026588B">
        <w:rPr>
          <w:color w:val="000000"/>
        </w:rPr>
        <w:t xml:space="preserve"> </w:t>
      </w:r>
    </w:p>
    <w:p w14:paraId="23334460" w14:textId="483891AF" w:rsidR="00534665" w:rsidRPr="006F495C" w:rsidRDefault="00534665" w:rsidP="00534665">
      <w:pPr>
        <w:tabs>
          <w:tab w:val="left" w:pos="0"/>
          <w:tab w:val="left" w:pos="6660"/>
        </w:tabs>
        <w:spacing w:line="276" w:lineRule="auto"/>
        <w:ind w:firstLine="709"/>
        <w:jc w:val="both"/>
      </w:pPr>
      <w:r w:rsidRPr="006F495C">
        <w:t xml:space="preserve">Senāts </w:t>
      </w:r>
      <w:r w:rsidR="00E200C8">
        <w:t>atzīst</w:t>
      </w:r>
      <w:r w:rsidRPr="006F495C">
        <w:t xml:space="preserve">, ka pretrunīgu tiesas spriedumu nevar atzīt par tiesisku un pamatotu Kriminālprocesa likuma </w:t>
      </w:r>
      <w:proofErr w:type="gramStart"/>
      <w:r w:rsidRPr="006F495C">
        <w:t>511.panta</w:t>
      </w:r>
      <w:proofErr w:type="gramEnd"/>
      <w:r w:rsidRPr="006F495C">
        <w:t xml:space="preserve"> otrās daļas izpratnē. Minētais likuma pārkāpums atbilstoši Kriminālprocesa likuma </w:t>
      </w:r>
      <w:proofErr w:type="gramStart"/>
      <w:r w:rsidRPr="006F495C">
        <w:t>575.panta</w:t>
      </w:r>
      <w:proofErr w:type="gramEnd"/>
      <w:r w:rsidRPr="006F495C">
        <w:t xml:space="preserve"> trešajai daļai atzīstams par Kriminālprocesa likuma būtisku pārkāpumu, kas novedis pie nelikumīga nolēmuma</w:t>
      </w:r>
      <w:r w:rsidR="00E04D7E">
        <w:t>, un</w:t>
      </w:r>
      <w:r>
        <w:t xml:space="preserve"> </w:t>
      </w:r>
      <w:r>
        <w:rPr>
          <w:color w:val="000000"/>
        </w:rPr>
        <w:t>ir pamats apelācijas instances tiesas sprieduma atcelšanai un lietas nosūtīšanai jaunai izskatīšanai apelācijas instances tiesā.</w:t>
      </w:r>
    </w:p>
    <w:p w14:paraId="00D2CCC1" w14:textId="77777777" w:rsidR="00534665" w:rsidRDefault="00534665" w:rsidP="00534665">
      <w:pPr>
        <w:tabs>
          <w:tab w:val="left" w:pos="0"/>
          <w:tab w:val="left" w:pos="6660"/>
        </w:tabs>
        <w:spacing w:line="276" w:lineRule="auto"/>
        <w:ind w:firstLine="709"/>
        <w:jc w:val="both"/>
      </w:pPr>
    </w:p>
    <w:p w14:paraId="3205AC3B" w14:textId="799EB2D3" w:rsidR="00534665" w:rsidRDefault="00534665" w:rsidP="00534665">
      <w:pPr>
        <w:tabs>
          <w:tab w:val="left" w:pos="0"/>
          <w:tab w:val="left" w:pos="6660"/>
        </w:tabs>
        <w:spacing w:line="276" w:lineRule="auto"/>
        <w:ind w:firstLine="709"/>
        <w:jc w:val="both"/>
      </w:pPr>
      <w:r w:rsidRPr="00115971">
        <w:rPr>
          <w:rFonts w:eastAsiaTheme="minorHAnsi"/>
        </w:rPr>
        <w:t>[</w:t>
      </w:r>
      <w:r w:rsidR="00EB0834">
        <w:rPr>
          <w:rFonts w:eastAsiaTheme="minorHAnsi"/>
        </w:rPr>
        <w:t>7</w:t>
      </w:r>
      <w:r w:rsidRPr="00115971">
        <w:rPr>
          <w:rFonts w:eastAsiaTheme="minorHAnsi"/>
        </w:rPr>
        <w:t xml:space="preserve">] </w:t>
      </w:r>
      <w:r>
        <w:t>Senāts atzīst par nepamatotu aizstāvja kasācijas sūdzībā norādīto par</w:t>
      </w:r>
      <w:r w:rsidRPr="00E05B21">
        <w:t xml:space="preserve"> </w:t>
      </w:r>
      <w:r w:rsidRPr="00115971">
        <w:t xml:space="preserve">Kriminālprocesa likuma </w:t>
      </w:r>
      <w:proofErr w:type="gramStart"/>
      <w:r w:rsidRPr="00115971">
        <w:t>574.panta</w:t>
      </w:r>
      <w:proofErr w:type="gramEnd"/>
      <w:r w:rsidRPr="00115971">
        <w:t xml:space="preserve"> 2.punktā minēto Krimināllikuma pārkāpumu</w:t>
      </w:r>
      <w:r>
        <w:t xml:space="preserve">, kas izpaudies </w:t>
      </w:r>
      <w:r w:rsidRPr="00115971">
        <w:t>nepareizi piemērojot Autortiesību likuma 15.panta ceturto daļu</w:t>
      </w:r>
      <w:r>
        <w:t>.</w:t>
      </w:r>
    </w:p>
    <w:p w14:paraId="1EAD1C0B" w14:textId="24B4E8DC" w:rsidR="00534665" w:rsidRDefault="00534665" w:rsidP="00534665">
      <w:pPr>
        <w:tabs>
          <w:tab w:val="left" w:pos="0"/>
          <w:tab w:val="left" w:pos="6660"/>
        </w:tabs>
        <w:spacing w:line="276" w:lineRule="auto"/>
        <w:ind w:firstLine="709"/>
        <w:jc w:val="both"/>
        <w:rPr>
          <w:rFonts w:eastAsiaTheme="minorHAnsi"/>
        </w:rPr>
      </w:pPr>
      <w:r w:rsidRPr="00115971">
        <w:rPr>
          <w:rFonts w:eastAsiaTheme="minorHAnsi"/>
        </w:rPr>
        <w:t xml:space="preserve">Autortiesības ir noteiktu tiesību (pilnvaru) kopums, kurā ietilpst autora personiskās tiesības un mantiskās tiesības </w:t>
      </w:r>
      <w:proofErr w:type="gramStart"/>
      <w:r w:rsidRPr="00916309">
        <w:rPr>
          <w:rFonts w:eastAsiaTheme="minorHAnsi"/>
          <w:iCs/>
        </w:rPr>
        <w:t>(</w:t>
      </w:r>
      <w:proofErr w:type="gramEnd"/>
      <w:r>
        <w:rPr>
          <w:i/>
        </w:rPr>
        <w:t xml:space="preserve">Krastiņš U., </w:t>
      </w:r>
      <w:proofErr w:type="spellStart"/>
      <w:r>
        <w:rPr>
          <w:i/>
        </w:rPr>
        <w:t>Liholaja</w:t>
      </w:r>
      <w:proofErr w:type="spellEnd"/>
      <w:r>
        <w:rPr>
          <w:i/>
        </w:rPr>
        <w:t xml:space="preserve"> </w:t>
      </w:r>
      <w:r w:rsidRPr="00115971">
        <w:rPr>
          <w:i/>
        </w:rPr>
        <w:t>V. Krimināllikuma komentāri. Otrā daļa (IX-XVII nodaļa). Rīga: Tiesu namu aģentūra, 2016, 399.lpp</w:t>
      </w:r>
      <w:r w:rsidRPr="00916309">
        <w:rPr>
          <w:rFonts w:eastAsiaTheme="minorHAnsi"/>
          <w:iCs/>
        </w:rPr>
        <w:t>).</w:t>
      </w:r>
    </w:p>
    <w:p w14:paraId="72199158" w14:textId="57D1B6C1" w:rsidR="00534665" w:rsidRDefault="00534665" w:rsidP="00534665">
      <w:pPr>
        <w:tabs>
          <w:tab w:val="left" w:pos="0"/>
          <w:tab w:val="left" w:pos="6660"/>
        </w:tabs>
        <w:spacing w:line="276" w:lineRule="auto"/>
        <w:ind w:firstLine="709"/>
        <w:jc w:val="both"/>
      </w:pPr>
      <w:r w:rsidRPr="00115971">
        <w:t xml:space="preserve">Krimināllikuma </w:t>
      </w:r>
      <w:proofErr w:type="gramStart"/>
      <w:r w:rsidRPr="00115971">
        <w:t>148.pantā</w:t>
      </w:r>
      <w:proofErr w:type="gramEnd"/>
      <w:r w:rsidRPr="00115971">
        <w:t xml:space="preserve"> paredzētais noziedzīgais nodarījums ir veidots kā </w:t>
      </w:r>
      <w:proofErr w:type="spellStart"/>
      <w:r w:rsidRPr="00115971">
        <w:t>blanketa</w:t>
      </w:r>
      <w:proofErr w:type="spellEnd"/>
      <w:r w:rsidRPr="00115971">
        <w:t xml:space="preserve"> tiesību norma, kurā paredzēta atbildība par autortiesību vai blakustiesību </w:t>
      </w:r>
      <w:r w:rsidRPr="00916309">
        <w:t>pārkāpšanu.</w:t>
      </w:r>
      <w:r>
        <w:t xml:space="preserve">  Konkrētajā gadījumā tiesa atbilstoši celtajai apsūdzībai noteikusi kriminālatbildību </w:t>
      </w:r>
      <w:r w:rsidRPr="00971443">
        <w:t>par</w:t>
      </w:r>
      <w:r w:rsidRPr="000E104A">
        <w:t xml:space="preserve"> </w:t>
      </w:r>
      <w:r>
        <w:t xml:space="preserve">juridiskai personai </w:t>
      </w:r>
      <w:r w:rsidRPr="00971443">
        <w:t xml:space="preserve">Autortiesību likuma </w:t>
      </w:r>
      <w:proofErr w:type="gramStart"/>
      <w:r w:rsidRPr="00971443">
        <w:t>15.panta</w:t>
      </w:r>
      <w:proofErr w:type="gramEnd"/>
      <w:r w:rsidRPr="00971443">
        <w:t xml:space="preserve"> otrā</w:t>
      </w:r>
      <w:r>
        <w:t>s</w:t>
      </w:r>
      <w:r w:rsidRPr="00971443">
        <w:t xml:space="preserve"> daļas 4. punkt</w:t>
      </w:r>
      <w:r>
        <w:t>ā un ceturtajā daļā paredzēto</w:t>
      </w:r>
      <w:r w:rsidRPr="00971443">
        <w:t xml:space="preserve"> </w:t>
      </w:r>
      <w:r>
        <w:t xml:space="preserve">tiesību </w:t>
      </w:r>
      <w:r w:rsidRPr="00971443">
        <w:t>pārkāpumu</w:t>
      </w:r>
      <w:r>
        <w:t xml:space="preserve">, kā rezultātā </w:t>
      </w:r>
      <w:r w:rsidRPr="00916309">
        <w:t xml:space="preserve">autortiesību pārkāpšana </w:t>
      </w:r>
      <w:r w:rsidRPr="00916309">
        <w:rPr>
          <w:shd w:val="clear" w:color="auto" w:fill="FFFFFF"/>
        </w:rPr>
        <w:t>izdarīta lielā apmērā.</w:t>
      </w:r>
      <w:r w:rsidRPr="00916309">
        <w:t xml:space="preserve"> </w:t>
      </w:r>
    </w:p>
    <w:p w14:paraId="59E9E021" w14:textId="0A5DE8A1" w:rsidR="00534665" w:rsidRDefault="00534665" w:rsidP="00534665">
      <w:pPr>
        <w:tabs>
          <w:tab w:val="left" w:pos="0"/>
          <w:tab w:val="left" w:pos="6660"/>
        </w:tabs>
        <w:spacing w:line="276" w:lineRule="auto"/>
        <w:ind w:firstLine="709"/>
        <w:jc w:val="both"/>
      </w:pPr>
      <w:r>
        <w:t xml:space="preserve">Senāts norāda, ka autoru, izņemot </w:t>
      </w:r>
      <w:r w:rsidRPr="00B80B6F">
        <w:t>datorprogramm</w:t>
      </w:r>
      <w:r>
        <w:t>u un</w:t>
      </w:r>
      <w:r w:rsidRPr="00B80B6F">
        <w:t xml:space="preserve"> datu</w:t>
      </w:r>
      <w:r w:rsidR="00906EF8">
        <w:t xml:space="preserve"> </w:t>
      </w:r>
      <w:r>
        <w:t>b</w:t>
      </w:r>
      <w:r w:rsidRPr="00B80B6F">
        <w:t>āz</w:t>
      </w:r>
      <w:r w:rsidR="00906EF8">
        <w:t>es</w:t>
      </w:r>
      <w:r w:rsidRPr="00B80B6F">
        <w:t xml:space="preserve"> autoru</w:t>
      </w:r>
      <w:r>
        <w:t xml:space="preserve">, izņēmuma tiesības ir noteiktas Autortiesību likuma </w:t>
      </w:r>
      <w:proofErr w:type="gramStart"/>
      <w:r>
        <w:t>15.panta</w:t>
      </w:r>
      <w:proofErr w:type="gramEnd"/>
      <w:r>
        <w:t xml:space="preserve"> pirmajā daļā. Datorprogrammu autoru izņēmuma tiesības ir noteiktas Autortiesību likuma </w:t>
      </w:r>
      <w:proofErr w:type="gramStart"/>
      <w:r>
        <w:t>15.panta</w:t>
      </w:r>
      <w:proofErr w:type="gramEnd"/>
      <w:r>
        <w:t xml:space="preserve"> otrajā daļā, bet datu</w:t>
      </w:r>
      <w:r w:rsidR="00906EF8">
        <w:t xml:space="preserve"> </w:t>
      </w:r>
      <w:r>
        <w:t>bāz</w:t>
      </w:r>
      <w:r w:rsidR="00906EF8">
        <w:t>es</w:t>
      </w:r>
      <w:r>
        <w:t xml:space="preserve"> autoru tiesības – Autortiesību likuma 15.panta trešajā daļā. </w:t>
      </w:r>
    </w:p>
    <w:p w14:paraId="7C483DA8" w14:textId="235D0140" w:rsidR="00534665" w:rsidRDefault="00534665" w:rsidP="00534665">
      <w:pPr>
        <w:tabs>
          <w:tab w:val="left" w:pos="0"/>
          <w:tab w:val="left" w:pos="6660"/>
        </w:tabs>
        <w:spacing w:line="276" w:lineRule="auto"/>
        <w:ind w:firstLine="709"/>
        <w:jc w:val="both"/>
      </w:pPr>
      <w:r>
        <w:t xml:space="preserve">Autortiesību likuma </w:t>
      </w:r>
      <w:proofErr w:type="gramStart"/>
      <w:r>
        <w:t>15.panta</w:t>
      </w:r>
      <w:proofErr w:type="gramEnd"/>
      <w:r>
        <w:t xml:space="preserve"> otr</w:t>
      </w:r>
      <w:r w:rsidR="00906EF8">
        <w:t>ajā</w:t>
      </w:r>
      <w:r>
        <w:t xml:space="preserve"> daļā uzskaitītas datorprogrammu tiesību īpašnieku mantiskās tiesības attiecībā uz datorprogrammu izmantošanu. Š</w:t>
      </w:r>
      <w:r w:rsidR="00E04D7E">
        <w:t>ā</w:t>
      </w:r>
      <w:r>
        <w:t xml:space="preserve"> likuma 68.panta pirmā un otrā daļa noteic, ka par pārkāpumu </w:t>
      </w:r>
      <w:r w:rsidRPr="00D82AAF">
        <w:t>uzskatāma darbība, ar kuru aizskartas autortiesību subjekta mantiskās tiesības</w:t>
      </w:r>
      <w:r>
        <w:t xml:space="preserve">, ņemot vērā šajā likumā noteiktos autortiesību ierobežojumus. Autortiesību likuma </w:t>
      </w:r>
      <w:proofErr w:type="gramStart"/>
      <w:r>
        <w:t>15.panta</w:t>
      </w:r>
      <w:proofErr w:type="gramEnd"/>
      <w:r>
        <w:t xml:space="preserve"> otrā</w:t>
      </w:r>
      <w:r w:rsidR="0058368A">
        <w:t>s</w:t>
      </w:r>
      <w:r>
        <w:t xml:space="preserve"> daļas 4. punkts kā vienu no mantiskajām tiesībām nosauc datorprogrammu reproducēšanu</w:t>
      </w:r>
      <w:r w:rsidRPr="004839EC">
        <w:t>.</w:t>
      </w:r>
      <w:r>
        <w:t xml:space="preserve"> </w:t>
      </w:r>
    </w:p>
    <w:p w14:paraId="7A7256E8" w14:textId="4E227A8B" w:rsidR="00534665" w:rsidRDefault="00534665" w:rsidP="001D6CFB">
      <w:pPr>
        <w:tabs>
          <w:tab w:val="left" w:pos="0"/>
          <w:tab w:val="left" w:pos="6660"/>
        </w:tabs>
        <w:spacing w:line="276" w:lineRule="auto"/>
        <w:ind w:firstLine="709"/>
        <w:jc w:val="both"/>
      </w:pPr>
      <w:r>
        <w:t>Savukārt  </w:t>
      </w:r>
      <w:r w:rsidRPr="00F10DC6">
        <w:t xml:space="preserve">Autortiesību likuma </w:t>
      </w:r>
      <w:proofErr w:type="gramStart"/>
      <w:r w:rsidRPr="00F10DC6">
        <w:t>15.panta</w:t>
      </w:r>
      <w:proofErr w:type="gramEnd"/>
      <w:r w:rsidRPr="00F10DC6">
        <w:t xml:space="preserve"> ceturtajā daļā ir vispārīgi norādīts, ka autoram ir tiesības izmantot savu darbu jebkādā veidā. </w:t>
      </w:r>
      <w:r>
        <w:t>U</w:t>
      </w:r>
      <w:r w:rsidRPr="00F10DC6">
        <w:t xml:space="preserve">z </w:t>
      </w:r>
      <w:r>
        <w:t>šīs</w:t>
      </w:r>
      <w:r w:rsidRPr="00F10DC6">
        <w:t xml:space="preserve"> norādes pamata nevar secināt par likumā tieši nenorādītu izņēmuma tiesību pastāvēšanu.</w:t>
      </w:r>
      <w:r>
        <w:t xml:space="preserve"> Minētā norāde vien skar autora tiesības kontrolēt darba izmantošanu ar likumu noteiktu autora izņēmuma tiesību ietvaro</w:t>
      </w:r>
      <w:r w:rsidR="001D6CFB">
        <w:t>s.</w:t>
      </w:r>
    </w:p>
    <w:p w14:paraId="0F7CEC4F" w14:textId="77777777" w:rsidR="00534665" w:rsidRPr="00F10DC6" w:rsidRDefault="00534665" w:rsidP="00534665">
      <w:pPr>
        <w:tabs>
          <w:tab w:val="left" w:pos="0"/>
          <w:tab w:val="left" w:pos="6660"/>
        </w:tabs>
        <w:spacing w:line="276" w:lineRule="auto"/>
        <w:ind w:firstLine="709"/>
        <w:jc w:val="both"/>
      </w:pPr>
      <w:r>
        <w:t xml:space="preserve">Senāts atzīst, ka </w:t>
      </w:r>
      <w:r w:rsidRPr="00F10DC6">
        <w:t xml:space="preserve">Autortiesību likuma </w:t>
      </w:r>
      <w:proofErr w:type="gramStart"/>
      <w:r w:rsidRPr="00F10DC6">
        <w:t>15.panta</w:t>
      </w:r>
      <w:proofErr w:type="gramEnd"/>
      <w:r w:rsidRPr="00F10DC6">
        <w:t xml:space="preserve"> ceturtajā daļā</w:t>
      </w:r>
      <w:r>
        <w:t xml:space="preserve"> ietvertās norādes par to, ka autoram ir tiesības atļaut vai aizliegt sava darba izmantošanu, kā arī tiesības uz atlīdzību, nav patstāvīgas autora tiesības, bet atklāj autora izņēmuma tiesību saturu. Tādējādi </w:t>
      </w:r>
      <w:r w:rsidRPr="00BA250A">
        <w:t xml:space="preserve">Autortiesību likuma </w:t>
      </w:r>
      <w:proofErr w:type="gramStart"/>
      <w:r w:rsidRPr="00BA250A">
        <w:t>15.panta</w:t>
      </w:r>
      <w:proofErr w:type="gramEnd"/>
      <w:r w:rsidRPr="00BA250A">
        <w:t xml:space="preserve"> ceturtajā daļā norādītās autora tiesības </w:t>
      </w:r>
      <w:r>
        <w:t xml:space="preserve">nevar </w:t>
      </w:r>
      <w:r w:rsidRPr="00BA250A">
        <w:t xml:space="preserve">pāriet </w:t>
      </w:r>
      <w:r>
        <w:t>citai personai atsevišķi no minētā panta pirmajā, otrajā vai trešajā daļā norādītajām tiesībām.</w:t>
      </w:r>
    </w:p>
    <w:p w14:paraId="46824713" w14:textId="77777777" w:rsidR="00534665" w:rsidRDefault="00534665" w:rsidP="00534665">
      <w:pPr>
        <w:tabs>
          <w:tab w:val="left" w:pos="0"/>
          <w:tab w:val="left" w:pos="6660"/>
        </w:tabs>
        <w:spacing w:line="276" w:lineRule="auto"/>
        <w:ind w:firstLine="709"/>
        <w:jc w:val="both"/>
      </w:pPr>
    </w:p>
    <w:p w14:paraId="0EED7C79" w14:textId="03365465" w:rsidR="00534665" w:rsidRDefault="00534665" w:rsidP="00534665">
      <w:pPr>
        <w:tabs>
          <w:tab w:val="left" w:pos="0"/>
          <w:tab w:val="left" w:pos="6660"/>
        </w:tabs>
        <w:spacing w:line="276" w:lineRule="auto"/>
        <w:ind w:firstLine="709"/>
        <w:jc w:val="both"/>
        <w:rPr>
          <w:rFonts w:asciiTheme="majorBidi" w:eastAsiaTheme="minorHAnsi" w:hAnsiTheme="majorBidi" w:cstheme="majorBidi"/>
          <w:iCs/>
        </w:rPr>
      </w:pPr>
      <w:r>
        <w:rPr>
          <w:rFonts w:eastAsiaTheme="minorHAnsi"/>
          <w:iCs/>
        </w:rPr>
        <w:t>[</w:t>
      </w:r>
      <w:r w:rsidR="00906EF8">
        <w:rPr>
          <w:rFonts w:eastAsiaTheme="minorHAnsi"/>
          <w:iCs/>
        </w:rPr>
        <w:t>8</w:t>
      </w:r>
      <w:r>
        <w:rPr>
          <w:rFonts w:eastAsiaTheme="minorHAnsi"/>
          <w:iCs/>
        </w:rPr>
        <w:t>] Senāts atzīst par nepamatotu kasācijas sūdzības autora viedokli, ka a</w:t>
      </w:r>
      <w:r w:rsidRPr="00750B7C">
        <w:rPr>
          <w:rFonts w:eastAsiaTheme="minorHAnsi" w:cstheme="minorBidi"/>
          <w:szCs w:val="22"/>
        </w:rPr>
        <w:t xml:space="preserve">pelācijas instances tiesa ir pārkāpusi Kriminālprocesa likuma </w:t>
      </w:r>
      <w:proofErr w:type="gramStart"/>
      <w:r w:rsidRPr="00750B7C">
        <w:rPr>
          <w:rFonts w:eastAsiaTheme="minorHAnsi" w:cstheme="minorBidi"/>
          <w:szCs w:val="22"/>
        </w:rPr>
        <w:t>2.panta</w:t>
      </w:r>
      <w:proofErr w:type="gramEnd"/>
      <w:r w:rsidRPr="00750B7C">
        <w:rPr>
          <w:rFonts w:eastAsiaTheme="minorHAnsi" w:cstheme="minorBidi"/>
          <w:szCs w:val="22"/>
        </w:rPr>
        <w:t xml:space="preserve"> otr</w:t>
      </w:r>
      <w:r w:rsidR="00E200C8">
        <w:rPr>
          <w:rFonts w:eastAsiaTheme="minorHAnsi" w:cstheme="minorBidi"/>
          <w:szCs w:val="22"/>
        </w:rPr>
        <w:t>o</w:t>
      </w:r>
      <w:r w:rsidRPr="00750B7C">
        <w:rPr>
          <w:rFonts w:eastAsiaTheme="minorHAnsi" w:cstheme="minorBidi"/>
          <w:szCs w:val="22"/>
        </w:rPr>
        <w:t xml:space="preserve"> daļ</w:t>
      </w:r>
      <w:r w:rsidR="00E200C8">
        <w:rPr>
          <w:rFonts w:eastAsiaTheme="minorHAnsi" w:cstheme="minorBidi"/>
          <w:szCs w:val="22"/>
        </w:rPr>
        <w:t>u</w:t>
      </w:r>
      <w:r w:rsidRPr="000D6A92">
        <w:rPr>
          <w:rFonts w:asciiTheme="majorBidi" w:eastAsiaTheme="minorHAnsi" w:hAnsiTheme="majorBidi" w:cstheme="majorBidi"/>
          <w:iCs/>
        </w:rPr>
        <w:t>.</w:t>
      </w:r>
    </w:p>
    <w:p w14:paraId="183684EA" w14:textId="007BBC34" w:rsidR="00534665" w:rsidRDefault="00534665" w:rsidP="00682486">
      <w:pPr>
        <w:tabs>
          <w:tab w:val="left" w:pos="0"/>
          <w:tab w:val="left" w:pos="6660"/>
        </w:tabs>
        <w:spacing w:line="276" w:lineRule="auto"/>
        <w:ind w:firstLine="709"/>
        <w:jc w:val="both"/>
        <w:rPr>
          <w:rFonts w:asciiTheme="majorBidi" w:hAnsiTheme="majorBidi" w:cstheme="majorBidi"/>
          <w:shd w:val="clear" w:color="auto" w:fill="FFFFFF"/>
        </w:rPr>
      </w:pPr>
      <w:r>
        <w:rPr>
          <w:rFonts w:asciiTheme="majorBidi" w:hAnsiTheme="majorBidi" w:cstheme="majorBidi"/>
        </w:rPr>
        <w:t>[</w:t>
      </w:r>
      <w:r w:rsidR="00906EF8">
        <w:rPr>
          <w:rFonts w:asciiTheme="majorBidi" w:hAnsiTheme="majorBidi" w:cstheme="majorBidi"/>
        </w:rPr>
        <w:t>8</w:t>
      </w:r>
      <w:r>
        <w:rPr>
          <w:rFonts w:asciiTheme="majorBidi" w:hAnsiTheme="majorBidi" w:cstheme="majorBidi"/>
        </w:rPr>
        <w:t xml:space="preserve">.1] </w:t>
      </w:r>
      <w:r w:rsidRPr="000D6A92">
        <w:rPr>
          <w:rFonts w:asciiTheme="majorBidi" w:hAnsiTheme="majorBidi" w:cstheme="majorBidi"/>
          <w:shd w:val="clear" w:color="auto" w:fill="FFFFFF"/>
        </w:rPr>
        <w:t xml:space="preserve">Kriminālprocesa likuma </w:t>
      </w:r>
      <w:proofErr w:type="gramStart"/>
      <w:r w:rsidRPr="000D6A92">
        <w:rPr>
          <w:rFonts w:asciiTheme="majorBidi" w:hAnsiTheme="majorBidi" w:cstheme="majorBidi"/>
          <w:shd w:val="clear" w:color="auto" w:fill="FFFFFF"/>
        </w:rPr>
        <w:t>2.panta</w:t>
      </w:r>
      <w:proofErr w:type="gramEnd"/>
      <w:r w:rsidRPr="000D6A92">
        <w:rPr>
          <w:rFonts w:asciiTheme="majorBidi" w:hAnsiTheme="majorBidi" w:cstheme="majorBidi"/>
          <w:shd w:val="clear" w:color="auto" w:fill="FFFFFF"/>
        </w:rPr>
        <w:t xml:space="preserve"> otrā daļa noteic, ka, piemērojot Eiropas Savienības tiesību normu, ņem vērā Eiropas Savienības Tiesas judikatūru, bet Latvijas Republikas tiesību normas piemērošanā ievēro Satversmes tiesas spriedumā sniegto attiecīgās normas interpretāciju.</w:t>
      </w:r>
    </w:p>
    <w:p w14:paraId="5C4DF3A8" w14:textId="35894FD2" w:rsidR="00E200C8" w:rsidRDefault="00E200C8" w:rsidP="00534665">
      <w:pPr>
        <w:tabs>
          <w:tab w:val="left" w:pos="0"/>
          <w:tab w:val="left" w:pos="6660"/>
        </w:tabs>
        <w:spacing w:line="276" w:lineRule="auto"/>
        <w:ind w:firstLine="709"/>
        <w:jc w:val="both"/>
        <w:rPr>
          <w:rFonts w:asciiTheme="majorBidi" w:hAnsiTheme="majorBidi" w:cstheme="majorBidi"/>
          <w:shd w:val="clear" w:color="auto" w:fill="FFFFFF"/>
        </w:rPr>
      </w:pPr>
      <w:r w:rsidRPr="00BE76A8">
        <w:rPr>
          <w:rFonts w:asciiTheme="majorBidi" w:hAnsiTheme="majorBidi" w:cstheme="majorBidi"/>
        </w:rPr>
        <w:t xml:space="preserve">Senāts </w:t>
      </w:r>
      <w:r>
        <w:rPr>
          <w:rFonts w:asciiTheme="majorBidi" w:hAnsiTheme="majorBidi" w:cstheme="majorBidi"/>
        </w:rPr>
        <w:t xml:space="preserve">konstatē, ka </w:t>
      </w:r>
      <w:r>
        <w:t xml:space="preserve">kasācijas sūdzībā nav norādes </w:t>
      </w:r>
      <w:r w:rsidRPr="000D6A92">
        <w:t xml:space="preserve">uz </w:t>
      </w:r>
      <w:r w:rsidRPr="000D6A92">
        <w:rPr>
          <w:rFonts w:asciiTheme="majorBidi" w:hAnsiTheme="majorBidi" w:cstheme="majorBidi"/>
          <w:shd w:val="clear" w:color="auto" w:fill="FFFFFF"/>
        </w:rPr>
        <w:t>Eiropas Savienības Tiesas judikatūr</w:t>
      </w:r>
      <w:r>
        <w:rPr>
          <w:rFonts w:asciiTheme="majorBidi" w:hAnsiTheme="majorBidi" w:cstheme="majorBidi"/>
          <w:shd w:val="clear" w:color="auto" w:fill="FFFFFF"/>
        </w:rPr>
        <w:t>u, ko apelācijas instances tiesa nav ņēmusi vērā.</w:t>
      </w:r>
    </w:p>
    <w:p w14:paraId="7E95CCDC" w14:textId="13F26F61" w:rsidR="00534665" w:rsidRDefault="00534665" w:rsidP="00534665">
      <w:pPr>
        <w:tabs>
          <w:tab w:val="left" w:pos="0"/>
          <w:tab w:val="left" w:pos="6660"/>
        </w:tabs>
        <w:spacing w:line="276" w:lineRule="auto"/>
        <w:ind w:firstLine="709"/>
        <w:jc w:val="both"/>
        <w:rPr>
          <w:rFonts w:eastAsiaTheme="minorHAnsi"/>
          <w:iCs/>
        </w:rPr>
      </w:pPr>
      <w:r>
        <w:rPr>
          <w:rFonts w:eastAsiaTheme="minorHAnsi"/>
          <w:iCs/>
        </w:rPr>
        <w:t xml:space="preserve">Kriminālprocesa likuma </w:t>
      </w:r>
      <w:proofErr w:type="gramStart"/>
      <w:r>
        <w:rPr>
          <w:rFonts w:eastAsiaTheme="minorHAnsi"/>
          <w:iCs/>
        </w:rPr>
        <w:t>478.panta</w:t>
      </w:r>
      <w:proofErr w:type="gramEnd"/>
      <w:r>
        <w:rPr>
          <w:rFonts w:eastAsiaTheme="minorHAnsi"/>
          <w:iCs/>
        </w:rPr>
        <w:t xml:space="preserve"> otrā daļa noteic, ja konkrētās lietas izspriešanai ir nepieciešams Eiropas Savienības Tiesas (turpmāk – </w:t>
      </w:r>
      <w:r w:rsidR="00A90CF4">
        <w:rPr>
          <w:rFonts w:eastAsiaTheme="minorHAnsi"/>
          <w:iCs/>
        </w:rPr>
        <w:t xml:space="preserve">arī </w:t>
      </w:r>
      <w:r>
        <w:rPr>
          <w:rFonts w:eastAsiaTheme="minorHAnsi"/>
          <w:iCs/>
        </w:rPr>
        <w:t>Tiesa) prejudiciāls nolēmums par Eiropas Savienības tiesību normas interpretāciju un spēkā esamību, tiesa nosūta Tiesai neskaidro jautājumu motivēta lēmuma formā, vienlaikus apturot tiesvedību krimināllietā līdz prejudiciālā nolēmuma spēkā stāšanās dienai.</w:t>
      </w:r>
    </w:p>
    <w:p w14:paraId="7954A234" w14:textId="6E317F0A" w:rsidR="00476E4D" w:rsidRPr="00334B98" w:rsidRDefault="00476E4D" w:rsidP="00476E4D">
      <w:pPr>
        <w:tabs>
          <w:tab w:val="left" w:pos="0"/>
          <w:tab w:val="left" w:pos="6660"/>
        </w:tabs>
        <w:spacing w:line="276" w:lineRule="auto"/>
        <w:ind w:firstLine="709"/>
        <w:jc w:val="both"/>
      </w:pPr>
      <w:r>
        <w:rPr>
          <w:rFonts w:asciiTheme="majorBidi" w:hAnsiTheme="majorBidi" w:cstheme="majorBidi"/>
          <w:color w:val="000000"/>
        </w:rPr>
        <w:t>Tiesām</w:t>
      </w:r>
      <w:r w:rsidRPr="00EA1D96">
        <w:rPr>
          <w:rFonts w:asciiTheme="majorBidi" w:hAnsiTheme="majorBidi" w:cstheme="majorBidi"/>
          <w:color w:val="000000"/>
        </w:rPr>
        <w:t xml:space="preserve"> ir zināma rīcības brīvība, interpretējot un piemērojot </w:t>
      </w:r>
      <w:r>
        <w:rPr>
          <w:rFonts w:asciiTheme="majorBidi" w:hAnsiTheme="majorBidi" w:cstheme="majorBidi"/>
          <w:color w:val="000000"/>
        </w:rPr>
        <w:t xml:space="preserve">valsts </w:t>
      </w:r>
      <w:r w:rsidRPr="00EA1D96">
        <w:rPr>
          <w:rFonts w:asciiTheme="majorBidi" w:hAnsiTheme="majorBidi" w:cstheme="majorBidi"/>
          <w:color w:val="000000"/>
        </w:rPr>
        <w:t>tiesību normas.</w:t>
      </w:r>
      <w:r w:rsidRPr="00EA1D96">
        <w:rPr>
          <w:rFonts w:asciiTheme="majorBidi" w:hAnsiTheme="majorBidi" w:cstheme="majorBidi"/>
        </w:rPr>
        <w:t xml:space="preserve"> Saistībā ar Eiropas Savienības Pamattiesību hartas </w:t>
      </w:r>
      <w:proofErr w:type="gramStart"/>
      <w:r w:rsidRPr="00EA1D96">
        <w:rPr>
          <w:rFonts w:asciiTheme="majorBidi" w:hAnsiTheme="majorBidi" w:cstheme="majorBidi"/>
        </w:rPr>
        <w:t>49.pantu</w:t>
      </w:r>
      <w:proofErr w:type="gramEnd"/>
      <w:r w:rsidRPr="00EA1D96">
        <w:rPr>
          <w:rFonts w:asciiTheme="majorBidi" w:eastAsiaTheme="minorHAnsi" w:hAnsiTheme="majorBidi" w:cstheme="majorBidi"/>
        </w:rPr>
        <w:t xml:space="preserve"> – n</w:t>
      </w:r>
      <w:r w:rsidRPr="00EA1D96">
        <w:rPr>
          <w:rFonts w:asciiTheme="majorBidi" w:hAnsiTheme="majorBidi" w:cstheme="majorBidi"/>
        </w:rPr>
        <w:t>oziedzīgu nodarījumu un sodu likumības un samērīguma principi</w:t>
      </w:r>
      <w:r w:rsidRPr="00EA1D96">
        <w:rPr>
          <w:rFonts w:asciiTheme="majorBidi" w:eastAsiaTheme="minorHAnsi" w:hAnsiTheme="majorBidi" w:cstheme="majorBidi"/>
        </w:rPr>
        <w:t xml:space="preserve"> </w:t>
      </w:r>
      <w:r w:rsidRPr="00115971">
        <w:rPr>
          <w:rFonts w:eastAsiaTheme="minorHAnsi"/>
        </w:rPr>
        <w:t>–</w:t>
      </w:r>
      <w:r>
        <w:t xml:space="preserve"> Eiropas Savienības Tiesas judikatūrā atzīts, ka </w:t>
      </w:r>
      <w:r w:rsidRPr="00AA2561">
        <w:t>piemērojamo tiesību aktu precizitātes princips</w:t>
      </w:r>
      <w:r>
        <w:t xml:space="preserve"> (</w:t>
      </w:r>
      <w:proofErr w:type="spellStart"/>
      <w:r w:rsidRPr="00E75951">
        <w:rPr>
          <w:i/>
          <w:iCs/>
        </w:rPr>
        <w:t>le</w:t>
      </w:r>
      <w:proofErr w:type="spellEnd"/>
      <w:r w:rsidRPr="00E75951">
        <w:rPr>
          <w:i/>
          <w:iCs/>
        </w:rPr>
        <w:t xml:space="preserve"> </w:t>
      </w:r>
      <w:proofErr w:type="spellStart"/>
      <w:r w:rsidRPr="00E75951">
        <w:rPr>
          <w:i/>
          <w:iCs/>
        </w:rPr>
        <w:t>principe</w:t>
      </w:r>
      <w:proofErr w:type="spellEnd"/>
      <w:r w:rsidRPr="00E75951">
        <w:rPr>
          <w:i/>
          <w:iCs/>
        </w:rPr>
        <w:t xml:space="preserve"> </w:t>
      </w:r>
      <w:proofErr w:type="spellStart"/>
      <w:r w:rsidRPr="00E75951">
        <w:rPr>
          <w:i/>
          <w:iCs/>
        </w:rPr>
        <w:t>de</w:t>
      </w:r>
      <w:proofErr w:type="spellEnd"/>
      <w:r w:rsidRPr="00E75951">
        <w:rPr>
          <w:i/>
          <w:iCs/>
        </w:rPr>
        <w:t xml:space="preserve"> </w:t>
      </w:r>
      <w:proofErr w:type="spellStart"/>
      <w:r w:rsidRPr="00E75951">
        <w:rPr>
          <w:i/>
          <w:iCs/>
        </w:rPr>
        <w:t>précision</w:t>
      </w:r>
      <w:proofErr w:type="spellEnd"/>
      <w:r w:rsidRPr="00E75951">
        <w:rPr>
          <w:i/>
          <w:iCs/>
        </w:rPr>
        <w:t xml:space="preserve"> </w:t>
      </w:r>
      <w:proofErr w:type="spellStart"/>
      <w:r w:rsidRPr="00E75951">
        <w:rPr>
          <w:i/>
          <w:iCs/>
        </w:rPr>
        <w:t>de</w:t>
      </w:r>
      <w:proofErr w:type="spellEnd"/>
      <w:r w:rsidRPr="00E75951">
        <w:rPr>
          <w:i/>
          <w:iCs/>
        </w:rPr>
        <w:t xml:space="preserve"> la </w:t>
      </w:r>
      <w:proofErr w:type="spellStart"/>
      <w:r w:rsidRPr="00E75951">
        <w:rPr>
          <w:i/>
          <w:iCs/>
        </w:rPr>
        <w:t>loi</w:t>
      </w:r>
      <w:proofErr w:type="spellEnd"/>
      <w:r>
        <w:rPr>
          <w:i/>
          <w:iCs/>
        </w:rPr>
        <w:t xml:space="preserve"> / </w:t>
      </w:r>
      <w:proofErr w:type="spellStart"/>
      <w:r w:rsidRPr="00E75951">
        <w:rPr>
          <w:i/>
          <w:iCs/>
        </w:rPr>
        <w:t>the</w:t>
      </w:r>
      <w:proofErr w:type="spellEnd"/>
      <w:r w:rsidRPr="00E75951">
        <w:rPr>
          <w:i/>
          <w:iCs/>
        </w:rPr>
        <w:t xml:space="preserve"> </w:t>
      </w:r>
      <w:proofErr w:type="spellStart"/>
      <w:r w:rsidRPr="00E75951">
        <w:rPr>
          <w:i/>
          <w:iCs/>
        </w:rPr>
        <w:t>principle</w:t>
      </w:r>
      <w:proofErr w:type="spellEnd"/>
      <w:r w:rsidRPr="00E75951">
        <w:rPr>
          <w:i/>
          <w:iCs/>
        </w:rPr>
        <w:t xml:space="preserve"> </w:t>
      </w:r>
      <w:proofErr w:type="spellStart"/>
      <w:r w:rsidRPr="00E75951">
        <w:rPr>
          <w:i/>
          <w:iCs/>
        </w:rPr>
        <w:t>that</w:t>
      </w:r>
      <w:proofErr w:type="spellEnd"/>
      <w:r w:rsidRPr="00E75951">
        <w:rPr>
          <w:i/>
          <w:iCs/>
        </w:rPr>
        <w:t xml:space="preserve"> </w:t>
      </w:r>
      <w:proofErr w:type="spellStart"/>
      <w:r w:rsidRPr="00E75951">
        <w:rPr>
          <w:i/>
          <w:iCs/>
        </w:rPr>
        <w:t>the</w:t>
      </w:r>
      <w:proofErr w:type="spellEnd"/>
      <w:r w:rsidRPr="00E75951">
        <w:rPr>
          <w:i/>
          <w:iCs/>
        </w:rPr>
        <w:t xml:space="preserve"> </w:t>
      </w:r>
      <w:proofErr w:type="spellStart"/>
      <w:r w:rsidRPr="00E75951">
        <w:rPr>
          <w:i/>
          <w:iCs/>
        </w:rPr>
        <w:t>applicable</w:t>
      </w:r>
      <w:proofErr w:type="spellEnd"/>
      <w:r w:rsidRPr="00E75951">
        <w:rPr>
          <w:i/>
          <w:iCs/>
        </w:rPr>
        <w:t xml:space="preserve"> </w:t>
      </w:r>
      <w:proofErr w:type="spellStart"/>
      <w:r w:rsidRPr="00E75951">
        <w:rPr>
          <w:i/>
          <w:iCs/>
        </w:rPr>
        <w:t>law</w:t>
      </w:r>
      <w:proofErr w:type="spellEnd"/>
      <w:r>
        <w:rPr>
          <w:i/>
          <w:iCs/>
        </w:rPr>
        <w:t xml:space="preserve"> </w:t>
      </w:r>
      <w:proofErr w:type="spellStart"/>
      <w:r w:rsidRPr="00E75951">
        <w:rPr>
          <w:i/>
          <w:iCs/>
        </w:rPr>
        <w:t>must</w:t>
      </w:r>
      <w:proofErr w:type="spellEnd"/>
      <w:r w:rsidRPr="00E75951">
        <w:rPr>
          <w:i/>
          <w:iCs/>
        </w:rPr>
        <w:t xml:space="preserve"> </w:t>
      </w:r>
      <w:proofErr w:type="spellStart"/>
      <w:r w:rsidRPr="00E75951">
        <w:rPr>
          <w:i/>
          <w:iCs/>
        </w:rPr>
        <w:t>be</w:t>
      </w:r>
      <w:proofErr w:type="spellEnd"/>
      <w:r w:rsidRPr="00E75951">
        <w:rPr>
          <w:i/>
          <w:iCs/>
        </w:rPr>
        <w:t xml:space="preserve"> </w:t>
      </w:r>
      <w:proofErr w:type="spellStart"/>
      <w:r w:rsidRPr="00E75951">
        <w:rPr>
          <w:i/>
          <w:iCs/>
        </w:rPr>
        <w:t>precise</w:t>
      </w:r>
      <w:proofErr w:type="spellEnd"/>
      <w:r>
        <w:t>)</w:t>
      </w:r>
      <w:r w:rsidRPr="00AA2561">
        <w:t xml:space="preserve"> nevar tikt interpretēts tādējādi, ka tas aizliegtu to normu saturu, kurās paredzēta kriminālatbildība, noskaidrot pakāpeniski, tiesām sniedzot interpretāciju, ja vien šī interpretācija ir saprātīgi paredzama</w:t>
      </w:r>
      <w:r>
        <w:t xml:space="preserve"> (</w:t>
      </w:r>
      <w:r w:rsidRPr="00AA2561">
        <w:rPr>
          <w:i/>
          <w:iCs/>
        </w:rPr>
        <w:t>Eiropas Savienības Tiesas 2020. gada 11. jūnija spriedum</w:t>
      </w:r>
      <w:r w:rsidR="00140D88">
        <w:rPr>
          <w:i/>
          <w:iCs/>
        </w:rPr>
        <w:t>a</w:t>
      </w:r>
      <w:r w:rsidRPr="00AA2561">
        <w:rPr>
          <w:i/>
          <w:iCs/>
        </w:rPr>
        <w:t xml:space="preserve"> lietā </w:t>
      </w:r>
      <w:r>
        <w:rPr>
          <w:i/>
          <w:iCs/>
        </w:rPr>
        <w:t>,,</w:t>
      </w:r>
      <w:proofErr w:type="spellStart"/>
      <w:r w:rsidRPr="00AA2561">
        <w:rPr>
          <w:i/>
          <w:iCs/>
        </w:rPr>
        <w:t>Prokuratura</w:t>
      </w:r>
      <w:proofErr w:type="spellEnd"/>
      <w:r w:rsidRPr="00AA2561">
        <w:rPr>
          <w:i/>
          <w:iCs/>
        </w:rPr>
        <w:t xml:space="preserve"> </w:t>
      </w:r>
      <w:proofErr w:type="spellStart"/>
      <w:r w:rsidRPr="00AA2561">
        <w:rPr>
          <w:i/>
          <w:iCs/>
        </w:rPr>
        <w:t>Rejonowa</w:t>
      </w:r>
      <w:proofErr w:type="spellEnd"/>
      <w:r w:rsidRPr="00AA2561">
        <w:rPr>
          <w:i/>
          <w:iCs/>
        </w:rPr>
        <w:t xml:space="preserve"> w </w:t>
      </w:r>
      <w:proofErr w:type="spellStart"/>
      <w:r w:rsidRPr="00AA2561">
        <w:rPr>
          <w:i/>
          <w:iCs/>
        </w:rPr>
        <w:t>Słupsku</w:t>
      </w:r>
      <w:proofErr w:type="spellEnd"/>
      <w:r w:rsidRPr="00AA2561">
        <w:rPr>
          <w:i/>
          <w:iCs/>
        </w:rPr>
        <w:t>”, C</w:t>
      </w:r>
      <w:r w:rsidRPr="00AA2561">
        <w:rPr>
          <w:i/>
          <w:iCs/>
        </w:rPr>
        <w:noBreakHyphen/>
        <w:t xml:space="preserve">634/18, </w:t>
      </w:r>
      <w:r w:rsidRPr="00B231E0">
        <w:rPr>
          <w:i/>
          <w:iCs/>
          <w:color w:val="000000" w:themeColor="text1"/>
        </w:rPr>
        <w:t>(</w:t>
      </w:r>
      <w:hyperlink r:id="rId9" w:history="1">
        <w:r w:rsidRPr="00A860DD">
          <w:rPr>
            <w:rStyle w:val="Hyperlink"/>
            <w:i/>
            <w:iCs/>
            <w:color w:val="000000" w:themeColor="text1"/>
            <w:u w:val="none"/>
          </w:rPr>
          <w:t>ECLI:EU:C:2020:455</w:t>
        </w:r>
      </w:hyperlink>
      <w:r w:rsidRPr="00A860DD">
        <w:rPr>
          <w:rStyle w:val="Hyperlink"/>
          <w:i/>
          <w:iCs/>
          <w:color w:val="000000" w:themeColor="text1"/>
          <w:u w:val="none"/>
        </w:rPr>
        <w:t>)</w:t>
      </w:r>
      <w:r w:rsidRPr="00A860DD">
        <w:rPr>
          <w:i/>
          <w:iCs/>
          <w:color w:val="000000" w:themeColor="text1"/>
        </w:rPr>
        <w:t>,</w:t>
      </w:r>
      <w:r w:rsidRPr="00B231E0">
        <w:rPr>
          <w:i/>
          <w:iCs/>
          <w:color w:val="000000" w:themeColor="text1"/>
        </w:rPr>
        <w:t xml:space="preserve"> </w:t>
      </w:r>
      <w:r>
        <w:rPr>
          <w:i/>
          <w:iCs/>
        </w:rPr>
        <w:t xml:space="preserve">45., </w:t>
      </w:r>
      <w:r w:rsidRPr="00AA2561">
        <w:rPr>
          <w:i/>
          <w:iCs/>
        </w:rPr>
        <w:t>50. punkts</w:t>
      </w:r>
      <w:r>
        <w:t xml:space="preserve"> </w:t>
      </w:r>
      <w:r w:rsidRPr="00FB53F0">
        <w:rPr>
          <w:i/>
          <w:iCs/>
        </w:rPr>
        <w:t>un tajā minētā judikatūrā</w:t>
      </w:r>
      <w:r>
        <w:t>).</w:t>
      </w:r>
    </w:p>
    <w:p w14:paraId="53E11B8B" w14:textId="77777777" w:rsidR="00534665" w:rsidRDefault="00534665" w:rsidP="00534665">
      <w:pPr>
        <w:tabs>
          <w:tab w:val="left" w:pos="0"/>
          <w:tab w:val="left" w:pos="6660"/>
        </w:tabs>
        <w:spacing w:line="276" w:lineRule="auto"/>
        <w:ind w:firstLine="709"/>
        <w:jc w:val="both"/>
      </w:pPr>
      <w:r>
        <w:t xml:space="preserve">Atbilstoši </w:t>
      </w:r>
      <w:r w:rsidRPr="00B231E0">
        <w:t xml:space="preserve">Ieteikumiem </w:t>
      </w:r>
      <w:r>
        <w:t>valstu tiesām par prejudiciālā nolēmuma tiesvedības ierosināšanu tiesas kompetence prejudiciālā kārtā lemt par Eiropas Savienības tiesību interpretāciju</w:t>
      </w:r>
      <w:proofErr w:type="gramStart"/>
      <w:r>
        <w:t xml:space="preserve"> vai spēkā esamību ir īstenojama vienīgi pēc valstu tiesu iniciatīvas</w:t>
      </w:r>
      <w:proofErr w:type="gramEnd"/>
      <w:r>
        <w:t xml:space="preserve">, neatkarīgi no tā, vai pamatlietas puses ir, vai nav paudušas vēlmi par vēršanos Tiesā. Proti, tā kā valsts tiesai, kura izskata strīdu, ir jāuzņemas atbildība par pieņemamo tiesas nolēmumu, tikai minētās tiesas kompetencē, ņemot vērā katras lietas īpatnības, ir novērtēt gan lūguma sniegt prejudiciālu nolēmumu nepieciešamību, lai tā spētu pieņemt nolēmumu, gan jautājumu, ko tā uzdod Tiesai, atbilstību. </w:t>
      </w:r>
    </w:p>
    <w:p w14:paraId="7DEA74A4" w14:textId="77777777" w:rsidR="00534665" w:rsidRDefault="00534665" w:rsidP="00534665">
      <w:pPr>
        <w:tabs>
          <w:tab w:val="left" w:pos="0"/>
          <w:tab w:val="left" w:pos="6660"/>
        </w:tabs>
        <w:spacing w:line="276" w:lineRule="auto"/>
        <w:ind w:firstLine="709"/>
        <w:jc w:val="both"/>
      </w:pPr>
      <w:r>
        <w:t xml:space="preserve">Dalībvalstu tiesas var vērsties Tiesā ar jautājumu par kādas Eiropas Savienības tiesību normas interpretāciju vai spēkā esamību, ja tās uzskata, ka šajā ziņā ir vajadzīgs Tiesas nolēmums, lai tās varētu pasludināt spriedumu. </w:t>
      </w:r>
    </w:p>
    <w:p w14:paraId="2689ACEB" w14:textId="20FD7B13" w:rsidR="00534665" w:rsidRPr="00A860DD" w:rsidRDefault="00534665" w:rsidP="00534665">
      <w:pPr>
        <w:tabs>
          <w:tab w:val="left" w:pos="0"/>
          <w:tab w:val="left" w:pos="6660"/>
        </w:tabs>
        <w:spacing w:line="276" w:lineRule="auto"/>
        <w:ind w:firstLine="709"/>
        <w:jc w:val="both"/>
        <w:rPr>
          <w:rFonts w:eastAsiaTheme="minorHAnsi"/>
          <w:iCs/>
          <w:color w:val="000000" w:themeColor="text1"/>
        </w:rPr>
      </w:pPr>
      <w:r>
        <w:t>Tomēr, ja jautājums rodas lietā, ko izskata tiesa, kuras nolēmumus nevar pārsūdzēt tiesā atbilstoši valsts tiesību normām, tai ir pienākums vērsties Tiesā ar lūgumu sniegt prejudiciālu nolēmumu (</w:t>
      </w:r>
      <w:r w:rsidRPr="007A486A">
        <w:rPr>
          <w:i/>
          <w:iCs/>
        </w:rPr>
        <w:t>sk. L</w:t>
      </w:r>
      <w:r w:rsidR="00FB53F0">
        <w:rPr>
          <w:i/>
          <w:iCs/>
        </w:rPr>
        <w:t>īguma par Eiropas Savienības dalību</w:t>
      </w:r>
      <w:r w:rsidRPr="007A486A">
        <w:rPr>
          <w:i/>
          <w:iCs/>
        </w:rPr>
        <w:t xml:space="preserve"> </w:t>
      </w:r>
      <w:proofErr w:type="gramStart"/>
      <w:r w:rsidRPr="007A486A">
        <w:rPr>
          <w:i/>
          <w:iCs/>
        </w:rPr>
        <w:t>267.panta</w:t>
      </w:r>
      <w:proofErr w:type="gramEnd"/>
      <w:r w:rsidRPr="007A486A">
        <w:rPr>
          <w:i/>
          <w:iCs/>
        </w:rPr>
        <w:t xml:space="preserve"> trešo daļ</w:t>
      </w:r>
      <w:r w:rsidR="00FB53F0">
        <w:rPr>
          <w:i/>
          <w:iCs/>
        </w:rPr>
        <w:t>u</w:t>
      </w:r>
      <w:r w:rsidR="00FB53F0" w:rsidRPr="00FB53F0">
        <w:t>)</w:t>
      </w:r>
      <w:r>
        <w:t>, izņemot gadījumus, kad attiecīgajā jomā jau ir iedibināta judikatūra vai arī nepastāv saprātīgas šaubas par to, kā pareizi interpretēt attiecīgo tiesību normu  (</w:t>
      </w:r>
      <w:r w:rsidRPr="00B231E0">
        <w:rPr>
          <w:i/>
          <w:iCs/>
        </w:rPr>
        <w:t xml:space="preserve">Ieteikumi valstu tiesām par prejudiciālā nolēmuma tiesvedības ierosināšanu (2019/C 380/01), 3., 5. un 6.p. Eiropas Savienības Oficiālais Vēstnesis C 380/3, </w:t>
      </w:r>
      <w:r w:rsidR="00B231E0" w:rsidRPr="00B231E0">
        <w:rPr>
          <w:i/>
          <w:iCs/>
        </w:rPr>
        <w:t xml:space="preserve">pieejams: </w:t>
      </w:r>
      <w:hyperlink r:id="rId10" w:history="1">
        <w:r w:rsidR="00B231E0" w:rsidRPr="00A860DD">
          <w:rPr>
            <w:rStyle w:val="Hyperlink"/>
            <w:i/>
            <w:iCs/>
            <w:color w:val="000000" w:themeColor="text1"/>
            <w:u w:val="none"/>
          </w:rPr>
          <w:t>https://eur-lex.europa.eu/legal-content/LV/TXT/PDF/?uri=OJ:JOC_2019_380_R_0001</w:t>
        </w:r>
      </w:hyperlink>
      <w:r w:rsidRPr="00A860DD">
        <w:rPr>
          <w:color w:val="000000" w:themeColor="text1"/>
        </w:rPr>
        <w:t>).</w:t>
      </w:r>
    </w:p>
    <w:p w14:paraId="0ABB783C" w14:textId="3AD54CA2" w:rsidR="00534665" w:rsidRDefault="00534665" w:rsidP="00534665">
      <w:pPr>
        <w:tabs>
          <w:tab w:val="left" w:pos="0"/>
          <w:tab w:val="num" w:pos="720"/>
          <w:tab w:val="left" w:pos="6660"/>
        </w:tabs>
        <w:spacing w:line="276" w:lineRule="auto"/>
        <w:ind w:firstLine="709"/>
        <w:jc w:val="both"/>
      </w:pPr>
      <w:r w:rsidRPr="00EA1D96">
        <w:rPr>
          <w:rFonts w:asciiTheme="majorBidi" w:eastAsiaTheme="minorHAnsi" w:hAnsiTheme="majorBidi" w:cstheme="majorBidi"/>
          <w:iCs/>
        </w:rPr>
        <w:t xml:space="preserve">Senāts norāda, ka </w:t>
      </w:r>
      <w:r>
        <w:rPr>
          <w:rFonts w:asciiTheme="majorBidi" w:eastAsiaTheme="minorHAnsi" w:hAnsiTheme="majorBidi" w:cstheme="majorBidi"/>
          <w:iCs/>
        </w:rPr>
        <w:t>t</w:t>
      </w:r>
      <w:r>
        <w:t>ādējādi tiesai nav pienākuma ikreiz vērsties</w:t>
      </w:r>
      <w:r w:rsidR="00835BFF">
        <w:t xml:space="preserve"> Tiesā</w:t>
      </w:r>
      <w:r>
        <w:t>, ja kāda</w:t>
      </w:r>
      <w:r w:rsidRPr="00444B0B">
        <w:t xml:space="preserve"> no procesā iesaistītajām personām</w:t>
      </w:r>
      <w:r>
        <w:t xml:space="preserve"> ir izteikusi šādu viedokli.</w:t>
      </w:r>
      <w:r w:rsidRPr="00444B0B">
        <w:t xml:space="preserve"> </w:t>
      </w:r>
      <w:r w:rsidRPr="00F61A15">
        <w:t xml:space="preserve">Šādas tiesības un </w:t>
      </w:r>
      <w:r>
        <w:t xml:space="preserve">likumā noteiktos gadījumos arī </w:t>
      </w:r>
      <w:r w:rsidRPr="00F61A15">
        <w:t>pienākums rodas tad, ja tiesa</w:t>
      </w:r>
      <w:r>
        <w:t xml:space="preserve"> </w:t>
      </w:r>
      <w:r w:rsidRPr="00F61A15">
        <w:t xml:space="preserve">uzskata, ka konkrētajā kriminālprocesā </w:t>
      </w:r>
      <w:r>
        <w:rPr>
          <w:rFonts w:eastAsiaTheme="minorHAnsi"/>
          <w:iCs/>
        </w:rPr>
        <w:t>ir nepieciešams Tiesas prejudiciāls nolēmums par Eiropas Savienības tiesību normas interpretāciju un spēkā esamību</w:t>
      </w:r>
      <w:r>
        <w:t>.</w:t>
      </w:r>
    </w:p>
    <w:p w14:paraId="069D78E4" w14:textId="657D7727" w:rsidR="00534665" w:rsidRPr="000D6A92" w:rsidRDefault="00534665" w:rsidP="00534665">
      <w:pPr>
        <w:tabs>
          <w:tab w:val="left" w:pos="0"/>
          <w:tab w:val="left" w:pos="6660"/>
        </w:tabs>
        <w:spacing w:line="276" w:lineRule="auto"/>
        <w:ind w:firstLine="709"/>
        <w:jc w:val="both"/>
        <w:rPr>
          <w:rFonts w:asciiTheme="majorBidi" w:hAnsiTheme="majorBidi" w:cstheme="majorBidi"/>
          <w:shd w:val="clear" w:color="auto" w:fill="FFFFFF"/>
        </w:rPr>
      </w:pPr>
      <w:r>
        <w:rPr>
          <w:rFonts w:asciiTheme="majorBidi" w:hAnsiTheme="majorBidi" w:cstheme="majorBidi"/>
        </w:rPr>
        <w:t>[</w:t>
      </w:r>
      <w:r w:rsidR="00B231E0">
        <w:rPr>
          <w:rFonts w:asciiTheme="majorBidi" w:hAnsiTheme="majorBidi" w:cstheme="majorBidi"/>
        </w:rPr>
        <w:t>8</w:t>
      </w:r>
      <w:r>
        <w:rPr>
          <w:rFonts w:asciiTheme="majorBidi" w:hAnsiTheme="majorBidi" w:cstheme="majorBidi"/>
        </w:rPr>
        <w:t xml:space="preserve">.2] </w:t>
      </w:r>
      <w:r>
        <w:rPr>
          <w:rFonts w:asciiTheme="majorBidi" w:hAnsiTheme="majorBidi" w:cstheme="majorBidi"/>
          <w:shd w:val="clear" w:color="auto" w:fill="FFFFFF"/>
        </w:rPr>
        <w:t xml:space="preserve">Senāts atzīst, ka sūdzībā </w:t>
      </w:r>
      <w:r>
        <w:t xml:space="preserve">nepamatoti norādīts, ka tiesai bija jāņem </w:t>
      </w:r>
      <w:r w:rsidRPr="00BE76A8">
        <w:rPr>
          <w:rFonts w:asciiTheme="majorBidi" w:hAnsiTheme="majorBidi" w:cstheme="majorBidi"/>
        </w:rPr>
        <w:t>vērā Direktīvā 2001/29/EK p</w:t>
      </w:r>
      <w:r w:rsidRPr="00BE76A8">
        <w:rPr>
          <w:rFonts w:asciiTheme="majorBidi" w:hAnsiTheme="majorBidi" w:cstheme="majorBidi"/>
          <w:shd w:val="clear" w:color="auto" w:fill="FFFFFF"/>
        </w:rPr>
        <w:t>ar dažu autortiesību un blakustiesību aspektu saskaņošanu informācijas sabiedrībā</w:t>
      </w:r>
      <w:r w:rsidRPr="00BE76A8">
        <w:rPr>
          <w:rFonts w:asciiTheme="majorBidi" w:hAnsiTheme="majorBidi" w:cstheme="majorBidi"/>
        </w:rPr>
        <w:t xml:space="preserve"> </w:t>
      </w:r>
      <w:r w:rsidRPr="00BE76A8">
        <w:rPr>
          <w:rFonts w:asciiTheme="majorBidi" w:hAnsiTheme="majorBidi" w:cstheme="majorBidi"/>
          <w:shd w:val="clear" w:color="auto" w:fill="FFFFFF"/>
        </w:rPr>
        <w:t>(</w:t>
      </w:r>
      <w:r w:rsidRPr="00BE76A8">
        <w:rPr>
          <w:rFonts w:asciiTheme="majorBidi" w:hAnsiTheme="majorBidi" w:cstheme="majorBidi"/>
        </w:rPr>
        <w:t>Direktīvā 2001/29/EK</w:t>
      </w:r>
      <w:r w:rsidRPr="00BE76A8">
        <w:rPr>
          <w:rFonts w:asciiTheme="majorBidi" w:hAnsiTheme="majorBidi" w:cstheme="majorBidi"/>
          <w:shd w:val="clear" w:color="auto" w:fill="FFFFFF"/>
        </w:rPr>
        <w:t xml:space="preserve">) </w:t>
      </w:r>
      <w:r w:rsidRPr="00BE76A8">
        <w:rPr>
          <w:rFonts w:asciiTheme="majorBidi" w:hAnsiTheme="majorBidi" w:cstheme="majorBidi"/>
        </w:rPr>
        <w:t>ietvertais autortiesību reproducēšanas tiesību jēdziens.</w:t>
      </w:r>
    </w:p>
    <w:p w14:paraId="623374E1" w14:textId="7DA21A80" w:rsidR="00534665" w:rsidRPr="00BE76A8" w:rsidRDefault="00534665" w:rsidP="00534665">
      <w:pPr>
        <w:tabs>
          <w:tab w:val="left" w:pos="0"/>
          <w:tab w:val="left" w:pos="6660"/>
        </w:tabs>
        <w:spacing w:line="276" w:lineRule="auto"/>
        <w:ind w:firstLine="709"/>
        <w:jc w:val="both"/>
        <w:rPr>
          <w:rFonts w:asciiTheme="majorBidi" w:hAnsiTheme="majorBidi" w:cstheme="majorBidi"/>
        </w:rPr>
      </w:pPr>
      <w:r>
        <w:rPr>
          <w:rFonts w:asciiTheme="majorBidi" w:hAnsiTheme="majorBidi" w:cstheme="majorBidi"/>
        </w:rPr>
        <w:t xml:space="preserve">Senāts norāda, ka </w:t>
      </w:r>
      <w:r w:rsidRPr="00BE76A8">
        <w:rPr>
          <w:rFonts w:asciiTheme="majorBidi" w:hAnsiTheme="majorBidi" w:cstheme="majorBidi"/>
        </w:rPr>
        <w:t xml:space="preserve">Direktīvas 2001/29/EK 1. panta </w:t>
      </w:r>
      <w:r w:rsidR="00682486">
        <w:rPr>
          <w:rFonts w:asciiTheme="majorBidi" w:hAnsiTheme="majorBidi" w:cstheme="majorBidi"/>
        </w:rPr>
        <w:t>„</w:t>
      </w:r>
      <w:r w:rsidRPr="00BE76A8">
        <w:rPr>
          <w:rFonts w:asciiTheme="majorBidi" w:hAnsiTheme="majorBidi" w:cstheme="majorBidi"/>
        </w:rPr>
        <w:t xml:space="preserve">a” apakšpunkts noteic, ka šī direktīva neskar un nekādi neietekmē esošos </w:t>
      </w:r>
      <w:r w:rsidRPr="002614C9">
        <w:rPr>
          <w:rFonts w:asciiTheme="majorBidi" w:hAnsiTheme="majorBidi" w:cstheme="majorBidi"/>
        </w:rPr>
        <w:t xml:space="preserve">Eiropas Kopienas </w:t>
      </w:r>
      <w:r w:rsidRPr="00BE76A8">
        <w:rPr>
          <w:rFonts w:asciiTheme="majorBidi" w:hAnsiTheme="majorBidi" w:cstheme="majorBidi"/>
        </w:rPr>
        <w:t xml:space="preserve">noteikumus, kas attiecas uz datorprogrammu tiesisko aizsardzību. </w:t>
      </w:r>
    </w:p>
    <w:p w14:paraId="6B17C276" w14:textId="558A754F" w:rsidR="00534665" w:rsidRDefault="00534665" w:rsidP="00534665">
      <w:pPr>
        <w:tabs>
          <w:tab w:val="left" w:pos="0"/>
          <w:tab w:val="left" w:pos="6660"/>
        </w:tabs>
        <w:spacing w:line="276" w:lineRule="auto"/>
        <w:ind w:firstLine="709"/>
        <w:jc w:val="both"/>
      </w:pPr>
      <w:r>
        <w:rPr>
          <w:rFonts w:asciiTheme="majorBidi" w:hAnsiTheme="majorBidi" w:cstheme="majorBidi"/>
        </w:rPr>
        <w:t>D</w:t>
      </w:r>
      <w:r w:rsidRPr="00BE76A8">
        <w:rPr>
          <w:rFonts w:asciiTheme="majorBidi" w:hAnsiTheme="majorBidi" w:cstheme="majorBidi"/>
        </w:rPr>
        <w:t xml:space="preserve">atorprogrammu aizsardzība Eiropas Savienības tiesībās noteikta ar </w:t>
      </w:r>
      <w:r w:rsidRPr="00BE76A8">
        <w:rPr>
          <w:rFonts w:asciiTheme="majorBidi" w:hAnsiTheme="majorBidi" w:cstheme="majorBidi"/>
          <w:shd w:val="clear" w:color="auto" w:fill="FFFFFF"/>
        </w:rPr>
        <w:t xml:space="preserve">Eiropas Parlamenta un </w:t>
      </w:r>
      <w:r w:rsidRPr="00BE76A8">
        <w:rPr>
          <w:rFonts w:asciiTheme="majorBidi" w:hAnsiTheme="majorBidi" w:cstheme="majorBidi"/>
        </w:rPr>
        <w:t>Padomes 2009. gada 23. aprīļa Direktīvu 2009/24/EK par datorprogrammu tiesisko aizsardzību (Direktīvu 2009/24/EK). Arī Tiesa norādījusi, ka Direktīva 2009/24</w:t>
      </w:r>
      <w:r>
        <w:rPr>
          <w:rFonts w:asciiTheme="majorBidi" w:hAnsiTheme="majorBidi" w:cstheme="majorBidi"/>
        </w:rPr>
        <w:t>/</w:t>
      </w:r>
      <w:r w:rsidRPr="00BE76A8">
        <w:rPr>
          <w:rFonts w:asciiTheme="majorBidi" w:hAnsiTheme="majorBidi" w:cstheme="majorBidi"/>
        </w:rPr>
        <w:t xml:space="preserve">EK, </w:t>
      </w:r>
      <w:r w:rsidRPr="002614C9">
        <w:rPr>
          <w:rFonts w:asciiTheme="majorBidi" w:hAnsiTheme="majorBidi" w:cstheme="majorBidi"/>
        </w:rPr>
        <w:t>kas īpaši attiecas uz datorprogrammu aizsardzību</w:t>
      </w:r>
      <w:r w:rsidRPr="002614C9">
        <w:t xml:space="preserve">, ir </w:t>
      </w:r>
      <w:proofErr w:type="spellStart"/>
      <w:r w:rsidRPr="002614C9">
        <w:rPr>
          <w:i/>
          <w:iCs/>
        </w:rPr>
        <w:t>lex</w:t>
      </w:r>
      <w:proofErr w:type="spellEnd"/>
      <w:r w:rsidRPr="002614C9">
        <w:rPr>
          <w:i/>
          <w:iCs/>
        </w:rPr>
        <w:t xml:space="preserve"> </w:t>
      </w:r>
      <w:proofErr w:type="spellStart"/>
      <w:r w:rsidRPr="002614C9">
        <w:rPr>
          <w:i/>
          <w:iCs/>
        </w:rPr>
        <w:t>specialis</w:t>
      </w:r>
      <w:proofErr w:type="spellEnd"/>
      <w:r w:rsidRPr="002614C9">
        <w:t xml:space="preserve"> attiecībā pret Direktīvu 2001/29/</w:t>
      </w:r>
      <w:r w:rsidRPr="002614C9">
        <w:rPr>
          <w:rFonts w:asciiTheme="majorBidi" w:hAnsiTheme="majorBidi" w:cstheme="majorBidi"/>
        </w:rPr>
        <w:t xml:space="preserve"> EK</w:t>
      </w:r>
      <w:r w:rsidRPr="002614C9">
        <w:t xml:space="preserve"> (</w:t>
      </w:r>
      <w:r w:rsidRPr="002614C9">
        <w:rPr>
          <w:i/>
          <w:iCs/>
        </w:rPr>
        <w:t xml:space="preserve">Eiropas Savienības Tiesas </w:t>
      </w:r>
      <w:proofErr w:type="gramStart"/>
      <w:r w:rsidRPr="002614C9">
        <w:rPr>
          <w:i/>
          <w:iCs/>
        </w:rPr>
        <w:t>2014.gada</w:t>
      </w:r>
      <w:proofErr w:type="gramEnd"/>
      <w:r w:rsidRPr="002614C9">
        <w:rPr>
          <w:i/>
          <w:iCs/>
        </w:rPr>
        <w:t xml:space="preserve"> 23.janvāra spriedum</w:t>
      </w:r>
      <w:r w:rsidR="007464B2">
        <w:rPr>
          <w:i/>
          <w:iCs/>
        </w:rPr>
        <w:t>a</w:t>
      </w:r>
      <w:r w:rsidRPr="002614C9">
        <w:rPr>
          <w:i/>
          <w:iCs/>
        </w:rPr>
        <w:t xml:space="preserve"> lietā </w:t>
      </w:r>
      <w:r w:rsidR="00682486">
        <w:rPr>
          <w:i/>
          <w:iCs/>
        </w:rPr>
        <w:t>„</w:t>
      </w:r>
      <w:proofErr w:type="spellStart"/>
      <w:r w:rsidRPr="002614C9">
        <w:rPr>
          <w:i/>
          <w:iCs/>
        </w:rPr>
        <w:t>Nintendo</w:t>
      </w:r>
      <w:proofErr w:type="spellEnd"/>
      <w:r w:rsidRPr="002614C9">
        <w:rPr>
          <w:i/>
          <w:iCs/>
        </w:rPr>
        <w:t xml:space="preserve"> u.c.”, C</w:t>
      </w:r>
      <w:r w:rsidRPr="002614C9">
        <w:rPr>
          <w:i/>
          <w:iCs/>
        </w:rPr>
        <w:noBreakHyphen/>
        <w:t>355/12</w:t>
      </w:r>
      <w:r w:rsidRPr="0064674D">
        <w:rPr>
          <w:i/>
          <w:iCs/>
          <w:color w:val="000000" w:themeColor="text1"/>
        </w:rPr>
        <w:t xml:space="preserve">, </w:t>
      </w:r>
      <w:r w:rsidR="0064674D" w:rsidRPr="0064674D">
        <w:rPr>
          <w:i/>
          <w:iCs/>
          <w:color w:val="000000" w:themeColor="text1"/>
        </w:rPr>
        <w:t>(</w:t>
      </w:r>
      <w:hyperlink r:id="rId11" w:history="1">
        <w:r w:rsidRPr="00A860DD">
          <w:rPr>
            <w:rStyle w:val="Hyperlink"/>
            <w:i/>
            <w:iCs/>
            <w:color w:val="000000" w:themeColor="text1"/>
            <w:u w:val="none"/>
          </w:rPr>
          <w:t>ECLI:EU:C:2014:25</w:t>
        </w:r>
      </w:hyperlink>
      <w:r w:rsidR="0064674D" w:rsidRPr="00A860DD">
        <w:rPr>
          <w:rStyle w:val="Hyperlink"/>
          <w:i/>
          <w:iCs/>
          <w:color w:val="000000" w:themeColor="text1"/>
          <w:u w:val="none"/>
        </w:rPr>
        <w:t>)</w:t>
      </w:r>
      <w:r w:rsidRPr="0064674D">
        <w:rPr>
          <w:i/>
          <w:iCs/>
          <w:color w:val="000000" w:themeColor="text1"/>
        </w:rPr>
        <w:t>,</w:t>
      </w:r>
      <w:r w:rsidRPr="002614C9">
        <w:rPr>
          <w:i/>
          <w:iCs/>
        </w:rPr>
        <w:t xml:space="preserve"> 23. punkts</w:t>
      </w:r>
      <w:r w:rsidRPr="002614C9">
        <w:t>).</w:t>
      </w:r>
    </w:p>
    <w:p w14:paraId="098C2A32" w14:textId="3856186F" w:rsidR="00534665" w:rsidRDefault="00534665" w:rsidP="00534665">
      <w:pPr>
        <w:tabs>
          <w:tab w:val="left" w:pos="0"/>
          <w:tab w:val="left" w:pos="6660"/>
        </w:tabs>
        <w:spacing w:line="276" w:lineRule="auto"/>
        <w:ind w:firstLine="709"/>
        <w:jc w:val="both"/>
      </w:pPr>
      <w:r>
        <w:t>Taču, ņ</w:t>
      </w:r>
      <w:r w:rsidRPr="007E06D6">
        <w:t xml:space="preserve">emot vērā, ka nav </w:t>
      </w:r>
      <w:r>
        <w:t>pieejama</w:t>
      </w:r>
      <w:r w:rsidRPr="007E06D6">
        <w:t xml:space="preserve"> plaša Tiesas judikatūra par Direktīvas 2009/24 </w:t>
      </w:r>
      <w:r>
        <w:t xml:space="preserve">(un </w:t>
      </w:r>
      <w:r w:rsidRPr="00F12B4F">
        <w:t>Direktīv</w:t>
      </w:r>
      <w:r>
        <w:t xml:space="preserve">as </w:t>
      </w:r>
      <w:r w:rsidRPr="00F12B4F">
        <w:t>91/250/EEK</w:t>
      </w:r>
      <w:r>
        <w:t>, kuru šī direktīva aizstā</w:t>
      </w:r>
      <w:r w:rsidR="001D6CFB">
        <w:t>j)</w:t>
      </w:r>
      <w:r w:rsidRPr="007E06D6">
        <w:t xml:space="preserve"> normām, salīdzināšanas nolūkos reproducēšanas tiesību jēdziena izpratnei Direktīvā 2009/24/EK var</w:t>
      </w:r>
      <w:r>
        <w:t xml:space="preserve"> tikt</w:t>
      </w:r>
      <w:r w:rsidRPr="007E06D6">
        <w:t xml:space="preserve"> izmantot</w:t>
      </w:r>
      <w:r>
        <w:t>as</w:t>
      </w:r>
      <w:r w:rsidRPr="007E06D6">
        <w:t xml:space="preserve"> Tiesas norādes par reproducēšanas tiesību jēdziena izpratni Direktīvā 2001/29. Pati Tiesa šādi rīkojusies, piemēram, lietā C</w:t>
      </w:r>
      <w:r w:rsidRPr="007E06D6">
        <w:noBreakHyphen/>
        <w:t xml:space="preserve">166/15, kur izskatāmais jautājums bija Direktīvas 91/250/EEK normu iztulkošana, iekļaujot atsauci uz lietu C‑145/10 saistībā ar izņēmumiem no autortiesību īpašnieka ekskluzīvajām reproducēšanas tiesībām Direktīvā 2001/29 </w:t>
      </w:r>
      <w:proofErr w:type="gramStart"/>
      <w:r w:rsidRPr="005768D7">
        <w:t>(</w:t>
      </w:r>
      <w:proofErr w:type="gramEnd"/>
      <w:r w:rsidR="007464B2" w:rsidRPr="00682486">
        <w:rPr>
          <w:i/>
          <w:iCs/>
        </w:rPr>
        <w:t>Eiropas Savienības Tiesas</w:t>
      </w:r>
      <w:r w:rsidR="007464B2" w:rsidRPr="00682486">
        <w:t xml:space="preserve"> </w:t>
      </w:r>
      <w:r w:rsidRPr="00682486">
        <w:rPr>
          <w:i/>
          <w:iCs/>
        </w:rPr>
        <w:t>2016. gada 12. oktobra spriedu</w:t>
      </w:r>
      <w:r w:rsidR="007464B2" w:rsidRPr="00682486">
        <w:rPr>
          <w:i/>
          <w:iCs/>
        </w:rPr>
        <w:t>ma</w:t>
      </w:r>
      <w:r w:rsidRPr="00682486">
        <w:rPr>
          <w:i/>
          <w:iCs/>
        </w:rPr>
        <w:t xml:space="preserve"> lietā</w:t>
      </w:r>
      <w:r w:rsidR="00C86113" w:rsidRPr="00682486">
        <w:rPr>
          <w:i/>
          <w:iCs/>
        </w:rPr>
        <w:t xml:space="preserve"> </w:t>
      </w:r>
      <w:r w:rsidR="00682486">
        <w:rPr>
          <w:i/>
          <w:iCs/>
        </w:rPr>
        <w:t>„</w:t>
      </w:r>
      <w:proofErr w:type="spellStart"/>
      <w:r w:rsidRPr="00682486">
        <w:rPr>
          <w:i/>
          <w:iCs/>
        </w:rPr>
        <w:t>Ranks</w:t>
      </w:r>
      <w:proofErr w:type="spellEnd"/>
      <w:r w:rsidRPr="00682486">
        <w:rPr>
          <w:i/>
          <w:iCs/>
        </w:rPr>
        <w:t xml:space="preserve"> </w:t>
      </w:r>
      <w:proofErr w:type="spellStart"/>
      <w:r w:rsidRPr="00682486">
        <w:rPr>
          <w:i/>
          <w:iCs/>
        </w:rPr>
        <w:t>and</w:t>
      </w:r>
      <w:proofErr w:type="spellEnd"/>
      <w:r w:rsidRPr="00682486">
        <w:rPr>
          <w:i/>
          <w:iCs/>
        </w:rPr>
        <w:t xml:space="preserve"> </w:t>
      </w:r>
      <w:proofErr w:type="spellStart"/>
      <w:r w:rsidRPr="00682486">
        <w:rPr>
          <w:i/>
          <w:iCs/>
        </w:rPr>
        <w:t>Vasiļevičs</w:t>
      </w:r>
      <w:proofErr w:type="spellEnd"/>
      <w:r w:rsidRPr="00682486">
        <w:rPr>
          <w:i/>
          <w:iCs/>
        </w:rPr>
        <w:t>”, C</w:t>
      </w:r>
      <w:r w:rsidRPr="00682486">
        <w:rPr>
          <w:i/>
          <w:iCs/>
        </w:rPr>
        <w:noBreakHyphen/>
        <w:t>166/15,</w:t>
      </w:r>
      <w:r w:rsidR="00B231E0" w:rsidRPr="00682486">
        <w:rPr>
          <w:i/>
          <w:iCs/>
        </w:rPr>
        <w:t>(</w:t>
      </w:r>
      <w:hyperlink r:id="rId12" w:history="1">
        <w:r w:rsidRPr="00682486">
          <w:rPr>
            <w:rStyle w:val="Hyperlink"/>
            <w:i/>
            <w:iCs/>
            <w:color w:val="000000" w:themeColor="text1"/>
            <w:u w:val="none"/>
          </w:rPr>
          <w:t>ECLI:EU:C:2016:762</w:t>
        </w:r>
      </w:hyperlink>
      <w:r w:rsidR="00B231E0" w:rsidRPr="00682486">
        <w:rPr>
          <w:rStyle w:val="Hyperlink"/>
          <w:i/>
          <w:iCs/>
          <w:color w:val="000000" w:themeColor="text1"/>
          <w:u w:val="none"/>
        </w:rPr>
        <w:t>)</w:t>
      </w:r>
      <w:r w:rsidRPr="00682486">
        <w:rPr>
          <w:i/>
          <w:iCs/>
        </w:rPr>
        <w:t>, 42. punkt</w:t>
      </w:r>
      <w:r w:rsidR="007464B2" w:rsidRPr="00682486">
        <w:rPr>
          <w:i/>
          <w:iCs/>
        </w:rPr>
        <w:t>s</w:t>
      </w:r>
      <w:r w:rsidRPr="00682486">
        <w:t>)</w:t>
      </w:r>
      <w:r w:rsidRPr="00476E4D">
        <w:t>.</w:t>
      </w:r>
      <w:r w:rsidRPr="007E06D6">
        <w:t xml:space="preserve"> Vienlaikus jāņem vērā, ka viens un tas pats jautājums Direktīvā 2009/24/EK un Direktīvā 2001/29 var būt regulēts atšķirīgi. </w:t>
      </w:r>
    </w:p>
    <w:p w14:paraId="0AF44DAD" w14:textId="645B5AF9" w:rsidR="00A90CF4" w:rsidRPr="00682486" w:rsidRDefault="00534665" w:rsidP="00534665">
      <w:pPr>
        <w:tabs>
          <w:tab w:val="left" w:pos="0"/>
          <w:tab w:val="left" w:pos="6660"/>
        </w:tabs>
        <w:spacing w:line="276" w:lineRule="auto"/>
        <w:ind w:firstLine="709"/>
        <w:jc w:val="both"/>
      </w:pPr>
      <w:r w:rsidRPr="00200FA9">
        <w:t>Direktīv</w:t>
      </w:r>
      <w:r>
        <w:t>as</w:t>
      </w:r>
      <w:r w:rsidRPr="00200FA9">
        <w:t xml:space="preserve"> </w:t>
      </w:r>
      <w:r w:rsidRPr="00333F02">
        <w:t xml:space="preserve">2009/24/EK </w:t>
      </w:r>
      <w:r w:rsidRPr="00200FA9">
        <w:t xml:space="preserve">4. panta </w:t>
      </w:r>
      <w:r>
        <w:t xml:space="preserve">1. punkta </w:t>
      </w:r>
      <w:r w:rsidR="00682486">
        <w:t>„</w:t>
      </w:r>
      <w:r w:rsidRPr="00200FA9">
        <w:t>a” apakšpunkts noteic</w:t>
      </w:r>
      <w:r>
        <w:t xml:space="preserve"> tiesību īpašnieka</w:t>
      </w:r>
      <w:r w:rsidRPr="00200FA9">
        <w:t xml:space="preserve"> izņēmuma tiesības </w:t>
      </w:r>
      <w:r>
        <w:t xml:space="preserve">atļaut </w:t>
      </w:r>
      <w:r w:rsidRPr="00200FA9">
        <w:t xml:space="preserve">pastāvīgi vai īslaicīgi reproducēt datorprogrammu ar jebkuriem līdzekļiem jebkādā formā, daļēji vai pilnībā. Ciktāl datorprogrammas ielādēšana, </w:t>
      </w:r>
      <w:r>
        <w:t>attēlošana uz ekrāna</w:t>
      </w:r>
      <w:r w:rsidRPr="00200FA9">
        <w:t xml:space="preserve">, izmantošana, pārraidīšana vai glabāšana prasa to reproducēt, </w:t>
      </w:r>
      <w:r>
        <w:t>šādām darbībām ir nepieciešama</w:t>
      </w:r>
      <w:r w:rsidRPr="00200FA9">
        <w:t xml:space="preserve"> </w:t>
      </w:r>
      <w:r>
        <w:t>tiesību īpašnieka piekrišana</w:t>
      </w:r>
      <w:r w:rsidRPr="00200FA9">
        <w:t>.</w:t>
      </w:r>
      <w:r>
        <w:t xml:space="preserve"> </w:t>
      </w:r>
      <w:r w:rsidRPr="00200FA9">
        <w:t xml:space="preserve">Minētā Direktīvas </w:t>
      </w:r>
      <w:r w:rsidRPr="00333F02">
        <w:t xml:space="preserve">2009/24/EK </w:t>
      </w:r>
      <w:r w:rsidRPr="00200FA9">
        <w:t>norma ir transponēta Autortiesību likuma 15. panta otrās daļas 4. punktā</w:t>
      </w:r>
      <w:r>
        <w:t>, tā ir tulkojama minētās direktīvas normas kontekstā, kas paredz autonomu datorprogrammu reproducēšanas tiesību jēdzienu (</w:t>
      </w:r>
      <w:r w:rsidR="00FB53F0">
        <w:rPr>
          <w:i/>
          <w:iCs/>
        </w:rPr>
        <w:t>E</w:t>
      </w:r>
      <w:r w:rsidRPr="00AE2B04">
        <w:rPr>
          <w:i/>
          <w:iCs/>
        </w:rPr>
        <w:t xml:space="preserve">iropas Savienības Tiesas </w:t>
      </w:r>
      <w:proofErr w:type="gramStart"/>
      <w:r w:rsidRPr="00AE2B04">
        <w:rPr>
          <w:i/>
          <w:iCs/>
        </w:rPr>
        <w:t>2011.g</w:t>
      </w:r>
      <w:r>
        <w:rPr>
          <w:i/>
          <w:iCs/>
        </w:rPr>
        <w:t>a</w:t>
      </w:r>
      <w:r w:rsidRPr="00AE2B04">
        <w:rPr>
          <w:i/>
          <w:iCs/>
        </w:rPr>
        <w:t>da</w:t>
      </w:r>
      <w:proofErr w:type="gramEnd"/>
      <w:r w:rsidRPr="00AE2B04">
        <w:rPr>
          <w:i/>
          <w:iCs/>
        </w:rPr>
        <w:t xml:space="preserve"> 4.oktobra spriedum</w:t>
      </w:r>
      <w:r>
        <w:rPr>
          <w:i/>
          <w:iCs/>
        </w:rPr>
        <w:t>a</w:t>
      </w:r>
      <w:r w:rsidRPr="00AE2B04">
        <w:rPr>
          <w:i/>
          <w:iCs/>
        </w:rPr>
        <w:t xml:space="preserve"> lietā </w:t>
      </w:r>
      <w:r w:rsidR="00682486">
        <w:rPr>
          <w:i/>
          <w:iCs/>
        </w:rPr>
        <w:t>„</w:t>
      </w:r>
      <w:proofErr w:type="spellStart"/>
      <w:r w:rsidRPr="00AE2B04">
        <w:rPr>
          <w:i/>
          <w:iCs/>
        </w:rPr>
        <w:t>Football</w:t>
      </w:r>
      <w:proofErr w:type="spellEnd"/>
      <w:r w:rsidRPr="00AE2B04">
        <w:rPr>
          <w:i/>
          <w:iCs/>
        </w:rPr>
        <w:t xml:space="preserve"> </w:t>
      </w:r>
      <w:proofErr w:type="spellStart"/>
      <w:r w:rsidRPr="00AE2B04">
        <w:rPr>
          <w:i/>
          <w:iCs/>
        </w:rPr>
        <w:t>Association</w:t>
      </w:r>
      <w:proofErr w:type="spellEnd"/>
      <w:r w:rsidRPr="00AE2B04">
        <w:rPr>
          <w:i/>
          <w:iCs/>
        </w:rPr>
        <w:t xml:space="preserve"> </w:t>
      </w:r>
      <w:proofErr w:type="spellStart"/>
      <w:r w:rsidRPr="00AE2B04">
        <w:rPr>
          <w:i/>
          <w:iCs/>
        </w:rPr>
        <w:t>Premier</w:t>
      </w:r>
      <w:proofErr w:type="spellEnd"/>
      <w:r w:rsidRPr="00AE2B04">
        <w:rPr>
          <w:i/>
          <w:iCs/>
        </w:rPr>
        <w:t xml:space="preserve"> </w:t>
      </w:r>
      <w:proofErr w:type="spellStart"/>
      <w:r w:rsidRPr="00AE2B04">
        <w:rPr>
          <w:i/>
          <w:iCs/>
        </w:rPr>
        <w:t>League</w:t>
      </w:r>
      <w:proofErr w:type="spellEnd"/>
      <w:r w:rsidRPr="00AE2B04">
        <w:rPr>
          <w:i/>
          <w:iCs/>
        </w:rPr>
        <w:t xml:space="preserve"> u.c.”, C</w:t>
      </w:r>
      <w:r w:rsidRPr="00AE2B04">
        <w:rPr>
          <w:i/>
          <w:iCs/>
        </w:rPr>
        <w:noBreakHyphen/>
        <w:t xml:space="preserve">403/08, </w:t>
      </w:r>
      <w:r w:rsidR="0064674D" w:rsidRPr="00A860DD">
        <w:rPr>
          <w:i/>
          <w:iCs/>
        </w:rPr>
        <w:t>(</w:t>
      </w:r>
      <w:hyperlink r:id="rId13" w:history="1">
        <w:r w:rsidRPr="00A860DD">
          <w:rPr>
            <w:rStyle w:val="Hyperlink"/>
            <w:i/>
            <w:iCs/>
            <w:color w:val="000000" w:themeColor="text1"/>
            <w:u w:val="none"/>
          </w:rPr>
          <w:t>ECLI:EU:C:2011:631</w:t>
        </w:r>
      </w:hyperlink>
      <w:r w:rsidR="0064674D" w:rsidRPr="00A860DD">
        <w:rPr>
          <w:rStyle w:val="Hyperlink"/>
          <w:i/>
          <w:iCs/>
          <w:color w:val="000000" w:themeColor="text1"/>
          <w:u w:val="none"/>
        </w:rPr>
        <w:t>)</w:t>
      </w:r>
      <w:r w:rsidRPr="00A860DD">
        <w:rPr>
          <w:i/>
          <w:iCs/>
        </w:rPr>
        <w:t>,</w:t>
      </w:r>
      <w:r w:rsidRPr="00AE2B04">
        <w:rPr>
          <w:i/>
          <w:iCs/>
        </w:rPr>
        <w:t xml:space="preserve"> 154.</w:t>
      </w:r>
      <w:r>
        <w:rPr>
          <w:i/>
          <w:iCs/>
        </w:rPr>
        <w:t> punkt</w:t>
      </w:r>
      <w:r w:rsidR="007464B2">
        <w:rPr>
          <w:i/>
          <w:iCs/>
        </w:rPr>
        <w:t>s</w:t>
      </w:r>
      <w:r>
        <w:t xml:space="preserve">).  Tātad, izvērtējot, vai apsūdzētais ir veicis </w:t>
      </w:r>
      <w:r w:rsidRPr="00F0796B">
        <w:t>datorprogrammu reproducēšan</w:t>
      </w:r>
      <w:r>
        <w:t>u</w:t>
      </w:r>
      <w:r w:rsidRPr="00F0796B">
        <w:t xml:space="preserve"> bez autortiesību subjekta</w:t>
      </w:r>
      <w:r>
        <w:t xml:space="preserve"> </w:t>
      </w:r>
      <w:r w:rsidRPr="00F0796B">
        <w:t>atļaujas</w:t>
      </w:r>
      <w:r>
        <w:t xml:space="preserve">, jāņem vērā datorprogrammu reproducēšanas jēdziens, kāds tas noteikts </w:t>
      </w:r>
      <w:r w:rsidRPr="00200FA9">
        <w:t>Direktīv</w:t>
      </w:r>
      <w:r>
        <w:t>as</w:t>
      </w:r>
      <w:r w:rsidRPr="00200FA9">
        <w:t xml:space="preserve"> </w:t>
      </w:r>
      <w:r w:rsidRPr="00333F02">
        <w:t>2009/24/EK</w:t>
      </w:r>
      <w:r>
        <w:t xml:space="preserve"> </w:t>
      </w:r>
      <w:r w:rsidRPr="00682486">
        <w:t xml:space="preserve">4. panta 1. punkta </w:t>
      </w:r>
      <w:r w:rsidR="0064674D" w:rsidRPr="00682486">
        <w:t>,,</w:t>
      </w:r>
      <w:r w:rsidRPr="00682486">
        <w:t>a” apakšpunktā.</w:t>
      </w:r>
    </w:p>
    <w:p w14:paraId="59549952" w14:textId="63214415" w:rsidR="00A90CF4" w:rsidRDefault="00E200C8" w:rsidP="00A90CF4">
      <w:pPr>
        <w:tabs>
          <w:tab w:val="left" w:pos="0"/>
          <w:tab w:val="left" w:pos="6660"/>
        </w:tabs>
        <w:spacing w:line="276" w:lineRule="auto"/>
        <w:ind w:firstLine="709"/>
        <w:jc w:val="both"/>
      </w:pPr>
      <w:r w:rsidRPr="00682486">
        <w:t>Senāts atzīst, ka a</w:t>
      </w:r>
      <w:r w:rsidR="00FB53F0" w:rsidRPr="00682486">
        <w:t xml:space="preserve">tbilstoši Autortiesību likuma </w:t>
      </w:r>
      <w:proofErr w:type="gramStart"/>
      <w:r w:rsidR="00FB53F0" w:rsidRPr="00682486">
        <w:t>1</w:t>
      </w:r>
      <w:r w:rsidR="004A0347">
        <w:t>5</w:t>
      </w:r>
      <w:r w:rsidR="00FB53F0" w:rsidRPr="00682486">
        <w:t>.panta</w:t>
      </w:r>
      <w:proofErr w:type="gramEnd"/>
      <w:r w:rsidR="00FB53F0" w:rsidRPr="00682486">
        <w:t xml:space="preserve"> otrās daļas 4.punktam</w:t>
      </w:r>
      <w:r w:rsidR="00FB53F0" w:rsidRPr="00682486">
        <w:rPr>
          <w:i/>
          <w:iCs/>
        </w:rPr>
        <w:t xml:space="preserve"> </w:t>
      </w:r>
      <w:r w:rsidR="00FB53F0" w:rsidRPr="00682486">
        <w:t>t</w:t>
      </w:r>
      <w:r w:rsidR="00A90CF4" w:rsidRPr="00682486">
        <w:t>iesības datorprogrammu reproducēt</w:t>
      </w:r>
      <w:r w:rsidR="00A90CF4">
        <w:t xml:space="preserve"> ir vienas no autortiesību subjekta izņēmuma tiesībām</w:t>
      </w:r>
      <w:r w:rsidR="00DB23F2">
        <w:t>,</w:t>
      </w:r>
      <w:r w:rsidR="00A90CF4">
        <w:t xml:space="preserve"> tādēļ personai, kas datorprogrammu reproducē, ir jāsaņem autortiesību subjekta atļauja</w:t>
      </w:r>
      <w:r>
        <w:t xml:space="preserve"> saskaņā ar</w:t>
      </w:r>
      <w:r w:rsidR="00A90CF4">
        <w:t xml:space="preserve"> </w:t>
      </w:r>
      <w:r w:rsidR="00A90CF4" w:rsidRPr="00682486">
        <w:t>Autortiesību likuma 40. panta pirm</w:t>
      </w:r>
      <w:r>
        <w:t>o</w:t>
      </w:r>
      <w:r w:rsidR="00A90CF4" w:rsidRPr="00682486">
        <w:t xml:space="preserve"> daļ</w:t>
      </w:r>
      <w:r>
        <w:t>u</w:t>
      </w:r>
      <w:r w:rsidR="00A90CF4">
        <w:t xml:space="preserve">.  Vienlaikus, kā izriet Autortiesību likuma </w:t>
      </w:r>
      <w:r w:rsidR="00A90CF4" w:rsidRPr="00241CB6">
        <w:t>1</w:t>
      </w:r>
      <w:r w:rsidR="004A0347">
        <w:t>5</w:t>
      </w:r>
      <w:r w:rsidR="00A90CF4" w:rsidRPr="00241CB6">
        <w:t>.</w:t>
      </w:r>
      <w:r w:rsidR="00A90CF4">
        <w:t> </w:t>
      </w:r>
      <w:r w:rsidR="00A90CF4" w:rsidRPr="00241CB6">
        <w:t>panta otrās daļas 4.</w:t>
      </w:r>
      <w:r w:rsidR="00A90CF4">
        <w:t> </w:t>
      </w:r>
      <w:r w:rsidR="00A90CF4" w:rsidRPr="00241CB6">
        <w:t>punkt</w:t>
      </w:r>
      <w:r w:rsidR="00A90CF4">
        <w:t xml:space="preserve">a, kurā transponēta </w:t>
      </w:r>
      <w:r w:rsidR="00A90CF4" w:rsidRPr="00200FA9">
        <w:t>Direktīv</w:t>
      </w:r>
      <w:r w:rsidR="00A90CF4">
        <w:t>as</w:t>
      </w:r>
      <w:r w:rsidR="00A90CF4" w:rsidRPr="00200FA9">
        <w:t xml:space="preserve"> </w:t>
      </w:r>
      <w:r w:rsidR="00A90CF4" w:rsidRPr="00333F02">
        <w:t xml:space="preserve">2009/24/EK </w:t>
      </w:r>
      <w:r w:rsidR="00A90CF4" w:rsidRPr="00200FA9">
        <w:t xml:space="preserve">4. panta </w:t>
      </w:r>
      <w:r w:rsidR="00A90CF4">
        <w:t>1. punkta</w:t>
      </w:r>
      <w:proofErr w:type="gramStart"/>
      <w:r w:rsidR="00B030DC">
        <w:t xml:space="preserve"> </w:t>
      </w:r>
      <w:r w:rsidR="0064674D">
        <w:t>,,</w:t>
      </w:r>
      <w:proofErr w:type="gramEnd"/>
      <w:r w:rsidR="00A90CF4" w:rsidRPr="00200FA9">
        <w:t>a” apakšpunkt</w:t>
      </w:r>
      <w:r w:rsidR="00A90CF4">
        <w:t>a norma, autortiesību subjekta atļauja ir nepieciešama arī datorprogrammas attēlošanai uz ekrāna, izmantošanai un glabāšanai, bet tikai tad, ja šo darbību veikšanai datorprogrammu bija nepieciešamas reproducēt.</w:t>
      </w:r>
    </w:p>
    <w:p w14:paraId="445BD137" w14:textId="77777777" w:rsidR="00682486" w:rsidRDefault="00682486" w:rsidP="00FB53F0">
      <w:pPr>
        <w:tabs>
          <w:tab w:val="left" w:pos="0"/>
          <w:tab w:val="left" w:pos="6660"/>
        </w:tabs>
        <w:spacing w:line="276" w:lineRule="auto"/>
        <w:ind w:firstLine="709"/>
        <w:jc w:val="both"/>
      </w:pPr>
    </w:p>
    <w:p w14:paraId="026A7F01" w14:textId="57D67B74" w:rsidR="00534665" w:rsidRDefault="00534665" w:rsidP="00FB53F0">
      <w:pPr>
        <w:tabs>
          <w:tab w:val="left" w:pos="0"/>
          <w:tab w:val="left" w:pos="6660"/>
        </w:tabs>
        <w:spacing w:line="276" w:lineRule="auto"/>
        <w:ind w:firstLine="709"/>
        <w:jc w:val="both"/>
        <w:rPr>
          <w:color w:val="000000"/>
        </w:rPr>
      </w:pPr>
      <w:r>
        <w:t>[</w:t>
      </w:r>
      <w:r w:rsidR="00E200C8">
        <w:t>9</w:t>
      </w:r>
      <w:r>
        <w:t xml:space="preserve">] </w:t>
      </w:r>
      <w:r w:rsidRPr="003851B7">
        <w:rPr>
          <w:rFonts w:ascii="TimesNewRomanPSMT" w:eastAsiaTheme="minorHAnsi" w:hAnsi="TimesNewRomanPSMT" w:cs="TimesNewRomanPSMT"/>
        </w:rPr>
        <w:t>Ievērojot to, ka apelācijas instances tiesas nolēmums jāatceļ pilnībā un lieta jānosūta</w:t>
      </w:r>
      <w:r>
        <w:rPr>
          <w:rFonts w:ascii="TimesNewRomanPSMT" w:eastAsiaTheme="minorHAnsi" w:hAnsi="TimesNewRomanPSMT" w:cs="TimesNewRomanPSMT"/>
        </w:rPr>
        <w:t xml:space="preserve"> </w:t>
      </w:r>
      <w:r w:rsidRPr="003851B7">
        <w:rPr>
          <w:rFonts w:ascii="TimesNewRomanPSMT" w:eastAsiaTheme="minorHAnsi" w:hAnsi="TimesNewRomanPSMT" w:cs="TimesNewRomanPSMT"/>
        </w:rPr>
        <w:t>jaunai izskatīšanai apelācijas instances tiesā, kasācijas instances tiesai nav jāizvērtē pārējie</w:t>
      </w:r>
      <w:r>
        <w:rPr>
          <w:rFonts w:ascii="TimesNewRomanPSMT" w:eastAsiaTheme="minorHAnsi" w:hAnsi="TimesNewRomanPSMT" w:cs="TimesNewRomanPSMT"/>
        </w:rPr>
        <w:t xml:space="preserve"> </w:t>
      </w:r>
      <w:r w:rsidRPr="003851B7">
        <w:rPr>
          <w:rFonts w:ascii="TimesNewRomanPSMT" w:eastAsiaTheme="minorHAnsi" w:hAnsi="TimesNewRomanPSMT" w:cs="TimesNewRomanPSMT"/>
        </w:rPr>
        <w:t xml:space="preserve">kasācijas sūdzības motīvi, </w:t>
      </w:r>
      <w:r>
        <w:rPr>
          <w:color w:val="000000"/>
        </w:rPr>
        <w:t>kuri saistīti ar noziedzīgu nodarījumu izdarīšanas faktisko apstākļu noskaidrošanu un pierādījumu vērtēšanu</w:t>
      </w:r>
      <w:r w:rsidR="00FB53F0">
        <w:rPr>
          <w:color w:val="000000"/>
        </w:rPr>
        <w:t>.</w:t>
      </w:r>
    </w:p>
    <w:p w14:paraId="3CEDDA90" w14:textId="77777777" w:rsidR="00AA669D" w:rsidRDefault="00AA669D" w:rsidP="00534665">
      <w:pPr>
        <w:tabs>
          <w:tab w:val="left" w:pos="0"/>
          <w:tab w:val="left" w:pos="6660"/>
        </w:tabs>
        <w:spacing w:line="276" w:lineRule="auto"/>
        <w:ind w:firstLine="709"/>
        <w:jc w:val="both"/>
        <w:rPr>
          <w:rFonts w:ascii="TimesNewRomanPSMT" w:eastAsiaTheme="minorHAnsi" w:hAnsi="TimesNewRomanPSMT" w:cs="TimesNewRomanPSMT"/>
        </w:rPr>
      </w:pPr>
    </w:p>
    <w:p w14:paraId="1F4320B4" w14:textId="2BD5CE18" w:rsidR="00534665" w:rsidRDefault="00534665" w:rsidP="00534665">
      <w:pPr>
        <w:tabs>
          <w:tab w:val="left" w:pos="0"/>
          <w:tab w:val="left" w:pos="6660"/>
        </w:tabs>
        <w:spacing w:line="276" w:lineRule="auto"/>
        <w:ind w:firstLine="709"/>
        <w:jc w:val="both"/>
      </w:pPr>
      <w:r>
        <w:t>[1</w:t>
      </w:r>
      <w:r w:rsidR="00E200C8">
        <w:t>0</w:t>
      </w:r>
      <w:r>
        <w:t xml:space="preserve">] No lietas materiāliem konstatējams, ka apsūdzētajam </w:t>
      </w:r>
      <w:r w:rsidR="004E52FF">
        <w:rPr>
          <w:color w:val="000000"/>
        </w:rPr>
        <w:t>[pers. A]</w:t>
      </w:r>
      <w:r>
        <w:rPr>
          <w:color w:val="000000"/>
        </w:rPr>
        <w:t xml:space="preserve"> </w:t>
      </w:r>
      <w:r>
        <w:t xml:space="preserve">drošības līdzeklis lietā nav piemērots. Senāts atzīst, ka drošības līdzekļa piemērošanai </w:t>
      </w:r>
      <w:r w:rsidR="004E52FF">
        <w:rPr>
          <w:color w:val="000000"/>
        </w:rPr>
        <w:t>[pers. A]</w:t>
      </w:r>
      <w:r>
        <w:rPr>
          <w:color w:val="000000"/>
        </w:rPr>
        <w:t xml:space="preserve"> </w:t>
      </w:r>
      <w:r>
        <w:t>šajā kriminālprocesa stadijā nav tiesiska pamata.</w:t>
      </w:r>
    </w:p>
    <w:p w14:paraId="56E6AD25" w14:textId="77777777" w:rsidR="00534665" w:rsidRPr="005958CD" w:rsidRDefault="00534665" w:rsidP="00534665">
      <w:pPr>
        <w:pStyle w:val="Subtitle"/>
        <w:rPr>
          <w:rStyle w:val="Emphasis"/>
          <w:rFonts w:asciiTheme="majorBidi" w:hAnsiTheme="majorBidi" w:cstheme="majorBidi"/>
          <w:b/>
          <w:i w:val="0"/>
          <w:iCs w:val="0"/>
          <w:lang w:eastAsia="lv-LV"/>
        </w:rPr>
      </w:pPr>
    </w:p>
    <w:p w14:paraId="6A8D58F4" w14:textId="77777777" w:rsidR="00534665" w:rsidRPr="00AA669D" w:rsidRDefault="00534665" w:rsidP="00534665">
      <w:pPr>
        <w:pStyle w:val="Subtitle"/>
        <w:rPr>
          <w:rStyle w:val="Emphasis"/>
          <w:rFonts w:asciiTheme="majorBidi" w:hAnsiTheme="majorBidi" w:cstheme="majorBidi"/>
          <w:b/>
          <w:i w:val="0"/>
          <w:iCs w:val="0"/>
          <w:lang w:eastAsia="lv-LV"/>
        </w:rPr>
      </w:pPr>
      <w:r w:rsidRPr="00AA669D">
        <w:rPr>
          <w:rStyle w:val="Emphasis"/>
          <w:rFonts w:asciiTheme="majorBidi" w:hAnsiTheme="majorBidi" w:cstheme="majorBidi"/>
          <w:b/>
          <w:i w:val="0"/>
          <w:iCs w:val="0"/>
          <w:lang w:eastAsia="lv-LV"/>
        </w:rPr>
        <w:t>Rezolutīvā daļa</w:t>
      </w:r>
    </w:p>
    <w:p w14:paraId="4B9A73CA" w14:textId="77777777" w:rsidR="00534665" w:rsidRPr="005958CD" w:rsidRDefault="00534665" w:rsidP="00534665">
      <w:pPr>
        <w:pStyle w:val="Subtitle"/>
        <w:rPr>
          <w:rStyle w:val="Emphasis"/>
          <w:rFonts w:asciiTheme="majorBidi" w:hAnsiTheme="majorBidi" w:cstheme="majorBidi"/>
          <w:i w:val="0"/>
          <w:iCs w:val="0"/>
          <w:lang w:eastAsia="lv-LV"/>
        </w:rPr>
      </w:pPr>
    </w:p>
    <w:p w14:paraId="7F58DC7A" w14:textId="396F764E" w:rsidR="00534665" w:rsidRPr="00AA669D" w:rsidRDefault="00534665" w:rsidP="00534665">
      <w:pPr>
        <w:pStyle w:val="Subtitle"/>
        <w:ind w:firstLine="567"/>
        <w:jc w:val="both"/>
        <w:rPr>
          <w:rStyle w:val="Emphasis"/>
          <w:rFonts w:asciiTheme="majorBidi" w:hAnsiTheme="majorBidi" w:cstheme="majorBidi"/>
          <w:i w:val="0"/>
          <w:iCs w:val="0"/>
          <w:lang w:val="lv-LV"/>
        </w:rPr>
      </w:pPr>
      <w:r w:rsidRPr="00AA669D">
        <w:rPr>
          <w:rStyle w:val="Emphasis"/>
          <w:rFonts w:asciiTheme="majorBidi" w:hAnsiTheme="majorBidi" w:cstheme="majorBidi"/>
          <w:i w:val="0"/>
          <w:iCs w:val="0"/>
        </w:rPr>
        <w:t xml:space="preserve">Pamatojoties uz Kriminālprocesa likuma 585., 587.pantu, </w:t>
      </w:r>
      <w:r w:rsidR="00AA669D">
        <w:rPr>
          <w:rStyle w:val="Emphasis"/>
          <w:rFonts w:asciiTheme="majorBidi" w:hAnsiTheme="majorBidi" w:cstheme="majorBidi"/>
          <w:i w:val="0"/>
          <w:iCs w:val="0"/>
          <w:lang w:val="lv-LV"/>
        </w:rPr>
        <w:t>tiesa</w:t>
      </w:r>
    </w:p>
    <w:p w14:paraId="0F0F3B32" w14:textId="77777777" w:rsidR="00534665" w:rsidRPr="005958CD" w:rsidRDefault="00534665" w:rsidP="00534665">
      <w:pPr>
        <w:pStyle w:val="Subtitle"/>
        <w:rPr>
          <w:rStyle w:val="Emphasis"/>
          <w:rFonts w:asciiTheme="majorBidi" w:hAnsiTheme="majorBidi" w:cstheme="majorBidi"/>
          <w:b/>
          <w:i w:val="0"/>
        </w:rPr>
      </w:pPr>
    </w:p>
    <w:p w14:paraId="565E9ED7" w14:textId="77777777" w:rsidR="00534665" w:rsidRPr="00AA669D" w:rsidRDefault="00534665" w:rsidP="00534665">
      <w:pPr>
        <w:pStyle w:val="Subtitle"/>
        <w:rPr>
          <w:rStyle w:val="Emphasis"/>
          <w:rFonts w:asciiTheme="majorBidi" w:hAnsiTheme="majorBidi" w:cstheme="majorBidi"/>
          <w:b/>
          <w:i w:val="0"/>
          <w:iCs w:val="0"/>
        </w:rPr>
      </w:pPr>
      <w:r w:rsidRPr="00AA669D">
        <w:rPr>
          <w:rStyle w:val="Emphasis"/>
          <w:rFonts w:asciiTheme="majorBidi" w:hAnsiTheme="majorBidi" w:cstheme="majorBidi"/>
          <w:b/>
          <w:i w:val="0"/>
          <w:iCs w:val="0"/>
        </w:rPr>
        <w:t>nolēma:</w:t>
      </w:r>
    </w:p>
    <w:p w14:paraId="0700885C" w14:textId="77777777" w:rsidR="00534665" w:rsidRPr="005958CD" w:rsidRDefault="00534665" w:rsidP="00534665">
      <w:pPr>
        <w:spacing w:line="276" w:lineRule="auto"/>
        <w:ind w:firstLine="567"/>
        <w:jc w:val="both"/>
        <w:rPr>
          <w:rFonts w:asciiTheme="majorBidi" w:hAnsiTheme="majorBidi" w:cstheme="majorBidi"/>
        </w:rPr>
      </w:pPr>
    </w:p>
    <w:p w14:paraId="3A7BD444" w14:textId="77777777" w:rsidR="00534665" w:rsidRPr="005958CD" w:rsidRDefault="00534665" w:rsidP="00534665">
      <w:pPr>
        <w:spacing w:line="276" w:lineRule="auto"/>
        <w:ind w:firstLine="567"/>
        <w:jc w:val="both"/>
        <w:rPr>
          <w:rFonts w:asciiTheme="majorBidi" w:hAnsiTheme="majorBidi" w:cstheme="majorBidi"/>
        </w:rPr>
      </w:pPr>
      <w:r w:rsidRPr="005958CD">
        <w:rPr>
          <w:rFonts w:asciiTheme="majorBidi" w:hAnsiTheme="majorBidi" w:cstheme="majorBidi"/>
        </w:rPr>
        <w:t xml:space="preserve">atcelt Rīgas apgabaltiesas </w:t>
      </w:r>
      <w:proofErr w:type="gramStart"/>
      <w:r w:rsidRPr="00115971">
        <w:t>2019.gada</w:t>
      </w:r>
      <w:proofErr w:type="gramEnd"/>
      <w:r w:rsidRPr="00115971">
        <w:t xml:space="preserve"> 4.oktobra spriedumu</w:t>
      </w:r>
      <w:r>
        <w:rPr>
          <w:rFonts w:asciiTheme="majorBidi" w:hAnsiTheme="majorBidi" w:cstheme="majorBidi"/>
        </w:rPr>
        <w:t xml:space="preserve"> </w:t>
      </w:r>
      <w:r w:rsidRPr="005958CD">
        <w:rPr>
          <w:rFonts w:asciiTheme="majorBidi" w:hAnsiTheme="majorBidi" w:cstheme="majorBidi"/>
        </w:rPr>
        <w:t xml:space="preserve">pilnībā un lietu nosūtīt jaunai izskatīšanai Rīgas apgabaltiesā. </w:t>
      </w:r>
    </w:p>
    <w:p w14:paraId="309CA11D" w14:textId="55EE33C7" w:rsidR="00F26C4B" w:rsidRPr="004E52FF" w:rsidRDefault="00534665" w:rsidP="004E52FF">
      <w:pPr>
        <w:spacing w:line="276" w:lineRule="auto"/>
        <w:ind w:firstLine="567"/>
        <w:jc w:val="both"/>
        <w:rPr>
          <w:rFonts w:asciiTheme="majorBidi" w:hAnsiTheme="majorBidi" w:cstheme="majorBidi"/>
        </w:rPr>
      </w:pPr>
      <w:r w:rsidRPr="00AA669D">
        <w:rPr>
          <w:rStyle w:val="Emphasis"/>
          <w:rFonts w:asciiTheme="majorBidi" w:hAnsiTheme="majorBidi" w:cstheme="majorBidi"/>
          <w:i w:val="0"/>
          <w:iCs w:val="0"/>
        </w:rPr>
        <w:t>Lēmums nav pārsūdzams.</w:t>
      </w:r>
    </w:p>
    <w:sectPr w:rsidR="00F26C4B" w:rsidRPr="004E52FF" w:rsidSect="00515164">
      <w:footerReference w:type="defaul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3E07" w14:textId="77777777" w:rsidR="00EE56A2" w:rsidRDefault="00EE56A2">
      <w:r>
        <w:separator/>
      </w:r>
    </w:p>
  </w:endnote>
  <w:endnote w:type="continuationSeparator" w:id="0">
    <w:p w14:paraId="28AACECF" w14:textId="77777777" w:rsidR="00EE56A2" w:rsidRDefault="00EE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14:paraId="5BEF1FF5" w14:textId="77777777" w:rsidR="002E67CE" w:rsidRDefault="00F049D1">
            <w:pPr>
              <w:pStyle w:val="Footer"/>
              <w:jc w:val="center"/>
            </w:pPr>
            <w:r w:rsidRPr="00EA176A">
              <w:rPr>
                <w:bCs/>
              </w:rPr>
              <w:fldChar w:fldCharType="begin"/>
            </w:r>
            <w:r w:rsidRPr="00EA176A">
              <w:rPr>
                <w:bCs/>
              </w:rPr>
              <w:instrText xml:space="preserve"> PAGE </w:instrText>
            </w:r>
            <w:r w:rsidRPr="00EA176A">
              <w:rPr>
                <w:bCs/>
              </w:rPr>
              <w:fldChar w:fldCharType="separate"/>
            </w:r>
            <w:r>
              <w:rPr>
                <w:bCs/>
                <w:noProof/>
              </w:rPr>
              <w:t>8</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Pr>
                <w:bCs/>
                <w:noProof/>
              </w:rPr>
              <w:t>10</w:t>
            </w:r>
            <w:r w:rsidRPr="00EA176A">
              <w:rPr>
                <w:bCs/>
              </w:rPr>
              <w:fldChar w:fldCharType="end"/>
            </w:r>
          </w:p>
        </w:sdtContent>
      </w:sdt>
    </w:sdtContent>
  </w:sdt>
  <w:p w14:paraId="7FA9D02B" w14:textId="77777777" w:rsidR="002E67CE" w:rsidRDefault="007B4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1AAE" w14:textId="77777777" w:rsidR="00EE56A2" w:rsidRDefault="00EE56A2">
      <w:r>
        <w:separator/>
      </w:r>
    </w:p>
  </w:footnote>
  <w:footnote w:type="continuationSeparator" w:id="0">
    <w:p w14:paraId="60E7B220" w14:textId="77777777" w:rsidR="00EE56A2" w:rsidRDefault="00EE5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504E5"/>
    <w:multiLevelType w:val="hybridMultilevel"/>
    <w:tmpl w:val="71B813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D1"/>
    <w:rsid w:val="0002250A"/>
    <w:rsid w:val="00023F80"/>
    <w:rsid w:val="000447E7"/>
    <w:rsid w:val="000602BA"/>
    <w:rsid w:val="00103357"/>
    <w:rsid w:val="00107D0E"/>
    <w:rsid w:val="0011193D"/>
    <w:rsid w:val="00137CD8"/>
    <w:rsid w:val="00140D88"/>
    <w:rsid w:val="00142DBD"/>
    <w:rsid w:val="00157F7D"/>
    <w:rsid w:val="00171910"/>
    <w:rsid w:val="001D37D9"/>
    <w:rsid w:val="001D6CFB"/>
    <w:rsid w:val="00290919"/>
    <w:rsid w:val="002A01BC"/>
    <w:rsid w:val="002A751D"/>
    <w:rsid w:val="00361E7E"/>
    <w:rsid w:val="00373AF0"/>
    <w:rsid w:val="00387B50"/>
    <w:rsid w:val="003C0793"/>
    <w:rsid w:val="003D4BEC"/>
    <w:rsid w:val="003F11BE"/>
    <w:rsid w:val="003F68A8"/>
    <w:rsid w:val="0040114C"/>
    <w:rsid w:val="00466857"/>
    <w:rsid w:val="00476E4D"/>
    <w:rsid w:val="004A0347"/>
    <w:rsid w:val="004B0388"/>
    <w:rsid w:val="004B6E91"/>
    <w:rsid w:val="004D1CCB"/>
    <w:rsid w:val="004D41BE"/>
    <w:rsid w:val="004E52FF"/>
    <w:rsid w:val="00510765"/>
    <w:rsid w:val="00534665"/>
    <w:rsid w:val="00570175"/>
    <w:rsid w:val="005768D7"/>
    <w:rsid w:val="0058368A"/>
    <w:rsid w:val="005A65C3"/>
    <w:rsid w:val="005E422E"/>
    <w:rsid w:val="00620F44"/>
    <w:rsid w:val="00642ABC"/>
    <w:rsid w:val="0064674D"/>
    <w:rsid w:val="00647747"/>
    <w:rsid w:val="0065732A"/>
    <w:rsid w:val="00682486"/>
    <w:rsid w:val="0068676A"/>
    <w:rsid w:val="006A3F4E"/>
    <w:rsid w:val="006C5166"/>
    <w:rsid w:val="006F4876"/>
    <w:rsid w:val="007464B2"/>
    <w:rsid w:val="00752B54"/>
    <w:rsid w:val="00771AE5"/>
    <w:rsid w:val="007A486A"/>
    <w:rsid w:val="007B4229"/>
    <w:rsid w:val="007B7F70"/>
    <w:rsid w:val="007D57C1"/>
    <w:rsid w:val="00814025"/>
    <w:rsid w:val="00835BFF"/>
    <w:rsid w:val="00906EF8"/>
    <w:rsid w:val="0091320E"/>
    <w:rsid w:val="009166A7"/>
    <w:rsid w:val="009A3DF3"/>
    <w:rsid w:val="009E272A"/>
    <w:rsid w:val="00A076DE"/>
    <w:rsid w:val="00A34429"/>
    <w:rsid w:val="00A6580B"/>
    <w:rsid w:val="00A860DD"/>
    <w:rsid w:val="00A90CF4"/>
    <w:rsid w:val="00AA669D"/>
    <w:rsid w:val="00AC3462"/>
    <w:rsid w:val="00AD071F"/>
    <w:rsid w:val="00B030DC"/>
    <w:rsid w:val="00B2141F"/>
    <w:rsid w:val="00B231E0"/>
    <w:rsid w:val="00B341F3"/>
    <w:rsid w:val="00B524A1"/>
    <w:rsid w:val="00B610AA"/>
    <w:rsid w:val="00B67365"/>
    <w:rsid w:val="00B677F8"/>
    <w:rsid w:val="00BB044F"/>
    <w:rsid w:val="00BD25E6"/>
    <w:rsid w:val="00C625EF"/>
    <w:rsid w:val="00C86113"/>
    <w:rsid w:val="00CA1848"/>
    <w:rsid w:val="00CD73D5"/>
    <w:rsid w:val="00D40BD1"/>
    <w:rsid w:val="00DB23F2"/>
    <w:rsid w:val="00DC5E91"/>
    <w:rsid w:val="00DD5F9C"/>
    <w:rsid w:val="00E04D7E"/>
    <w:rsid w:val="00E200C8"/>
    <w:rsid w:val="00E70062"/>
    <w:rsid w:val="00EB0834"/>
    <w:rsid w:val="00ED6264"/>
    <w:rsid w:val="00EE56A2"/>
    <w:rsid w:val="00F049D1"/>
    <w:rsid w:val="00F26C4B"/>
    <w:rsid w:val="00F73635"/>
    <w:rsid w:val="00FA627A"/>
    <w:rsid w:val="00FB53F0"/>
    <w:rsid w:val="00FC30D6"/>
    <w:rsid w:val="00FF1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DE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after="0" w:line="240" w:lineRule="auto"/>
    </w:pPr>
    <w:rPr>
      <w:rFonts w:eastAsia="Calibri" w:cs="Times New Roman"/>
      <w:szCs w:val="24"/>
      <w:lang w:val="lv-LV"/>
    </w:rPr>
  </w:style>
  <w:style w:type="paragraph" w:styleId="Heading2">
    <w:name w:val="heading 2"/>
    <w:basedOn w:val="Normal"/>
    <w:next w:val="Normal"/>
    <w:link w:val="Heading2Char"/>
    <w:semiHidden/>
    <w:unhideWhenUsed/>
    <w:qFormat/>
    <w:rsid w:val="00F049D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049D1"/>
    <w:rPr>
      <w:rFonts w:ascii="Arial" w:eastAsia="Calibri" w:hAnsi="Arial" w:cs="Arial"/>
      <w:b/>
      <w:bCs/>
      <w:i/>
      <w:iCs/>
      <w:sz w:val="28"/>
      <w:szCs w:val="28"/>
      <w:lang w:val="lv-LV"/>
    </w:rPr>
  </w:style>
  <w:style w:type="paragraph" w:styleId="BodyText2">
    <w:name w:val="Body Text 2"/>
    <w:basedOn w:val="Normal"/>
    <w:link w:val="BodyText2Char"/>
    <w:unhideWhenUsed/>
    <w:rsid w:val="00F049D1"/>
    <w:pPr>
      <w:jc w:val="right"/>
    </w:pPr>
    <w:rPr>
      <w:rFonts w:ascii="Garamond" w:hAnsi="Garamond"/>
      <w:sz w:val="28"/>
      <w:szCs w:val="28"/>
    </w:rPr>
  </w:style>
  <w:style w:type="character" w:customStyle="1" w:styleId="BodyText2Char">
    <w:name w:val="Body Text 2 Char"/>
    <w:basedOn w:val="DefaultParagraphFont"/>
    <w:link w:val="BodyText2"/>
    <w:rsid w:val="00F049D1"/>
    <w:rPr>
      <w:rFonts w:ascii="Garamond" w:eastAsia="Calibri" w:hAnsi="Garamond" w:cs="Times New Roman"/>
      <w:sz w:val="28"/>
      <w:szCs w:val="28"/>
      <w:lang w:val="lv-LV"/>
    </w:rPr>
  </w:style>
  <w:style w:type="paragraph" w:styleId="Footer">
    <w:name w:val="footer"/>
    <w:basedOn w:val="Normal"/>
    <w:link w:val="FooterChar"/>
    <w:uiPriority w:val="99"/>
    <w:unhideWhenUsed/>
    <w:rsid w:val="00F049D1"/>
    <w:pPr>
      <w:tabs>
        <w:tab w:val="center" w:pos="4320"/>
        <w:tab w:val="right" w:pos="8640"/>
      </w:tabs>
    </w:pPr>
  </w:style>
  <w:style w:type="character" w:customStyle="1" w:styleId="FooterChar">
    <w:name w:val="Footer Char"/>
    <w:basedOn w:val="DefaultParagraphFont"/>
    <w:link w:val="Footer"/>
    <w:uiPriority w:val="99"/>
    <w:rsid w:val="00F049D1"/>
    <w:rPr>
      <w:rFonts w:eastAsia="Calibri" w:cs="Times New Roman"/>
      <w:szCs w:val="24"/>
      <w:lang w:val="lv-LV"/>
    </w:rPr>
  </w:style>
  <w:style w:type="character" w:styleId="CommentReference">
    <w:name w:val="annotation reference"/>
    <w:basedOn w:val="DefaultParagraphFont"/>
    <w:uiPriority w:val="99"/>
    <w:semiHidden/>
    <w:unhideWhenUsed/>
    <w:rsid w:val="00F049D1"/>
    <w:rPr>
      <w:sz w:val="16"/>
      <w:szCs w:val="16"/>
    </w:rPr>
  </w:style>
  <w:style w:type="paragraph" w:styleId="CommentText">
    <w:name w:val="annotation text"/>
    <w:basedOn w:val="Normal"/>
    <w:link w:val="CommentTextChar"/>
    <w:uiPriority w:val="99"/>
    <w:semiHidden/>
    <w:unhideWhenUsed/>
    <w:rsid w:val="00F049D1"/>
    <w:rPr>
      <w:sz w:val="20"/>
      <w:szCs w:val="20"/>
    </w:rPr>
  </w:style>
  <w:style w:type="character" w:customStyle="1" w:styleId="CommentTextChar">
    <w:name w:val="Comment Text Char"/>
    <w:basedOn w:val="DefaultParagraphFont"/>
    <w:link w:val="CommentText"/>
    <w:uiPriority w:val="99"/>
    <w:semiHidden/>
    <w:rsid w:val="00F049D1"/>
    <w:rPr>
      <w:rFonts w:eastAsia="Calibri" w:cs="Times New Roman"/>
      <w:sz w:val="20"/>
      <w:szCs w:val="20"/>
      <w:lang w:val="lv-LV"/>
    </w:rPr>
  </w:style>
  <w:style w:type="character" w:styleId="FootnoteReference">
    <w:name w:val="footnote reference"/>
    <w:basedOn w:val="DefaultParagraphFont"/>
    <w:uiPriority w:val="99"/>
    <w:semiHidden/>
    <w:unhideWhenUsed/>
    <w:rsid w:val="00F049D1"/>
    <w:rPr>
      <w:vertAlign w:val="superscript"/>
    </w:rPr>
  </w:style>
  <w:style w:type="character" w:styleId="Hyperlink">
    <w:name w:val="Hyperlink"/>
    <w:basedOn w:val="DefaultParagraphFont"/>
    <w:uiPriority w:val="99"/>
    <w:unhideWhenUsed/>
    <w:rsid w:val="00534665"/>
    <w:rPr>
      <w:color w:val="0563C1" w:themeColor="hyperlink"/>
      <w:u w:val="single"/>
    </w:rPr>
  </w:style>
  <w:style w:type="paragraph" w:styleId="Subtitle">
    <w:name w:val="Subtitle"/>
    <w:basedOn w:val="Normal"/>
    <w:next w:val="Normal"/>
    <w:link w:val="SubtitleChar"/>
    <w:qFormat/>
    <w:rsid w:val="00534665"/>
    <w:pPr>
      <w:spacing w:after="60"/>
      <w:jc w:val="center"/>
      <w:outlineLvl w:val="1"/>
    </w:pPr>
    <w:rPr>
      <w:rFonts w:ascii="Cambria" w:eastAsia="Times New Roman" w:hAnsi="Cambria"/>
      <w:lang w:val="x-none"/>
    </w:rPr>
  </w:style>
  <w:style w:type="character" w:customStyle="1" w:styleId="SubtitleChar">
    <w:name w:val="Subtitle Char"/>
    <w:basedOn w:val="DefaultParagraphFont"/>
    <w:link w:val="Subtitle"/>
    <w:rsid w:val="00534665"/>
    <w:rPr>
      <w:rFonts w:ascii="Cambria" w:eastAsia="Times New Roman" w:hAnsi="Cambria" w:cs="Times New Roman"/>
      <w:szCs w:val="24"/>
      <w:lang w:val="x-none"/>
    </w:rPr>
  </w:style>
  <w:style w:type="character" w:styleId="Emphasis">
    <w:name w:val="Emphasis"/>
    <w:basedOn w:val="DefaultParagraphFont"/>
    <w:qFormat/>
    <w:rsid w:val="00534665"/>
    <w:rPr>
      <w:i/>
      <w:iCs/>
    </w:rPr>
  </w:style>
  <w:style w:type="paragraph" w:styleId="CommentSubject">
    <w:name w:val="annotation subject"/>
    <w:basedOn w:val="CommentText"/>
    <w:next w:val="CommentText"/>
    <w:link w:val="CommentSubjectChar"/>
    <w:uiPriority w:val="99"/>
    <w:semiHidden/>
    <w:unhideWhenUsed/>
    <w:rsid w:val="009166A7"/>
    <w:rPr>
      <w:b/>
      <w:bCs/>
    </w:rPr>
  </w:style>
  <w:style w:type="character" w:customStyle="1" w:styleId="CommentSubjectChar">
    <w:name w:val="Comment Subject Char"/>
    <w:basedOn w:val="CommentTextChar"/>
    <w:link w:val="CommentSubject"/>
    <w:uiPriority w:val="99"/>
    <w:semiHidden/>
    <w:rsid w:val="009166A7"/>
    <w:rPr>
      <w:rFonts w:eastAsia="Calibri" w:cs="Times New Roman"/>
      <w:b/>
      <w:bCs/>
      <w:sz w:val="20"/>
      <w:szCs w:val="20"/>
      <w:lang w:val="lv-LV"/>
    </w:rPr>
  </w:style>
  <w:style w:type="character" w:styleId="UnresolvedMention">
    <w:name w:val="Unresolved Mention"/>
    <w:basedOn w:val="DefaultParagraphFont"/>
    <w:uiPriority w:val="99"/>
    <w:semiHidden/>
    <w:unhideWhenUsed/>
    <w:rsid w:val="00B231E0"/>
    <w:rPr>
      <w:color w:val="605E5C"/>
      <w:shd w:val="clear" w:color="auto" w:fill="E1DFDD"/>
    </w:rPr>
  </w:style>
  <w:style w:type="paragraph" w:styleId="Header">
    <w:name w:val="header"/>
    <w:basedOn w:val="Normal"/>
    <w:link w:val="HeaderChar"/>
    <w:uiPriority w:val="99"/>
    <w:unhideWhenUsed/>
    <w:rsid w:val="003F68A8"/>
    <w:pPr>
      <w:tabs>
        <w:tab w:val="center" w:pos="4153"/>
        <w:tab w:val="right" w:pos="8306"/>
      </w:tabs>
    </w:pPr>
  </w:style>
  <w:style w:type="character" w:customStyle="1" w:styleId="HeaderChar">
    <w:name w:val="Header Char"/>
    <w:basedOn w:val="DefaultParagraphFont"/>
    <w:link w:val="Header"/>
    <w:uiPriority w:val="99"/>
    <w:rsid w:val="003F68A8"/>
    <w:rPr>
      <w:rFonts w:eastAsia="Calibri" w:cs="Times New Roman"/>
      <w:szCs w:val="24"/>
      <w:lang w:val="lv-LV"/>
    </w:rPr>
  </w:style>
  <w:style w:type="character" w:styleId="FollowedHyperlink">
    <w:name w:val="FollowedHyperlink"/>
    <w:basedOn w:val="DefaultParagraphFont"/>
    <w:uiPriority w:val="99"/>
    <w:semiHidden/>
    <w:unhideWhenUsed/>
    <w:rsid w:val="00060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58648.pdf" TargetMode="External"/><Relationship Id="rId13" Type="http://schemas.openxmlformats.org/officeDocument/2006/relationships/hyperlink" Target="https://curia.europa.eu/juris/document/document.jsf?text=&amp;docid=110361&amp;pageIndex=0&amp;doclang=LV&amp;mode=lst&amp;dir=&amp;occ=first&amp;part=1&amp;cid=38548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uris/document/document.jsf?text=&amp;docid=184446&amp;pageIndex=0&amp;doclang=LV&amp;mode=lst&amp;dir=&amp;occ=first&amp;part=1&amp;cid=38171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146686&amp;pageIndex=0&amp;doclang=lv&amp;mode=lst&amp;dir=&amp;occ=first&amp;part=1&amp;cid=38238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LV/TXT/PDF/?uri=OJ:JOC_2019_380_R_0001"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227295&amp;pageIndex=0&amp;doclang=LV&amp;mode=lst&amp;dir=&amp;occ=first&amp;part=1&amp;cid=414804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5519-F35A-4BA7-99C5-4A455AB7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16076</Words>
  <Characters>9164</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2021-11-12T08:40:00Z</dcterms:created>
  <dcterms:modified xsi:type="dcterms:W3CDTF">2021-11-12T08:40:00Z</dcterms:modified>
</cp:coreProperties>
</file>