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00B6B" w14:textId="77777777" w:rsidR="002D6A5C" w:rsidRDefault="002D6A5C" w:rsidP="002D6A5C">
      <w:pPr>
        <w:spacing w:line="276" w:lineRule="auto"/>
        <w:rPr>
          <w:b/>
          <w:bCs/>
          <w:lang w:eastAsia="en-US"/>
        </w:rPr>
      </w:pPr>
      <w:bookmarkStart w:id="0" w:name="_GoBack"/>
      <w:bookmarkEnd w:id="0"/>
      <w:r>
        <w:rPr>
          <w:b/>
          <w:bCs/>
        </w:rPr>
        <w:t>Informācijas par tiesu darbu pieejamība</w:t>
      </w:r>
    </w:p>
    <w:p w14:paraId="79A2EB4C" w14:textId="77777777" w:rsidR="002D6A5C" w:rsidRDefault="002D6A5C" w:rsidP="002D6A5C">
      <w:pPr>
        <w:spacing w:line="276" w:lineRule="auto"/>
        <w:rPr>
          <w:b/>
          <w:bCs/>
        </w:rPr>
      </w:pPr>
    </w:p>
    <w:p w14:paraId="2F5A14EE" w14:textId="0957DDCE" w:rsidR="002D6A5C" w:rsidRDefault="002D6A5C" w:rsidP="002D6A5C">
      <w:pPr>
        <w:numPr>
          <w:ilvl w:val="0"/>
          <w:numId w:val="1"/>
        </w:numPr>
        <w:spacing w:line="276" w:lineRule="auto"/>
        <w:jc w:val="both"/>
      </w:pPr>
      <w:r>
        <w:t>Tiesības uz valsts institūcijas rīcībā esošas informācijas pieejamību vispārīgi aplūkojamas Latvijas Republikas Satversmes 100.panta kontekstā. Šajā pantā garantēto tiesību uz informācijas pieejamību mērķis ir nodrošināt sabiedrības tiesības sekot līdzi tam, kā valsts pilda tai uzticētās publiskās funkcijas.</w:t>
      </w:r>
    </w:p>
    <w:p w14:paraId="0AE4DE9D" w14:textId="77777777" w:rsidR="002D6A5C" w:rsidRPr="002D6A5C" w:rsidRDefault="002D6A5C" w:rsidP="002D6A5C">
      <w:pPr>
        <w:spacing w:line="276" w:lineRule="auto"/>
        <w:ind w:left="720"/>
        <w:jc w:val="both"/>
      </w:pPr>
    </w:p>
    <w:p w14:paraId="2DE1ADED" w14:textId="77777777" w:rsidR="002D6A5C" w:rsidRDefault="002D6A5C" w:rsidP="002D6A5C">
      <w:pPr>
        <w:numPr>
          <w:ilvl w:val="0"/>
          <w:numId w:val="1"/>
        </w:numPr>
        <w:shd w:val="clear" w:color="auto" w:fill="FFFFFF"/>
        <w:spacing w:line="276" w:lineRule="auto"/>
        <w:jc w:val="both"/>
        <w:rPr>
          <w:rStyle w:val="sb8d990e2"/>
          <w:lang w:val="en-US"/>
        </w:rPr>
      </w:pPr>
      <w:r>
        <w:rPr>
          <w:color w:val="000000"/>
          <w:shd w:val="clear" w:color="auto" w:fill="FFFFFF"/>
        </w:rPr>
        <w:t xml:space="preserve">Tiesas spriešana </w:t>
      </w:r>
      <w:r>
        <w:rPr>
          <w:color w:val="000000"/>
        </w:rPr>
        <w:t>– tiesību uz taisnīgu tiesu nodrošināšana</w:t>
      </w:r>
      <w:r>
        <w:rPr>
          <w:color w:val="000000"/>
          <w:shd w:val="clear" w:color="auto" w:fill="FFFFFF"/>
        </w:rPr>
        <w:t xml:space="preserve"> – ir </w:t>
      </w:r>
      <w:r>
        <w:rPr>
          <w:color w:val="000000"/>
        </w:rPr>
        <w:t xml:space="preserve">demokrātiskas un tiesiskas valsts funkcionēšanas neatņemama sastāvdaļa, un tāpēc arī tiesu darbam ir jābūt atklātam un caurskatāmam, lai sabiedrība varētu sekot līdzi tam, kā tiesas pilda šo būtisko funkciju. </w:t>
      </w:r>
      <w:r>
        <w:rPr>
          <w:color w:val="000000"/>
          <w:shd w:val="clear" w:color="auto" w:fill="FFFFFF"/>
        </w:rPr>
        <w:t>G</w:t>
      </w:r>
      <w:r>
        <w:rPr>
          <w:rStyle w:val="sb8d990e2"/>
          <w:color w:val="000000"/>
          <w:shd w:val="clear" w:color="auto" w:fill="FFFFFF"/>
        </w:rPr>
        <w:t xml:space="preserve">arantijas, kas nodrošina, lai sabiedrībai būtu pienācīga iespēja sekot līdzi tiesu darbam, primāri paredzētas </w:t>
      </w:r>
      <w:r>
        <w:rPr>
          <w:color w:val="000000"/>
        </w:rPr>
        <w:t>Latvijas Republikas Satversmes 92.pantā (tiesības uz taisnīgu tiesu)</w:t>
      </w:r>
      <w:r>
        <w:rPr>
          <w:rStyle w:val="sb8d990e2"/>
          <w:color w:val="000000"/>
          <w:shd w:val="clear" w:color="auto" w:fill="FFFFFF"/>
        </w:rPr>
        <w:t xml:space="preserve">. </w:t>
      </w:r>
    </w:p>
    <w:p w14:paraId="45DA312B" w14:textId="77777777" w:rsidR="002D6A5C" w:rsidRDefault="002D6A5C" w:rsidP="002D6A5C">
      <w:pPr>
        <w:pStyle w:val="ListParagraph"/>
        <w:spacing w:line="276" w:lineRule="auto"/>
        <w:jc w:val="both"/>
      </w:pPr>
      <w:r>
        <w:rPr>
          <w:rStyle w:val="sb8d990e2"/>
          <w:color w:val="000000"/>
          <w:shd w:val="clear" w:color="auto" w:fill="FFFFFF"/>
        </w:rPr>
        <w:t xml:space="preserve">Tāpēc, aplūkojot jautājumu par informācijas pieejamību saistībā ar tiesas spriešanu, Satversmes 100.pants ir piemērojams kopsakarā ar Satversmes 92.pantu. Proti, </w:t>
      </w:r>
      <w:r>
        <w:t xml:space="preserve">Satversmes 100.panta tvērums attiecībā uz informāciju par tiesas spriešanu nosakāms, aplūkojot to, kādas informācijas pieejamību sabiedrībai prasa tiesības uz taisnīgu tiesu. Tādējādi tiek nodrošināts, ka sabiedrībai ir pienācīgas iespējas sekot līdzi tam, kā tiesa īsteno tiesas spriešanas funkciju, vienlaikus pasargājot tiesu no nepamatotas, tiesas darbu kavējošas iejaukšanās tiesas spriešanas procesā. </w:t>
      </w:r>
    </w:p>
    <w:p w14:paraId="5E9D10D1" w14:textId="77777777" w:rsidR="002D6A5C" w:rsidRDefault="002D6A5C" w:rsidP="002D6A5C">
      <w:pPr>
        <w:pStyle w:val="ListParagraph"/>
        <w:spacing w:line="276" w:lineRule="auto"/>
        <w:jc w:val="both"/>
      </w:pPr>
    </w:p>
    <w:p w14:paraId="4A9B05BB" w14:textId="77777777" w:rsidR="002D6A5C" w:rsidRDefault="002D6A5C" w:rsidP="002D6A5C">
      <w:pPr>
        <w:numPr>
          <w:ilvl w:val="0"/>
          <w:numId w:val="1"/>
        </w:numPr>
        <w:spacing w:line="276" w:lineRule="auto"/>
        <w:jc w:val="both"/>
      </w:pPr>
      <w:r>
        <w:t>Tiesības uz taisnīgu tiesu prasa, lai sabiedrībai būtu nodrošināta iespēja sekot līdzi atklātam lietas izskatīšanas procesam un lai sabiedrībai būtu pieejami atklātā procesā pieņemti tiesas nolēmumi. Tieši tiesas nolēmuma pieejamība (nolēmuma pamatojums) ir instruments, kas ļauj sabiedrībai izdarīt secinājumus par to, vai lieta izskatīta pienācīgi, jo tieši nolēmums, kura satura atbilstību savam redzējumam par lietas izspriešanu tiesnesis apliecina ar savu parakstu, ļauj izdarīt pamatotus secinājumus par to, kā tiesa ir spriedusi tiesu. Savukārt tehniska rakstura fakti par to, kad un kā tieši tiesnesis faktiski organizē konkrēta nolēmuma sagatavošanas procesu, nav tāda informācija, kas sniedz objektīvu un būtisku informāciju par tiesas spriešanu. Šā iemesla dēļ tiesību uz taisnīgu tiesu garantijas neparedz nepieciešamību nodrošināt sabiedrībai iespēju piekļūt šāda veida informācijai, un tāpēc arī Satversmes 100.panta garantijas nav attiecināmas uz šādu informāciju.</w:t>
      </w:r>
    </w:p>
    <w:p w14:paraId="3837AEAD" w14:textId="77777777" w:rsidR="002D6A5C" w:rsidRDefault="002D6A5C" w:rsidP="002D6A5C">
      <w:pPr>
        <w:spacing w:line="276" w:lineRule="auto"/>
        <w:ind w:firstLine="567"/>
        <w:jc w:val="both"/>
        <w:rPr>
          <w:rStyle w:val="sb8d990e2"/>
          <w:rFonts w:eastAsiaTheme="minorHAnsi"/>
          <w:shd w:val="clear" w:color="auto" w:fill="FFFFFF"/>
          <w:lang w:val="en-US"/>
        </w:rPr>
      </w:pPr>
    </w:p>
    <w:p w14:paraId="4B34F139" w14:textId="77777777" w:rsidR="002D6A5C" w:rsidRDefault="002D6A5C" w:rsidP="002D6A5C">
      <w:pPr>
        <w:numPr>
          <w:ilvl w:val="0"/>
          <w:numId w:val="1"/>
        </w:numPr>
        <w:autoSpaceDE w:val="0"/>
        <w:autoSpaceDN w:val="0"/>
        <w:spacing w:line="276" w:lineRule="auto"/>
        <w:jc w:val="both"/>
        <w:rPr>
          <w:rFonts w:ascii="TimesNewRomanPSMT" w:hAnsi="TimesNewRomanPSMT"/>
        </w:rPr>
      </w:pPr>
      <w:r>
        <w:rPr>
          <w:rFonts w:ascii="TimesNewRomanPSMT" w:hAnsi="TimesNewRomanPSMT"/>
        </w:rPr>
        <w:t xml:space="preserve">Informācijas atklātības likums attiecas uz iestādēm, kas īsteno pārvaldes funkcijas un uzdevumus. Tādējādi Informācijas atklātības likums uz tiesām ir attiecināms tiktāl, ciktāl tiek lūgts izsniegt tiesas kā iestādes radītu informāciju vai vispārīga rakstura informāciju par to, kā tiesa pilda tai uzticētās funkcijas. </w:t>
      </w:r>
    </w:p>
    <w:p w14:paraId="527D7182" w14:textId="093CD80C" w:rsidR="00785A95" w:rsidRPr="000F6065" w:rsidRDefault="00785A95" w:rsidP="002D6A5C">
      <w:pPr>
        <w:pStyle w:val="BodyText2"/>
        <w:spacing w:after="0" w:line="276" w:lineRule="auto"/>
      </w:pPr>
    </w:p>
    <w:p w14:paraId="31787B18" w14:textId="72321A06" w:rsidR="00785A95" w:rsidRPr="002D6A5C" w:rsidRDefault="002D6A5C" w:rsidP="002D6A5C">
      <w:pPr>
        <w:spacing w:line="276" w:lineRule="auto"/>
        <w:jc w:val="center"/>
        <w:rPr>
          <w:b/>
          <w:sz w:val="28"/>
        </w:rPr>
      </w:pPr>
      <w:r w:rsidRPr="002D6A5C">
        <w:rPr>
          <w:b/>
          <w:sz w:val="28"/>
        </w:rPr>
        <w:t>Latvijas Republikas Senāta</w:t>
      </w:r>
    </w:p>
    <w:p w14:paraId="29B3CFA8" w14:textId="113F24D4" w:rsidR="002D6A5C" w:rsidRPr="002D6A5C" w:rsidRDefault="002D6A5C" w:rsidP="002D6A5C">
      <w:pPr>
        <w:spacing w:line="276" w:lineRule="auto"/>
        <w:jc w:val="center"/>
        <w:rPr>
          <w:b/>
          <w:sz w:val="28"/>
        </w:rPr>
      </w:pPr>
      <w:r w:rsidRPr="002D6A5C">
        <w:rPr>
          <w:b/>
          <w:sz w:val="28"/>
        </w:rPr>
        <w:t>Administratīvo lietu departamenta</w:t>
      </w:r>
    </w:p>
    <w:p w14:paraId="7B7D4EA6" w14:textId="3E74897F" w:rsidR="002D6A5C" w:rsidRPr="002D6A5C" w:rsidRDefault="002D6A5C" w:rsidP="002D6A5C">
      <w:pPr>
        <w:spacing w:line="276" w:lineRule="auto"/>
        <w:jc w:val="center"/>
        <w:rPr>
          <w:b/>
          <w:sz w:val="28"/>
        </w:rPr>
      </w:pPr>
      <w:r w:rsidRPr="002D6A5C">
        <w:rPr>
          <w:b/>
          <w:sz w:val="28"/>
        </w:rPr>
        <w:t>2021.gada 24.septembra</w:t>
      </w:r>
    </w:p>
    <w:p w14:paraId="76170CA6" w14:textId="77777777" w:rsidR="00785A95" w:rsidRPr="002D6A5C" w:rsidRDefault="00785A95" w:rsidP="002D6A5C">
      <w:pPr>
        <w:spacing w:line="276" w:lineRule="auto"/>
        <w:jc w:val="center"/>
        <w:rPr>
          <w:b/>
        </w:rPr>
      </w:pPr>
      <w:r w:rsidRPr="002D6A5C">
        <w:rPr>
          <w:b/>
        </w:rPr>
        <w:t>LĒMUMS</w:t>
      </w:r>
    </w:p>
    <w:p w14:paraId="0318010C" w14:textId="7D67BDD3" w:rsidR="002D6A5C" w:rsidRPr="002D6A5C" w:rsidRDefault="002D6A5C" w:rsidP="002D6A5C">
      <w:pPr>
        <w:spacing w:line="276" w:lineRule="auto"/>
        <w:jc w:val="center"/>
        <w:rPr>
          <w:b/>
        </w:rPr>
      </w:pPr>
      <w:r w:rsidRPr="002D6A5C">
        <w:rPr>
          <w:b/>
        </w:rPr>
        <w:t>Lieta Nr. 670016720, SKA-669/2021</w:t>
      </w:r>
    </w:p>
    <w:p w14:paraId="17CB949F" w14:textId="37195B42" w:rsidR="002D6A5C" w:rsidRPr="00E70B6A" w:rsidRDefault="00E87675" w:rsidP="002D6A5C">
      <w:pPr>
        <w:spacing w:line="276" w:lineRule="auto"/>
        <w:jc w:val="center"/>
      </w:pPr>
      <w:hyperlink r:id="rId7" w:history="1">
        <w:r w:rsidR="002D6A5C" w:rsidRPr="00172192">
          <w:rPr>
            <w:rStyle w:val="Hyperlink"/>
          </w:rPr>
          <w:t>ECLI:LV:AT:2021:0924.SKA066921.5.L</w:t>
        </w:r>
      </w:hyperlink>
      <w:r w:rsidR="002D6A5C">
        <w:t xml:space="preserve"> </w:t>
      </w:r>
    </w:p>
    <w:p w14:paraId="47B811BB" w14:textId="2B5BFD7A" w:rsidR="00785A95" w:rsidRPr="00F902DB" w:rsidRDefault="00785A95" w:rsidP="002D6A5C">
      <w:pPr>
        <w:spacing w:line="276" w:lineRule="auto"/>
        <w:jc w:val="center"/>
      </w:pPr>
    </w:p>
    <w:p w14:paraId="3C1156C8" w14:textId="67EE43F1" w:rsidR="00C540F6" w:rsidRPr="00151FEE" w:rsidRDefault="00C540F6" w:rsidP="002D6A5C">
      <w:pPr>
        <w:spacing w:line="276" w:lineRule="auto"/>
        <w:ind w:firstLine="567"/>
        <w:jc w:val="both"/>
      </w:pPr>
      <w:r w:rsidRPr="00151FEE">
        <w:t>Administratīvo lietu departaments kopsēdē šādā sastāvā: senatori Ieva Višķere, Dzintra Amerika, Jautrīte Briede, Andris Guļāns, Vēsma Kakste, Anita Kovaļevska, Veronika Krūmiņa, Diāna Makarova, Dace Mita, Lauma Paegļkalna, Valters Poķis</w:t>
      </w:r>
      <w:r w:rsidR="009031EE">
        <w:t xml:space="preserve"> </w:t>
      </w:r>
      <w:r w:rsidRPr="00151FEE">
        <w:t>un Rudīte Vīduša</w:t>
      </w:r>
    </w:p>
    <w:p w14:paraId="6E15CF41" w14:textId="77777777" w:rsidR="00785A95" w:rsidRPr="00D0524F" w:rsidRDefault="00785A95" w:rsidP="002D6A5C">
      <w:pPr>
        <w:spacing w:line="276" w:lineRule="auto"/>
        <w:ind w:firstLine="567"/>
        <w:jc w:val="both"/>
      </w:pPr>
    </w:p>
    <w:p w14:paraId="55BCD9BD" w14:textId="06EF0C7D" w:rsidR="00785A95" w:rsidRDefault="00785A95" w:rsidP="002D6A5C">
      <w:pPr>
        <w:spacing w:line="276" w:lineRule="auto"/>
        <w:ind w:firstLine="567"/>
        <w:jc w:val="both"/>
      </w:pPr>
      <w:r w:rsidRPr="00D0524F">
        <w:t xml:space="preserve">rakstveida procesā izskatīja </w:t>
      </w:r>
      <w:r w:rsidR="002D6A5C">
        <w:t xml:space="preserve">[pers. A] </w:t>
      </w:r>
      <w:r w:rsidRPr="00D0524F">
        <w:t xml:space="preserve">blakus sūdzību par Administratīvās rajona tiesas tiesneša 2020.gada 3.novembra lēmumu, ar kuru atteikts pieņemt </w:t>
      </w:r>
      <w:r w:rsidR="002D6A5C">
        <w:t xml:space="preserve">[pers. A] </w:t>
      </w:r>
      <w:r w:rsidRPr="00D0524F">
        <w:t>pieteikumu.</w:t>
      </w:r>
    </w:p>
    <w:p w14:paraId="48F9FB81" w14:textId="77777777" w:rsidR="00785A95" w:rsidRDefault="00785A95" w:rsidP="002D6A5C">
      <w:pPr>
        <w:spacing w:line="276" w:lineRule="auto"/>
        <w:ind w:firstLine="567"/>
        <w:jc w:val="both"/>
      </w:pPr>
    </w:p>
    <w:p w14:paraId="39326785" w14:textId="77777777" w:rsidR="00785A95" w:rsidRPr="009D6594" w:rsidRDefault="00785A95" w:rsidP="002D6A5C">
      <w:pPr>
        <w:spacing w:line="276" w:lineRule="auto"/>
        <w:jc w:val="center"/>
        <w:rPr>
          <w:b/>
        </w:rPr>
      </w:pPr>
      <w:r w:rsidRPr="009D6594">
        <w:rPr>
          <w:b/>
        </w:rPr>
        <w:t>Aprakstošā daļa</w:t>
      </w:r>
    </w:p>
    <w:p w14:paraId="5DBA231F" w14:textId="77777777" w:rsidR="00785A95" w:rsidRDefault="00785A95" w:rsidP="002D6A5C">
      <w:pPr>
        <w:spacing w:line="276" w:lineRule="auto"/>
        <w:ind w:firstLine="567"/>
        <w:jc w:val="both"/>
      </w:pPr>
    </w:p>
    <w:p w14:paraId="48E232E1" w14:textId="3D192020" w:rsidR="00785A95" w:rsidRDefault="00785A95" w:rsidP="002D6A5C">
      <w:pPr>
        <w:spacing w:line="276" w:lineRule="auto"/>
        <w:ind w:firstLine="567"/>
        <w:jc w:val="both"/>
      </w:pPr>
      <w:r>
        <w:t>[1] Pieteicēj</w:t>
      </w:r>
      <w:r w:rsidR="005179C8">
        <w:t>am</w:t>
      </w:r>
      <w:r w:rsidR="002D6A5C">
        <w:t xml:space="preserve"> [pers. A]</w:t>
      </w:r>
      <w:r w:rsidR="005179C8">
        <w:t xml:space="preserve">, kurš </w:t>
      </w:r>
      <w:r>
        <w:t>ir viens no</w:t>
      </w:r>
      <w:r w:rsidR="003C3350">
        <w:t xml:space="preserve"> </w:t>
      </w:r>
      <w:r>
        <w:t>civillietas dalībniekiem</w:t>
      </w:r>
      <w:r w:rsidR="005179C8">
        <w:t>,</w:t>
      </w:r>
      <w:r w:rsidR="005179C8" w:rsidRPr="005179C8">
        <w:t xml:space="preserve"> </w:t>
      </w:r>
      <w:r w:rsidR="005179C8">
        <w:t>elektroniski (</w:t>
      </w:r>
      <w:r w:rsidR="005179C8" w:rsidRPr="00967F33">
        <w:rPr>
          <w:i/>
        </w:rPr>
        <w:t>Word</w:t>
      </w:r>
      <w:r w:rsidR="005179C8">
        <w:t xml:space="preserve"> formātā) tika nosūtīts Vidzemes rajona tiesas lēmuma (turpmāk – strīdus lēmums) noraksts, kas parakstīts ar drošu elektronisko parakstu</w:t>
      </w:r>
      <w:r>
        <w:t xml:space="preserve">. </w:t>
      </w:r>
    </w:p>
    <w:p w14:paraId="28C6BAAE" w14:textId="6F7DD37E" w:rsidR="00785A95" w:rsidRDefault="00785A95" w:rsidP="002D6A5C">
      <w:pPr>
        <w:spacing w:line="276" w:lineRule="auto"/>
        <w:ind w:firstLine="567"/>
        <w:jc w:val="both"/>
      </w:pPr>
      <w:r>
        <w:t>Aplūkojot minētā dokumenta metadatus, pieteicējs konstatēja, ka tajos kā dokumenta datnes autors ir norādīts „Jānis”, un vērsās Tieslietu ministrijā ar iesniegumu, kurā citstarp lūdza pārbaudīt, vai strīdus lēmuma sastādītāja ir tiesnese</w:t>
      </w:r>
      <w:r w:rsidR="005179C8">
        <w:t>, kura norādīta lēmumā</w:t>
      </w:r>
      <w:r>
        <w:t>. Tieslietu ministrija pieteicējam sniedza atbildi, kurā paskaidroja, ka tas vien, ka konkrētā dokumenta datni ir izveidojusi persona vārdā „Jānis”, nenozīmē, ka attiecīgā persona ir arī dokumenta – strīdus lēmuma – autors. Ministrija no tiesneses noskaidrojusi, ka persona „Jānis” kā strīdus lēmuma datnes autors, iespējams, ir norādīta tādēļ, ka tiesnese, sākot darba gaitas, kā paraugus izmantojusi tiesas kolēģu nolēmumus, uz kuru pamata rakstījusi savus nolēmumus.</w:t>
      </w:r>
    </w:p>
    <w:p w14:paraId="6AF46FFD" w14:textId="77777777" w:rsidR="00785A95" w:rsidRDefault="00785A95" w:rsidP="002D6A5C">
      <w:pPr>
        <w:spacing w:line="276" w:lineRule="auto"/>
        <w:ind w:firstLine="567"/>
        <w:jc w:val="both"/>
      </w:pPr>
    </w:p>
    <w:p w14:paraId="3E792164" w14:textId="04F75D9F" w:rsidR="00785A95" w:rsidRDefault="00785A95" w:rsidP="002D6A5C">
      <w:pPr>
        <w:spacing w:line="276" w:lineRule="auto"/>
        <w:ind w:firstLine="567"/>
        <w:jc w:val="both"/>
      </w:pPr>
      <w:r w:rsidRPr="0082381C">
        <w:t>[</w:t>
      </w:r>
      <w:r>
        <w:t>2</w:t>
      </w:r>
      <w:r w:rsidRPr="0082381C">
        <w:t>] </w:t>
      </w:r>
      <w:r w:rsidR="005179C8">
        <w:t>P</w:t>
      </w:r>
      <w:r>
        <w:t>ieteicējs vērsās Vidzemes rajona tiesā ar iesniegumu, kurā lūdza sniegt šādu informāciju: 1) anonimizētu</w:t>
      </w:r>
      <w:r w:rsidR="005179C8">
        <w:t xml:space="preserve"> tā</w:t>
      </w:r>
      <w:r>
        <w:t xml:space="preserve"> tiesneša nolēmumu, kuru </w:t>
      </w:r>
      <w:r w:rsidR="005179C8">
        <w:t xml:space="preserve">konkrētā </w:t>
      </w:r>
      <w:r>
        <w:t xml:space="preserve">tiesnese izmantoja kā strīdus lēmuma paraugu; 2) civillietas, kurā pieņemts minētais tiesneša nolēmums, numuru; 3) informāciju par tiesas nolēmumu paraugu izsniegšanas un izmantošanas kārtību Vidzemes rajona tiesā; 4) jebkuru citu informāciju un pierādījumus, kas pamato </w:t>
      </w:r>
      <w:r w:rsidR="005179C8">
        <w:t xml:space="preserve">konkrētās </w:t>
      </w:r>
      <w:r>
        <w:t>tiesneses Tieslietu ministrijai sniegtā paskaidrojuma par strīdus lēmuma sastādīšanas apstākļiem ticamību.</w:t>
      </w:r>
    </w:p>
    <w:p w14:paraId="4802C322" w14:textId="49111063" w:rsidR="00785A95" w:rsidRPr="0082381C" w:rsidRDefault="00785A95" w:rsidP="002D6A5C">
      <w:pPr>
        <w:spacing w:line="276" w:lineRule="auto"/>
        <w:ind w:firstLine="567"/>
        <w:jc w:val="both"/>
      </w:pPr>
      <w:r>
        <w:t xml:space="preserve">Vidzemes rajona tiesa pieteicējam sniedza atbildi, norādot, ka </w:t>
      </w:r>
      <w:r w:rsidR="005179C8">
        <w:t xml:space="preserve">konkrētā </w:t>
      </w:r>
      <w:r>
        <w:t xml:space="preserve">tiesnese ir paskaidrojusi, ka tieši izsekot strīdus lēmuma datnes izcelsmei nevar, jo nedokumentē un nesaglabā informāciju par katru izmantoto nolēmuma paraugu. Līdz ar to tiesa </w:t>
      </w:r>
      <w:r w:rsidR="007F43B3">
        <w:t xml:space="preserve">pieteicējam </w:t>
      </w:r>
      <w:r>
        <w:t xml:space="preserve">nevar izsniegt anonimizētu </w:t>
      </w:r>
      <w:r w:rsidR="005179C8">
        <w:t xml:space="preserve">tā </w:t>
      </w:r>
      <w:r>
        <w:t>tiesneša nolēmumu, kuru</w:t>
      </w:r>
      <w:r w:rsidR="005179C8">
        <w:t xml:space="preserve"> konkrētā</w:t>
      </w:r>
      <w:r>
        <w:t xml:space="preserve"> tiesnese izmantojusi </w:t>
      </w:r>
      <w:r w:rsidR="007F43B3">
        <w:t xml:space="preserve">par </w:t>
      </w:r>
      <w:r>
        <w:t xml:space="preserve">strīdus lēmuma paraugu, un civillietas, kurā minētais nolēmums pieņemts, numuru. Vēstulē arī paskaidrots, ka Vidzemes rajona tiesā nav izstrādāta tiesas nolēmumu paraugu izsniegšanas kārtība un katrs tiesnesis pats izvēlas, kā iegūt nolēmumu paraugus savu nolēmumu sastādīšanai. Tiesas rīcībā </w:t>
      </w:r>
      <w:r w:rsidR="007F43B3">
        <w:t xml:space="preserve">nav </w:t>
      </w:r>
      <w:r>
        <w:t>arī citas informācijas vai pierādījumu, kas pamatotu tiesneses paskaidrojuma par strīdus lēmuma sastādīšanas apstākļiem ticamību.</w:t>
      </w:r>
    </w:p>
    <w:p w14:paraId="2D04C5F8" w14:textId="77777777" w:rsidR="00785A95" w:rsidRDefault="00785A95" w:rsidP="002D6A5C">
      <w:pPr>
        <w:spacing w:line="276" w:lineRule="auto"/>
        <w:ind w:firstLine="567"/>
        <w:jc w:val="both"/>
      </w:pPr>
    </w:p>
    <w:p w14:paraId="2B2B9409" w14:textId="12CA8BC9" w:rsidR="00785A95" w:rsidRPr="006E1C60" w:rsidRDefault="00785A95" w:rsidP="002D6A5C">
      <w:pPr>
        <w:spacing w:line="276" w:lineRule="auto"/>
        <w:ind w:firstLine="567"/>
        <w:jc w:val="both"/>
      </w:pPr>
      <w:r w:rsidRPr="006E1C60">
        <w:t xml:space="preserve">[3] Uzskatot, ka Vidzemes rajona tiesa pieteicējam </w:t>
      </w:r>
      <w:r w:rsidR="007F43B3" w:rsidRPr="006E1C60">
        <w:t xml:space="preserve">nav </w:t>
      </w:r>
      <w:r w:rsidRPr="006E1C60">
        <w:t>izsniegusi viņa pieprasīto informāciju, pieteicējs vērsās Administratīvajā rajona tiesā ar pieteikumu par pienākuma uzlikšanu Vidzemes rajona tiesai izsniegt visu tās rīcībā esošo un objektīvi iegūstamo informāciju par strīdus lēmuma sastādīšanas un parakstīšanas apstākļiem.</w:t>
      </w:r>
    </w:p>
    <w:p w14:paraId="41DAE80C" w14:textId="77777777" w:rsidR="00785A95" w:rsidRPr="006E1C60" w:rsidRDefault="00785A95" w:rsidP="002D6A5C">
      <w:pPr>
        <w:spacing w:line="276" w:lineRule="auto"/>
        <w:ind w:firstLine="567"/>
        <w:jc w:val="both"/>
      </w:pPr>
    </w:p>
    <w:p w14:paraId="0604F8D8" w14:textId="00AABD0E" w:rsidR="00785A95" w:rsidRPr="006E1C60" w:rsidRDefault="00785A95" w:rsidP="002D6A5C">
      <w:pPr>
        <w:spacing w:line="276" w:lineRule="auto"/>
        <w:ind w:firstLine="567"/>
        <w:jc w:val="both"/>
      </w:pPr>
      <w:r w:rsidRPr="006E1C60">
        <w:lastRenderedPageBreak/>
        <w:t>[4] Ar Administratīvās rajona tiesas tiesneša 2020.gada 3.novembra lēmumu pieteicēja pieteikumu atteikts pieņemt, pamatojoties uz Administratīvā procesa likuma 191.panta pirmās daļas 1.punktu, jo pieteikums nav izskatāms administratīvā procesa kārtībā.</w:t>
      </w:r>
    </w:p>
    <w:p w14:paraId="07CB19D7" w14:textId="77777777" w:rsidR="00785A95" w:rsidRPr="006E1C60" w:rsidRDefault="00785A95" w:rsidP="002D6A5C">
      <w:pPr>
        <w:spacing w:line="276" w:lineRule="auto"/>
        <w:ind w:firstLine="567"/>
        <w:jc w:val="both"/>
      </w:pPr>
      <w:r w:rsidRPr="006E1C60">
        <w:t>Lēmums pamatots ar turpmāk norādītajiem apsvērumiem.</w:t>
      </w:r>
    </w:p>
    <w:p w14:paraId="15AAF665" w14:textId="542C137D" w:rsidR="00785A95" w:rsidRPr="006E1C60" w:rsidRDefault="00785A95" w:rsidP="002D6A5C">
      <w:pPr>
        <w:spacing w:line="276" w:lineRule="auto"/>
        <w:ind w:firstLine="567"/>
        <w:jc w:val="both"/>
      </w:pPr>
      <w:r w:rsidRPr="006E1C60">
        <w:t xml:space="preserve">[4.1] No pieteikuma būtībā izriet, ka pieteicējam kā civillietas dalībniekam pēc strīdus lēmuma noraksta saņemšanas radušās šaubas par lēmuma sastādīšanas apstākļiem un tiesneses objektivitāti lietas izspriešanā. Proti, pieteicējam ir aizdomas, ka strīdus lēmumu nav sastādījusi minētā tiesnese, bet gan kāda cita persona. </w:t>
      </w:r>
      <w:r w:rsidR="00511639">
        <w:t xml:space="preserve">Pieteikuma mērķis līdz ar to </w:t>
      </w:r>
      <w:r w:rsidRPr="006E1C60">
        <w:t>ir novērst nenoteiktību attiecībā uz tiesas spriešanu</w:t>
      </w:r>
      <w:r w:rsidR="005179C8">
        <w:t xml:space="preserve"> konkrētajā</w:t>
      </w:r>
      <w:r w:rsidRPr="006E1C60">
        <w:t xml:space="preserve"> civillietā. Tālab secināms, ka pieteicēja iesniegums Vidzemes rajona tiesai un secīgi pieteikums administratīvajai tiesai nav uzskatāms par informācijas pieprasījumu, bet gan par sūdzību par </w:t>
      </w:r>
      <w:r w:rsidR="00BC4C21">
        <w:t>lēmumu</w:t>
      </w:r>
      <w:r w:rsidRPr="006E1C60">
        <w:t xml:space="preserve"> civilliet</w:t>
      </w:r>
      <w:r w:rsidR="003C3350" w:rsidRPr="006E1C60">
        <w:t>ā</w:t>
      </w:r>
      <w:r w:rsidRPr="006E1C60">
        <w:t xml:space="preserve">. </w:t>
      </w:r>
    </w:p>
    <w:p w14:paraId="5ABB3763" w14:textId="7B0F22DB" w:rsidR="00785A95" w:rsidRPr="006E1C60" w:rsidRDefault="00785A95" w:rsidP="002D6A5C">
      <w:pPr>
        <w:spacing w:line="276" w:lineRule="auto"/>
        <w:ind w:firstLine="567"/>
        <w:jc w:val="both"/>
      </w:pPr>
      <w:r w:rsidRPr="006E1C60">
        <w:t xml:space="preserve">[4.2] Secinājumu, ka uz konkrēto gadījumu nav attiecināms Informācijas atklātības likums, </w:t>
      </w:r>
      <w:r w:rsidRPr="00D77343">
        <w:t xml:space="preserve">apstiprina arī tas, ka pieteicēja pieprasītā informācija par tiesas nolēmuma sastādīšanas apstākļiem, proti, to, kā tiesnesis rakstījis nolēmumu (darbavietā vai mājās, darba laikā vai ārpus darba laika, izmantojot darba vai personīgo datoru, izmantojot citu tiesnešu vai savus iepriekš rakstītos nolēmumus </w:t>
      </w:r>
      <w:r w:rsidR="007F43B3" w:rsidRPr="00D77343">
        <w:t xml:space="preserve">par </w:t>
      </w:r>
      <w:r w:rsidRPr="00D77343">
        <w:t>paraugu citam nolēmumam u.tml.)</w:t>
      </w:r>
      <w:r w:rsidR="00D77343" w:rsidRPr="00D77343">
        <w:t>,</w:t>
      </w:r>
      <w:r w:rsidRPr="00D77343">
        <w:t xml:space="preserve"> nav ne tiesas, ne arī Tiesu administrācijas rīcībā esoša informācija, kuru iestāde</w:t>
      </w:r>
      <w:r w:rsidRPr="006E1C60">
        <w:t xml:space="preserve"> dokumentē (vai ar iespējamiem tehniskiem līdzekļiem fiksē vai reģistrē) vai kuru iestādei būtu vajadzējis dokumentēt. </w:t>
      </w:r>
      <w:r w:rsidR="00511639">
        <w:t>N</w:t>
      </w:r>
      <w:r w:rsidR="00BB402A">
        <w:t>av</w:t>
      </w:r>
      <w:r w:rsidRPr="006E1C60">
        <w:t xml:space="preserve"> tiesību norm</w:t>
      </w:r>
      <w:r w:rsidR="00BB402A">
        <w:t>u</w:t>
      </w:r>
      <w:r w:rsidRPr="006E1C60">
        <w:t>, kas kādai iestādei (tiesai vai Tiesu administrācijai) uzliktu pienākumu šādu informāciju dokumentēt. Arī pieteicējs šādas tiesību normas nav norādījis.</w:t>
      </w:r>
    </w:p>
    <w:p w14:paraId="5B48C1BB" w14:textId="368C821F" w:rsidR="00785A95" w:rsidRPr="006E1C60" w:rsidRDefault="00785A95" w:rsidP="002D6A5C">
      <w:pPr>
        <w:spacing w:line="276" w:lineRule="auto"/>
        <w:ind w:firstLine="567"/>
        <w:jc w:val="both"/>
      </w:pPr>
      <w:r w:rsidRPr="006E1C60">
        <w:t xml:space="preserve">[4.3] Minētie apstākļi liecina, ka pieteikums ir iesniegts </w:t>
      </w:r>
      <w:r w:rsidR="003B29C7">
        <w:t xml:space="preserve">kā sūdzība </w:t>
      </w:r>
      <w:r w:rsidRPr="006E1C60">
        <w:t>par tiesas nolēmumu civillietā. Šāds pieteikums nav pakļauts izskatīšanai tiesā administratīvā procesa kārtībā.</w:t>
      </w:r>
    </w:p>
    <w:p w14:paraId="113D0AF0" w14:textId="77777777" w:rsidR="00785A95" w:rsidRPr="006E1C60" w:rsidRDefault="00785A95" w:rsidP="002D6A5C">
      <w:pPr>
        <w:spacing w:line="276" w:lineRule="auto"/>
        <w:ind w:firstLine="567"/>
        <w:jc w:val="both"/>
      </w:pPr>
    </w:p>
    <w:p w14:paraId="6DD95128" w14:textId="77777777" w:rsidR="00785A95" w:rsidRPr="006E1C60" w:rsidRDefault="00785A95" w:rsidP="002D6A5C">
      <w:pPr>
        <w:spacing w:line="276" w:lineRule="auto"/>
        <w:ind w:firstLine="567"/>
        <w:jc w:val="both"/>
      </w:pPr>
      <w:r w:rsidRPr="006E1C60">
        <w:t>[5] Pieteicējs par minēto rajona tiesas tiesneša lēmumu iesniedza blakus sūdzību, kas pamatota ar turpmāk norādītajiem apsvērumiem.</w:t>
      </w:r>
    </w:p>
    <w:p w14:paraId="450B5FAC" w14:textId="62BDF7FE" w:rsidR="00785A95" w:rsidRPr="006E1C60" w:rsidRDefault="00785A95" w:rsidP="002D6A5C">
      <w:pPr>
        <w:spacing w:line="276" w:lineRule="auto"/>
        <w:ind w:firstLine="567"/>
        <w:jc w:val="both"/>
      </w:pPr>
      <w:r w:rsidRPr="006E1C60">
        <w:t>[5.1] Tiesa kļūdaini uzskatījusi, ka pieteikuma mērķis ir iesniegt sūdzību par tiesas nolēmumu (tā sastādīšanas apstākļiem) civillietā. Pieteikuma mērķis ir iegūt tiesas rīcībā esošo informāciju par strīdus lēmuma sastādīšanu un tiesas darba organizāciju – to, kādā kārtībā tiesā notiek nolēmumu sagatavošana un citu nolēmumu iegūšana un izmantošana paraugam. Šī informācija pieteicējam nepieciešama, lai varētu sagatavot sūdzību par tiesneses darbu. Pieteicējam kā zvērinātam advokātam nebūtu korekti iesniegt sūdzību tikai uz pieņēmumu pamata.</w:t>
      </w:r>
    </w:p>
    <w:p w14:paraId="606211F0" w14:textId="0EB929AB" w:rsidR="00785A95" w:rsidRPr="006E1C60" w:rsidRDefault="00785A95" w:rsidP="002D6A5C">
      <w:pPr>
        <w:spacing w:line="276" w:lineRule="auto"/>
        <w:ind w:firstLine="567"/>
        <w:jc w:val="both"/>
      </w:pPr>
      <w:r w:rsidRPr="006E1C60">
        <w:t xml:space="preserve">[5.2] Tiesa ir atteikusi pieņemt pieteicēja pieteikumu, taču nav norādījusi, kādā procesuālā kārtībā pieteicējs pieprasīto informāciju saprātīgi var iegūt. Tas nozīmē, ka Latvijā pieteicējam tiek liegta iespēja pārliecināties par to, vai civillietā ir ievērotas viņa tiesības uz taisnīgu tiesas procesu. </w:t>
      </w:r>
    </w:p>
    <w:p w14:paraId="2D5716D4" w14:textId="77777777" w:rsidR="00785A95" w:rsidRPr="006E1C60" w:rsidRDefault="00785A95" w:rsidP="002D6A5C">
      <w:pPr>
        <w:spacing w:line="276" w:lineRule="auto"/>
        <w:ind w:firstLine="567"/>
        <w:jc w:val="both"/>
      </w:pPr>
    </w:p>
    <w:p w14:paraId="0113996A" w14:textId="77777777" w:rsidR="00785A95" w:rsidRPr="006E1C60" w:rsidRDefault="00785A95" w:rsidP="002D6A5C">
      <w:pPr>
        <w:spacing w:line="276" w:lineRule="auto"/>
        <w:jc w:val="center"/>
        <w:rPr>
          <w:b/>
        </w:rPr>
      </w:pPr>
      <w:r w:rsidRPr="006E1C60">
        <w:rPr>
          <w:b/>
        </w:rPr>
        <w:t>Motīvu daļa</w:t>
      </w:r>
    </w:p>
    <w:p w14:paraId="67F1152D" w14:textId="77777777" w:rsidR="00785A95" w:rsidRPr="006E1C60" w:rsidRDefault="00785A95" w:rsidP="002D6A5C">
      <w:pPr>
        <w:spacing w:line="276" w:lineRule="auto"/>
        <w:ind w:firstLine="567"/>
        <w:jc w:val="both"/>
      </w:pPr>
    </w:p>
    <w:p w14:paraId="26C65CDB" w14:textId="1979A57D" w:rsidR="00785A95" w:rsidRPr="006E1C60" w:rsidRDefault="00785A95" w:rsidP="002D6A5C">
      <w:pPr>
        <w:spacing w:line="276" w:lineRule="auto"/>
        <w:ind w:firstLine="567"/>
        <w:jc w:val="both"/>
      </w:pPr>
      <w:r w:rsidRPr="006E1C60">
        <w:t xml:space="preserve">[6] Kā izriet no pieteikuma un blakus sūdzības, pieteicējs ir vērsies administratīvajā tiesā </w:t>
      </w:r>
      <w:r w:rsidR="00DA615F">
        <w:t>ar lūgumu</w:t>
      </w:r>
      <w:r w:rsidR="00DA615F" w:rsidRPr="006E1C60">
        <w:t xml:space="preserve"> </w:t>
      </w:r>
      <w:r w:rsidRPr="006E1C60">
        <w:t>uzdot Vidzemes rajona tiesai izsniegt informāciju, kurai, pieteicēja ieskatā, jābūt tiesas rīcībā</w:t>
      </w:r>
      <w:r w:rsidR="009D49BE">
        <w:t xml:space="preserve"> un kurai būtu jābūt pieejamai atbilstoši informācijas atklātības prasībām</w:t>
      </w:r>
      <w:r w:rsidRPr="006E1C60">
        <w:t>.</w:t>
      </w:r>
    </w:p>
    <w:p w14:paraId="22E50604" w14:textId="77777777" w:rsidR="00547391" w:rsidRPr="006E1C60" w:rsidRDefault="00547391" w:rsidP="002D6A5C">
      <w:pPr>
        <w:spacing w:line="276" w:lineRule="auto"/>
        <w:ind w:firstLine="567"/>
        <w:jc w:val="both"/>
      </w:pPr>
    </w:p>
    <w:p w14:paraId="472493BB" w14:textId="531E3E8F" w:rsidR="00785A95" w:rsidRPr="006E1C60" w:rsidRDefault="00547391" w:rsidP="002D6A5C">
      <w:pPr>
        <w:spacing w:line="276" w:lineRule="auto"/>
        <w:ind w:firstLine="567"/>
        <w:jc w:val="both"/>
      </w:pPr>
      <w:r w:rsidRPr="006E1C60">
        <w:t>[7]</w:t>
      </w:r>
      <w:r w:rsidR="00F914B7">
        <w:t> </w:t>
      </w:r>
      <w:r w:rsidR="00785A95" w:rsidRPr="006E1C60">
        <w:t xml:space="preserve">Pirmās instances tiesas tiesnesis atteicis pieteikuma pieņemšanu, norādot, ka pieteicēja pieteikums būtībā ir sūdzība par </w:t>
      </w:r>
      <w:r w:rsidR="002F1986">
        <w:t>tiesas spriešanu c</w:t>
      </w:r>
      <w:r w:rsidR="00785A95" w:rsidRPr="006E1C60">
        <w:t xml:space="preserve">ivillietā. Šāds tiesneša secinājums </w:t>
      </w:r>
      <w:r w:rsidR="00785A95" w:rsidRPr="006E1C60">
        <w:lastRenderedPageBreak/>
        <w:t>pamatots ar pieteicēj</w:t>
      </w:r>
      <w:r w:rsidR="00435F3E">
        <w:t>a</w:t>
      </w:r>
      <w:r w:rsidR="00785A95" w:rsidRPr="006E1C60">
        <w:t xml:space="preserve"> norād</w:t>
      </w:r>
      <w:r w:rsidR="00435F3E">
        <w:t>i</w:t>
      </w:r>
      <w:r w:rsidR="00785A95" w:rsidRPr="006E1C60">
        <w:t>, ka pieprasītā informācija viņam nepieciešama, lai novērstu neskaidrības saistībā ar tiesas spriešanu konkrētā civillietā.</w:t>
      </w:r>
    </w:p>
    <w:p w14:paraId="5B891FBA" w14:textId="35FC87C1" w:rsidR="00B11947" w:rsidRPr="00151FEE" w:rsidRDefault="00547391" w:rsidP="002D6A5C">
      <w:pPr>
        <w:spacing w:line="276" w:lineRule="auto"/>
        <w:ind w:firstLine="567"/>
        <w:jc w:val="both"/>
        <w:rPr>
          <w:bCs/>
        </w:rPr>
      </w:pPr>
      <w:r w:rsidRPr="006E1C60">
        <w:t>Senāts piekrīt</w:t>
      </w:r>
      <w:r w:rsidR="00B11947">
        <w:t xml:space="preserve"> pieteicējam</w:t>
      </w:r>
      <w:r w:rsidRPr="006E1C60">
        <w:t xml:space="preserve">, ka tiesnesis </w:t>
      </w:r>
      <w:r w:rsidR="004F6EF3">
        <w:t xml:space="preserve">nav </w:t>
      </w:r>
      <w:r w:rsidRPr="006E1C60">
        <w:t>formulējis pieteicēja prasījumu</w:t>
      </w:r>
      <w:r w:rsidR="004F6EF3">
        <w:t xml:space="preserve"> atbilstoši pieteikumā norādītajam. G</w:t>
      </w:r>
      <w:r w:rsidRPr="006E1C60">
        <w:t xml:space="preserve">an no pieteikuma, gan no blakus sūdzības skaidri izriet, ka pieteicējs </w:t>
      </w:r>
      <w:r w:rsidR="00A11C06">
        <w:t xml:space="preserve">ar konkrēto pieteikumu </w:t>
      </w:r>
      <w:r w:rsidRPr="006E1C60">
        <w:t xml:space="preserve">nesūdzas par tiesas </w:t>
      </w:r>
      <w:r w:rsidR="00BC4C21">
        <w:t>nolēmumu</w:t>
      </w:r>
      <w:r w:rsidRPr="006E1C60">
        <w:t xml:space="preserve"> civillietā</w:t>
      </w:r>
      <w:r w:rsidR="00A11C06">
        <w:t xml:space="preserve"> (viņa mērķis nav, lai administratīvā tiesa pārbaudītu to, kā </w:t>
      </w:r>
      <w:r w:rsidR="003B29C7">
        <w:t xml:space="preserve">tiesnese </w:t>
      </w:r>
      <w:r w:rsidR="00A11C06">
        <w:t>izs</w:t>
      </w:r>
      <w:r w:rsidR="003B29C7">
        <w:t>katījusi</w:t>
      </w:r>
      <w:r w:rsidR="00A11C06">
        <w:t xml:space="preserve"> civillietu)</w:t>
      </w:r>
      <w:r w:rsidRPr="006E1C60">
        <w:t xml:space="preserve">, bet gan </w:t>
      </w:r>
      <w:r w:rsidR="003B29C7">
        <w:t xml:space="preserve">pieteicējs </w:t>
      </w:r>
      <w:r w:rsidRPr="006E1C60">
        <w:t xml:space="preserve">vēlas iegūt </w:t>
      </w:r>
      <w:r w:rsidR="003B29C7">
        <w:t>informāciju</w:t>
      </w:r>
      <w:r w:rsidRPr="006E1C60">
        <w:t xml:space="preserve"> par to, kā tiesnese gatavoj</w:t>
      </w:r>
      <w:r w:rsidR="00BB402A">
        <w:t>usi</w:t>
      </w:r>
      <w:r w:rsidRPr="006E1C60">
        <w:t xml:space="preserve"> </w:t>
      </w:r>
      <w:r w:rsidR="00B11947">
        <w:t>lēmumu</w:t>
      </w:r>
      <w:r w:rsidRPr="006E1C60">
        <w:t xml:space="preserve"> civillietā. </w:t>
      </w:r>
      <w:r w:rsidR="003B29C7">
        <w:t xml:space="preserve">Savukārt </w:t>
      </w:r>
      <w:r w:rsidRPr="006E1C60">
        <w:t>t</w:t>
      </w:r>
      <w:r w:rsidR="00785A95" w:rsidRPr="006E1C60">
        <w:t xml:space="preserve">as, ka </w:t>
      </w:r>
      <w:r w:rsidRPr="006E1C60">
        <w:t xml:space="preserve">pieteicēja mērķis </w:t>
      </w:r>
      <w:r w:rsidR="00785A95" w:rsidRPr="006E1C60">
        <w:t>ir saistīts ar interešu nodrošināšanu</w:t>
      </w:r>
      <w:r w:rsidR="00BB402A">
        <w:t xml:space="preserve"> kādā </w:t>
      </w:r>
      <w:r w:rsidR="00785A95" w:rsidRPr="006E1C60">
        <w:t xml:space="preserve">lietā, </w:t>
      </w:r>
      <w:r w:rsidRPr="006E1C60">
        <w:t xml:space="preserve">pats par sevi </w:t>
      </w:r>
      <w:r w:rsidR="00785A95" w:rsidRPr="006E1C60">
        <w:t xml:space="preserve">nenozīmē, ka </w:t>
      </w:r>
      <w:r w:rsidRPr="006E1C60">
        <w:t xml:space="preserve">pieteikums </w:t>
      </w:r>
      <w:r w:rsidR="00785A95" w:rsidRPr="006E1C60">
        <w:t>vērtējams kā sūdzība saistībā ar attiecīgo lietu</w:t>
      </w:r>
      <w:r w:rsidR="00785A95" w:rsidRPr="00B11947">
        <w:t xml:space="preserve">. </w:t>
      </w:r>
      <w:r w:rsidR="002F1986" w:rsidRPr="00B11947">
        <w:t xml:space="preserve">Senāta judikatūrā jau atzīts, ka persona var izmantot no Informācijas atklātības likuma izrietošās tiesības iegūt informāciju arī tad, ja </w:t>
      </w:r>
      <w:r w:rsidR="00B11947" w:rsidRPr="00B11947">
        <w:t>tas tiek darīts kādas konkrētas lietas vajadzībām (</w:t>
      </w:r>
      <w:r w:rsidR="009B7863">
        <w:t xml:space="preserve">Senāts atzinis, ka tad, ja </w:t>
      </w:r>
      <w:r w:rsidR="00B11947" w:rsidRPr="00151FEE">
        <w:t>procesa dalībnieks vēlas iegūt informāciju, kas nav iekļauta lietas materiālos, bet kas procesa dalībniekam varētu būt nepieciešama interešu nodrošināšanai lietā</w:t>
      </w:r>
      <w:r w:rsidR="009B7863">
        <w:t>, šāda informācijas iegūšana var notikt Informācijas atklātības likumā paredzētajā kārtībā</w:t>
      </w:r>
      <w:r w:rsidR="00B11947" w:rsidRPr="00151FEE">
        <w:t xml:space="preserve"> (</w:t>
      </w:r>
      <w:r w:rsidR="00B11947" w:rsidRPr="00151FEE">
        <w:rPr>
          <w:i/>
          <w:iCs/>
        </w:rPr>
        <w:t>Senāta 2017.gada 20.ja</w:t>
      </w:r>
      <w:bookmarkStart w:id="1" w:name="_Hlk64478770"/>
      <w:r w:rsidR="00B11947">
        <w:rPr>
          <w:i/>
          <w:iCs/>
        </w:rPr>
        <w:t>nvāra kopsēdes lēmums lietā Nr. </w:t>
      </w:r>
      <w:r w:rsidR="00B11947" w:rsidRPr="00151FEE">
        <w:rPr>
          <w:i/>
          <w:iCs/>
        </w:rPr>
        <w:t>SKA-172/2017</w:t>
      </w:r>
      <w:bookmarkEnd w:id="1"/>
      <w:r w:rsidR="00B11947" w:rsidRPr="00151FEE">
        <w:rPr>
          <w:bCs/>
        </w:rPr>
        <w:t>)</w:t>
      </w:r>
      <w:r w:rsidR="009B7863">
        <w:rPr>
          <w:bCs/>
        </w:rPr>
        <w:t>)</w:t>
      </w:r>
      <w:r w:rsidR="00B11947" w:rsidRPr="00151FEE">
        <w:rPr>
          <w:bCs/>
        </w:rPr>
        <w:t>.</w:t>
      </w:r>
    </w:p>
    <w:p w14:paraId="477F4D00" w14:textId="6C4690C2" w:rsidR="00A35F9F" w:rsidRDefault="00A35F9F" w:rsidP="002D6A5C">
      <w:pPr>
        <w:spacing w:line="276" w:lineRule="auto"/>
        <w:ind w:firstLine="567"/>
        <w:jc w:val="both"/>
      </w:pPr>
    </w:p>
    <w:p w14:paraId="45D442E3" w14:textId="7A93489D" w:rsidR="00A35F9F" w:rsidRPr="007D5998" w:rsidRDefault="00A35F9F" w:rsidP="002D6A5C">
      <w:pPr>
        <w:spacing w:line="276" w:lineRule="auto"/>
        <w:jc w:val="center"/>
        <w:rPr>
          <w:b/>
          <w:bCs/>
        </w:rPr>
      </w:pPr>
      <w:r w:rsidRPr="007D5998">
        <w:rPr>
          <w:b/>
          <w:bCs/>
        </w:rPr>
        <w:t>I</w:t>
      </w:r>
    </w:p>
    <w:p w14:paraId="32CDC4BA" w14:textId="77777777" w:rsidR="00A35F9F" w:rsidRDefault="00A35F9F" w:rsidP="002D6A5C">
      <w:pPr>
        <w:spacing w:line="276" w:lineRule="auto"/>
        <w:ind w:firstLine="567"/>
        <w:jc w:val="both"/>
      </w:pPr>
    </w:p>
    <w:p w14:paraId="12D7B18E" w14:textId="78444CCD" w:rsidR="00547391" w:rsidRPr="006E1C60" w:rsidRDefault="00A35F9F" w:rsidP="002D6A5C">
      <w:pPr>
        <w:spacing w:line="276" w:lineRule="auto"/>
        <w:ind w:firstLine="567"/>
        <w:jc w:val="both"/>
      </w:pPr>
      <w:r>
        <w:t>[8]</w:t>
      </w:r>
      <w:r w:rsidR="00F914B7">
        <w:t> </w:t>
      </w:r>
      <w:r w:rsidR="0076042E">
        <w:t>Tomēr t</w:t>
      </w:r>
      <w:r w:rsidR="00547391" w:rsidRPr="006E1C60">
        <w:t xml:space="preserve">urpmāk norādīto apsvērumu dēļ Senāts atzīst, ka pareizs ir tiesneša secinājums, ka pieteicēja pieteikums daļā, kas attiecas uz informāciju par to, kā tieši tiesnesis gatavojis strīdus lēmumu (kādus paraugus izmantojis, kā tos ieguvis u.tml.), nav pakļauts izskatīšanai administratīvā procesa kārtībā. </w:t>
      </w:r>
    </w:p>
    <w:p w14:paraId="77C3455C" w14:textId="77777777" w:rsidR="00785A95" w:rsidRPr="006E1C60" w:rsidRDefault="00785A95" w:rsidP="002D6A5C">
      <w:pPr>
        <w:spacing w:line="276" w:lineRule="auto"/>
        <w:ind w:firstLine="567"/>
        <w:jc w:val="both"/>
      </w:pPr>
    </w:p>
    <w:p w14:paraId="5B1EF06D" w14:textId="0CAF1CBC" w:rsidR="002554F9" w:rsidRDefault="00785A95" w:rsidP="002D6A5C">
      <w:pPr>
        <w:spacing w:line="276" w:lineRule="auto"/>
        <w:ind w:firstLine="567"/>
        <w:jc w:val="both"/>
      </w:pPr>
      <w:r w:rsidRPr="006E1C60">
        <w:t>[</w:t>
      </w:r>
      <w:r w:rsidR="00A35F9F">
        <w:t>9</w:t>
      </w:r>
      <w:r w:rsidRPr="006E1C60">
        <w:t>] </w:t>
      </w:r>
      <w:r w:rsidR="003B29C7">
        <w:t xml:space="preserve">Tiesības uz valsts institūcijas rīcībā esošas informācijas pieejamību vispārīgi aplūkojamas </w:t>
      </w:r>
      <w:r w:rsidRPr="006E1C60">
        <w:t>Latvijas Republikas Satversmes (turpmāk – Satversme) 100.pant</w:t>
      </w:r>
      <w:r w:rsidR="003B29C7">
        <w:t xml:space="preserve">a kontekstā. </w:t>
      </w:r>
    </w:p>
    <w:p w14:paraId="1948E425" w14:textId="3D3C688F" w:rsidR="00785A95" w:rsidRPr="006E1C60" w:rsidRDefault="003B29C7" w:rsidP="002D6A5C">
      <w:pPr>
        <w:spacing w:line="276" w:lineRule="auto"/>
        <w:ind w:firstLine="567"/>
        <w:jc w:val="both"/>
      </w:pPr>
      <w:r>
        <w:t>Minētais pants</w:t>
      </w:r>
      <w:r w:rsidR="00785A95" w:rsidRPr="006E1C60">
        <w:t xml:space="preserve"> paredz, ka i</w:t>
      </w:r>
      <w:r w:rsidR="00785A95" w:rsidRPr="006E1C60">
        <w:rPr>
          <w:shd w:val="clear" w:color="auto" w:fill="FFFFFF"/>
        </w:rPr>
        <w:t>kvienam ir tiesības uz vārda brīvību, kas ietver arī tiesības brīvi iegūt, paturēt un izplatīt informāciju. Kā atzinusi Satversmes tiesa, v</w:t>
      </w:r>
      <w:r w:rsidR="00785A95" w:rsidRPr="006E1C60">
        <w:t>ārda brīvības publiskais aspekts attiecas</w:t>
      </w:r>
      <w:r w:rsidR="0076042E">
        <w:t xml:space="preserve"> arī</w:t>
      </w:r>
      <w:r w:rsidR="00785A95" w:rsidRPr="006E1C60">
        <w:t xml:space="preserve"> uz ikviena tiesībām brīvi saņemt informāciju</w:t>
      </w:r>
      <w:r>
        <w:t xml:space="preserve"> no valsts institūcijām, jo d</w:t>
      </w:r>
      <w:r w:rsidR="00785A95" w:rsidRPr="006E1C60">
        <w:t>emokrātiskas valsts funkcionēšanas neatņemama pazīme ir tās pārskatāmība (</w:t>
      </w:r>
      <w:r w:rsidR="00785A95" w:rsidRPr="006E1C60">
        <w:rPr>
          <w:i/>
        </w:rPr>
        <w:t>Satversmes tiesas 1999.gada 6.jūlija sprieduma lietā Nr. 04-02(99) secinājumu daļas 1. un 3.punkts</w:t>
      </w:r>
      <w:r w:rsidR="001F3B6B">
        <w:rPr>
          <w:i/>
        </w:rPr>
        <w:t xml:space="preserve"> un </w:t>
      </w:r>
      <w:r w:rsidR="001F3B6B" w:rsidRPr="006E1C60">
        <w:rPr>
          <w:i/>
        </w:rPr>
        <w:t>2003.gada 5.jūnija sprieduma lietā Nr. 2003-02-0106 secinājumu daļas 1.punkts</w:t>
      </w:r>
      <w:r w:rsidR="00785A95" w:rsidRPr="006E1C60">
        <w:t>). Arī Senāta judikatūrā atzīts, ka tiesību uz informācijas pieejamību mērķis ir nodrošināt sabiedrības tiesības sekot līdzi tam, kā valsts pilda tai uzticētās publiskās funkcijas (sal.</w:t>
      </w:r>
      <w:r w:rsidR="00785A95" w:rsidRPr="006E1C60">
        <w:rPr>
          <w:i/>
        </w:rPr>
        <w:t xml:space="preserve"> Senāta 2007.gada 8.jūnija </w:t>
      </w:r>
      <w:r w:rsidR="00DA615F" w:rsidRPr="006E1C60">
        <w:rPr>
          <w:i/>
        </w:rPr>
        <w:t>spriedum</w:t>
      </w:r>
      <w:r w:rsidR="00DA615F">
        <w:rPr>
          <w:i/>
        </w:rPr>
        <w:t>a</w:t>
      </w:r>
      <w:r w:rsidR="00DA615F" w:rsidRPr="006E1C60">
        <w:rPr>
          <w:i/>
        </w:rPr>
        <w:t xml:space="preserve"> </w:t>
      </w:r>
      <w:r w:rsidR="00785A95" w:rsidRPr="006E1C60">
        <w:rPr>
          <w:i/>
        </w:rPr>
        <w:t>lietā Nr. SKA-194/2007 (A42158404) 14.punkts</w:t>
      </w:r>
      <w:r w:rsidR="00785A95" w:rsidRPr="006E1C60">
        <w:t xml:space="preserve">). </w:t>
      </w:r>
    </w:p>
    <w:p w14:paraId="5C8179E2" w14:textId="77777777" w:rsidR="00511639" w:rsidRDefault="00511639" w:rsidP="002D6A5C">
      <w:pPr>
        <w:spacing w:line="276" w:lineRule="auto"/>
        <w:ind w:firstLine="567"/>
        <w:jc w:val="both"/>
      </w:pPr>
    </w:p>
    <w:p w14:paraId="6C083A7E" w14:textId="344415EC" w:rsidR="001E48EC" w:rsidRDefault="003B29C7" w:rsidP="002D6A5C">
      <w:pPr>
        <w:spacing w:line="276" w:lineRule="auto"/>
        <w:ind w:firstLine="567"/>
        <w:jc w:val="both"/>
      </w:pPr>
      <w:r>
        <w:t>[</w:t>
      </w:r>
      <w:r w:rsidR="00A35F9F">
        <w:t>10</w:t>
      </w:r>
      <w:r>
        <w:t>]</w:t>
      </w:r>
      <w:r w:rsidR="00F914B7">
        <w:t> </w:t>
      </w:r>
      <w:r w:rsidR="0076042E">
        <w:t>K</w:t>
      </w:r>
      <w:r>
        <w:t>onkrētajā gadījumā p</w:t>
      </w:r>
      <w:r w:rsidR="00785A95" w:rsidRPr="006E1C60">
        <w:t xml:space="preserve">ieteicējs ir pieprasījis informāciju no tiesas. </w:t>
      </w:r>
    </w:p>
    <w:p w14:paraId="014C44F1" w14:textId="6BD79218" w:rsidR="00811AB5" w:rsidRDefault="001E48EC" w:rsidP="002D6A5C">
      <w:pPr>
        <w:spacing w:line="276" w:lineRule="auto"/>
        <w:ind w:firstLine="567"/>
        <w:jc w:val="both"/>
      </w:pPr>
      <w:r>
        <w:t>Lai noskaidrotu, uz kādu tiesas rīcībā esošu informāciju ir attiecināms Satversmes 100.pants, vispirms jānorāda, ka t</w:t>
      </w:r>
      <w:r w:rsidR="00785A95" w:rsidRPr="006E1C60">
        <w:t>iesa pamatā īsteno tiesas spriešanu (tiesu varu), nevis pārvaldes funkcijas (izpildvaru).</w:t>
      </w:r>
      <w:r w:rsidR="002F1F60" w:rsidRPr="006E1C60">
        <w:t xml:space="preserve"> </w:t>
      </w:r>
      <w:r w:rsidR="001C2ADC">
        <w:t xml:space="preserve">Savukārt </w:t>
      </w:r>
      <w:r>
        <w:t xml:space="preserve">Informācijas atklātības likums, kura mērķis būtībā ir nodrošināt no Satversmes izrietošās tiesības uz </w:t>
      </w:r>
      <w:r w:rsidRPr="006E1C60">
        <w:t xml:space="preserve">iestādes rīcībā </w:t>
      </w:r>
      <w:r>
        <w:t xml:space="preserve">esošu informāciju, attiecas uz iestādēm, kas </w:t>
      </w:r>
      <w:r w:rsidRPr="006E1C60">
        <w:rPr>
          <w:shd w:val="clear" w:color="auto" w:fill="FFFFFF"/>
        </w:rPr>
        <w:t>īsteno pārvaldes funkcijas un uzdevumus</w:t>
      </w:r>
      <w:r w:rsidRPr="006E1C60">
        <w:t xml:space="preserve"> (likuma 1.panta 4.punkts). </w:t>
      </w:r>
    </w:p>
    <w:p w14:paraId="02CCAD52" w14:textId="11B6FF84" w:rsidR="00811AB5" w:rsidRDefault="00FB68F2" w:rsidP="002D6A5C">
      <w:pPr>
        <w:spacing w:line="276" w:lineRule="auto"/>
        <w:ind w:firstLine="567"/>
        <w:jc w:val="both"/>
      </w:pPr>
      <w:r>
        <w:t>Nav šaubu, ka Satversmes 100.pants aptver to informāciju, kas ir tiesas kā iestādes rīcībā</w:t>
      </w:r>
      <w:r w:rsidR="0059125A">
        <w:t xml:space="preserve"> un attiecas uz tiesas kā iestādes darbību</w:t>
      </w:r>
      <w:r>
        <w:t>.</w:t>
      </w:r>
      <w:r w:rsidR="001C2ADC">
        <w:t xml:space="preserve"> </w:t>
      </w:r>
      <w:r w:rsidR="001C2ADC" w:rsidRPr="006E1C60">
        <w:t xml:space="preserve">Tādējādi </w:t>
      </w:r>
      <w:r w:rsidR="001C2ADC">
        <w:t xml:space="preserve">Informācijas atklātības likums uz tiesām primāri ir attiecināms tiktāl, ciktāl </w:t>
      </w:r>
      <w:r w:rsidR="0076042E">
        <w:t>tiek lūgts izsniegt</w:t>
      </w:r>
      <w:r w:rsidR="001C2ADC">
        <w:t xml:space="preserve"> tiesas kā iestādes radītu informāciju (</w:t>
      </w:r>
      <w:r w:rsidR="001C2ADC">
        <w:rPr>
          <w:rFonts w:eastAsiaTheme="minorHAnsi"/>
          <w:lang w:eastAsia="en-US"/>
        </w:rPr>
        <w:t xml:space="preserve">piemēram, informāciju par </w:t>
      </w:r>
      <w:r w:rsidR="0059125A">
        <w:rPr>
          <w:rFonts w:eastAsiaTheme="minorHAnsi"/>
          <w:lang w:eastAsia="en-US"/>
        </w:rPr>
        <w:t xml:space="preserve">tiesas </w:t>
      </w:r>
      <w:r w:rsidR="001C2ADC">
        <w:rPr>
          <w:rFonts w:eastAsiaTheme="minorHAnsi"/>
          <w:lang w:eastAsia="en-US"/>
        </w:rPr>
        <w:t xml:space="preserve">darba laiku, apmeklētāju pieņemšanu, budžeta līdzekļu izlietojumu) vai vispārīga rakstura informāciju par to, kā tiesa pilda tai uzticētās funkcijas </w:t>
      </w:r>
      <w:r w:rsidR="001C2ADC">
        <w:rPr>
          <w:rFonts w:eastAsiaTheme="minorHAnsi"/>
          <w:lang w:eastAsia="en-US"/>
        </w:rPr>
        <w:lastRenderedPageBreak/>
        <w:t>(piemēram, informāciju par tiesas darba statistiku, par tiesu prakses apkopojumu pieejamību, par lietu sadales principiem u.tml.)</w:t>
      </w:r>
      <w:r w:rsidR="001C2ADC">
        <w:t xml:space="preserve">. </w:t>
      </w:r>
    </w:p>
    <w:p w14:paraId="44B640DC" w14:textId="149D468D" w:rsidR="00811AB5" w:rsidRDefault="001C2ADC" w:rsidP="002D6A5C">
      <w:pPr>
        <w:spacing w:line="276" w:lineRule="auto"/>
        <w:ind w:firstLine="567"/>
        <w:jc w:val="both"/>
        <w:rPr>
          <w:shd w:val="clear" w:color="auto" w:fill="FFFFFF"/>
        </w:rPr>
      </w:pPr>
      <w:r>
        <w:t xml:space="preserve">Tomēr vienlaikus sabiedrībai ir leģitīma interese arī par tiesas </w:t>
      </w:r>
      <w:r w:rsidR="0059125A">
        <w:t xml:space="preserve">(tiesnešu) </w:t>
      </w:r>
      <w:r>
        <w:t>darbu tiesas spriešanā</w:t>
      </w:r>
      <w:r w:rsidR="008530B5">
        <w:t xml:space="preserve">. Arī </w:t>
      </w:r>
      <w:r w:rsidR="008530B5">
        <w:rPr>
          <w:lang w:eastAsia="lv-LV"/>
        </w:rPr>
        <w:t>Satversmes tiesa, norādot, ka i</w:t>
      </w:r>
      <w:r w:rsidR="008530B5" w:rsidRPr="00FF1D50">
        <w:rPr>
          <w:lang w:eastAsia="lv-LV"/>
        </w:rPr>
        <w:t>nformācija</w:t>
      </w:r>
      <w:r w:rsidR="008530B5" w:rsidRPr="00C62BBC">
        <w:rPr>
          <w:lang w:eastAsia="lv-LV"/>
        </w:rPr>
        <w:t xml:space="preserve"> </w:t>
      </w:r>
      <w:r w:rsidR="008530B5" w:rsidRPr="00FF1D50">
        <w:rPr>
          <w:lang w:eastAsia="lv-LV"/>
        </w:rPr>
        <w:t>par tiesu varas darbību</w:t>
      </w:r>
      <w:r w:rsidR="008530B5" w:rsidRPr="00C62BBC">
        <w:rPr>
          <w:lang w:eastAsia="lv-LV"/>
        </w:rPr>
        <w:t xml:space="preserve"> </w:t>
      </w:r>
      <w:r w:rsidR="008530B5" w:rsidRPr="00FF1D50">
        <w:rPr>
          <w:lang w:eastAsia="lv-LV"/>
        </w:rPr>
        <w:t>ir atzīstama par informāciju</w:t>
      </w:r>
      <w:r w:rsidR="008530B5" w:rsidRPr="00C62BBC">
        <w:rPr>
          <w:lang w:eastAsia="lv-LV"/>
        </w:rPr>
        <w:t xml:space="preserve"> </w:t>
      </w:r>
      <w:r w:rsidR="008530B5" w:rsidRPr="00FF1D50">
        <w:rPr>
          <w:lang w:eastAsia="lv-LV"/>
        </w:rPr>
        <w:t>sabiedrības interesēs</w:t>
      </w:r>
      <w:r w:rsidR="008530B5">
        <w:rPr>
          <w:lang w:eastAsia="lv-LV"/>
        </w:rPr>
        <w:t xml:space="preserve">, ir uzsvērusi, ka </w:t>
      </w:r>
      <w:r w:rsidR="008530B5" w:rsidRPr="001C2ADC">
        <w:t>i</w:t>
      </w:r>
      <w:r w:rsidR="008530B5" w:rsidRPr="001C2ADC">
        <w:rPr>
          <w:lang w:eastAsia="lv-LV"/>
        </w:rPr>
        <w:t>kvienas personas tiesības iegūt informāciju par tiesu varas darbību ietilpst Satversmes 100.panta tvērumā</w:t>
      </w:r>
      <w:r w:rsidR="00811AB5">
        <w:rPr>
          <w:lang w:eastAsia="lv-LV"/>
        </w:rPr>
        <w:t xml:space="preserve"> un </w:t>
      </w:r>
      <w:r w:rsidR="008530B5">
        <w:rPr>
          <w:lang w:eastAsia="lv-LV"/>
        </w:rPr>
        <w:t xml:space="preserve">šajā kontekstā </w:t>
      </w:r>
      <w:r w:rsidR="008530B5" w:rsidRPr="00FF1D50">
        <w:rPr>
          <w:lang w:eastAsia="lv-LV"/>
        </w:rPr>
        <w:t>informācij</w:t>
      </w:r>
      <w:r w:rsidR="008530B5">
        <w:rPr>
          <w:lang w:eastAsia="lv-LV"/>
        </w:rPr>
        <w:t>a</w:t>
      </w:r>
      <w:r w:rsidR="008530B5" w:rsidRPr="00FF1D50">
        <w:rPr>
          <w:lang w:eastAsia="lv-LV"/>
        </w:rPr>
        <w:t xml:space="preserve"> par tiesu varas darbību </w:t>
      </w:r>
      <w:r w:rsidR="008530B5">
        <w:rPr>
          <w:lang w:eastAsia="lv-LV"/>
        </w:rPr>
        <w:t xml:space="preserve">ir gan informācija </w:t>
      </w:r>
      <w:r w:rsidR="008530B5" w:rsidRPr="00FF1D50">
        <w:rPr>
          <w:lang w:eastAsia="lv-LV"/>
        </w:rPr>
        <w:t xml:space="preserve">par tiesu sistēmas institucionālo uzbūvi, tiesām un to kompetenci, </w:t>
      </w:r>
      <w:r w:rsidR="008530B5">
        <w:rPr>
          <w:lang w:eastAsia="lv-LV"/>
        </w:rPr>
        <w:t>tiesnešu</w:t>
      </w:r>
      <w:r w:rsidR="008530B5" w:rsidRPr="00FF1D50">
        <w:rPr>
          <w:lang w:eastAsia="lv-LV"/>
        </w:rPr>
        <w:t xml:space="preserve"> iecelšanas un apstiprināšanas kārtību</w:t>
      </w:r>
      <w:r w:rsidR="008530B5">
        <w:rPr>
          <w:lang w:eastAsia="lv-LV"/>
        </w:rPr>
        <w:t xml:space="preserve">, </w:t>
      </w:r>
      <w:r w:rsidR="008530B5" w:rsidRPr="00FF1D50">
        <w:rPr>
          <w:lang w:eastAsia="lv-LV"/>
        </w:rPr>
        <w:t>tiesās izskatāmajām  lietām, to izskatīšanas principiem un kārtību</w:t>
      </w:r>
      <w:r w:rsidR="008530B5">
        <w:rPr>
          <w:lang w:eastAsia="lv-LV"/>
        </w:rPr>
        <w:t xml:space="preserve"> (tātad – tiesas kā iestādes informācija)</w:t>
      </w:r>
      <w:r w:rsidR="008530B5" w:rsidRPr="00FF1D50">
        <w:rPr>
          <w:lang w:eastAsia="lv-LV"/>
        </w:rPr>
        <w:t xml:space="preserve">, </w:t>
      </w:r>
      <w:r w:rsidR="008530B5">
        <w:rPr>
          <w:lang w:eastAsia="lv-LV"/>
        </w:rPr>
        <w:t xml:space="preserve">gan arī </w:t>
      </w:r>
      <w:r w:rsidR="0064226E">
        <w:rPr>
          <w:lang w:eastAsia="lv-LV"/>
        </w:rPr>
        <w:t xml:space="preserve">tiesas nolēmumi </w:t>
      </w:r>
      <w:r w:rsidR="00811AB5">
        <w:rPr>
          <w:lang w:eastAsia="lv-LV"/>
        </w:rPr>
        <w:t xml:space="preserve">(tātad – </w:t>
      </w:r>
      <w:r w:rsidR="009D49BE">
        <w:rPr>
          <w:lang w:eastAsia="lv-LV"/>
        </w:rPr>
        <w:t xml:space="preserve">informācija par </w:t>
      </w:r>
      <w:r w:rsidR="00811AB5">
        <w:rPr>
          <w:lang w:eastAsia="lv-LV"/>
        </w:rPr>
        <w:t>tiesas spriešanu) (</w:t>
      </w:r>
      <w:r w:rsidR="00811AB5" w:rsidRPr="00811AB5">
        <w:rPr>
          <w:i/>
          <w:iCs/>
          <w:lang w:eastAsia="lv-LV"/>
        </w:rPr>
        <w:t xml:space="preserve">Satversmes tiesas </w:t>
      </w:r>
      <w:r w:rsidR="00811AB5" w:rsidRPr="00811AB5">
        <w:rPr>
          <w:i/>
          <w:iCs/>
          <w:shd w:val="clear" w:color="auto" w:fill="FFFFFF"/>
        </w:rPr>
        <w:t>2015.gada 12.novembra sprieduma lietā Nr.</w:t>
      </w:r>
      <w:r w:rsidR="00DA615F">
        <w:rPr>
          <w:i/>
          <w:iCs/>
          <w:shd w:val="clear" w:color="auto" w:fill="FFFFFF"/>
        </w:rPr>
        <w:t> </w:t>
      </w:r>
      <w:r w:rsidR="00811AB5" w:rsidRPr="00811AB5">
        <w:rPr>
          <w:i/>
          <w:iCs/>
          <w:shd w:val="clear" w:color="auto" w:fill="FFFFFF"/>
        </w:rPr>
        <w:t>2015-06-01 11.1. un 11.2.punkts</w:t>
      </w:r>
      <w:r w:rsidR="00811AB5">
        <w:rPr>
          <w:shd w:val="clear" w:color="auto" w:fill="FFFFFF"/>
        </w:rPr>
        <w:t>).</w:t>
      </w:r>
    </w:p>
    <w:p w14:paraId="17E00464" w14:textId="77777777" w:rsidR="00BC4C21" w:rsidRDefault="00BC4C21" w:rsidP="002D6A5C">
      <w:pPr>
        <w:spacing w:line="276" w:lineRule="auto"/>
        <w:ind w:firstLine="567"/>
        <w:jc w:val="both"/>
        <w:rPr>
          <w:shd w:val="clear" w:color="auto" w:fill="FFFFFF"/>
        </w:rPr>
      </w:pPr>
    </w:p>
    <w:p w14:paraId="2541CBE6" w14:textId="673A9B61" w:rsidR="00D50961" w:rsidRDefault="00BC4C21" w:rsidP="002D6A5C">
      <w:pPr>
        <w:shd w:val="clear" w:color="auto" w:fill="FFFFFF"/>
        <w:spacing w:line="276" w:lineRule="auto"/>
        <w:ind w:firstLine="720"/>
        <w:jc w:val="both"/>
        <w:rPr>
          <w:shd w:val="clear" w:color="auto" w:fill="FFFFFF"/>
        </w:rPr>
      </w:pPr>
      <w:r>
        <w:rPr>
          <w:shd w:val="clear" w:color="auto" w:fill="FFFFFF"/>
        </w:rPr>
        <w:t>[</w:t>
      </w:r>
      <w:r w:rsidR="00A35F9F">
        <w:rPr>
          <w:shd w:val="clear" w:color="auto" w:fill="FFFFFF"/>
        </w:rPr>
        <w:t>11</w:t>
      </w:r>
      <w:r>
        <w:rPr>
          <w:shd w:val="clear" w:color="auto" w:fill="FFFFFF"/>
        </w:rPr>
        <w:t>]</w:t>
      </w:r>
      <w:r w:rsidR="00F914B7">
        <w:rPr>
          <w:shd w:val="clear" w:color="auto" w:fill="FFFFFF"/>
        </w:rPr>
        <w:t> </w:t>
      </w:r>
      <w:r>
        <w:rPr>
          <w:shd w:val="clear" w:color="auto" w:fill="FFFFFF"/>
        </w:rPr>
        <w:t>Apsverot Satversmes 100.pantā garantēto tiesību uz informācijas pieejamību attiecināmību uz informāciju par tiesas spriešanu</w:t>
      </w:r>
      <w:r w:rsidR="00580354">
        <w:rPr>
          <w:shd w:val="clear" w:color="auto" w:fill="FFFFFF"/>
        </w:rPr>
        <w:t xml:space="preserve"> konkrētās lietās</w:t>
      </w:r>
      <w:r>
        <w:rPr>
          <w:shd w:val="clear" w:color="auto" w:fill="FFFFFF"/>
        </w:rPr>
        <w:t xml:space="preserve">, </w:t>
      </w:r>
      <w:r w:rsidR="00811AB5">
        <w:rPr>
          <w:shd w:val="clear" w:color="auto" w:fill="FFFFFF"/>
        </w:rPr>
        <w:t>būtiski ir tas, kāpēc sabiedrībai</w:t>
      </w:r>
      <w:r>
        <w:rPr>
          <w:shd w:val="clear" w:color="auto" w:fill="FFFFFF"/>
        </w:rPr>
        <w:t xml:space="preserve"> ir</w:t>
      </w:r>
      <w:r w:rsidR="00811AB5">
        <w:rPr>
          <w:shd w:val="clear" w:color="auto" w:fill="FFFFFF"/>
        </w:rPr>
        <w:t xml:space="preserve"> atzīstama leģitīma interese par tiesas spriešanu</w:t>
      </w:r>
      <w:r>
        <w:rPr>
          <w:shd w:val="clear" w:color="auto" w:fill="FFFFFF"/>
        </w:rPr>
        <w:t xml:space="preserve">. </w:t>
      </w:r>
    </w:p>
    <w:p w14:paraId="41919FAA" w14:textId="347514AC" w:rsidR="00D50961" w:rsidRDefault="0076042E" w:rsidP="002D6A5C">
      <w:pPr>
        <w:shd w:val="clear" w:color="auto" w:fill="FFFFFF"/>
        <w:spacing w:line="276" w:lineRule="auto"/>
        <w:ind w:firstLine="720"/>
        <w:jc w:val="both"/>
        <w:rPr>
          <w:shd w:val="clear" w:color="auto" w:fill="FFFFFF"/>
        </w:rPr>
      </w:pPr>
      <w:r>
        <w:rPr>
          <w:shd w:val="clear" w:color="auto" w:fill="FFFFFF"/>
        </w:rPr>
        <w:t>T</w:t>
      </w:r>
      <w:r w:rsidR="00811AB5">
        <w:rPr>
          <w:shd w:val="clear" w:color="auto" w:fill="FFFFFF"/>
        </w:rPr>
        <w:t>as ir tāpēc, ka</w:t>
      </w:r>
      <w:r w:rsidR="000C4CC8">
        <w:rPr>
          <w:shd w:val="clear" w:color="auto" w:fill="FFFFFF"/>
        </w:rPr>
        <w:t xml:space="preserve"> tiesas spriešana </w:t>
      </w:r>
      <w:r w:rsidR="000C4CC8" w:rsidRPr="006E1C60">
        <w:t>– tiesību uz taisnīgu tiesu nodrošināšana</w:t>
      </w:r>
      <w:r w:rsidR="000C4CC8">
        <w:rPr>
          <w:shd w:val="clear" w:color="auto" w:fill="FFFFFF"/>
        </w:rPr>
        <w:t xml:space="preserve"> – ir</w:t>
      </w:r>
      <w:r w:rsidR="00811AB5">
        <w:rPr>
          <w:shd w:val="clear" w:color="auto" w:fill="FFFFFF"/>
        </w:rPr>
        <w:t xml:space="preserve"> </w:t>
      </w:r>
      <w:r w:rsidR="00811AB5" w:rsidRPr="006E1C60">
        <w:t>demokrātiskas un tiesiskas valsts funkcionēšanas neatņemama sastāvdaļa</w:t>
      </w:r>
      <w:r w:rsidR="00BC4C21">
        <w:t xml:space="preserve"> un </w:t>
      </w:r>
      <w:r w:rsidR="00811AB5" w:rsidRPr="006E1C60">
        <w:t>tiesu darbam pamatā ir jābūt atklātam un caurskatāmam</w:t>
      </w:r>
      <w:r w:rsidR="00D50961">
        <w:t>, lai sabiedrība varētu sekot līdzi tam, kā tiesas pilda šo būtisko funkciju</w:t>
      </w:r>
      <w:r w:rsidR="00BC4C21">
        <w:t xml:space="preserve">. </w:t>
      </w:r>
      <w:r w:rsidR="00BC4C21" w:rsidRPr="00C62BBC">
        <w:rPr>
          <w:lang w:eastAsia="lv-LV"/>
        </w:rPr>
        <w:t>Person</w:t>
      </w:r>
      <w:r w:rsidR="00BC4C21">
        <w:rPr>
          <w:lang w:eastAsia="lv-LV"/>
        </w:rPr>
        <w:t>u</w:t>
      </w:r>
      <w:r w:rsidR="00BC4C21" w:rsidRPr="00C62BBC">
        <w:rPr>
          <w:lang w:eastAsia="lv-LV"/>
        </w:rPr>
        <w:t xml:space="preserve"> tiesības iegūt informāciju par tiesu varas darbību ir svarīgas, lai </w:t>
      </w:r>
      <w:r w:rsidR="00213A7D">
        <w:rPr>
          <w:lang w:eastAsia="lv-LV"/>
        </w:rPr>
        <w:t xml:space="preserve">tādējādi </w:t>
      </w:r>
      <w:r w:rsidR="00BC4C21" w:rsidRPr="00C62BBC">
        <w:rPr>
          <w:lang w:eastAsia="lv-LV"/>
        </w:rPr>
        <w:t>nodrošinātu sabiedrības vispārējo uzticēšanos</w:t>
      </w:r>
      <w:r w:rsidR="00017D06">
        <w:rPr>
          <w:lang w:eastAsia="lv-LV"/>
        </w:rPr>
        <w:t xml:space="preserve"> </w:t>
      </w:r>
      <w:r w:rsidR="00BC4C21" w:rsidRPr="00C62BBC">
        <w:rPr>
          <w:lang w:eastAsia="lv-LV"/>
        </w:rPr>
        <w:t>tiesu</w:t>
      </w:r>
      <w:r w:rsidR="00017D06">
        <w:rPr>
          <w:lang w:eastAsia="lv-LV"/>
        </w:rPr>
        <w:t xml:space="preserve"> </w:t>
      </w:r>
      <w:r w:rsidR="00BC4C21" w:rsidRPr="00C62BBC">
        <w:rPr>
          <w:lang w:eastAsia="lv-LV"/>
        </w:rPr>
        <w:t>varai</w:t>
      </w:r>
      <w:r w:rsidR="00BC4C21">
        <w:rPr>
          <w:lang w:eastAsia="lv-LV"/>
        </w:rPr>
        <w:t xml:space="preserve"> (</w:t>
      </w:r>
      <w:r w:rsidR="00BC4C21" w:rsidRPr="00811AB5">
        <w:rPr>
          <w:i/>
          <w:iCs/>
          <w:lang w:eastAsia="lv-LV"/>
        </w:rPr>
        <w:t xml:space="preserve">Satversmes tiesas </w:t>
      </w:r>
      <w:r w:rsidR="00BC4C21" w:rsidRPr="00811AB5">
        <w:rPr>
          <w:i/>
          <w:iCs/>
          <w:shd w:val="clear" w:color="auto" w:fill="FFFFFF"/>
        </w:rPr>
        <w:t>2015.gada 12.novembra sprieduma lietā Nr.</w:t>
      </w:r>
      <w:r w:rsidR="00714A64">
        <w:rPr>
          <w:i/>
          <w:iCs/>
          <w:shd w:val="clear" w:color="auto" w:fill="FFFFFF"/>
        </w:rPr>
        <w:t> </w:t>
      </w:r>
      <w:r w:rsidR="00BC4C21" w:rsidRPr="00811AB5">
        <w:rPr>
          <w:i/>
          <w:iCs/>
          <w:shd w:val="clear" w:color="auto" w:fill="FFFFFF"/>
        </w:rPr>
        <w:t>2015-06-01</w:t>
      </w:r>
      <w:r w:rsidR="00BC4C21">
        <w:rPr>
          <w:i/>
          <w:iCs/>
          <w:shd w:val="clear" w:color="auto" w:fill="FFFFFF"/>
        </w:rPr>
        <w:t xml:space="preserve"> 20.punkts</w:t>
      </w:r>
      <w:r w:rsidR="00BC4C21" w:rsidRPr="00BC4C21">
        <w:rPr>
          <w:shd w:val="clear" w:color="auto" w:fill="FFFFFF"/>
        </w:rPr>
        <w:t>)</w:t>
      </w:r>
      <w:r w:rsidR="00D50961">
        <w:rPr>
          <w:shd w:val="clear" w:color="auto" w:fill="FFFFFF"/>
        </w:rPr>
        <w:t>, kas savukārt ir fundamentāli nepieciešams, lai tiesas efektīvi varētu nodrošināt tiesības uz taisnīgu tiesu.</w:t>
      </w:r>
    </w:p>
    <w:p w14:paraId="04995B63" w14:textId="30AC1384" w:rsidR="00BC4C21" w:rsidRDefault="00D50961" w:rsidP="002D6A5C">
      <w:pPr>
        <w:shd w:val="clear" w:color="auto" w:fill="FFFFFF"/>
        <w:spacing w:line="276" w:lineRule="auto"/>
        <w:ind w:firstLine="567"/>
        <w:jc w:val="both"/>
        <w:rPr>
          <w:shd w:val="clear" w:color="auto" w:fill="FFFFFF"/>
        </w:rPr>
      </w:pPr>
      <w:r>
        <w:rPr>
          <w:shd w:val="clear" w:color="auto" w:fill="FFFFFF"/>
        </w:rPr>
        <w:t>Tātad nepieciešamība nodrošināt sabiedrībai iespēju sekot līdzi tiesas spriešanai ir nesaraujami saistīta ar tiesību uz taisnīgu tiesu īstenošanu.</w:t>
      </w:r>
      <w:r w:rsidR="00017D06">
        <w:rPr>
          <w:shd w:val="clear" w:color="auto" w:fill="FFFFFF"/>
        </w:rPr>
        <w:t xml:space="preserve"> </w:t>
      </w:r>
    </w:p>
    <w:p w14:paraId="1975C56E" w14:textId="3196B195" w:rsidR="00017D06" w:rsidRDefault="00017D06" w:rsidP="002D6A5C">
      <w:pPr>
        <w:spacing w:line="276" w:lineRule="auto"/>
        <w:ind w:firstLine="567"/>
        <w:jc w:val="both"/>
        <w:rPr>
          <w:rStyle w:val="sb8d990e2"/>
          <w:shd w:val="clear" w:color="auto" w:fill="FFFFFF"/>
        </w:rPr>
      </w:pPr>
      <w:r>
        <w:rPr>
          <w:shd w:val="clear" w:color="auto" w:fill="FFFFFF"/>
        </w:rPr>
        <w:t>Šā iemesla dēļ jāņem vērā, ka primāri tiesību uz taisnīgu tiesu efektīvas nodrošināšanas garants ir Satversmes 92.pants, kas citstarp noteic</w:t>
      </w:r>
      <w:r w:rsidRPr="00962550">
        <w:rPr>
          <w:rStyle w:val="sb8d990e2"/>
          <w:shd w:val="clear" w:color="auto" w:fill="FFFFFF"/>
        </w:rPr>
        <w:t xml:space="preserve"> tiesīb</w:t>
      </w:r>
      <w:r>
        <w:rPr>
          <w:rStyle w:val="sb8d990e2"/>
          <w:shd w:val="clear" w:color="auto" w:fill="FFFFFF"/>
        </w:rPr>
        <w:t>as</w:t>
      </w:r>
      <w:r w:rsidRPr="00962550">
        <w:rPr>
          <w:rStyle w:val="sb8d990e2"/>
          <w:shd w:val="clear" w:color="auto" w:fill="FFFFFF"/>
        </w:rPr>
        <w:t xml:space="preserve"> uz atklātu lietas izskatīšanu un publiski pasludinātu tiesas spriedumu</w:t>
      </w:r>
      <w:r>
        <w:rPr>
          <w:rStyle w:val="sb8d990e2"/>
          <w:shd w:val="clear" w:color="auto" w:fill="FFFFFF"/>
        </w:rPr>
        <w:t xml:space="preserve">. Kā </w:t>
      </w:r>
      <w:r w:rsidR="000C4CC8">
        <w:rPr>
          <w:rStyle w:val="sb8d990e2"/>
          <w:shd w:val="clear" w:color="auto" w:fill="FFFFFF"/>
        </w:rPr>
        <w:t xml:space="preserve">konsekventi </w:t>
      </w:r>
      <w:r>
        <w:rPr>
          <w:rStyle w:val="sb8d990e2"/>
          <w:shd w:val="clear" w:color="auto" w:fill="FFFFFF"/>
        </w:rPr>
        <w:t>atzinusi Eiropas Cilvēktiesību tiesa, minēto</w:t>
      </w:r>
      <w:r w:rsidR="000C4CC8">
        <w:rPr>
          <w:rStyle w:val="sb8d990e2"/>
          <w:shd w:val="clear" w:color="auto" w:fill="FFFFFF"/>
        </w:rPr>
        <w:t xml:space="preserve"> tiesību uz taisnīgu tiesu elementu</w:t>
      </w:r>
      <w:r w:rsidRPr="00962550">
        <w:rPr>
          <w:rStyle w:val="sb8d990e2"/>
          <w:shd w:val="clear" w:color="auto" w:fill="FFFFFF"/>
        </w:rPr>
        <w:t xml:space="preserve"> jēga un mērķis ir nodrošināt tiesas spriešanas caurskatāmību un iespēju sabiedrībai sekot līdzi un analizēt tiesu darbu, lai tādējādi tiktu veicināta sabiedrības uzticēšanās tiesām un lai vienlaikus tiesas procesa dalībnieki būtu pasargāti no tiesas spriešanas slepenībā jeb ārpus sabiedrības </w:t>
      </w:r>
      <w:r w:rsidRPr="00962550">
        <w:t>uzraudzības</w:t>
      </w:r>
      <w:r w:rsidRPr="00962550">
        <w:rPr>
          <w:rStyle w:val="sb8d990e2"/>
          <w:shd w:val="clear" w:color="auto" w:fill="FFFFFF"/>
        </w:rPr>
        <w:t>. Publisks tiesas process nodrošina sabiedrības līdzdalību tiesību uz taisnīgu tiesu nodrošināšanā (piemēram,</w:t>
      </w:r>
      <w:r w:rsidRPr="00962550">
        <w:rPr>
          <w:rStyle w:val="sb8d990e2"/>
          <w:i/>
          <w:shd w:val="clear" w:color="auto" w:fill="FFFFFF"/>
        </w:rPr>
        <w:t xml:space="preserve"> Eiropas Cilvēktiesību tiesas 1983.gada 8.decembra sprieduma lietā „</w:t>
      </w:r>
      <w:r w:rsidRPr="00962550">
        <w:rPr>
          <w:rStyle w:val="s6b621b36"/>
          <w:i/>
          <w:iCs/>
          <w:shd w:val="clear" w:color="auto" w:fill="FFFFFF"/>
        </w:rPr>
        <w:t>Pretto and Others v. Italy”</w:t>
      </w:r>
      <w:r w:rsidRPr="00962550">
        <w:rPr>
          <w:rStyle w:val="sb8d990e2"/>
          <w:i/>
          <w:shd w:val="clear" w:color="auto" w:fill="FFFFFF"/>
        </w:rPr>
        <w:t>, iesnieguma Nr.</w:t>
      </w:r>
      <w:r w:rsidR="00630EAD">
        <w:t> </w:t>
      </w:r>
      <w:r w:rsidRPr="00962550">
        <w:rPr>
          <w:rStyle w:val="sb8d990e2"/>
          <w:i/>
          <w:shd w:val="clear" w:color="auto" w:fill="FFFFFF"/>
        </w:rPr>
        <w:t>7984/77, 21.</w:t>
      </w:r>
      <w:r w:rsidR="00F42824">
        <w:rPr>
          <w:rStyle w:val="sb8d990e2"/>
          <w:i/>
          <w:shd w:val="clear" w:color="auto" w:fill="FFFFFF"/>
        </w:rPr>
        <w:t>punkts</w:t>
      </w:r>
      <w:r w:rsidRPr="00962550">
        <w:rPr>
          <w:rStyle w:val="sb8d990e2"/>
          <w:i/>
          <w:shd w:val="clear" w:color="auto" w:fill="FFFFFF"/>
        </w:rPr>
        <w:t xml:space="preserve"> un tā paša datuma sprieduma lietā „</w:t>
      </w:r>
      <w:r w:rsidRPr="00962550">
        <w:rPr>
          <w:rStyle w:val="s6b621b36"/>
          <w:i/>
          <w:iCs/>
          <w:shd w:val="clear" w:color="auto" w:fill="FFFFFF"/>
        </w:rPr>
        <w:t>Axen v. Germany”, iesnieguma Nr. 8273/78</w:t>
      </w:r>
      <w:r w:rsidR="000101A2">
        <w:rPr>
          <w:rStyle w:val="s6b621b36"/>
          <w:i/>
          <w:iCs/>
          <w:shd w:val="clear" w:color="auto" w:fill="FFFFFF"/>
        </w:rPr>
        <w:t>,</w:t>
      </w:r>
      <w:r w:rsidRPr="00962550">
        <w:rPr>
          <w:rStyle w:val="s6b621b36"/>
          <w:i/>
          <w:iCs/>
          <w:shd w:val="clear" w:color="auto" w:fill="FFFFFF"/>
        </w:rPr>
        <w:t xml:space="preserve"> </w:t>
      </w:r>
      <w:r w:rsidRPr="00962550">
        <w:rPr>
          <w:rStyle w:val="sb8d990e2"/>
          <w:i/>
          <w:shd w:val="clear" w:color="auto" w:fill="FFFFFF"/>
        </w:rPr>
        <w:t>25.</w:t>
      </w:r>
      <w:r w:rsidR="00F42824">
        <w:rPr>
          <w:rStyle w:val="sb8d990e2"/>
          <w:i/>
          <w:shd w:val="clear" w:color="auto" w:fill="FFFFFF"/>
        </w:rPr>
        <w:t>punkts</w:t>
      </w:r>
      <w:r w:rsidRPr="00962550">
        <w:rPr>
          <w:rStyle w:val="sb8d990e2"/>
          <w:i/>
          <w:shd w:val="clear" w:color="auto" w:fill="FFFFFF"/>
        </w:rPr>
        <w:t>, 2008.gada 17.janvāra sprieduma lietā „</w:t>
      </w:r>
      <w:r w:rsidRPr="00962550">
        <w:rPr>
          <w:bCs/>
          <w:i/>
          <w:shd w:val="clear" w:color="auto" w:fill="FFFFFF"/>
        </w:rPr>
        <w:t>Ryakib Biryukov v. Russia”, iesnieguma Nr.</w:t>
      </w:r>
      <w:r w:rsidR="00630EAD">
        <w:rPr>
          <w:bCs/>
          <w:i/>
          <w:shd w:val="clear" w:color="auto" w:fill="FFFFFF"/>
        </w:rPr>
        <w:t> </w:t>
      </w:r>
      <w:r w:rsidRPr="00962550">
        <w:rPr>
          <w:bCs/>
          <w:i/>
          <w:shd w:val="clear" w:color="auto" w:fill="FFFFFF"/>
        </w:rPr>
        <w:t>14810/02,</w:t>
      </w:r>
      <w:r w:rsidRPr="00962550">
        <w:rPr>
          <w:rStyle w:val="sb8d990e2"/>
          <w:i/>
          <w:shd w:val="clear" w:color="auto" w:fill="FFFFFF"/>
        </w:rPr>
        <w:t xml:space="preserve"> 30.</w:t>
      </w:r>
      <w:r w:rsidR="00F42824">
        <w:rPr>
          <w:rStyle w:val="sb8d990e2"/>
          <w:i/>
          <w:shd w:val="clear" w:color="auto" w:fill="FFFFFF"/>
        </w:rPr>
        <w:t>punkts</w:t>
      </w:r>
      <w:r w:rsidRPr="00962550">
        <w:rPr>
          <w:rStyle w:val="sb8d990e2"/>
          <w:i/>
          <w:shd w:val="clear" w:color="auto" w:fill="FFFFFF"/>
        </w:rPr>
        <w:t xml:space="preserve">, 2013.gada 16.aprīļa sprieduma lietā </w:t>
      </w:r>
      <w:r w:rsidRPr="00962550">
        <w:rPr>
          <w:bCs/>
          <w:i/>
          <w:shd w:val="clear" w:color="auto" w:fill="FFFFFF"/>
        </w:rPr>
        <w:t>„Fazliyski v. Bulgaria”, iesnieguma Nr.</w:t>
      </w:r>
      <w:r w:rsidR="00630EAD">
        <w:rPr>
          <w:bCs/>
          <w:i/>
          <w:shd w:val="clear" w:color="auto" w:fill="FFFFFF"/>
        </w:rPr>
        <w:t> </w:t>
      </w:r>
      <w:r w:rsidRPr="00962550">
        <w:rPr>
          <w:bCs/>
          <w:i/>
          <w:shd w:val="clear" w:color="auto" w:fill="FFFFFF"/>
        </w:rPr>
        <w:t>40908/05, 64.</w:t>
      </w:r>
      <w:r w:rsidR="00F42824">
        <w:rPr>
          <w:bCs/>
          <w:i/>
          <w:shd w:val="clear" w:color="auto" w:fill="FFFFFF"/>
        </w:rPr>
        <w:t>punkts</w:t>
      </w:r>
      <w:r w:rsidRPr="00962550">
        <w:rPr>
          <w:rStyle w:val="sb8d990e2"/>
          <w:shd w:val="clear" w:color="auto" w:fill="FFFFFF"/>
        </w:rPr>
        <w:t>). Proti,</w:t>
      </w:r>
      <w:r w:rsidR="000C4CC8">
        <w:rPr>
          <w:rStyle w:val="sb8d990e2"/>
          <w:shd w:val="clear" w:color="auto" w:fill="FFFFFF"/>
        </w:rPr>
        <w:t xml:space="preserve"> atklāta lietas izskatīšana un </w:t>
      </w:r>
      <w:r w:rsidRPr="00962550">
        <w:rPr>
          <w:rStyle w:val="sb8d990e2"/>
          <w:shd w:val="clear" w:color="auto" w:fill="FFFFFF"/>
        </w:rPr>
        <w:t>tiesas sprieduma publiskums jeb pieejamība sabiedrībai ir instrument</w:t>
      </w:r>
      <w:r w:rsidR="000C4CC8">
        <w:rPr>
          <w:rStyle w:val="sb8d990e2"/>
          <w:shd w:val="clear" w:color="auto" w:fill="FFFFFF"/>
        </w:rPr>
        <w:t>i</w:t>
      </w:r>
      <w:r w:rsidRPr="00962550">
        <w:rPr>
          <w:rStyle w:val="sb8d990e2"/>
          <w:shd w:val="clear" w:color="auto" w:fill="FFFFFF"/>
        </w:rPr>
        <w:t>, ar kur</w:t>
      </w:r>
      <w:r w:rsidR="000C4CC8">
        <w:rPr>
          <w:rStyle w:val="sb8d990e2"/>
          <w:shd w:val="clear" w:color="auto" w:fill="FFFFFF"/>
        </w:rPr>
        <w:t>iem</w:t>
      </w:r>
      <w:r w:rsidRPr="00962550">
        <w:rPr>
          <w:rStyle w:val="sb8d990e2"/>
          <w:shd w:val="clear" w:color="auto" w:fill="FFFFFF"/>
        </w:rPr>
        <w:t xml:space="preserve"> tiek</w:t>
      </w:r>
      <w:r w:rsidR="000C4CC8">
        <w:rPr>
          <w:rStyle w:val="sb8d990e2"/>
          <w:shd w:val="clear" w:color="auto" w:fill="FFFFFF"/>
        </w:rPr>
        <w:t xml:space="preserve"> nodrošināta sabiedrības iespēja sekot līdzi tiesu darbam</w:t>
      </w:r>
      <w:r w:rsidR="00EB0F39">
        <w:rPr>
          <w:rStyle w:val="sb8d990e2"/>
          <w:shd w:val="clear" w:color="auto" w:fill="FFFFFF"/>
        </w:rPr>
        <w:t xml:space="preserve">, </w:t>
      </w:r>
      <w:r w:rsidR="000C4CC8">
        <w:rPr>
          <w:rStyle w:val="sb8d990e2"/>
          <w:shd w:val="clear" w:color="auto" w:fill="FFFFFF"/>
        </w:rPr>
        <w:t xml:space="preserve">un tādējādi tiek </w:t>
      </w:r>
      <w:r w:rsidRPr="00962550">
        <w:rPr>
          <w:rStyle w:val="sb8d990e2"/>
          <w:shd w:val="clear" w:color="auto" w:fill="FFFFFF"/>
        </w:rPr>
        <w:t>veicināta gan sabiedrības uzticēšanās tiesām, gan tiesībām uz taisnīgu tiesu atbilstoša lietu iztiesāšana.</w:t>
      </w:r>
    </w:p>
    <w:p w14:paraId="7296E729" w14:textId="445FD2F3" w:rsidR="008806C2" w:rsidRDefault="000C4CC8" w:rsidP="002D6A5C">
      <w:pPr>
        <w:spacing w:line="276" w:lineRule="auto"/>
        <w:ind w:firstLine="567"/>
        <w:jc w:val="both"/>
        <w:rPr>
          <w:rStyle w:val="sb8d990e2"/>
          <w:shd w:val="clear" w:color="auto" w:fill="FFFFFF"/>
        </w:rPr>
      </w:pPr>
      <w:r>
        <w:rPr>
          <w:rStyle w:val="sb8d990e2"/>
          <w:shd w:val="clear" w:color="auto" w:fill="FFFFFF"/>
        </w:rPr>
        <w:t xml:space="preserve">No minētā secināms, ka </w:t>
      </w:r>
      <w:r w:rsidR="00A47467">
        <w:rPr>
          <w:rStyle w:val="sb8d990e2"/>
          <w:shd w:val="clear" w:color="auto" w:fill="FFFFFF"/>
        </w:rPr>
        <w:t xml:space="preserve">arī tiesību uz taisnīgu tiesu garantijas ir vērstas uz to, lai sabiedrībai būtu nodrošināta pienācīga iespēja </w:t>
      </w:r>
      <w:r w:rsidR="008806C2">
        <w:rPr>
          <w:rStyle w:val="sb8d990e2"/>
          <w:shd w:val="clear" w:color="auto" w:fill="FFFFFF"/>
        </w:rPr>
        <w:t xml:space="preserve">sekot līdzi tiesas darbam. </w:t>
      </w:r>
    </w:p>
    <w:p w14:paraId="34CB688B" w14:textId="77777777" w:rsidR="009D49BE" w:rsidRDefault="009D49BE" w:rsidP="002D6A5C">
      <w:pPr>
        <w:spacing w:line="276" w:lineRule="auto"/>
        <w:ind w:firstLine="567"/>
        <w:jc w:val="both"/>
      </w:pPr>
    </w:p>
    <w:p w14:paraId="17AA1E92" w14:textId="6D4D617C" w:rsidR="00017D06" w:rsidRDefault="009D49BE" w:rsidP="002D6A5C">
      <w:pPr>
        <w:spacing w:line="276" w:lineRule="auto"/>
        <w:ind w:firstLine="567"/>
        <w:jc w:val="both"/>
      </w:pPr>
      <w:r>
        <w:rPr>
          <w:rStyle w:val="sb8d990e2"/>
          <w:shd w:val="clear" w:color="auto" w:fill="FFFFFF"/>
        </w:rPr>
        <w:t>[</w:t>
      </w:r>
      <w:r w:rsidR="00A35F9F">
        <w:rPr>
          <w:rStyle w:val="sb8d990e2"/>
          <w:shd w:val="clear" w:color="auto" w:fill="FFFFFF"/>
        </w:rPr>
        <w:t>12</w:t>
      </w:r>
      <w:r>
        <w:rPr>
          <w:rStyle w:val="sb8d990e2"/>
          <w:shd w:val="clear" w:color="auto" w:fill="FFFFFF"/>
        </w:rPr>
        <w:t>]</w:t>
      </w:r>
      <w:r w:rsidR="00F914B7">
        <w:rPr>
          <w:rStyle w:val="sb8d990e2"/>
          <w:shd w:val="clear" w:color="auto" w:fill="FFFFFF"/>
        </w:rPr>
        <w:t> </w:t>
      </w:r>
      <w:r>
        <w:rPr>
          <w:rStyle w:val="sb8d990e2"/>
          <w:shd w:val="clear" w:color="auto" w:fill="FFFFFF"/>
        </w:rPr>
        <w:t xml:space="preserve">Ievērojot minēto, </w:t>
      </w:r>
      <w:r w:rsidR="00A47467">
        <w:rPr>
          <w:rStyle w:val="sb8d990e2"/>
          <w:shd w:val="clear" w:color="auto" w:fill="FFFFFF"/>
        </w:rPr>
        <w:t>Senāts atzīst, ka</w:t>
      </w:r>
      <w:r w:rsidR="001F382D">
        <w:rPr>
          <w:rStyle w:val="sb8d990e2"/>
          <w:shd w:val="clear" w:color="auto" w:fill="FFFFFF"/>
        </w:rPr>
        <w:t xml:space="preserve">, aplūkojot jautājumu par informācijas </w:t>
      </w:r>
      <w:r w:rsidR="00911637">
        <w:rPr>
          <w:rStyle w:val="sb8d990e2"/>
          <w:shd w:val="clear" w:color="auto" w:fill="FFFFFF"/>
        </w:rPr>
        <w:t xml:space="preserve">pieejamību </w:t>
      </w:r>
      <w:r w:rsidR="001F382D">
        <w:rPr>
          <w:rStyle w:val="sb8d990e2"/>
          <w:shd w:val="clear" w:color="auto" w:fill="FFFFFF"/>
        </w:rPr>
        <w:t xml:space="preserve">saistībā ar tiesas spriešanu, </w:t>
      </w:r>
      <w:r w:rsidR="001F382D" w:rsidRPr="0064226E">
        <w:rPr>
          <w:rStyle w:val="sb8d990e2"/>
          <w:shd w:val="clear" w:color="auto" w:fill="FFFFFF"/>
        </w:rPr>
        <w:t>Satversmes 100.pants ir piemērojams kopsakarā ar Satversmes 92.pantu</w:t>
      </w:r>
      <w:r w:rsidR="001F382D">
        <w:rPr>
          <w:rStyle w:val="sb8d990e2"/>
          <w:shd w:val="clear" w:color="auto" w:fill="FFFFFF"/>
        </w:rPr>
        <w:t xml:space="preserve">. Proti, </w:t>
      </w:r>
      <w:r w:rsidR="001F382D">
        <w:t xml:space="preserve">Satversmes </w:t>
      </w:r>
      <w:r w:rsidR="00017D06">
        <w:t>100.panta tvērum</w:t>
      </w:r>
      <w:r w:rsidR="001F382D">
        <w:t xml:space="preserve">s attiecībā uz informāciju par tiesas spriešanu </w:t>
      </w:r>
      <w:r w:rsidR="001F382D">
        <w:lastRenderedPageBreak/>
        <w:t xml:space="preserve">nosakāms, </w:t>
      </w:r>
      <w:r w:rsidR="00017D06">
        <w:t xml:space="preserve">aplūkojot </w:t>
      </w:r>
      <w:r w:rsidR="001F382D">
        <w:t>to</w:t>
      </w:r>
      <w:r w:rsidR="00017D06">
        <w:t>, kādas informācijas pieejamību sabiedrībai prasa tiesības uz taisnīgu tiesu.</w:t>
      </w:r>
      <w:r w:rsidR="001F382D">
        <w:t xml:space="preserve"> Tādējādi tiek nodrošināts, </w:t>
      </w:r>
      <w:r w:rsidR="00DB6611">
        <w:t>ka</w:t>
      </w:r>
      <w:r w:rsidR="001F382D">
        <w:t xml:space="preserve"> sabiedrībai </w:t>
      </w:r>
      <w:r w:rsidR="00DB6611">
        <w:t xml:space="preserve">ir </w:t>
      </w:r>
      <w:r w:rsidR="001F382D">
        <w:t xml:space="preserve">pienācīgas iespējas sekot līdzi tam, kā tiesa īsteno tiesas spriešanas funkciju, vienlaikus pasargājot tiesu no nepamatotas, tiesas darbu kavējošas iejaukšanās tiesas spriešanas procesā. </w:t>
      </w:r>
    </w:p>
    <w:p w14:paraId="74638C45" w14:textId="77777777" w:rsidR="00017D06" w:rsidRPr="006E1C60" w:rsidRDefault="00017D06" w:rsidP="002D6A5C">
      <w:pPr>
        <w:spacing w:line="276" w:lineRule="auto"/>
        <w:ind w:firstLine="567"/>
        <w:jc w:val="both"/>
      </w:pPr>
    </w:p>
    <w:p w14:paraId="06C443D5" w14:textId="20B45A21" w:rsidR="008806C2" w:rsidRDefault="00785A95" w:rsidP="002D6A5C">
      <w:pPr>
        <w:spacing w:line="276" w:lineRule="auto"/>
        <w:ind w:firstLine="567"/>
        <w:jc w:val="both"/>
      </w:pPr>
      <w:r w:rsidRPr="006E1C60">
        <w:t>[</w:t>
      </w:r>
      <w:r w:rsidR="00A35F9F">
        <w:t>13</w:t>
      </w:r>
      <w:r w:rsidRPr="006E1C60">
        <w:t xml:space="preserve">] Pieteicējs konkrētajā gadījumā pieprasījis informāciju, kas saistīta ar tiesas spriešanu konkrētā civillietā, proti, informāciju par to, kā notika strīdus lēmuma sagatavošana (kā tiesnese izvēlējās datni, kurā sagatavot </w:t>
      </w:r>
      <w:r w:rsidRPr="00A35F9F">
        <w:t>no</w:t>
      </w:r>
      <w:r w:rsidRPr="006E1C60">
        <w:t xml:space="preserve">lēmuma tekstu, vai un kādus paraugus tiesnese izmantoja, kā un kurus citu tiesnešu nolēmumus kā datni tiesnese izmantoja, gatavojot strīdus lēmumu). </w:t>
      </w:r>
      <w:r w:rsidR="0064226E">
        <w:t xml:space="preserve">Pieteicējs uzskata, kā šāda informācija būtu izsniedzama informācijas atklātības procesa ietvaros. </w:t>
      </w:r>
    </w:p>
    <w:p w14:paraId="28BE6422" w14:textId="23619279" w:rsidR="003D624E" w:rsidRDefault="008806C2" w:rsidP="002D6A5C">
      <w:pPr>
        <w:spacing w:line="276" w:lineRule="auto"/>
        <w:ind w:firstLine="567"/>
        <w:jc w:val="both"/>
      </w:pPr>
      <w:r>
        <w:t>Senāts nesaskata</w:t>
      </w:r>
      <w:r w:rsidR="00EB0F39">
        <w:t xml:space="preserve">, ka atbilstoši tiesībām uz taisnīgu tiesu sabiedrībai </w:t>
      </w:r>
      <w:r w:rsidR="009D49BE">
        <w:t xml:space="preserve">informācijas atklātības kontekstā </w:t>
      </w:r>
      <w:r w:rsidR="00EB0F39">
        <w:t xml:space="preserve">būtu </w:t>
      </w:r>
      <w:r w:rsidR="009D49BE">
        <w:t>nepieciešama pieeja</w:t>
      </w:r>
      <w:r w:rsidR="00580354">
        <w:t xml:space="preserve"> </w:t>
      </w:r>
      <w:r w:rsidR="00EB0F39">
        <w:t>šāda rakstura informācij</w:t>
      </w:r>
      <w:r w:rsidR="009D49BE">
        <w:t>ai</w:t>
      </w:r>
      <w:r w:rsidR="00EB0F39">
        <w:t>.</w:t>
      </w:r>
    </w:p>
    <w:p w14:paraId="27C23872" w14:textId="3BFF4700" w:rsidR="00973E53" w:rsidRDefault="00EB0F39" w:rsidP="002D6A5C">
      <w:pPr>
        <w:spacing w:line="276" w:lineRule="auto"/>
        <w:ind w:firstLine="567"/>
        <w:jc w:val="both"/>
      </w:pPr>
      <w:r>
        <w:t xml:space="preserve">Kā jau minēts, tiesības uz taisnīgu tiesu prasa, lai sabiedrībai būtu nodrošināta iespēja sekot līdzi atklātam lietas izskatīšanas procesam un lai sabiedrībai būtu pieejami atklātā procesā pieņemti tiesas nolēmumi. Tieši tiesas nolēmuma pieejamība (nolēmuma pamatojums) ir instruments, kas ļauj </w:t>
      </w:r>
      <w:r w:rsidR="009D49BE">
        <w:t xml:space="preserve">sabiedrībai </w:t>
      </w:r>
      <w:r>
        <w:t>izdarīt secinājumus par to, vai lieta izskatīta pienācīgi</w:t>
      </w:r>
      <w:r w:rsidR="00580354">
        <w:t>, jo tieši nolēmums, kura satura atbilstību savam redzējumam par lietas izspriešanu tiesnesis apliecina ar savu parakstu, ļauj izdarīt pamatotus secinājumus par to, kā tiesa ir spriedusi tiesu.</w:t>
      </w:r>
      <w:r>
        <w:t xml:space="preserve"> Savukārt tehniska rakstura fakti par to, kad un kā tieši tiesnesis faktiski organizē </w:t>
      </w:r>
      <w:r w:rsidR="00562D33">
        <w:t xml:space="preserve">konkrēta </w:t>
      </w:r>
      <w:r>
        <w:t>nolēmuma sagatavošanas procesu (vai tas tiek darīts, rakstot ar roku vai datorā, kā tiek izveidota datne, kurā nolēmums tiek rakstīts, vai un kā tiek izvēlēti nolēmuma noformēšanas paraugi u.tml.)</w:t>
      </w:r>
      <w:r w:rsidR="00911637">
        <w:t>,</w:t>
      </w:r>
      <w:r>
        <w:t xml:space="preserve"> nav tāda informācija, kas </w:t>
      </w:r>
      <w:r w:rsidR="00580354">
        <w:t xml:space="preserve">sniedz objektīvu un būtisku informāciju par tiesas spriešanu. </w:t>
      </w:r>
    </w:p>
    <w:p w14:paraId="7913850F" w14:textId="0FD08A7D" w:rsidR="002F1F60" w:rsidRDefault="00580354" w:rsidP="002D6A5C">
      <w:pPr>
        <w:spacing w:line="276" w:lineRule="auto"/>
        <w:ind w:firstLine="567"/>
        <w:jc w:val="both"/>
      </w:pPr>
      <w:r>
        <w:t>Šā iemesla dēļ tiesību uz taisnīgu tiesu garantijas ne</w:t>
      </w:r>
      <w:r w:rsidR="008F6726">
        <w:t xml:space="preserve">paredz nepieciešamību nodrošināt sabiedrībai iespēju piekļūt </w:t>
      </w:r>
      <w:r>
        <w:t>šāda veida informācij</w:t>
      </w:r>
      <w:r w:rsidR="008F6726">
        <w:t>ai</w:t>
      </w:r>
      <w:r w:rsidR="00911637">
        <w:t>,</w:t>
      </w:r>
      <w:r>
        <w:t xml:space="preserve"> un tāpēc arī Satversmes 100.panta garantijas nav attie</w:t>
      </w:r>
      <w:r w:rsidR="008F6726">
        <w:t>cinā</w:t>
      </w:r>
      <w:r w:rsidR="00DB6611">
        <w:t>mas</w:t>
      </w:r>
      <w:r>
        <w:t xml:space="preserve"> uz šād</w:t>
      </w:r>
      <w:r w:rsidR="008F6726">
        <w:t>u</w:t>
      </w:r>
      <w:r>
        <w:t xml:space="preserve"> informāciju. </w:t>
      </w:r>
      <w:r w:rsidR="008F6726">
        <w:t>A</w:t>
      </w:r>
      <w:r>
        <w:t xml:space="preserve">rī </w:t>
      </w:r>
      <w:r w:rsidR="00785A95" w:rsidRPr="006E1C60">
        <w:t>likums „Par tiesu varu”</w:t>
      </w:r>
      <w:r w:rsidR="008F6726">
        <w:t xml:space="preserve">, kura </w:t>
      </w:r>
      <w:r w:rsidR="008F6726" w:rsidRPr="006E1C60">
        <w:rPr>
          <w:rFonts w:eastAsiaTheme="minorHAnsi"/>
          <w:lang w:eastAsia="en-US"/>
        </w:rPr>
        <w:t>3.</w:t>
      </w:r>
      <w:r w:rsidR="008F6726" w:rsidRPr="006E1C60">
        <w:rPr>
          <w:rFonts w:eastAsiaTheme="minorHAnsi"/>
          <w:vertAlign w:val="superscript"/>
          <w:lang w:eastAsia="en-US"/>
        </w:rPr>
        <w:t>1</w:t>
      </w:r>
      <w:r w:rsidR="008F6726" w:rsidRPr="006E1C60">
        <w:rPr>
          <w:rFonts w:eastAsiaTheme="minorHAnsi"/>
          <w:lang w:eastAsia="en-US"/>
        </w:rPr>
        <w:t>nodaļ</w:t>
      </w:r>
      <w:r w:rsidR="008F6726">
        <w:rPr>
          <w:rFonts w:eastAsiaTheme="minorHAnsi"/>
          <w:lang w:eastAsia="en-US"/>
        </w:rPr>
        <w:t>ā</w:t>
      </w:r>
      <w:r w:rsidR="008F6726" w:rsidRPr="006E1C60">
        <w:rPr>
          <w:rFonts w:eastAsiaTheme="minorHAnsi"/>
          <w:lang w:eastAsia="en-US"/>
        </w:rPr>
        <w:t xml:space="preserve"> „Informācijas pieejamība” iekļautās tiesību normas (28.</w:t>
      </w:r>
      <w:r w:rsidR="008F6726" w:rsidRPr="006E1C60">
        <w:rPr>
          <w:rFonts w:eastAsiaTheme="minorHAnsi"/>
          <w:vertAlign w:val="superscript"/>
          <w:lang w:eastAsia="en-US"/>
        </w:rPr>
        <w:t>2</w:t>
      </w:r>
      <w:r w:rsidR="008F6726" w:rsidRPr="006E1C60">
        <w:rPr>
          <w:rFonts w:eastAsiaTheme="minorHAnsi"/>
          <w:lang w:eastAsia="en-US"/>
        </w:rPr>
        <w:t>–28.</w:t>
      </w:r>
      <w:r w:rsidR="008F6726" w:rsidRPr="006E1C60">
        <w:rPr>
          <w:rFonts w:eastAsiaTheme="minorHAnsi"/>
          <w:vertAlign w:val="superscript"/>
          <w:lang w:eastAsia="en-US"/>
        </w:rPr>
        <w:t>7</w:t>
      </w:r>
      <w:r w:rsidR="008F6726" w:rsidRPr="006E1C60">
        <w:rPr>
          <w:rFonts w:eastAsiaTheme="minorHAnsi"/>
          <w:lang w:eastAsia="en-US"/>
        </w:rPr>
        <w:t xml:space="preserve">pants) </w:t>
      </w:r>
      <w:r w:rsidR="008F6726">
        <w:rPr>
          <w:rFonts w:eastAsiaTheme="minorHAnsi"/>
          <w:lang w:eastAsia="en-US"/>
        </w:rPr>
        <w:t xml:space="preserve">regulē informācijas par konkrētām tiesu lietām pieejamību, </w:t>
      </w:r>
      <w:r w:rsidR="00785A95" w:rsidRPr="006E1C60">
        <w:t xml:space="preserve">neparedz, ka šāda </w:t>
      </w:r>
      <w:r w:rsidR="00A35F9F">
        <w:t>veida</w:t>
      </w:r>
      <w:r w:rsidR="00785A95" w:rsidRPr="006E1C60">
        <w:t xml:space="preserve"> informācija</w:t>
      </w:r>
      <w:r w:rsidR="00714A64">
        <w:t>i</w:t>
      </w:r>
      <w:r w:rsidR="00785A95" w:rsidRPr="006E1C60">
        <w:t xml:space="preserve"> </w:t>
      </w:r>
      <w:r w:rsidR="003C3350" w:rsidRPr="006E1C60">
        <w:t>p</w:t>
      </w:r>
      <w:r w:rsidR="00785A95" w:rsidRPr="006E1C60">
        <w:t xml:space="preserve">ar tiesas darbu tiesas spriešanā būtu </w:t>
      </w:r>
      <w:r w:rsidR="00CF3862" w:rsidRPr="006E1C60">
        <w:t xml:space="preserve">jābūt </w:t>
      </w:r>
      <w:r w:rsidR="00785A95" w:rsidRPr="006E1C60">
        <w:t>pieejama</w:t>
      </w:r>
      <w:r w:rsidR="00CF3862" w:rsidRPr="006E1C60">
        <w:t>i</w:t>
      </w:r>
      <w:r w:rsidR="00785A95" w:rsidRPr="006E1C60">
        <w:t xml:space="preserve">. </w:t>
      </w:r>
      <w:r w:rsidR="008F6726">
        <w:t>Tāpat n</w:t>
      </w:r>
      <w:r w:rsidR="00785A95" w:rsidRPr="006E1C60">
        <w:t xml:space="preserve">e likums „Par tiesu varu”, ne arī kādas citas tiesību normas nenoteic, ka šāda </w:t>
      </w:r>
      <w:r w:rsidR="00A35F9F">
        <w:t>veida</w:t>
      </w:r>
      <w:r w:rsidR="00785A95" w:rsidRPr="006E1C60">
        <w:t xml:space="preserve"> informācijai tiesā </w:t>
      </w:r>
      <w:r w:rsidR="008F6726">
        <w:t xml:space="preserve">vispār </w:t>
      </w:r>
      <w:r w:rsidR="00785A95" w:rsidRPr="006E1C60">
        <w:t xml:space="preserve">būtu jābūt dokumentētai. </w:t>
      </w:r>
    </w:p>
    <w:p w14:paraId="42DC61AF" w14:textId="77777777" w:rsidR="007D5998" w:rsidRDefault="007D5998" w:rsidP="002D6A5C">
      <w:pPr>
        <w:spacing w:line="276" w:lineRule="auto"/>
        <w:ind w:firstLine="567"/>
        <w:jc w:val="both"/>
      </w:pPr>
    </w:p>
    <w:p w14:paraId="35563D43" w14:textId="3D6CF513" w:rsidR="007D5998" w:rsidRPr="006E1C60" w:rsidRDefault="007D5998" w:rsidP="002D6A5C">
      <w:pPr>
        <w:spacing w:line="276" w:lineRule="auto"/>
        <w:ind w:firstLine="567"/>
        <w:jc w:val="both"/>
      </w:pPr>
      <w:r>
        <w:t>[14]</w:t>
      </w:r>
      <w:r w:rsidR="00F914B7">
        <w:t> </w:t>
      </w:r>
      <w:r>
        <w:t xml:space="preserve">Ievērojot minēto, Senāts atzīst, ka pieteicēja pieprasītā informācija nav tāda informācija, uz kuru attiecināmas no Satversmes 100.panta izrietošās tiesības uz informācijas pieejamību. Tādēļ </w:t>
      </w:r>
      <w:r w:rsidRPr="006E1C60">
        <w:t xml:space="preserve">informācijas </w:t>
      </w:r>
      <w:r>
        <w:t>atklātības</w:t>
      </w:r>
      <w:r w:rsidRPr="006E1C60">
        <w:t xml:space="preserve"> kontekstā </w:t>
      </w:r>
      <w:r>
        <w:t xml:space="preserve">šāda informācija vispār nav aplūkojama kā </w:t>
      </w:r>
      <w:r w:rsidRPr="006E1C60">
        <w:t>potenciāli izsniedzam</w:t>
      </w:r>
      <w:r>
        <w:t xml:space="preserve">a, un tāpēc Senāts par pareizu atzīst pirmās instances tiesas tiesneša secinājumu, ka pieteicēja pieteikums </w:t>
      </w:r>
      <w:r w:rsidRPr="006E1C60">
        <w:t xml:space="preserve">daļā par </w:t>
      </w:r>
      <w:r>
        <w:t>informāciju, kas saistīta ar konkrēta nolēmuma sagatavošanas apstākļiem, nav izskatāms administratīvā procesa kārtībā.</w:t>
      </w:r>
    </w:p>
    <w:p w14:paraId="75F8AD59" w14:textId="77777777" w:rsidR="007D5998" w:rsidRDefault="007D5998" w:rsidP="002D6A5C">
      <w:pPr>
        <w:spacing w:line="276" w:lineRule="auto"/>
        <w:ind w:firstLine="567"/>
        <w:jc w:val="both"/>
      </w:pPr>
    </w:p>
    <w:p w14:paraId="6924A36C" w14:textId="1EBCE244" w:rsidR="00F83E25" w:rsidRPr="00742013" w:rsidRDefault="00562D33" w:rsidP="002D6A5C">
      <w:pPr>
        <w:spacing w:line="276" w:lineRule="auto"/>
        <w:ind w:firstLine="567"/>
        <w:jc w:val="both"/>
      </w:pPr>
      <w:r w:rsidRPr="00742013">
        <w:t>[</w:t>
      </w:r>
      <w:r w:rsidR="00A35F9F" w:rsidRPr="00742013">
        <w:t>1</w:t>
      </w:r>
      <w:r w:rsidR="007D5998" w:rsidRPr="00742013">
        <w:t>5</w:t>
      </w:r>
      <w:r w:rsidRPr="00742013">
        <w:t>]</w:t>
      </w:r>
      <w:r w:rsidR="00F914B7">
        <w:t> </w:t>
      </w:r>
      <w:r w:rsidR="00F83E25" w:rsidRPr="00742013">
        <w:t xml:space="preserve">Pieteicējs </w:t>
      </w:r>
      <w:r w:rsidR="00785A95" w:rsidRPr="00742013">
        <w:t>norād</w:t>
      </w:r>
      <w:r w:rsidR="00F83E25" w:rsidRPr="00742013">
        <w:t>ījis</w:t>
      </w:r>
      <w:r w:rsidR="00785A95" w:rsidRPr="00742013">
        <w:t xml:space="preserve">, ka </w:t>
      </w:r>
      <w:r w:rsidR="00F83E25" w:rsidRPr="00742013">
        <w:t>strīdus</w:t>
      </w:r>
      <w:r w:rsidR="00785A95" w:rsidRPr="00742013">
        <w:t xml:space="preserve"> informācijas nepieejamība</w:t>
      </w:r>
      <w:r w:rsidR="00CF3862" w:rsidRPr="00742013">
        <w:t xml:space="preserve"> informācijas atklātības </w:t>
      </w:r>
      <w:r w:rsidR="00F83E25" w:rsidRPr="00742013">
        <w:t xml:space="preserve">procesa ietvaros </w:t>
      </w:r>
      <w:r w:rsidR="00785A95" w:rsidRPr="00742013">
        <w:t>liedz viņam pārliecināties par to, vai attiecīgajā civillietā ir ievērotas viņa tiesības uz taisnīgu tiesas procesu</w:t>
      </w:r>
      <w:r w:rsidR="00F83E25" w:rsidRPr="00742013">
        <w:t xml:space="preserve">. </w:t>
      </w:r>
    </w:p>
    <w:p w14:paraId="140B87C4" w14:textId="3F3B36B9" w:rsidR="00F83E25" w:rsidRPr="00742013" w:rsidRDefault="00973E53" w:rsidP="002D6A5C">
      <w:pPr>
        <w:spacing w:line="276" w:lineRule="auto"/>
        <w:ind w:firstLine="567"/>
        <w:jc w:val="both"/>
      </w:pPr>
      <w:r w:rsidRPr="00742013">
        <w:t xml:space="preserve">Tomēr </w:t>
      </w:r>
      <w:r w:rsidR="00F83E25" w:rsidRPr="00742013">
        <w:t xml:space="preserve">atsaukšanās uz nepieciešamību pārliecināties par tiesību uz taisnīgu tiesu ievērošanu civillietas izskatīšanā nevar būt pamats informāciju par tiesas spriešanas procesa tehniskiem aspektiem (nolēmuma tehniskas sagatavošanas niansēm) aplūkot kā informācijas atklātības procesa ietvaros izsniedzamu informāciju. Kā jau minēts iepriekš, šāda veida informācija pati par sevi neļauj izdarīt pamatotus secinājumus par tiesas spriešanu, </w:t>
      </w:r>
      <w:r w:rsidRPr="00742013">
        <w:t>tāpēc</w:t>
      </w:r>
      <w:r w:rsidR="00F83E25" w:rsidRPr="00742013">
        <w:t xml:space="preserve"> tās </w:t>
      </w:r>
      <w:r w:rsidR="00F83E25" w:rsidRPr="00742013">
        <w:lastRenderedPageBreak/>
        <w:t xml:space="preserve">izsniegšana </w:t>
      </w:r>
      <w:r w:rsidRPr="00742013">
        <w:t xml:space="preserve">interesentiem informācijas atklātības procesa ietvaros </w:t>
      </w:r>
      <w:r w:rsidR="00F83E25" w:rsidRPr="00742013">
        <w:t>var radīt nepamatotas spekulācijas un līdz ar to kaitēt tiesu varas uzticamībai, radot nepamatotu iejaukšanos tiesas spriešanas procesā</w:t>
      </w:r>
      <w:r w:rsidR="007D5998" w:rsidRPr="00742013">
        <w:t xml:space="preserve"> (sk. likuma „Par tiesu varu” 11.panta trešo daļu)</w:t>
      </w:r>
      <w:r w:rsidR="00F83E25" w:rsidRPr="00742013">
        <w:t>.</w:t>
      </w:r>
    </w:p>
    <w:p w14:paraId="428EC4FE" w14:textId="71B17291" w:rsidR="00A35F9F" w:rsidRPr="00742013" w:rsidRDefault="00973E53" w:rsidP="002D6A5C">
      <w:pPr>
        <w:spacing w:line="276" w:lineRule="auto"/>
        <w:ind w:firstLine="567"/>
        <w:jc w:val="both"/>
      </w:pPr>
      <w:r w:rsidRPr="00742013">
        <w:t>Turklāt tas, ka pieteicējam šāda informācija nav pieejama informācijas atklātības procesa ceļā, nenozīmē, ka viņam ir liegta iespēja aizstāvēt savas tiesības uz taisnīgu tiesu. T</w:t>
      </w:r>
      <w:r w:rsidR="00785A95" w:rsidRPr="00742013">
        <w:t>as, vai un kā tiek nodrošinātas procesa dalībnieka tiesības uz taisnīgu tiesu konkrētas lietas izskatīšanā, var tikt pārbaudīts augstākas instances tiesā</w:t>
      </w:r>
      <w:r w:rsidR="008F6726" w:rsidRPr="00742013">
        <w:t>. Proti, tas</w:t>
      </w:r>
      <w:r w:rsidR="00911637" w:rsidRPr="00742013">
        <w:t>,</w:t>
      </w:r>
      <w:r w:rsidR="008F6726" w:rsidRPr="00742013">
        <w:t xml:space="preserve"> vai tiesa konkrētā procesā procesa dalībniekam ir nodrošinājusi tiesības uz tais</w:t>
      </w:r>
      <w:r w:rsidR="00FD63E3" w:rsidRPr="00742013">
        <w:t>n</w:t>
      </w:r>
      <w:r w:rsidR="008F6726" w:rsidRPr="00742013">
        <w:t>īgu tiesu,</w:t>
      </w:r>
      <w:r w:rsidR="00FD63E3" w:rsidRPr="00742013">
        <w:t xml:space="preserve"> ir jautājums, kura pārbaude ir augstākas instances tiesas kompetencē, izskatot attiecīgo lietu. Tāpēc, ja pieteicējam </w:t>
      </w:r>
      <w:r w:rsidR="0007524D" w:rsidRPr="00742013">
        <w:t>bija</w:t>
      </w:r>
      <w:r w:rsidR="00785A95" w:rsidRPr="00742013">
        <w:t xml:space="preserve"> bažas par to, ka tiesa </w:t>
      </w:r>
      <w:r w:rsidR="002F1986" w:rsidRPr="00742013">
        <w:t xml:space="preserve">civillietā </w:t>
      </w:r>
      <w:r w:rsidR="00785A95" w:rsidRPr="00742013">
        <w:t xml:space="preserve">nav pienācīgi nodrošinājusi </w:t>
      </w:r>
      <w:r w:rsidR="00FD63E3" w:rsidRPr="00742013">
        <w:t>viņa</w:t>
      </w:r>
      <w:r w:rsidR="00785A95" w:rsidRPr="00742013">
        <w:t xml:space="preserve"> tiesības uz taisnīgu tiesu, pieteicējam </w:t>
      </w:r>
      <w:r w:rsidR="00FD63E3" w:rsidRPr="00742013">
        <w:t>š</w:t>
      </w:r>
      <w:r w:rsidR="0007524D" w:rsidRPr="00742013">
        <w:t>ī</w:t>
      </w:r>
      <w:r w:rsidR="00FD63E3" w:rsidRPr="00742013">
        <w:t xml:space="preserve">s bažas </w:t>
      </w:r>
      <w:r w:rsidR="0007524D" w:rsidRPr="00742013">
        <w:t>bija</w:t>
      </w:r>
      <w:r w:rsidR="00785A95" w:rsidRPr="00742013">
        <w:t xml:space="preserve"> jāizsaka, pārsūdzot tiesas nolēmumu augstākas instances tiesai.</w:t>
      </w:r>
      <w:r w:rsidR="00A35F9F" w:rsidRPr="00742013">
        <w:t xml:space="preserve"> Attiecīgi augstākas instances tiesa arī vērtētu, vai pieteicēja norādītie apstākļi, kuru dēļ, pieteicēja ieskatā, ir konstatējamas saprātīgas šaubas par tiesneses objektivitāti, liecina par pieteicēja tiesību uz taisnīgu tiesu pārkāpumu konkrētās civillietas izskatīšanā.</w:t>
      </w:r>
    </w:p>
    <w:p w14:paraId="6515C4DD" w14:textId="16061F0B" w:rsidR="002F1F60" w:rsidRDefault="002F1F60" w:rsidP="002D6A5C">
      <w:pPr>
        <w:spacing w:line="276" w:lineRule="auto"/>
        <w:ind w:firstLine="567"/>
        <w:jc w:val="both"/>
      </w:pPr>
      <w:r w:rsidRPr="00742013">
        <w:t>Tāpat, ja pieteicējs uzskata, ka konkrētas lietas izskatīšanā tiesnesis</w:t>
      </w:r>
      <w:r w:rsidR="00F83E25" w:rsidRPr="00742013">
        <w:t>, iespējams,</w:t>
      </w:r>
      <w:r w:rsidRPr="00742013">
        <w:t xml:space="preserve"> ir pieļāvis kādu pārkāpumu, pieteicējs ar sūdzību var vērsties pie subjektiem, kuru kompetencē ir disciplinārlietas ierosināšana pret tiesnešiem. Šādas sūdzības izskatīšanas </w:t>
      </w:r>
      <w:r w:rsidR="00911637" w:rsidRPr="00742013">
        <w:t xml:space="preserve">laikā </w:t>
      </w:r>
      <w:r w:rsidRPr="00742013">
        <w:t xml:space="preserve">arī tiktu vērtēts, vai un kādas ziņas nepieciešamas, lai </w:t>
      </w:r>
      <w:r w:rsidR="00973E53" w:rsidRPr="00742013">
        <w:t xml:space="preserve">noskaidrotu apstākļus un </w:t>
      </w:r>
      <w:r w:rsidRPr="00742013">
        <w:t xml:space="preserve">pārliecinātos par to, vai tiesnesis </w:t>
      </w:r>
      <w:r w:rsidR="0008239A" w:rsidRPr="00742013">
        <w:t xml:space="preserve">pieļāvis </w:t>
      </w:r>
      <w:r w:rsidRPr="00742013">
        <w:t>pārkāpumu.</w:t>
      </w:r>
      <w:r w:rsidR="007D5998">
        <w:t xml:space="preserve"> </w:t>
      </w:r>
    </w:p>
    <w:p w14:paraId="2E372E05" w14:textId="62AF46FF" w:rsidR="00973E53" w:rsidRDefault="00973E53" w:rsidP="002D6A5C">
      <w:pPr>
        <w:spacing w:line="276" w:lineRule="auto"/>
        <w:ind w:firstLine="567"/>
        <w:jc w:val="both"/>
      </w:pPr>
    </w:p>
    <w:p w14:paraId="4ABBCBEA" w14:textId="77777777" w:rsidR="007D5998" w:rsidRDefault="00973E53" w:rsidP="002D6A5C">
      <w:pPr>
        <w:spacing w:line="276" w:lineRule="auto"/>
        <w:jc w:val="center"/>
        <w:rPr>
          <w:b/>
          <w:bCs/>
        </w:rPr>
      </w:pPr>
      <w:r w:rsidRPr="007D5998">
        <w:rPr>
          <w:b/>
          <w:bCs/>
        </w:rPr>
        <w:t>II</w:t>
      </w:r>
    </w:p>
    <w:p w14:paraId="2E929C5F" w14:textId="77777777" w:rsidR="007D5998" w:rsidRDefault="007D5998" w:rsidP="002D6A5C">
      <w:pPr>
        <w:spacing w:line="276" w:lineRule="auto"/>
        <w:ind w:firstLine="567"/>
        <w:jc w:val="both"/>
        <w:rPr>
          <w:b/>
          <w:bCs/>
        </w:rPr>
      </w:pPr>
    </w:p>
    <w:p w14:paraId="6C20C0DC" w14:textId="7BEF2DC6" w:rsidR="00927AEA" w:rsidRDefault="00785A95" w:rsidP="002D6A5C">
      <w:pPr>
        <w:spacing w:line="276" w:lineRule="auto"/>
        <w:ind w:firstLine="567"/>
        <w:jc w:val="both"/>
      </w:pPr>
      <w:r>
        <w:t>[1</w:t>
      </w:r>
      <w:r w:rsidR="00583299">
        <w:t>6</w:t>
      </w:r>
      <w:r>
        <w:t>] </w:t>
      </w:r>
      <w:r w:rsidR="003C0641">
        <w:t>P</w:t>
      </w:r>
      <w:r w:rsidR="0008239A">
        <w:t>ieteicējs ir pieprasījis arī vispārīga rakstura informāciju par to, kā</w:t>
      </w:r>
      <w:r w:rsidR="00411163">
        <w:t xml:space="preserve"> tiek organizēts tiesnešu darbs, proti, pieteicējs ir prasījis izsniegt informāciju par to, kād</w:t>
      </w:r>
      <w:r w:rsidR="0008239A">
        <w:t xml:space="preserve">ā kārtībā Vidzemes rajona tiesā notiek tiesas nolēmumu paraugu izsniegšana un izmantošana, sagatavojot tiesas nolēmumus. </w:t>
      </w:r>
    </w:p>
    <w:p w14:paraId="4CAD9059" w14:textId="7EAAC9E4" w:rsidR="0007524D" w:rsidRDefault="0007524D" w:rsidP="002D6A5C">
      <w:pPr>
        <w:spacing w:line="276" w:lineRule="auto"/>
        <w:ind w:firstLine="567"/>
        <w:jc w:val="both"/>
        <w:rPr>
          <w:rFonts w:eastAsiaTheme="minorHAnsi"/>
          <w:lang w:eastAsia="en-US"/>
        </w:rPr>
      </w:pPr>
      <w:r>
        <w:t xml:space="preserve">Kā jau minēts, vispārīga </w:t>
      </w:r>
      <w:r w:rsidR="00D86E5D">
        <w:rPr>
          <w:rFonts w:eastAsiaTheme="minorHAnsi"/>
          <w:lang w:eastAsia="en-US"/>
        </w:rPr>
        <w:t>informācija</w:t>
      </w:r>
      <w:r>
        <w:rPr>
          <w:rFonts w:eastAsiaTheme="minorHAnsi"/>
          <w:lang w:eastAsia="en-US"/>
        </w:rPr>
        <w:t>, kas saistīta ar tiesas kā iestādes darbu, ir tāda veida informācija, kuras pieejamība aplūkojama gan Satversmes 100.panta, gan arī attiecīgi Informācijas atklātības likum</w:t>
      </w:r>
      <w:r w:rsidR="00714A64">
        <w:rPr>
          <w:rFonts w:eastAsiaTheme="minorHAnsi"/>
          <w:lang w:eastAsia="en-US"/>
        </w:rPr>
        <w:t>a</w:t>
      </w:r>
      <w:r>
        <w:rPr>
          <w:rFonts w:eastAsiaTheme="minorHAnsi"/>
          <w:lang w:eastAsia="en-US"/>
        </w:rPr>
        <w:t xml:space="preserve"> kontekstā. </w:t>
      </w:r>
    </w:p>
    <w:p w14:paraId="696B0932" w14:textId="7A663360" w:rsidR="00447E13" w:rsidRDefault="00D86E5D" w:rsidP="002D6A5C">
      <w:pPr>
        <w:spacing w:line="276" w:lineRule="auto"/>
        <w:ind w:firstLine="567"/>
        <w:jc w:val="both"/>
      </w:pPr>
      <w:r>
        <w:t>P</w:t>
      </w:r>
      <w:r w:rsidR="0007524D">
        <w:t xml:space="preserve">ar konkrēto pieprasījumu </w:t>
      </w:r>
      <w:r w:rsidR="00785A95">
        <w:t>gan Vidzemes rajona tiesa, gan pirmās instances tiesas tiesnes</w:t>
      </w:r>
      <w:r w:rsidR="00447E13">
        <w:t>is</w:t>
      </w:r>
      <w:r w:rsidR="00785A95">
        <w:t xml:space="preserve"> pārsūdzētajā lēmumā norādīj</w:t>
      </w:r>
      <w:r w:rsidR="00447E13">
        <w:t>is</w:t>
      </w:r>
      <w:r w:rsidR="00785A95">
        <w:t>, ka šāda veida dokumentētas informācijas Vidzemes rajona tiesas rīcībā nav. Proti, Vidzemes rajona ties</w:t>
      </w:r>
      <w:r w:rsidR="00447E13">
        <w:t xml:space="preserve">a pieteicējam paskaidrojusi, ka šajā tiesā </w:t>
      </w:r>
      <w:r w:rsidR="00785A95">
        <w:t>nav izstrādāta kārtība, kādā tiesneši sava darba vajadzībām iegūst un izmanto tiesu praksi (citu tiesnešu nolēmumus). Tāpat tiesā nav izstrādāta un dokumentēta kārtība, kā ties</w:t>
      </w:r>
      <w:r w:rsidR="00447E13">
        <w:t>neši</w:t>
      </w:r>
      <w:r w:rsidR="00785A95">
        <w:t xml:space="preserve"> faktiski izvēlas izmantojamo datni un sagatavo nolēmuma tekstu. Neviena tiesību norma arī nenoteic, ka šādai kārtībai būtu jābūt reglamentētai un dokumentētai. Arī pieteicējs pats nav norādījis šādu normu.</w:t>
      </w:r>
      <w:r w:rsidR="0007524D">
        <w:t xml:space="preserve"> </w:t>
      </w:r>
      <w:r w:rsidR="00447E13">
        <w:t>Minēto iemeslu dēļ pirmās instances tiesas tiesnesis atzinis, ka pieteicēja pieteikums arī šajā daļā nav izskatāms administratīvā procesa kārtībā.</w:t>
      </w:r>
    </w:p>
    <w:p w14:paraId="697FE737" w14:textId="1F37C97A" w:rsidR="00583299" w:rsidRDefault="00411163" w:rsidP="002D6A5C">
      <w:pPr>
        <w:spacing w:line="276" w:lineRule="auto"/>
        <w:ind w:firstLine="567"/>
        <w:jc w:val="both"/>
      </w:pPr>
      <w:r>
        <w:t xml:space="preserve">Senāts </w:t>
      </w:r>
      <w:r w:rsidR="00B63245">
        <w:t>atzīst</w:t>
      </w:r>
      <w:r>
        <w:t>, ka minēt</w:t>
      </w:r>
      <w:r w:rsidR="00447E13">
        <w:t>ie</w:t>
      </w:r>
      <w:r>
        <w:t xml:space="preserve"> </w:t>
      </w:r>
      <w:r w:rsidR="000A1F5D">
        <w:t>apstāk</w:t>
      </w:r>
      <w:r w:rsidR="00447E13">
        <w:t>ļi</w:t>
      </w:r>
      <w:r w:rsidR="000A1F5D">
        <w:t xml:space="preserve"> </w:t>
      </w:r>
      <w:r>
        <w:t>pa</w:t>
      </w:r>
      <w:r w:rsidR="00447E13">
        <w:t>ši</w:t>
      </w:r>
      <w:r>
        <w:t xml:space="preserve"> par sevi </w:t>
      </w:r>
      <w:r w:rsidR="0008239A">
        <w:t>nav tād</w:t>
      </w:r>
      <w:r w:rsidR="00447E13">
        <w:t>i</w:t>
      </w:r>
      <w:r w:rsidR="0008239A">
        <w:t>, kas liecina, ka pieteikums nav aplūkojams kā pieteikums par informācijas pieejamību</w:t>
      </w:r>
      <w:r w:rsidR="00447E13">
        <w:t>. Informācija par iestādē izstrādātu iekšējo kārtību kādu pienākumu veikšanai vai darbā izmantojamām vadlīnijām vispārīgi var būt tāda veida informācija, kas aplūkojama informācijas pieejamības kontekstā. Savukārt t</w:t>
      </w:r>
      <w:r w:rsidR="0008239A">
        <w:t xml:space="preserve">as, vai </w:t>
      </w:r>
      <w:r w:rsidR="00447E13">
        <w:t xml:space="preserve">attiecīgā </w:t>
      </w:r>
      <w:r w:rsidR="0008239A">
        <w:t>informācija ir (</w:t>
      </w:r>
      <w:r w:rsidR="00447E13">
        <w:t>vai tai būtu</w:t>
      </w:r>
      <w:r w:rsidR="0008239A">
        <w:t xml:space="preserve"> jābūt) dokumentēt</w:t>
      </w:r>
      <w:r w:rsidR="00447E13">
        <w:t>ā veidā iestādes rīcībā</w:t>
      </w:r>
      <w:r w:rsidR="0008239A">
        <w:t xml:space="preserve">, parasti pārbaudāms, izvērtējot informācijas pieprasījumu pēc būtības (sal. </w:t>
      </w:r>
      <w:r w:rsidR="0008239A" w:rsidRPr="003971DB">
        <w:rPr>
          <w:i/>
          <w:iCs/>
        </w:rPr>
        <w:t xml:space="preserve">Senāta </w:t>
      </w:r>
      <w:r w:rsidR="0008239A" w:rsidRPr="00A00DC9">
        <w:rPr>
          <w:i/>
          <w:iCs/>
        </w:rPr>
        <w:t>2019.gada 18.decembra spriedum</w:t>
      </w:r>
      <w:r w:rsidR="0008239A">
        <w:rPr>
          <w:i/>
          <w:iCs/>
        </w:rPr>
        <w:t>a</w:t>
      </w:r>
      <w:r w:rsidR="0008239A" w:rsidRPr="00A00DC9">
        <w:rPr>
          <w:i/>
          <w:iCs/>
        </w:rPr>
        <w:t xml:space="preserve"> lietā Nr. SKA-482/2019 </w:t>
      </w:r>
      <w:r w:rsidR="0008239A">
        <w:rPr>
          <w:i/>
          <w:iCs/>
        </w:rPr>
        <w:t>(</w:t>
      </w:r>
      <w:hyperlink r:id="rId8" w:history="1">
        <w:r w:rsidR="0008239A" w:rsidRPr="00336890">
          <w:rPr>
            <w:rStyle w:val="Hyperlink"/>
            <w:i/>
            <w:iCs/>
            <w:color w:val="auto"/>
            <w:u w:val="none"/>
          </w:rPr>
          <w:t>ECLI:LV:AT:2019:1218.A420227817.4.S</w:t>
        </w:r>
      </w:hyperlink>
      <w:r w:rsidR="0008239A">
        <w:rPr>
          <w:i/>
          <w:iCs/>
        </w:rPr>
        <w:t xml:space="preserve">) </w:t>
      </w:r>
      <w:r w:rsidR="0008239A" w:rsidRPr="00A00DC9">
        <w:rPr>
          <w:i/>
          <w:iCs/>
        </w:rPr>
        <w:t>7.</w:t>
      </w:r>
      <w:r w:rsidR="0008239A">
        <w:rPr>
          <w:i/>
          <w:iCs/>
        </w:rPr>
        <w:t>–9.</w:t>
      </w:r>
      <w:r w:rsidR="0008239A" w:rsidRPr="00A00DC9">
        <w:rPr>
          <w:i/>
          <w:iCs/>
        </w:rPr>
        <w:t>punkts,</w:t>
      </w:r>
      <w:r w:rsidR="0008239A">
        <w:rPr>
          <w:i/>
          <w:iCs/>
        </w:rPr>
        <w:t xml:space="preserve"> 2020.gada 3</w:t>
      </w:r>
      <w:r w:rsidR="0008239A" w:rsidRPr="003971DB">
        <w:rPr>
          <w:i/>
          <w:iCs/>
        </w:rPr>
        <w:t>0.ja</w:t>
      </w:r>
      <w:r w:rsidR="0008239A" w:rsidRPr="00985F47">
        <w:rPr>
          <w:i/>
          <w:iCs/>
        </w:rPr>
        <w:t>nvāra spriedum</w:t>
      </w:r>
      <w:r w:rsidR="0008239A">
        <w:rPr>
          <w:i/>
          <w:iCs/>
        </w:rPr>
        <w:t>a lietā Nr. </w:t>
      </w:r>
      <w:r w:rsidR="0008239A" w:rsidRPr="00985F47">
        <w:rPr>
          <w:i/>
          <w:iCs/>
        </w:rPr>
        <w:t xml:space="preserve">SKA-249/2020 </w:t>
      </w:r>
      <w:r w:rsidR="0008239A">
        <w:rPr>
          <w:i/>
          <w:iCs/>
        </w:rPr>
        <w:lastRenderedPageBreak/>
        <w:t>(</w:t>
      </w:r>
      <w:hyperlink r:id="rId9" w:history="1">
        <w:r w:rsidR="0008239A" w:rsidRPr="00336890">
          <w:rPr>
            <w:rStyle w:val="Hyperlink"/>
            <w:i/>
            <w:iCs/>
            <w:color w:val="auto"/>
            <w:u w:val="none"/>
          </w:rPr>
          <w:t>ECLI:LV:AT:2020:0130.A420227917.4.S</w:t>
        </w:r>
      </w:hyperlink>
      <w:r w:rsidR="0008239A">
        <w:rPr>
          <w:i/>
          <w:iCs/>
        </w:rPr>
        <w:t xml:space="preserve">) </w:t>
      </w:r>
      <w:r w:rsidR="0008239A" w:rsidRPr="00985F47">
        <w:rPr>
          <w:i/>
          <w:iCs/>
        </w:rPr>
        <w:t>10.punkts</w:t>
      </w:r>
      <w:r w:rsidR="0008239A" w:rsidRPr="003971DB">
        <w:t>).</w:t>
      </w:r>
      <w:r>
        <w:t xml:space="preserve"> </w:t>
      </w:r>
      <w:r w:rsidR="00583299">
        <w:t>Tādējādi minētais apstāklis būtu pamats pieteikuma noraidīšanai, nevis secinājumam, ka pieteikums nav pieļaujams.</w:t>
      </w:r>
    </w:p>
    <w:p w14:paraId="6AD60C42" w14:textId="77777777" w:rsidR="00583299" w:rsidRDefault="00583299" w:rsidP="002D6A5C">
      <w:pPr>
        <w:spacing w:line="276" w:lineRule="auto"/>
        <w:ind w:firstLine="567"/>
        <w:jc w:val="both"/>
      </w:pPr>
      <w:r>
        <w:t xml:space="preserve">Līdz ar to šajā daļā pirmās instances tiesas tiesnesis kļūdaini atzinis, ka pieteicēja pieteikums nav pakļauts izskatīšanai administratīvā procesa kārtībā, un tāpēc pārsūdzētais tiesneša lēmums šajā daļā ir atceļams. </w:t>
      </w:r>
    </w:p>
    <w:p w14:paraId="30A133AB" w14:textId="77777777" w:rsidR="00583299" w:rsidRDefault="00583299" w:rsidP="002D6A5C">
      <w:pPr>
        <w:spacing w:line="276" w:lineRule="auto"/>
        <w:ind w:firstLine="567"/>
        <w:jc w:val="both"/>
      </w:pPr>
    </w:p>
    <w:p w14:paraId="3347EBFB" w14:textId="38E21391" w:rsidR="00583299" w:rsidRPr="00742013" w:rsidRDefault="00583299" w:rsidP="002D6A5C">
      <w:pPr>
        <w:spacing w:line="276" w:lineRule="auto"/>
        <w:ind w:firstLine="567"/>
        <w:jc w:val="both"/>
      </w:pPr>
      <w:r w:rsidRPr="00742013">
        <w:t>[17]</w:t>
      </w:r>
      <w:r w:rsidR="006253E4">
        <w:t> </w:t>
      </w:r>
      <w:r w:rsidRPr="00742013">
        <w:t xml:space="preserve">Vienlaikus Senāts </w:t>
      </w:r>
      <w:r w:rsidR="00B8250F" w:rsidRPr="00742013">
        <w:t>secina</w:t>
      </w:r>
      <w:r w:rsidRPr="00742013">
        <w:t xml:space="preserve">, ka pieteicēja pieteikuma pieņemšana daļā, kas attiecas uz vispārīgu informāciju par Vidzemes rajona tiesā noteikto kārtību nolēmumu paraugu iegūšanai un sprieduma sastādīšanai izmantojamās datnes izvēlei, ir atsakāma tādēļ, ka pieteicējs nav ievērojis ārpustiesas izskatīšanas kārtību. </w:t>
      </w:r>
    </w:p>
    <w:p w14:paraId="6934D340" w14:textId="719BDF45" w:rsidR="00583299" w:rsidRPr="00742013" w:rsidRDefault="00583299" w:rsidP="002D6A5C">
      <w:pPr>
        <w:spacing w:line="276" w:lineRule="auto"/>
        <w:ind w:firstLine="567"/>
        <w:jc w:val="both"/>
      </w:pPr>
      <w:r w:rsidRPr="00742013">
        <w:t>Atbilstoši likuma „Par tiesu varu” 28.</w:t>
      </w:r>
      <w:r w:rsidRPr="00742013">
        <w:rPr>
          <w:vertAlign w:val="superscript"/>
        </w:rPr>
        <w:t>5</w:t>
      </w:r>
      <w:r w:rsidRPr="00742013">
        <w:t xml:space="preserve">pantam tiesa, izsniedzot informāciju informācijas atklātības kontekstā, ir Tieslietu ministrijas pārraudzībā, un tiesas atteikums izsniegt pieprasīto informāciju ir apstrīdams Administratīvā procesa likumā noteiktajā kārtībā. Ne no pieteikuma, ne no blakus sūdzības neizriet, ka pieteicējs Vidzemes rajona tiesas atteikumu izsniegt attiecīgo informāciju (jo tiesas rīcībā tādas nav) būtu apstrīdējis Tieslietu ministrijā. </w:t>
      </w:r>
    </w:p>
    <w:p w14:paraId="2A991AA3" w14:textId="59B97FB2" w:rsidR="00583299" w:rsidRPr="00742013" w:rsidRDefault="00583299" w:rsidP="002D6A5C">
      <w:pPr>
        <w:pStyle w:val="tv213"/>
        <w:shd w:val="clear" w:color="auto" w:fill="FFFFFF"/>
        <w:spacing w:before="0" w:beforeAutospacing="0" w:after="0" w:afterAutospacing="0" w:line="276" w:lineRule="auto"/>
        <w:ind w:firstLine="567"/>
        <w:jc w:val="both"/>
      </w:pPr>
      <w:r w:rsidRPr="00742013">
        <w:t>Līdz ar to pieteicēja pieteikuma pieņemšana šajā daļā ir atsakāma atbilstoši Administratīvā procesa likuma 191.panta pirmās daļas 5.punktam.</w:t>
      </w:r>
    </w:p>
    <w:p w14:paraId="2B6ACFF5" w14:textId="56BD0B0D" w:rsidR="00D77343" w:rsidRDefault="00D77343" w:rsidP="002D6A5C">
      <w:pPr>
        <w:spacing w:line="276" w:lineRule="auto"/>
        <w:ind w:firstLine="567"/>
        <w:jc w:val="both"/>
      </w:pPr>
      <w:r w:rsidRPr="00742013">
        <w:t>Senāts papildus norāda: ja ārpustiesas izskatīšanas kārtība konkrētajā gadījumā būtu ievērota, būtu pamats apsvērt pieteikuma izskatīšanas atteikšanu tā iemesla dēļ, ka pieteikums ir acīmredzami nepamatots (noraidāms pēc būtības). Atbilstoši Informācijas atklātības likumam personām var tikt izsniegta tāda informācija, kas dokumentētā veidā ir (kurai dokumentētā veidā būtu jābūt) iestādes rīcībā (likuma 2.panta pirmā un otrā daļa). Šajā gadījumā Vidzemes rajona tiesa ir paskaidrojusi, ka tajā nav izstrādāta kārtība par nolēmumu paraugu iegūšanu un nolēmumu sagatavošanas datņu izvēli</w:t>
      </w:r>
      <w:r w:rsidR="00694A90" w:rsidRPr="00742013">
        <w:t>. T</w:t>
      </w:r>
      <w:r w:rsidRPr="00742013">
        <w:t>urklāt neviena tiesību norma arī nenoteic, ka tiesās šādai kārtībai būtu jābūt izstrādātai.</w:t>
      </w:r>
      <w:r>
        <w:t xml:space="preserve">  </w:t>
      </w:r>
    </w:p>
    <w:p w14:paraId="5F11D899" w14:textId="77777777" w:rsidR="00EC6141" w:rsidRDefault="00EC6141" w:rsidP="002D6A5C">
      <w:pPr>
        <w:spacing w:line="276" w:lineRule="auto"/>
        <w:jc w:val="center"/>
        <w:rPr>
          <w:b/>
        </w:rPr>
      </w:pPr>
    </w:p>
    <w:p w14:paraId="08EB056B" w14:textId="7EB77509" w:rsidR="00785A95" w:rsidRPr="007B548C" w:rsidRDefault="00785A95" w:rsidP="002D6A5C">
      <w:pPr>
        <w:spacing w:line="276" w:lineRule="auto"/>
        <w:jc w:val="center"/>
        <w:rPr>
          <w:b/>
        </w:rPr>
      </w:pPr>
      <w:r w:rsidRPr="007B548C">
        <w:rPr>
          <w:b/>
        </w:rPr>
        <w:t>Rezolutīvā daļa</w:t>
      </w:r>
    </w:p>
    <w:p w14:paraId="3B3B8914" w14:textId="77777777" w:rsidR="00785A95" w:rsidRPr="007B548C" w:rsidRDefault="00785A95" w:rsidP="002D6A5C">
      <w:pPr>
        <w:spacing w:line="276" w:lineRule="auto"/>
        <w:ind w:firstLine="567"/>
        <w:jc w:val="both"/>
        <w:rPr>
          <w:bCs/>
          <w:spacing w:val="70"/>
        </w:rPr>
      </w:pPr>
    </w:p>
    <w:p w14:paraId="7606885F" w14:textId="00BE4DD9" w:rsidR="00785A95" w:rsidRPr="007B548C" w:rsidRDefault="00785A95" w:rsidP="002D6A5C">
      <w:pPr>
        <w:spacing w:line="276" w:lineRule="auto"/>
        <w:ind w:firstLine="567"/>
        <w:jc w:val="both"/>
        <w:rPr>
          <w:strike/>
        </w:rPr>
      </w:pPr>
      <w:r w:rsidRPr="007B548C">
        <w:t xml:space="preserve">Pamatojoties uz Administratīvā procesa likuma 323.panta pirmās daļas </w:t>
      </w:r>
      <w:r w:rsidR="0007524D">
        <w:t xml:space="preserve">1. un </w:t>
      </w:r>
      <w:r>
        <w:t xml:space="preserve">3.punktu, </w:t>
      </w:r>
      <w:r w:rsidRPr="007B548C">
        <w:t xml:space="preserve">324.panta pirmo daļu, </w:t>
      </w:r>
      <w:r>
        <w:t>kā arī 191.panta pirm</w:t>
      </w:r>
      <w:r w:rsidR="000C076B">
        <w:t xml:space="preserve">ās </w:t>
      </w:r>
      <w:r>
        <w:t>daļ</w:t>
      </w:r>
      <w:r w:rsidR="000C076B">
        <w:t xml:space="preserve">as </w:t>
      </w:r>
      <w:r w:rsidR="00A0328A">
        <w:t>5</w:t>
      </w:r>
      <w:r w:rsidR="000C076B">
        <w:t>.punktu</w:t>
      </w:r>
      <w:r w:rsidR="00A0328A">
        <w:t xml:space="preserve">, </w:t>
      </w:r>
      <w:r w:rsidRPr="007B548C">
        <w:t>Senāts</w:t>
      </w:r>
    </w:p>
    <w:p w14:paraId="73AAA8FB" w14:textId="77777777" w:rsidR="00785A95" w:rsidRDefault="00785A95" w:rsidP="002D6A5C">
      <w:pPr>
        <w:spacing w:line="276" w:lineRule="auto"/>
        <w:jc w:val="center"/>
        <w:rPr>
          <w:b/>
        </w:rPr>
      </w:pPr>
    </w:p>
    <w:p w14:paraId="7521AAC7" w14:textId="77777777" w:rsidR="00785A95" w:rsidRDefault="00785A95" w:rsidP="002D6A5C">
      <w:pPr>
        <w:spacing w:line="276" w:lineRule="auto"/>
        <w:jc w:val="center"/>
        <w:rPr>
          <w:b/>
        </w:rPr>
      </w:pPr>
      <w:r>
        <w:rPr>
          <w:b/>
        </w:rPr>
        <w:t>nolēma</w:t>
      </w:r>
    </w:p>
    <w:p w14:paraId="27A18F67" w14:textId="2F786317" w:rsidR="00785A95" w:rsidRDefault="00785A95" w:rsidP="002D6A5C">
      <w:pPr>
        <w:spacing w:line="276" w:lineRule="auto"/>
        <w:jc w:val="center"/>
        <w:rPr>
          <w:b/>
        </w:rPr>
      </w:pPr>
    </w:p>
    <w:p w14:paraId="2FD577ED" w14:textId="6B437A08" w:rsidR="00583299" w:rsidRDefault="00583299" w:rsidP="002D6A5C">
      <w:pPr>
        <w:spacing w:line="276" w:lineRule="auto"/>
        <w:ind w:firstLine="567"/>
        <w:jc w:val="both"/>
      </w:pPr>
      <w:r>
        <w:t>A</w:t>
      </w:r>
      <w:r w:rsidRPr="00A049F9">
        <w:t xml:space="preserve">tcelt Administratīvās rajona tiesas tiesneša </w:t>
      </w:r>
      <w:r w:rsidRPr="00D0524F">
        <w:t>2020.gada 3.novembra lēmumu</w:t>
      </w:r>
      <w:r>
        <w:t xml:space="preserve"> daļā, kas attiecas uz </w:t>
      </w:r>
      <w:r w:rsidR="002D6A5C">
        <w:t xml:space="preserve">[pers. A] </w:t>
      </w:r>
      <w:r>
        <w:t xml:space="preserve">prasījumu izsniegt </w:t>
      </w:r>
      <w:r w:rsidRPr="000C076B">
        <w:t>informāciju par kārtību</w:t>
      </w:r>
      <w:r>
        <w:t xml:space="preserve">, kāda </w:t>
      </w:r>
      <w:r w:rsidRPr="000C076B">
        <w:t xml:space="preserve">Vidzemes rajona </w:t>
      </w:r>
      <w:r>
        <w:t xml:space="preserve">tiesā noteikta attiecībā uz </w:t>
      </w:r>
      <w:r w:rsidRPr="000C076B">
        <w:t>nolēmumu paraugu iegūšan</w:t>
      </w:r>
      <w:r>
        <w:t>u</w:t>
      </w:r>
      <w:r w:rsidRPr="000C076B">
        <w:t xml:space="preserve"> un </w:t>
      </w:r>
      <w:r>
        <w:t>nolēmumu</w:t>
      </w:r>
      <w:r w:rsidRPr="000C076B">
        <w:t xml:space="preserve"> sastādīšanai izmantojamās datnes izvēli</w:t>
      </w:r>
      <w:r>
        <w:t xml:space="preserve">. Atteikt pieņemt </w:t>
      </w:r>
      <w:r w:rsidR="002D6A5C">
        <w:t xml:space="preserve">[pers. A] </w:t>
      </w:r>
      <w:r>
        <w:t>pieteikumu minētajā daļā ārpustiesas izskatīšanas kārtības neievērošanas dēļ.</w:t>
      </w:r>
    </w:p>
    <w:p w14:paraId="2B668F46" w14:textId="7F16E2D3" w:rsidR="00583299" w:rsidRDefault="00692762" w:rsidP="002D6A5C">
      <w:pPr>
        <w:spacing w:line="276" w:lineRule="auto"/>
        <w:ind w:firstLine="567"/>
        <w:jc w:val="both"/>
      </w:pPr>
      <w:r>
        <w:t xml:space="preserve">Atstāt negrozītu </w:t>
      </w:r>
      <w:r w:rsidR="00583299" w:rsidRPr="00A049F9">
        <w:t xml:space="preserve">Administratīvās rajona tiesas tiesneša </w:t>
      </w:r>
      <w:r w:rsidR="00583299" w:rsidRPr="00D0524F">
        <w:t>2020.gada 3.novembra lēmumu</w:t>
      </w:r>
      <w:r w:rsidR="00D77343">
        <w:t xml:space="preserve"> pārējā daļā</w:t>
      </w:r>
      <w:r w:rsidR="00583299">
        <w:t>.</w:t>
      </w:r>
    </w:p>
    <w:p w14:paraId="079528D6" w14:textId="7A084D32" w:rsidR="00B340C9" w:rsidRDefault="00B340C9" w:rsidP="002D6A5C">
      <w:pPr>
        <w:spacing w:line="276" w:lineRule="auto"/>
        <w:ind w:firstLine="567"/>
        <w:jc w:val="both"/>
      </w:pPr>
      <w:r>
        <w:t xml:space="preserve">Noraidīt </w:t>
      </w:r>
      <w:r w:rsidR="002D6A5C">
        <w:t xml:space="preserve">[pers. A] </w:t>
      </w:r>
      <w:r>
        <w:t>blakus sūdzību.</w:t>
      </w:r>
    </w:p>
    <w:p w14:paraId="004C461B" w14:textId="77777777" w:rsidR="00B340C9" w:rsidRPr="007B548C" w:rsidRDefault="00B340C9" w:rsidP="002D6A5C">
      <w:pPr>
        <w:spacing w:line="276" w:lineRule="auto"/>
        <w:ind w:firstLine="567"/>
        <w:jc w:val="both"/>
      </w:pPr>
      <w:r w:rsidRPr="007B548C">
        <w:t>Lēmums nav pārsūdzams.</w:t>
      </w:r>
    </w:p>
    <w:p w14:paraId="4AB89188" w14:textId="77777777" w:rsidR="00785A95" w:rsidRPr="00A6596A" w:rsidRDefault="00785A95" w:rsidP="002D6A5C">
      <w:pPr>
        <w:spacing w:line="276" w:lineRule="auto"/>
        <w:ind w:firstLine="567"/>
        <w:jc w:val="both"/>
        <w:rPr>
          <w:bCs/>
        </w:rPr>
      </w:pPr>
    </w:p>
    <w:p w14:paraId="00DD41A9" w14:textId="77777777" w:rsidR="00C540F6" w:rsidRPr="00151FEE" w:rsidRDefault="00785A95" w:rsidP="002D6A5C">
      <w:pPr>
        <w:tabs>
          <w:tab w:val="center" w:pos="1276"/>
          <w:tab w:val="center" w:pos="4678"/>
          <w:tab w:val="center" w:pos="8080"/>
        </w:tabs>
        <w:spacing w:line="276" w:lineRule="auto"/>
        <w:jc w:val="both"/>
      </w:pPr>
      <w:r>
        <w:rPr>
          <w:color w:val="000000"/>
        </w:rPr>
        <w:tab/>
      </w:r>
      <w:r w:rsidR="00C540F6" w:rsidRPr="00151FEE">
        <w:tab/>
      </w:r>
    </w:p>
    <w:p w14:paraId="72536B66" w14:textId="77777777" w:rsidR="00C540F6" w:rsidRPr="00C84D62" w:rsidRDefault="00C540F6" w:rsidP="00034247">
      <w:pPr>
        <w:spacing w:line="276" w:lineRule="auto"/>
      </w:pPr>
    </w:p>
    <w:p w14:paraId="1A8D2A3F" w14:textId="054C153B" w:rsidR="004A2D7D" w:rsidRDefault="004A2D7D" w:rsidP="00C540F6">
      <w:pPr>
        <w:tabs>
          <w:tab w:val="center" w:pos="1276"/>
          <w:tab w:val="center" w:pos="4678"/>
          <w:tab w:val="center" w:pos="8080"/>
        </w:tabs>
        <w:spacing w:line="276" w:lineRule="auto"/>
        <w:jc w:val="both"/>
      </w:pPr>
    </w:p>
    <w:sectPr w:rsidR="004A2D7D" w:rsidSect="002F1F60">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882AC" w14:textId="77777777" w:rsidR="002D0F76" w:rsidRDefault="002D0F76">
      <w:r>
        <w:separator/>
      </w:r>
    </w:p>
  </w:endnote>
  <w:endnote w:type="continuationSeparator" w:id="0">
    <w:p w14:paraId="1EA373C5" w14:textId="77777777" w:rsidR="002D0F76" w:rsidRDefault="002D0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574E8" w14:textId="77777777" w:rsidR="003C0641" w:rsidRDefault="003C06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C0FF9" w14:textId="676BA29D" w:rsidR="003C0641" w:rsidRDefault="003C0641" w:rsidP="002F1F60">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E87675">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E87675">
      <w:rPr>
        <w:rStyle w:val="PageNumber"/>
        <w:noProof/>
      </w:rPr>
      <w:t>8</w:t>
    </w:r>
    <w:r>
      <w:rPr>
        <w:rStyle w:val="PageNumbe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BB629" w14:textId="77777777" w:rsidR="003C0641" w:rsidRDefault="003C06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B54D3" w14:textId="77777777" w:rsidR="002D0F76" w:rsidRDefault="002D0F76">
      <w:r>
        <w:separator/>
      </w:r>
    </w:p>
  </w:footnote>
  <w:footnote w:type="continuationSeparator" w:id="0">
    <w:p w14:paraId="4AF866EE" w14:textId="77777777" w:rsidR="002D0F76" w:rsidRDefault="002D0F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EAC76" w14:textId="77777777" w:rsidR="003C0641" w:rsidRDefault="003C06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71385" w14:textId="77777777" w:rsidR="003C0641" w:rsidRDefault="003C06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50D8A" w14:textId="77777777" w:rsidR="003C0641" w:rsidRDefault="003C06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834B46"/>
    <w:multiLevelType w:val="hybridMultilevel"/>
    <w:tmpl w:val="9BFCA62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A95"/>
    <w:rsid w:val="000101A2"/>
    <w:rsid w:val="00017D06"/>
    <w:rsid w:val="00017F53"/>
    <w:rsid w:val="00034247"/>
    <w:rsid w:val="0007524D"/>
    <w:rsid w:val="0008239A"/>
    <w:rsid w:val="000A1F5D"/>
    <w:rsid w:val="000C074C"/>
    <w:rsid w:val="000C076B"/>
    <w:rsid w:val="000C4CC8"/>
    <w:rsid w:val="000D39D5"/>
    <w:rsid w:val="00110B39"/>
    <w:rsid w:val="00140244"/>
    <w:rsid w:val="0019527A"/>
    <w:rsid w:val="001C2ADC"/>
    <w:rsid w:val="001E48EC"/>
    <w:rsid w:val="001F382D"/>
    <w:rsid w:val="001F3B6B"/>
    <w:rsid w:val="00213A7D"/>
    <w:rsid w:val="00215455"/>
    <w:rsid w:val="002554F9"/>
    <w:rsid w:val="00272634"/>
    <w:rsid w:val="002B034E"/>
    <w:rsid w:val="002B20C5"/>
    <w:rsid w:val="002C0E31"/>
    <w:rsid w:val="002D0F76"/>
    <w:rsid w:val="002D4AB3"/>
    <w:rsid w:val="002D6A5C"/>
    <w:rsid w:val="002F0363"/>
    <w:rsid w:val="002F1986"/>
    <w:rsid w:val="002F1F60"/>
    <w:rsid w:val="00336890"/>
    <w:rsid w:val="00343089"/>
    <w:rsid w:val="003B29C7"/>
    <w:rsid w:val="003B7A3A"/>
    <w:rsid w:val="003C0641"/>
    <w:rsid w:val="003C3350"/>
    <w:rsid w:val="003D624E"/>
    <w:rsid w:val="00401AC8"/>
    <w:rsid w:val="00411163"/>
    <w:rsid w:val="0041393F"/>
    <w:rsid w:val="00435F3E"/>
    <w:rsid w:val="00447E13"/>
    <w:rsid w:val="00453FAF"/>
    <w:rsid w:val="004738EE"/>
    <w:rsid w:val="004A2D7D"/>
    <w:rsid w:val="004B73F1"/>
    <w:rsid w:val="004E31AA"/>
    <w:rsid w:val="004F6EF3"/>
    <w:rsid w:val="00510F23"/>
    <w:rsid w:val="00510FD2"/>
    <w:rsid w:val="00511639"/>
    <w:rsid w:val="005179C8"/>
    <w:rsid w:val="00524BE9"/>
    <w:rsid w:val="00547391"/>
    <w:rsid w:val="00562D33"/>
    <w:rsid w:val="00580354"/>
    <w:rsid w:val="00583299"/>
    <w:rsid w:val="0059125A"/>
    <w:rsid w:val="005C4D26"/>
    <w:rsid w:val="005C4EE4"/>
    <w:rsid w:val="005F5CCE"/>
    <w:rsid w:val="00623A04"/>
    <w:rsid w:val="006253E4"/>
    <w:rsid w:val="00630EAD"/>
    <w:rsid w:val="00632471"/>
    <w:rsid w:val="0064226E"/>
    <w:rsid w:val="00652426"/>
    <w:rsid w:val="006621A9"/>
    <w:rsid w:val="00692762"/>
    <w:rsid w:val="00694A90"/>
    <w:rsid w:val="006E1C60"/>
    <w:rsid w:val="00714A64"/>
    <w:rsid w:val="00742013"/>
    <w:rsid w:val="0076042E"/>
    <w:rsid w:val="00784360"/>
    <w:rsid w:val="00785A95"/>
    <w:rsid w:val="007D5998"/>
    <w:rsid w:val="007F43B3"/>
    <w:rsid w:val="007F4D5D"/>
    <w:rsid w:val="00811AB5"/>
    <w:rsid w:val="00822FEA"/>
    <w:rsid w:val="00837456"/>
    <w:rsid w:val="008530B5"/>
    <w:rsid w:val="0087736E"/>
    <w:rsid w:val="008806C2"/>
    <w:rsid w:val="00885ABD"/>
    <w:rsid w:val="008933CE"/>
    <w:rsid w:val="008974FC"/>
    <w:rsid w:val="008F6726"/>
    <w:rsid w:val="009031EE"/>
    <w:rsid w:val="00905EC4"/>
    <w:rsid w:val="00911637"/>
    <w:rsid w:val="00927AEA"/>
    <w:rsid w:val="00973E53"/>
    <w:rsid w:val="009B2EA6"/>
    <w:rsid w:val="009B7863"/>
    <w:rsid w:val="009D0358"/>
    <w:rsid w:val="009D49BE"/>
    <w:rsid w:val="00A0328A"/>
    <w:rsid w:val="00A11C06"/>
    <w:rsid w:val="00A21521"/>
    <w:rsid w:val="00A35F9F"/>
    <w:rsid w:val="00A42F3E"/>
    <w:rsid w:val="00A46DCD"/>
    <w:rsid w:val="00A47467"/>
    <w:rsid w:val="00AD3281"/>
    <w:rsid w:val="00B11947"/>
    <w:rsid w:val="00B340C9"/>
    <w:rsid w:val="00B63245"/>
    <w:rsid w:val="00B8250F"/>
    <w:rsid w:val="00BB402A"/>
    <w:rsid w:val="00BC4C21"/>
    <w:rsid w:val="00BF5D1E"/>
    <w:rsid w:val="00C138A4"/>
    <w:rsid w:val="00C16658"/>
    <w:rsid w:val="00C540F6"/>
    <w:rsid w:val="00C84DF5"/>
    <w:rsid w:val="00C9452D"/>
    <w:rsid w:val="00CF3862"/>
    <w:rsid w:val="00D246B6"/>
    <w:rsid w:val="00D50961"/>
    <w:rsid w:val="00D66477"/>
    <w:rsid w:val="00D77343"/>
    <w:rsid w:val="00D86E5D"/>
    <w:rsid w:val="00DA3E7A"/>
    <w:rsid w:val="00DA615F"/>
    <w:rsid w:val="00DB6611"/>
    <w:rsid w:val="00DF72B2"/>
    <w:rsid w:val="00E06517"/>
    <w:rsid w:val="00E109E5"/>
    <w:rsid w:val="00E64413"/>
    <w:rsid w:val="00E87675"/>
    <w:rsid w:val="00EB0F39"/>
    <w:rsid w:val="00EC6141"/>
    <w:rsid w:val="00EF4085"/>
    <w:rsid w:val="00F138C7"/>
    <w:rsid w:val="00F42824"/>
    <w:rsid w:val="00F50F3E"/>
    <w:rsid w:val="00F70510"/>
    <w:rsid w:val="00F77BE0"/>
    <w:rsid w:val="00F81D5F"/>
    <w:rsid w:val="00F83E25"/>
    <w:rsid w:val="00F914B7"/>
    <w:rsid w:val="00F93863"/>
    <w:rsid w:val="00F95EFC"/>
    <w:rsid w:val="00FB68F2"/>
    <w:rsid w:val="00FD4AC4"/>
    <w:rsid w:val="00FD63E3"/>
    <w:rsid w:val="00FE7FA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ED3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A95"/>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85A95"/>
    <w:pPr>
      <w:tabs>
        <w:tab w:val="center" w:pos="4320"/>
        <w:tab w:val="right" w:pos="8640"/>
      </w:tabs>
    </w:pPr>
    <w:rPr>
      <w:lang w:val="x-none"/>
    </w:rPr>
  </w:style>
  <w:style w:type="character" w:customStyle="1" w:styleId="HeaderChar">
    <w:name w:val="Header Char"/>
    <w:basedOn w:val="DefaultParagraphFont"/>
    <w:link w:val="Header"/>
    <w:rsid w:val="00785A95"/>
    <w:rPr>
      <w:rFonts w:ascii="Times New Roman" w:eastAsia="Times New Roman" w:hAnsi="Times New Roman" w:cs="Times New Roman"/>
      <w:sz w:val="24"/>
      <w:szCs w:val="24"/>
      <w:lang w:val="x-none" w:eastAsia="ru-RU"/>
    </w:rPr>
  </w:style>
  <w:style w:type="paragraph" w:styleId="BodyText2">
    <w:name w:val="Body Text 2"/>
    <w:basedOn w:val="Normal"/>
    <w:link w:val="BodyText2Char"/>
    <w:rsid w:val="00785A95"/>
    <w:pPr>
      <w:spacing w:after="120" w:line="480" w:lineRule="auto"/>
    </w:pPr>
    <w:rPr>
      <w:lang w:val="x-none"/>
    </w:rPr>
  </w:style>
  <w:style w:type="character" w:customStyle="1" w:styleId="BodyText2Char">
    <w:name w:val="Body Text 2 Char"/>
    <w:basedOn w:val="DefaultParagraphFont"/>
    <w:link w:val="BodyText2"/>
    <w:rsid w:val="00785A95"/>
    <w:rPr>
      <w:rFonts w:ascii="Times New Roman" w:eastAsia="Times New Roman" w:hAnsi="Times New Roman" w:cs="Times New Roman"/>
      <w:sz w:val="24"/>
      <w:szCs w:val="24"/>
      <w:lang w:val="x-none" w:eastAsia="ru-RU"/>
    </w:rPr>
  </w:style>
  <w:style w:type="paragraph" w:styleId="Footer">
    <w:name w:val="footer"/>
    <w:basedOn w:val="Normal"/>
    <w:link w:val="FooterChar"/>
    <w:unhideWhenUsed/>
    <w:rsid w:val="00785A95"/>
    <w:pPr>
      <w:tabs>
        <w:tab w:val="center" w:pos="4153"/>
        <w:tab w:val="right" w:pos="8306"/>
      </w:tabs>
    </w:pPr>
  </w:style>
  <w:style w:type="character" w:customStyle="1" w:styleId="FooterChar">
    <w:name w:val="Footer Char"/>
    <w:basedOn w:val="DefaultParagraphFont"/>
    <w:link w:val="Footer"/>
    <w:rsid w:val="00785A95"/>
    <w:rPr>
      <w:rFonts w:ascii="Times New Roman" w:eastAsia="Times New Roman" w:hAnsi="Times New Roman" w:cs="Times New Roman"/>
      <w:sz w:val="24"/>
      <w:szCs w:val="24"/>
      <w:lang w:eastAsia="ru-RU"/>
    </w:rPr>
  </w:style>
  <w:style w:type="character" w:styleId="PageNumber">
    <w:name w:val="page number"/>
    <w:basedOn w:val="DefaultParagraphFont"/>
    <w:rsid w:val="00785A95"/>
  </w:style>
  <w:style w:type="paragraph" w:customStyle="1" w:styleId="tv213">
    <w:name w:val="tv213"/>
    <w:basedOn w:val="Normal"/>
    <w:rsid w:val="00411163"/>
    <w:pPr>
      <w:spacing w:before="100" w:beforeAutospacing="1" w:after="100" w:afterAutospacing="1"/>
    </w:pPr>
    <w:rPr>
      <w:lang w:eastAsia="lv-LV"/>
    </w:rPr>
  </w:style>
  <w:style w:type="character" w:styleId="CommentReference">
    <w:name w:val="annotation reference"/>
    <w:basedOn w:val="DefaultParagraphFont"/>
    <w:uiPriority w:val="99"/>
    <w:semiHidden/>
    <w:unhideWhenUsed/>
    <w:rsid w:val="003C3350"/>
    <w:rPr>
      <w:sz w:val="16"/>
      <w:szCs w:val="16"/>
    </w:rPr>
  </w:style>
  <w:style w:type="paragraph" w:styleId="CommentText">
    <w:name w:val="annotation text"/>
    <w:basedOn w:val="Normal"/>
    <w:link w:val="CommentTextChar"/>
    <w:uiPriority w:val="99"/>
    <w:semiHidden/>
    <w:unhideWhenUsed/>
    <w:rsid w:val="003C3350"/>
    <w:rPr>
      <w:sz w:val="20"/>
      <w:szCs w:val="20"/>
    </w:rPr>
  </w:style>
  <w:style w:type="character" w:customStyle="1" w:styleId="CommentTextChar">
    <w:name w:val="Comment Text Char"/>
    <w:basedOn w:val="DefaultParagraphFont"/>
    <w:link w:val="CommentText"/>
    <w:uiPriority w:val="99"/>
    <w:semiHidden/>
    <w:rsid w:val="003C3350"/>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3C3350"/>
    <w:rPr>
      <w:b/>
      <w:bCs/>
    </w:rPr>
  </w:style>
  <w:style w:type="character" w:customStyle="1" w:styleId="CommentSubjectChar">
    <w:name w:val="Comment Subject Char"/>
    <w:basedOn w:val="CommentTextChar"/>
    <w:link w:val="CommentSubject"/>
    <w:uiPriority w:val="99"/>
    <w:semiHidden/>
    <w:rsid w:val="003C3350"/>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BF5D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D1E"/>
    <w:rPr>
      <w:rFonts w:ascii="Segoe UI" w:eastAsia="Times New Roman" w:hAnsi="Segoe UI" w:cs="Segoe UI"/>
      <w:sz w:val="18"/>
      <w:szCs w:val="18"/>
      <w:lang w:eastAsia="ru-RU"/>
    </w:rPr>
  </w:style>
  <w:style w:type="paragraph" w:styleId="ListParagraph">
    <w:name w:val="List Paragraph"/>
    <w:basedOn w:val="Normal"/>
    <w:uiPriority w:val="34"/>
    <w:qFormat/>
    <w:rsid w:val="00C540F6"/>
    <w:pPr>
      <w:ind w:left="720"/>
      <w:contextualSpacing/>
    </w:pPr>
  </w:style>
  <w:style w:type="character" w:customStyle="1" w:styleId="sb8d990e2">
    <w:name w:val="sb8d990e2"/>
    <w:basedOn w:val="DefaultParagraphFont"/>
    <w:rsid w:val="00511639"/>
  </w:style>
  <w:style w:type="character" w:customStyle="1" w:styleId="s6b621b36">
    <w:name w:val="s6b621b36"/>
    <w:basedOn w:val="DefaultParagraphFont"/>
    <w:rsid w:val="00511639"/>
  </w:style>
  <w:style w:type="paragraph" w:styleId="Revision">
    <w:name w:val="Revision"/>
    <w:hidden/>
    <w:uiPriority w:val="99"/>
    <w:semiHidden/>
    <w:rsid w:val="00DF72B2"/>
    <w:pPr>
      <w:spacing w:after="0"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336890"/>
    <w:rPr>
      <w:color w:val="0563C1" w:themeColor="hyperlink"/>
      <w:u w:val="single"/>
    </w:rPr>
  </w:style>
  <w:style w:type="character" w:customStyle="1" w:styleId="UnresolvedMention">
    <w:name w:val="Unresolved Mention"/>
    <w:basedOn w:val="DefaultParagraphFont"/>
    <w:uiPriority w:val="99"/>
    <w:semiHidden/>
    <w:unhideWhenUsed/>
    <w:rsid w:val="00336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884915">
      <w:bodyDiv w:val="1"/>
      <w:marLeft w:val="0"/>
      <w:marRight w:val="0"/>
      <w:marTop w:val="0"/>
      <w:marBottom w:val="0"/>
      <w:divBdr>
        <w:top w:val="none" w:sz="0" w:space="0" w:color="auto"/>
        <w:left w:val="none" w:sz="0" w:space="0" w:color="auto"/>
        <w:bottom w:val="none" w:sz="0" w:space="0" w:color="auto"/>
        <w:right w:val="none" w:sz="0" w:space="0" w:color="auto"/>
      </w:divBdr>
    </w:div>
    <w:div w:id="361974986">
      <w:bodyDiv w:val="1"/>
      <w:marLeft w:val="0"/>
      <w:marRight w:val="0"/>
      <w:marTop w:val="0"/>
      <w:marBottom w:val="0"/>
      <w:divBdr>
        <w:top w:val="none" w:sz="0" w:space="0" w:color="auto"/>
        <w:left w:val="none" w:sz="0" w:space="0" w:color="auto"/>
        <w:bottom w:val="none" w:sz="0" w:space="0" w:color="auto"/>
        <w:right w:val="none" w:sz="0" w:space="0" w:color="auto"/>
      </w:divBdr>
    </w:div>
    <w:div w:id="137392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1218.A420227817.4.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anas.tiesas.lv/eTiesasMvc/eclinolemumi/ECLI:LV:AT:2021:0924.SKA066921.5.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anas.tiesas.lv/eTiesasMvc/eclinolemumi/ECLI:LV:AT:2020:0130.A420227917.4.S" TargetMode="External"/><Relationship Id="rId14" Type="http://schemas.openxmlformats.org/officeDocument/2006/relationships/header" Target="head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4046</Words>
  <Characters>23068</Characters>
  <Application>Microsoft Office Word</Application>
  <DocSecurity>0</DocSecurity>
  <Lines>192</Lines>
  <Paragraphs>54</Paragraphs>
  <ScaleCrop>false</ScaleCrop>
  <Company/>
  <LinksUpToDate>false</LinksUpToDate>
  <CharactersWithSpaces>27060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2021-11-29T13:40:00Z</dcterms:created>
  <dcterms:modified xsi:type="dcterms:W3CDTF">2021-11-29T13:40:00Z</dcterms:modified>
</cp:coreProperties>
</file>