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1CEE" w14:textId="3D0C337D" w:rsidR="00DE44D2" w:rsidRPr="00B32F95" w:rsidRDefault="00B32F95" w:rsidP="00B32F95">
      <w:pPr>
        <w:spacing w:line="276" w:lineRule="auto"/>
        <w:jc w:val="both"/>
        <w:rPr>
          <w:b/>
          <w:bCs/>
        </w:rPr>
      </w:pPr>
      <w:r w:rsidRPr="00B32F95">
        <w:rPr>
          <w:b/>
          <w:bCs/>
        </w:rPr>
        <w:t>Līzinga objekta neatdošana īpašniekam kā piesavināšanās izpausmes veids</w:t>
      </w:r>
    </w:p>
    <w:p w14:paraId="182014FC" w14:textId="08E68CE6" w:rsidR="00B32F95" w:rsidRPr="00B32F95" w:rsidRDefault="00B32F95" w:rsidP="00B32F95">
      <w:pPr>
        <w:spacing w:line="276" w:lineRule="auto"/>
        <w:jc w:val="both"/>
      </w:pPr>
      <w:r w:rsidRPr="00B32F95">
        <w:t xml:space="preserve">Lai personu sauktu pie kriminālatbildības pēc Krimināllikuma </w:t>
      </w:r>
      <w:proofErr w:type="gramStart"/>
      <w:r w:rsidRPr="00B32F95">
        <w:t>179.panta</w:t>
      </w:r>
      <w:proofErr w:type="gramEnd"/>
      <w:r w:rsidRPr="00B32F95">
        <w:t xml:space="preserve"> par līzinga objekta neatdošanu tā īpašniekam, jākonstatē personas nolūks iegūt līzinga objektu, atstumjot īpašnieku. Par šādu personas nolūku var liecināt, piemēram, līzinga objekta atrašanās vietas slēpšana no īpašnieka.</w:t>
      </w:r>
    </w:p>
    <w:p w14:paraId="2751B446" w14:textId="703CF6B2" w:rsidR="00DE44D2" w:rsidRDefault="00DE44D2" w:rsidP="00DE44D2">
      <w:pPr>
        <w:spacing w:line="276" w:lineRule="auto"/>
        <w:jc w:val="center"/>
      </w:pPr>
    </w:p>
    <w:p w14:paraId="7799BE23" w14:textId="77777777" w:rsidR="00B32F95" w:rsidRPr="00B32F95" w:rsidRDefault="00DE44D2" w:rsidP="00DE44D2">
      <w:pPr>
        <w:spacing w:line="276" w:lineRule="auto"/>
        <w:jc w:val="center"/>
        <w:rPr>
          <w:b/>
        </w:rPr>
      </w:pPr>
      <w:r w:rsidRPr="00B32F95">
        <w:rPr>
          <w:b/>
        </w:rPr>
        <w:t>Latvijas Republikas Senāt</w:t>
      </w:r>
      <w:r w:rsidR="00B32F95" w:rsidRPr="00B32F95">
        <w:rPr>
          <w:b/>
        </w:rPr>
        <w:t>a</w:t>
      </w:r>
      <w:r w:rsidRPr="00B32F95">
        <w:rPr>
          <w:b/>
        </w:rPr>
        <w:t xml:space="preserve"> </w:t>
      </w:r>
    </w:p>
    <w:p w14:paraId="064F8E9B" w14:textId="77777777" w:rsidR="00B32F95" w:rsidRPr="00B32F95" w:rsidRDefault="00B32F95" w:rsidP="00DE44D2">
      <w:pPr>
        <w:spacing w:line="276" w:lineRule="auto"/>
        <w:jc w:val="center"/>
        <w:rPr>
          <w:b/>
        </w:rPr>
      </w:pPr>
      <w:r w:rsidRPr="00B32F95">
        <w:rPr>
          <w:b/>
        </w:rPr>
        <w:t>Krimināllietu departamenta</w:t>
      </w:r>
    </w:p>
    <w:p w14:paraId="047DA4CB" w14:textId="13037296" w:rsidR="00DE44D2" w:rsidRPr="00B32F95" w:rsidRDefault="00B32F95" w:rsidP="00DE44D2">
      <w:pPr>
        <w:spacing w:line="276" w:lineRule="auto"/>
        <w:jc w:val="center"/>
        <w:rPr>
          <w:b/>
        </w:rPr>
      </w:pPr>
      <w:proofErr w:type="gramStart"/>
      <w:r w:rsidRPr="00B32F95">
        <w:rPr>
          <w:b/>
        </w:rPr>
        <w:t>2021.gada</w:t>
      </w:r>
      <w:proofErr w:type="gramEnd"/>
      <w:r w:rsidRPr="00B32F95">
        <w:rPr>
          <w:b/>
        </w:rPr>
        <w:t xml:space="preserve"> 26.oktobra</w:t>
      </w:r>
    </w:p>
    <w:p w14:paraId="6327BE89" w14:textId="77777777" w:rsidR="00DE44D2" w:rsidRPr="00B32F95" w:rsidRDefault="00DE44D2" w:rsidP="00DE44D2">
      <w:pPr>
        <w:spacing w:line="276" w:lineRule="auto"/>
        <w:jc w:val="center"/>
        <w:rPr>
          <w:b/>
        </w:rPr>
      </w:pPr>
      <w:r w:rsidRPr="00B32F95">
        <w:rPr>
          <w:b/>
        </w:rPr>
        <w:t>LĒMUMS</w:t>
      </w:r>
    </w:p>
    <w:p w14:paraId="06C56FDB" w14:textId="4A06D053" w:rsidR="00DE44D2" w:rsidRDefault="00B32F95" w:rsidP="00DE44D2">
      <w:pPr>
        <w:spacing w:line="276" w:lineRule="auto"/>
        <w:jc w:val="center"/>
        <w:rPr>
          <w:b/>
        </w:rPr>
      </w:pPr>
      <w:r w:rsidRPr="00B32F95">
        <w:rPr>
          <w:b/>
        </w:rPr>
        <w:t>Lieta Nr. 11290033018, SKK-120/2021</w:t>
      </w:r>
    </w:p>
    <w:p w14:paraId="0272D44D" w14:textId="6838342D" w:rsidR="00B32F95" w:rsidRPr="003C44F5" w:rsidRDefault="003C44F5" w:rsidP="00DE44D2">
      <w:pPr>
        <w:spacing w:line="276" w:lineRule="auto"/>
        <w:jc w:val="center"/>
        <w:rPr>
          <w:b/>
        </w:rPr>
      </w:pPr>
      <w:hyperlink r:id="rId7" w:history="1">
        <w:r w:rsidRPr="003C44F5">
          <w:rPr>
            <w:rStyle w:val="Hyperlink"/>
            <w:shd w:val="clear" w:color="auto" w:fill="FFFFFF"/>
          </w:rPr>
          <w:t>ECLI:LV:AT:2021:1026.</w:t>
        </w:r>
        <w:r w:rsidRPr="003C44F5">
          <w:rPr>
            <w:rStyle w:val="Hyperlink"/>
            <w:shd w:val="clear" w:color="auto" w:fill="FFFFFF"/>
          </w:rPr>
          <w:t>1</w:t>
        </w:r>
        <w:r w:rsidRPr="003C44F5">
          <w:rPr>
            <w:rStyle w:val="Hyperlink"/>
            <w:shd w:val="clear" w:color="auto" w:fill="FFFFFF"/>
          </w:rPr>
          <w:t>1290033018.4.L</w:t>
        </w:r>
      </w:hyperlink>
    </w:p>
    <w:p w14:paraId="5F60CF1E" w14:textId="77777777" w:rsidR="00DE44D2" w:rsidRPr="00C375F5" w:rsidRDefault="00DE44D2" w:rsidP="00DE44D2">
      <w:pPr>
        <w:shd w:val="clear" w:color="auto" w:fill="FFFFFF"/>
        <w:spacing w:line="276" w:lineRule="auto"/>
      </w:pPr>
      <w:r w:rsidRPr="00C375F5">
        <w:t> </w:t>
      </w:r>
    </w:p>
    <w:p w14:paraId="1FF69255" w14:textId="2B11020F" w:rsidR="00DE44D2" w:rsidRPr="00C576A8" w:rsidRDefault="00DE44D2" w:rsidP="00384060">
      <w:pPr>
        <w:spacing w:line="276" w:lineRule="auto"/>
        <w:ind w:firstLine="652"/>
        <w:contextualSpacing/>
      </w:pPr>
      <w:r w:rsidRPr="00C576A8">
        <w:t>Tiesa šādā sastāvā: senatori</w:t>
      </w:r>
      <w:r w:rsidR="00624919">
        <w:t xml:space="preserve"> Aija Branta,</w:t>
      </w:r>
      <w:r w:rsidR="00932EB4">
        <w:t xml:space="preserve"> </w:t>
      </w:r>
      <w:r w:rsidR="00343E8E">
        <w:t xml:space="preserve">Ivars Bičkovičs, </w:t>
      </w:r>
      <w:r w:rsidR="00855DF4">
        <w:t xml:space="preserve">Sandra Kaija </w:t>
      </w:r>
    </w:p>
    <w:p w14:paraId="515897F3" w14:textId="77777777" w:rsidR="00DE44D2" w:rsidRPr="00C576A8" w:rsidRDefault="00DE44D2" w:rsidP="00384060">
      <w:pPr>
        <w:tabs>
          <w:tab w:val="left" w:pos="-3120"/>
        </w:tabs>
        <w:suppressAutoHyphens/>
        <w:spacing w:line="276" w:lineRule="auto"/>
        <w:ind w:firstLine="652"/>
        <w:contextualSpacing/>
        <w:jc w:val="both"/>
      </w:pPr>
    </w:p>
    <w:p w14:paraId="4ECA33A5" w14:textId="5A5F1E32" w:rsidR="00DE44D2" w:rsidRPr="00C576A8" w:rsidRDefault="00DE44D2" w:rsidP="00384060">
      <w:pPr>
        <w:tabs>
          <w:tab w:val="left" w:pos="-3120"/>
        </w:tabs>
        <w:suppressAutoHyphens/>
        <w:spacing w:line="276" w:lineRule="auto"/>
        <w:ind w:firstLine="652"/>
        <w:contextualSpacing/>
        <w:jc w:val="both"/>
      </w:pPr>
      <w:r w:rsidRPr="00C576A8">
        <w:t xml:space="preserve">izskatīja rakstveida procesā krimināllietu sakarā ar </w:t>
      </w:r>
      <w:r w:rsidR="00855DF4">
        <w:t xml:space="preserve">Ludzas rajona </w:t>
      </w:r>
      <w:r w:rsidR="00D94AF0">
        <w:t xml:space="preserve">prokuratūras </w:t>
      </w:r>
      <w:r w:rsidR="00855DF4">
        <w:t>virs</w:t>
      </w:r>
      <w:r w:rsidR="00D94AF0">
        <w:t>prokurores</w:t>
      </w:r>
      <w:r w:rsidR="00932EB4">
        <w:t xml:space="preserve"> </w:t>
      </w:r>
      <w:r w:rsidR="00007716">
        <w:t>Ritas</w:t>
      </w:r>
      <w:r w:rsidR="00932EB4">
        <w:t xml:space="preserve"> </w:t>
      </w:r>
      <w:proofErr w:type="spellStart"/>
      <w:r w:rsidR="00855DF4">
        <w:t>Zeiliņas</w:t>
      </w:r>
      <w:proofErr w:type="spellEnd"/>
      <w:r w:rsidR="00271BD9">
        <w:t xml:space="preserve"> </w:t>
      </w:r>
      <w:r w:rsidRPr="00C576A8">
        <w:t xml:space="preserve">kasācijas </w:t>
      </w:r>
      <w:r w:rsidR="00D94AF0">
        <w:t>protestu</w:t>
      </w:r>
      <w:r w:rsidRPr="00C576A8">
        <w:t xml:space="preserve"> par </w:t>
      </w:r>
      <w:r w:rsidR="00855DF4">
        <w:t>Latgales</w:t>
      </w:r>
      <w:r w:rsidRPr="00C576A8">
        <w:t xml:space="preserve"> apgabaltiesas </w:t>
      </w:r>
      <w:proofErr w:type="gramStart"/>
      <w:r w:rsidRPr="00C576A8">
        <w:t>20</w:t>
      </w:r>
      <w:r w:rsidR="00855DF4">
        <w:t>20</w:t>
      </w:r>
      <w:r w:rsidRPr="00C576A8">
        <w:t>.gada</w:t>
      </w:r>
      <w:proofErr w:type="gramEnd"/>
      <w:r w:rsidRPr="00C576A8">
        <w:t xml:space="preserve"> </w:t>
      </w:r>
      <w:r w:rsidR="00855DF4">
        <w:t>19</w:t>
      </w:r>
      <w:r w:rsidRPr="00C576A8">
        <w:t>.</w:t>
      </w:r>
      <w:r w:rsidR="00855DF4">
        <w:t>okto</w:t>
      </w:r>
      <w:r w:rsidR="00D94AF0">
        <w:t>b</w:t>
      </w:r>
      <w:r w:rsidRPr="00C576A8">
        <w:t xml:space="preserve">ra </w:t>
      </w:r>
      <w:r w:rsidR="00932EB4">
        <w:t>lēm</w:t>
      </w:r>
      <w:r w:rsidRPr="00C576A8">
        <w:t>umu.</w:t>
      </w:r>
    </w:p>
    <w:p w14:paraId="3E2C3023" w14:textId="77777777" w:rsidR="00DE44D2" w:rsidRPr="00C576A8" w:rsidRDefault="00DE44D2" w:rsidP="00384060">
      <w:pPr>
        <w:spacing w:line="276" w:lineRule="auto"/>
        <w:ind w:firstLine="652"/>
        <w:contextualSpacing/>
      </w:pPr>
    </w:p>
    <w:p w14:paraId="403F7778" w14:textId="77777777" w:rsidR="00DE44D2" w:rsidRPr="00C576A8" w:rsidRDefault="00DE44D2" w:rsidP="00384060">
      <w:pPr>
        <w:spacing w:line="276" w:lineRule="auto"/>
        <w:ind w:firstLine="652"/>
        <w:contextualSpacing/>
        <w:jc w:val="center"/>
        <w:rPr>
          <w:b/>
        </w:rPr>
      </w:pPr>
      <w:r w:rsidRPr="00C576A8">
        <w:rPr>
          <w:b/>
        </w:rPr>
        <w:t>Aprakstošā daļa</w:t>
      </w:r>
    </w:p>
    <w:p w14:paraId="5DD71EBE" w14:textId="77777777" w:rsidR="00DE44D2" w:rsidRPr="00C576A8" w:rsidRDefault="00DE44D2" w:rsidP="00384060">
      <w:pPr>
        <w:spacing w:line="276" w:lineRule="auto"/>
        <w:ind w:firstLine="652"/>
        <w:contextualSpacing/>
        <w:rPr>
          <w:b/>
        </w:rPr>
      </w:pPr>
      <w:r w:rsidRPr="00C576A8">
        <w:rPr>
          <w:b/>
        </w:rPr>
        <w:tab/>
      </w:r>
    </w:p>
    <w:p w14:paraId="20C34B4C" w14:textId="7CB56629" w:rsidR="00DE44D2" w:rsidRPr="00C576A8" w:rsidRDefault="00DE44D2" w:rsidP="00384060">
      <w:pPr>
        <w:spacing w:line="276" w:lineRule="auto"/>
        <w:ind w:firstLine="652"/>
        <w:contextualSpacing/>
        <w:rPr>
          <w:bCs/>
        </w:rPr>
      </w:pPr>
      <w:r w:rsidRPr="00C576A8">
        <w:rPr>
          <w:bCs/>
        </w:rPr>
        <w:t xml:space="preserve">[1] Ar </w:t>
      </w:r>
      <w:r w:rsidR="00855DF4">
        <w:rPr>
          <w:bCs/>
        </w:rPr>
        <w:t>Rēzeknes</w:t>
      </w:r>
      <w:r w:rsidRPr="00C576A8">
        <w:rPr>
          <w:bCs/>
        </w:rPr>
        <w:t xml:space="preserve"> tiesas </w:t>
      </w:r>
      <w:proofErr w:type="gramStart"/>
      <w:r w:rsidRPr="00C576A8">
        <w:rPr>
          <w:bCs/>
        </w:rPr>
        <w:t>20</w:t>
      </w:r>
      <w:r w:rsidR="00855DF4">
        <w:rPr>
          <w:bCs/>
        </w:rPr>
        <w:t>20</w:t>
      </w:r>
      <w:r w:rsidRPr="00C576A8">
        <w:rPr>
          <w:bCs/>
        </w:rPr>
        <w:t>.gada</w:t>
      </w:r>
      <w:proofErr w:type="gramEnd"/>
      <w:r w:rsidRPr="00C576A8">
        <w:rPr>
          <w:bCs/>
        </w:rPr>
        <w:t xml:space="preserve"> </w:t>
      </w:r>
      <w:r w:rsidR="00932EB4">
        <w:rPr>
          <w:bCs/>
        </w:rPr>
        <w:t>2</w:t>
      </w:r>
      <w:r w:rsidR="00855DF4">
        <w:rPr>
          <w:bCs/>
        </w:rPr>
        <w:t>7</w:t>
      </w:r>
      <w:r w:rsidRPr="00C576A8">
        <w:rPr>
          <w:bCs/>
        </w:rPr>
        <w:t>.</w:t>
      </w:r>
      <w:r w:rsidR="00932EB4">
        <w:rPr>
          <w:bCs/>
        </w:rPr>
        <w:t>ma</w:t>
      </w:r>
      <w:r w:rsidR="00855DF4">
        <w:rPr>
          <w:bCs/>
        </w:rPr>
        <w:t>ij</w:t>
      </w:r>
      <w:r w:rsidRPr="00C576A8">
        <w:rPr>
          <w:bCs/>
        </w:rPr>
        <w:t>a spriedumu</w:t>
      </w:r>
    </w:p>
    <w:p w14:paraId="7F2C6824" w14:textId="405B5942" w:rsidR="00DE44D2" w:rsidRPr="00C576A8" w:rsidRDefault="003C44F5" w:rsidP="00384060">
      <w:pPr>
        <w:spacing w:line="276" w:lineRule="auto"/>
        <w:ind w:firstLine="652"/>
        <w:contextualSpacing/>
        <w:rPr>
          <w:bCs/>
        </w:rPr>
      </w:pPr>
      <w:r>
        <w:rPr>
          <w:bCs/>
        </w:rPr>
        <w:t>[pers. A]</w:t>
      </w:r>
      <w:r w:rsidR="00DE44D2" w:rsidRPr="00C576A8">
        <w:rPr>
          <w:bCs/>
        </w:rPr>
        <w:t xml:space="preserve">, personas kods </w:t>
      </w:r>
      <w:r>
        <w:rPr>
          <w:bCs/>
        </w:rPr>
        <w:t>[..]</w:t>
      </w:r>
      <w:r w:rsidR="00DE44D2" w:rsidRPr="00C576A8">
        <w:rPr>
          <w:bCs/>
        </w:rPr>
        <w:t>,</w:t>
      </w:r>
    </w:p>
    <w:p w14:paraId="65A41C7F" w14:textId="17BB1619" w:rsidR="00271BD9" w:rsidRDefault="00DE44D2" w:rsidP="00D94AF0">
      <w:pPr>
        <w:spacing w:line="276" w:lineRule="auto"/>
        <w:ind w:firstLine="652"/>
        <w:contextualSpacing/>
        <w:jc w:val="both"/>
        <w:rPr>
          <w:bCs/>
        </w:rPr>
      </w:pPr>
      <w:r w:rsidRPr="00C576A8">
        <w:rPr>
          <w:bCs/>
        </w:rPr>
        <w:t>atzīt</w:t>
      </w:r>
      <w:r w:rsidR="002357BC" w:rsidRPr="00C576A8">
        <w:rPr>
          <w:bCs/>
        </w:rPr>
        <w:t>s</w:t>
      </w:r>
      <w:r w:rsidRPr="00C576A8">
        <w:rPr>
          <w:bCs/>
        </w:rPr>
        <w:t xml:space="preserve"> par </w:t>
      </w:r>
      <w:r w:rsidR="00932EB4">
        <w:rPr>
          <w:bCs/>
        </w:rPr>
        <w:t>ne</w:t>
      </w:r>
      <w:r w:rsidRPr="00C576A8">
        <w:rPr>
          <w:bCs/>
        </w:rPr>
        <w:t xml:space="preserve">vainīgu Krimināllikuma </w:t>
      </w:r>
      <w:proofErr w:type="gramStart"/>
      <w:r w:rsidR="00271BD9">
        <w:rPr>
          <w:bCs/>
        </w:rPr>
        <w:t>1</w:t>
      </w:r>
      <w:r w:rsidR="00932EB4">
        <w:rPr>
          <w:bCs/>
        </w:rPr>
        <w:t>79</w:t>
      </w:r>
      <w:r w:rsidRPr="00C576A8">
        <w:rPr>
          <w:bCs/>
        </w:rPr>
        <w:t>.panta</w:t>
      </w:r>
      <w:proofErr w:type="gramEnd"/>
      <w:r w:rsidRPr="00C576A8">
        <w:rPr>
          <w:bCs/>
        </w:rPr>
        <w:t xml:space="preserve"> </w:t>
      </w:r>
      <w:r w:rsidR="00A07921">
        <w:rPr>
          <w:bCs/>
        </w:rPr>
        <w:t>pirmajā daļā paredzētajā noziedzīgajā nodarījumā un attaisnots.</w:t>
      </w:r>
    </w:p>
    <w:p w14:paraId="63E611DF" w14:textId="77777777" w:rsidR="00D94AF0" w:rsidRDefault="00D94AF0" w:rsidP="00821A09">
      <w:pPr>
        <w:spacing w:line="276" w:lineRule="auto"/>
        <w:ind w:firstLine="652"/>
        <w:contextualSpacing/>
        <w:jc w:val="both"/>
        <w:rPr>
          <w:bCs/>
        </w:rPr>
      </w:pPr>
    </w:p>
    <w:p w14:paraId="0C487AC5" w14:textId="41901949" w:rsidR="00D94AF0" w:rsidRDefault="00D94AF0" w:rsidP="00821A09">
      <w:pPr>
        <w:spacing w:line="276" w:lineRule="auto"/>
        <w:ind w:firstLine="652"/>
        <w:contextualSpacing/>
        <w:jc w:val="both"/>
        <w:rPr>
          <w:bCs/>
        </w:rPr>
      </w:pPr>
      <w:r>
        <w:rPr>
          <w:bCs/>
        </w:rPr>
        <w:t>[2] </w:t>
      </w:r>
      <w:r w:rsidR="00932EB4">
        <w:rPr>
          <w:bCs/>
        </w:rPr>
        <w:t xml:space="preserve">Pirmstiesas </w:t>
      </w:r>
      <w:r w:rsidR="00343E8E">
        <w:rPr>
          <w:bCs/>
        </w:rPr>
        <w:t>krimināl</w:t>
      </w:r>
      <w:r w:rsidR="00932EB4">
        <w:rPr>
          <w:bCs/>
        </w:rPr>
        <w:t xml:space="preserve">procesā </w:t>
      </w:r>
      <w:r w:rsidR="003C44F5">
        <w:rPr>
          <w:bCs/>
        </w:rPr>
        <w:t>[pers. A]</w:t>
      </w:r>
      <w:r w:rsidR="00932EB4">
        <w:rPr>
          <w:bCs/>
        </w:rPr>
        <w:t xml:space="preserve"> celta apsūdzība pēc Krimināllikuma </w:t>
      </w:r>
      <w:proofErr w:type="gramStart"/>
      <w:r w:rsidR="00932EB4">
        <w:rPr>
          <w:bCs/>
        </w:rPr>
        <w:t>179.panta</w:t>
      </w:r>
      <w:proofErr w:type="gramEnd"/>
      <w:r w:rsidR="00932EB4">
        <w:rPr>
          <w:bCs/>
        </w:rPr>
        <w:t xml:space="preserve"> pirmās daļas par</w:t>
      </w:r>
      <w:r w:rsidR="00204D3F">
        <w:rPr>
          <w:bCs/>
        </w:rPr>
        <w:t xml:space="preserve"> viņa pārziņā esošas svešas mantas</w:t>
      </w:r>
      <w:r w:rsidR="00932EB4">
        <w:rPr>
          <w:bCs/>
        </w:rPr>
        <w:t xml:space="preserve"> prettiesisku iegūšanu (piesavināšan</w:t>
      </w:r>
      <w:r w:rsidR="008C0865">
        <w:rPr>
          <w:bCs/>
        </w:rPr>
        <w:t>o</w:t>
      </w:r>
      <w:r w:rsidR="00932EB4">
        <w:rPr>
          <w:bCs/>
        </w:rPr>
        <w:t>s).</w:t>
      </w:r>
    </w:p>
    <w:p w14:paraId="539A9A7A" w14:textId="77777777" w:rsidR="00D94AF0" w:rsidRDefault="00D94AF0" w:rsidP="00821A09">
      <w:pPr>
        <w:spacing w:line="276" w:lineRule="auto"/>
        <w:ind w:firstLine="652"/>
        <w:contextualSpacing/>
        <w:jc w:val="both"/>
        <w:rPr>
          <w:bCs/>
        </w:rPr>
      </w:pPr>
    </w:p>
    <w:p w14:paraId="6D251C06" w14:textId="7F4B744D" w:rsidR="00821A09" w:rsidRDefault="00C934F2" w:rsidP="00821A09">
      <w:pPr>
        <w:spacing w:line="276" w:lineRule="auto"/>
        <w:ind w:firstLine="652"/>
        <w:contextualSpacing/>
        <w:jc w:val="both"/>
        <w:rPr>
          <w:bCs/>
        </w:rPr>
      </w:pPr>
      <w:r>
        <w:rPr>
          <w:bCs/>
        </w:rPr>
        <w:t>[</w:t>
      </w:r>
      <w:r w:rsidR="00D94AF0">
        <w:rPr>
          <w:bCs/>
        </w:rPr>
        <w:t>3</w:t>
      </w:r>
      <w:r>
        <w:rPr>
          <w:bCs/>
        </w:rPr>
        <w:t xml:space="preserve">] Ar </w:t>
      </w:r>
      <w:r w:rsidR="00855DF4">
        <w:rPr>
          <w:bCs/>
        </w:rPr>
        <w:t>Latgales</w:t>
      </w:r>
      <w:r>
        <w:rPr>
          <w:bCs/>
        </w:rPr>
        <w:t xml:space="preserve"> apgabaltiesas</w:t>
      </w:r>
      <w:r w:rsidR="00C8401A">
        <w:rPr>
          <w:bCs/>
        </w:rPr>
        <w:t xml:space="preserve"> </w:t>
      </w:r>
      <w:proofErr w:type="gramStart"/>
      <w:r w:rsidR="00C8401A">
        <w:rPr>
          <w:bCs/>
        </w:rPr>
        <w:t>20</w:t>
      </w:r>
      <w:r w:rsidR="00855DF4">
        <w:rPr>
          <w:bCs/>
        </w:rPr>
        <w:t>20</w:t>
      </w:r>
      <w:r w:rsidR="00C8401A">
        <w:rPr>
          <w:bCs/>
        </w:rPr>
        <w:t>.gada</w:t>
      </w:r>
      <w:proofErr w:type="gramEnd"/>
      <w:r w:rsidR="00C8401A">
        <w:rPr>
          <w:bCs/>
        </w:rPr>
        <w:t xml:space="preserve"> </w:t>
      </w:r>
      <w:r w:rsidR="00855DF4">
        <w:rPr>
          <w:bCs/>
        </w:rPr>
        <w:t>19</w:t>
      </w:r>
      <w:r w:rsidR="00C8401A">
        <w:rPr>
          <w:bCs/>
        </w:rPr>
        <w:t>.</w:t>
      </w:r>
      <w:r w:rsidR="00855DF4">
        <w:rPr>
          <w:bCs/>
        </w:rPr>
        <w:t>okto</w:t>
      </w:r>
      <w:r w:rsidR="00D94AF0">
        <w:rPr>
          <w:bCs/>
        </w:rPr>
        <w:t>b</w:t>
      </w:r>
      <w:r w:rsidR="00C8401A">
        <w:rPr>
          <w:bCs/>
        </w:rPr>
        <w:t xml:space="preserve">ra </w:t>
      </w:r>
      <w:r w:rsidR="00932EB4">
        <w:rPr>
          <w:bCs/>
        </w:rPr>
        <w:t>lēm</w:t>
      </w:r>
      <w:r w:rsidR="00C8401A">
        <w:rPr>
          <w:bCs/>
        </w:rPr>
        <w:t xml:space="preserve">umu, iztiesājot lietu sakarā ar </w:t>
      </w:r>
      <w:r w:rsidR="00855DF4">
        <w:rPr>
          <w:bCs/>
        </w:rPr>
        <w:t>Ludzas rajona</w:t>
      </w:r>
      <w:r w:rsidR="00932EB4">
        <w:rPr>
          <w:bCs/>
        </w:rPr>
        <w:t xml:space="preserve"> prokur</w:t>
      </w:r>
      <w:r w:rsidR="00C8401A">
        <w:rPr>
          <w:bCs/>
        </w:rPr>
        <w:t>a</w:t>
      </w:r>
      <w:r w:rsidR="00932EB4">
        <w:rPr>
          <w:bCs/>
        </w:rPr>
        <w:t xml:space="preserve">tūras prokurores </w:t>
      </w:r>
      <w:r w:rsidR="00855DF4">
        <w:rPr>
          <w:bCs/>
        </w:rPr>
        <w:t>J</w:t>
      </w:r>
      <w:r w:rsidR="00007716">
        <w:rPr>
          <w:bCs/>
        </w:rPr>
        <w:t>eļenas</w:t>
      </w:r>
      <w:r w:rsidR="00932EB4">
        <w:rPr>
          <w:bCs/>
        </w:rPr>
        <w:t> </w:t>
      </w:r>
      <w:proofErr w:type="spellStart"/>
      <w:r w:rsidR="00855DF4">
        <w:rPr>
          <w:bCs/>
        </w:rPr>
        <w:t>Gluhova</w:t>
      </w:r>
      <w:r w:rsidR="00932EB4">
        <w:rPr>
          <w:bCs/>
        </w:rPr>
        <w:t>s</w:t>
      </w:r>
      <w:proofErr w:type="spellEnd"/>
      <w:r w:rsidR="00932EB4">
        <w:rPr>
          <w:bCs/>
        </w:rPr>
        <w:t xml:space="preserve"> </w:t>
      </w:r>
      <w:r w:rsidR="00A07921">
        <w:rPr>
          <w:bCs/>
        </w:rPr>
        <w:t xml:space="preserve">apelācijas </w:t>
      </w:r>
      <w:r w:rsidR="00932EB4">
        <w:rPr>
          <w:bCs/>
        </w:rPr>
        <w:t xml:space="preserve">protestu, </w:t>
      </w:r>
      <w:r w:rsidR="00855DF4">
        <w:rPr>
          <w:bCs/>
        </w:rPr>
        <w:t>Rēzeknes</w:t>
      </w:r>
      <w:r w:rsidR="00932EB4">
        <w:rPr>
          <w:bCs/>
        </w:rPr>
        <w:t xml:space="preserve"> tiesas 20</w:t>
      </w:r>
      <w:r w:rsidR="00855DF4">
        <w:rPr>
          <w:bCs/>
        </w:rPr>
        <w:t>20</w:t>
      </w:r>
      <w:r w:rsidR="00932EB4">
        <w:rPr>
          <w:bCs/>
        </w:rPr>
        <w:t>.gada 2</w:t>
      </w:r>
      <w:r w:rsidR="00855DF4">
        <w:rPr>
          <w:bCs/>
        </w:rPr>
        <w:t>7</w:t>
      </w:r>
      <w:r w:rsidR="00932EB4">
        <w:rPr>
          <w:bCs/>
        </w:rPr>
        <w:t>.ma</w:t>
      </w:r>
      <w:r w:rsidR="00855DF4">
        <w:rPr>
          <w:bCs/>
        </w:rPr>
        <w:t>ij</w:t>
      </w:r>
      <w:r w:rsidR="00932EB4">
        <w:rPr>
          <w:bCs/>
        </w:rPr>
        <w:t>a spriedums atstāts negrozīts.</w:t>
      </w:r>
    </w:p>
    <w:p w14:paraId="43B10CFD" w14:textId="77777777" w:rsidR="00FC0DE1" w:rsidRPr="00D602E3" w:rsidRDefault="00FC0DE1" w:rsidP="00275F14">
      <w:pPr>
        <w:spacing w:line="276" w:lineRule="auto"/>
        <w:ind w:firstLine="652"/>
        <w:contextualSpacing/>
        <w:jc w:val="both"/>
        <w:rPr>
          <w:bCs/>
        </w:rPr>
      </w:pPr>
    </w:p>
    <w:p w14:paraId="60EB6EF9" w14:textId="262D91EE" w:rsidR="00B37213" w:rsidRDefault="00B37213" w:rsidP="00B37213">
      <w:pPr>
        <w:spacing w:line="276" w:lineRule="auto"/>
        <w:ind w:firstLine="652"/>
        <w:contextualSpacing/>
        <w:jc w:val="both"/>
      </w:pPr>
      <w:r>
        <w:t>[</w:t>
      </w:r>
      <w:r w:rsidR="00847572">
        <w:t>4</w:t>
      </w:r>
      <w:r>
        <w:t>]</w:t>
      </w:r>
      <w:r w:rsidR="00204D3F">
        <w:t> </w:t>
      </w:r>
      <w:r>
        <w:t xml:space="preserve">Par </w:t>
      </w:r>
      <w:r w:rsidR="00855DF4">
        <w:t>Latgales</w:t>
      </w:r>
      <w:r>
        <w:t xml:space="preserve"> apgabaltiesas </w:t>
      </w:r>
      <w:proofErr w:type="gramStart"/>
      <w:r>
        <w:t>20</w:t>
      </w:r>
      <w:r w:rsidR="00855DF4">
        <w:t>20</w:t>
      </w:r>
      <w:r>
        <w:t>.gada</w:t>
      </w:r>
      <w:proofErr w:type="gramEnd"/>
      <w:r>
        <w:t xml:space="preserve"> 1</w:t>
      </w:r>
      <w:r w:rsidR="00855DF4">
        <w:t>9</w:t>
      </w:r>
      <w:r>
        <w:t>.</w:t>
      </w:r>
      <w:r w:rsidR="00855DF4">
        <w:t>okto</w:t>
      </w:r>
      <w:r>
        <w:t xml:space="preserve">bra lēmumu </w:t>
      </w:r>
      <w:r w:rsidR="00855DF4">
        <w:t>Ludzas</w:t>
      </w:r>
      <w:r>
        <w:t xml:space="preserve"> rajona prokuratūras </w:t>
      </w:r>
      <w:r w:rsidR="00855DF4">
        <w:t>virs</w:t>
      </w:r>
      <w:r>
        <w:t xml:space="preserve">prokurore </w:t>
      </w:r>
      <w:r w:rsidR="0005031C">
        <w:t>R</w:t>
      </w:r>
      <w:r w:rsidR="00855DF4">
        <w:t>. </w:t>
      </w:r>
      <w:proofErr w:type="spellStart"/>
      <w:r w:rsidR="00855DF4">
        <w:t>Zeiliņa</w:t>
      </w:r>
      <w:proofErr w:type="spellEnd"/>
      <w:r>
        <w:t xml:space="preserve"> iesniegusi kasācijas protestu, </w:t>
      </w:r>
      <w:r w:rsidR="00A56120">
        <w:t>kurā lūdz</w:t>
      </w:r>
      <w:r>
        <w:t xml:space="preserve"> </w:t>
      </w:r>
      <w:r w:rsidR="0098517A">
        <w:t xml:space="preserve">pilnībā </w:t>
      </w:r>
      <w:r w:rsidR="00007716">
        <w:t xml:space="preserve">atcelt </w:t>
      </w:r>
      <w:r w:rsidR="00A56120">
        <w:t xml:space="preserve">apelācijas instances tiesas </w:t>
      </w:r>
      <w:r w:rsidR="00007716">
        <w:t>lēmumu</w:t>
      </w:r>
      <w:r>
        <w:t xml:space="preserve"> un </w:t>
      </w:r>
      <w:r w:rsidR="00A56120">
        <w:t>lietu</w:t>
      </w:r>
      <w:r w:rsidR="00243778">
        <w:t xml:space="preserve"> nosūtīt</w:t>
      </w:r>
      <w:r w:rsidR="00A56120">
        <w:t xml:space="preserve"> </w:t>
      </w:r>
      <w:r>
        <w:t xml:space="preserve">jaunai </w:t>
      </w:r>
      <w:r w:rsidR="00A56120">
        <w:t>izskatīšanai</w:t>
      </w:r>
      <w:r w:rsidR="00243778">
        <w:t xml:space="preserve"> apelācijas instances tiesā.</w:t>
      </w:r>
      <w:r w:rsidR="006E5F41">
        <w:t xml:space="preserve"> </w:t>
      </w:r>
    </w:p>
    <w:p w14:paraId="5F547D88" w14:textId="01F68EDD" w:rsidR="008C0865" w:rsidRDefault="00A56120" w:rsidP="008C0865">
      <w:pPr>
        <w:spacing w:line="276" w:lineRule="auto"/>
        <w:ind w:firstLine="652"/>
        <w:contextualSpacing/>
        <w:jc w:val="both"/>
      </w:pPr>
      <w:r>
        <w:t xml:space="preserve">Kasācijas protestā izteikto lūgumu </w:t>
      </w:r>
      <w:r w:rsidR="0039150F">
        <w:t>pamato šādi argumenti.</w:t>
      </w:r>
    </w:p>
    <w:p w14:paraId="27E35834" w14:textId="303104DD" w:rsidR="003C7A42" w:rsidRDefault="00B37213" w:rsidP="008C0865">
      <w:pPr>
        <w:spacing w:line="276" w:lineRule="auto"/>
        <w:ind w:firstLine="652"/>
        <w:contextualSpacing/>
        <w:jc w:val="both"/>
      </w:pPr>
      <w:r>
        <w:t>[</w:t>
      </w:r>
      <w:r w:rsidR="00847572">
        <w:t>4</w:t>
      </w:r>
      <w:r>
        <w:t>.</w:t>
      </w:r>
      <w:r w:rsidR="00204D3F">
        <w:t>1</w:t>
      </w:r>
      <w:r>
        <w:t>]</w:t>
      </w:r>
      <w:r w:rsidR="008C27C5">
        <w:t> </w:t>
      </w:r>
      <w:r w:rsidR="006E5F41">
        <w:t>A</w:t>
      </w:r>
      <w:r w:rsidR="008C27C5">
        <w:t>pelācijas instances tiesa</w:t>
      </w:r>
      <w:r w:rsidR="006E5F41">
        <w:t xml:space="preserve"> kļūdaini</w:t>
      </w:r>
      <w:r w:rsidR="008C27C5">
        <w:t xml:space="preserve"> atzinu</w:t>
      </w:r>
      <w:r w:rsidR="00F875BF">
        <w:t>si</w:t>
      </w:r>
      <w:r w:rsidR="008C27C5">
        <w:t xml:space="preserve">, ka </w:t>
      </w:r>
      <w:r w:rsidR="003C44F5">
        <w:t>[pers. A]</w:t>
      </w:r>
      <w:r w:rsidR="008C27C5">
        <w:t xml:space="preserve"> </w:t>
      </w:r>
      <w:r w:rsidR="00A56120">
        <w:t>izvirzītā</w:t>
      </w:r>
      <w:r w:rsidR="008C27C5">
        <w:t xml:space="preserve"> apsūdzīb</w:t>
      </w:r>
      <w:r w:rsidR="0045457D">
        <w:t>a</w:t>
      </w:r>
      <w:r w:rsidR="008C27C5">
        <w:t xml:space="preserve"> </w:t>
      </w:r>
      <w:r w:rsidR="003C7A42">
        <w:t xml:space="preserve">neatbilst </w:t>
      </w:r>
      <w:r w:rsidR="00A56120">
        <w:t xml:space="preserve">prasībām, kas apsūdzības saturam noteiktas </w:t>
      </w:r>
      <w:r w:rsidR="003C7A42">
        <w:t xml:space="preserve">Kriminālprocesa </w:t>
      </w:r>
      <w:r w:rsidR="00F45CDD">
        <w:t xml:space="preserve">likuma </w:t>
      </w:r>
      <w:proofErr w:type="gramStart"/>
      <w:r w:rsidR="003C7A42">
        <w:t>405.pant</w:t>
      </w:r>
      <w:r w:rsidR="00622BE6">
        <w:t>a</w:t>
      </w:r>
      <w:proofErr w:type="gramEnd"/>
      <w:r w:rsidR="00622BE6">
        <w:t xml:space="preserve"> pirmajā daļā</w:t>
      </w:r>
      <w:r w:rsidR="003C7A42">
        <w:t xml:space="preserve">. </w:t>
      </w:r>
    </w:p>
    <w:p w14:paraId="17F8490A" w14:textId="795877F0" w:rsidR="005C55FB" w:rsidRDefault="00A45292" w:rsidP="008C27C5">
      <w:pPr>
        <w:spacing w:line="276" w:lineRule="auto"/>
        <w:ind w:firstLine="709"/>
        <w:jc w:val="both"/>
      </w:pPr>
      <w:r>
        <w:t xml:space="preserve">Lēmumā par </w:t>
      </w:r>
      <w:r w:rsidR="003C44F5">
        <w:t>[pers. A]</w:t>
      </w:r>
      <w:r>
        <w:t xml:space="preserve"> saukšanu pie kriminālatbildības ir norādīti </w:t>
      </w:r>
      <w:r w:rsidR="00F6125C">
        <w:t xml:space="preserve">viņam inkriminētā noziedzīgā nodarījuma faktiskie </w:t>
      </w:r>
      <w:r>
        <w:t>apstākļi, k</w:t>
      </w:r>
      <w:r w:rsidR="00F6125C">
        <w:t>as</w:t>
      </w:r>
      <w:r>
        <w:t xml:space="preserve"> nosaka Krimināllikuma </w:t>
      </w:r>
      <w:proofErr w:type="gramStart"/>
      <w:r>
        <w:t>179.panta</w:t>
      </w:r>
      <w:proofErr w:type="gramEnd"/>
      <w:r>
        <w:t xml:space="preserve"> pirmajā daļā paredzētā noziedzīgā nodarījuma</w:t>
      </w:r>
      <w:r w:rsidR="00F6125C">
        <w:t xml:space="preserve"> – piesavināšanās –</w:t>
      </w:r>
      <w:r>
        <w:t xml:space="preserve"> juridisko kvalifikāciju</w:t>
      </w:r>
      <w:r w:rsidR="005C55FB">
        <w:t>.</w:t>
      </w:r>
    </w:p>
    <w:p w14:paraId="0446D6D0" w14:textId="04318390" w:rsidR="004A1DE6" w:rsidRDefault="004A1DE6" w:rsidP="004A1DE6">
      <w:pPr>
        <w:spacing w:line="276" w:lineRule="auto"/>
        <w:ind w:firstLine="709"/>
        <w:jc w:val="both"/>
      </w:pPr>
      <w:r>
        <w:lastRenderedPageBreak/>
        <w:t>Turklāt</w:t>
      </w:r>
      <w:r w:rsidR="00933E86">
        <w:t>, izsniedzot apsūdzību</w:t>
      </w:r>
      <w:r w:rsidR="00F6125C">
        <w:t xml:space="preserve"> atbilstoši Kriminālprocesa likuma </w:t>
      </w:r>
      <w:proofErr w:type="gramStart"/>
      <w:r w:rsidR="00F6125C">
        <w:t>406.pantā</w:t>
      </w:r>
      <w:proofErr w:type="gramEnd"/>
      <w:r w:rsidR="00F6125C">
        <w:t xml:space="preserve"> noteiktajai kārtībai</w:t>
      </w:r>
      <w:r w:rsidR="00933E86">
        <w:t xml:space="preserve">, </w:t>
      </w:r>
      <w:r w:rsidR="003C44F5">
        <w:t>[pers. A]</w:t>
      </w:r>
      <w:r w:rsidR="00F6125C">
        <w:t xml:space="preserve"> norādīja</w:t>
      </w:r>
      <w:r w:rsidR="00A215DD">
        <w:t xml:space="preserve">, ka </w:t>
      </w:r>
      <w:r w:rsidR="008C0865">
        <w:t>tā</w:t>
      </w:r>
      <w:r>
        <w:t xml:space="preserve"> viņam </w:t>
      </w:r>
      <w:r w:rsidR="00A215DD">
        <w:t>ir</w:t>
      </w:r>
      <w:r>
        <w:t xml:space="preserve"> saprotama, izteic</w:t>
      </w:r>
      <w:r w:rsidR="00933E86">
        <w:t>a</w:t>
      </w:r>
      <w:r>
        <w:t xml:space="preserve"> lūgumu iztiesāt lietu bez pierādījumu pārbaudes. </w:t>
      </w:r>
      <w:r w:rsidR="00A215DD">
        <w:t xml:space="preserve">Arī pirmās instances tiesā </w:t>
      </w:r>
      <w:r w:rsidR="003C44F5">
        <w:t>[pers. A]</w:t>
      </w:r>
      <w:r w:rsidR="00A215DD">
        <w:t xml:space="preserve"> norādīja, </w:t>
      </w:r>
      <w:r>
        <w:t>ka saprot</w:t>
      </w:r>
      <w:r w:rsidR="00A07921">
        <w:t>,</w:t>
      </w:r>
      <w:r>
        <w:t xml:space="preserve"> </w:t>
      </w:r>
      <w:r w:rsidR="008C0865">
        <w:t xml:space="preserve">par </w:t>
      </w:r>
      <w:r>
        <w:t>kād</w:t>
      </w:r>
      <w:r w:rsidR="008C0865">
        <w:t>u</w:t>
      </w:r>
      <w:r>
        <w:t xml:space="preserve"> noziedzīg</w:t>
      </w:r>
      <w:r w:rsidR="008C0865">
        <w:t>u</w:t>
      </w:r>
      <w:r>
        <w:t xml:space="preserve"> nodarījum</w:t>
      </w:r>
      <w:r w:rsidR="008C0865">
        <w:t>u</w:t>
      </w:r>
      <w:r>
        <w:t xml:space="preserve"> viņš tiek apsūdzēts,</w:t>
      </w:r>
      <w:r w:rsidR="00DA038C">
        <w:t xml:space="preserve"> atzina savu vainu Krimināllikuma </w:t>
      </w:r>
      <w:proofErr w:type="gramStart"/>
      <w:r w:rsidR="00DA038C">
        <w:t>179.panta</w:t>
      </w:r>
      <w:proofErr w:type="gramEnd"/>
      <w:r w:rsidR="00DA038C">
        <w:t xml:space="preserve"> pirmajā daļā paredzētajā noziedzīgajā nodarījumā</w:t>
      </w:r>
      <w:r w:rsidR="00A215DD">
        <w:t>, lūdza iztiesāt lietu bez pierādījumu pārbaudes</w:t>
      </w:r>
      <w:r>
        <w:t>.</w:t>
      </w:r>
    </w:p>
    <w:p w14:paraId="1BABAA55" w14:textId="65256DF4" w:rsidR="00883B22" w:rsidRPr="00DA038C" w:rsidRDefault="00C26328" w:rsidP="00DA038C">
      <w:pPr>
        <w:spacing w:line="276" w:lineRule="auto"/>
        <w:ind w:firstLine="709"/>
        <w:jc w:val="both"/>
      </w:pPr>
      <w:r>
        <w:t>[</w:t>
      </w:r>
      <w:r w:rsidR="00847572">
        <w:t>4</w:t>
      </w:r>
      <w:r>
        <w:t>.</w:t>
      </w:r>
      <w:r w:rsidR="00A215DD">
        <w:t>2</w:t>
      </w:r>
      <w:r>
        <w:t>] </w:t>
      </w:r>
      <w:r w:rsidR="005C55FB">
        <w:t>Kļūdains ir arī a</w:t>
      </w:r>
      <w:r w:rsidR="00F45CDD">
        <w:t>pelācijas instances tiesas atzinums,</w:t>
      </w:r>
      <w:r w:rsidR="00E3635A">
        <w:t xml:space="preserve"> ka apsūdzētā </w:t>
      </w:r>
      <w:r w:rsidR="003C44F5">
        <w:t>[pers. A]</w:t>
      </w:r>
      <w:r w:rsidR="00E3635A">
        <w:t xml:space="preserve"> darbības neiziet ārpus personas civiltiesiskās atbildības tvēruma</w:t>
      </w:r>
      <w:r>
        <w:t>. Tiesa nav ņēmusi vērā, ka</w:t>
      </w:r>
      <w:r w:rsidR="00E3635A">
        <w:t xml:space="preserve"> transportlīdzekļa īpašniekam</w:t>
      </w:r>
      <w:r w:rsidR="005C55FB">
        <w:t xml:space="preserve">, proti, AS </w:t>
      </w:r>
      <w:r w:rsidR="005C55FB" w:rsidRPr="002C4DAF">
        <w:rPr>
          <w:iCs/>
        </w:rPr>
        <w:t>„</w:t>
      </w:r>
      <w:proofErr w:type="spellStart"/>
      <w:r w:rsidR="005C55FB">
        <w:t>mogo</w:t>
      </w:r>
      <w:proofErr w:type="spellEnd"/>
      <w:r w:rsidR="005C55FB">
        <w:t>”</w:t>
      </w:r>
      <w:r w:rsidR="00E3635A">
        <w:t xml:space="preserve"> bija prettiesiski atņemta iespēja izlietot Civillikumā </w:t>
      </w:r>
      <w:r w:rsidR="00A07921">
        <w:t xml:space="preserve">noteiktās </w:t>
      </w:r>
      <w:r w:rsidR="00E3635A">
        <w:t xml:space="preserve">varas </w:t>
      </w:r>
      <w:r w:rsidR="00A07921">
        <w:t xml:space="preserve">tiesības par </w:t>
      </w:r>
      <w:r w:rsidR="00E3635A">
        <w:t>lietu, tas ir, tiesība</w:t>
      </w:r>
      <w:r w:rsidR="00A07921">
        <w:t>s</w:t>
      </w:r>
      <w:r w:rsidR="00E3635A">
        <w:t xml:space="preserve"> </w:t>
      </w:r>
      <w:r w:rsidR="00A215DD">
        <w:t xml:space="preserve">to </w:t>
      </w:r>
      <w:r w:rsidR="00E3635A">
        <w:t>valdīt</w:t>
      </w:r>
      <w:r w:rsidR="00A215DD">
        <w:t xml:space="preserve">, </w:t>
      </w:r>
      <w:r w:rsidR="00E3635A">
        <w:t xml:space="preserve">lietot </w:t>
      </w:r>
      <w:r w:rsidR="00A215DD">
        <w:t>un</w:t>
      </w:r>
      <w:r w:rsidR="00E3635A">
        <w:t xml:space="preserve"> iegūt no tās visus iespējamos labumus</w:t>
      </w:r>
      <w:r w:rsidR="00DA038C">
        <w:t>.</w:t>
      </w:r>
    </w:p>
    <w:p w14:paraId="353A505C" w14:textId="77777777" w:rsidR="003F73C2" w:rsidRDefault="00883B22" w:rsidP="00384060">
      <w:pPr>
        <w:spacing w:line="276" w:lineRule="auto"/>
        <w:ind w:firstLine="652"/>
        <w:contextualSpacing/>
        <w:rPr>
          <w:b/>
        </w:rPr>
      </w:pPr>
      <w:r w:rsidRPr="00F4571C">
        <w:rPr>
          <w:b/>
        </w:rPr>
        <w:t xml:space="preserve">                                                </w:t>
      </w:r>
    </w:p>
    <w:p w14:paraId="78D0CB9D" w14:textId="5EF9F4B2" w:rsidR="00864DA4" w:rsidRPr="003F73C2" w:rsidRDefault="003F73C2" w:rsidP="00384060">
      <w:pPr>
        <w:spacing w:line="276" w:lineRule="auto"/>
        <w:ind w:firstLine="652"/>
        <w:contextualSpacing/>
        <w:rPr>
          <w:b/>
        </w:rPr>
      </w:pPr>
      <w:r>
        <w:rPr>
          <w:b/>
        </w:rPr>
        <w:t xml:space="preserve">                                                     </w:t>
      </w:r>
      <w:r w:rsidR="00883B22" w:rsidRPr="00F4571C">
        <w:rPr>
          <w:b/>
        </w:rPr>
        <w:t xml:space="preserve"> </w:t>
      </w:r>
      <w:r w:rsidR="00256BCF" w:rsidRPr="003F73C2">
        <w:rPr>
          <w:b/>
        </w:rPr>
        <w:t>Motīvu daļa</w:t>
      </w:r>
    </w:p>
    <w:p w14:paraId="7D204C14" w14:textId="77777777" w:rsidR="00135171" w:rsidRPr="00C576A8" w:rsidRDefault="00135171" w:rsidP="00384060">
      <w:pPr>
        <w:spacing w:line="276" w:lineRule="auto"/>
        <w:ind w:firstLine="652"/>
        <w:contextualSpacing/>
        <w:jc w:val="center"/>
        <w:rPr>
          <w:b/>
        </w:rPr>
      </w:pPr>
    </w:p>
    <w:p w14:paraId="2631C447" w14:textId="0EA615B2" w:rsidR="00500DDF" w:rsidRDefault="00135171" w:rsidP="00500DDF">
      <w:pPr>
        <w:spacing w:line="276" w:lineRule="auto"/>
        <w:ind w:firstLine="652"/>
        <w:contextualSpacing/>
        <w:jc w:val="both"/>
      </w:pPr>
      <w:r w:rsidRPr="00C576A8">
        <w:t>[</w:t>
      </w:r>
      <w:r w:rsidR="00847572">
        <w:t>5</w:t>
      </w:r>
      <w:r w:rsidRPr="00C576A8">
        <w:t>]</w:t>
      </w:r>
      <w:r w:rsidR="00500DDF">
        <w:t> Senāts atzīst, ka</w:t>
      </w:r>
      <w:r w:rsidRPr="00C576A8">
        <w:t xml:space="preserve"> </w:t>
      </w:r>
      <w:r w:rsidR="00500DDF">
        <w:t>Latgale</w:t>
      </w:r>
      <w:r w:rsidR="0005031C">
        <w:t>s</w:t>
      </w:r>
      <w:r w:rsidR="00500DDF">
        <w:t xml:space="preserve"> </w:t>
      </w:r>
      <w:r w:rsidRPr="00C576A8">
        <w:t xml:space="preserve">apgabaltiesas </w:t>
      </w:r>
      <w:proofErr w:type="gramStart"/>
      <w:r w:rsidRPr="00C576A8">
        <w:t>20</w:t>
      </w:r>
      <w:r w:rsidR="00500DDF">
        <w:t>20</w:t>
      </w:r>
      <w:r w:rsidRPr="00C576A8">
        <w:t>.gada</w:t>
      </w:r>
      <w:proofErr w:type="gramEnd"/>
      <w:r w:rsidRPr="00C576A8">
        <w:t xml:space="preserve"> </w:t>
      </w:r>
      <w:r w:rsidR="00500DDF">
        <w:t>19</w:t>
      </w:r>
      <w:r w:rsidRPr="00C576A8">
        <w:t>.</w:t>
      </w:r>
      <w:r w:rsidR="00500DDF">
        <w:t xml:space="preserve">oktobra lēmums </w:t>
      </w:r>
      <w:r w:rsidR="00933E86">
        <w:t>ir atceļams pilnībā</w:t>
      </w:r>
      <w:r w:rsidR="00243778">
        <w:t xml:space="preserve"> un lieta nosūtāma jaunai izskatīšanai apelācijas instances tiesā.</w:t>
      </w:r>
    </w:p>
    <w:p w14:paraId="5719760D" w14:textId="277CF071" w:rsidR="00E4636B" w:rsidRDefault="00E4636B" w:rsidP="00500DDF">
      <w:pPr>
        <w:spacing w:line="276" w:lineRule="auto"/>
        <w:ind w:firstLine="652"/>
        <w:contextualSpacing/>
        <w:jc w:val="both"/>
      </w:pPr>
    </w:p>
    <w:p w14:paraId="2D3F8749" w14:textId="1BD4D93E" w:rsidR="00E4636B" w:rsidRDefault="00E4636B" w:rsidP="00E4636B">
      <w:pPr>
        <w:spacing w:line="276" w:lineRule="auto"/>
        <w:ind w:firstLine="652"/>
        <w:contextualSpacing/>
        <w:jc w:val="both"/>
      </w:pPr>
      <w:r>
        <w:t>[</w:t>
      </w:r>
      <w:r w:rsidR="00847572">
        <w:t>6</w:t>
      </w:r>
      <w:r>
        <w:t xml:space="preserve">] Kriminālprocesa likuma </w:t>
      </w:r>
      <w:proofErr w:type="gramStart"/>
      <w:r>
        <w:t>511.panta</w:t>
      </w:r>
      <w:proofErr w:type="gramEnd"/>
      <w:r>
        <w:t xml:space="preserve"> otr</w:t>
      </w:r>
      <w:r w:rsidR="00482A3E">
        <w:t>ā</w:t>
      </w:r>
      <w:r>
        <w:t xml:space="preserve"> daļ</w:t>
      </w:r>
      <w:r w:rsidR="00482A3E">
        <w:t>a noteic, ka</w:t>
      </w:r>
      <w:r>
        <w:t xml:space="preserve">  spriedumam jābūt tiesiskam un pamatotam.</w:t>
      </w:r>
      <w:r w:rsidR="00933E86">
        <w:t xml:space="preserve"> </w:t>
      </w:r>
      <w:r w:rsidR="002819CB">
        <w:t>Spriedums ir tiesisks un pamatots, ja tas atbilst</w:t>
      </w:r>
      <w:r w:rsidR="00243778">
        <w:t xml:space="preserve"> Kriminālprocesa likuma </w:t>
      </w:r>
      <w:proofErr w:type="gramStart"/>
      <w:r w:rsidR="00243778">
        <w:t>512.panta</w:t>
      </w:r>
      <w:proofErr w:type="gramEnd"/>
      <w:r w:rsidR="002819CB">
        <w:t xml:space="preserve"> nosacījumiem, tostarp, minētā panta</w:t>
      </w:r>
      <w:r w:rsidR="00243778">
        <w:t xml:space="preserve"> pirmaj</w:t>
      </w:r>
      <w:r w:rsidR="007849AB">
        <w:t>ai daļai</w:t>
      </w:r>
      <w:r w:rsidR="002819CB">
        <w:t>, kas noteic, ka</w:t>
      </w:r>
      <w:r w:rsidR="007849AB">
        <w:t xml:space="preserve"> tiesa</w:t>
      </w:r>
      <w:r w:rsidR="002819CB">
        <w:t>, taisot</w:t>
      </w:r>
      <w:r w:rsidR="002F7B8B">
        <w:t xml:space="preserve"> </w:t>
      </w:r>
      <w:r w:rsidR="007849AB">
        <w:t>spriedumu</w:t>
      </w:r>
      <w:r w:rsidR="002819CB">
        <w:t>,</w:t>
      </w:r>
      <w:r w:rsidR="007849AB">
        <w:t xml:space="preserve"> pamato</w:t>
      </w:r>
      <w:r w:rsidR="002819CB">
        <w:t>jas uz materiālo un procesuālo tiesību normām.</w:t>
      </w:r>
      <w:r w:rsidR="007849AB">
        <w:t xml:space="preserve"> </w:t>
      </w:r>
      <w:r w:rsidR="008C0865">
        <w:t xml:space="preserve">Savukārt </w:t>
      </w:r>
      <w:r w:rsidR="00933E86">
        <w:t>K</w:t>
      </w:r>
      <w:r w:rsidR="008C0865">
        <w:t xml:space="preserve">riminālprocesa likuma 564.panta ceturtā daļa noteic, ka </w:t>
      </w:r>
      <w:r w:rsidR="002F7B8B">
        <w:t xml:space="preserve">apelācijas instances tiesas </w:t>
      </w:r>
      <w:r w:rsidR="008C0865">
        <w:t>nolēmuma motīvu daļā</w:t>
      </w:r>
      <w:r w:rsidR="00733F60">
        <w:t xml:space="preserve">, tostarp, </w:t>
      </w:r>
      <w:r w:rsidR="002F7B8B">
        <w:t xml:space="preserve">jānorāda </w:t>
      </w:r>
      <w:r w:rsidR="008C0865">
        <w:t>pierādījumi, kas apstiprina apelācijas instances tiesas atzinumu, motīvi, kāpēc apelācijas instances tiesa noraida kādus pierādījumus.</w:t>
      </w:r>
      <w:r>
        <w:t> </w:t>
      </w:r>
    </w:p>
    <w:p w14:paraId="7935C5FF" w14:textId="1BC88BAC" w:rsidR="00E4636B" w:rsidRDefault="00E4636B" w:rsidP="00E4636B">
      <w:pPr>
        <w:spacing w:line="276" w:lineRule="auto"/>
        <w:ind w:firstLine="652"/>
        <w:contextualSpacing/>
        <w:jc w:val="both"/>
      </w:pPr>
      <w:r>
        <w:t>Senāts atzīst, ka</w:t>
      </w:r>
      <w:r w:rsidR="002F7B8B">
        <w:t xml:space="preserve"> Latgales apgabaltiesa</w:t>
      </w:r>
      <w:r>
        <w:t>, iztiesājot lietu, minētās procesuālo tiesību normas nav ievērojusi.</w:t>
      </w:r>
    </w:p>
    <w:p w14:paraId="541E46C0" w14:textId="77777777" w:rsidR="003B5957" w:rsidRDefault="003B5957" w:rsidP="00E4636B">
      <w:pPr>
        <w:spacing w:line="276" w:lineRule="auto"/>
        <w:ind w:firstLine="652"/>
        <w:contextualSpacing/>
        <w:jc w:val="both"/>
      </w:pPr>
    </w:p>
    <w:p w14:paraId="2A195F19" w14:textId="1AE09ADF" w:rsidR="00F03D8E" w:rsidRDefault="003E7CB8" w:rsidP="00F03D8E">
      <w:pPr>
        <w:spacing w:line="276" w:lineRule="auto"/>
        <w:ind w:firstLine="652"/>
        <w:contextualSpacing/>
        <w:jc w:val="both"/>
      </w:pPr>
      <w:r>
        <w:t>[</w:t>
      </w:r>
      <w:r w:rsidR="00847572">
        <w:t>7</w:t>
      </w:r>
      <w:r>
        <w:t>] </w:t>
      </w:r>
      <w:r w:rsidR="00D21512">
        <w:t xml:space="preserve">Saskaņā ar Kriminālprocesa likuma </w:t>
      </w:r>
      <w:proofErr w:type="gramStart"/>
      <w:r w:rsidR="00D21512">
        <w:t>405.panta</w:t>
      </w:r>
      <w:proofErr w:type="gramEnd"/>
      <w:r w:rsidR="00D21512">
        <w:t xml:space="preserve"> pirmo daļu lēmumā par personas saukšanu pie kriminālatbildības prokurors norāda pie kriminālatbildības saucamās</w:t>
      </w:r>
      <w:r w:rsidR="00FE655F">
        <w:t xml:space="preserve"> personas vārdu, uzvārdu un personas kodu</w:t>
      </w:r>
      <w:r w:rsidR="00D21512">
        <w:t xml:space="preserve">, </w:t>
      </w:r>
      <w:r w:rsidR="00482A3E">
        <w:t xml:space="preserve">katra </w:t>
      </w:r>
      <w:r w:rsidR="00D21512">
        <w:t>inkriminētā noziedzīgā nodarījuma faktiskos apstākļus, kas nosaka juridisko kvalifikāciju</w:t>
      </w:r>
      <w:r w:rsidR="00FE655F">
        <w:t>, noziedzīgā nodarījuma juridisko kvalifikāciju, personas, kuras cietušas noziedzīgā nodarījuma rezultātā.</w:t>
      </w:r>
      <w:r w:rsidR="00F03D8E">
        <w:t xml:space="preserve"> </w:t>
      </w:r>
    </w:p>
    <w:p w14:paraId="333EE385" w14:textId="134D3068" w:rsidR="00F03D8E" w:rsidRDefault="00F03D8E" w:rsidP="00F03D8E">
      <w:pPr>
        <w:spacing w:line="276" w:lineRule="auto"/>
        <w:ind w:firstLine="652"/>
        <w:contextualSpacing/>
        <w:jc w:val="both"/>
      </w:pPr>
      <w:r>
        <w:t>Atzīstot</w:t>
      </w:r>
      <w:r w:rsidR="00FE655F">
        <w:t xml:space="preserve">, ka </w:t>
      </w:r>
      <w:r w:rsidR="009E117C">
        <w:t>[pers. A]</w:t>
      </w:r>
      <w:r w:rsidR="00FE655F">
        <w:t xml:space="preserve"> </w:t>
      </w:r>
      <w:r w:rsidR="00482A3E">
        <w:t>cel</w:t>
      </w:r>
      <w:r w:rsidR="00FE655F">
        <w:t xml:space="preserve">tā apsūdzība neatbilst Kriminālprocesa likuma </w:t>
      </w:r>
      <w:proofErr w:type="gramStart"/>
      <w:r w:rsidR="00FE655F">
        <w:t>405.panta</w:t>
      </w:r>
      <w:proofErr w:type="gramEnd"/>
      <w:r w:rsidR="00FE655F">
        <w:t xml:space="preserve"> pirmajā daļā izvirzītajām prasībām, apelācijas instances </w:t>
      </w:r>
      <w:r w:rsidR="00E54513">
        <w:t xml:space="preserve">tiesa </w:t>
      </w:r>
      <w:r>
        <w:t xml:space="preserve">nav norādījusi, kas </w:t>
      </w:r>
      <w:r w:rsidR="00482A3E">
        <w:t>tieši</w:t>
      </w:r>
      <w:r>
        <w:t xml:space="preserve"> no šā panta pirmajā daļā </w:t>
      </w:r>
      <w:r w:rsidR="00CC4D14">
        <w:t>noteikt</w:t>
      </w:r>
      <w:r w:rsidR="00994C35">
        <w:t>ā</w:t>
      </w:r>
      <w:r>
        <w:t xml:space="preserve"> apsūdzībā nav norādīts.</w:t>
      </w:r>
    </w:p>
    <w:p w14:paraId="66CB40E2" w14:textId="30D7D972" w:rsidR="00482A3E" w:rsidRDefault="00F03D8E" w:rsidP="00482A3E">
      <w:pPr>
        <w:spacing w:line="276" w:lineRule="auto"/>
        <w:ind w:firstLine="652"/>
        <w:contextualSpacing/>
        <w:jc w:val="both"/>
      </w:pPr>
      <w:r>
        <w:t xml:space="preserve">Senāts konstatē, ka </w:t>
      </w:r>
      <w:r w:rsidR="009E117C">
        <w:t>[pers. A]</w:t>
      </w:r>
      <w:r w:rsidR="003B5957">
        <w:t xml:space="preserve"> izvirzītajā apsūdzībā norādīts viņa vārds, uzvārds, personas kods</w:t>
      </w:r>
      <w:r w:rsidR="00CC4D14">
        <w:t>, aprakstīti noziedzīgā nodarījuma faktiskie apstākļi,</w:t>
      </w:r>
      <w:r w:rsidR="00482A3E">
        <w:t xml:space="preserve"> kas nosaka noziedzīgā nodarījuma juridisko kvalifikāciju,</w:t>
      </w:r>
      <w:r w:rsidR="00CC4D14">
        <w:t xml:space="preserve"> noziedzīgā nodarījuma juridiskā kvalifikācija, kā arī </w:t>
      </w:r>
      <w:r w:rsidR="008C0865">
        <w:t xml:space="preserve">norādīta </w:t>
      </w:r>
      <w:r w:rsidR="00CC4D14">
        <w:t>persona, kura cietusi noziedzīgā nodarījuma rezultātā.</w:t>
      </w:r>
    </w:p>
    <w:p w14:paraId="0118181C" w14:textId="314FD1AC" w:rsidR="0083280F" w:rsidRDefault="00CC4D14" w:rsidP="00482A3E">
      <w:pPr>
        <w:spacing w:line="276" w:lineRule="auto"/>
        <w:ind w:firstLine="652"/>
        <w:contextualSpacing/>
        <w:jc w:val="both"/>
      </w:pPr>
      <w:r>
        <w:t xml:space="preserve">Atbilstoši izvirzītajai apsūdzībai </w:t>
      </w:r>
      <w:r w:rsidR="009E117C">
        <w:t>[pers. A]</w:t>
      </w:r>
      <w:r w:rsidR="0083280F">
        <w:t xml:space="preserve"> </w:t>
      </w:r>
      <w:proofErr w:type="gramStart"/>
      <w:r w:rsidR="0083280F">
        <w:t>2018.gada</w:t>
      </w:r>
      <w:proofErr w:type="gramEnd"/>
      <w:r w:rsidR="0083280F">
        <w:t xml:space="preserve"> 22.janvārī ar</w:t>
      </w:r>
      <w:r>
        <w:t xml:space="preserve"> AS</w:t>
      </w:r>
      <w:r w:rsidR="00FE655F">
        <w:t xml:space="preserve"> </w:t>
      </w:r>
      <w:r w:rsidRPr="002C4DAF">
        <w:rPr>
          <w:iCs/>
        </w:rPr>
        <w:t>„</w:t>
      </w:r>
      <w:proofErr w:type="spellStart"/>
      <w:r>
        <w:t>mogo</w:t>
      </w:r>
      <w:proofErr w:type="spellEnd"/>
      <w:r>
        <w:t xml:space="preserve">” </w:t>
      </w:r>
      <w:r w:rsidR="008C0865">
        <w:t xml:space="preserve">noslēdza </w:t>
      </w:r>
      <w:r>
        <w:t>finanšu līzinga līgum</w:t>
      </w:r>
      <w:r w:rsidR="008C0865">
        <w:t>u</w:t>
      </w:r>
      <w:r>
        <w:t xml:space="preserve"> Nr. FL22012018/0180</w:t>
      </w:r>
      <w:r w:rsidR="0083280F">
        <w:t xml:space="preserve"> (turpmāk arī – Līzinga līgums)</w:t>
      </w:r>
      <w:r>
        <w:t xml:space="preserve"> par automašīnas </w:t>
      </w:r>
      <w:r w:rsidRPr="002819CB">
        <w:rPr>
          <w:i/>
          <w:iCs/>
        </w:rPr>
        <w:t>BMW530</w:t>
      </w:r>
      <w:r>
        <w:t xml:space="preserve">, valsts reģistrācijas numurs </w:t>
      </w:r>
      <w:r w:rsidR="009E117C">
        <w:t>[..]</w:t>
      </w:r>
      <w:r w:rsidR="00A07921">
        <w:t>,</w:t>
      </w:r>
      <w:r w:rsidR="00E72E03">
        <w:t xml:space="preserve"> (turpmāk arī – Līzinga objekts)</w:t>
      </w:r>
      <w:r w:rsidR="00A07921">
        <w:t xml:space="preserve"> </w:t>
      </w:r>
      <w:r w:rsidR="0083280F">
        <w:t>iegādi</w:t>
      </w:r>
      <w:r w:rsidR="00E72E03">
        <w:t xml:space="preserve"> un saņēma turējumā un lietošanā</w:t>
      </w:r>
      <w:r w:rsidR="0083280F">
        <w:t xml:space="preserve"> Līzinga objektu</w:t>
      </w:r>
      <w:r w:rsidR="00026EBC">
        <w:t xml:space="preserve"> līdz visu no Līzinga līguma izrietošo saistību </w:t>
      </w:r>
      <w:r w:rsidR="00ED550F">
        <w:t>izpildei</w:t>
      </w:r>
      <w:r w:rsidR="00E54513">
        <w:t>.</w:t>
      </w:r>
      <w:r w:rsidR="0083280F">
        <w:t xml:space="preserve"> </w:t>
      </w:r>
    </w:p>
    <w:p w14:paraId="4F3302FD" w14:textId="5E871EC0" w:rsidR="0083280F" w:rsidRDefault="0083280F" w:rsidP="00F03D8E">
      <w:pPr>
        <w:spacing w:line="276" w:lineRule="auto"/>
        <w:ind w:firstLine="652"/>
        <w:contextualSpacing/>
        <w:jc w:val="both"/>
      </w:pPr>
      <w:r>
        <w:lastRenderedPageBreak/>
        <w:t>Sakarā ar maksājumu saistību neizpildi un atbilstoši Līzinga līgum</w:t>
      </w:r>
      <w:r w:rsidR="008C0865">
        <w:t>ā</w:t>
      </w:r>
      <w:r>
        <w:t xml:space="preserve"> noteikt</w:t>
      </w:r>
      <w:r w:rsidR="00E54513">
        <w:t>ajam</w:t>
      </w:r>
      <w:r>
        <w:t xml:space="preserve"> AS</w:t>
      </w:r>
      <w:r w:rsidR="00A07921">
        <w:t> </w:t>
      </w:r>
      <w:r w:rsidRPr="002C4DAF">
        <w:rPr>
          <w:iCs/>
        </w:rPr>
        <w:t>„</w:t>
      </w:r>
      <w:proofErr w:type="spellStart"/>
      <w:r>
        <w:t>mogo</w:t>
      </w:r>
      <w:proofErr w:type="spellEnd"/>
      <w:r>
        <w:t xml:space="preserve">” </w:t>
      </w:r>
      <w:proofErr w:type="gramStart"/>
      <w:r>
        <w:t>2018.gada</w:t>
      </w:r>
      <w:proofErr w:type="gramEnd"/>
      <w:r>
        <w:t xml:space="preserve"> 4.aprīlī rakstveidā  paziņoja par vienpusēju atkāpšanos no Līzinga līguma</w:t>
      </w:r>
      <w:r w:rsidR="001A2392">
        <w:t xml:space="preserve"> un tiesībām pārņemt valdījumā Līzinga objektu. </w:t>
      </w:r>
      <w:r w:rsidR="009E117C">
        <w:t>[Pers. A]</w:t>
      </w:r>
      <w:r w:rsidR="001A2392">
        <w:t xml:space="preserve"> AS </w:t>
      </w:r>
      <w:r w:rsidR="001A2392" w:rsidRPr="002C4DAF">
        <w:rPr>
          <w:iCs/>
        </w:rPr>
        <w:t>„</w:t>
      </w:r>
      <w:proofErr w:type="spellStart"/>
      <w:r w:rsidR="001A2392">
        <w:t>mogo</w:t>
      </w:r>
      <w:proofErr w:type="spellEnd"/>
      <w:r w:rsidR="001A2392">
        <w:t>” pieprasījumā noteiktajā termiņā Līzinga objektu t</w:t>
      </w:r>
      <w:r w:rsidR="00E54513">
        <w:t>ā</w:t>
      </w:r>
      <w:r w:rsidR="001A2392">
        <w:t xml:space="preserve"> īpašniekam nenodeva un pēc pieprasījumā noteiktā termiņa prettiesiski ieguva Līzinga objektu 1610 </w:t>
      </w:r>
      <w:r w:rsidR="001A2392" w:rsidRPr="001A2392">
        <w:rPr>
          <w:i/>
          <w:iCs/>
        </w:rPr>
        <w:t>euro</w:t>
      </w:r>
      <w:r w:rsidR="001A2392">
        <w:t xml:space="preserve"> vērtībā.</w:t>
      </w:r>
    </w:p>
    <w:p w14:paraId="5A811920" w14:textId="574B1651" w:rsidR="006A1856" w:rsidRDefault="00994C35" w:rsidP="006A1856">
      <w:pPr>
        <w:spacing w:line="276" w:lineRule="auto"/>
        <w:ind w:firstLine="652"/>
        <w:contextualSpacing/>
        <w:jc w:val="both"/>
      </w:pPr>
      <w:r>
        <w:t>Minētās</w:t>
      </w:r>
      <w:r w:rsidR="001A2392">
        <w:t xml:space="preserve"> darbības pirmstiesas kriminālprocesā kvalificētas pēc Krimināllikuma </w:t>
      </w:r>
      <w:proofErr w:type="gramStart"/>
      <w:r w:rsidR="001A2392">
        <w:t>179.panta</w:t>
      </w:r>
      <w:proofErr w:type="gramEnd"/>
      <w:r w:rsidR="001A2392">
        <w:t xml:space="preserve"> pirmās daļas</w:t>
      </w:r>
      <w:r w:rsidR="00E54513">
        <w:t xml:space="preserve"> kā</w:t>
      </w:r>
      <w:r w:rsidR="00E614E8">
        <w:t xml:space="preserve"> </w:t>
      </w:r>
      <w:r w:rsidR="001A2392">
        <w:t>svešas mantas piesavināšan</w:t>
      </w:r>
      <w:r w:rsidR="00E54513">
        <w:t>ā</w:t>
      </w:r>
      <w:r w:rsidR="001A2392">
        <w:t>s.</w:t>
      </w:r>
    </w:p>
    <w:p w14:paraId="1C0CC328" w14:textId="6DFF2693" w:rsidR="00E614E8" w:rsidRDefault="006A1856" w:rsidP="006A1856">
      <w:pPr>
        <w:spacing w:line="276" w:lineRule="auto"/>
        <w:ind w:firstLine="652"/>
        <w:contextualSpacing/>
        <w:jc w:val="both"/>
      </w:pPr>
      <w:r w:rsidRPr="006A1856">
        <w:t xml:space="preserve">Pabeidzot pirmstiesas procesu, apsūdzētais piekritis pierādījumu pārbaudes neizdarīšanai visā apsūdzības apjomā. </w:t>
      </w:r>
      <w:r w:rsidR="00E614E8">
        <w:t xml:space="preserve">Arī no pirmās instances tiesas sēdes protokola konstatējams, ka apsūdzētais </w:t>
      </w:r>
      <w:r w:rsidR="009E117C">
        <w:t>[pers. A]</w:t>
      </w:r>
      <w:r w:rsidR="00E614E8">
        <w:t xml:space="preserve"> </w:t>
      </w:r>
      <w:r w:rsidR="004904A3">
        <w:t xml:space="preserve">norādījis, ka viņam ir saprotama izvirzītā apsūdzība, </w:t>
      </w:r>
      <w:r w:rsidR="00E614E8">
        <w:t>atzinis sevi par vainīgu inkriminētajā noziedzīgajā nodarījumā</w:t>
      </w:r>
      <w:r w:rsidR="004904A3">
        <w:t xml:space="preserve"> un</w:t>
      </w:r>
      <w:r w:rsidR="00E614E8">
        <w:t xml:space="preserve"> lūdzis neizdarīt pierādījumu pārbaudi.  </w:t>
      </w:r>
    </w:p>
    <w:p w14:paraId="11A57BD7" w14:textId="27785197" w:rsidR="00E614E8" w:rsidRDefault="00E614E8" w:rsidP="00E614E8">
      <w:pPr>
        <w:spacing w:line="276" w:lineRule="auto"/>
        <w:ind w:firstLine="652"/>
        <w:contextualSpacing/>
        <w:jc w:val="both"/>
      </w:pPr>
      <w:r>
        <w:t xml:space="preserve">Līdz ar to Senāts atzīst par nepamatotu apelācijas instances tiesas nolēmumā </w:t>
      </w:r>
      <w:r w:rsidR="00622BE6">
        <w:t>norādīto</w:t>
      </w:r>
      <w:r>
        <w:t xml:space="preserve"> par </w:t>
      </w:r>
      <w:r w:rsidR="009E117C">
        <w:t>[pers. A]</w:t>
      </w:r>
      <w:r>
        <w:t xml:space="preserve"> celtās apsūdzības neatbilstību Kriminālprocesa likuma </w:t>
      </w:r>
      <w:proofErr w:type="gramStart"/>
      <w:r>
        <w:t>405.panta</w:t>
      </w:r>
      <w:proofErr w:type="gramEnd"/>
      <w:r>
        <w:t xml:space="preserve"> pirmajā daļā noteiktajām prasībām un judikatūrā paustajām atziņām.</w:t>
      </w:r>
    </w:p>
    <w:p w14:paraId="4AE3D5B5" w14:textId="77777777" w:rsidR="003B5957" w:rsidRDefault="003B5957" w:rsidP="00F03D8E">
      <w:pPr>
        <w:spacing w:line="276" w:lineRule="auto"/>
        <w:ind w:firstLine="652"/>
        <w:contextualSpacing/>
        <w:jc w:val="both"/>
      </w:pPr>
    </w:p>
    <w:p w14:paraId="6B5698BF" w14:textId="5C755F3F" w:rsidR="00622BE6" w:rsidRDefault="003B5957" w:rsidP="0073267B">
      <w:pPr>
        <w:spacing w:line="276" w:lineRule="auto"/>
        <w:ind w:firstLine="652"/>
        <w:contextualSpacing/>
        <w:jc w:val="both"/>
      </w:pPr>
      <w:r>
        <w:t>[</w:t>
      </w:r>
      <w:r w:rsidR="00847572">
        <w:t>8</w:t>
      </w:r>
      <w:r>
        <w:t>] </w:t>
      </w:r>
      <w:r w:rsidR="00622BE6" w:rsidRPr="001A3A7C">
        <w:t xml:space="preserve">Vienlaikus apelācijas instances tiesa </w:t>
      </w:r>
      <w:r w:rsidR="00D43E95">
        <w:t xml:space="preserve">arī </w:t>
      </w:r>
      <w:r w:rsidR="00622BE6" w:rsidRPr="001A3A7C">
        <w:t xml:space="preserve">atzinusi, ka no </w:t>
      </w:r>
      <w:r w:rsidR="009E117C">
        <w:t>[pers. A]</w:t>
      </w:r>
      <w:r w:rsidR="00622BE6" w:rsidRPr="001A3A7C">
        <w:t xml:space="preserve"> izvirzītās apsūdzības secināms, ka </w:t>
      </w:r>
      <w:r w:rsidR="00AE61C6" w:rsidRPr="001A3A7C">
        <w:t xml:space="preserve">tajā </w:t>
      </w:r>
      <w:r w:rsidR="00DE707C">
        <w:t xml:space="preserve">norādītas tikai divas no Krimināllikuma </w:t>
      </w:r>
      <w:proofErr w:type="gramStart"/>
      <w:r w:rsidR="00DE707C">
        <w:t>179.panta</w:t>
      </w:r>
      <w:proofErr w:type="gramEnd"/>
      <w:r w:rsidR="00DE707C">
        <w:t xml:space="preserve"> pirmajā daļā paredzētā noziedzīgā nodarījuma </w:t>
      </w:r>
      <w:r w:rsidR="00AE61C6">
        <w:t xml:space="preserve">sastāva </w:t>
      </w:r>
      <w:r w:rsidR="00DE707C">
        <w:t>pazīmēm</w:t>
      </w:r>
      <w:r w:rsidR="00AE61C6">
        <w:t>, tas ir,</w:t>
      </w:r>
      <w:r w:rsidR="00DE707C">
        <w:t xml:space="preserve"> īpašais subjekts – fiziska, pieskaitāma persona, kurai manta ir uzticēta uz Līzinga līguma pamata –, un bezdarbība – līzinga devēja norādītajā termiņā neatdodot līzinga objektu. </w:t>
      </w:r>
      <w:r w:rsidR="00AE61C6">
        <w:t>A</w:t>
      </w:r>
      <w:r w:rsidR="00DE707C">
        <w:t xml:space="preserve">pelācijas instances tiesa </w:t>
      </w:r>
      <w:r w:rsidR="00AE61C6">
        <w:t xml:space="preserve">arī </w:t>
      </w:r>
      <w:r w:rsidR="00DE707C">
        <w:t xml:space="preserve">atzinusi, ka </w:t>
      </w:r>
      <w:r w:rsidR="00D43E95">
        <w:t xml:space="preserve">no </w:t>
      </w:r>
      <w:r w:rsidR="00DE707C">
        <w:t>apsūdzīb</w:t>
      </w:r>
      <w:r w:rsidR="00D43E95">
        <w:t>as nav skaidrs</w:t>
      </w:r>
      <w:r w:rsidR="00DE707C">
        <w:t>, kādā veidā</w:t>
      </w:r>
      <w:r w:rsidR="00AE61C6">
        <w:t xml:space="preserve"> objektīvi izpaudusies piesavināšanās – </w:t>
      </w:r>
      <w:r w:rsidR="001A3A7C">
        <w:t xml:space="preserve">izšķērdējot vai </w:t>
      </w:r>
      <w:r w:rsidR="00AE61C6">
        <w:t xml:space="preserve">prettiesiski iegūstot </w:t>
      </w:r>
      <w:r w:rsidR="00D43E95">
        <w:t xml:space="preserve">viņam uzticēto </w:t>
      </w:r>
      <w:r w:rsidR="00AE61C6">
        <w:t>svešu mantu.</w:t>
      </w:r>
      <w:r w:rsidR="00DE707C">
        <w:t xml:space="preserve"> </w:t>
      </w:r>
    </w:p>
    <w:p w14:paraId="46EB9C3B" w14:textId="518EDA98" w:rsidR="00AE61C6" w:rsidRDefault="00AE61C6" w:rsidP="00AE61C6">
      <w:pPr>
        <w:spacing w:line="276" w:lineRule="auto"/>
        <w:ind w:firstLine="652"/>
        <w:contextualSpacing/>
        <w:jc w:val="both"/>
      </w:pPr>
      <w:r>
        <w:t>[</w:t>
      </w:r>
      <w:r w:rsidR="00847572">
        <w:t>8</w:t>
      </w:r>
      <w:r>
        <w:t>.1] </w:t>
      </w:r>
      <w:r w:rsidR="00D43E95">
        <w:t>Judikatūrā atzīts</w:t>
      </w:r>
      <w:r>
        <w:t>, ka izšķērdēšana raksturīga ar to, ka uzticētā vai pārziņā esošā manta pēc tās prettiesiskas paņemšanas tūlīt tiek atsavināta, patērēta vai citādi izlietota (</w:t>
      </w:r>
      <w:bookmarkStart w:id="0" w:name="_Hlk89416930"/>
      <w:r>
        <w:rPr>
          <w:i/>
          <w:iCs/>
        </w:rPr>
        <w:t xml:space="preserve">Augstākās tiesas </w:t>
      </w:r>
      <w:proofErr w:type="gramStart"/>
      <w:r>
        <w:rPr>
          <w:i/>
          <w:iCs/>
        </w:rPr>
        <w:t>2008.gada</w:t>
      </w:r>
      <w:proofErr w:type="gramEnd"/>
      <w:r>
        <w:rPr>
          <w:i/>
          <w:iCs/>
        </w:rPr>
        <w:t xml:space="preserve"> </w:t>
      </w:r>
      <w:r w:rsidR="00A07921">
        <w:rPr>
          <w:i/>
          <w:iCs/>
        </w:rPr>
        <w:t>5</w:t>
      </w:r>
      <w:r>
        <w:rPr>
          <w:i/>
          <w:iCs/>
        </w:rPr>
        <w:t>.augusta lēmums lietā Nr. SKK-402/2008 (11810002304)</w:t>
      </w:r>
      <w:bookmarkEnd w:id="0"/>
      <w:r>
        <w:t>).</w:t>
      </w:r>
    </w:p>
    <w:p w14:paraId="57D56CDB" w14:textId="26E92AE9" w:rsidR="00AE61C6" w:rsidRDefault="00AE61C6" w:rsidP="00AE61C6">
      <w:pPr>
        <w:spacing w:line="276" w:lineRule="auto"/>
        <w:ind w:firstLine="652"/>
        <w:contextualSpacing/>
        <w:jc w:val="both"/>
      </w:pPr>
      <w:r>
        <w:t xml:space="preserve">Savukārt apsūdzētajam </w:t>
      </w:r>
      <w:r w:rsidR="009E117C">
        <w:t>[pers. A]</w:t>
      </w:r>
      <w:r>
        <w:t xml:space="preserve"> pirmstiesas kriminālprocesā izvirzītajā apsūdzībā nav inkriminēta izšķērdēšana. </w:t>
      </w:r>
      <w:r w:rsidR="00D43E95">
        <w:t>Apsūdzētā darbībās i</w:t>
      </w:r>
      <w:r>
        <w:t>zšķērdēšanu nav konstatējušas arī abu instanču tiesas.</w:t>
      </w:r>
    </w:p>
    <w:p w14:paraId="5896FE55" w14:textId="5C92357E" w:rsidR="00AE61C6" w:rsidRDefault="00AE61C6" w:rsidP="00AE61C6">
      <w:pPr>
        <w:spacing w:line="276" w:lineRule="auto"/>
        <w:ind w:firstLine="652"/>
        <w:contextualSpacing/>
        <w:jc w:val="both"/>
      </w:pPr>
      <w:r>
        <w:t xml:space="preserve">Apelācijas instances arī atzinusi, ka apsūdzētā </w:t>
      </w:r>
      <w:r w:rsidR="009E117C">
        <w:t>[pers. A]</w:t>
      </w:r>
      <w:r>
        <w:t xml:space="preserve"> darbības nesatur </w:t>
      </w:r>
      <w:r w:rsidR="001A3A7C">
        <w:t>krāpšanas</w:t>
      </w:r>
      <w:r>
        <w:t xml:space="preserve"> noziedzīgā nodarījuma sastāva pazīmes. Proti, ka jau Līzinga objekta saņemšanas brīdī </w:t>
      </w:r>
      <w:r w:rsidR="00951304">
        <w:t>[pers. A]</w:t>
      </w:r>
      <w:r>
        <w:t xml:space="preserve"> zināja, ka Līzinga objektu neatgriezīs cietušajam. Turklāt apsūdzība krāpšanā </w:t>
      </w:r>
      <w:r w:rsidR="00951304">
        <w:t>[pers. A]</w:t>
      </w:r>
      <w:r>
        <w:t xml:space="preserve"> pirmstiesas kriminālprocesā n</w:t>
      </w:r>
      <w:r w:rsidR="00463D5B">
        <w:t>ebija</w:t>
      </w:r>
      <w:r>
        <w:t xml:space="preserve"> izvirzīta.</w:t>
      </w:r>
    </w:p>
    <w:p w14:paraId="138C39F8" w14:textId="455CA6E6" w:rsidR="001C1297" w:rsidRDefault="00463D5B" w:rsidP="001C1297">
      <w:pPr>
        <w:spacing w:line="276" w:lineRule="auto"/>
        <w:ind w:firstLine="652"/>
        <w:contextualSpacing/>
        <w:jc w:val="both"/>
        <w:rPr>
          <w:bCs/>
        </w:rPr>
      </w:pPr>
      <w:r>
        <w:t>[</w:t>
      </w:r>
      <w:r w:rsidR="00847572">
        <w:t>8</w:t>
      </w:r>
      <w:r>
        <w:t>.2]</w:t>
      </w:r>
      <w:r w:rsidRPr="001C1297">
        <w:rPr>
          <w:bCs/>
        </w:rPr>
        <w:t xml:space="preserve"> </w:t>
      </w:r>
      <w:r>
        <w:rPr>
          <w:bCs/>
        </w:rPr>
        <w:t xml:space="preserve">Apelācijas instances tiesa arī atzinusi, ka lietā nav strīda par to, ka </w:t>
      </w:r>
      <w:r w:rsidR="00951304">
        <w:rPr>
          <w:bCs/>
        </w:rPr>
        <w:t>[pers. A]</w:t>
      </w:r>
      <w:r>
        <w:rPr>
          <w:bCs/>
        </w:rPr>
        <w:t xml:space="preserve"> nav izpildījis Līzinga līguma noteikumus – nav veicis līzinga maksājumus atbilstoši līgumā noteiktajam un pēc tā laušanas nav nodevis automašīnu </w:t>
      </w:r>
      <w:r>
        <w:t xml:space="preserve">AS </w:t>
      </w:r>
      <w:r w:rsidRPr="002C4DAF">
        <w:rPr>
          <w:iCs/>
        </w:rPr>
        <w:t>„</w:t>
      </w:r>
      <w:proofErr w:type="spellStart"/>
      <w:r>
        <w:t>mogo</w:t>
      </w:r>
      <w:proofErr w:type="spellEnd"/>
      <w:r>
        <w:t>”</w:t>
      </w:r>
      <w:r>
        <w:rPr>
          <w:bCs/>
        </w:rPr>
        <w:t xml:space="preserve">. </w:t>
      </w:r>
      <w:r w:rsidR="001A3A7C">
        <w:rPr>
          <w:bCs/>
        </w:rPr>
        <w:t xml:space="preserve">Vienlaikus apelācijas instances tiesa atzinusi, ka nav konstatēts </w:t>
      </w:r>
      <w:r w:rsidR="00951304">
        <w:rPr>
          <w:bCs/>
        </w:rPr>
        <w:t>[pers. A]</w:t>
      </w:r>
      <w:r w:rsidR="001A3A7C">
        <w:rPr>
          <w:bCs/>
        </w:rPr>
        <w:t xml:space="preserve"> nodoms iegūt svešu mantu, atstumjot tās īpašnieku.</w:t>
      </w:r>
      <w:r>
        <w:rPr>
          <w:bCs/>
        </w:rPr>
        <w:t xml:space="preserve"> </w:t>
      </w:r>
    </w:p>
    <w:p w14:paraId="1EE131F0" w14:textId="6A6C504A" w:rsidR="009F6D17" w:rsidRDefault="00D503FA" w:rsidP="00D503FA">
      <w:pPr>
        <w:spacing w:line="276" w:lineRule="auto"/>
        <w:ind w:firstLine="652"/>
        <w:contextualSpacing/>
        <w:jc w:val="both"/>
      </w:pPr>
      <w:r>
        <w:t>Senāts piekrīt tiesību doktrīnā paustajai atziņai, ka, norobežojot piesavināšanos no mantas patvaļīgas lietošanas, kas var būt civiltiesisks delikts, konstatējams, ka iebraukumam svešā valdīšanas sfērā pie paņemšanas, piesavināšanās vai krāpšanas galvenokārt ir nolūks noziedzīgi vērst lietu savā labā, bet aizskārums minētajos gadījumos vispirms vēršas uz lietas izņemšanu no saimnieka valdīšanas vai kundzības. Šo mantisko aizskārumu atšķirīgā īpatnība ir paša objekta galīga pārņemšana no vienas mantiskās sfēra</w:t>
      </w:r>
      <w:r w:rsidR="00B20930">
        <w:t>s</w:t>
      </w:r>
      <w:r>
        <w:t xml:space="preserve"> otrā un tā nostiprināšana vainīgajam vai tam, kura interesēs viņš darbojas. Savukārt patvaļīgas lietošanas gadījumā pirmajā vietā ir tieši nodotās lietas kāda nebūt labuma iegūšana. Šādos gadījumos trūkst cenšanās nostiprināt lietu vienīgi sev (</w:t>
      </w:r>
      <w:proofErr w:type="spellStart"/>
      <w:r>
        <w:rPr>
          <w:i/>
          <w:iCs/>
        </w:rPr>
        <w:t>Mincs</w:t>
      </w:r>
      <w:proofErr w:type="spellEnd"/>
      <w:r w:rsidR="00A07921">
        <w:rPr>
          <w:i/>
          <w:iCs/>
        </w:rPr>
        <w:t xml:space="preserve"> P</w:t>
      </w:r>
      <w:r>
        <w:rPr>
          <w:i/>
          <w:iCs/>
        </w:rPr>
        <w:t>. Krimināltiesības. Sevišķā daļa. Ar V. </w:t>
      </w:r>
      <w:proofErr w:type="spellStart"/>
      <w:r>
        <w:rPr>
          <w:i/>
          <w:iCs/>
        </w:rPr>
        <w:t>Liholajas</w:t>
      </w:r>
      <w:proofErr w:type="spellEnd"/>
      <w:r>
        <w:rPr>
          <w:i/>
          <w:iCs/>
        </w:rPr>
        <w:t xml:space="preserve"> komentāriem. – Rīga: Tiesu namu aģentūra, 2005, 395.lpp.</w:t>
      </w:r>
      <w:r>
        <w:t>).</w:t>
      </w:r>
    </w:p>
    <w:p w14:paraId="6CBE5DEC" w14:textId="4DEFCE81" w:rsidR="001C1297" w:rsidRDefault="00C911FF" w:rsidP="00411B0C">
      <w:pPr>
        <w:spacing w:line="276" w:lineRule="auto"/>
        <w:ind w:firstLine="652"/>
        <w:contextualSpacing/>
        <w:jc w:val="both"/>
      </w:pPr>
      <w:r>
        <w:t>Arī judikatūrā izteikta atziņa, ka</w:t>
      </w:r>
      <w:r w:rsidRPr="00C911FF">
        <w:t xml:space="preserve"> </w:t>
      </w:r>
      <w:r>
        <w:t>līzinga objektu savlaicīga neatdošana līzinga devējam pati par sevi neizraisa kriminālatbildību. Lai personu sauktu pie kriminālatbildības par mantas piesavināšanos, jānoskaidro, kad un kādā veidā iestājušies apstākļi, kas raksturo noziedzīga nodarījuma objektīvo pusi. Nepieciešams noskaidrot arī apstākļus, kas attiecas uz subjektīvās puses pazīmju esību apsūdzētā darbībās (</w:t>
      </w:r>
      <w:bookmarkStart w:id="1" w:name="_Hlk89416968"/>
      <w:r>
        <w:rPr>
          <w:i/>
          <w:iCs/>
        </w:rPr>
        <w:t xml:space="preserve">Augstākās tiesas </w:t>
      </w:r>
      <w:proofErr w:type="gramStart"/>
      <w:r>
        <w:rPr>
          <w:i/>
          <w:iCs/>
        </w:rPr>
        <w:t>2014.gada</w:t>
      </w:r>
      <w:proofErr w:type="gramEnd"/>
      <w:r>
        <w:rPr>
          <w:i/>
          <w:iCs/>
        </w:rPr>
        <w:t xml:space="preserve"> 24.oktobra lēmums lietā Nr. SKK-624/2014 (11518000910)</w:t>
      </w:r>
      <w:bookmarkEnd w:id="1"/>
      <w:r>
        <w:rPr>
          <w:i/>
          <w:iCs/>
        </w:rPr>
        <w:t xml:space="preserve">, </w:t>
      </w:r>
      <w:bookmarkStart w:id="2" w:name="_Hlk89416989"/>
      <w:r>
        <w:rPr>
          <w:i/>
          <w:iCs/>
        </w:rPr>
        <w:t xml:space="preserve">2015.gada 17.septembra lēmums lietā Nr. SKK-265/2015 </w:t>
      </w:r>
      <w:r w:rsidRPr="00604E80">
        <w:rPr>
          <w:i/>
          <w:iCs/>
        </w:rPr>
        <w:t>(11518000910)</w:t>
      </w:r>
      <w:bookmarkEnd w:id="2"/>
      <w:r>
        <w:t>)</w:t>
      </w:r>
      <w:r w:rsidRPr="00604E80">
        <w:t>.</w:t>
      </w:r>
    </w:p>
    <w:p w14:paraId="6CEEFF33" w14:textId="2DE09F2C" w:rsidR="00320D62" w:rsidRDefault="00F71784" w:rsidP="00B4282C">
      <w:pPr>
        <w:spacing w:line="276" w:lineRule="auto"/>
        <w:ind w:firstLine="652"/>
        <w:contextualSpacing/>
        <w:jc w:val="both"/>
        <w:rPr>
          <w:bCs/>
        </w:rPr>
      </w:pPr>
      <w:r>
        <w:t>Apelācijas instances tiesa</w:t>
      </w:r>
      <w:r w:rsidR="00411B0C">
        <w:t>, pamatojot savu atzinumu,</w:t>
      </w:r>
      <w:r w:rsidR="0027538D" w:rsidRPr="00E675AB">
        <w:t xml:space="preserve"> ka</w:t>
      </w:r>
      <w:r w:rsidR="009531FF" w:rsidRPr="00E675AB">
        <w:rPr>
          <w:bCs/>
        </w:rPr>
        <w:t xml:space="preserve"> </w:t>
      </w:r>
      <w:r w:rsidR="0027538D" w:rsidRPr="00E675AB">
        <w:rPr>
          <w:bCs/>
        </w:rPr>
        <w:t xml:space="preserve">izskatāmajā </w:t>
      </w:r>
      <w:r w:rsidR="009531FF" w:rsidRPr="00E675AB">
        <w:rPr>
          <w:bCs/>
        </w:rPr>
        <w:t>lietā nav pierādījumu</w:t>
      </w:r>
      <w:r w:rsidR="0027538D" w:rsidRPr="00E675AB">
        <w:rPr>
          <w:bCs/>
        </w:rPr>
        <w:t xml:space="preserve"> tam</w:t>
      </w:r>
      <w:r w:rsidR="009531FF" w:rsidRPr="00E675AB">
        <w:rPr>
          <w:bCs/>
        </w:rPr>
        <w:t>, ka</w:t>
      </w:r>
      <w:r w:rsidR="0027538D" w:rsidRPr="00E675AB">
        <w:rPr>
          <w:bCs/>
        </w:rPr>
        <w:t xml:space="preserve"> apsūdzētais </w:t>
      </w:r>
      <w:r w:rsidR="00951304">
        <w:rPr>
          <w:bCs/>
        </w:rPr>
        <w:t>[pers. A]</w:t>
      </w:r>
      <w:r w:rsidR="009531FF" w:rsidRPr="00E675AB">
        <w:rPr>
          <w:bCs/>
        </w:rPr>
        <w:t xml:space="preserve"> vēlējies slēpt vai piesavināties</w:t>
      </w:r>
      <w:r w:rsidR="0027538D" w:rsidRPr="00E675AB">
        <w:rPr>
          <w:bCs/>
        </w:rPr>
        <w:t xml:space="preserve"> līzinga objektu</w:t>
      </w:r>
      <w:r w:rsidR="009531FF" w:rsidRPr="00E675AB">
        <w:rPr>
          <w:bCs/>
        </w:rPr>
        <w:t>, atsaukusies uz</w:t>
      </w:r>
      <w:r w:rsidR="0027538D" w:rsidRPr="00E675AB">
        <w:rPr>
          <w:bCs/>
        </w:rPr>
        <w:t xml:space="preserve"> Māra Lejas pētījumā pausto viedokli, ka no līguma izrietošas saistības neizpilde izdot mantu pati par sevi nav uzskatāma par piesavināšanās gribas izpausmes veidu. Šī pienākuma neizpild</w:t>
      </w:r>
      <w:r w:rsidR="00E675AB" w:rsidRPr="00E675AB">
        <w:rPr>
          <w:bCs/>
        </w:rPr>
        <w:t>īšana nav pielīdzināma neizdotās mantas pievienošanai savas mantas sastāvam. Tāpēc jākonstatē papildu apstākļi, ka</w:t>
      </w:r>
      <w:r w:rsidR="00320D62">
        <w:rPr>
          <w:bCs/>
        </w:rPr>
        <w:t>s</w:t>
      </w:r>
      <w:r w:rsidR="00E675AB" w:rsidRPr="00E675AB">
        <w:rPr>
          <w:bCs/>
        </w:rPr>
        <w:t xml:space="preserve"> ļauj secināt, ka mantas neizdošana ir tieši piesavināšanās </w:t>
      </w:r>
      <w:r w:rsidR="00E675AB" w:rsidRPr="005C4AF2">
        <w:rPr>
          <w:bCs/>
        </w:rPr>
        <w:t>izpausmes veids. Proti</w:t>
      </w:r>
      <w:r w:rsidR="00E675AB" w:rsidRPr="00E675AB">
        <w:rPr>
          <w:bCs/>
        </w:rPr>
        <w:t>, izšķirošs ir tas, ka persona veikusi tādas darbības, kas ļauj droši secināt, ka tā svešu mantu pievienojusi savai mantai, atstumjot tās īpašnieku (</w:t>
      </w:r>
      <w:r w:rsidR="00E675AB" w:rsidRPr="00E675AB">
        <w:rPr>
          <w:bCs/>
          <w:i/>
          <w:iCs/>
        </w:rPr>
        <w:t>Leja</w:t>
      </w:r>
      <w:r w:rsidR="00A07921">
        <w:rPr>
          <w:bCs/>
          <w:i/>
          <w:iCs/>
        </w:rPr>
        <w:t xml:space="preserve"> M</w:t>
      </w:r>
      <w:r w:rsidR="00E675AB" w:rsidRPr="00E675AB">
        <w:rPr>
          <w:bCs/>
          <w:i/>
          <w:iCs/>
        </w:rPr>
        <w:t>. Krāpšanas aktuālie jautājumi Latvijas un ārvalstu tiesībās. – Rīga: Tiesu namu aģentūra, 2013, 441.-442.lpp.</w:t>
      </w:r>
      <w:r w:rsidR="00E675AB" w:rsidRPr="00E675AB">
        <w:rPr>
          <w:bCs/>
        </w:rPr>
        <w:t>).</w:t>
      </w:r>
      <w:r w:rsidR="00E675AB">
        <w:rPr>
          <w:bCs/>
        </w:rPr>
        <w:t xml:space="preserve"> </w:t>
      </w:r>
    </w:p>
    <w:p w14:paraId="71A156F1" w14:textId="77777777" w:rsidR="00C318FB" w:rsidRDefault="00320D62" w:rsidP="00320D62">
      <w:pPr>
        <w:spacing w:line="276" w:lineRule="auto"/>
        <w:ind w:firstLine="652"/>
        <w:contextualSpacing/>
        <w:jc w:val="both"/>
        <w:rPr>
          <w:bCs/>
        </w:rPr>
      </w:pPr>
      <w:r w:rsidRPr="005C4AF2">
        <w:rPr>
          <w:bCs/>
        </w:rPr>
        <w:t xml:space="preserve">Senāts piekrīt pētījuma autora </w:t>
      </w:r>
      <w:r w:rsidR="00C318FB">
        <w:rPr>
          <w:bCs/>
        </w:rPr>
        <w:t>viedokli</w:t>
      </w:r>
      <w:r w:rsidRPr="005C4AF2">
        <w:rPr>
          <w:bCs/>
        </w:rPr>
        <w:t>m, ka par</w:t>
      </w:r>
      <w:r w:rsidR="00B4282C" w:rsidRPr="005C4AF2">
        <w:rPr>
          <w:bCs/>
        </w:rPr>
        <w:t xml:space="preserve"> personas darbībām, kas ļauj droši secināt, ka tā svešu mantu pievienojusi savai mantai, atstumjot tās īpašnieku, var liecināt, piemēram, mantas atrašanās vietas slēpšana no īpašnieka.</w:t>
      </w:r>
      <w:r w:rsidRPr="005C4AF2">
        <w:rPr>
          <w:bCs/>
        </w:rPr>
        <w:t xml:space="preserve"> </w:t>
      </w:r>
    </w:p>
    <w:p w14:paraId="5AC5EBF2" w14:textId="7E372406" w:rsidR="00C211BA" w:rsidRDefault="00C318FB" w:rsidP="00411B0C">
      <w:pPr>
        <w:spacing w:line="276" w:lineRule="auto"/>
        <w:ind w:firstLine="652"/>
        <w:contextualSpacing/>
        <w:jc w:val="both"/>
        <w:rPr>
          <w:bCs/>
        </w:rPr>
      </w:pPr>
      <w:r>
        <w:rPr>
          <w:bCs/>
        </w:rPr>
        <w:t>A</w:t>
      </w:r>
      <w:r w:rsidR="00D42760" w:rsidRPr="005C4AF2">
        <w:rPr>
          <w:bCs/>
        </w:rPr>
        <w:t>tzīstot par pamatot</w:t>
      </w:r>
      <w:r w:rsidR="005C4AF2">
        <w:rPr>
          <w:bCs/>
        </w:rPr>
        <w:t>u pirmās instances tiesas secināto</w:t>
      </w:r>
      <w:r w:rsidR="00D42760" w:rsidRPr="005C4AF2">
        <w:rPr>
          <w:bCs/>
        </w:rPr>
        <w:t>,</w:t>
      </w:r>
      <w:r w:rsidR="00896A9D" w:rsidRPr="005C4AF2">
        <w:rPr>
          <w:bCs/>
        </w:rPr>
        <w:t xml:space="preserve"> </w:t>
      </w:r>
      <w:r w:rsidR="00320D62" w:rsidRPr="005C4AF2">
        <w:rPr>
          <w:bCs/>
        </w:rPr>
        <w:t xml:space="preserve">ka </w:t>
      </w:r>
      <w:r w:rsidR="00951304">
        <w:rPr>
          <w:bCs/>
        </w:rPr>
        <w:t>[pers. A]</w:t>
      </w:r>
      <w:r w:rsidR="00320D62" w:rsidRPr="005C4AF2">
        <w:rPr>
          <w:bCs/>
        </w:rPr>
        <w:t xml:space="preserve"> nav bijis nodoma</w:t>
      </w:r>
      <w:r w:rsidR="00911163" w:rsidRPr="005C4AF2">
        <w:rPr>
          <w:bCs/>
        </w:rPr>
        <w:t xml:space="preserve"> Līzinga objektu pievienot savai mantai, atstumjot tā īpašnieku,</w:t>
      </w:r>
      <w:r w:rsidR="005C4AF2">
        <w:rPr>
          <w:bCs/>
        </w:rPr>
        <w:t xml:space="preserve"> </w:t>
      </w:r>
      <w:r w:rsidR="00911163" w:rsidRPr="005C4AF2">
        <w:rPr>
          <w:bCs/>
        </w:rPr>
        <w:t>apelācijas instances tiesa</w:t>
      </w:r>
      <w:r w:rsidR="00D85A6A">
        <w:rPr>
          <w:bCs/>
        </w:rPr>
        <w:t xml:space="preserve"> nav </w:t>
      </w:r>
      <w:r w:rsidR="00411B0C">
        <w:rPr>
          <w:bCs/>
        </w:rPr>
        <w:t>ņēmusi vērā</w:t>
      </w:r>
      <w:r>
        <w:rPr>
          <w:bCs/>
        </w:rPr>
        <w:t xml:space="preserve"> Kriminālprocesa likuma </w:t>
      </w:r>
      <w:proofErr w:type="gramStart"/>
      <w:r>
        <w:rPr>
          <w:bCs/>
        </w:rPr>
        <w:t>564.panta</w:t>
      </w:r>
      <w:proofErr w:type="gramEnd"/>
      <w:r>
        <w:rPr>
          <w:bCs/>
        </w:rPr>
        <w:t xml:space="preserve"> ceturtajā daļā</w:t>
      </w:r>
      <w:r w:rsidR="00D85A6A">
        <w:rPr>
          <w:bCs/>
        </w:rPr>
        <w:t xml:space="preserve"> </w:t>
      </w:r>
      <w:r w:rsidR="00411B0C">
        <w:rPr>
          <w:bCs/>
        </w:rPr>
        <w:t>noteikto</w:t>
      </w:r>
      <w:r w:rsidR="00D85A6A">
        <w:rPr>
          <w:bCs/>
        </w:rPr>
        <w:t xml:space="preserve"> un</w:t>
      </w:r>
      <w:r w:rsidR="00911163" w:rsidRPr="005C4AF2">
        <w:rPr>
          <w:bCs/>
        </w:rPr>
        <w:t xml:space="preserve"> </w:t>
      </w:r>
      <w:r w:rsidR="005C4AF2">
        <w:rPr>
          <w:bCs/>
        </w:rPr>
        <w:t xml:space="preserve">nolēmumā nav minējusi pierādījumus, kas apstiprina </w:t>
      </w:r>
      <w:r w:rsidR="0051210B">
        <w:rPr>
          <w:bCs/>
        </w:rPr>
        <w:t xml:space="preserve">tās </w:t>
      </w:r>
      <w:r w:rsidR="005C4AF2">
        <w:rPr>
          <w:bCs/>
        </w:rPr>
        <w:t>atzinumu, kā arī nav minējusi motīvus, kāpēc tā noraida pierādījumus</w:t>
      </w:r>
      <w:r w:rsidR="006B5640">
        <w:rPr>
          <w:bCs/>
        </w:rPr>
        <w:t xml:space="preserve">, ar kuriem apsūdzība pamatojusi </w:t>
      </w:r>
      <w:r w:rsidR="00951304">
        <w:rPr>
          <w:bCs/>
        </w:rPr>
        <w:t>[pers. A]</w:t>
      </w:r>
      <w:r w:rsidR="00411B0C">
        <w:rPr>
          <w:bCs/>
        </w:rPr>
        <w:t xml:space="preserve"> </w:t>
      </w:r>
      <w:r w:rsidR="006B5640">
        <w:rPr>
          <w:bCs/>
        </w:rPr>
        <w:t>nodoma esību</w:t>
      </w:r>
      <w:r w:rsidR="00014151">
        <w:rPr>
          <w:bCs/>
        </w:rPr>
        <w:t xml:space="preserve"> </w:t>
      </w:r>
      <w:r w:rsidR="006B5640">
        <w:rPr>
          <w:bCs/>
        </w:rPr>
        <w:t xml:space="preserve">pievienot </w:t>
      </w:r>
      <w:r w:rsidR="00014151">
        <w:rPr>
          <w:bCs/>
        </w:rPr>
        <w:t>Līzinga objektu savai mantai, atstumjot tās īpašnieku.</w:t>
      </w:r>
    </w:p>
    <w:p w14:paraId="694E1B72" w14:textId="6D936BF4" w:rsidR="00E91909" w:rsidRDefault="00E91909" w:rsidP="00E91909">
      <w:pPr>
        <w:spacing w:line="276" w:lineRule="auto"/>
        <w:ind w:firstLine="652"/>
        <w:contextualSpacing/>
        <w:jc w:val="both"/>
        <w:rPr>
          <w:bCs/>
        </w:rPr>
      </w:pPr>
      <w:r>
        <w:rPr>
          <w:bCs/>
        </w:rPr>
        <w:t>Apelācijas instances tiesa nav izvērtējusi</w:t>
      </w:r>
      <w:r w:rsidRPr="00C211BA">
        <w:rPr>
          <w:bCs/>
        </w:rPr>
        <w:t xml:space="preserve"> </w:t>
      </w:r>
      <w:r>
        <w:rPr>
          <w:bCs/>
        </w:rPr>
        <w:t xml:space="preserve">cietušās AS </w:t>
      </w:r>
      <w:r w:rsidRPr="009E3D5F">
        <w:rPr>
          <w:iCs/>
        </w:rPr>
        <w:t>„</w:t>
      </w:r>
      <w:proofErr w:type="spellStart"/>
      <w:r>
        <w:rPr>
          <w:bCs/>
        </w:rPr>
        <w:t>mogo</w:t>
      </w:r>
      <w:proofErr w:type="spellEnd"/>
      <w:r>
        <w:rPr>
          <w:bCs/>
        </w:rPr>
        <w:t xml:space="preserve">” pārstāvja </w:t>
      </w:r>
      <w:r w:rsidR="00951304">
        <w:rPr>
          <w:bCs/>
        </w:rPr>
        <w:t>[pers. B]</w:t>
      </w:r>
      <w:r>
        <w:rPr>
          <w:bCs/>
        </w:rPr>
        <w:t xml:space="preserve"> liecības par to, ka </w:t>
      </w:r>
      <w:r w:rsidR="00951304">
        <w:rPr>
          <w:bCs/>
        </w:rPr>
        <w:t>[pers. A]</w:t>
      </w:r>
      <w:r>
        <w:rPr>
          <w:bCs/>
        </w:rPr>
        <w:t xml:space="preserve"> slēpis faktu, ka uz Apvienoto Karalisti izbraucis ar Līzinga objektu.</w:t>
      </w:r>
      <w:r w:rsidRPr="00214BF1">
        <w:rPr>
          <w:bCs/>
        </w:rPr>
        <w:t xml:space="preserve"> </w:t>
      </w:r>
      <w:r w:rsidRPr="009E3D5F">
        <w:rPr>
          <w:bCs/>
        </w:rPr>
        <w:t xml:space="preserve">Turklāt apelācijas </w:t>
      </w:r>
      <w:r w:rsidRPr="00604E80">
        <w:rPr>
          <w:bCs/>
        </w:rPr>
        <w:t xml:space="preserve">instances tiesa kļūdaini atzinusi, ka Līzinga līgumā </w:t>
      </w:r>
      <w:r>
        <w:rPr>
          <w:bCs/>
        </w:rPr>
        <w:t>vispār nav bijis</w:t>
      </w:r>
      <w:r w:rsidRPr="00604E80">
        <w:rPr>
          <w:bCs/>
        </w:rPr>
        <w:t xml:space="preserve"> noteikts pienākums lūgt AS </w:t>
      </w:r>
      <w:r w:rsidRPr="00604E80">
        <w:rPr>
          <w:iCs/>
        </w:rPr>
        <w:t>„</w:t>
      </w:r>
      <w:proofErr w:type="spellStart"/>
      <w:r w:rsidRPr="00604E80">
        <w:rPr>
          <w:bCs/>
        </w:rPr>
        <w:t>mogo</w:t>
      </w:r>
      <w:proofErr w:type="spellEnd"/>
      <w:r w:rsidRPr="00604E80">
        <w:rPr>
          <w:bCs/>
        </w:rPr>
        <w:t>” atļauju izbraukšanai no valsts ar Līzinga objektu.</w:t>
      </w:r>
      <w:r w:rsidRPr="00214BF1">
        <w:rPr>
          <w:bCs/>
        </w:rPr>
        <w:t xml:space="preserve"> </w:t>
      </w:r>
      <w:r>
        <w:rPr>
          <w:bCs/>
        </w:rPr>
        <w:t>Tādējādi a</w:t>
      </w:r>
      <w:r w:rsidRPr="009E3D5F">
        <w:rPr>
          <w:bCs/>
        </w:rPr>
        <w:t>pelācijas instances tiesa</w:t>
      </w:r>
      <w:r>
        <w:rPr>
          <w:bCs/>
        </w:rPr>
        <w:t xml:space="preserve"> </w:t>
      </w:r>
      <w:r w:rsidRPr="009E3D5F">
        <w:rPr>
          <w:bCs/>
        </w:rPr>
        <w:t xml:space="preserve">nav vērtējusi starp </w:t>
      </w:r>
      <w:r w:rsidRPr="009E3D5F">
        <w:t xml:space="preserve">AS </w:t>
      </w:r>
      <w:r w:rsidRPr="009E3D5F">
        <w:rPr>
          <w:iCs/>
        </w:rPr>
        <w:t>„</w:t>
      </w:r>
      <w:proofErr w:type="spellStart"/>
      <w:r w:rsidRPr="009E3D5F">
        <w:t>mogo</w:t>
      </w:r>
      <w:proofErr w:type="spellEnd"/>
      <w:r w:rsidRPr="009E3D5F">
        <w:t xml:space="preserve">” un apsūdzēto </w:t>
      </w:r>
      <w:r w:rsidR="00951304">
        <w:t>[pers. A]</w:t>
      </w:r>
      <w:r w:rsidRPr="009E3D5F">
        <w:t xml:space="preserve"> noslēgtā Līzinga līguma 13.punktā noteikto. </w:t>
      </w:r>
      <w:r w:rsidRPr="009E3D5F">
        <w:rPr>
          <w:bCs/>
        </w:rPr>
        <w:t xml:space="preserve">Proti, ka, lai izbrauktu un lietotu Līzinga objektu ārpus Latvijas teritorijas, bija nepieciešams </w:t>
      </w:r>
      <w:r w:rsidRPr="009E3D5F">
        <w:t xml:space="preserve">AS </w:t>
      </w:r>
      <w:r w:rsidRPr="009E3D5F">
        <w:rPr>
          <w:iCs/>
        </w:rPr>
        <w:t>„</w:t>
      </w:r>
      <w:proofErr w:type="spellStart"/>
      <w:r w:rsidRPr="009E3D5F">
        <w:t>mogo</w:t>
      </w:r>
      <w:proofErr w:type="spellEnd"/>
      <w:r w:rsidRPr="009E3D5F">
        <w:t>”</w:t>
      </w:r>
      <w:r w:rsidRPr="009E3D5F">
        <w:rPr>
          <w:bCs/>
        </w:rPr>
        <w:t xml:space="preserve"> izsniegts pilnvarojums. Savukārt, lai saņemtu šādu pilnvarojumu, bija jāizpild</w:t>
      </w:r>
      <w:r>
        <w:rPr>
          <w:bCs/>
        </w:rPr>
        <w:t>a</w:t>
      </w:r>
      <w:r w:rsidRPr="009E3D5F">
        <w:rPr>
          <w:bCs/>
        </w:rPr>
        <w:t xml:space="preserve"> divi nosacījumi. Pirmkārt, Līzinga objekts bija jāapdrošina. Otrkārt, nedrīkstēja būt neizpildītu saistību pret AS </w:t>
      </w:r>
      <w:r w:rsidRPr="009E3D5F">
        <w:rPr>
          <w:iCs/>
        </w:rPr>
        <w:t>„</w:t>
      </w:r>
      <w:proofErr w:type="spellStart"/>
      <w:r w:rsidRPr="009E3D5F">
        <w:rPr>
          <w:bCs/>
        </w:rPr>
        <w:t>mogo</w:t>
      </w:r>
      <w:proofErr w:type="spellEnd"/>
      <w:r w:rsidRPr="009E3D5F">
        <w:rPr>
          <w:bCs/>
        </w:rPr>
        <w:t>”.</w:t>
      </w:r>
    </w:p>
    <w:p w14:paraId="22658838" w14:textId="02D0F0A4" w:rsidR="00F14E39" w:rsidRDefault="00411B0C" w:rsidP="00E91909">
      <w:pPr>
        <w:spacing w:line="276" w:lineRule="auto"/>
        <w:ind w:firstLine="652"/>
        <w:contextualSpacing/>
        <w:jc w:val="both"/>
        <w:rPr>
          <w:bCs/>
        </w:rPr>
      </w:pPr>
      <w:r w:rsidRPr="00411B0C">
        <w:rPr>
          <w:bCs/>
        </w:rPr>
        <w:t xml:space="preserve"> </w:t>
      </w:r>
      <w:r w:rsidR="00C211BA">
        <w:rPr>
          <w:bCs/>
        </w:rPr>
        <w:t xml:space="preserve">Nolēmumā norādot, ka lietā nav pierādījumu, kas atspēkotu apsūdzētā </w:t>
      </w:r>
      <w:r w:rsidR="00951304">
        <w:rPr>
          <w:bCs/>
        </w:rPr>
        <w:t>[pers. A]</w:t>
      </w:r>
      <w:r w:rsidR="00C211BA">
        <w:rPr>
          <w:bCs/>
        </w:rPr>
        <w:t xml:space="preserve"> liecības par automašīnas </w:t>
      </w:r>
      <w:r w:rsidR="00F14E39">
        <w:rPr>
          <w:bCs/>
        </w:rPr>
        <w:t>iziešanu no valdījuma pret viņa gribu</w:t>
      </w:r>
      <w:r w:rsidR="00C211BA">
        <w:rPr>
          <w:bCs/>
        </w:rPr>
        <w:t>, proti, ka t</w:t>
      </w:r>
      <w:r w:rsidR="00214BF1">
        <w:rPr>
          <w:bCs/>
        </w:rPr>
        <w:t>ā</w:t>
      </w:r>
      <w:r w:rsidR="00C211BA">
        <w:rPr>
          <w:bCs/>
        </w:rPr>
        <w:t xml:space="preserve"> evakuēt</w:t>
      </w:r>
      <w:r w:rsidR="00214BF1">
        <w:rPr>
          <w:bCs/>
        </w:rPr>
        <w:t>a</w:t>
      </w:r>
      <w:r w:rsidR="00C211BA">
        <w:rPr>
          <w:bCs/>
        </w:rPr>
        <w:t xml:space="preserve"> sakarā ar ilgstošu turēšanu uz ielas,</w:t>
      </w:r>
      <w:r w:rsidR="00F14E39">
        <w:rPr>
          <w:bCs/>
        </w:rPr>
        <w:t xml:space="preserve"> </w:t>
      </w:r>
      <w:r w:rsidR="00C211BA">
        <w:rPr>
          <w:bCs/>
        </w:rPr>
        <w:t>nevis sakarā ar tās piesavināšanos,</w:t>
      </w:r>
      <w:r w:rsidR="00F14E39">
        <w:rPr>
          <w:bCs/>
        </w:rPr>
        <w:t xml:space="preserve"> apelācijas instances tiesa nav </w:t>
      </w:r>
      <w:r w:rsidR="00F021EA">
        <w:rPr>
          <w:bCs/>
        </w:rPr>
        <w:t>minē</w:t>
      </w:r>
      <w:r w:rsidR="00E91909">
        <w:rPr>
          <w:bCs/>
        </w:rPr>
        <w:t>jusi pierādījumus, kas apstiprinātu apsūdzētā liecībās minētos faktus.</w:t>
      </w:r>
      <w:r w:rsidR="00F14E39">
        <w:rPr>
          <w:bCs/>
        </w:rPr>
        <w:t xml:space="preserve"> </w:t>
      </w:r>
      <w:r w:rsidR="00E91909">
        <w:rPr>
          <w:bCs/>
        </w:rPr>
        <w:t xml:space="preserve">Turklāt no apelācijas instances tiesas nolēmumā izklāstītajām apsūdzētā </w:t>
      </w:r>
      <w:r w:rsidR="00D301AC">
        <w:rPr>
          <w:bCs/>
        </w:rPr>
        <w:t>[pers. A]</w:t>
      </w:r>
      <w:r w:rsidR="00E91909">
        <w:rPr>
          <w:bCs/>
        </w:rPr>
        <w:t xml:space="preserve"> liecībām konstatējams, ka viņš nav vērsies </w:t>
      </w:r>
      <w:r w:rsidR="00E91909" w:rsidRPr="009E3D5F">
        <w:rPr>
          <w:bCs/>
        </w:rPr>
        <w:t xml:space="preserve">Apvienotās Karalistes </w:t>
      </w:r>
      <w:r w:rsidR="00E91909">
        <w:rPr>
          <w:bCs/>
        </w:rPr>
        <w:t>attiecīg</w:t>
      </w:r>
      <w:r w:rsidR="00E91909" w:rsidRPr="009E3D5F">
        <w:rPr>
          <w:bCs/>
        </w:rPr>
        <w:t>ajās iestādēs</w:t>
      </w:r>
      <w:r w:rsidR="00E91909">
        <w:rPr>
          <w:bCs/>
        </w:rPr>
        <w:t>, lai noskaidrotu automašīnas atrašanās vietu un to nodotu īpašniekam</w:t>
      </w:r>
      <w:r w:rsidR="00E91909" w:rsidRPr="009E3D5F">
        <w:rPr>
          <w:bCs/>
        </w:rPr>
        <w:t>.</w:t>
      </w:r>
    </w:p>
    <w:p w14:paraId="63EF2F58" w14:textId="3D76EBA1" w:rsidR="00214BF1" w:rsidRDefault="00B20969" w:rsidP="00320D62">
      <w:pPr>
        <w:spacing w:line="276" w:lineRule="auto"/>
        <w:ind w:firstLine="652"/>
        <w:contextualSpacing/>
        <w:jc w:val="both"/>
        <w:rPr>
          <w:bCs/>
        </w:rPr>
      </w:pPr>
      <w:r>
        <w:rPr>
          <w:bCs/>
        </w:rPr>
        <w:t>Tādējādi</w:t>
      </w:r>
      <w:r w:rsidR="00214BF1">
        <w:rPr>
          <w:bCs/>
        </w:rPr>
        <w:t xml:space="preserve"> apelācijas instances tiesa nav pamatojusi nolēmumā atzīto, ka </w:t>
      </w:r>
      <w:r w:rsidR="00D301AC">
        <w:rPr>
          <w:bCs/>
        </w:rPr>
        <w:t>[pers. A]</w:t>
      </w:r>
      <w:r w:rsidR="00214BF1">
        <w:rPr>
          <w:bCs/>
        </w:rPr>
        <w:t xml:space="preserve"> nav bijis nodoma piesavināties Līzinga objektu.  </w:t>
      </w:r>
    </w:p>
    <w:p w14:paraId="5E9A1207" w14:textId="53BDA165" w:rsidR="00343E8E" w:rsidRDefault="00343E8E" w:rsidP="00320D62">
      <w:pPr>
        <w:spacing w:line="276" w:lineRule="auto"/>
        <w:ind w:firstLine="652"/>
        <w:contextualSpacing/>
        <w:jc w:val="both"/>
        <w:rPr>
          <w:bCs/>
        </w:rPr>
      </w:pPr>
    </w:p>
    <w:p w14:paraId="611EBA54" w14:textId="4EA717CC" w:rsidR="00343E8E" w:rsidRDefault="00343E8E" w:rsidP="00343E8E">
      <w:pPr>
        <w:spacing w:line="276" w:lineRule="auto"/>
        <w:ind w:firstLine="709"/>
        <w:jc w:val="both"/>
      </w:pPr>
      <w:r>
        <w:rPr>
          <w:bCs/>
        </w:rPr>
        <w:t>[</w:t>
      </w:r>
      <w:r w:rsidR="00847572">
        <w:rPr>
          <w:bCs/>
        </w:rPr>
        <w:t>9</w:t>
      </w:r>
      <w:r>
        <w:rPr>
          <w:bCs/>
        </w:rPr>
        <w:t>] </w:t>
      </w:r>
      <w:r>
        <w:t xml:space="preserve">Līdz ar to Senāts atzīst, ka </w:t>
      </w:r>
      <w:r w:rsidR="00C211BA">
        <w:t xml:space="preserve">apelācijas instances </w:t>
      </w:r>
      <w:r>
        <w:t xml:space="preserve">tiesa pieļāvusi Kriminālprocesa likuma </w:t>
      </w:r>
      <w:proofErr w:type="gramStart"/>
      <w:r>
        <w:t>511.panta</w:t>
      </w:r>
      <w:proofErr w:type="gramEnd"/>
      <w:r>
        <w:t xml:space="preserve"> otrās daļas, 512.panta un 564.panta ceturtās daļas pārkāpumus, kas atzīstami par Kriminālprocesa likuma būtiskiem pārkāpumiem šā likuma 575.panta trešās daļas izpratnē. Minētie pārkāpumi noveduši pie nelikumīga nolēmuma, tādēļ Latgales apgabaltiesas </w:t>
      </w:r>
      <w:proofErr w:type="gramStart"/>
      <w:r>
        <w:t>2020.gada</w:t>
      </w:r>
      <w:proofErr w:type="gramEnd"/>
      <w:r>
        <w:t xml:space="preserve"> 19.oktobra lēmums atceļams pilnībā un lieta nosūtāma jaunai izskatīšanai apelācijas instances tiesā.</w:t>
      </w:r>
    </w:p>
    <w:p w14:paraId="192F5C3E" w14:textId="48F27AEF" w:rsidR="00A215DD" w:rsidRDefault="00A215DD" w:rsidP="00343E8E">
      <w:pPr>
        <w:spacing w:line="276" w:lineRule="auto"/>
        <w:ind w:firstLine="709"/>
        <w:jc w:val="both"/>
      </w:pPr>
    </w:p>
    <w:p w14:paraId="1962F672" w14:textId="30688A7B" w:rsidR="00A215DD" w:rsidRDefault="00A215DD" w:rsidP="00343E8E">
      <w:pPr>
        <w:spacing w:line="276" w:lineRule="auto"/>
        <w:ind w:firstLine="709"/>
        <w:jc w:val="both"/>
      </w:pPr>
      <w:r>
        <w:t>[</w:t>
      </w:r>
      <w:r w:rsidR="00847572">
        <w:t>10</w:t>
      </w:r>
      <w:r>
        <w:t xml:space="preserve">] Ar Rēzeknes tiesas </w:t>
      </w:r>
      <w:proofErr w:type="gramStart"/>
      <w:r>
        <w:t>2020.gada</w:t>
      </w:r>
      <w:proofErr w:type="gramEnd"/>
      <w:r>
        <w:t xml:space="preserve"> 27.maija spriedumu atcelts </w:t>
      </w:r>
      <w:r w:rsidR="00D301AC">
        <w:t>[pers. A]</w:t>
      </w:r>
      <w:r>
        <w:t xml:space="preserve"> piemērotais drošības līdzeklis – uzturēšanās noteiktā vietā – un papildu drošības līdzeklis – aizliegums izbraukt no valsts.</w:t>
      </w:r>
    </w:p>
    <w:p w14:paraId="79D81762" w14:textId="69C573E8" w:rsidR="00706F32" w:rsidRPr="00401275" w:rsidRDefault="00A215DD" w:rsidP="00401275">
      <w:pPr>
        <w:spacing w:line="276" w:lineRule="auto"/>
        <w:ind w:firstLine="709"/>
        <w:jc w:val="both"/>
      </w:pPr>
      <w:r>
        <w:t xml:space="preserve">Senāts atzīst, ka </w:t>
      </w:r>
      <w:r w:rsidR="00B54631">
        <w:t xml:space="preserve">drošības līdzekļa piemērošanai </w:t>
      </w:r>
      <w:r w:rsidR="00D301AC">
        <w:t>[pers. A]</w:t>
      </w:r>
      <w:r w:rsidR="00B54631">
        <w:t xml:space="preserve"> šajā procesa stadijā nav tiesiska pamata.</w:t>
      </w:r>
      <w:r>
        <w:t xml:space="preserve"> </w:t>
      </w:r>
    </w:p>
    <w:p w14:paraId="4EA1D19C" w14:textId="77777777" w:rsidR="00A87799" w:rsidRDefault="00A87799" w:rsidP="00AD59AF">
      <w:pPr>
        <w:spacing w:line="276" w:lineRule="auto"/>
        <w:contextualSpacing/>
        <w:jc w:val="both"/>
      </w:pPr>
    </w:p>
    <w:p w14:paraId="30F31D66" w14:textId="77777777" w:rsidR="00A87799" w:rsidRPr="00473F47" w:rsidRDefault="00A87799" w:rsidP="00384060">
      <w:pPr>
        <w:pStyle w:val="tv213"/>
        <w:spacing w:before="0" w:beforeAutospacing="0" w:after="0" w:afterAutospacing="0" w:line="276" w:lineRule="auto"/>
        <w:ind w:firstLine="652"/>
        <w:contextualSpacing/>
        <w:jc w:val="center"/>
        <w:rPr>
          <w:b/>
        </w:rPr>
      </w:pPr>
      <w:r w:rsidRPr="00473F47">
        <w:rPr>
          <w:b/>
        </w:rPr>
        <w:t>Rezolutīvā daļa</w:t>
      </w:r>
    </w:p>
    <w:p w14:paraId="79BB8FB8" w14:textId="77777777" w:rsidR="00A87799" w:rsidRPr="00473F47" w:rsidRDefault="00A87799" w:rsidP="00384060">
      <w:pPr>
        <w:pStyle w:val="tv213"/>
        <w:spacing w:before="0" w:beforeAutospacing="0" w:after="0" w:afterAutospacing="0" w:line="276" w:lineRule="auto"/>
        <w:ind w:firstLine="652"/>
        <w:contextualSpacing/>
        <w:jc w:val="both"/>
      </w:pPr>
    </w:p>
    <w:p w14:paraId="2B85727E" w14:textId="77777777" w:rsidR="00A87799" w:rsidRPr="00473F47" w:rsidRDefault="00A87799" w:rsidP="00384060">
      <w:pPr>
        <w:pStyle w:val="tv213"/>
        <w:spacing w:before="0" w:beforeAutospacing="0" w:after="0" w:afterAutospacing="0" w:line="276" w:lineRule="auto"/>
        <w:ind w:firstLine="652"/>
        <w:contextualSpacing/>
        <w:jc w:val="both"/>
      </w:pPr>
      <w:r w:rsidRPr="00BA4593">
        <w:t xml:space="preserve">Pamatojoties uz Kriminālprocesa likuma 585. un </w:t>
      </w:r>
      <w:proofErr w:type="gramStart"/>
      <w:r w:rsidRPr="00BA4593">
        <w:t>587.pantu</w:t>
      </w:r>
      <w:proofErr w:type="gramEnd"/>
      <w:r w:rsidRPr="00BA4593">
        <w:t>,</w:t>
      </w:r>
      <w:r>
        <w:t xml:space="preserve"> </w:t>
      </w:r>
      <w:r w:rsidRPr="00BA4593">
        <w:t>tiesa</w:t>
      </w:r>
    </w:p>
    <w:p w14:paraId="39860DF0" w14:textId="77777777" w:rsidR="00A87799" w:rsidRPr="00C576A8" w:rsidRDefault="00A87799" w:rsidP="00384060">
      <w:pPr>
        <w:spacing w:line="276" w:lineRule="auto"/>
        <w:ind w:firstLine="652"/>
        <w:contextualSpacing/>
      </w:pPr>
    </w:p>
    <w:p w14:paraId="66D17292" w14:textId="77777777" w:rsidR="00A87799" w:rsidRPr="00C576A8" w:rsidRDefault="00A87799" w:rsidP="00384060">
      <w:pPr>
        <w:spacing w:line="276" w:lineRule="auto"/>
        <w:ind w:firstLine="652"/>
        <w:contextualSpacing/>
        <w:jc w:val="center"/>
        <w:rPr>
          <w:b/>
        </w:rPr>
      </w:pPr>
      <w:r w:rsidRPr="00C576A8">
        <w:rPr>
          <w:b/>
        </w:rPr>
        <w:t>nolēma:</w:t>
      </w:r>
    </w:p>
    <w:p w14:paraId="0C2548B3" w14:textId="77777777" w:rsidR="00A87799" w:rsidRPr="00C576A8" w:rsidRDefault="00A87799" w:rsidP="00384060">
      <w:pPr>
        <w:spacing w:line="276" w:lineRule="auto"/>
        <w:ind w:firstLine="652"/>
        <w:contextualSpacing/>
        <w:jc w:val="center"/>
        <w:rPr>
          <w:b/>
        </w:rPr>
      </w:pPr>
    </w:p>
    <w:p w14:paraId="03B4D499" w14:textId="264D1B0E" w:rsidR="00706F32" w:rsidRPr="00C576A8" w:rsidRDefault="0010170B" w:rsidP="00F0033B">
      <w:pPr>
        <w:spacing w:line="276" w:lineRule="auto"/>
        <w:ind w:firstLine="652"/>
        <w:contextualSpacing/>
        <w:jc w:val="both"/>
        <w:rPr>
          <w:rFonts w:eastAsia="Calibri"/>
        </w:rPr>
      </w:pPr>
      <w:r>
        <w:t>at</w:t>
      </w:r>
      <w:r w:rsidR="00C77576">
        <w:t>celt pilnībā</w:t>
      </w:r>
      <w:r>
        <w:t xml:space="preserve"> </w:t>
      </w:r>
      <w:r w:rsidR="00883B22">
        <w:t>Latgal</w:t>
      </w:r>
      <w:r w:rsidR="00932EB4">
        <w:t>e</w:t>
      </w:r>
      <w:r w:rsidR="00A87799" w:rsidRPr="00C576A8">
        <w:t xml:space="preserve">s apgabaltiesas </w:t>
      </w:r>
      <w:proofErr w:type="gramStart"/>
      <w:r w:rsidR="00A87799" w:rsidRPr="00C576A8">
        <w:t>20</w:t>
      </w:r>
      <w:r w:rsidR="00883B22">
        <w:t>20</w:t>
      </w:r>
      <w:r w:rsidR="00A87799" w:rsidRPr="00C576A8">
        <w:t>.gada</w:t>
      </w:r>
      <w:proofErr w:type="gramEnd"/>
      <w:r w:rsidR="00A87799" w:rsidRPr="00C576A8">
        <w:t xml:space="preserve"> </w:t>
      </w:r>
      <w:r w:rsidR="00883B22">
        <w:t>19</w:t>
      </w:r>
      <w:r w:rsidR="00A87799" w:rsidRPr="00C576A8">
        <w:t>.</w:t>
      </w:r>
      <w:r w:rsidR="00883B22">
        <w:t>okto</w:t>
      </w:r>
      <w:r w:rsidR="000E6213">
        <w:t>b</w:t>
      </w:r>
      <w:r w:rsidR="00A87799" w:rsidRPr="00C576A8">
        <w:t xml:space="preserve">ra </w:t>
      </w:r>
      <w:r w:rsidR="00932EB4">
        <w:t>lēmumu</w:t>
      </w:r>
      <w:r w:rsidR="00C77576">
        <w:t xml:space="preserve"> un nosūtīt lietu jaunai izskatīšanai Latgales apgabaltiesā</w:t>
      </w:r>
      <w:r w:rsidR="00A87799" w:rsidRPr="00C576A8">
        <w:rPr>
          <w:rFonts w:eastAsia="Calibri"/>
        </w:rPr>
        <w:t>.</w:t>
      </w:r>
    </w:p>
    <w:p w14:paraId="5C3C9FD7" w14:textId="56FC6DF6" w:rsidR="00F77F0A" w:rsidRPr="00D301AC" w:rsidRDefault="00A87799" w:rsidP="00D301AC">
      <w:pPr>
        <w:spacing w:line="276" w:lineRule="auto"/>
        <w:ind w:firstLine="652"/>
        <w:contextualSpacing/>
        <w:jc w:val="both"/>
        <w:rPr>
          <w:rFonts w:eastAsia="Calibri"/>
        </w:rPr>
      </w:pPr>
      <w:r w:rsidRPr="00C576A8">
        <w:rPr>
          <w:rFonts w:eastAsia="Calibri"/>
        </w:rPr>
        <w:t>Lēmums nav pārsūdzams.</w:t>
      </w:r>
    </w:p>
    <w:sectPr w:rsidR="00F77F0A" w:rsidRPr="00D301AC" w:rsidSect="00D8444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FD127" w14:textId="77777777" w:rsidR="0079101D" w:rsidRDefault="0079101D" w:rsidP="002C361B">
      <w:r>
        <w:separator/>
      </w:r>
    </w:p>
  </w:endnote>
  <w:endnote w:type="continuationSeparator" w:id="0">
    <w:p w14:paraId="08BB4A11" w14:textId="77777777" w:rsidR="0079101D" w:rsidRDefault="0079101D" w:rsidP="002C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117912"/>
      <w:docPartObj>
        <w:docPartGallery w:val="Page Numbers (Bottom of Page)"/>
        <w:docPartUnique/>
      </w:docPartObj>
    </w:sdtPr>
    <w:sdtEndPr/>
    <w:sdtContent>
      <w:sdt>
        <w:sdtPr>
          <w:id w:val="1728636285"/>
          <w:docPartObj>
            <w:docPartGallery w:val="Page Numbers (Top of Page)"/>
            <w:docPartUnique/>
          </w:docPartObj>
        </w:sdtPr>
        <w:sdtEndPr/>
        <w:sdtContent>
          <w:p w14:paraId="0D6C853D" w14:textId="77777777" w:rsidR="00C576A8" w:rsidRDefault="00C576A8">
            <w:pPr>
              <w:pStyle w:val="Footer"/>
              <w:jc w:val="center"/>
            </w:pPr>
            <w:r w:rsidRPr="002C361B">
              <w:rPr>
                <w:bCs/>
              </w:rPr>
              <w:fldChar w:fldCharType="begin"/>
            </w:r>
            <w:r w:rsidRPr="002C361B">
              <w:rPr>
                <w:bCs/>
              </w:rPr>
              <w:instrText xml:space="preserve"> PAGE </w:instrText>
            </w:r>
            <w:r w:rsidRPr="002C361B">
              <w:rPr>
                <w:bCs/>
              </w:rPr>
              <w:fldChar w:fldCharType="separate"/>
            </w:r>
            <w:r w:rsidR="00227BC0">
              <w:rPr>
                <w:bCs/>
                <w:noProof/>
              </w:rPr>
              <w:t>7</w:t>
            </w:r>
            <w:r w:rsidRPr="002C361B">
              <w:rPr>
                <w:bCs/>
              </w:rPr>
              <w:fldChar w:fldCharType="end"/>
            </w:r>
            <w:r w:rsidRPr="002C361B">
              <w:t xml:space="preserve"> no </w:t>
            </w:r>
            <w:r w:rsidRPr="002C361B">
              <w:rPr>
                <w:bCs/>
              </w:rPr>
              <w:fldChar w:fldCharType="begin"/>
            </w:r>
            <w:r w:rsidRPr="002C361B">
              <w:rPr>
                <w:bCs/>
              </w:rPr>
              <w:instrText xml:space="preserve"> NUMPAGES  </w:instrText>
            </w:r>
            <w:r w:rsidRPr="002C361B">
              <w:rPr>
                <w:bCs/>
              </w:rPr>
              <w:fldChar w:fldCharType="separate"/>
            </w:r>
            <w:r w:rsidR="00227BC0">
              <w:rPr>
                <w:bCs/>
                <w:noProof/>
              </w:rPr>
              <w:t>7</w:t>
            </w:r>
            <w:r w:rsidRPr="002C361B">
              <w:rPr>
                <w:bCs/>
              </w:rPr>
              <w:fldChar w:fldCharType="end"/>
            </w:r>
          </w:p>
        </w:sdtContent>
      </w:sdt>
    </w:sdtContent>
  </w:sdt>
  <w:p w14:paraId="17403A2C" w14:textId="77777777" w:rsidR="00C576A8" w:rsidRDefault="00C57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6FEA" w14:textId="77777777" w:rsidR="0079101D" w:rsidRDefault="0079101D" w:rsidP="002C361B">
      <w:r>
        <w:separator/>
      </w:r>
    </w:p>
  </w:footnote>
  <w:footnote w:type="continuationSeparator" w:id="0">
    <w:p w14:paraId="0CE35A34" w14:textId="77777777" w:rsidR="0079101D" w:rsidRDefault="0079101D" w:rsidP="002C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506E7"/>
    <w:multiLevelType w:val="hybridMultilevel"/>
    <w:tmpl w:val="C14C35CA"/>
    <w:lvl w:ilvl="0" w:tplc="3DE839EE">
      <w:start w:val="199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D2"/>
    <w:rsid w:val="00000BF7"/>
    <w:rsid w:val="00007716"/>
    <w:rsid w:val="000110DB"/>
    <w:rsid w:val="00012985"/>
    <w:rsid w:val="00014151"/>
    <w:rsid w:val="00015EB6"/>
    <w:rsid w:val="0001694C"/>
    <w:rsid w:val="00022B2E"/>
    <w:rsid w:val="000256F1"/>
    <w:rsid w:val="00026EBC"/>
    <w:rsid w:val="00027134"/>
    <w:rsid w:val="00043679"/>
    <w:rsid w:val="000467B8"/>
    <w:rsid w:val="0005031C"/>
    <w:rsid w:val="00052A3F"/>
    <w:rsid w:val="000568AC"/>
    <w:rsid w:val="000620B1"/>
    <w:rsid w:val="00075990"/>
    <w:rsid w:val="00087510"/>
    <w:rsid w:val="00092BBB"/>
    <w:rsid w:val="0009390E"/>
    <w:rsid w:val="000A00EB"/>
    <w:rsid w:val="000A1530"/>
    <w:rsid w:val="000A30A2"/>
    <w:rsid w:val="000B022B"/>
    <w:rsid w:val="000C2637"/>
    <w:rsid w:val="000C640E"/>
    <w:rsid w:val="000D4786"/>
    <w:rsid w:val="000E6213"/>
    <w:rsid w:val="000F7704"/>
    <w:rsid w:val="0010170B"/>
    <w:rsid w:val="00104B05"/>
    <w:rsid w:val="00110883"/>
    <w:rsid w:val="001135D0"/>
    <w:rsid w:val="0011611C"/>
    <w:rsid w:val="00116ACE"/>
    <w:rsid w:val="00116BBB"/>
    <w:rsid w:val="001201FB"/>
    <w:rsid w:val="00130BE8"/>
    <w:rsid w:val="00135171"/>
    <w:rsid w:val="00141F7C"/>
    <w:rsid w:val="00146415"/>
    <w:rsid w:val="00152A39"/>
    <w:rsid w:val="0015467F"/>
    <w:rsid w:val="00164F57"/>
    <w:rsid w:val="0016683D"/>
    <w:rsid w:val="00174EE3"/>
    <w:rsid w:val="001754E5"/>
    <w:rsid w:val="00175C5D"/>
    <w:rsid w:val="00187923"/>
    <w:rsid w:val="001A1A99"/>
    <w:rsid w:val="001A2392"/>
    <w:rsid w:val="001A2BB8"/>
    <w:rsid w:val="001A3A7C"/>
    <w:rsid w:val="001A3D57"/>
    <w:rsid w:val="001A4974"/>
    <w:rsid w:val="001A6954"/>
    <w:rsid w:val="001B0166"/>
    <w:rsid w:val="001B23B7"/>
    <w:rsid w:val="001B4E63"/>
    <w:rsid w:val="001C1297"/>
    <w:rsid w:val="001C4980"/>
    <w:rsid w:val="001C75CC"/>
    <w:rsid w:val="001E00F2"/>
    <w:rsid w:val="001E74F2"/>
    <w:rsid w:val="001E7C75"/>
    <w:rsid w:val="001F1954"/>
    <w:rsid w:val="001F1DC3"/>
    <w:rsid w:val="001F3BF1"/>
    <w:rsid w:val="001F6D79"/>
    <w:rsid w:val="001F71DC"/>
    <w:rsid w:val="00201AF3"/>
    <w:rsid w:val="00204D3F"/>
    <w:rsid w:val="0021307C"/>
    <w:rsid w:val="002145F0"/>
    <w:rsid w:val="00214BF1"/>
    <w:rsid w:val="00214CA7"/>
    <w:rsid w:val="00222D5B"/>
    <w:rsid w:val="00222E93"/>
    <w:rsid w:val="00227BC0"/>
    <w:rsid w:val="0023053C"/>
    <w:rsid w:val="0023068D"/>
    <w:rsid w:val="002357BC"/>
    <w:rsid w:val="00237BD6"/>
    <w:rsid w:val="002409CE"/>
    <w:rsid w:val="00243778"/>
    <w:rsid w:val="002447CA"/>
    <w:rsid w:val="00255CA5"/>
    <w:rsid w:val="00256BCF"/>
    <w:rsid w:val="00267608"/>
    <w:rsid w:val="002717A5"/>
    <w:rsid w:val="00271BD9"/>
    <w:rsid w:val="0027538D"/>
    <w:rsid w:val="00275F14"/>
    <w:rsid w:val="00276EE5"/>
    <w:rsid w:val="00277291"/>
    <w:rsid w:val="002819CB"/>
    <w:rsid w:val="002840E4"/>
    <w:rsid w:val="0028529D"/>
    <w:rsid w:val="00290D05"/>
    <w:rsid w:val="002A5980"/>
    <w:rsid w:val="002B27C8"/>
    <w:rsid w:val="002B4EDE"/>
    <w:rsid w:val="002C0586"/>
    <w:rsid w:val="002C361B"/>
    <w:rsid w:val="002D282D"/>
    <w:rsid w:val="002D449D"/>
    <w:rsid w:val="002D57DD"/>
    <w:rsid w:val="002D5E43"/>
    <w:rsid w:val="002D69C1"/>
    <w:rsid w:val="002E05B0"/>
    <w:rsid w:val="002F33C5"/>
    <w:rsid w:val="002F637E"/>
    <w:rsid w:val="002F7B8B"/>
    <w:rsid w:val="00304C35"/>
    <w:rsid w:val="00306220"/>
    <w:rsid w:val="00313FFC"/>
    <w:rsid w:val="00315865"/>
    <w:rsid w:val="00320D62"/>
    <w:rsid w:val="00323709"/>
    <w:rsid w:val="0033044A"/>
    <w:rsid w:val="0033611E"/>
    <w:rsid w:val="003379E8"/>
    <w:rsid w:val="00337A76"/>
    <w:rsid w:val="00343E8E"/>
    <w:rsid w:val="00345D34"/>
    <w:rsid w:val="003469CF"/>
    <w:rsid w:val="003507AB"/>
    <w:rsid w:val="00355579"/>
    <w:rsid w:val="00357C8F"/>
    <w:rsid w:val="0036243E"/>
    <w:rsid w:val="003662B4"/>
    <w:rsid w:val="003701BE"/>
    <w:rsid w:val="00376276"/>
    <w:rsid w:val="00382CD6"/>
    <w:rsid w:val="00384060"/>
    <w:rsid w:val="003852ED"/>
    <w:rsid w:val="0039150F"/>
    <w:rsid w:val="0039267C"/>
    <w:rsid w:val="0039384B"/>
    <w:rsid w:val="00393AB2"/>
    <w:rsid w:val="00393B08"/>
    <w:rsid w:val="0039610D"/>
    <w:rsid w:val="003A506F"/>
    <w:rsid w:val="003B4E8B"/>
    <w:rsid w:val="003B5957"/>
    <w:rsid w:val="003B6065"/>
    <w:rsid w:val="003B7404"/>
    <w:rsid w:val="003B776C"/>
    <w:rsid w:val="003C19D5"/>
    <w:rsid w:val="003C44F5"/>
    <w:rsid w:val="003C7A42"/>
    <w:rsid w:val="003C7E7A"/>
    <w:rsid w:val="003D44FA"/>
    <w:rsid w:val="003E26AA"/>
    <w:rsid w:val="003E7CB8"/>
    <w:rsid w:val="003F10BA"/>
    <w:rsid w:val="003F73C2"/>
    <w:rsid w:val="003F7F3D"/>
    <w:rsid w:val="004009EF"/>
    <w:rsid w:val="00401141"/>
    <w:rsid w:val="00401275"/>
    <w:rsid w:val="0041166B"/>
    <w:rsid w:val="00411B0C"/>
    <w:rsid w:val="00412309"/>
    <w:rsid w:val="00413306"/>
    <w:rsid w:val="00415A69"/>
    <w:rsid w:val="00433B1E"/>
    <w:rsid w:val="004403C5"/>
    <w:rsid w:val="004461CE"/>
    <w:rsid w:val="00450656"/>
    <w:rsid w:val="00452D8F"/>
    <w:rsid w:val="0045457D"/>
    <w:rsid w:val="00456246"/>
    <w:rsid w:val="00460EF4"/>
    <w:rsid w:val="00463D5B"/>
    <w:rsid w:val="0046645B"/>
    <w:rsid w:val="0046715D"/>
    <w:rsid w:val="00474AAF"/>
    <w:rsid w:val="00477E06"/>
    <w:rsid w:val="00482A3E"/>
    <w:rsid w:val="00482B63"/>
    <w:rsid w:val="004845B7"/>
    <w:rsid w:val="00490269"/>
    <w:rsid w:val="004904A3"/>
    <w:rsid w:val="004906E0"/>
    <w:rsid w:val="00493C5F"/>
    <w:rsid w:val="004A1DE6"/>
    <w:rsid w:val="004A792A"/>
    <w:rsid w:val="004B2C76"/>
    <w:rsid w:val="004B6056"/>
    <w:rsid w:val="004C188E"/>
    <w:rsid w:val="004C2680"/>
    <w:rsid w:val="004D2CE2"/>
    <w:rsid w:val="004D351A"/>
    <w:rsid w:val="004E1547"/>
    <w:rsid w:val="004E2915"/>
    <w:rsid w:val="004F0E88"/>
    <w:rsid w:val="005002A3"/>
    <w:rsid w:val="00500DDF"/>
    <w:rsid w:val="005069CA"/>
    <w:rsid w:val="0051210B"/>
    <w:rsid w:val="0051636F"/>
    <w:rsid w:val="00521878"/>
    <w:rsid w:val="005257D1"/>
    <w:rsid w:val="00527B70"/>
    <w:rsid w:val="00537FB6"/>
    <w:rsid w:val="00541FFD"/>
    <w:rsid w:val="00546D96"/>
    <w:rsid w:val="0055097F"/>
    <w:rsid w:val="005565AB"/>
    <w:rsid w:val="0056015F"/>
    <w:rsid w:val="00566339"/>
    <w:rsid w:val="00566E73"/>
    <w:rsid w:val="00572DBB"/>
    <w:rsid w:val="005749A6"/>
    <w:rsid w:val="00576C36"/>
    <w:rsid w:val="00580EA5"/>
    <w:rsid w:val="005950A3"/>
    <w:rsid w:val="005A1D07"/>
    <w:rsid w:val="005B050D"/>
    <w:rsid w:val="005B0555"/>
    <w:rsid w:val="005C0191"/>
    <w:rsid w:val="005C1B1D"/>
    <w:rsid w:val="005C4AF2"/>
    <w:rsid w:val="005C4DE8"/>
    <w:rsid w:val="005C55FB"/>
    <w:rsid w:val="005D093A"/>
    <w:rsid w:val="005D6C2C"/>
    <w:rsid w:val="005E1696"/>
    <w:rsid w:val="005F5F74"/>
    <w:rsid w:val="00602A19"/>
    <w:rsid w:val="00603063"/>
    <w:rsid w:val="00604E80"/>
    <w:rsid w:val="006051E8"/>
    <w:rsid w:val="006074EF"/>
    <w:rsid w:val="006143C9"/>
    <w:rsid w:val="00622BE6"/>
    <w:rsid w:val="00624919"/>
    <w:rsid w:val="006306CC"/>
    <w:rsid w:val="00636D3F"/>
    <w:rsid w:val="006415DE"/>
    <w:rsid w:val="0064383F"/>
    <w:rsid w:val="00644F25"/>
    <w:rsid w:val="006515CC"/>
    <w:rsid w:val="006639C7"/>
    <w:rsid w:val="0067261A"/>
    <w:rsid w:val="00687191"/>
    <w:rsid w:val="006A04A6"/>
    <w:rsid w:val="006A1856"/>
    <w:rsid w:val="006A7791"/>
    <w:rsid w:val="006B5640"/>
    <w:rsid w:val="006B718F"/>
    <w:rsid w:val="006B76BC"/>
    <w:rsid w:val="006C694B"/>
    <w:rsid w:val="006E0E46"/>
    <w:rsid w:val="006E5747"/>
    <w:rsid w:val="006E5F41"/>
    <w:rsid w:val="006F26B2"/>
    <w:rsid w:val="0070249F"/>
    <w:rsid w:val="00706AD8"/>
    <w:rsid w:val="00706F32"/>
    <w:rsid w:val="00714A21"/>
    <w:rsid w:val="0072077A"/>
    <w:rsid w:val="007266E5"/>
    <w:rsid w:val="00730715"/>
    <w:rsid w:val="00730F54"/>
    <w:rsid w:val="0073267B"/>
    <w:rsid w:val="00733F60"/>
    <w:rsid w:val="0074555F"/>
    <w:rsid w:val="007474F7"/>
    <w:rsid w:val="007551C6"/>
    <w:rsid w:val="00761F07"/>
    <w:rsid w:val="00765E34"/>
    <w:rsid w:val="007724C5"/>
    <w:rsid w:val="0077286F"/>
    <w:rsid w:val="00776937"/>
    <w:rsid w:val="007776F1"/>
    <w:rsid w:val="007849AB"/>
    <w:rsid w:val="007854D0"/>
    <w:rsid w:val="007869F9"/>
    <w:rsid w:val="0079101D"/>
    <w:rsid w:val="0079371D"/>
    <w:rsid w:val="0079445B"/>
    <w:rsid w:val="007973CB"/>
    <w:rsid w:val="007A1D93"/>
    <w:rsid w:val="007A3459"/>
    <w:rsid w:val="007A6F05"/>
    <w:rsid w:val="007E0E7F"/>
    <w:rsid w:val="007E13B8"/>
    <w:rsid w:val="007E169B"/>
    <w:rsid w:val="007F04D8"/>
    <w:rsid w:val="007F271B"/>
    <w:rsid w:val="007F381F"/>
    <w:rsid w:val="00806A2A"/>
    <w:rsid w:val="00812C9E"/>
    <w:rsid w:val="00813012"/>
    <w:rsid w:val="00813E0A"/>
    <w:rsid w:val="00815EF9"/>
    <w:rsid w:val="0081615D"/>
    <w:rsid w:val="00821A09"/>
    <w:rsid w:val="00823F15"/>
    <w:rsid w:val="00826427"/>
    <w:rsid w:val="0083280F"/>
    <w:rsid w:val="00847572"/>
    <w:rsid w:val="00853B4B"/>
    <w:rsid w:val="00855DF4"/>
    <w:rsid w:val="00863274"/>
    <w:rsid w:val="00864DA4"/>
    <w:rsid w:val="0087007E"/>
    <w:rsid w:val="00871863"/>
    <w:rsid w:val="00871EE1"/>
    <w:rsid w:val="008836C0"/>
    <w:rsid w:val="00883B22"/>
    <w:rsid w:val="00887DCD"/>
    <w:rsid w:val="00890AEA"/>
    <w:rsid w:val="00893353"/>
    <w:rsid w:val="008966C7"/>
    <w:rsid w:val="008968F0"/>
    <w:rsid w:val="00896A9D"/>
    <w:rsid w:val="008A32CD"/>
    <w:rsid w:val="008B4A8A"/>
    <w:rsid w:val="008C0865"/>
    <w:rsid w:val="008C27C5"/>
    <w:rsid w:val="008D2A63"/>
    <w:rsid w:val="008E06E2"/>
    <w:rsid w:val="008E470B"/>
    <w:rsid w:val="008E4834"/>
    <w:rsid w:val="008E52DA"/>
    <w:rsid w:val="008E62E2"/>
    <w:rsid w:val="008F0292"/>
    <w:rsid w:val="008F20B9"/>
    <w:rsid w:val="008F7073"/>
    <w:rsid w:val="009016B7"/>
    <w:rsid w:val="0090658E"/>
    <w:rsid w:val="00911163"/>
    <w:rsid w:val="00917C6F"/>
    <w:rsid w:val="00922FEC"/>
    <w:rsid w:val="009237BD"/>
    <w:rsid w:val="00925CEC"/>
    <w:rsid w:val="00932EB4"/>
    <w:rsid w:val="00933E86"/>
    <w:rsid w:val="00937794"/>
    <w:rsid w:val="00942B68"/>
    <w:rsid w:val="00943AF2"/>
    <w:rsid w:val="009470BF"/>
    <w:rsid w:val="00947816"/>
    <w:rsid w:val="00951304"/>
    <w:rsid w:val="009531FF"/>
    <w:rsid w:val="009668DF"/>
    <w:rsid w:val="00974165"/>
    <w:rsid w:val="0098517A"/>
    <w:rsid w:val="0099343D"/>
    <w:rsid w:val="00994C35"/>
    <w:rsid w:val="00997254"/>
    <w:rsid w:val="009A7338"/>
    <w:rsid w:val="009B2555"/>
    <w:rsid w:val="009B31FC"/>
    <w:rsid w:val="009B537E"/>
    <w:rsid w:val="009C1B52"/>
    <w:rsid w:val="009C2B19"/>
    <w:rsid w:val="009C5B69"/>
    <w:rsid w:val="009C775C"/>
    <w:rsid w:val="009D2F21"/>
    <w:rsid w:val="009E117C"/>
    <w:rsid w:val="009E3D5F"/>
    <w:rsid w:val="009E41EE"/>
    <w:rsid w:val="009F3533"/>
    <w:rsid w:val="009F6D17"/>
    <w:rsid w:val="00A063AB"/>
    <w:rsid w:val="00A07921"/>
    <w:rsid w:val="00A1610D"/>
    <w:rsid w:val="00A215DD"/>
    <w:rsid w:val="00A230B6"/>
    <w:rsid w:val="00A231D6"/>
    <w:rsid w:val="00A25B7A"/>
    <w:rsid w:val="00A32099"/>
    <w:rsid w:val="00A32277"/>
    <w:rsid w:val="00A32673"/>
    <w:rsid w:val="00A34012"/>
    <w:rsid w:val="00A43F00"/>
    <w:rsid w:val="00A448CA"/>
    <w:rsid w:val="00A45292"/>
    <w:rsid w:val="00A502F6"/>
    <w:rsid w:val="00A50B76"/>
    <w:rsid w:val="00A56120"/>
    <w:rsid w:val="00A70AB3"/>
    <w:rsid w:val="00A7700A"/>
    <w:rsid w:val="00A802E4"/>
    <w:rsid w:val="00A87799"/>
    <w:rsid w:val="00A910D1"/>
    <w:rsid w:val="00A932F1"/>
    <w:rsid w:val="00A93D0D"/>
    <w:rsid w:val="00A97C40"/>
    <w:rsid w:val="00A97F47"/>
    <w:rsid w:val="00AB49FB"/>
    <w:rsid w:val="00AC0FCF"/>
    <w:rsid w:val="00AC2E41"/>
    <w:rsid w:val="00AC60F5"/>
    <w:rsid w:val="00AD59AF"/>
    <w:rsid w:val="00AE238E"/>
    <w:rsid w:val="00AE51AB"/>
    <w:rsid w:val="00AE5425"/>
    <w:rsid w:val="00AE61C6"/>
    <w:rsid w:val="00AE79A8"/>
    <w:rsid w:val="00AF1237"/>
    <w:rsid w:val="00AF707A"/>
    <w:rsid w:val="00B0789C"/>
    <w:rsid w:val="00B10525"/>
    <w:rsid w:val="00B14E41"/>
    <w:rsid w:val="00B20032"/>
    <w:rsid w:val="00B20930"/>
    <w:rsid w:val="00B20969"/>
    <w:rsid w:val="00B2120D"/>
    <w:rsid w:val="00B265AA"/>
    <w:rsid w:val="00B32CAB"/>
    <w:rsid w:val="00B32F95"/>
    <w:rsid w:val="00B330EF"/>
    <w:rsid w:val="00B35FF4"/>
    <w:rsid w:val="00B37213"/>
    <w:rsid w:val="00B4282C"/>
    <w:rsid w:val="00B54631"/>
    <w:rsid w:val="00B601EB"/>
    <w:rsid w:val="00B61E9A"/>
    <w:rsid w:val="00B65E1E"/>
    <w:rsid w:val="00B8053D"/>
    <w:rsid w:val="00B83CDF"/>
    <w:rsid w:val="00B86264"/>
    <w:rsid w:val="00B875E4"/>
    <w:rsid w:val="00B91CC4"/>
    <w:rsid w:val="00B93CCC"/>
    <w:rsid w:val="00B96911"/>
    <w:rsid w:val="00B96D5F"/>
    <w:rsid w:val="00BA0239"/>
    <w:rsid w:val="00BA2873"/>
    <w:rsid w:val="00BA679F"/>
    <w:rsid w:val="00BB1F28"/>
    <w:rsid w:val="00BB4B12"/>
    <w:rsid w:val="00BC0D08"/>
    <w:rsid w:val="00BC24BC"/>
    <w:rsid w:val="00BC6D8B"/>
    <w:rsid w:val="00BC743B"/>
    <w:rsid w:val="00BD283B"/>
    <w:rsid w:val="00BD3FE5"/>
    <w:rsid w:val="00BD4130"/>
    <w:rsid w:val="00BD7E74"/>
    <w:rsid w:val="00BE1EFA"/>
    <w:rsid w:val="00BF2CCD"/>
    <w:rsid w:val="00BF37DA"/>
    <w:rsid w:val="00BF4CE8"/>
    <w:rsid w:val="00BF4FC1"/>
    <w:rsid w:val="00C07B65"/>
    <w:rsid w:val="00C1375B"/>
    <w:rsid w:val="00C2039F"/>
    <w:rsid w:val="00C211BA"/>
    <w:rsid w:val="00C24393"/>
    <w:rsid w:val="00C26328"/>
    <w:rsid w:val="00C3108D"/>
    <w:rsid w:val="00C31363"/>
    <w:rsid w:val="00C318FB"/>
    <w:rsid w:val="00C576A8"/>
    <w:rsid w:val="00C61F74"/>
    <w:rsid w:val="00C62279"/>
    <w:rsid w:val="00C71621"/>
    <w:rsid w:val="00C71E22"/>
    <w:rsid w:val="00C77576"/>
    <w:rsid w:val="00C80D72"/>
    <w:rsid w:val="00C8401A"/>
    <w:rsid w:val="00C878A8"/>
    <w:rsid w:val="00C87C9E"/>
    <w:rsid w:val="00C911FF"/>
    <w:rsid w:val="00C91BDD"/>
    <w:rsid w:val="00C93396"/>
    <w:rsid w:val="00C934F2"/>
    <w:rsid w:val="00C954FE"/>
    <w:rsid w:val="00CA1ABB"/>
    <w:rsid w:val="00CA1DE9"/>
    <w:rsid w:val="00CA46DE"/>
    <w:rsid w:val="00CB3FDE"/>
    <w:rsid w:val="00CB656F"/>
    <w:rsid w:val="00CC0CB3"/>
    <w:rsid w:val="00CC265F"/>
    <w:rsid w:val="00CC4D14"/>
    <w:rsid w:val="00CC5276"/>
    <w:rsid w:val="00CC6069"/>
    <w:rsid w:val="00CC62E0"/>
    <w:rsid w:val="00CF46A4"/>
    <w:rsid w:val="00D02017"/>
    <w:rsid w:val="00D07264"/>
    <w:rsid w:val="00D10C95"/>
    <w:rsid w:val="00D12AEA"/>
    <w:rsid w:val="00D13158"/>
    <w:rsid w:val="00D141D3"/>
    <w:rsid w:val="00D2015C"/>
    <w:rsid w:val="00D20781"/>
    <w:rsid w:val="00D2140C"/>
    <w:rsid w:val="00D21512"/>
    <w:rsid w:val="00D219B3"/>
    <w:rsid w:val="00D301AC"/>
    <w:rsid w:val="00D302B9"/>
    <w:rsid w:val="00D42760"/>
    <w:rsid w:val="00D43E95"/>
    <w:rsid w:val="00D46340"/>
    <w:rsid w:val="00D503FA"/>
    <w:rsid w:val="00D516D4"/>
    <w:rsid w:val="00D602E3"/>
    <w:rsid w:val="00D65E89"/>
    <w:rsid w:val="00D74F6A"/>
    <w:rsid w:val="00D80A2A"/>
    <w:rsid w:val="00D84442"/>
    <w:rsid w:val="00D8507E"/>
    <w:rsid w:val="00D85A6A"/>
    <w:rsid w:val="00D85EA6"/>
    <w:rsid w:val="00D87A39"/>
    <w:rsid w:val="00D9189A"/>
    <w:rsid w:val="00D92B3D"/>
    <w:rsid w:val="00D94AF0"/>
    <w:rsid w:val="00D972F6"/>
    <w:rsid w:val="00DA038C"/>
    <w:rsid w:val="00DB3996"/>
    <w:rsid w:val="00DB75C1"/>
    <w:rsid w:val="00DD04F0"/>
    <w:rsid w:val="00DE0A74"/>
    <w:rsid w:val="00DE44D2"/>
    <w:rsid w:val="00DE6999"/>
    <w:rsid w:val="00DE707C"/>
    <w:rsid w:val="00E113AA"/>
    <w:rsid w:val="00E11A0D"/>
    <w:rsid w:val="00E139F9"/>
    <w:rsid w:val="00E149AB"/>
    <w:rsid w:val="00E25460"/>
    <w:rsid w:val="00E26B62"/>
    <w:rsid w:val="00E3076A"/>
    <w:rsid w:val="00E30E97"/>
    <w:rsid w:val="00E33115"/>
    <w:rsid w:val="00E33F35"/>
    <w:rsid w:val="00E3635A"/>
    <w:rsid w:val="00E36F14"/>
    <w:rsid w:val="00E37C98"/>
    <w:rsid w:val="00E4636B"/>
    <w:rsid w:val="00E466AF"/>
    <w:rsid w:val="00E4737B"/>
    <w:rsid w:val="00E54513"/>
    <w:rsid w:val="00E614E8"/>
    <w:rsid w:val="00E62405"/>
    <w:rsid w:val="00E675AB"/>
    <w:rsid w:val="00E72E03"/>
    <w:rsid w:val="00E8673D"/>
    <w:rsid w:val="00E86ACC"/>
    <w:rsid w:val="00E91805"/>
    <w:rsid w:val="00E91909"/>
    <w:rsid w:val="00E93A8C"/>
    <w:rsid w:val="00E9495E"/>
    <w:rsid w:val="00E978F8"/>
    <w:rsid w:val="00EA481E"/>
    <w:rsid w:val="00EB59E2"/>
    <w:rsid w:val="00EC2BD2"/>
    <w:rsid w:val="00ED550F"/>
    <w:rsid w:val="00EE09BF"/>
    <w:rsid w:val="00EE0C79"/>
    <w:rsid w:val="00EF28C6"/>
    <w:rsid w:val="00EF2BD2"/>
    <w:rsid w:val="00EF3161"/>
    <w:rsid w:val="00EF410F"/>
    <w:rsid w:val="00EF5BB0"/>
    <w:rsid w:val="00F0033B"/>
    <w:rsid w:val="00F021EA"/>
    <w:rsid w:val="00F03D8E"/>
    <w:rsid w:val="00F1124B"/>
    <w:rsid w:val="00F122C5"/>
    <w:rsid w:val="00F13540"/>
    <w:rsid w:val="00F13D15"/>
    <w:rsid w:val="00F14E39"/>
    <w:rsid w:val="00F16A5F"/>
    <w:rsid w:val="00F305A5"/>
    <w:rsid w:val="00F432D1"/>
    <w:rsid w:val="00F451B1"/>
    <w:rsid w:val="00F4571C"/>
    <w:rsid w:val="00F45CDD"/>
    <w:rsid w:val="00F4637D"/>
    <w:rsid w:val="00F46559"/>
    <w:rsid w:val="00F517DB"/>
    <w:rsid w:val="00F539E8"/>
    <w:rsid w:val="00F6125C"/>
    <w:rsid w:val="00F6319A"/>
    <w:rsid w:val="00F656A4"/>
    <w:rsid w:val="00F660D1"/>
    <w:rsid w:val="00F71784"/>
    <w:rsid w:val="00F73DFC"/>
    <w:rsid w:val="00F76164"/>
    <w:rsid w:val="00F76EA6"/>
    <w:rsid w:val="00F77F0A"/>
    <w:rsid w:val="00F84F2D"/>
    <w:rsid w:val="00F87554"/>
    <w:rsid w:val="00F875BF"/>
    <w:rsid w:val="00F8790B"/>
    <w:rsid w:val="00F92066"/>
    <w:rsid w:val="00F92D80"/>
    <w:rsid w:val="00FA6BE6"/>
    <w:rsid w:val="00FB1570"/>
    <w:rsid w:val="00FC0DE1"/>
    <w:rsid w:val="00FC19AA"/>
    <w:rsid w:val="00FC3D88"/>
    <w:rsid w:val="00FC666C"/>
    <w:rsid w:val="00FD0ABD"/>
    <w:rsid w:val="00FD0D39"/>
    <w:rsid w:val="00FD5A90"/>
    <w:rsid w:val="00FE21E3"/>
    <w:rsid w:val="00FE655F"/>
    <w:rsid w:val="00FF14A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2E7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D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E44D2"/>
    <w:pPr>
      <w:jc w:val="right"/>
    </w:pPr>
    <w:rPr>
      <w:rFonts w:ascii="Garamond" w:hAnsi="Garamond"/>
      <w:sz w:val="28"/>
      <w:szCs w:val="28"/>
    </w:rPr>
  </w:style>
  <w:style w:type="character" w:customStyle="1" w:styleId="BodyText2Char">
    <w:name w:val="Body Text 2 Char"/>
    <w:basedOn w:val="DefaultParagraphFont"/>
    <w:link w:val="BodyText2"/>
    <w:rsid w:val="00DE44D2"/>
    <w:rPr>
      <w:rFonts w:ascii="Garamond" w:eastAsia="Times New Roman" w:hAnsi="Garamond" w:cs="Times New Roman"/>
      <w:sz w:val="28"/>
      <w:szCs w:val="28"/>
    </w:rPr>
  </w:style>
  <w:style w:type="paragraph" w:styleId="Header">
    <w:name w:val="header"/>
    <w:basedOn w:val="Normal"/>
    <w:link w:val="HeaderChar"/>
    <w:uiPriority w:val="99"/>
    <w:unhideWhenUsed/>
    <w:rsid w:val="002C361B"/>
    <w:pPr>
      <w:tabs>
        <w:tab w:val="center" w:pos="4153"/>
        <w:tab w:val="right" w:pos="8306"/>
      </w:tabs>
    </w:pPr>
  </w:style>
  <w:style w:type="character" w:customStyle="1" w:styleId="HeaderChar">
    <w:name w:val="Header Char"/>
    <w:basedOn w:val="DefaultParagraphFont"/>
    <w:link w:val="Header"/>
    <w:uiPriority w:val="99"/>
    <w:rsid w:val="002C361B"/>
    <w:rPr>
      <w:rFonts w:eastAsia="Times New Roman" w:cs="Times New Roman"/>
      <w:szCs w:val="24"/>
    </w:rPr>
  </w:style>
  <w:style w:type="paragraph" w:styleId="Footer">
    <w:name w:val="footer"/>
    <w:basedOn w:val="Normal"/>
    <w:link w:val="FooterChar"/>
    <w:uiPriority w:val="99"/>
    <w:unhideWhenUsed/>
    <w:rsid w:val="002C361B"/>
    <w:pPr>
      <w:tabs>
        <w:tab w:val="center" w:pos="4153"/>
        <w:tab w:val="right" w:pos="8306"/>
      </w:tabs>
    </w:pPr>
  </w:style>
  <w:style w:type="character" w:customStyle="1" w:styleId="FooterChar">
    <w:name w:val="Footer Char"/>
    <w:basedOn w:val="DefaultParagraphFont"/>
    <w:link w:val="Footer"/>
    <w:uiPriority w:val="99"/>
    <w:rsid w:val="002C361B"/>
    <w:rPr>
      <w:rFonts w:eastAsia="Times New Roman" w:cs="Times New Roman"/>
      <w:szCs w:val="24"/>
    </w:rPr>
  </w:style>
  <w:style w:type="table" w:styleId="TableGrid">
    <w:name w:val="Table Grid"/>
    <w:basedOn w:val="TableNormal"/>
    <w:uiPriority w:val="39"/>
    <w:rsid w:val="00C576A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A8779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32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277"/>
    <w:rPr>
      <w:rFonts w:ascii="Segoe UI" w:eastAsia="Times New Roman" w:hAnsi="Segoe UI" w:cs="Segoe UI"/>
      <w:sz w:val="18"/>
      <w:szCs w:val="18"/>
    </w:rPr>
  </w:style>
  <w:style w:type="character" w:styleId="Hyperlink">
    <w:name w:val="Hyperlink"/>
    <w:basedOn w:val="DefaultParagraphFont"/>
    <w:uiPriority w:val="99"/>
    <w:unhideWhenUsed/>
    <w:rsid w:val="00714A21"/>
    <w:rPr>
      <w:color w:val="0000FF"/>
      <w:u w:val="single"/>
    </w:rPr>
  </w:style>
  <w:style w:type="paragraph" w:styleId="FootnoteText">
    <w:name w:val="footnote text"/>
    <w:basedOn w:val="Normal"/>
    <w:link w:val="FootnoteTextChar"/>
    <w:uiPriority w:val="99"/>
    <w:semiHidden/>
    <w:unhideWhenUsed/>
    <w:rsid w:val="00B0789C"/>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0789C"/>
    <w:rPr>
      <w:sz w:val="20"/>
      <w:szCs w:val="20"/>
    </w:rPr>
  </w:style>
  <w:style w:type="character" w:styleId="FootnoteReference">
    <w:name w:val="footnote reference"/>
    <w:basedOn w:val="DefaultParagraphFont"/>
    <w:uiPriority w:val="99"/>
    <w:semiHidden/>
    <w:unhideWhenUsed/>
    <w:rsid w:val="00B0789C"/>
    <w:rPr>
      <w:vertAlign w:val="superscript"/>
    </w:rPr>
  </w:style>
  <w:style w:type="paragraph" w:styleId="ListParagraph">
    <w:name w:val="List Paragraph"/>
    <w:basedOn w:val="Normal"/>
    <w:uiPriority w:val="34"/>
    <w:qFormat/>
    <w:rsid w:val="00B0789C"/>
    <w:pPr>
      <w:spacing w:after="160" w:line="259" w:lineRule="auto"/>
      <w:ind w:left="720"/>
      <w:contextualSpacing/>
    </w:pPr>
    <w:rPr>
      <w:rFonts w:eastAsiaTheme="minorHAnsi" w:cstheme="minorBidi"/>
      <w:szCs w:val="22"/>
    </w:rPr>
  </w:style>
  <w:style w:type="character" w:styleId="CommentReference">
    <w:name w:val="annotation reference"/>
    <w:basedOn w:val="DefaultParagraphFont"/>
    <w:uiPriority w:val="99"/>
    <w:semiHidden/>
    <w:unhideWhenUsed/>
    <w:rsid w:val="006A1856"/>
    <w:rPr>
      <w:sz w:val="16"/>
      <w:szCs w:val="16"/>
    </w:rPr>
  </w:style>
  <w:style w:type="paragraph" w:styleId="CommentText">
    <w:name w:val="annotation text"/>
    <w:basedOn w:val="Normal"/>
    <w:link w:val="CommentTextChar"/>
    <w:uiPriority w:val="99"/>
    <w:semiHidden/>
    <w:unhideWhenUsed/>
    <w:rsid w:val="006A1856"/>
    <w:rPr>
      <w:sz w:val="20"/>
      <w:szCs w:val="20"/>
    </w:rPr>
  </w:style>
  <w:style w:type="character" w:customStyle="1" w:styleId="CommentTextChar">
    <w:name w:val="Comment Text Char"/>
    <w:basedOn w:val="DefaultParagraphFont"/>
    <w:link w:val="CommentText"/>
    <w:uiPriority w:val="99"/>
    <w:semiHidden/>
    <w:rsid w:val="006A185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1856"/>
    <w:rPr>
      <w:b/>
      <w:bCs/>
    </w:rPr>
  </w:style>
  <w:style w:type="character" w:customStyle="1" w:styleId="CommentSubjectChar">
    <w:name w:val="Comment Subject Char"/>
    <w:basedOn w:val="CommentTextChar"/>
    <w:link w:val="CommentSubject"/>
    <w:uiPriority w:val="99"/>
    <w:semiHidden/>
    <w:rsid w:val="006A1856"/>
    <w:rPr>
      <w:rFonts w:eastAsia="Times New Roman" w:cs="Times New Roman"/>
      <w:b/>
      <w:bCs/>
      <w:sz w:val="20"/>
      <w:szCs w:val="20"/>
    </w:rPr>
  </w:style>
  <w:style w:type="character" w:styleId="UnresolvedMention">
    <w:name w:val="Unresolved Mention"/>
    <w:basedOn w:val="DefaultParagraphFont"/>
    <w:uiPriority w:val="99"/>
    <w:semiHidden/>
    <w:unhideWhenUsed/>
    <w:rsid w:val="003C44F5"/>
    <w:rPr>
      <w:color w:val="605E5C"/>
      <w:shd w:val="clear" w:color="auto" w:fill="E1DFDD"/>
    </w:rPr>
  </w:style>
  <w:style w:type="character" w:styleId="FollowedHyperlink">
    <w:name w:val="FollowedHyperlink"/>
    <w:basedOn w:val="DefaultParagraphFont"/>
    <w:uiPriority w:val="99"/>
    <w:semiHidden/>
    <w:unhideWhenUsed/>
    <w:rsid w:val="00870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10484">
      <w:bodyDiv w:val="1"/>
      <w:marLeft w:val="0"/>
      <w:marRight w:val="0"/>
      <w:marTop w:val="0"/>
      <w:marBottom w:val="0"/>
      <w:divBdr>
        <w:top w:val="none" w:sz="0" w:space="0" w:color="auto"/>
        <w:left w:val="none" w:sz="0" w:space="0" w:color="auto"/>
        <w:bottom w:val="none" w:sz="0" w:space="0" w:color="auto"/>
        <w:right w:val="none" w:sz="0" w:space="0" w:color="auto"/>
      </w:divBdr>
    </w:div>
    <w:div w:id="631013234">
      <w:bodyDiv w:val="1"/>
      <w:marLeft w:val="0"/>
      <w:marRight w:val="0"/>
      <w:marTop w:val="0"/>
      <w:marBottom w:val="0"/>
      <w:divBdr>
        <w:top w:val="none" w:sz="0" w:space="0" w:color="auto"/>
        <w:left w:val="none" w:sz="0" w:space="0" w:color="auto"/>
        <w:bottom w:val="none" w:sz="0" w:space="0" w:color="auto"/>
        <w:right w:val="none" w:sz="0" w:space="0" w:color="auto"/>
      </w:divBdr>
    </w:div>
    <w:div w:id="1042631419">
      <w:bodyDiv w:val="1"/>
      <w:marLeft w:val="0"/>
      <w:marRight w:val="0"/>
      <w:marTop w:val="0"/>
      <w:marBottom w:val="0"/>
      <w:divBdr>
        <w:top w:val="none" w:sz="0" w:space="0" w:color="auto"/>
        <w:left w:val="none" w:sz="0" w:space="0" w:color="auto"/>
        <w:bottom w:val="none" w:sz="0" w:space="0" w:color="auto"/>
        <w:right w:val="none" w:sz="0" w:space="0" w:color="auto"/>
      </w:divBdr>
    </w:div>
    <w:div w:id="13681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6148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8779</Words>
  <Characters>5005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2021-12-03T09:16:00Z</dcterms:created>
  <dcterms:modified xsi:type="dcterms:W3CDTF">2021-12-03T09:16:00Z</dcterms:modified>
</cp:coreProperties>
</file>