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EE2B" w14:textId="5FB629CF" w:rsidR="00D40D88" w:rsidRDefault="00233D6C" w:rsidP="0020183C">
      <w:pPr>
        <w:spacing w:after="0" w:line="276" w:lineRule="auto"/>
        <w:jc w:val="both"/>
        <w:rPr>
          <w:rFonts w:cs="Times New Roman"/>
          <w:b/>
          <w:bCs/>
          <w:szCs w:val="24"/>
        </w:rPr>
      </w:pPr>
      <w:r w:rsidRPr="0060784A">
        <w:rPr>
          <w:rFonts w:cs="Times New Roman"/>
          <w:b/>
          <w:bCs/>
          <w:szCs w:val="24"/>
        </w:rPr>
        <w:t>Vajāšanas nolūka noskaidrošana</w:t>
      </w:r>
    </w:p>
    <w:p w14:paraId="6A6ECB3B" w14:textId="1738EB1D" w:rsidR="00233D6C" w:rsidRPr="004F59B4" w:rsidRDefault="00233D6C" w:rsidP="0020183C">
      <w:pPr>
        <w:spacing w:after="0" w:line="276" w:lineRule="auto"/>
        <w:jc w:val="both"/>
        <w:rPr>
          <w:rFonts w:eastAsia="Times New Roman" w:cs="Times New Roman"/>
          <w:color w:val="000000" w:themeColor="text1"/>
          <w:szCs w:val="24"/>
        </w:rPr>
      </w:pPr>
      <w:r w:rsidRPr="0060784A">
        <w:rPr>
          <w:rFonts w:cs="Times New Roman"/>
          <w:szCs w:val="24"/>
        </w:rPr>
        <w:t>Krimināllikuma 132.</w:t>
      </w:r>
      <w:proofErr w:type="gramStart"/>
      <w:r w:rsidRPr="0060784A">
        <w:rPr>
          <w:rFonts w:cs="Times New Roman"/>
          <w:szCs w:val="24"/>
          <w:vertAlign w:val="superscript"/>
        </w:rPr>
        <w:t>1</w:t>
      </w:r>
      <w:r w:rsidRPr="0060784A">
        <w:rPr>
          <w:rFonts w:cs="Times New Roman"/>
          <w:szCs w:val="24"/>
        </w:rPr>
        <w:t>pantā</w:t>
      </w:r>
      <w:proofErr w:type="gramEnd"/>
      <w:r w:rsidRPr="0060784A">
        <w:rPr>
          <w:rFonts w:cs="Times New Roman"/>
          <w:szCs w:val="24"/>
        </w:rPr>
        <w:t xml:space="preserve"> paredzētā noziedzīgā nodarījuma subjektīvo pusi raksturo speciāls nolūks – iedvest bailes upurim. Noskaidrojot, vai apsūdzētajam bija nolūks likt cietušajam baidīties par savu vai tuvinieku drošību, ir vērtējams, kādu apzinātu uzvedības veidu persona ievēroja kopumā, lai nopietni satrauktu citu personu, darbību ilgums, intensitāte un sistemātiskums. Turklāt ļaunprātīgām darbībām nav jābūt vienveidīgām.</w:t>
      </w:r>
    </w:p>
    <w:p w14:paraId="0DCC6046" w14:textId="04C1E75C" w:rsidR="00D40D88" w:rsidRPr="004F59B4" w:rsidRDefault="00D40D88" w:rsidP="0020183C">
      <w:pPr>
        <w:spacing w:after="0" w:line="276" w:lineRule="auto"/>
        <w:rPr>
          <w:rFonts w:eastAsia="Times New Roman" w:cs="Times New Roman"/>
          <w:color w:val="000000" w:themeColor="text1"/>
          <w:szCs w:val="24"/>
        </w:rPr>
      </w:pPr>
    </w:p>
    <w:p w14:paraId="407C1BE5" w14:textId="77777777" w:rsidR="00233D6C" w:rsidRPr="00233D6C" w:rsidRDefault="00D40D88" w:rsidP="004B5341">
      <w:pPr>
        <w:spacing w:after="0" w:line="276" w:lineRule="auto"/>
        <w:jc w:val="center"/>
        <w:rPr>
          <w:rFonts w:eastAsia="Times New Roman" w:cs="Times New Roman"/>
          <w:b/>
          <w:color w:val="000000" w:themeColor="text1"/>
          <w:szCs w:val="24"/>
        </w:rPr>
      </w:pPr>
      <w:r w:rsidRPr="00233D6C">
        <w:rPr>
          <w:rFonts w:cs="Times New Roman"/>
          <w:b/>
          <w:color w:val="000000" w:themeColor="text1"/>
          <w:szCs w:val="24"/>
        </w:rPr>
        <w:t>Latvijas Republikas Senāt</w:t>
      </w:r>
      <w:r w:rsidR="00233D6C" w:rsidRPr="00233D6C">
        <w:rPr>
          <w:rFonts w:cs="Times New Roman"/>
          <w:b/>
          <w:color w:val="000000" w:themeColor="text1"/>
          <w:szCs w:val="24"/>
        </w:rPr>
        <w:t>a</w:t>
      </w:r>
      <w:r w:rsidR="00233D6C" w:rsidRPr="00233D6C">
        <w:rPr>
          <w:rFonts w:eastAsia="Times New Roman" w:cs="Times New Roman"/>
          <w:b/>
          <w:color w:val="000000" w:themeColor="text1"/>
          <w:szCs w:val="24"/>
        </w:rPr>
        <w:t xml:space="preserve"> </w:t>
      </w:r>
    </w:p>
    <w:p w14:paraId="38E8BD6E" w14:textId="77777777" w:rsidR="00233D6C" w:rsidRPr="00233D6C" w:rsidRDefault="00233D6C" w:rsidP="004B5341">
      <w:pPr>
        <w:spacing w:after="0" w:line="276" w:lineRule="auto"/>
        <w:jc w:val="center"/>
        <w:rPr>
          <w:rFonts w:eastAsia="Times New Roman" w:cs="Times New Roman"/>
          <w:b/>
          <w:color w:val="000000" w:themeColor="text1"/>
          <w:szCs w:val="24"/>
        </w:rPr>
      </w:pPr>
      <w:r w:rsidRPr="00233D6C">
        <w:rPr>
          <w:rFonts w:eastAsia="Times New Roman" w:cs="Times New Roman"/>
          <w:b/>
          <w:color w:val="000000" w:themeColor="text1"/>
          <w:szCs w:val="24"/>
        </w:rPr>
        <w:t>Krimināllietu departamenta</w:t>
      </w:r>
    </w:p>
    <w:p w14:paraId="749620F0" w14:textId="76A09139" w:rsidR="00D40D88" w:rsidRPr="00233D6C" w:rsidRDefault="00233D6C" w:rsidP="004B5341">
      <w:pPr>
        <w:spacing w:after="0" w:line="276" w:lineRule="auto"/>
        <w:jc w:val="center"/>
        <w:rPr>
          <w:rFonts w:cs="Times New Roman"/>
          <w:b/>
          <w:color w:val="000000" w:themeColor="text1"/>
          <w:szCs w:val="24"/>
        </w:rPr>
      </w:pPr>
      <w:r w:rsidRPr="00233D6C">
        <w:rPr>
          <w:rFonts w:eastAsia="Times New Roman" w:cs="Times New Roman"/>
          <w:b/>
          <w:color w:val="000000" w:themeColor="text1"/>
          <w:szCs w:val="24"/>
        </w:rPr>
        <w:t xml:space="preserve">2021.gada </w:t>
      </w:r>
      <w:r w:rsidR="000460BB">
        <w:rPr>
          <w:rFonts w:eastAsia="Times New Roman" w:cs="Times New Roman"/>
          <w:b/>
          <w:color w:val="000000" w:themeColor="text1"/>
          <w:szCs w:val="24"/>
        </w:rPr>
        <w:t>[..]</w:t>
      </w:r>
    </w:p>
    <w:p w14:paraId="3E7A8A47" w14:textId="7D03D197" w:rsidR="00D40D88" w:rsidRPr="00233D6C" w:rsidRDefault="00D40D88" w:rsidP="004B5341">
      <w:pPr>
        <w:spacing w:after="0" w:line="276" w:lineRule="auto"/>
        <w:jc w:val="center"/>
        <w:rPr>
          <w:rFonts w:cs="Times New Roman"/>
          <w:b/>
          <w:color w:val="000000" w:themeColor="text1"/>
          <w:szCs w:val="24"/>
        </w:rPr>
      </w:pPr>
      <w:r w:rsidRPr="00233D6C">
        <w:rPr>
          <w:rFonts w:cs="Times New Roman"/>
          <w:b/>
          <w:color w:val="000000" w:themeColor="text1"/>
          <w:szCs w:val="24"/>
        </w:rPr>
        <w:t>LĒMUMS</w:t>
      </w:r>
      <w:r w:rsidR="000460BB">
        <w:rPr>
          <w:rStyle w:val="FootnoteReference"/>
          <w:rFonts w:cs="Times New Roman"/>
          <w:b/>
          <w:color w:val="000000" w:themeColor="text1"/>
          <w:szCs w:val="24"/>
        </w:rPr>
        <w:footnoteReference w:id="1"/>
      </w:r>
    </w:p>
    <w:p w14:paraId="7E179FA1" w14:textId="10A614FD" w:rsidR="00D40D88" w:rsidRPr="00233D6C" w:rsidRDefault="00233D6C" w:rsidP="004B5341">
      <w:pPr>
        <w:spacing w:after="0" w:line="276" w:lineRule="auto"/>
        <w:jc w:val="center"/>
        <w:rPr>
          <w:rFonts w:eastAsia="Times New Roman" w:cs="Times New Roman"/>
          <w:b/>
          <w:color w:val="000000" w:themeColor="text1"/>
          <w:szCs w:val="24"/>
        </w:rPr>
      </w:pPr>
      <w:r w:rsidRPr="00233D6C">
        <w:rPr>
          <w:rFonts w:eastAsia="Times New Roman" w:cs="Times New Roman"/>
          <w:b/>
          <w:color w:val="000000" w:themeColor="text1"/>
          <w:szCs w:val="24"/>
        </w:rPr>
        <w:t>Lieta Nr. </w:t>
      </w:r>
      <w:r w:rsidR="000460BB">
        <w:rPr>
          <w:rFonts w:eastAsia="Times New Roman" w:cs="Times New Roman"/>
          <w:b/>
          <w:color w:val="000000" w:themeColor="text1"/>
          <w:szCs w:val="24"/>
        </w:rPr>
        <w:t>[..]</w:t>
      </w:r>
      <w:r w:rsidRPr="00233D6C">
        <w:rPr>
          <w:rFonts w:eastAsia="Times New Roman" w:cs="Times New Roman"/>
          <w:b/>
          <w:color w:val="000000" w:themeColor="text1"/>
          <w:szCs w:val="24"/>
        </w:rPr>
        <w:t>, SKK</w:t>
      </w:r>
      <w:r w:rsidRPr="00233D6C">
        <w:rPr>
          <w:rFonts w:eastAsia="Times New Roman" w:cs="Times New Roman"/>
          <w:b/>
          <w:color w:val="000000" w:themeColor="text1"/>
          <w:szCs w:val="24"/>
        </w:rPr>
        <w:noBreakHyphen/>
      </w:r>
      <w:r w:rsidR="000460BB">
        <w:rPr>
          <w:rFonts w:eastAsia="Times New Roman" w:cs="Times New Roman"/>
          <w:b/>
          <w:color w:val="000000" w:themeColor="text1"/>
          <w:szCs w:val="24"/>
        </w:rPr>
        <w:t>[P]</w:t>
      </w:r>
      <w:r w:rsidRPr="00233D6C">
        <w:rPr>
          <w:rFonts w:eastAsia="Times New Roman" w:cs="Times New Roman"/>
          <w:b/>
          <w:color w:val="000000" w:themeColor="text1"/>
          <w:szCs w:val="24"/>
        </w:rPr>
        <w:t>/2021</w:t>
      </w:r>
    </w:p>
    <w:p w14:paraId="4FACF19D" w14:textId="588A357A" w:rsidR="00233D6C" w:rsidRPr="00233D6C" w:rsidRDefault="00233D6C" w:rsidP="004B5341">
      <w:pPr>
        <w:spacing w:after="0" w:line="276" w:lineRule="auto"/>
        <w:jc w:val="center"/>
        <w:rPr>
          <w:rFonts w:eastAsia="Times New Roman" w:cs="Times New Roman"/>
          <w:bCs/>
          <w:color w:val="000000" w:themeColor="text1"/>
          <w:szCs w:val="24"/>
        </w:rPr>
      </w:pPr>
      <w:r w:rsidRPr="00233D6C">
        <w:rPr>
          <w:rFonts w:cs="Times New Roman"/>
          <w:bCs/>
          <w:color w:val="000000"/>
          <w:szCs w:val="24"/>
          <w:shd w:val="clear" w:color="auto" w:fill="FFFFFF"/>
        </w:rPr>
        <w:t>ECLI:LV:AT:2021:</w:t>
      </w:r>
      <w:r w:rsidR="000460BB">
        <w:rPr>
          <w:rFonts w:cs="Times New Roman"/>
          <w:bCs/>
          <w:color w:val="000000"/>
          <w:szCs w:val="24"/>
          <w:shd w:val="clear" w:color="auto" w:fill="FFFFFF"/>
        </w:rPr>
        <w:t>[..]</w:t>
      </w:r>
    </w:p>
    <w:p w14:paraId="6B53DB85" w14:textId="77777777" w:rsidR="00D40D88" w:rsidRPr="004F59B4" w:rsidRDefault="00D40D88" w:rsidP="004B5341">
      <w:pPr>
        <w:spacing w:after="0" w:line="276" w:lineRule="auto"/>
        <w:jc w:val="center"/>
        <w:rPr>
          <w:rFonts w:eastAsia="Times New Roman" w:cs="Times New Roman"/>
          <w:color w:val="000000" w:themeColor="text1"/>
          <w:szCs w:val="24"/>
        </w:rPr>
      </w:pPr>
    </w:p>
    <w:p w14:paraId="0B197D39" w14:textId="5F53988D" w:rsidR="00D40D88" w:rsidRPr="004F59B4" w:rsidRDefault="00D40D88" w:rsidP="004B5341">
      <w:pPr>
        <w:spacing w:line="276" w:lineRule="auto"/>
        <w:ind w:firstLine="709"/>
        <w:jc w:val="both"/>
        <w:rPr>
          <w:rFonts w:cs="Times New Roman"/>
          <w:color w:val="000000" w:themeColor="text1"/>
          <w:szCs w:val="24"/>
        </w:rPr>
      </w:pPr>
      <w:r w:rsidRPr="004F59B4">
        <w:rPr>
          <w:rFonts w:cs="Times New Roman"/>
          <w:color w:val="000000" w:themeColor="text1"/>
          <w:szCs w:val="24"/>
        </w:rPr>
        <w:t xml:space="preserve">Tiesa šādā sastāvā: senatori Aivars Uminskis, </w:t>
      </w:r>
      <w:r w:rsidR="0002162E" w:rsidRPr="004F59B4">
        <w:rPr>
          <w:rFonts w:cs="Times New Roman"/>
          <w:color w:val="000000" w:themeColor="text1"/>
          <w:szCs w:val="24"/>
        </w:rPr>
        <w:t xml:space="preserve">Sandra Kaija, Inese Laura Zemīte </w:t>
      </w:r>
    </w:p>
    <w:p w14:paraId="6BE5A994" w14:textId="1D820D38" w:rsidR="00D40D88" w:rsidRPr="004F59B4" w:rsidRDefault="00D40D88"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izskatīja rakstveida procesā krimināllietu sakarā ar cietuš</w:t>
      </w:r>
      <w:r w:rsidR="0002162E" w:rsidRPr="004F59B4">
        <w:rPr>
          <w:rFonts w:eastAsia="Times New Roman" w:cs="Times New Roman"/>
          <w:color w:val="000000" w:themeColor="text1"/>
          <w:szCs w:val="24"/>
        </w:rPr>
        <w:t xml:space="preserve">o </w:t>
      </w:r>
      <w:r w:rsidR="000460BB">
        <w:rPr>
          <w:rFonts w:eastAsia="Times New Roman" w:cs="Times New Roman"/>
          <w:color w:val="000000" w:themeColor="text1"/>
          <w:szCs w:val="24"/>
        </w:rPr>
        <w:t>[pers. A]</w:t>
      </w:r>
      <w:r w:rsidR="0002162E" w:rsidRPr="004F59B4">
        <w:rPr>
          <w:rFonts w:eastAsia="Times New Roman" w:cs="Times New Roman"/>
          <w:color w:val="000000" w:themeColor="text1"/>
          <w:szCs w:val="24"/>
        </w:rPr>
        <w:t xml:space="preserve">, </w:t>
      </w:r>
      <w:r w:rsidR="000460BB">
        <w:rPr>
          <w:rFonts w:eastAsia="Times New Roman" w:cs="Times New Roman"/>
          <w:color w:val="000000" w:themeColor="text1"/>
          <w:szCs w:val="24"/>
        </w:rPr>
        <w:t>[pers. B]</w:t>
      </w:r>
      <w:r w:rsidR="0002162E" w:rsidRPr="004F59B4">
        <w:rPr>
          <w:rFonts w:eastAsia="Times New Roman" w:cs="Times New Roman"/>
          <w:color w:val="000000" w:themeColor="text1"/>
          <w:szCs w:val="24"/>
        </w:rPr>
        <w:t xml:space="preserve">, </w:t>
      </w:r>
      <w:r w:rsidR="00553E87">
        <w:rPr>
          <w:rFonts w:eastAsia="Times New Roman" w:cs="Times New Roman"/>
          <w:color w:val="000000" w:themeColor="text1"/>
          <w:szCs w:val="24"/>
        </w:rPr>
        <w:t>[pers. C]</w:t>
      </w:r>
      <w:r w:rsidR="0002162E" w:rsidRPr="004F59B4">
        <w:rPr>
          <w:rFonts w:eastAsia="Times New Roman" w:cs="Times New Roman"/>
          <w:color w:val="000000" w:themeColor="text1"/>
          <w:szCs w:val="24"/>
        </w:rPr>
        <w:t xml:space="preserve"> un īpaši aizsargājamās cietušās </w:t>
      </w:r>
      <w:r w:rsidR="00553E87">
        <w:rPr>
          <w:rFonts w:eastAsia="Times New Roman" w:cs="Times New Roman"/>
          <w:color w:val="000000" w:themeColor="text1"/>
          <w:szCs w:val="24"/>
        </w:rPr>
        <w:t>[pers. D]</w:t>
      </w:r>
      <w:r w:rsidR="0002162E" w:rsidRPr="004F59B4">
        <w:rPr>
          <w:rFonts w:eastAsia="Times New Roman" w:cs="Times New Roman"/>
          <w:color w:val="000000" w:themeColor="text1"/>
          <w:szCs w:val="24"/>
        </w:rPr>
        <w:t xml:space="preserve"> pārstāves </w:t>
      </w:r>
      <w:r w:rsidR="00553E87">
        <w:rPr>
          <w:rFonts w:eastAsia="Times New Roman" w:cs="Times New Roman"/>
          <w:color w:val="000000" w:themeColor="text1"/>
          <w:szCs w:val="24"/>
        </w:rPr>
        <w:t>[pers. A]</w:t>
      </w:r>
      <w:r w:rsidR="0002162E" w:rsidRPr="004F59B4">
        <w:rPr>
          <w:rFonts w:eastAsia="Times New Roman" w:cs="Times New Roman"/>
          <w:color w:val="000000" w:themeColor="text1"/>
          <w:szCs w:val="24"/>
        </w:rPr>
        <w:t xml:space="preserve"> kasācijas sūdzību un </w:t>
      </w:r>
      <w:r w:rsidR="00335DB8">
        <w:rPr>
          <w:rFonts w:eastAsia="Times New Roman" w:cs="Times New Roman"/>
          <w:color w:val="000000" w:themeColor="text1"/>
          <w:szCs w:val="24"/>
        </w:rPr>
        <w:t>[..]</w:t>
      </w:r>
      <w:r w:rsidR="0002162E" w:rsidRPr="004F59B4">
        <w:rPr>
          <w:rFonts w:eastAsia="Times New Roman" w:cs="Times New Roman"/>
          <w:color w:val="000000" w:themeColor="text1"/>
          <w:szCs w:val="24"/>
        </w:rPr>
        <w:t xml:space="preserve"> tiesas apgabala prokuratūras prokurores Ērikas Rudzītes kasācijas protestu </w:t>
      </w:r>
      <w:r w:rsidRPr="004F59B4">
        <w:rPr>
          <w:rFonts w:eastAsia="Times New Roman" w:cs="Times New Roman"/>
          <w:color w:val="000000" w:themeColor="text1"/>
          <w:szCs w:val="24"/>
        </w:rPr>
        <w:t xml:space="preserve">par </w:t>
      </w:r>
      <w:r w:rsidR="00335DB8">
        <w:rPr>
          <w:rFonts w:eastAsia="Times New Roman" w:cs="Times New Roman"/>
          <w:color w:val="000000" w:themeColor="text1"/>
          <w:szCs w:val="24"/>
        </w:rPr>
        <w:t>[..]</w:t>
      </w:r>
      <w:r w:rsidRPr="004F59B4">
        <w:rPr>
          <w:rFonts w:eastAsia="Times New Roman" w:cs="Times New Roman"/>
          <w:color w:val="000000" w:themeColor="text1"/>
          <w:szCs w:val="24"/>
        </w:rPr>
        <w:t xml:space="preserve"> apgabaltiesas 2020.gada </w:t>
      </w:r>
      <w:r w:rsidR="00335DB8">
        <w:rPr>
          <w:rFonts w:eastAsia="Times New Roman" w:cs="Times New Roman"/>
          <w:color w:val="000000" w:themeColor="text1"/>
          <w:szCs w:val="24"/>
        </w:rPr>
        <w:t>[..]</w:t>
      </w:r>
      <w:r w:rsidR="0002162E" w:rsidRPr="004F59B4">
        <w:rPr>
          <w:rFonts w:eastAsia="Times New Roman" w:cs="Times New Roman"/>
          <w:color w:val="000000" w:themeColor="text1"/>
          <w:szCs w:val="24"/>
        </w:rPr>
        <w:t xml:space="preserve"> spriedumu</w:t>
      </w:r>
      <w:r w:rsidRPr="004F59B4">
        <w:rPr>
          <w:rFonts w:eastAsia="Times New Roman" w:cs="Times New Roman"/>
          <w:color w:val="000000" w:themeColor="text1"/>
          <w:szCs w:val="24"/>
        </w:rPr>
        <w:t>.</w:t>
      </w:r>
    </w:p>
    <w:p w14:paraId="64A7839B" w14:textId="77777777" w:rsidR="00D40D88" w:rsidRPr="004F59B4" w:rsidRDefault="00D40D88" w:rsidP="004B5341">
      <w:pPr>
        <w:spacing w:after="0" w:line="276" w:lineRule="auto"/>
        <w:ind w:firstLine="709"/>
        <w:jc w:val="both"/>
        <w:rPr>
          <w:rFonts w:eastAsia="Times New Roman" w:cs="Times New Roman"/>
          <w:color w:val="000000" w:themeColor="text1"/>
          <w:szCs w:val="24"/>
        </w:rPr>
      </w:pPr>
    </w:p>
    <w:p w14:paraId="0970C06E" w14:textId="77777777" w:rsidR="00D40D88" w:rsidRPr="004F59B4" w:rsidRDefault="00D40D88" w:rsidP="004B5341">
      <w:pPr>
        <w:autoSpaceDE w:val="0"/>
        <w:autoSpaceDN w:val="0"/>
        <w:adjustRightInd w:val="0"/>
        <w:spacing w:after="0" w:line="276" w:lineRule="auto"/>
        <w:jc w:val="center"/>
        <w:rPr>
          <w:rFonts w:cs="Times New Roman"/>
          <w:b/>
          <w:bCs/>
          <w:color w:val="000000" w:themeColor="text1"/>
          <w:szCs w:val="24"/>
        </w:rPr>
      </w:pPr>
      <w:r w:rsidRPr="004F59B4">
        <w:rPr>
          <w:rFonts w:cs="Times New Roman"/>
          <w:b/>
          <w:bCs/>
          <w:color w:val="000000" w:themeColor="text1"/>
          <w:szCs w:val="24"/>
        </w:rPr>
        <w:t>Aprakstošā daļa</w:t>
      </w:r>
    </w:p>
    <w:p w14:paraId="4592FDBF" w14:textId="77777777" w:rsidR="00D40D88" w:rsidRPr="004F59B4" w:rsidRDefault="00D40D88" w:rsidP="004B5341">
      <w:pPr>
        <w:autoSpaceDE w:val="0"/>
        <w:autoSpaceDN w:val="0"/>
        <w:adjustRightInd w:val="0"/>
        <w:spacing w:after="0" w:line="276" w:lineRule="auto"/>
        <w:jc w:val="center"/>
        <w:rPr>
          <w:rFonts w:cs="Times New Roman"/>
          <w:b/>
          <w:bCs/>
          <w:color w:val="000000" w:themeColor="text1"/>
          <w:szCs w:val="24"/>
        </w:rPr>
      </w:pPr>
    </w:p>
    <w:p w14:paraId="7FEE486F" w14:textId="13712606" w:rsidR="0002162E" w:rsidRPr="004F59B4" w:rsidRDefault="00D40D88"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[1]</w:t>
      </w:r>
      <w:r w:rsidR="00881864">
        <w:rPr>
          <w:rFonts w:eastAsia="Times New Roman" w:cs="Times New Roman"/>
          <w:color w:val="000000" w:themeColor="text1"/>
          <w:szCs w:val="24"/>
        </w:rPr>
        <w:t xml:space="preserve"> </w:t>
      </w:r>
      <w:r w:rsidRPr="004F59B4">
        <w:rPr>
          <w:rFonts w:eastAsia="Times New Roman" w:cs="Times New Roman"/>
          <w:color w:val="000000" w:themeColor="text1"/>
          <w:szCs w:val="24"/>
        </w:rPr>
        <w:t xml:space="preserve">Ar </w:t>
      </w:r>
      <w:r w:rsidR="00335DB8">
        <w:rPr>
          <w:rFonts w:eastAsia="Times New Roman" w:cs="Times New Roman"/>
          <w:color w:val="000000" w:themeColor="text1"/>
          <w:szCs w:val="24"/>
        </w:rPr>
        <w:t>[rajona (pilsētas)]</w:t>
      </w:r>
      <w:r w:rsidR="0002162E" w:rsidRPr="004F59B4">
        <w:rPr>
          <w:rFonts w:eastAsia="Times New Roman" w:cs="Times New Roman"/>
          <w:color w:val="000000" w:themeColor="text1"/>
          <w:szCs w:val="24"/>
        </w:rPr>
        <w:t xml:space="preserve"> tiesas 2019.gada </w:t>
      </w:r>
      <w:r w:rsidR="00335DB8">
        <w:rPr>
          <w:rFonts w:eastAsia="Times New Roman" w:cs="Times New Roman"/>
          <w:color w:val="000000" w:themeColor="text1"/>
          <w:szCs w:val="24"/>
        </w:rPr>
        <w:t>[..]</w:t>
      </w:r>
      <w:r w:rsidR="0002162E" w:rsidRPr="004F59B4">
        <w:rPr>
          <w:rFonts w:eastAsia="Times New Roman" w:cs="Times New Roman"/>
          <w:color w:val="000000" w:themeColor="text1"/>
          <w:szCs w:val="24"/>
        </w:rPr>
        <w:t xml:space="preserve"> spriedumu </w:t>
      </w:r>
    </w:p>
    <w:p w14:paraId="6E9BC10F" w14:textId="5E786318" w:rsidR="00D56467" w:rsidRDefault="00335DB8" w:rsidP="00D56467">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[pers. E]</w:t>
      </w:r>
      <w:r w:rsidR="0002162E" w:rsidRPr="004F59B4">
        <w:rPr>
          <w:rFonts w:eastAsia="Times New Roman" w:cs="Times New Roman"/>
          <w:color w:val="000000" w:themeColor="text1"/>
          <w:szCs w:val="24"/>
        </w:rPr>
        <w:t xml:space="preserve">, personas kods </w:t>
      </w:r>
      <w:r>
        <w:rPr>
          <w:rFonts w:eastAsia="Times New Roman" w:cs="Times New Roman"/>
          <w:color w:val="000000" w:themeColor="text1"/>
          <w:szCs w:val="24"/>
        </w:rPr>
        <w:t>[..]</w:t>
      </w:r>
      <w:r w:rsidR="0002162E" w:rsidRPr="004F59B4">
        <w:rPr>
          <w:rFonts w:eastAsia="Times New Roman" w:cs="Times New Roman"/>
          <w:color w:val="000000" w:themeColor="text1"/>
          <w:szCs w:val="24"/>
        </w:rPr>
        <w:t>,</w:t>
      </w:r>
    </w:p>
    <w:p w14:paraId="708662FB" w14:textId="77777777" w:rsidR="00D56467" w:rsidRDefault="0002162E" w:rsidP="00D56467">
      <w:pPr>
        <w:spacing w:after="0" w:line="276" w:lineRule="auto"/>
        <w:ind w:firstLine="709"/>
        <w:jc w:val="both"/>
        <w:rPr>
          <w:rFonts w:eastAsia="Times New Roman" w:cs="Times New Roman"/>
          <w:color w:val="000000" w:themeColor="text1"/>
          <w:szCs w:val="24"/>
        </w:rPr>
      </w:pPr>
      <w:r w:rsidRPr="009414BC">
        <w:rPr>
          <w:rFonts w:eastAsia="Times New Roman" w:cs="Times New Roman"/>
          <w:color w:val="000000" w:themeColor="text1"/>
          <w:szCs w:val="24"/>
        </w:rPr>
        <w:t>atzīts par vainīgu Krimināllikuma 132.</w:t>
      </w:r>
      <w:r w:rsidRPr="009414BC">
        <w:rPr>
          <w:rFonts w:eastAsia="Times New Roman" w:cs="Times New Roman"/>
          <w:color w:val="000000" w:themeColor="text1"/>
          <w:szCs w:val="24"/>
          <w:vertAlign w:val="superscript"/>
        </w:rPr>
        <w:t>1</w:t>
      </w:r>
      <w:r w:rsidRPr="009414BC">
        <w:rPr>
          <w:rFonts w:eastAsia="Times New Roman" w:cs="Times New Roman"/>
          <w:color w:val="000000" w:themeColor="text1"/>
          <w:szCs w:val="24"/>
        </w:rPr>
        <w:t xml:space="preserve">pantā paredzētajā noziedzīgajā nodarījumā un sodīts ar piespiedu darbu uz 120 stundām. </w:t>
      </w:r>
    </w:p>
    <w:p w14:paraId="5E289DC0" w14:textId="5123FA23" w:rsidR="00D56467" w:rsidRDefault="009414BC" w:rsidP="00D56467">
      <w:pPr>
        <w:spacing w:after="0" w:line="276" w:lineRule="auto"/>
        <w:ind w:firstLine="709"/>
        <w:jc w:val="both"/>
        <w:rPr>
          <w:rFonts w:eastAsia="Times New Roman" w:cs="Times New Roman"/>
          <w:color w:val="000000" w:themeColor="text1"/>
          <w:szCs w:val="24"/>
        </w:rPr>
      </w:pPr>
      <w:r w:rsidRPr="009414BC">
        <w:rPr>
          <w:rFonts w:cs="Times New Roman"/>
          <w:szCs w:val="24"/>
        </w:rPr>
        <w:t xml:space="preserve">No </w:t>
      </w:r>
      <w:r w:rsidR="00FA4661">
        <w:rPr>
          <w:rFonts w:cs="Times New Roman"/>
          <w:szCs w:val="24"/>
        </w:rPr>
        <w:t>[pers. E]</w:t>
      </w:r>
      <w:r w:rsidRPr="009414BC">
        <w:rPr>
          <w:rFonts w:cs="Times New Roman"/>
          <w:szCs w:val="24"/>
        </w:rPr>
        <w:t xml:space="preserve"> </w:t>
      </w:r>
      <w:r w:rsidR="00881864" w:rsidRPr="009414BC">
        <w:rPr>
          <w:rFonts w:cs="Times New Roman"/>
          <w:szCs w:val="24"/>
        </w:rPr>
        <w:t xml:space="preserve">cietušā </w:t>
      </w:r>
      <w:r w:rsidR="00FA4661">
        <w:rPr>
          <w:rFonts w:eastAsia="Times New Roman" w:cs="Times New Roman"/>
          <w:color w:val="000000" w:themeColor="text1"/>
          <w:szCs w:val="24"/>
        </w:rPr>
        <w:t>[pers. C]</w:t>
      </w:r>
      <w:r w:rsidR="00881864" w:rsidRPr="009414BC">
        <w:rPr>
          <w:rFonts w:eastAsia="Times New Roman" w:cs="Times New Roman"/>
          <w:color w:val="000000" w:themeColor="text1"/>
          <w:szCs w:val="24"/>
        </w:rPr>
        <w:t xml:space="preserve"> </w:t>
      </w:r>
      <w:r w:rsidR="00881864" w:rsidRPr="009414BC">
        <w:rPr>
          <w:rFonts w:cs="Times New Roman"/>
          <w:szCs w:val="24"/>
        </w:rPr>
        <w:t xml:space="preserve">labā </w:t>
      </w:r>
      <w:r w:rsidRPr="009414BC">
        <w:rPr>
          <w:rFonts w:cs="Times New Roman"/>
          <w:szCs w:val="24"/>
        </w:rPr>
        <w:t xml:space="preserve">piedzīta materiālā kaitējuma kompensācija </w:t>
      </w:r>
      <w:r w:rsidR="0083547B">
        <w:rPr>
          <w:rFonts w:cs="Times New Roman"/>
          <w:color w:val="000000" w:themeColor="text1"/>
          <w:szCs w:val="24"/>
        </w:rPr>
        <w:t>[..]</w:t>
      </w:r>
      <w:r w:rsidRPr="009414BC">
        <w:rPr>
          <w:rFonts w:cs="Times New Roman"/>
          <w:color w:val="000000" w:themeColor="text1"/>
          <w:szCs w:val="24"/>
        </w:rPr>
        <w:t xml:space="preserve"> </w:t>
      </w:r>
      <w:proofErr w:type="spellStart"/>
      <w:r w:rsidRPr="009414BC">
        <w:rPr>
          <w:rFonts w:cs="Times New Roman"/>
          <w:i/>
          <w:iCs/>
          <w:color w:val="000000" w:themeColor="text1"/>
          <w:szCs w:val="24"/>
        </w:rPr>
        <w:t>euro</w:t>
      </w:r>
      <w:proofErr w:type="spellEnd"/>
      <w:r w:rsidRPr="009414BC">
        <w:rPr>
          <w:rFonts w:cs="Times New Roman"/>
          <w:color w:val="000000" w:themeColor="text1"/>
          <w:szCs w:val="24"/>
        </w:rPr>
        <w:t xml:space="preserve">. </w:t>
      </w:r>
    </w:p>
    <w:p w14:paraId="12E6595B" w14:textId="11381D69" w:rsidR="00D56467" w:rsidRDefault="009414BC" w:rsidP="00D56467">
      <w:pPr>
        <w:spacing w:after="0" w:line="276" w:lineRule="auto"/>
        <w:ind w:firstLine="709"/>
        <w:jc w:val="both"/>
        <w:rPr>
          <w:rFonts w:eastAsia="Times New Roman" w:cs="Times New Roman"/>
          <w:color w:val="000000" w:themeColor="text1"/>
          <w:szCs w:val="24"/>
        </w:rPr>
      </w:pPr>
      <w:r w:rsidRPr="009414BC">
        <w:rPr>
          <w:rFonts w:cs="Times New Roman"/>
          <w:szCs w:val="24"/>
        </w:rPr>
        <w:t xml:space="preserve">No </w:t>
      </w:r>
      <w:r w:rsidR="00FA4661">
        <w:rPr>
          <w:rFonts w:cs="Times New Roman"/>
          <w:szCs w:val="24"/>
        </w:rPr>
        <w:t>[pers. E]</w:t>
      </w:r>
      <w:r w:rsidRPr="009414BC">
        <w:rPr>
          <w:rFonts w:cs="Times New Roman"/>
          <w:szCs w:val="24"/>
        </w:rPr>
        <w:t xml:space="preserve"> </w:t>
      </w:r>
      <w:r w:rsidR="00881864" w:rsidRPr="009414BC">
        <w:rPr>
          <w:rFonts w:cs="Times New Roman"/>
          <w:szCs w:val="24"/>
        </w:rPr>
        <w:t xml:space="preserve">cietušā </w:t>
      </w:r>
      <w:r w:rsidR="00FA4661">
        <w:rPr>
          <w:rFonts w:eastAsia="Times New Roman" w:cs="Times New Roman"/>
          <w:color w:val="000000" w:themeColor="text1"/>
          <w:szCs w:val="24"/>
        </w:rPr>
        <w:t>[pers. C]</w:t>
      </w:r>
      <w:r w:rsidR="00881864" w:rsidRPr="009414BC">
        <w:rPr>
          <w:rFonts w:eastAsia="Times New Roman" w:cs="Times New Roman"/>
          <w:color w:val="000000" w:themeColor="text1"/>
          <w:szCs w:val="24"/>
        </w:rPr>
        <w:t xml:space="preserve"> </w:t>
      </w:r>
      <w:r w:rsidR="00D56467" w:rsidRPr="009414BC">
        <w:rPr>
          <w:rFonts w:cs="Times New Roman"/>
          <w:szCs w:val="24"/>
        </w:rPr>
        <w:t>labā piedzīt</w:t>
      </w:r>
      <w:r w:rsidR="00D56467">
        <w:rPr>
          <w:rFonts w:cs="Times New Roman"/>
          <w:szCs w:val="24"/>
        </w:rPr>
        <w:t>a kompensācija</w:t>
      </w:r>
      <w:r w:rsidRPr="009414BC">
        <w:rPr>
          <w:rFonts w:eastAsia="Times New Roman" w:cs="Times New Roman"/>
          <w:color w:val="000000" w:themeColor="text1"/>
          <w:szCs w:val="24"/>
        </w:rPr>
        <w:t xml:space="preserve"> par morālo aizskārumu</w:t>
      </w:r>
      <w:r w:rsidRPr="009414BC">
        <w:rPr>
          <w:rFonts w:cs="Times New Roman"/>
          <w:color w:val="000000" w:themeColor="text1"/>
          <w:szCs w:val="24"/>
        </w:rPr>
        <w:t xml:space="preserve"> </w:t>
      </w:r>
      <w:r w:rsidR="0083547B">
        <w:rPr>
          <w:rFonts w:cs="Times New Roman"/>
          <w:color w:val="000000" w:themeColor="text1"/>
          <w:szCs w:val="24"/>
        </w:rPr>
        <w:t>[..]</w:t>
      </w:r>
      <w:r w:rsidRPr="009414BC">
        <w:rPr>
          <w:rFonts w:cs="Times New Roman"/>
          <w:color w:val="000000" w:themeColor="text1"/>
          <w:szCs w:val="24"/>
        </w:rPr>
        <w:t xml:space="preserve"> </w:t>
      </w:r>
      <w:proofErr w:type="spellStart"/>
      <w:r w:rsidRPr="009414BC">
        <w:rPr>
          <w:rFonts w:cs="Times New Roman"/>
          <w:i/>
          <w:iCs/>
          <w:color w:val="000000" w:themeColor="text1"/>
          <w:szCs w:val="24"/>
        </w:rPr>
        <w:t>euro</w:t>
      </w:r>
      <w:proofErr w:type="spellEnd"/>
      <w:r>
        <w:rPr>
          <w:rFonts w:cs="Times New Roman"/>
          <w:i/>
          <w:iCs/>
          <w:color w:val="000000" w:themeColor="text1"/>
          <w:szCs w:val="24"/>
        </w:rPr>
        <w:t xml:space="preserve">. </w:t>
      </w:r>
    </w:p>
    <w:p w14:paraId="0309F2B9" w14:textId="5E477A57" w:rsidR="009414BC" w:rsidRPr="00D56467" w:rsidRDefault="009414BC" w:rsidP="00D56467">
      <w:pPr>
        <w:spacing w:after="0" w:line="276" w:lineRule="auto"/>
        <w:ind w:firstLine="709"/>
        <w:jc w:val="both"/>
        <w:rPr>
          <w:rFonts w:eastAsia="Times New Roman" w:cs="Times New Roman"/>
          <w:color w:val="000000" w:themeColor="text1"/>
          <w:szCs w:val="24"/>
        </w:rPr>
      </w:pPr>
      <w:r w:rsidRPr="009414BC">
        <w:rPr>
          <w:rFonts w:cs="Times New Roman"/>
          <w:szCs w:val="24"/>
        </w:rPr>
        <w:t xml:space="preserve">No </w:t>
      </w:r>
      <w:r w:rsidR="00FA4661">
        <w:rPr>
          <w:rFonts w:cs="Times New Roman"/>
          <w:szCs w:val="24"/>
        </w:rPr>
        <w:t>[pers. E]</w:t>
      </w:r>
      <w:r w:rsidRPr="009414BC">
        <w:rPr>
          <w:rFonts w:cs="Times New Roman"/>
          <w:szCs w:val="24"/>
        </w:rPr>
        <w:t xml:space="preserve"> </w:t>
      </w:r>
      <w:r w:rsidR="00881864" w:rsidRPr="009414BC">
        <w:rPr>
          <w:rFonts w:eastAsia="Times New Roman" w:cs="Times New Roman"/>
          <w:color w:val="000000" w:themeColor="text1"/>
          <w:szCs w:val="24"/>
        </w:rPr>
        <w:t xml:space="preserve">cietušās </w:t>
      </w:r>
      <w:r w:rsidR="00FA4661">
        <w:rPr>
          <w:rFonts w:eastAsia="Times New Roman" w:cs="Times New Roman"/>
          <w:color w:val="000000" w:themeColor="text1"/>
          <w:szCs w:val="24"/>
        </w:rPr>
        <w:t>[pers. A]</w:t>
      </w:r>
      <w:r w:rsidR="00881864" w:rsidRPr="009414BC">
        <w:rPr>
          <w:rFonts w:eastAsia="Times New Roman" w:cs="Times New Roman"/>
          <w:color w:val="000000" w:themeColor="text1"/>
          <w:szCs w:val="24"/>
        </w:rPr>
        <w:t xml:space="preserve"> </w:t>
      </w:r>
      <w:r w:rsidR="00881864" w:rsidRPr="009414BC">
        <w:rPr>
          <w:rFonts w:cs="Times New Roman"/>
          <w:szCs w:val="24"/>
        </w:rPr>
        <w:t xml:space="preserve">labā </w:t>
      </w:r>
      <w:r w:rsidRPr="009414BC">
        <w:rPr>
          <w:rFonts w:cs="Times New Roman"/>
          <w:szCs w:val="24"/>
        </w:rPr>
        <w:t xml:space="preserve">piedzīta </w:t>
      </w:r>
      <w:r w:rsidRPr="009414BC">
        <w:rPr>
          <w:rFonts w:eastAsia="Times New Roman" w:cs="Times New Roman"/>
          <w:color w:val="000000" w:themeColor="text1"/>
          <w:szCs w:val="24"/>
        </w:rPr>
        <w:t>kompensācij</w:t>
      </w:r>
      <w:r>
        <w:rPr>
          <w:rFonts w:eastAsia="Times New Roman" w:cs="Times New Roman"/>
          <w:color w:val="000000" w:themeColor="text1"/>
          <w:szCs w:val="24"/>
        </w:rPr>
        <w:t>a</w:t>
      </w:r>
      <w:r w:rsidRPr="009414BC">
        <w:rPr>
          <w:rFonts w:eastAsia="Times New Roman" w:cs="Times New Roman"/>
          <w:color w:val="000000" w:themeColor="text1"/>
          <w:szCs w:val="24"/>
        </w:rPr>
        <w:t xml:space="preserve"> par morālo aizskārumu</w:t>
      </w:r>
      <w:r w:rsidRPr="009414BC">
        <w:rPr>
          <w:rFonts w:cs="Times New Roman"/>
          <w:color w:val="000000" w:themeColor="text1"/>
          <w:szCs w:val="24"/>
        </w:rPr>
        <w:t xml:space="preserve"> </w:t>
      </w:r>
      <w:r w:rsidR="0083547B">
        <w:rPr>
          <w:rFonts w:cs="Times New Roman"/>
          <w:color w:val="000000" w:themeColor="text1"/>
          <w:szCs w:val="24"/>
        </w:rPr>
        <w:t>[..]</w:t>
      </w:r>
      <w:r w:rsidRPr="009414BC">
        <w:rPr>
          <w:rFonts w:cs="Times New Roman"/>
          <w:color w:val="000000" w:themeColor="text1"/>
          <w:szCs w:val="24"/>
        </w:rPr>
        <w:t xml:space="preserve"> </w:t>
      </w:r>
      <w:proofErr w:type="spellStart"/>
      <w:r w:rsidRPr="009414BC">
        <w:rPr>
          <w:rFonts w:cs="Times New Roman"/>
          <w:i/>
          <w:iCs/>
          <w:color w:val="000000" w:themeColor="text1"/>
          <w:szCs w:val="24"/>
        </w:rPr>
        <w:t>euro</w:t>
      </w:r>
      <w:proofErr w:type="spellEnd"/>
      <w:r>
        <w:rPr>
          <w:rFonts w:cs="Times New Roman"/>
          <w:i/>
          <w:iCs/>
          <w:color w:val="000000" w:themeColor="text1"/>
          <w:szCs w:val="24"/>
        </w:rPr>
        <w:t>.</w:t>
      </w:r>
    </w:p>
    <w:p w14:paraId="6102ECF4" w14:textId="77777777" w:rsidR="006274EE" w:rsidRPr="004F59B4" w:rsidRDefault="006274EE" w:rsidP="004B5341">
      <w:pPr>
        <w:spacing w:after="0" w:line="276" w:lineRule="auto"/>
        <w:ind w:firstLine="709"/>
        <w:jc w:val="both"/>
        <w:rPr>
          <w:rFonts w:eastAsia="Times New Roman" w:cs="Times New Roman"/>
          <w:color w:val="000000" w:themeColor="text1"/>
          <w:szCs w:val="24"/>
        </w:rPr>
      </w:pPr>
    </w:p>
    <w:p w14:paraId="36A84081" w14:textId="610D1197" w:rsidR="00017F05" w:rsidRPr="004F59B4" w:rsidRDefault="0002162E"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bCs/>
          <w:color w:val="000000" w:themeColor="text1"/>
          <w:szCs w:val="24"/>
        </w:rPr>
        <w:t>[2]</w:t>
      </w:r>
      <w:r w:rsidR="00881864">
        <w:rPr>
          <w:rFonts w:eastAsia="Times New Roman" w:cs="Times New Roman"/>
          <w:bCs/>
          <w:color w:val="000000" w:themeColor="text1"/>
          <w:szCs w:val="24"/>
        </w:rPr>
        <w:t xml:space="preserve"> </w:t>
      </w:r>
      <w:r w:rsidRPr="004F59B4">
        <w:rPr>
          <w:rFonts w:eastAsia="Times New Roman" w:cs="Times New Roman"/>
          <w:color w:val="000000" w:themeColor="text1"/>
          <w:szCs w:val="24"/>
        </w:rPr>
        <w:t xml:space="preserve">Ar </w:t>
      </w:r>
      <w:r w:rsidR="00FA4661">
        <w:rPr>
          <w:rFonts w:eastAsia="Times New Roman" w:cs="Times New Roman"/>
          <w:color w:val="000000" w:themeColor="text1"/>
          <w:szCs w:val="24"/>
        </w:rPr>
        <w:t>[rajona (pilsētas)]</w:t>
      </w:r>
      <w:r w:rsidR="009414BC">
        <w:rPr>
          <w:rFonts w:eastAsia="Times New Roman" w:cs="Times New Roman"/>
          <w:color w:val="000000" w:themeColor="text1"/>
          <w:szCs w:val="24"/>
        </w:rPr>
        <w:t xml:space="preserve"> tiesas 2019.gada </w:t>
      </w:r>
      <w:r w:rsidR="00FA4661">
        <w:rPr>
          <w:rFonts w:eastAsia="Times New Roman" w:cs="Times New Roman"/>
          <w:color w:val="000000" w:themeColor="text1"/>
          <w:szCs w:val="24"/>
        </w:rPr>
        <w:t>[..]</w:t>
      </w:r>
      <w:r w:rsidRPr="004F59B4">
        <w:rPr>
          <w:rFonts w:eastAsia="Times New Roman" w:cs="Times New Roman"/>
          <w:color w:val="000000" w:themeColor="text1"/>
          <w:szCs w:val="24"/>
        </w:rPr>
        <w:t xml:space="preserve"> spriedumu </w:t>
      </w:r>
      <w:r w:rsidR="00FA4661">
        <w:rPr>
          <w:rFonts w:eastAsia="Times New Roman" w:cs="Times New Roman"/>
          <w:color w:val="000000" w:themeColor="text1"/>
          <w:szCs w:val="24"/>
        </w:rPr>
        <w:t>[pers. E]</w:t>
      </w:r>
      <w:r w:rsidRPr="004F59B4">
        <w:rPr>
          <w:rFonts w:eastAsia="Times New Roman" w:cs="Times New Roman"/>
          <w:color w:val="000000" w:themeColor="text1"/>
          <w:szCs w:val="24"/>
        </w:rPr>
        <w:t xml:space="preserve"> atzīts par vainīgu un sodīts pēc Krimināllikuma 132.</w:t>
      </w:r>
      <w:r w:rsidRPr="004F59B4">
        <w:rPr>
          <w:rFonts w:eastAsia="Times New Roman" w:cs="Times New Roman"/>
          <w:color w:val="000000" w:themeColor="text1"/>
          <w:szCs w:val="24"/>
          <w:vertAlign w:val="superscript"/>
        </w:rPr>
        <w:t>1</w:t>
      </w:r>
      <w:r w:rsidRPr="004F59B4">
        <w:rPr>
          <w:rFonts w:eastAsia="Times New Roman" w:cs="Times New Roman"/>
          <w:color w:val="000000" w:themeColor="text1"/>
          <w:szCs w:val="24"/>
        </w:rPr>
        <w:t xml:space="preserve">panta par </w:t>
      </w:r>
      <w:r w:rsidR="00017F05" w:rsidRPr="004F59B4">
        <w:rPr>
          <w:rFonts w:eastAsia="Times New Roman" w:cs="Times New Roman"/>
          <w:color w:val="000000" w:themeColor="text1"/>
          <w:szCs w:val="24"/>
        </w:rPr>
        <w:t xml:space="preserve">vajāšanu, proti, </w:t>
      </w:r>
      <w:r w:rsidR="00017F05" w:rsidRPr="004F59B4">
        <w:rPr>
          <w:rFonts w:cs="Times New Roman"/>
          <w:color w:val="000000" w:themeColor="text1"/>
          <w:szCs w:val="24"/>
          <w:shd w:val="clear" w:color="auto" w:fill="FFFFFF"/>
        </w:rPr>
        <w:t xml:space="preserve">par vairākkārtēju </w:t>
      </w:r>
      <w:r w:rsidR="00EA2720">
        <w:rPr>
          <w:rFonts w:cs="Times New Roman"/>
          <w:color w:val="000000" w:themeColor="text1"/>
          <w:szCs w:val="24"/>
          <w:shd w:val="clear" w:color="auto" w:fill="FFFFFF"/>
        </w:rPr>
        <w:t xml:space="preserve">un </w:t>
      </w:r>
      <w:r w:rsidR="00017F05" w:rsidRPr="004F59B4">
        <w:rPr>
          <w:rFonts w:cs="Times New Roman"/>
          <w:color w:val="000000" w:themeColor="text1"/>
          <w:szCs w:val="24"/>
          <w:shd w:val="clear" w:color="auto" w:fill="FFFFFF"/>
        </w:rPr>
        <w:t>ilgstošu citu personu novērošanu, ja tām ir bijis pamats baidīties par savu vai savu tuvinieku drošību. </w:t>
      </w:r>
    </w:p>
    <w:p w14:paraId="55BFEAF8" w14:textId="77777777" w:rsidR="0002162E" w:rsidRPr="004F59B4" w:rsidRDefault="0002162E" w:rsidP="004B5341">
      <w:pPr>
        <w:spacing w:after="0" w:line="276" w:lineRule="auto"/>
        <w:ind w:firstLine="709"/>
        <w:jc w:val="both"/>
        <w:rPr>
          <w:rFonts w:eastAsia="Times New Roman" w:cs="Times New Roman"/>
          <w:color w:val="000000" w:themeColor="text1"/>
          <w:szCs w:val="24"/>
        </w:rPr>
      </w:pPr>
    </w:p>
    <w:p w14:paraId="25901E7C" w14:textId="35DBA58B" w:rsidR="00017F05" w:rsidRPr="004F59B4" w:rsidRDefault="00017F05" w:rsidP="00017F05">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[3]</w:t>
      </w:r>
      <w:r w:rsidR="00881864">
        <w:rPr>
          <w:rFonts w:eastAsia="Times New Roman" w:cs="Times New Roman"/>
          <w:color w:val="000000" w:themeColor="text1"/>
          <w:szCs w:val="24"/>
        </w:rPr>
        <w:t xml:space="preserve"> </w:t>
      </w:r>
      <w:r w:rsidRPr="004F59B4">
        <w:rPr>
          <w:rFonts w:eastAsia="Times New Roman" w:cs="Times New Roman"/>
          <w:color w:val="000000" w:themeColor="text1"/>
          <w:szCs w:val="24"/>
        </w:rPr>
        <w:t xml:space="preserve">Ar </w:t>
      </w:r>
      <w:r w:rsidR="00FA4661">
        <w:rPr>
          <w:rFonts w:eastAsia="Times New Roman" w:cs="Times New Roman"/>
          <w:color w:val="000000" w:themeColor="text1"/>
          <w:szCs w:val="24"/>
        </w:rPr>
        <w:t>[..]</w:t>
      </w:r>
      <w:r w:rsidRPr="004F59B4">
        <w:rPr>
          <w:rFonts w:eastAsia="Times New Roman" w:cs="Times New Roman"/>
          <w:color w:val="000000" w:themeColor="text1"/>
          <w:szCs w:val="24"/>
        </w:rPr>
        <w:t xml:space="preserve"> apgabaltiesas 2020.gada </w:t>
      </w:r>
      <w:r w:rsidR="00FA4661">
        <w:rPr>
          <w:rFonts w:eastAsia="Times New Roman" w:cs="Times New Roman"/>
          <w:color w:val="000000" w:themeColor="text1"/>
          <w:szCs w:val="24"/>
        </w:rPr>
        <w:t>[..]</w:t>
      </w:r>
      <w:r w:rsidRPr="004F59B4">
        <w:rPr>
          <w:rFonts w:eastAsia="Times New Roman" w:cs="Times New Roman"/>
          <w:color w:val="000000" w:themeColor="text1"/>
          <w:szCs w:val="24"/>
        </w:rPr>
        <w:t xml:space="preserve"> spriedumu, </w:t>
      </w:r>
      <w:r w:rsidRPr="004F59B4">
        <w:rPr>
          <w:rFonts w:cs="Times New Roman"/>
          <w:color w:val="000000" w:themeColor="text1"/>
          <w:szCs w:val="24"/>
          <w:lang w:eastAsia="lv-LV"/>
        </w:rPr>
        <w:t xml:space="preserve">iztiesājot lietu apelācijas kārtībā sakarā ar apsūdzētā </w:t>
      </w:r>
      <w:r w:rsidR="00FA4661">
        <w:rPr>
          <w:rFonts w:cs="Times New Roman"/>
          <w:color w:val="000000" w:themeColor="text1"/>
          <w:szCs w:val="24"/>
          <w:lang w:eastAsia="lv-LV"/>
        </w:rPr>
        <w:t>[pers. E]</w:t>
      </w:r>
      <w:r w:rsidRPr="004F59B4">
        <w:rPr>
          <w:rFonts w:cs="Times New Roman"/>
          <w:color w:val="000000" w:themeColor="text1"/>
          <w:szCs w:val="24"/>
          <w:lang w:eastAsia="lv-LV"/>
        </w:rPr>
        <w:t xml:space="preserve"> </w:t>
      </w:r>
      <w:r w:rsidR="00EA2720">
        <w:rPr>
          <w:rFonts w:cs="Times New Roman"/>
          <w:color w:val="000000" w:themeColor="text1"/>
          <w:szCs w:val="24"/>
          <w:lang w:eastAsia="lv-LV"/>
        </w:rPr>
        <w:t xml:space="preserve">apelācijas sūdzību, </w:t>
      </w:r>
      <w:r w:rsidR="00FA4661">
        <w:rPr>
          <w:rFonts w:eastAsia="Times New Roman" w:cs="Times New Roman"/>
          <w:color w:val="000000" w:themeColor="text1"/>
          <w:szCs w:val="24"/>
        </w:rPr>
        <w:t>[rajona (pilsētas)]</w:t>
      </w:r>
      <w:r w:rsidR="00881864">
        <w:rPr>
          <w:rFonts w:eastAsia="Times New Roman" w:cs="Times New Roman"/>
          <w:color w:val="000000" w:themeColor="text1"/>
          <w:szCs w:val="24"/>
        </w:rPr>
        <w:t xml:space="preserve"> tiesas 2019.gada </w:t>
      </w:r>
      <w:r w:rsidR="00FA4661">
        <w:rPr>
          <w:rFonts w:eastAsia="Times New Roman" w:cs="Times New Roman"/>
          <w:color w:val="000000" w:themeColor="text1"/>
          <w:szCs w:val="24"/>
        </w:rPr>
        <w:t>[..]</w:t>
      </w:r>
      <w:r w:rsidR="00881864">
        <w:rPr>
          <w:rFonts w:eastAsia="Times New Roman" w:cs="Times New Roman"/>
          <w:color w:val="000000" w:themeColor="text1"/>
          <w:szCs w:val="24"/>
        </w:rPr>
        <w:t xml:space="preserve"> spriedums atcelts,</w:t>
      </w:r>
      <w:r w:rsidR="00881864" w:rsidRPr="004F59B4">
        <w:rPr>
          <w:rFonts w:eastAsia="Times New Roman" w:cs="Times New Roman"/>
          <w:color w:val="000000" w:themeColor="text1"/>
          <w:szCs w:val="24"/>
        </w:rPr>
        <w:t xml:space="preserve"> </w:t>
      </w:r>
      <w:r w:rsidR="00FA4661">
        <w:rPr>
          <w:rFonts w:eastAsia="Times New Roman" w:cs="Times New Roman"/>
          <w:color w:val="000000" w:themeColor="text1"/>
          <w:szCs w:val="24"/>
        </w:rPr>
        <w:t>[pers. E]</w:t>
      </w:r>
      <w:r w:rsidRPr="004F59B4">
        <w:rPr>
          <w:rFonts w:eastAsia="Times New Roman" w:cs="Times New Roman"/>
          <w:color w:val="000000" w:themeColor="text1"/>
          <w:szCs w:val="24"/>
        </w:rPr>
        <w:t xml:space="preserve"> atzīts par nevainīgu </w:t>
      </w:r>
      <w:r w:rsidR="00881864">
        <w:rPr>
          <w:rFonts w:eastAsia="Times New Roman" w:cs="Times New Roman"/>
          <w:color w:val="000000" w:themeColor="text1"/>
          <w:szCs w:val="24"/>
        </w:rPr>
        <w:t xml:space="preserve">Krimināllikuma </w:t>
      </w:r>
      <w:r w:rsidR="00881864" w:rsidRPr="004F59B4">
        <w:rPr>
          <w:rFonts w:eastAsia="Times New Roman" w:cs="Times New Roman"/>
          <w:color w:val="000000" w:themeColor="text1"/>
          <w:szCs w:val="24"/>
        </w:rPr>
        <w:t>132.</w:t>
      </w:r>
      <w:r w:rsidR="00881864" w:rsidRPr="004F59B4">
        <w:rPr>
          <w:rFonts w:eastAsia="Times New Roman" w:cs="Times New Roman"/>
          <w:color w:val="000000" w:themeColor="text1"/>
          <w:szCs w:val="24"/>
          <w:vertAlign w:val="superscript"/>
        </w:rPr>
        <w:t>1</w:t>
      </w:r>
      <w:r w:rsidR="00881864" w:rsidRPr="004F59B4">
        <w:rPr>
          <w:rFonts w:eastAsia="Times New Roman" w:cs="Times New Roman"/>
          <w:color w:val="000000" w:themeColor="text1"/>
          <w:szCs w:val="24"/>
        </w:rPr>
        <w:t>pan</w:t>
      </w:r>
      <w:r w:rsidR="00881864">
        <w:rPr>
          <w:rFonts w:eastAsia="Times New Roman" w:cs="Times New Roman"/>
          <w:color w:val="000000" w:themeColor="text1"/>
          <w:szCs w:val="24"/>
        </w:rPr>
        <w:t xml:space="preserve">tā paredzētajā noziedzīgajā nodarījumā </w:t>
      </w:r>
      <w:r w:rsidRPr="004F59B4">
        <w:rPr>
          <w:rFonts w:eastAsia="Times New Roman" w:cs="Times New Roman"/>
          <w:color w:val="000000" w:themeColor="text1"/>
          <w:szCs w:val="24"/>
        </w:rPr>
        <w:t xml:space="preserve">un attaisnots. </w:t>
      </w:r>
    </w:p>
    <w:p w14:paraId="4BE6742E" w14:textId="7FDB3007" w:rsidR="00017F05" w:rsidRPr="004F59B4" w:rsidRDefault="00017F05"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 xml:space="preserve">Nospriests cietušo </w:t>
      </w:r>
      <w:r w:rsidR="00FA4661">
        <w:rPr>
          <w:rFonts w:eastAsia="Times New Roman" w:cs="Times New Roman"/>
          <w:color w:val="000000" w:themeColor="text1"/>
          <w:szCs w:val="24"/>
        </w:rPr>
        <w:t>[pers. C]</w:t>
      </w:r>
      <w:r w:rsidRPr="004F59B4">
        <w:rPr>
          <w:rFonts w:eastAsia="Times New Roman" w:cs="Times New Roman"/>
          <w:color w:val="000000" w:themeColor="text1"/>
          <w:szCs w:val="24"/>
        </w:rPr>
        <w:t xml:space="preserve"> un </w:t>
      </w:r>
      <w:r w:rsidR="00F776D6">
        <w:rPr>
          <w:rFonts w:eastAsia="Times New Roman" w:cs="Times New Roman"/>
          <w:color w:val="000000" w:themeColor="text1"/>
          <w:szCs w:val="24"/>
        </w:rPr>
        <w:t>[pers. A]</w:t>
      </w:r>
      <w:r w:rsidRPr="004F59B4">
        <w:rPr>
          <w:rFonts w:eastAsia="Times New Roman" w:cs="Times New Roman"/>
          <w:color w:val="000000" w:themeColor="text1"/>
          <w:szCs w:val="24"/>
        </w:rPr>
        <w:t xml:space="preserve"> pieteiktās kompensācijas par </w:t>
      </w:r>
      <w:r w:rsidR="00EA2720">
        <w:rPr>
          <w:rFonts w:eastAsia="Times New Roman" w:cs="Times New Roman"/>
          <w:color w:val="000000" w:themeColor="text1"/>
          <w:szCs w:val="24"/>
        </w:rPr>
        <w:t xml:space="preserve">materiālo kaitējumu un </w:t>
      </w:r>
      <w:r w:rsidRPr="004F59B4">
        <w:rPr>
          <w:rFonts w:eastAsia="Times New Roman" w:cs="Times New Roman"/>
          <w:color w:val="000000" w:themeColor="text1"/>
          <w:szCs w:val="24"/>
        </w:rPr>
        <w:t xml:space="preserve">morālo aizskārumu atstāt bez izskatīšanas. </w:t>
      </w:r>
    </w:p>
    <w:p w14:paraId="72468E30" w14:textId="77777777" w:rsidR="004845EB" w:rsidRPr="004F59B4" w:rsidRDefault="00E32130" w:rsidP="001F1CBB">
      <w:pPr>
        <w:autoSpaceDE w:val="0"/>
        <w:autoSpaceDN w:val="0"/>
        <w:adjustRightInd w:val="0"/>
        <w:spacing w:after="0" w:line="276" w:lineRule="auto"/>
        <w:jc w:val="both"/>
        <w:rPr>
          <w:rFonts w:eastAsia="Times New Roman" w:cs="Times New Roman"/>
          <w:color w:val="000000" w:themeColor="text1"/>
          <w:szCs w:val="24"/>
        </w:rPr>
      </w:pPr>
      <w:r w:rsidRPr="004F59B4">
        <w:rPr>
          <w:rFonts w:eastAsia="Times New Roman" w:cs="Times New Roman"/>
          <w:color w:val="000000" w:themeColor="text1"/>
          <w:szCs w:val="24"/>
        </w:rPr>
        <w:tab/>
      </w:r>
    </w:p>
    <w:p w14:paraId="7DD32F45" w14:textId="31AB891B" w:rsidR="005C125D" w:rsidRPr="004F59B4" w:rsidRDefault="006274EE" w:rsidP="00B875A2">
      <w:pPr>
        <w:autoSpaceDE w:val="0"/>
        <w:autoSpaceDN w:val="0"/>
        <w:adjustRightInd w:val="0"/>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lastRenderedPageBreak/>
        <w:t>[</w:t>
      </w:r>
      <w:r w:rsidR="00C766F8" w:rsidRPr="004F59B4">
        <w:rPr>
          <w:rFonts w:eastAsia="Times New Roman" w:cs="Times New Roman"/>
          <w:color w:val="000000" w:themeColor="text1"/>
          <w:szCs w:val="24"/>
        </w:rPr>
        <w:t>4</w:t>
      </w:r>
      <w:r w:rsidRPr="004F59B4">
        <w:rPr>
          <w:rFonts w:eastAsia="Times New Roman" w:cs="Times New Roman"/>
          <w:color w:val="000000" w:themeColor="text1"/>
          <w:szCs w:val="24"/>
        </w:rPr>
        <w:t>]</w:t>
      </w:r>
      <w:r w:rsidR="005C125D" w:rsidRPr="004F59B4">
        <w:rPr>
          <w:rFonts w:eastAsia="Times New Roman" w:cs="Times New Roman"/>
          <w:color w:val="000000" w:themeColor="text1"/>
          <w:szCs w:val="24"/>
        </w:rPr>
        <w:t xml:space="preserve"> Par </w:t>
      </w:r>
      <w:r w:rsidR="00F776D6">
        <w:rPr>
          <w:rFonts w:eastAsia="Times New Roman" w:cs="Times New Roman"/>
          <w:color w:val="000000" w:themeColor="text1"/>
          <w:szCs w:val="24"/>
        </w:rPr>
        <w:t>[..]</w:t>
      </w:r>
      <w:r w:rsidR="004845EB" w:rsidRPr="004F59B4">
        <w:rPr>
          <w:rFonts w:eastAsia="Times New Roman" w:cs="Times New Roman"/>
          <w:color w:val="000000" w:themeColor="text1"/>
          <w:szCs w:val="24"/>
        </w:rPr>
        <w:t xml:space="preserve"> apgabaltiesas 2020.gada </w:t>
      </w:r>
      <w:r w:rsidR="00F776D6">
        <w:rPr>
          <w:rFonts w:eastAsia="Times New Roman" w:cs="Times New Roman"/>
          <w:color w:val="000000" w:themeColor="text1"/>
          <w:szCs w:val="24"/>
        </w:rPr>
        <w:t>[..]</w:t>
      </w:r>
      <w:r w:rsidR="00EA2720">
        <w:rPr>
          <w:rFonts w:eastAsia="Times New Roman" w:cs="Times New Roman"/>
          <w:color w:val="000000" w:themeColor="text1"/>
          <w:szCs w:val="24"/>
        </w:rPr>
        <w:t xml:space="preserve"> spriedumu cietusī </w:t>
      </w:r>
      <w:r w:rsidR="00F776D6">
        <w:rPr>
          <w:rFonts w:eastAsia="Times New Roman" w:cs="Times New Roman"/>
          <w:color w:val="000000" w:themeColor="text1"/>
          <w:szCs w:val="24"/>
        </w:rPr>
        <w:t>[pers. A]</w:t>
      </w:r>
      <w:r w:rsidR="004845EB" w:rsidRPr="004F59B4">
        <w:rPr>
          <w:rFonts w:eastAsia="Times New Roman" w:cs="Times New Roman"/>
          <w:color w:val="000000" w:themeColor="text1"/>
          <w:szCs w:val="24"/>
        </w:rPr>
        <w:t xml:space="preserve">, </w:t>
      </w:r>
      <w:r w:rsidR="00F776D6">
        <w:rPr>
          <w:rFonts w:eastAsia="Times New Roman" w:cs="Times New Roman"/>
          <w:color w:val="000000" w:themeColor="text1"/>
          <w:szCs w:val="24"/>
        </w:rPr>
        <w:t>[pers. B]</w:t>
      </w:r>
      <w:r w:rsidR="004845EB" w:rsidRPr="004F59B4">
        <w:rPr>
          <w:rFonts w:eastAsia="Times New Roman" w:cs="Times New Roman"/>
          <w:color w:val="000000" w:themeColor="text1"/>
          <w:szCs w:val="24"/>
        </w:rPr>
        <w:t xml:space="preserve">, </w:t>
      </w:r>
      <w:r w:rsidR="00F776D6">
        <w:rPr>
          <w:rFonts w:eastAsia="Times New Roman" w:cs="Times New Roman"/>
          <w:color w:val="000000" w:themeColor="text1"/>
          <w:szCs w:val="24"/>
        </w:rPr>
        <w:t>[pers. C]</w:t>
      </w:r>
      <w:r w:rsidR="004845EB" w:rsidRPr="004F59B4">
        <w:rPr>
          <w:rFonts w:eastAsia="Times New Roman" w:cs="Times New Roman"/>
          <w:color w:val="000000" w:themeColor="text1"/>
          <w:szCs w:val="24"/>
        </w:rPr>
        <w:t xml:space="preserve"> un īpaši aizsargājamās cietušās </w:t>
      </w:r>
      <w:r w:rsidR="00F776D6">
        <w:rPr>
          <w:rFonts w:eastAsia="Times New Roman" w:cs="Times New Roman"/>
          <w:color w:val="000000" w:themeColor="text1"/>
          <w:szCs w:val="24"/>
        </w:rPr>
        <w:t>[pers. D]</w:t>
      </w:r>
      <w:r w:rsidR="004845EB" w:rsidRPr="004F59B4">
        <w:rPr>
          <w:rFonts w:eastAsia="Times New Roman" w:cs="Times New Roman"/>
          <w:color w:val="000000" w:themeColor="text1"/>
          <w:szCs w:val="24"/>
        </w:rPr>
        <w:t xml:space="preserve"> pārstāve </w:t>
      </w:r>
      <w:r w:rsidR="00F776D6">
        <w:rPr>
          <w:rFonts w:eastAsia="Times New Roman" w:cs="Times New Roman"/>
          <w:color w:val="000000" w:themeColor="text1"/>
          <w:szCs w:val="24"/>
        </w:rPr>
        <w:t>[pers. A]</w:t>
      </w:r>
      <w:r w:rsidR="004845EB" w:rsidRPr="004F59B4">
        <w:rPr>
          <w:rFonts w:eastAsia="Times New Roman" w:cs="Times New Roman"/>
          <w:color w:val="000000" w:themeColor="text1"/>
          <w:szCs w:val="24"/>
        </w:rPr>
        <w:t xml:space="preserve"> </w:t>
      </w:r>
      <w:r w:rsidR="005C125D" w:rsidRPr="004F59B4">
        <w:rPr>
          <w:rFonts w:eastAsia="Times New Roman" w:cs="Times New Roman"/>
          <w:color w:val="000000" w:themeColor="text1"/>
          <w:szCs w:val="24"/>
        </w:rPr>
        <w:t>iesnie</w:t>
      </w:r>
      <w:r w:rsidR="004845EB" w:rsidRPr="004F59B4">
        <w:rPr>
          <w:rFonts w:eastAsia="Times New Roman" w:cs="Times New Roman"/>
          <w:color w:val="000000" w:themeColor="text1"/>
          <w:szCs w:val="24"/>
        </w:rPr>
        <w:t xml:space="preserve">guši </w:t>
      </w:r>
      <w:r w:rsidR="005C125D" w:rsidRPr="004F59B4">
        <w:rPr>
          <w:rFonts w:eastAsia="Times New Roman" w:cs="Times New Roman"/>
          <w:color w:val="000000" w:themeColor="text1"/>
          <w:szCs w:val="24"/>
        </w:rPr>
        <w:t>kasācijas sūdzību, kurā lūdz</w:t>
      </w:r>
      <w:r w:rsidR="001F1CBB" w:rsidRPr="004F59B4">
        <w:rPr>
          <w:rFonts w:cs="Times New Roman"/>
          <w:color w:val="000000" w:themeColor="text1"/>
          <w:szCs w:val="24"/>
        </w:rPr>
        <w:t xml:space="preserve"> </w:t>
      </w:r>
      <w:r w:rsidR="005C125D" w:rsidRPr="004F59B4">
        <w:rPr>
          <w:rFonts w:eastAsia="Times New Roman" w:cs="Times New Roman"/>
          <w:color w:val="000000" w:themeColor="text1"/>
          <w:szCs w:val="24"/>
        </w:rPr>
        <w:t xml:space="preserve">apelācijas instances tiesas </w:t>
      </w:r>
      <w:r w:rsidR="00F92FD7">
        <w:rPr>
          <w:rFonts w:eastAsia="Times New Roman" w:cs="Times New Roman"/>
          <w:color w:val="000000" w:themeColor="text1"/>
          <w:szCs w:val="24"/>
        </w:rPr>
        <w:t>no</w:t>
      </w:r>
      <w:r w:rsidR="005C125D" w:rsidRPr="004F59B4">
        <w:rPr>
          <w:rFonts w:eastAsia="Times New Roman" w:cs="Times New Roman"/>
          <w:color w:val="000000" w:themeColor="text1"/>
          <w:szCs w:val="24"/>
        </w:rPr>
        <w:t xml:space="preserve">lēmumu atcelt un nosūtīt lietu jaunai izskatīšanai apelācijas instances tiesā. </w:t>
      </w:r>
    </w:p>
    <w:p w14:paraId="29C96939" w14:textId="27CB395C" w:rsidR="005C125D" w:rsidRPr="004F59B4" w:rsidRDefault="005C125D"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Kasācijas sūdzīb</w:t>
      </w:r>
      <w:r w:rsidR="00B875A2">
        <w:rPr>
          <w:rFonts w:eastAsia="Times New Roman" w:cs="Times New Roman"/>
          <w:color w:val="000000" w:themeColor="text1"/>
          <w:szCs w:val="24"/>
        </w:rPr>
        <w:t>u</w:t>
      </w:r>
      <w:r w:rsidRPr="004F59B4">
        <w:rPr>
          <w:rFonts w:eastAsia="Times New Roman" w:cs="Times New Roman"/>
          <w:color w:val="000000" w:themeColor="text1"/>
          <w:szCs w:val="24"/>
        </w:rPr>
        <w:t xml:space="preserve"> pamato</w:t>
      </w:r>
      <w:r w:rsidR="005F0BDF">
        <w:rPr>
          <w:rFonts w:eastAsia="Times New Roman" w:cs="Times New Roman"/>
          <w:color w:val="000000" w:themeColor="text1"/>
          <w:szCs w:val="24"/>
        </w:rPr>
        <w:t xml:space="preserve"> </w:t>
      </w:r>
      <w:r w:rsidRPr="004F59B4">
        <w:rPr>
          <w:rFonts w:eastAsia="Times New Roman" w:cs="Times New Roman"/>
          <w:color w:val="000000" w:themeColor="text1"/>
          <w:szCs w:val="24"/>
        </w:rPr>
        <w:t>turpmāk norādītie argumenti.</w:t>
      </w:r>
    </w:p>
    <w:p w14:paraId="782340EA" w14:textId="54F5FCE5" w:rsidR="009F12A2" w:rsidRPr="004F59B4" w:rsidRDefault="005C125D"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w:t>
      </w:r>
      <w:r w:rsidR="009F12A2" w:rsidRPr="004F59B4">
        <w:rPr>
          <w:rFonts w:eastAsia="Times New Roman" w:cs="Times New Roman"/>
          <w:color w:val="000000" w:themeColor="text1"/>
          <w:szCs w:val="24"/>
        </w:rPr>
        <w:t>4</w:t>
      </w:r>
      <w:r w:rsidRPr="004F59B4">
        <w:rPr>
          <w:rFonts w:eastAsia="Times New Roman" w:cs="Times New Roman"/>
          <w:color w:val="000000" w:themeColor="text1"/>
          <w:szCs w:val="24"/>
        </w:rPr>
        <w:t xml:space="preserve">.1] </w:t>
      </w:r>
      <w:r w:rsidR="001C1B45" w:rsidRPr="004F59B4">
        <w:rPr>
          <w:rFonts w:eastAsia="Times New Roman" w:cs="Times New Roman"/>
          <w:color w:val="000000" w:themeColor="text1"/>
          <w:szCs w:val="24"/>
        </w:rPr>
        <w:t>Apelācijas instances tiesa</w:t>
      </w:r>
      <w:r w:rsidR="009F12A2" w:rsidRPr="004F59B4">
        <w:rPr>
          <w:rFonts w:eastAsia="Times New Roman" w:cs="Times New Roman"/>
          <w:color w:val="000000" w:themeColor="text1"/>
          <w:szCs w:val="24"/>
        </w:rPr>
        <w:t xml:space="preserve"> nav ievērojusi Kriminālprocesa likuma 564.panta ceturtās daļas nosacījumus</w:t>
      </w:r>
      <w:r w:rsidR="001C1B45">
        <w:rPr>
          <w:rFonts w:eastAsia="Times New Roman" w:cs="Times New Roman"/>
          <w:color w:val="000000" w:themeColor="text1"/>
          <w:szCs w:val="24"/>
        </w:rPr>
        <w:t xml:space="preserve">, kā arī </w:t>
      </w:r>
      <w:r w:rsidR="009F12A2" w:rsidRPr="004F59B4">
        <w:rPr>
          <w:rFonts w:eastAsia="Times New Roman" w:cs="Times New Roman"/>
          <w:color w:val="000000" w:themeColor="text1"/>
          <w:szCs w:val="24"/>
        </w:rPr>
        <w:t>pārkāpusi Kriminālprocesa likuma 15.pantā garantētās tiesības uz lietas izskatīšanu taisnīgā</w:t>
      </w:r>
      <w:r w:rsidR="00A0020A">
        <w:rPr>
          <w:rFonts w:eastAsia="Times New Roman" w:cs="Times New Roman"/>
          <w:color w:val="000000" w:themeColor="text1"/>
          <w:szCs w:val="24"/>
        </w:rPr>
        <w:t xml:space="preserve"> un</w:t>
      </w:r>
      <w:r w:rsidR="009F12A2" w:rsidRPr="004F59B4">
        <w:rPr>
          <w:rFonts w:eastAsia="Times New Roman" w:cs="Times New Roman"/>
          <w:color w:val="000000" w:themeColor="text1"/>
          <w:szCs w:val="24"/>
        </w:rPr>
        <w:t xml:space="preserve"> objektīvā tiesā, pieļaujot būtisku pārkāpumu </w:t>
      </w:r>
      <w:r w:rsidR="001D687A" w:rsidRPr="004F59B4">
        <w:rPr>
          <w:rFonts w:eastAsia="Times New Roman" w:cs="Times New Roman"/>
          <w:color w:val="000000" w:themeColor="text1"/>
          <w:szCs w:val="24"/>
        </w:rPr>
        <w:t>Kriminālprocesa</w:t>
      </w:r>
      <w:r w:rsidR="009F12A2" w:rsidRPr="004F59B4">
        <w:rPr>
          <w:rFonts w:eastAsia="Times New Roman" w:cs="Times New Roman"/>
          <w:color w:val="000000" w:themeColor="text1"/>
          <w:szCs w:val="24"/>
        </w:rPr>
        <w:t xml:space="preserve"> likuma 575.panta trešās daļas izpratnē. </w:t>
      </w:r>
    </w:p>
    <w:p w14:paraId="7E22C7FA" w14:textId="22C7DD66" w:rsidR="003D2111" w:rsidRPr="004F59B4" w:rsidRDefault="00F943DF"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[4.2]</w:t>
      </w:r>
      <w:r w:rsidR="00C324C9" w:rsidRPr="004F59B4">
        <w:rPr>
          <w:rFonts w:eastAsia="Times New Roman" w:cs="Times New Roman"/>
          <w:color w:val="000000" w:themeColor="text1"/>
          <w:szCs w:val="24"/>
        </w:rPr>
        <w:t xml:space="preserve"> </w:t>
      </w:r>
      <w:r w:rsidR="001C1B45" w:rsidRPr="004F59B4">
        <w:rPr>
          <w:rFonts w:eastAsia="Times New Roman" w:cs="Times New Roman"/>
          <w:color w:val="000000" w:themeColor="text1"/>
          <w:szCs w:val="24"/>
        </w:rPr>
        <w:t>Apelācijas instances tiesa nav motivējusi secinājumus, bet aprobežojusies ar formālu frāzi,</w:t>
      </w:r>
      <w:r w:rsidR="001E1A91">
        <w:rPr>
          <w:rFonts w:eastAsia="Times New Roman" w:cs="Times New Roman"/>
          <w:color w:val="000000" w:themeColor="text1"/>
          <w:szCs w:val="24"/>
        </w:rPr>
        <w:t xml:space="preserve"> </w:t>
      </w:r>
      <w:r w:rsidR="001C1B45" w:rsidRPr="004F59B4">
        <w:rPr>
          <w:rFonts w:eastAsia="Times New Roman" w:cs="Times New Roman"/>
          <w:color w:val="000000" w:themeColor="text1"/>
          <w:szCs w:val="24"/>
        </w:rPr>
        <w:t>ka</w:t>
      </w:r>
      <w:r w:rsidR="00777BD6">
        <w:rPr>
          <w:rFonts w:eastAsia="Times New Roman" w:cs="Times New Roman"/>
          <w:color w:val="C00000"/>
          <w:szCs w:val="24"/>
        </w:rPr>
        <w:t xml:space="preserve"> </w:t>
      </w:r>
      <w:r w:rsidR="00777BD6" w:rsidRPr="001E1A91">
        <w:rPr>
          <w:rFonts w:eastAsia="Times New Roman" w:cs="Times New Roman"/>
          <w:color w:val="000000" w:themeColor="text1"/>
          <w:szCs w:val="24"/>
        </w:rPr>
        <w:t>lietā</w:t>
      </w:r>
      <w:r w:rsidR="001C1B45" w:rsidRPr="004F59B4">
        <w:rPr>
          <w:rFonts w:eastAsia="Times New Roman" w:cs="Times New Roman"/>
          <w:color w:val="000000" w:themeColor="text1"/>
          <w:szCs w:val="24"/>
        </w:rPr>
        <w:t xml:space="preserve"> nav konstatēti apstākļi, ka </w:t>
      </w:r>
      <w:r w:rsidR="00F776D6">
        <w:rPr>
          <w:rFonts w:eastAsia="Times New Roman" w:cs="Times New Roman"/>
          <w:color w:val="000000" w:themeColor="text1"/>
          <w:szCs w:val="24"/>
        </w:rPr>
        <w:t>[pers.</w:t>
      </w:r>
      <w:r w:rsidR="00F776D6" w:rsidRPr="00F776D6">
        <w:rPr>
          <w:rFonts w:eastAsia="Times New Roman" w:cs="Times New Roman"/>
          <w:color w:val="000000" w:themeColor="text1"/>
          <w:szCs w:val="24"/>
        </w:rPr>
        <w:t> </w:t>
      </w:r>
      <w:r w:rsidR="0053492E">
        <w:rPr>
          <w:rFonts w:eastAsia="Times New Roman" w:cs="Times New Roman"/>
          <w:color w:val="000000" w:themeColor="text1"/>
          <w:szCs w:val="24"/>
        </w:rPr>
        <w:t>E]</w:t>
      </w:r>
      <w:r w:rsidR="001C1B45" w:rsidRPr="004F59B4">
        <w:rPr>
          <w:rFonts w:eastAsia="Times New Roman" w:cs="Times New Roman"/>
          <w:color w:val="000000" w:themeColor="text1"/>
          <w:szCs w:val="24"/>
        </w:rPr>
        <w:t xml:space="preserve"> būtu gribējis radīt cietušajiem priekšstatu par viņu reālu apdraudējumu </w:t>
      </w:r>
      <w:r w:rsidR="001C1B45">
        <w:rPr>
          <w:rFonts w:eastAsia="Times New Roman" w:cs="Times New Roman"/>
          <w:color w:val="000000" w:themeColor="text1"/>
          <w:szCs w:val="24"/>
        </w:rPr>
        <w:t xml:space="preserve">un </w:t>
      </w:r>
      <w:r w:rsidR="001C1B45" w:rsidRPr="004F59B4">
        <w:rPr>
          <w:rFonts w:eastAsia="Times New Roman" w:cs="Times New Roman"/>
          <w:color w:val="000000" w:themeColor="text1"/>
          <w:szCs w:val="24"/>
        </w:rPr>
        <w:t xml:space="preserve">varētu nodarīt kaitējumu cietušajiem vai ar tiem saistītajām personām. </w:t>
      </w:r>
      <w:r w:rsidR="00C324C9" w:rsidRPr="004F59B4">
        <w:rPr>
          <w:rFonts w:eastAsia="Times New Roman" w:cs="Times New Roman"/>
          <w:color w:val="000000" w:themeColor="text1"/>
          <w:szCs w:val="24"/>
        </w:rPr>
        <w:t xml:space="preserve">Pretēji tiesas secinājumiem ir pamats uzskatīt, ka </w:t>
      </w:r>
      <w:r w:rsidR="0053492E">
        <w:rPr>
          <w:rFonts w:eastAsia="Times New Roman" w:cs="Times New Roman"/>
          <w:color w:val="000000" w:themeColor="text1"/>
          <w:szCs w:val="24"/>
        </w:rPr>
        <w:t>[pers. E]</w:t>
      </w:r>
      <w:r w:rsidR="00C324C9" w:rsidRPr="004F59B4">
        <w:rPr>
          <w:rFonts w:eastAsia="Times New Roman" w:cs="Times New Roman"/>
          <w:color w:val="000000" w:themeColor="text1"/>
          <w:szCs w:val="24"/>
        </w:rPr>
        <w:t xml:space="preserve"> varētu radīt cietušajiem reālu apdraudējumu un nodarīt kaitējumu turpmāk minēto apsvērumu dēļ</w:t>
      </w:r>
      <w:r w:rsidR="003D2111" w:rsidRPr="004F59B4">
        <w:rPr>
          <w:rFonts w:eastAsia="Times New Roman" w:cs="Times New Roman"/>
          <w:color w:val="000000" w:themeColor="text1"/>
          <w:szCs w:val="24"/>
        </w:rPr>
        <w:t>:</w:t>
      </w:r>
    </w:p>
    <w:p w14:paraId="76AB7090" w14:textId="29E731DF" w:rsidR="003D2111" w:rsidRPr="004F59B4" w:rsidRDefault="003D2111"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w:t>
      </w:r>
      <w:r w:rsidR="00C324C9" w:rsidRPr="004F59B4">
        <w:rPr>
          <w:rFonts w:eastAsia="Times New Roman" w:cs="Times New Roman"/>
          <w:color w:val="000000" w:themeColor="text1"/>
          <w:szCs w:val="24"/>
        </w:rPr>
        <w:t xml:space="preserve"> </w:t>
      </w:r>
      <w:r w:rsidRPr="004F59B4">
        <w:rPr>
          <w:rFonts w:eastAsia="Times New Roman" w:cs="Times New Roman"/>
          <w:color w:val="000000" w:themeColor="text1"/>
          <w:szCs w:val="24"/>
        </w:rPr>
        <w:t xml:space="preserve">apsūdzētais </w:t>
      </w:r>
      <w:r w:rsidR="0053492E">
        <w:rPr>
          <w:rFonts w:eastAsia="Times New Roman" w:cs="Times New Roman"/>
          <w:color w:val="000000" w:themeColor="text1"/>
          <w:szCs w:val="24"/>
        </w:rPr>
        <w:t>[pers. E]</w:t>
      </w:r>
      <w:r w:rsidR="00A0020A">
        <w:rPr>
          <w:rFonts w:eastAsia="Times New Roman" w:cs="Times New Roman"/>
          <w:color w:val="000000" w:themeColor="text1"/>
          <w:szCs w:val="24"/>
        </w:rPr>
        <w:t>,</w:t>
      </w:r>
      <w:r w:rsidR="00C324C9" w:rsidRPr="004F59B4">
        <w:rPr>
          <w:rFonts w:eastAsia="Times New Roman" w:cs="Times New Roman"/>
          <w:color w:val="000000" w:themeColor="text1"/>
          <w:szCs w:val="24"/>
        </w:rPr>
        <w:t xml:space="preserve"> atriebjoties, rakstīj</w:t>
      </w:r>
      <w:r w:rsidR="00F77A41">
        <w:rPr>
          <w:rFonts w:eastAsia="Times New Roman" w:cs="Times New Roman"/>
          <w:color w:val="000000" w:themeColor="text1"/>
          <w:szCs w:val="24"/>
        </w:rPr>
        <w:t>is</w:t>
      </w:r>
      <w:r w:rsidR="00C324C9" w:rsidRPr="004F59B4">
        <w:rPr>
          <w:rFonts w:eastAsia="Times New Roman" w:cs="Times New Roman"/>
          <w:color w:val="000000" w:themeColor="text1"/>
          <w:szCs w:val="24"/>
        </w:rPr>
        <w:t xml:space="preserve"> naidīgas vēstules, mutiski agresīvā tonī izteic</w:t>
      </w:r>
      <w:r w:rsidR="00F77A41">
        <w:rPr>
          <w:rFonts w:eastAsia="Times New Roman" w:cs="Times New Roman"/>
          <w:color w:val="000000" w:themeColor="text1"/>
          <w:szCs w:val="24"/>
        </w:rPr>
        <w:t>is</w:t>
      </w:r>
      <w:r w:rsidR="00C324C9" w:rsidRPr="004F59B4">
        <w:rPr>
          <w:rFonts w:eastAsia="Times New Roman" w:cs="Times New Roman"/>
          <w:color w:val="000000" w:themeColor="text1"/>
          <w:szCs w:val="24"/>
        </w:rPr>
        <w:t xml:space="preserve"> draudus</w:t>
      </w:r>
      <w:r w:rsidR="00A0020A">
        <w:rPr>
          <w:rFonts w:eastAsia="Times New Roman" w:cs="Times New Roman"/>
          <w:color w:val="000000" w:themeColor="text1"/>
          <w:szCs w:val="24"/>
        </w:rPr>
        <w:t xml:space="preserve"> </w:t>
      </w:r>
      <w:r w:rsidR="00A0020A" w:rsidRPr="003031E1">
        <w:rPr>
          <w:rFonts w:eastAsia="Times New Roman" w:cs="Times New Roman"/>
          <w:color w:val="000000" w:themeColor="text1"/>
          <w:szCs w:val="24"/>
        </w:rPr>
        <w:t xml:space="preserve">par to, </w:t>
      </w:r>
      <w:r w:rsidR="00C324C9" w:rsidRPr="003031E1">
        <w:rPr>
          <w:rFonts w:eastAsia="Times New Roman" w:cs="Times New Roman"/>
          <w:color w:val="000000" w:themeColor="text1"/>
          <w:szCs w:val="24"/>
        </w:rPr>
        <w:t>ka</w:t>
      </w:r>
      <w:r w:rsidR="003031E1" w:rsidRPr="003031E1">
        <w:rPr>
          <w:rFonts w:eastAsia="Times New Roman" w:cs="Times New Roman"/>
          <w:color w:val="000000" w:themeColor="text1"/>
          <w:szCs w:val="24"/>
        </w:rPr>
        <w:t xml:space="preserve"> „</w:t>
      </w:r>
      <w:r w:rsidR="00C324C9" w:rsidRPr="003031E1">
        <w:rPr>
          <w:rFonts w:eastAsia="Times New Roman" w:cs="Times New Roman"/>
          <w:color w:val="000000" w:themeColor="text1"/>
          <w:szCs w:val="24"/>
        </w:rPr>
        <w:t>karš</w:t>
      </w:r>
      <w:r w:rsidR="00A0020A" w:rsidRPr="003031E1">
        <w:rPr>
          <w:rFonts w:eastAsia="Times New Roman" w:cs="Times New Roman"/>
          <w:color w:val="000000" w:themeColor="text1"/>
          <w:szCs w:val="24"/>
        </w:rPr>
        <w:t xml:space="preserve"> būs</w:t>
      </w:r>
      <w:r w:rsidR="00C324C9" w:rsidRPr="003031E1">
        <w:rPr>
          <w:rFonts w:eastAsia="Times New Roman" w:cs="Times New Roman"/>
          <w:color w:val="000000" w:themeColor="text1"/>
          <w:szCs w:val="24"/>
        </w:rPr>
        <w:t xml:space="preserve"> uz ilgu laiku</w:t>
      </w:r>
      <w:r w:rsidR="003031E1" w:rsidRPr="003031E1">
        <w:rPr>
          <w:rFonts w:eastAsia="Times New Roman" w:cs="Times New Roman"/>
          <w:color w:val="000000" w:themeColor="text1"/>
          <w:szCs w:val="24"/>
        </w:rPr>
        <w:t>”</w:t>
      </w:r>
      <w:r w:rsidR="00C324C9" w:rsidRPr="004F59B4">
        <w:rPr>
          <w:rFonts w:eastAsia="Times New Roman" w:cs="Times New Roman"/>
          <w:color w:val="000000" w:themeColor="text1"/>
          <w:szCs w:val="24"/>
        </w:rPr>
        <w:t xml:space="preserve">, </w:t>
      </w:r>
      <w:r w:rsidR="00F92FD7" w:rsidRPr="004F59B4">
        <w:rPr>
          <w:rFonts w:eastAsia="Times New Roman" w:cs="Times New Roman"/>
          <w:color w:val="000000" w:themeColor="text1"/>
          <w:szCs w:val="24"/>
        </w:rPr>
        <w:t xml:space="preserve">cietušo īpašuma </w:t>
      </w:r>
      <w:r w:rsidR="00F92FD7">
        <w:rPr>
          <w:rFonts w:eastAsia="Times New Roman" w:cs="Times New Roman"/>
          <w:color w:val="000000" w:themeColor="text1"/>
          <w:szCs w:val="24"/>
        </w:rPr>
        <w:t xml:space="preserve">virzienā </w:t>
      </w:r>
      <w:r w:rsidR="00C324C9" w:rsidRPr="004F59B4">
        <w:rPr>
          <w:rFonts w:eastAsia="Times New Roman" w:cs="Times New Roman"/>
          <w:color w:val="000000" w:themeColor="text1"/>
          <w:szCs w:val="24"/>
        </w:rPr>
        <w:t>uzstādīj</w:t>
      </w:r>
      <w:r w:rsidR="00F77A41">
        <w:rPr>
          <w:rFonts w:eastAsia="Times New Roman" w:cs="Times New Roman"/>
          <w:color w:val="000000" w:themeColor="text1"/>
          <w:szCs w:val="24"/>
        </w:rPr>
        <w:t>is</w:t>
      </w:r>
      <w:r w:rsidR="00C324C9" w:rsidRPr="004F59B4">
        <w:rPr>
          <w:rFonts w:eastAsia="Times New Roman" w:cs="Times New Roman"/>
          <w:color w:val="000000" w:themeColor="text1"/>
          <w:szCs w:val="24"/>
        </w:rPr>
        <w:t xml:space="preserve"> videonovērošanas kameras</w:t>
      </w:r>
      <w:r w:rsidR="000D5C53" w:rsidRPr="004F59B4">
        <w:rPr>
          <w:rFonts w:eastAsia="Times New Roman" w:cs="Times New Roman"/>
          <w:color w:val="000000" w:themeColor="text1"/>
          <w:szCs w:val="24"/>
        </w:rPr>
        <w:t xml:space="preserve"> </w:t>
      </w:r>
      <w:r w:rsidR="00A0020A">
        <w:rPr>
          <w:rFonts w:eastAsia="Times New Roman" w:cs="Times New Roman"/>
          <w:color w:val="000000" w:themeColor="text1"/>
          <w:szCs w:val="24"/>
        </w:rPr>
        <w:t>un</w:t>
      </w:r>
      <w:r w:rsidR="000D5C53" w:rsidRPr="004F59B4">
        <w:rPr>
          <w:rFonts w:eastAsia="Times New Roman" w:cs="Times New Roman"/>
          <w:color w:val="000000" w:themeColor="text1"/>
          <w:szCs w:val="24"/>
        </w:rPr>
        <w:t xml:space="preserve"> </w:t>
      </w:r>
      <w:r w:rsidR="00C8492F" w:rsidRPr="004F59B4">
        <w:rPr>
          <w:rFonts w:eastAsia="Times New Roman" w:cs="Times New Roman"/>
          <w:color w:val="000000" w:themeColor="text1"/>
          <w:szCs w:val="24"/>
        </w:rPr>
        <w:t xml:space="preserve">spilgtus </w:t>
      </w:r>
      <w:r w:rsidR="000D5C53" w:rsidRPr="004F59B4">
        <w:rPr>
          <w:rFonts w:eastAsia="Times New Roman" w:cs="Times New Roman"/>
          <w:color w:val="000000" w:themeColor="text1"/>
          <w:szCs w:val="24"/>
        </w:rPr>
        <w:t>prožektorus, kas izgaismoja māju</w:t>
      </w:r>
      <w:r w:rsidR="001E1A91">
        <w:rPr>
          <w:rFonts w:eastAsia="Times New Roman" w:cs="Times New Roman"/>
          <w:color w:val="000000" w:themeColor="text1"/>
          <w:szCs w:val="24"/>
        </w:rPr>
        <w:t>, kurā dzīvoja cietušie</w:t>
      </w:r>
      <w:r w:rsidRPr="004F59B4">
        <w:rPr>
          <w:rFonts w:eastAsia="Times New Roman" w:cs="Times New Roman"/>
          <w:color w:val="000000" w:themeColor="text1"/>
          <w:szCs w:val="24"/>
        </w:rPr>
        <w:t>;</w:t>
      </w:r>
      <w:r w:rsidR="000D5C53" w:rsidRPr="004F59B4">
        <w:rPr>
          <w:rFonts w:eastAsia="Times New Roman" w:cs="Times New Roman"/>
          <w:color w:val="000000" w:themeColor="text1"/>
          <w:szCs w:val="24"/>
        </w:rPr>
        <w:t xml:space="preserve"> </w:t>
      </w:r>
    </w:p>
    <w:p w14:paraId="7075FBE4" w14:textId="1CEC885D" w:rsidR="003D2111" w:rsidRPr="004F59B4" w:rsidRDefault="003D2111" w:rsidP="004B5341">
      <w:pPr>
        <w:spacing w:after="0" w:line="276" w:lineRule="auto"/>
        <w:ind w:firstLine="709"/>
        <w:jc w:val="both"/>
        <w:rPr>
          <w:rFonts w:eastAsia="Times New Roman" w:cs="Times New Roman"/>
          <w:b/>
          <w:color w:val="000000" w:themeColor="text1"/>
          <w:szCs w:val="24"/>
        </w:rPr>
      </w:pPr>
      <w:r w:rsidRPr="004F59B4">
        <w:rPr>
          <w:rFonts w:eastAsia="Times New Roman" w:cs="Times New Roman"/>
          <w:color w:val="000000" w:themeColor="text1"/>
          <w:szCs w:val="24"/>
        </w:rPr>
        <w:t xml:space="preserve">- apsūdzētais </w:t>
      </w:r>
      <w:r w:rsidR="0053492E">
        <w:rPr>
          <w:rFonts w:eastAsia="Times New Roman" w:cs="Times New Roman"/>
          <w:color w:val="000000" w:themeColor="text1"/>
          <w:szCs w:val="24"/>
        </w:rPr>
        <w:t>[pers. E]</w:t>
      </w:r>
      <w:r w:rsidR="00C324C9" w:rsidRPr="004F59B4">
        <w:rPr>
          <w:rFonts w:eastAsia="Times New Roman" w:cs="Times New Roman"/>
          <w:color w:val="000000" w:themeColor="text1"/>
          <w:szCs w:val="24"/>
        </w:rPr>
        <w:t xml:space="preserve"> </w:t>
      </w:r>
      <w:r w:rsidR="00F92FD7" w:rsidRPr="004F59B4">
        <w:rPr>
          <w:rFonts w:eastAsia="Times New Roman" w:cs="Times New Roman"/>
          <w:color w:val="000000" w:themeColor="text1"/>
          <w:szCs w:val="24"/>
        </w:rPr>
        <w:t xml:space="preserve">bieži </w:t>
      </w:r>
      <w:r w:rsidR="00C8492F" w:rsidRPr="004F59B4">
        <w:rPr>
          <w:rFonts w:eastAsia="Times New Roman" w:cs="Times New Roman"/>
          <w:color w:val="000000" w:themeColor="text1"/>
          <w:szCs w:val="24"/>
        </w:rPr>
        <w:t xml:space="preserve">un </w:t>
      </w:r>
      <w:r w:rsidR="00F92FD7" w:rsidRPr="004F59B4">
        <w:rPr>
          <w:rFonts w:eastAsia="Times New Roman" w:cs="Times New Roman"/>
          <w:color w:val="000000" w:themeColor="text1"/>
          <w:szCs w:val="24"/>
        </w:rPr>
        <w:t xml:space="preserve">ilgstoši </w:t>
      </w:r>
      <w:r w:rsidR="00C8492F" w:rsidRPr="004F59B4">
        <w:rPr>
          <w:rFonts w:eastAsia="Times New Roman" w:cs="Times New Roman"/>
          <w:color w:val="000000" w:themeColor="text1"/>
          <w:szCs w:val="24"/>
        </w:rPr>
        <w:t>novēroj</w:t>
      </w:r>
      <w:r w:rsidR="00F77A41">
        <w:rPr>
          <w:rFonts w:eastAsia="Times New Roman" w:cs="Times New Roman"/>
          <w:color w:val="000000" w:themeColor="text1"/>
          <w:szCs w:val="24"/>
        </w:rPr>
        <w:t>is</w:t>
      </w:r>
      <w:r w:rsidR="00F92FD7" w:rsidRPr="00F92FD7">
        <w:rPr>
          <w:rFonts w:eastAsia="Times New Roman" w:cs="Times New Roman"/>
          <w:color w:val="000000" w:themeColor="text1"/>
          <w:szCs w:val="24"/>
        </w:rPr>
        <w:t xml:space="preserve"> </w:t>
      </w:r>
      <w:r w:rsidR="00F92FD7" w:rsidRPr="004F59B4">
        <w:rPr>
          <w:rFonts w:eastAsia="Times New Roman" w:cs="Times New Roman"/>
          <w:color w:val="000000" w:themeColor="text1"/>
          <w:szCs w:val="24"/>
        </w:rPr>
        <w:t>cietušos</w:t>
      </w:r>
      <w:r w:rsidR="00C8492F" w:rsidRPr="004F59B4">
        <w:rPr>
          <w:rFonts w:eastAsia="Times New Roman" w:cs="Times New Roman"/>
          <w:color w:val="000000" w:themeColor="text1"/>
          <w:szCs w:val="24"/>
        </w:rPr>
        <w:t>, filmēj</w:t>
      </w:r>
      <w:r w:rsidR="00F77A41">
        <w:rPr>
          <w:rFonts w:eastAsia="Times New Roman" w:cs="Times New Roman"/>
          <w:color w:val="000000" w:themeColor="text1"/>
          <w:szCs w:val="24"/>
        </w:rPr>
        <w:t>is</w:t>
      </w:r>
      <w:r w:rsidR="00C8492F" w:rsidRPr="004F59B4">
        <w:rPr>
          <w:rFonts w:eastAsia="Times New Roman" w:cs="Times New Roman"/>
          <w:color w:val="000000" w:themeColor="text1"/>
          <w:szCs w:val="24"/>
        </w:rPr>
        <w:t xml:space="preserve"> un fotografēj</w:t>
      </w:r>
      <w:r w:rsidR="00F77A41">
        <w:rPr>
          <w:rFonts w:eastAsia="Times New Roman" w:cs="Times New Roman"/>
          <w:color w:val="000000" w:themeColor="text1"/>
          <w:szCs w:val="24"/>
        </w:rPr>
        <w:t>is viņus</w:t>
      </w:r>
      <w:r w:rsidR="00F92FD7">
        <w:rPr>
          <w:rFonts w:eastAsia="Times New Roman" w:cs="Times New Roman"/>
          <w:color w:val="000000" w:themeColor="text1"/>
          <w:szCs w:val="24"/>
        </w:rPr>
        <w:t>,</w:t>
      </w:r>
      <w:r w:rsidR="00C8492F" w:rsidRPr="004F59B4">
        <w:rPr>
          <w:rFonts w:eastAsia="Times New Roman" w:cs="Times New Roman"/>
          <w:color w:val="000000" w:themeColor="text1"/>
          <w:szCs w:val="24"/>
        </w:rPr>
        <w:t xml:space="preserve"> sēžot </w:t>
      </w:r>
      <w:r w:rsidR="00C324C9" w:rsidRPr="004F59B4">
        <w:rPr>
          <w:rFonts w:eastAsia="Times New Roman" w:cs="Times New Roman"/>
          <w:color w:val="000000" w:themeColor="text1"/>
          <w:szCs w:val="24"/>
        </w:rPr>
        <w:t xml:space="preserve">uz sava šķūņa jumta, </w:t>
      </w:r>
      <w:r w:rsidR="00F77A41">
        <w:rPr>
          <w:rFonts w:eastAsia="Times New Roman" w:cs="Times New Roman"/>
          <w:color w:val="000000" w:themeColor="text1"/>
          <w:szCs w:val="24"/>
        </w:rPr>
        <w:t xml:space="preserve">savukārt </w:t>
      </w:r>
      <w:r w:rsidR="00C324C9" w:rsidRPr="004F59B4">
        <w:rPr>
          <w:rFonts w:eastAsia="Times New Roman" w:cs="Times New Roman"/>
          <w:color w:val="000000" w:themeColor="text1"/>
          <w:szCs w:val="24"/>
        </w:rPr>
        <w:t>vēlāk fotografēj</w:t>
      </w:r>
      <w:r w:rsidR="00F77A41">
        <w:rPr>
          <w:rFonts w:eastAsia="Times New Roman" w:cs="Times New Roman"/>
          <w:color w:val="000000" w:themeColor="text1"/>
          <w:szCs w:val="24"/>
        </w:rPr>
        <w:t>is</w:t>
      </w:r>
      <w:r w:rsidR="00C324C9" w:rsidRPr="004F59B4">
        <w:rPr>
          <w:rFonts w:eastAsia="Times New Roman" w:cs="Times New Roman"/>
          <w:color w:val="000000" w:themeColor="text1"/>
          <w:szCs w:val="24"/>
        </w:rPr>
        <w:t xml:space="preserve"> arī no savas mājas otrā stāva loga. </w:t>
      </w:r>
      <w:r w:rsidR="00A0020A">
        <w:rPr>
          <w:rFonts w:eastAsia="Times New Roman" w:cs="Times New Roman"/>
          <w:color w:val="000000" w:themeColor="text1"/>
          <w:szCs w:val="24"/>
        </w:rPr>
        <w:t>Saņ</w:t>
      </w:r>
      <w:r w:rsidR="00F77A41">
        <w:rPr>
          <w:rFonts w:eastAsia="Times New Roman" w:cs="Times New Roman"/>
          <w:color w:val="000000" w:themeColor="text1"/>
          <w:szCs w:val="24"/>
        </w:rPr>
        <w:t xml:space="preserve">ēmuši </w:t>
      </w:r>
      <w:r w:rsidR="00C324C9" w:rsidRPr="004F59B4">
        <w:rPr>
          <w:rFonts w:eastAsia="Times New Roman" w:cs="Times New Roman"/>
          <w:color w:val="000000" w:themeColor="text1"/>
          <w:szCs w:val="24"/>
        </w:rPr>
        <w:t>raks</w:t>
      </w:r>
      <w:r w:rsidR="00A0020A">
        <w:rPr>
          <w:rFonts w:eastAsia="Times New Roman" w:cs="Times New Roman"/>
          <w:color w:val="000000" w:themeColor="text1"/>
          <w:szCs w:val="24"/>
        </w:rPr>
        <w:t>tisk</w:t>
      </w:r>
      <w:r w:rsidR="00F77A41">
        <w:rPr>
          <w:rFonts w:eastAsia="Times New Roman" w:cs="Times New Roman"/>
          <w:color w:val="000000" w:themeColor="text1"/>
          <w:szCs w:val="24"/>
        </w:rPr>
        <w:t>us</w:t>
      </w:r>
      <w:r w:rsidR="00A0020A">
        <w:rPr>
          <w:rFonts w:eastAsia="Times New Roman" w:cs="Times New Roman"/>
          <w:color w:val="000000" w:themeColor="text1"/>
          <w:szCs w:val="24"/>
        </w:rPr>
        <w:t xml:space="preserve"> draud</w:t>
      </w:r>
      <w:r w:rsidR="00F77A41">
        <w:rPr>
          <w:rFonts w:eastAsia="Times New Roman" w:cs="Times New Roman"/>
          <w:color w:val="000000" w:themeColor="text1"/>
          <w:szCs w:val="24"/>
        </w:rPr>
        <w:t>us</w:t>
      </w:r>
      <w:r w:rsidR="00A0020A">
        <w:rPr>
          <w:rFonts w:eastAsia="Times New Roman" w:cs="Times New Roman"/>
          <w:color w:val="000000" w:themeColor="text1"/>
          <w:szCs w:val="24"/>
        </w:rPr>
        <w:t xml:space="preserve">, ka arī turpmāk </w:t>
      </w:r>
      <w:r w:rsidR="00F77A41">
        <w:rPr>
          <w:rFonts w:eastAsia="Times New Roman" w:cs="Times New Roman"/>
          <w:color w:val="000000" w:themeColor="text1"/>
          <w:szCs w:val="24"/>
        </w:rPr>
        <w:t xml:space="preserve">apsūdzētais </w:t>
      </w:r>
      <w:r w:rsidR="00A0020A">
        <w:rPr>
          <w:rFonts w:eastAsia="Times New Roman" w:cs="Times New Roman"/>
          <w:color w:val="000000" w:themeColor="text1"/>
          <w:szCs w:val="24"/>
        </w:rPr>
        <w:t>cietušos</w:t>
      </w:r>
      <w:r w:rsidR="00C324C9" w:rsidRPr="004F59B4">
        <w:rPr>
          <w:rFonts w:eastAsia="Times New Roman" w:cs="Times New Roman"/>
          <w:color w:val="000000" w:themeColor="text1"/>
          <w:szCs w:val="24"/>
        </w:rPr>
        <w:t xml:space="preserve"> fotografēs</w:t>
      </w:r>
      <w:r w:rsidR="000D5C53" w:rsidRPr="004F59B4">
        <w:rPr>
          <w:rFonts w:eastAsia="Times New Roman" w:cs="Times New Roman"/>
          <w:color w:val="000000" w:themeColor="text1"/>
          <w:szCs w:val="24"/>
        </w:rPr>
        <w:t xml:space="preserve">, </w:t>
      </w:r>
      <w:r w:rsidR="00A0020A">
        <w:rPr>
          <w:rFonts w:eastAsia="Times New Roman" w:cs="Times New Roman"/>
          <w:color w:val="000000" w:themeColor="text1"/>
          <w:szCs w:val="24"/>
        </w:rPr>
        <w:t xml:space="preserve">turklāt </w:t>
      </w:r>
      <w:r w:rsidR="006F514F">
        <w:rPr>
          <w:rFonts w:eastAsia="Times New Roman" w:cs="Times New Roman"/>
          <w:color w:val="000000" w:themeColor="text1"/>
          <w:szCs w:val="24"/>
        </w:rPr>
        <w:t>[pers. E]</w:t>
      </w:r>
      <w:r w:rsidR="00F77A41">
        <w:rPr>
          <w:rFonts w:eastAsia="Times New Roman" w:cs="Times New Roman"/>
          <w:color w:val="000000" w:themeColor="text1"/>
          <w:szCs w:val="24"/>
        </w:rPr>
        <w:t xml:space="preserve"> </w:t>
      </w:r>
      <w:r w:rsidR="000D5C53" w:rsidRPr="004F59B4">
        <w:rPr>
          <w:rFonts w:eastAsia="Times New Roman" w:cs="Times New Roman"/>
          <w:color w:val="000000" w:themeColor="text1"/>
          <w:szCs w:val="24"/>
        </w:rPr>
        <w:t xml:space="preserve">mutiski </w:t>
      </w:r>
      <w:r w:rsidR="00A0020A">
        <w:rPr>
          <w:rFonts w:eastAsia="Times New Roman" w:cs="Times New Roman"/>
          <w:color w:val="000000" w:themeColor="text1"/>
          <w:szCs w:val="24"/>
        </w:rPr>
        <w:t>paziņojis un ar savām d</w:t>
      </w:r>
      <w:r w:rsidR="000D5C53" w:rsidRPr="004F59B4">
        <w:rPr>
          <w:rFonts w:eastAsia="Times New Roman" w:cs="Times New Roman"/>
          <w:color w:val="000000" w:themeColor="text1"/>
          <w:szCs w:val="24"/>
        </w:rPr>
        <w:t>arbībām</w:t>
      </w:r>
      <w:r w:rsidR="000D5C53" w:rsidRPr="004F59B4">
        <w:rPr>
          <w:rFonts w:eastAsia="Times New Roman" w:cs="Times New Roman"/>
          <w:b/>
          <w:color w:val="000000" w:themeColor="text1"/>
          <w:szCs w:val="24"/>
        </w:rPr>
        <w:t xml:space="preserve"> </w:t>
      </w:r>
      <w:r w:rsidR="000D5C53" w:rsidRPr="004F59B4">
        <w:rPr>
          <w:rFonts w:eastAsia="Times New Roman" w:cs="Times New Roman"/>
          <w:color w:val="000000" w:themeColor="text1"/>
          <w:szCs w:val="24"/>
        </w:rPr>
        <w:t>li</w:t>
      </w:r>
      <w:r w:rsidR="00F77A41">
        <w:rPr>
          <w:rFonts w:eastAsia="Times New Roman" w:cs="Times New Roman"/>
          <w:color w:val="000000" w:themeColor="text1"/>
          <w:szCs w:val="24"/>
        </w:rPr>
        <w:t>cis</w:t>
      </w:r>
      <w:r w:rsidR="00C8492F" w:rsidRPr="004F59B4">
        <w:rPr>
          <w:rFonts w:eastAsia="Times New Roman" w:cs="Times New Roman"/>
          <w:color w:val="000000" w:themeColor="text1"/>
          <w:szCs w:val="24"/>
        </w:rPr>
        <w:t xml:space="preserve"> </w:t>
      </w:r>
      <w:r w:rsidR="000D5C53" w:rsidRPr="004F59B4">
        <w:rPr>
          <w:rFonts w:eastAsia="Times New Roman" w:cs="Times New Roman"/>
          <w:color w:val="000000" w:themeColor="text1"/>
          <w:szCs w:val="24"/>
        </w:rPr>
        <w:t>saprast, ka cietušie tiek novēroti</w:t>
      </w:r>
      <w:r w:rsidR="00A0020A">
        <w:rPr>
          <w:rFonts w:eastAsia="Times New Roman" w:cs="Times New Roman"/>
          <w:color w:val="000000" w:themeColor="text1"/>
          <w:szCs w:val="24"/>
        </w:rPr>
        <w:t>;</w:t>
      </w:r>
      <w:r w:rsidR="000D5C53" w:rsidRPr="004F59B4">
        <w:rPr>
          <w:rFonts w:eastAsia="Times New Roman" w:cs="Times New Roman"/>
          <w:b/>
          <w:color w:val="000000" w:themeColor="text1"/>
          <w:szCs w:val="24"/>
        </w:rPr>
        <w:t xml:space="preserve"> </w:t>
      </w:r>
    </w:p>
    <w:p w14:paraId="784DFA75" w14:textId="4BAD73A3" w:rsidR="003D2111" w:rsidRPr="004F59B4" w:rsidRDefault="003D2111" w:rsidP="004B5341">
      <w:pPr>
        <w:spacing w:after="0" w:line="276" w:lineRule="auto"/>
        <w:ind w:firstLine="709"/>
        <w:jc w:val="both"/>
        <w:rPr>
          <w:rFonts w:eastAsia="Times New Roman" w:cs="Times New Roman"/>
          <w:color w:val="000000" w:themeColor="text1"/>
          <w:szCs w:val="24"/>
        </w:rPr>
      </w:pPr>
      <w:r w:rsidRPr="004F59B4">
        <w:rPr>
          <w:rFonts w:eastAsia="Times New Roman" w:cs="Times New Roman"/>
          <w:b/>
          <w:color w:val="000000" w:themeColor="text1"/>
          <w:szCs w:val="24"/>
        </w:rPr>
        <w:t>-</w:t>
      </w:r>
      <w:r w:rsidRPr="00D56467">
        <w:rPr>
          <w:rFonts w:eastAsia="Times New Roman" w:cs="Times New Roman"/>
          <w:bCs/>
          <w:color w:val="000000" w:themeColor="text1"/>
          <w:szCs w:val="24"/>
        </w:rPr>
        <w:t xml:space="preserve"> </w:t>
      </w:r>
      <w:r w:rsidRPr="004F59B4">
        <w:rPr>
          <w:rFonts w:eastAsia="Times New Roman" w:cs="Times New Roman"/>
          <w:color w:val="000000" w:themeColor="text1"/>
          <w:szCs w:val="24"/>
        </w:rPr>
        <w:t>a</w:t>
      </w:r>
      <w:r w:rsidR="000D5C53" w:rsidRPr="004F59B4">
        <w:rPr>
          <w:rFonts w:eastAsia="Times New Roman" w:cs="Times New Roman"/>
          <w:color w:val="000000" w:themeColor="text1"/>
          <w:szCs w:val="24"/>
        </w:rPr>
        <w:t xml:space="preserve">psūdzētais vairākkārtīgi biedējis un naidīgi uzrunājis mazgadīgo meitu </w:t>
      </w:r>
      <w:r w:rsidR="006F514F">
        <w:rPr>
          <w:rFonts w:eastAsia="Times New Roman" w:cs="Times New Roman"/>
          <w:color w:val="000000" w:themeColor="text1"/>
          <w:szCs w:val="24"/>
        </w:rPr>
        <w:t>[pers. D]</w:t>
      </w:r>
      <w:r w:rsidR="000D5C53" w:rsidRPr="004F59B4">
        <w:rPr>
          <w:rFonts w:eastAsia="Times New Roman" w:cs="Times New Roman"/>
          <w:color w:val="000000" w:themeColor="text1"/>
          <w:szCs w:val="24"/>
        </w:rPr>
        <w:t>, kuras istabā apsūdzētais spīdināj</w:t>
      </w:r>
      <w:r w:rsidR="00F77A41">
        <w:rPr>
          <w:rFonts w:eastAsia="Times New Roman" w:cs="Times New Roman"/>
          <w:color w:val="000000" w:themeColor="text1"/>
          <w:szCs w:val="24"/>
        </w:rPr>
        <w:t>is</w:t>
      </w:r>
      <w:r w:rsidR="000D5C53" w:rsidRPr="004F59B4">
        <w:rPr>
          <w:rFonts w:eastAsia="Times New Roman" w:cs="Times New Roman"/>
          <w:color w:val="000000" w:themeColor="text1"/>
          <w:szCs w:val="24"/>
        </w:rPr>
        <w:t xml:space="preserve"> lāzeru, izraisot bērnam bailes, stresu un emocionālu traumu. </w:t>
      </w:r>
      <w:r w:rsidR="00A0020A">
        <w:rPr>
          <w:rFonts w:eastAsia="Times New Roman" w:cs="Times New Roman"/>
          <w:color w:val="000000" w:themeColor="text1"/>
          <w:szCs w:val="24"/>
        </w:rPr>
        <w:t>A</w:t>
      </w:r>
      <w:r w:rsidR="000D5C53" w:rsidRPr="004F59B4">
        <w:rPr>
          <w:rFonts w:eastAsia="Times New Roman" w:cs="Times New Roman"/>
          <w:color w:val="000000" w:themeColor="text1"/>
          <w:szCs w:val="24"/>
        </w:rPr>
        <w:t xml:space="preserve">rī meita </w:t>
      </w:r>
      <w:r w:rsidR="006F514F">
        <w:rPr>
          <w:rFonts w:eastAsia="Times New Roman" w:cs="Times New Roman"/>
          <w:color w:val="000000" w:themeColor="text1"/>
          <w:szCs w:val="24"/>
        </w:rPr>
        <w:t>[pers. </w:t>
      </w:r>
      <w:r w:rsidR="006F514F">
        <w:t>B]</w:t>
      </w:r>
      <w:r w:rsidR="000D5C53" w:rsidRPr="004F59B4">
        <w:rPr>
          <w:rFonts w:eastAsia="Times New Roman" w:cs="Times New Roman"/>
          <w:color w:val="000000" w:themeColor="text1"/>
          <w:szCs w:val="24"/>
        </w:rPr>
        <w:t xml:space="preserve"> liecināj</w:t>
      </w:r>
      <w:r w:rsidR="009D2CBD" w:rsidRPr="001E1A91">
        <w:rPr>
          <w:rFonts w:eastAsia="Times New Roman" w:cs="Times New Roman"/>
          <w:color w:val="000000" w:themeColor="text1"/>
          <w:szCs w:val="24"/>
        </w:rPr>
        <w:t>usi</w:t>
      </w:r>
      <w:r w:rsidR="000D5C53" w:rsidRPr="004F59B4">
        <w:rPr>
          <w:rFonts w:eastAsia="Times New Roman" w:cs="Times New Roman"/>
          <w:color w:val="000000" w:themeColor="text1"/>
          <w:szCs w:val="24"/>
        </w:rPr>
        <w:t xml:space="preserve"> par savām bailēm un baiļu iemesliem</w:t>
      </w:r>
      <w:r w:rsidR="00A0020A">
        <w:rPr>
          <w:rFonts w:eastAsia="Times New Roman" w:cs="Times New Roman"/>
          <w:color w:val="000000" w:themeColor="text1"/>
          <w:szCs w:val="24"/>
        </w:rPr>
        <w:t>;</w:t>
      </w:r>
      <w:r w:rsidR="000D5C53" w:rsidRPr="004F59B4">
        <w:rPr>
          <w:rFonts w:eastAsia="Times New Roman" w:cs="Times New Roman"/>
          <w:color w:val="000000" w:themeColor="text1"/>
          <w:szCs w:val="24"/>
        </w:rPr>
        <w:t xml:space="preserve"> </w:t>
      </w:r>
    </w:p>
    <w:p w14:paraId="006C75D8" w14:textId="5110C21B" w:rsidR="003D2111" w:rsidRPr="004F59B4" w:rsidRDefault="003D2111" w:rsidP="004B5341">
      <w:pPr>
        <w:spacing w:after="0" w:line="276" w:lineRule="auto"/>
        <w:ind w:firstLine="709"/>
        <w:jc w:val="both"/>
        <w:rPr>
          <w:rFonts w:cs="Times New Roman"/>
          <w:color w:val="000000" w:themeColor="text1"/>
          <w:szCs w:val="24"/>
        </w:rPr>
      </w:pPr>
      <w:r w:rsidRPr="004F59B4">
        <w:rPr>
          <w:rFonts w:eastAsia="Times New Roman" w:cs="Times New Roman"/>
          <w:color w:val="000000" w:themeColor="text1"/>
          <w:szCs w:val="24"/>
        </w:rPr>
        <w:t>- a</w:t>
      </w:r>
      <w:r w:rsidR="00826091" w:rsidRPr="004F59B4">
        <w:rPr>
          <w:rFonts w:eastAsia="Times New Roman" w:cs="Times New Roman"/>
          <w:color w:val="000000" w:themeColor="text1"/>
          <w:szCs w:val="24"/>
        </w:rPr>
        <w:t xml:space="preserve">psūdzētais centies cietušajiem iedvest bailes arī uz ceļa, apzināti braucot pretī pa pretējo braukšanas joslu, izsekojot viņus, kā arī strauji apdzenot cietušo vadīto automašīnu, </w:t>
      </w:r>
      <w:r w:rsidR="005B4435">
        <w:rPr>
          <w:rFonts w:cs="Times New Roman"/>
          <w:color w:val="000000" w:themeColor="text1"/>
          <w:szCs w:val="24"/>
        </w:rPr>
        <w:t xml:space="preserve">un </w:t>
      </w:r>
      <w:r w:rsidR="00826091" w:rsidRPr="004F59B4">
        <w:rPr>
          <w:rFonts w:cs="Times New Roman"/>
          <w:color w:val="000000" w:themeColor="text1"/>
          <w:szCs w:val="24"/>
        </w:rPr>
        <w:t xml:space="preserve">pēc apdzīšanas manevra ar savu automašīnu aizšķērsojot </w:t>
      </w:r>
      <w:r w:rsidR="00A0020A" w:rsidRPr="004F59B4">
        <w:rPr>
          <w:rFonts w:cs="Times New Roman"/>
          <w:color w:val="000000" w:themeColor="text1"/>
          <w:szCs w:val="24"/>
        </w:rPr>
        <w:t>ceļu</w:t>
      </w:r>
      <w:r w:rsidR="00A0020A">
        <w:rPr>
          <w:rFonts w:cs="Times New Roman"/>
          <w:color w:val="000000" w:themeColor="text1"/>
          <w:szCs w:val="24"/>
        </w:rPr>
        <w:t>;</w:t>
      </w:r>
      <w:r w:rsidRPr="004F59B4">
        <w:rPr>
          <w:rFonts w:cs="Times New Roman"/>
          <w:color w:val="000000" w:themeColor="text1"/>
          <w:szCs w:val="24"/>
        </w:rPr>
        <w:t xml:space="preserve"> </w:t>
      </w:r>
    </w:p>
    <w:p w14:paraId="398DE477" w14:textId="532BA2F5" w:rsidR="009F12A2" w:rsidRPr="00A0020A" w:rsidRDefault="003D2111" w:rsidP="003031E1">
      <w:pPr>
        <w:spacing w:after="0" w:line="276" w:lineRule="auto"/>
        <w:ind w:firstLine="709"/>
        <w:jc w:val="both"/>
        <w:rPr>
          <w:rFonts w:cs="Times New Roman"/>
          <w:b/>
          <w:color w:val="000000" w:themeColor="text1"/>
          <w:szCs w:val="24"/>
        </w:rPr>
      </w:pPr>
      <w:r w:rsidRPr="004F59B4">
        <w:rPr>
          <w:rFonts w:cs="Times New Roman"/>
          <w:color w:val="000000" w:themeColor="text1"/>
          <w:szCs w:val="24"/>
        </w:rPr>
        <w:t xml:space="preserve">- </w:t>
      </w:r>
      <w:r w:rsidR="00826091" w:rsidRPr="004F59B4">
        <w:rPr>
          <w:rFonts w:cs="Times New Roman"/>
          <w:color w:val="000000" w:themeColor="text1"/>
          <w:szCs w:val="24"/>
        </w:rPr>
        <w:t xml:space="preserve">ir pamats baidīties par savu un bērnu drošību, jo apsūdzētais ir nodarījis miesas bojājumus citām personām un kaimiņu sunim. </w:t>
      </w:r>
    </w:p>
    <w:p w14:paraId="3FF03FA1" w14:textId="6D736950" w:rsidR="004F2A81" w:rsidRPr="004F59B4" w:rsidRDefault="001C1B45" w:rsidP="004B5341">
      <w:pPr>
        <w:spacing w:after="0" w:line="276" w:lineRule="auto"/>
        <w:ind w:firstLine="709"/>
        <w:jc w:val="both"/>
        <w:rPr>
          <w:rFonts w:cs="Times New Roman"/>
          <w:color w:val="000000" w:themeColor="text1"/>
          <w:szCs w:val="24"/>
        </w:rPr>
      </w:pPr>
      <w:r>
        <w:rPr>
          <w:rFonts w:cs="Times New Roman"/>
          <w:color w:val="000000" w:themeColor="text1"/>
          <w:szCs w:val="24"/>
        </w:rPr>
        <w:t xml:space="preserve">[4.3] </w:t>
      </w:r>
      <w:r w:rsidR="00F77A41">
        <w:rPr>
          <w:rFonts w:cs="Times New Roman"/>
          <w:color w:val="000000" w:themeColor="text1"/>
          <w:szCs w:val="24"/>
        </w:rPr>
        <w:t xml:space="preserve">Ievērojot to, ka </w:t>
      </w:r>
      <w:r w:rsidR="006F514F">
        <w:rPr>
          <w:rFonts w:cs="Times New Roman"/>
          <w:color w:val="000000" w:themeColor="text1"/>
          <w:szCs w:val="24"/>
        </w:rPr>
        <w:t>[pers. E]</w:t>
      </w:r>
      <w:r>
        <w:rPr>
          <w:rFonts w:cs="Times New Roman"/>
          <w:color w:val="000000" w:themeColor="text1"/>
          <w:szCs w:val="24"/>
        </w:rPr>
        <w:t xml:space="preserve"> darbīb</w:t>
      </w:r>
      <w:r w:rsidR="0007793F">
        <w:rPr>
          <w:rFonts w:cs="Times New Roman"/>
          <w:color w:val="000000" w:themeColor="text1"/>
          <w:szCs w:val="24"/>
        </w:rPr>
        <w:t xml:space="preserve">ās ir saskatāmas </w:t>
      </w:r>
      <w:r>
        <w:rPr>
          <w:rFonts w:cs="Times New Roman"/>
          <w:color w:val="000000" w:themeColor="text1"/>
          <w:szCs w:val="24"/>
        </w:rPr>
        <w:t>noziedzīgā nodarījuma sastāva subjektīvās puses pazīm</w:t>
      </w:r>
      <w:r w:rsidR="0007793F">
        <w:rPr>
          <w:rFonts w:cs="Times New Roman"/>
          <w:color w:val="000000" w:themeColor="text1"/>
          <w:szCs w:val="24"/>
        </w:rPr>
        <w:t>es</w:t>
      </w:r>
      <w:r w:rsidR="00F77A41">
        <w:rPr>
          <w:rFonts w:cs="Times New Roman"/>
          <w:color w:val="000000" w:themeColor="text1"/>
          <w:szCs w:val="24"/>
        </w:rPr>
        <w:t xml:space="preserve">, </w:t>
      </w:r>
      <w:r w:rsidR="0007793F">
        <w:rPr>
          <w:rFonts w:cs="Times New Roman"/>
          <w:color w:val="000000" w:themeColor="text1"/>
          <w:szCs w:val="24"/>
        </w:rPr>
        <w:t xml:space="preserve">tiesa </w:t>
      </w:r>
      <w:r w:rsidR="00881864">
        <w:rPr>
          <w:rFonts w:cs="Times New Roman"/>
          <w:color w:val="000000" w:themeColor="text1"/>
          <w:szCs w:val="24"/>
        </w:rPr>
        <w:t xml:space="preserve">nepareizi iztulkojusi un piemērojusi </w:t>
      </w:r>
      <w:r w:rsidR="0007793F">
        <w:rPr>
          <w:rFonts w:cs="Times New Roman"/>
          <w:color w:val="000000" w:themeColor="text1"/>
          <w:szCs w:val="24"/>
        </w:rPr>
        <w:t>Krimināllikuma 132.</w:t>
      </w:r>
      <w:r w:rsidR="0007793F" w:rsidRPr="0007793F">
        <w:rPr>
          <w:rFonts w:cs="Times New Roman"/>
          <w:color w:val="000000" w:themeColor="text1"/>
          <w:szCs w:val="24"/>
          <w:vertAlign w:val="superscript"/>
        </w:rPr>
        <w:t>1</w:t>
      </w:r>
      <w:r w:rsidR="0007793F">
        <w:rPr>
          <w:rFonts w:cs="Times New Roman"/>
          <w:color w:val="000000" w:themeColor="text1"/>
          <w:szCs w:val="24"/>
        </w:rPr>
        <w:t xml:space="preserve">panta tiesību normu. </w:t>
      </w:r>
    </w:p>
    <w:p w14:paraId="0655E1E0" w14:textId="77777777" w:rsidR="004F2A81" w:rsidRPr="004F59B4" w:rsidRDefault="004F2A81" w:rsidP="004B5341">
      <w:pPr>
        <w:spacing w:after="0" w:line="276" w:lineRule="auto"/>
        <w:ind w:firstLine="709"/>
        <w:jc w:val="both"/>
        <w:rPr>
          <w:rFonts w:eastAsia="Times New Roman" w:cs="Times New Roman"/>
          <w:b/>
          <w:color w:val="000000" w:themeColor="text1"/>
          <w:szCs w:val="24"/>
        </w:rPr>
      </w:pPr>
    </w:p>
    <w:p w14:paraId="180F9057" w14:textId="258BAD71" w:rsidR="004F2A81" w:rsidRPr="004F59B4" w:rsidRDefault="004F2A81" w:rsidP="00B6312C">
      <w:pPr>
        <w:autoSpaceDE w:val="0"/>
        <w:autoSpaceDN w:val="0"/>
        <w:adjustRightInd w:val="0"/>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 xml:space="preserve">[5] Par </w:t>
      </w:r>
      <w:r w:rsidR="006F514F">
        <w:rPr>
          <w:rFonts w:eastAsia="Times New Roman" w:cs="Times New Roman"/>
          <w:color w:val="000000" w:themeColor="text1"/>
          <w:szCs w:val="24"/>
        </w:rPr>
        <w:t>[..]</w:t>
      </w:r>
      <w:r w:rsidRPr="004F59B4">
        <w:rPr>
          <w:rFonts w:eastAsia="Times New Roman" w:cs="Times New Roman"/>
          <w:color w:val="000000" w:themeColor="text1"/>
          <w:szCs w:val="24"/>
        </w:rPr>
        <w:t xml:space="preserve"> apgabaltiesas 2020.gada </w:t>
      </w:r>
      <w:r w:rsidR="006F514F">
        <w:rPr>
          <w:rFonts w:eastAsia="Times New Roman" w:cs="Times New Roman"/>
          <w:color w:val="000000" w:themeColor="text1"/>
          <w:szCs w:val="24"/>
        </w:rPr>
        <w:t>[..]</w:t>
      </w:r>
      <w:r w:rsidRPr="004F59B4">
        <w:rPr>
          <w:rFonts w:eastAsia="Times New Roman" w:cs="Times New Roman"/>
          <w:color w:val="000000" w:themeColor="text1"/>
          <w:szCs w:val="24"/>
        </w:rPr>
        <w:t xml:space="preserve"> spriedumu </w:t>
      </w:r>
      <w:r w:rsidR="006F514F">
        <w:rPr>
          <w:rFonts w:eastAsia="Times New Roman" w:cs="Times New Roman"/>
          <w:color w:val="000000" w:themeColor="text1"/>
          <w:szCs w:val="24"/>
        </w:rPr>
        <w:t>[..]</w:t>
      </w:r>
      <w:r w:rsidRPr="004F59B4">
        <w:rPr>
          <w:rFonts w:eastAsia="Times New Roman" w:cs="Times New Roman"/>
          <w:color w:val="000000" w:themeColor="text1"/>
          <w:szCs w:val="24"/>
        </w:rPr>
        <w:t xml:space="preserve"> tiesas apgabala prokuratūras prokurore Ērika Rudzīte iesniegusi kasācijas protestu, kurā lūdz</w:t>
      </w:r>
      <w:r w:rsidRPr="004F59B4">
        <w:rPr>
          <w:rFonts w:cs="Times New Roman"/>
          <w:color w:val="000000" w:themeColor="text1"/>
          <w:szCs w:val="24"/>
        </w:rPr>
        <w:t xml:space="preserve"> </w:t>
      </w:r>
      <w:r w:rsidRPr="004F59B4">
        <w:rPr>
          <w:rFonts w:eastAsia="Times New Roman" w:cs="Times New Roman"/>
          <w:color w:val="000000" w:themeColor="text1"/>
          <w:szCs w:val="24"/>
        </w:rPr>
        <w:t xml:space="preserve">apelācijas instances tiesas </w:t>
      </w:r>
      <w:r w:rsidR="00223E3F" w:rsidRPr="001E1A91">
        <w:rPr>
          <w:rFonts w:eastAsia="Times New Roman" w:cs="Times New Roman"/>
          <w:color w:val="000000" w:themeColor="text1"/>
          <w:szCs w:val="24"/>
        </w:rPr>
        <w:t>spriedumu</w:t>
      </w:r>
      <w:r w:rsidR="001E1A91">
        <w:rPr>
          <w:rFonts w:eastAsia="Times New Roman" w:cs="Times New Roman"/>
          <w:color w:val="FF0000"/>
          <w:szCs w:val="24"/>
        </w:rPr>
        <w:t xml:space="preserve"> </w:t>
      </w:r>
      <w:r w:rsidRPr="004F59B4">
        <w:rPr>
          <w:rFonts w:eastAsia="Times New Roman" w:cs="Times New Roman"/>
          <w:color w:val="000000" w:themeColor="text1"/>
          <w:szCs w:val="24"/>
        </w:rPr>
        <w:t xml:space="preserve">atcelt un nosūtīt lietu jaunai izskatīšanai apelācijas instances tiesā. </w:t>
      </w:r>
    </w:p>
    <w:p w14:paraId="282127FB" w14:textId="075E3DD1" w:rsidR="004F2A81" w:rsidRPr="004F59B4" w:rsidRDefault="004F2A81" w:rsidP="004F2A81">
      <w:pPr>
        <w:spacing w:after="0" w:line="276" w:lineRule="auto"/>
        <w:ind w:firstLine="709"/>
        <w:jc w:val="both"/>
        <w:rPr>
          <w:rFonts w:eastAsia="Times New Roman" w:cs="Times New Roman"/>
          <w:color w:val="000000" w:themeColor="text1"/>
          <w:szCs w:val="24"/>
        </w:rPr>
      </w:pPr>
      <w:r w:rsidRPr="004F59B4">
        <w:rPr>
          <w:rFonts w:eastAsia="Times New Roman" w:cs="Times New Roman"/>
          <w:color w:val="000000" w:themeColor="text1"/>
          <w:szCs w:val="24"/>
        </w:rPr>
        <w:t xml:space="preserve">Kasācijas </w:t>
      </w:r>
      <w:r w:rsidR="00055DED">
        <w:rPr>
          <w:rFonts w:eastAsia="Times New Roman" w:cs="Times New Roman"/>
          <w:color w:val="000000" w:themeColor="text1"/>
          <w:szCs w:val="24"/>
        </w:rPr>
        <w:t>protestu</w:t>
      </w:r>
      <w:r w:rsidRPr="004F59B4">
        <w:rPr>
          <w:rFonts w:eastAsia="Times New Roman" w:cs="Times New Roman"/>
          <w:color w:val="000000" w:themeColor="text1"/>
          <w:szCs w:val="24"/>
        </w:rPr>
        <w:t xml:space="preserve"> pamato</w:t>
      </w:r>
      <w:r w:rsidR="00055DED">
        <w:rPr>
          <w:rFonts w:eastAsia="Times New Roman" w:cs="Times New Roman"/>
          <w:color w:val="000000" w:themeColor="text1"/>
          <w:szCs w:val="24"/>
        </w:rPr>
        <w:t xml:space="preserve"> </w:t>
      </w:r>
      <w:r w:rsidRPr="004F59B4">
        <w:rPr>
          <w:rFonts w:eastAsia="Times New Roman" w:cs="Times New Roman"/>
          <w:color w:val="000000" w:themeColor="text1"/>
          <w:szCs w:val="24"/>
        </w:rPr>
        <w:t>turpmāk norādītie argumenti.</w:t>
      </w:r>
    </w:p>
    <w:p w14:paraId="7311F890" w14:textId="76CCD210" w:rsidR="005531EA" w:rsidRPr="004F59B4" w:rsidRDefault="005531EA" w:rsidP="005531EA">
      <w:pPr>
        <w:pStyle w:val="Default"/>
        <w:spacing w:line="276" w:lineRule="auto"/>
        <w:ind w:firstLine="720"/>
        <w:jc w:val="both"/>
        <w:rPr>
          <w:color w:val="000000" w:themeColor="text1"/>
        </w:rPr>
      </w:pPr>
      <w:r w:rsidRPr="004F59B4">
        <w:rPr>
          <w:color w:val="000000" w:themeColor="text1"/>
        </w:rPr>
        <w:t>[5.1] Apelācijas instances tiesa nav ievērojusi Kriminālprocesa likuma 124., 127.-130.panta prasības, kas noved</w:t>
      </w:r>
      <w:r w:rsidR="009C6F4F">
        <w:rPr>
          <w:color w:val="000000" w:themeColor="text1"/>
        </w:rPr>
        <w:t>is</w:t>
      </w:r>
      <w:r w:rsidRPr="004F59B4">
        <w:rPr>
          <w:color w:val="000000" w:themeColor="text1"/>
        </w:rPr>
        <w:t xml:space="preserve"> pie nelikumīga un Kriminālprocesa likuma 511.., 512., 525.panta otrās daļas 2. un 3.punkta, 564.panta ceturtās daļas un astotās daļas prasībām neatbilstoša sprieduma, kas Kriminālprocesa likuma 575.panta trešās daļas</w:t>
      </w:r>
      <w:r w:rsidR="004E3E89" w:rsidRPr="004F59B4">
        <w:rPr>
          <w:color w:val="000000" w:themeColor="text1"/>
        </w:rPr>
        <w:t xml:space="preserve"> izpratnē atzīstams par būtisku šā likuma pārkāpumu. Tāpat </w:t>
      </w:r>
      <w:r w:rsidR="0007793F">
        <w:rPr>
          <w:color w:val="000000" w:themeColor="text1"/>
        </w:rPr>
        <w:t xml:space="preserve">tiesa </w:t>
      </w:r>
      <w:r w:rsidR="00E24540" w:rsidRPr="004F59B4">
        <w:rPr>
          <w:color w:val="000000" w:themeColor="text1"/>
        </w:rPr>
        <w:t>pieļāvusi Kriminālprocesa likuma 5</w:t>
      </w:r>
      <w:r w:rsidR="003031E1">
        <w:rPr>
          <w:color w:val="000000" w:themeColor="text1"/>
        </w:rPr>
        <w:t>7</w:t>
      </w:r>
      <w:r w:rsidR="00E24540" w:rsidRPr="004F59B4">
        <w:rPr>
          <w:color w:val="000000" w:themeColor="text1"/>
        </w:rPr>
        <w:t>4.panta 1.punkta pārkāpumu</w:t>
      </w:r>
      <w:r w:rsidR="004E3E89" w:rsidRPr="004F59B4">
        <w:rPr>
          <w:color w:val="000000" w:themeColor="text1"/>
        </w:rPr>
        <w:t>.</w:t>
      </w:r>
    </w:p>
    <w:p w14:paraId="357149C7" w14:textId="44CCD82A" w:rsidR="0007793F" w:rsidRDefault="004E3E89" w:rsidP="009E3C84">
      <w:pPr>
        <w:pStyle w:val="Default"/>
        <w:spacing w:line="276" w:lineRule="auto"/>
        <w:ind w:firstLine="720"/>
        <w:jc w:val="both"/>
        <w:rPr>
          <w:color w:val="000000" w:themeColor="text1"/>
        </w:rPr>
      </w:pPr>
      <w:r w:rsidRPr="004F59B4">
        <w:rPr>
          <w:color w:val="000000" w:themeColor="text1"/>
        </w:rPr>
        <w:t>[5.2] Apel</w:t>
      </w:r>
      <w:r w:rsidR="00E24540" w:rsidRPr="004F59B4">
        <w:rPr>
          <w:color w:val="000000" w:themeColor="text1"/>
        </w:rPr>
        <w:t xml:space="preserve">ācijas instances tiesa </w:t>
      </w:r>
      <w:r w:rsidRPr="004F59B4">
        <w:rPr>
          <w:color w:val="000000" w:themeColor="text1"/>
        </w:rPr>
        <w:t>motīvu daļā nav</w:t>
      </w:r>
      <w:r w:rsidR="00E24540" w:rsidRPr="004F59B4">
        <w:rPr>
          <w:color w:val="000000" w:themeColor="text1"/>
        </w:rPr>
        <w:t xml:space="preserve"> vērtējusi, analizējusi vai </w:t>
      </w:r>
      <w:r w:rsidRPr="004F59B4">
        <w:rPr>
          <w:color w:val="000000" w:themeColor="text1"/>
        </w:rPr>
        <w:t>norādījusi, kāpēc</w:t>
      </w:r>
      <w:r w:rsidR="00223E3F">
        <w:rPr>
          <w:color w:val="000000" w:themeColor="text1"/>
        </w:rPr>
        <w:t xml:space="preserve"> </w:t>
      </w:r>
      <w:r w:rsidR="00223E3F" w:rsidRPr="001E1A91">
        <w:rPr>
          <w:color w:val="000000" w:themeColor="text1"/>
        </w:rPr>
        <w:t>tā</w:t>
      </w:r>
      <w:r w:rsidR="001E1A91">
        <w:rPr>
          <w:color w:val="000000" w:themeColor="text1"/>
        </w:rPr>
        <w:t xml:space="preserve"> </w:t>
      </w:r>
      <w:r w:rsidR="009E3C84">
        <w:rPr>
          <w:color w:val="000000" w:themeColor="text1"/>
        </w:rPr>
        <w:t>noraidījusi</w:t>
      </w:r>
      <w:r w:rsidRPr="004F59B4">
        <w:rPr>
          <w:color w:val="000000" w:themeColor="text1"/>
        </w:rPr>
        <w:t xml:space="preserve"> apsūdzības pierādījumus. </w:t>
      </w:r>
      <w:r w:rsidR="00F31EC6" w:rsidRPr="004F59B4">
        <w:rPr>
          <w:color w:val="000000" w:themeColor="text1"/>
        </w:rPr>
        <w:t>Lai arī t</w:t>
      </w:r>
      <w:r w:rsidR="00E24540" w:rsidRPr="004F59B4">
        <w:rPr>
          <w:color w:val="000000" w:themeColor="text1"/>
        </w:rPr>
        <w:t>iesa balstījusies uz tiem p</w:t>
      </w:r>
      <w:r w:rsidR="00F31EC6" w:rsidRPr="004F59B4">
        <w:rPr>
          <w:color w:val="000000" w:themeColor="text1"/>
        </w:rPr>
        <w:t>a</w:t>
      </w:r>
      <w:r w:rsidR="00E24540" w:rsidRPr="004F59B4">
        <w:rPr>
          <w:color w:val="000000" w:themeColor="text1"/>
        </w:rPr>
        <w:t xml:space="preserve">šiem </w:t>
      </w:r>
      <w:r w:rsidR="00E24540" w:rsidRPr="004F59B4">
        <w:rPr>
          <w:color w:val="000000" w:themeColor="text1"/>
        </w:rPr>
        <w:lastRenderedPageBreak/>
        <w:t>pierād</w:t>
      </w:r>
      <w:r w:rsidR="00F31EC6" w:rsidRPr="004F59B4">
        <w:rPr>
          <w:color w:val="000000" w:themeColor="text1"/>
        </w:rPr>
        <w:t>ījumiem, ko</w:t>
      </w:r>
      <w:r w:rsidR="00E24540" w:rsidRPr="004F59B4">
        <w:rPr>
          <w:color w:val="000000" w:themeColor="text1"/>
        </w:rPr>
        <w:t xml:space="preserve"> vērtē</w:t>
      </w:r>
      <w:r w:rsidR="00F31EC6" w:rsidRPr="004F59B4">
        <w:rPr>
          <w:color w:val="000000" w:themeColor="text1"/>
        </w:rPr>
        <w:t xml:space="preserve">jusi </w:t>
      </w:r>
      <w:r w:rsidR="00E24540" w:rsidRPr="004F59B4">
        <w:rPr>
          <w:color w:val="000000" w:themeColor="text1"/>
        </w:rPr>
        <w:t>pirm</w:t>
      </w:r>
      <w:r w:rsidR="00F31EC6" w:rsidRPr="004F59B4">
        <w:rPr>
          <w:color w:val="000000" w:themeColor="text1"/>
        </w:rPr>
        <w:t>ās instances tiesa, tomēr izdarījusi pretējus secinājumus</w:t>
      </w:r>
      <w:r w:rsidR="009E3C84">
        <w:rPr>
          <w:color w:val="000000" w:themeColor="text1"/>
        </w:rPr>
        <w:t xml:space="preserve">, nepamatoti </w:t>
      </w:r>
      <w:r w:rsidR="009E3C84" w:rsidRPr="004F59B4">
        <w:rPr>
          <w:color w:val="000000" w:themeColor="text1"/>
        </w:rPr>
        <w:t>atzīstot, ka apsūdzētā darbībās nav konstatējams Krimināllikuma 132.</w:t>
      </w:r>
      <w:r w:rsidR="009E3C84" w:rsidRPr="004F59B4">
        <w:rPr>
          <w:color w:val="000000" w:themeColor="text1"/>
          <w:vertAlign w:val="superscript"/>
        </w:rPr>
        <w:t>1</w:t>
      </w:r>
      <w:r w:rsidR="00223E3F" w:rsidRPr="00223E3F">
        <w:rPr>
          <w:color w:val="FF0000"/>
          <w:u w:val="single"/>
        </w:rPr>
        <w:t> </w:t>
      </w:r>
      <w:r w:rsidR="009E3C84" w:rsidRPr="004F59B4">
        <w:rPr>
          <w:color w:val="000000" w:themeColor="text1"/>
        </w:rPr>
        <w:t>pant</w:t>
      </w:r>
      <w:r w:rsidR="00F77A41">
        <w:rPr>
          <w:color w:val="000000" w:themeColor="text1"/>
        </w:rPr>
        <w:t>ā</w:t>
      </w:r>
      <w:r w:rsidR="009E3C84" w:rsidRPr="004F59B4">
        <w:rPr>
          <w:color w:val="000000" w:themeColor="text1"/>
        </w:rPr>
        <w:t xml:space="preserve"> paredzētā noziedzīgā nodarījuma sastāvs</w:t>
      </w:r>
      <w:r w:rsidR="009E3C84">
        <w:rPr>
          <w:color w:val="000000" w:themeColor="text1"/>
        </w:rPr>
        <w:t xml:space="preserve">. </w:t>
      </w:r>
    </w:p>
    <w:p w14:paraId="386F48BA" w14:textId="06A24E32" w:rsidR="008D0FCA" w:rsidRPr="004F59B4" w:rsidRDefault="00F31EC6" w:rsidP="00EC4536">
      <w:pPr>
        <w:pStyle w:val="Default"/>
        <w:spacing w:line="276" w:lineRule="auto"/>
        <w:ind w:firstLine="720"/>
        <w:jc w:val="both"/>
        <w:rPr>
          <w:color w:val="000000" w:themeColor="text1"/>
        </w:rPr>
      </w:pPr>
      <w:r w:rsidRPr="004F59B4">
        <w:rPr>
          <w:color w:val="000000" w:themeColor="text1"/>
        </w:rPr>
        <w:t xml:space="preserve">[5.3] </w:t>
      </w:r>
      <w:r w:rsidR="00EC4536" w:rsidRPr="004F59B4">
        <w:rPr>
          <w:color w:val="000000" w:themeColor="text1"/>
        </w:rPr>
        <w:t>Tiesa piešķīrusi ticamību apsūdzētā liecībām</w:t>
      </w:r>
      <w:r w:rsidR="00B6312C">
        <w:rPr>
          <w:color w:val="000000" w:themeColor="text1"/>
        </w:rPr>
        <w:t xml:space="preserve"> un</w:t>
      </w:r>
      <w:r w:rsidR="009E3C84">
        <w:rPr>
          <w:color w:val="000000" w:themeColor="text1"/>
        </w:rPr>
        <w:t xml:space="preserve"> nav </w:t>
      </w:r>
      <w:r w:rsidRPr="004F59B4">
        <w:rPr>
          <w:color w:val="000000" w:themeColor="text1"/>
        </w:rPr>
        <w:t xml:space="preserve">novērsusi pretrunas starp </w:t>
      </w:r>
      <w:r w:rsidR="009E3C84">
        <w:rPr>
          <w:color w:val="000000" w:themeColor="text1"/>
        </w:rPr>
        <w:t>tām</w:t>
      </w:r>
      <w:r w:rsidRPr="004F59B4">
        <w:rPr>
          <w:color w:val="000000" w:themeColor="text1"/>
        </w:rPr>
        <w:t xml:space="preserve"> un citiem pārbaudīt</w:t>
      </w:r>
      <w:r w:rsidR="00223E3F" w:rsidRPr="001E1A91">
        <w:rPr>
          <w:color w:val="000000" w:themeColor="text1"/>
        </w:rPr>
        <w:t>aj</w:t>
      </w:r>
      <w:r w:rsidRPr="004F59B4">
        <w:rPr>
          <w:color w:val="000000" w:themeColor="text1"/>
        </w:rPr>
        <w:t xml:space="preserve">iem pierādījumiem, kas apstiprina apsūdzētā vainu izvirzītajā apsūdzībā. </w:t>
      </w:r>
      <w:r w:rsidR="00EC4536" w:rsidRPr="004F59B4">
        <w:rPr>
          <w:color w:val="000000" w:themeColor="text1"/>
        </w:rPr>
        <w:t xml:space="preserve">Turklāt, lai arī apsūdzētais savu vainu nozieguma izdarīšanā neatzina, tomēr savas darbības nenoliedza, tās pamatojot ar vēlmi pasargāt sevi no cietušo prettiesiskām darbībām. </w:t>
      </w:r>
      <w:r w:rsidR="009E3C84">
        <w:rPr>
          <w:color w:val="000000" w:themeColor="text1"/>
        </w:rPr>
        <w:t>T</w:t>
      </w:r>
      <w:r w:rsidR="008907FA" w:rsidRPr="004F59B4">
        <w:rPr>
          <w:color w:val="000000" w:themeColor="text1"/>
        </w:rPr>
        <w:t xml:space="preserve">iesa nav vērtējusi cietušo liecības par </w:t>
      </w:r>
      <w:r w:rsidR="006F514F">
        <w:rPr>
          <w:color w:val="000000" w:themeColor="text1"/>
        </w:rPr>
        <w:t>[pers. E]</w:t>
      </w:r>
      <w:r w:rsidR="008907FA" w:rsidRPr="004F59B4">
        <w:rPr>
          <w:color w:val="000000" w:themeColor="text1"/>
        </w:rPr>
        <w:t xml:space="preserve"> </w:t>
      </w:r>
      <w:r w:rsidR="00B6312C" w:rsidRPr="004F59B4">
        <w:rPr>
          <w:color w:val="000000" w:themeColor="text1"/>
        </w:rPr>
        <w:t>tīš</w:t>
      </w:r>
      <w:r w:rsidR="00515AD1" w:rsidRPr="001E1A91">
        <w:rPr>
          <w:color w:val="000000" w:themeColor="text1"/>
        </w:rPr>
        <w:t>aj</w:t>
      </w:r>
      <w:r w:rsidR="00B6312C" w:rsidRPr="004F59B4">
        <w:rPr>
          <w:color w:val="000000" w:themeColor="text1"/>
        </w:rPr>
        <w:t>ām darbībām</w:t>
      </w:r>
      <w:r w:rsidR="008907FA" w:rsidRPr="004F59B4">
        <w:rPr>
          <w:color w:val="000000" w:themeColor="text1"/>
        </w:rPr>
        <w:t xml:space="preserve">, to </w:t>
      </w:r>
      <w:r w:rsidR="008D0FCA" w:rsidRPr="004F59B4">
        <w:rPr>
          <w:color w:val="000000" w:themeColor="text1"/>
        </w:rPr>
        <w:t>atkārtotību, neatlaidīgumu, ilgumu un sistemātiskumu</w:t>
      </w:r>
      <w:r w:rsidR="008907FA" w:rsidRPr="004F59B4">
        <w:rPr>
          <w:color w:val="000000" w:themeColor="text1"/>
        </w:rPr>
        <w:t xml:space="preserve">, kā arī </w:t>
      </w:r>
      <w:r w:rsidR="009E3C84">
        <w:rPr>
          <w:color w:val="000000" w:themeColor="text1"/>
        </w:rPr>
        <w:t>to, ka</w:t>
      </w:r>
      <w:r w:rsidR="008D0FCA" w:rsidRPr="004F59B4">
        <w:rPr>
          <w:color w:val="000000" w:themeColor="text1"/>
        </w:rPr>
        <w:t xml:space="preserve"> darbības bija vērstas uz to, lai cietušie tās uztvertu kā draudīgas un saistītas ar vajāšanu.</w:t>
      </w:r>
      <w:r w:rsidR="009E3C84">
        <w:rPr>
          <w:color w:val="000000" w:themeColor="text1"/>
        </w:rPr>
        <w:t xml:space="preserve"> </w:t>
      </w:r>
      <w:r w:rsidR="008D0FCA" w:rsidRPr="004F59B4">
        <w:rPr>
          <w:color w:val="000000" w:themeColor="text1"/>
        </w:rPr>
        <w:t xml:space="preserve">Ņemot vērā lietas faktiskos apstākļus, cietušo psihisko attieksmi pret apsūdzētā darbībām, konstatējams, ka cietušajiem bija pamats baidīties par savu un tuvinieku drošību. </w:t>
      </w:r>
    </w:p>
    <w:p w14:paraId="5E0EC1B6" w14:textId="0519455D" w:rsidR="008D0FCA" w:rsidRPr="004F59B4" w:rsidRDefault="009E3C84" w:rsidP="00EC4536">
      <w:pPr>
        <w:pStyle w:val="Default"/>
        <w:spacing w:line="276" w:lineRule="auto"/>
        <w:ind w:firstLine="720"/>
        <w:jc w:val="both"/>
        <w:rPr>
          <w:color w:val="000000" w:themeColor="text1"/>
        </w:rPr>
      </w:pPr>
      <w:r>
        <w:rPr>
          <w:color w:val="000000" w:themeColor="text1"/>
        </w:rPr>
        <w:t xml:space="preserve">[5.4] </w:t>
      </w:r>
      <w:r w:rsidR="008D0FCA" w:rsidRPr="004F59B4">
        <w:rPr>
          <w:color w:val="000000" w:themeColor="text1"/>
        </w:rPr>
        <w:t>Tiesa pretrunīgi atzinusi, ka</w:t>
      </w:r>
      <w:r w:rsidR="00515AD1">
        <w:rPr>
          <w:color w:val="000000" w:themeColor="text1"/>
        </w:rPr>
        <w:t xml:space="preserve"> </w:t>
      </w:r>
      <w:r w:rsidR="00515AD1" w:rsidRPr="001E1A91">
        <w:rPr>
          <w:color w:val="000000" w:themeColor="text1"/>
        </w:rPr>
        <w:t>lietā</w:t>
      </w:r>
      <w:r w:rsidR="008D0FCA" w:rsidRPr="004F59B4">
        <w:rPr>
          <w:color w:val="000000" w:themeColor="text1"/>
        </w:rPr>
        <w:t xml:space="preserve"> nav konstatēti pierādījumi, ka tieši </w:t>
      </w:r>
      <w:r w:rsidR="006F514F">
        <w:rPr>
          <w:color w:val="000000" w:themeColor="text1"/>
        </w:rPr>
        <w:t>[pers. E]</w:t>
      </w:r>
      <w:r w:rsidR="008D0FCA" w:rsidRPr="004F59B4">
        <w:rPr>
          <w:color w:val="000000" w:themeColor="text1"/>
        </w:rPr>
        <w:t xml:space="preserve"> būtu spīdinājis ar lāzeru, taču vienlaikus tiesa konstatē</w:t>
      </w:r>
      <w:r w:rsidR="00515AD1" w:rsidRPr="001E1A91">
        <w:rPr>
          <w:color w:val="000000" w:themeColor="text1"/>
        </w:rPr>
        <w:t>jusi</w:t>
      </w:r>
      <w:r w:rsidR="008D0FCA" w:rsidRPr="004F59B4">
        <w:rPr>
          <w:color w:val="000000" w:themeColor="text1"/>
        </w:rPr>
        <w:t xml:space="preserve">, ka visas inkriminētās darbības, tai skaitā spīdināšanu ar lāzeru, viņš ir veicis savā privātīpašuma teritorijā. </w:t>
      </w:r>
    </w:p>
    <w:p w14:paraId="24080E04" w14:textId="124DDCE8" w:rsidR="008D0FCA" w:rsidRPr="004F59B4" w:rsidRDefault="009E3C84" w:rsidP="00EC4536">
      <w:pPr>
        <w:pStyle w:val="Default"/>
        <w:spacing w:line="276" w:lineRule="auto"/>
        <w:ind w:firstLine="720"/>
        <w:jc w:val="both"/>
        <w:rPr>
          <w:color w:val="000000" w:themeColor="text1"/>
        </w:rPr>
      </w:pPr>
      <w:r>
        <w:rPr>
          <w:color w:val="000000" w:themeColor="text1"/>
        </w:rPr>
        <w:t xml:space="preserve">[5.5] </w:t>
      </w:r>
      <w:r w:rsidR="008D0FCA" w:rsidRPr="004F59B4">
        <w:rPr>
          <w:color w:val="000000" w:themeColor="text1"/>
        </w:rPr>
        <w:t>Sprieduma motīvu daļā tiesa konstatēj</w:t>
      </w:r>
      <w:r w:rsidR="009C6F4F">
        <w:rPr>
          <w:color w:val="000000" w:themeColor="text1"/>
        </w:rPr>
        <w:t>usi</w:t>
      </w:r>
      <w:r w:rsidR="008D0FCA" w:rsidRPr="004F59B4">
        <w:rPr>
          <w:color w:val="000000" w:themeColor="text1"/>
        </w:rPr>
        <w:t xml:space="preserve">, ka apsūdzētā </w:t>
      </w:r>
      <w:r w:rsidR="00097E7C">
        <w:rPr>
          <w:color w:val="000000" w:themeColor="text1"/>
        </w:rPr>
        <w:t>[pers. F]</w:t>
      </w:r>
      <w:r w:rsidR="008D0FCA" w:rsidRPr="004F59B4">
        <w:rPr>
          <w:color w:val="000000" w:themeColor="text1"/>
        </w:rPr>
        <w:t xml:space="preserve"> izdarītajā nodarījumā nav noziedzīgā nodarījuma sastāva, taču</w:t>
      </w:r>
      <w:r w:rsidR="001E1A91">
        <w:rPr>
          <w:color w:val="000000" w:themeColor="text1"/>
        </w:rPr>
        <w:t xml:space="preserve"> izskatāmajā </w:t>
      </w:r>
      <w:r w:rsidR="008D0FCA" w:rsidRPr="004F59B4">
        <w:rPr>
          <w:color w:val="000000" w:themeColor="text1"/>
        </w:rPr>
        <w:t xml:space="preserve">lietā </w:t>
      </w:r>
      <w:r w:rsidR="00097E7C">
        <w:rPr>
          <w:color w:val="000000" w:themeColor="text1"/>
        </w:rPr>
        <w:t>[pers. F]</w:t>
      </w:r>
      <w:r w:rsidR="008D0FCA" w:rsidRPr="004F59B4">
        <w:rPr>
          <w:color w:val="000000" w:themeColor="text1"/>
        </w:rPr>
        <w:t xml:space="preserve"> nav celta apsūdzība, līdz ar ko, nebija pamats vērtēt </w:t>
      </w:r>
      <w:r w:rsidR="00097E7C">
        <w:rPr>
          <w:color w:val="000000" w:themeColor="text1"/>
        </w:rPr>
        <w:t>[pers. F]</w:t>
      </w:r>
      <w:r w:rsidR="008D0FCA" w:rsidRPr="004F59B4">
        <w:rPr>
          <w:color w:val="000000" w:themeColor="text1"/>
        </w:rPr>
        <w:t xml:space="preserve"> darbībās noziedzīga nodarījuma sastāva esību vai neesību.</w:t>
      </w:r>
    </w:p>
    <w:p w14:paraId="00B9494E" w14:textId="77777777" w:rsidR="00B6312C" w:rsidRDefault="00B6312C" w:rsidP="00915682">
      <w:pPr>
        <w:tabs>
          <w:tab w:val="left" w:pos="1710"/>
        </w:tabs>
        <w:spacing w:after="0" w:line="276" w:lineRule="auto"/>
        <w:jc w:val="center"/>
        <w:rPr>
          <w:rFonts w:cs="Times New Roman"/>
          <w:b/>
          <w:color w:val="000000" w:themeColor="text1"/>
          <w:szCs w:val="24"/>
        </w:rPr>
      </w:pPr>
    </w:p>
    <w:p w14:paraId="4C27C678" w14:textId="5F3DE8CF" w:rsidR="00915682" w:rsidRPr="004F59B4" w:rsidRDefault="00915682" w:rsidP="00915682">
      <w:pPr>
        <w:tabs>
          <w:tab w:val="left" w:pos="1710"/>
        </w:tabs>
        <w:spacing w:after="0" w:line="276" w:lineRule="auto"/>
        <w:jc w:val="center"/>
        <w:rPr>
          <w:rFonts w:cs="Times New Roman"/>
          <w:color w:val="000000" w:themeColor="text1"/>
          <w:szCs w:val="24"/>
        </w:rPr>
      </w:pPr>
      <w:r w:rsidRPr="004F59B4">
        <w:rPr>
          <w:rFonts w:cs="Times New Roman"/>
          <w:b/>
          <w:color w:val="000000" w:themeColor="text1"/>
          <w:szCs w:val="24"/>
        </w:rPr>
        <w:t>Motīvu daļa</w:t>
      </w:r>
    </w:p>
    <w:p w14:paraId="669062B6" w14:textId="77777777" w:rsidR="00915682" w:rsidRPr="004F59B4" w:rsidRDefault="00915682" w:rsidP="004B5341">
      <w:pPr>
        <w:spacing w:after="0" w:line="276" w:lineRule="auto"/>
        <w:ind w:firstLine="720"/>
        <w:jc w:val="both"/>
        <w:rPr>
          <w:rFonts w:cs="Times New Roman"/>
          <w:bCs/>
          <w:color w:val="000000" w:themeColor="text1"/>
          <w:szCs w:val="24"/>
        </w:rPr>
      </w:pPr>
    </w:p>
    <w:p w14:paraId="2406374A" w14:textId="5669C281" w:rsidR="00B536E7" w:rsidRDefault="00A72EF2" w:rsidP="009C6F4F">
      <w:pPr>
        <w:spacing w:after="0" w:line="276" w:lineRule="auto"/>
        <w:ind w:firstLine="709"/>
        <w:jc w:val="both"/>
        <w:rPr>
          <w:rFonts w:eastAsia="Times New Roman" w:cs="Times New Roman"/>
          <w:szCs w:val="24"/>
        </w:rPr>
      </w:pPr>
      <w:r w:rsidRPr="004F59B4">
        <w:rPr>
          <w:rFonts w:cs="Times New Roman"/>
          <w:color w:val="000000" w:themeColor="text1"/>
          <w:szCs w:val="24"/>
        </w:rPr>
        <w:t>[</w:t>
      </w:r>
      <w:r w:rsidR="00915682" w:rsidRPr="004F59B4">
        <w:rPr>
          <w:rFonts w:cs="Times New Roman"/>
          <w:color w:val="000000" w:themeColor="text1"/>
          <w:szCs w:val="24"/>
        </w:rPr>
        <w:t>6</w:t>
      </w:r>
      <w:r w:rsidR="008D0FCA" w:rsidRPr="004F59B4">
        <w:rPr>
          <w:rFonts w:cs="Times New Roman"/>
          <w:color w:val="000000" w:themeColor="text1"/>
          <w:szCs w:val="24"/>
        </w:rPr>
        <w:t>]</w:t>
      </w:r>
      <w:r w:rsidR="009C6F4F">
        <w:rPr>
          <w:rFonts w:eastAsia="Times New Roman" w:cs="Times New Roman"/>
          <w:color w:val="000000" w:themeColor="text1"/>
          <w:szCs w:val="24"/>
        </w:rPr>
        <w:t xml:space="preserve"> </w:t>
      </w:r>
      <w:r w:rsidR="008D0FCA" w:rsidRPr="00A4697F">
        <w:rPr>
          <w:rFonts w:eastAsia="Times New Roman" w:cs="Times New Roman"/>
          <w:color w:val="000000" w:themeColor="text1"/>
          <w:szCs w:val="24"/>
        </w:rPr>
        <w:t xml:space="preserve">Senāts atzīst, ka </w:t>
      </w:r>
      <w:r w:rsidR="00097E7C">
        <w:rPr>
          <w:rFonts w:eastAsia="Times New Roman" w:cs="Times New Roman"/>
          <w:color w:val="000000" w:themeColor="text1"/>
          <w:szCs w:val="24"/>
        </w:rPr>
        <w:t>[..]</w:t>
      </w:r>
      <w:r w:rsidR="008D0FCA" w:rsidRPr="00A4697F">
        <w:rPr>
          <w:rFonts w:eastAsia="Times New Roman" w:cs="Times New Roman"/>
          <w:color w:val="000000" w:themeColor="text1"/>
          <w:szCs w:val="24"/>
        </w:rPr>
        <w:t xml:space="preserve"> apgabaltiesas 2020.gada </w:t>
      </w:r>
      <w:r w:rsidR="00097E7C">
        <w:rPr>
          <w:rFonts w:eastAsia="Times New Roman" w:cs="Times New Roman"/>
          <w:color w:val="000000" w:themeColor="text1"/>
          <w:szCs w:val="24"/>
        </w:rPr>
        <w:t>[..]</w:t>
      </w:r>
      <w:r w:rsidR="008D0FCA" w:rsidRPr="00A4697F">
        <w:rPr>
          <w:rFonts w:eastAsia="Times New Roman" w:cs="Times New Roman"/>
          <w:color w:val="000000" w:themeColor="text1"/>
          <w:szCs w:val="24"/>
        </w:rPr>
        <w:t xml:space="preserve"> spriedums </w:t>
      </w:r>
      <w:r w:rsidR="003B13E9" w:rsidRPr="00A4697F">
        <w:rPr>
          <w:rFonts w:eastAsia="Times New Roman" w:cs="Times New Roman"/>
          <w:szCs w:val="24"/>
        </w:rPr>
        <w:t>atceļams</w:t>
      </w:r>
      <w:r w:rsidR="003B13E9">
        <w:rPr>
          <w:rFonts w:eastAsia="Times New Roman" w:cs="Times New Roman"/>
          <w:szCs w:val="24"/>
        </w:rPr>
        <w:t xml:space="preserve"> pilnībā un lieta nosūtāma jaunai izskatīšanai </w:t>
      </w:r>
      <w:r w:rsidR="00097E7C">
        <w:rPr>
          <w:rFonts w:eastAsia="Times New Roman" w:cs="Times New Roman"/>
          <w:szCs w:val="24"/>
        </w:rPr>
        <w:t>[..]</w:t>
      </w:r>
      <w:r w:rsidR="003B13E9">
        <w:rPr>
          <w:rFonts w:eastAsia="Times New Roman" w:cs="Times New Roman"/>
          <w:szCs w:val="24"/>
        </w:rPr>
        <w:t xml:space="preserve"> apgabaltiesā.</w:t>
      </w:r>
    </w:p>
    <w:p w14:paraId="447E1536" w14:textId="5FFB200D" w:rsidR="0014532D" w:rsidRDefault="0014532D" w:rsidP="0014532D">
      <w:pPr>
        <w:spacing w:after="0" w:line="276" w:lineRule="auto"/>
        <w:ind w:firstLine="720"/>
        <w:jc w:val="both"/>
        <w:rPr>
          <w:rFonts w:cs="Times New Roman"/>
          <w:szCs w:val="24"/>
        </w:rPr>
      </w:pPr>
      <w:r>
        <w:rPr>
          <w:rFonts w:eastAsia="Times New Roman" w:cs="Times New Roman"/>
          <w:szCs w:val="24"/>
        </w:rPr>
        <w:t xml:space="preserve">[6.1] </w:t>
      </w:r>
      <w:r w:rsidR="004C266D">
        <w:rPr>
          <w:rFonts w:eastAsia="Times New Roman" w:cs="Times New Roman"/>
          <w:szCs w:val="24"/>
        </w:rPr>
        <w:t>Kriminālprocesa likuma 564.panta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sidRPr="0014532D">
        <w:rPr>
          <w:rFonts w:cs="Times New Roman"/>
          <w:szCs w:val="24"/>
        </w:rPr>
        <w:t xml:space="preserve"> </w:t>
      </w:r>
    </w:p>
    <w:p w14:paraId="4547DC17" w14:textId="77777777" w:rsidR="00321326" w:rsidRDefault="0014532D" w:rsidP="00321326">
      <w:pPr>
        <w:spacing w:after="0" w:line="276" w:lineRule="auto"/>
        <w:ind w:firstLine="720"/>
        <w:jc w:val="both"/>
        <w:rPr>
          <w:rFonts w:cs="Times New Roman"/>
          <w:szCs w:val="24"/>
        </w:rPr>
      </w:pPr>
      <w:r w:rsidRPr="00A26545">
        <w:rPr>
          <w:rFonts w:cs="Times New Roman"/>
          <w:szCs w:val="24"/>
        </w:rPr>
        <w:t xml:space="preserve">Kriminālprocesa likuma 128.panta otrā daļa noteic, ka to, cik ticamas ir pierādīšanā izmantojamās ziņas par faktiem, izvērtē, aplūkojot visus kriminālprocesa laikā iegūtos faktus vai ziņas par faktiem kopumā un savstarpējā sakarībā. </w:t>
      </w:r>
    </w:p>
    <w:p w14:paraId="515E43E1" w14:textId="306C4961" w:rsidR="00A4697F" w:rsidRPr="00321326" w:rsidRDefault="004C266D" w:rsidP="00321326">
      <w:pPr>
        <w:spacing w:after="0" w:line="276" w:lineRule="auto"/>
        <w:ind w:firstLine="720"/>
        <w:jc w:val="both"/>
        <w:rPr>
          <w:rFonts w:cs="Times New Roman"/>
          <w:szCs w:val="24"/>
        </w:rPr>
      </w:pPr>
      <w:r>
        <w:rPr>
          <w:rFonts w:eastAsia="Times New Roman" w:cs="Times New Roman"/>
          <w:szCs w:val="24"/>
        </w:rPr>
        <w:t>Apelācijas instances tiesa norādīt</w:t>
      </w:r>
      <w:r w:rsidR="0014532D">
        <w:rPr>
          <w:rFonts w:eastAsia="Times New Roman" w:cs="Times New Roman"/>
          <w:szCs w:val="24"/>
        </w:rPr>
        <w:t>o</w:t>
      </w:r>
      <w:r>
        <w:rPr>
          <w:rFonts w:eastAsia="Times New Roman" w:cs="Times New Roman"/>
          <w:szCs w:val="24"/>
        </w:rPr>
        <w:t xml:space="preserve"> tiesību norm</w:t>
      </w:r>
      <w:r w:rsidR="0014532D">
        <w:rPr>
          <w:rFonts w:eastAsia="Times New Roman" w:cs="Times New Roman"/>
          <w:szCs w:val="24"/>
        </w:rPr>
        <w:t>u</w:t>
      </w:r>
      <w:r>
        <w:rPr>
          <w:rFonts w:eastAsia="Times New Roman" w:cs="Times New Roman"/>
          <w:szCs w:val="24"/>
        </w:rPr>
        <w:t xml:space="preserve"> prasības nav ievērojusi.</w:t>
      </w:r>
    </w:p>
    <w:p w14:paraId="651949D1" w14:textId="04AA87F8" w:rsidR="00AA3F95" w:rsidRPr="003C33C7" w:rsidRDefault="003B13E9" w:rsidP="00CD6EF4">
      <w:pPr>
        <w:spacing w:after="0" w:line="276" w:lineRule="auto"/>
        <w:ind w:firstLine="709"/>
        <w:jc w:val="both"/>
        <w:rPr>
          <w:rFonts w:eastAsia="Times New Roman" w:cs="Times New Roman"/>
          <w:color w:val="000000" w:themeColor="text1"/>
          <w:szCs w:val="24"/>
        </w:rPr>
      </w:pPr>
      <w:r>
        <w:rPr>
          <w:rFonts w:eastAsia="Times New Roman" w:cs="Times New Roman"/>
          <w:szCs w:val="24"/>
        </w:rPr>
        <w:tab/>
        <w:t>[</w:t>
      </w:r>
      <w:r w:rsidR="004C266D">
        <w:rPr>
          <w:rFonts w:eastAsia="Times New Roman" w:cs="Times New Roman"/>
          <w:szCs w:val="24"/>
        </w:rPr>
        <w:t>6</w:t>
      </w:r>
      <w:r>
        <w:rPr>
          <w:rFonts w:eastAsia="Times New Roman" w:cs="Times New Roman"/>
          <w:szCs w:val="24"/>
        </w:rPr>
        <w:t>.</w:t>
      </w:r>
      <w:r w:rsidR="0014532D">
        <w:rPr>
          <w:rFonts w:eastAsia="Times New Roman" w:cs="Times New Roman"/>
          <w:szCs w:val="24"/>
        </w:rPr>
        <w:t>2</w:t>
      </w:r>
      <w:r>
        <w:rPr>
          <w:rFonts w:eastAsia="Times New Roman" w:cs="Times New Roman"/>
          <w:szCs w:val="24"/>
        </w:rPr>
        <w:t>]</w:t>
      </w:r>
      <w:r w:rsidR="00321326">
        <w:rPr>
          <w:rFonts w:eastAsia="Times New Roman" w:cs="Times New Roman"/>
          <w:szCs w:val="24"/>
        </w:rPr>
        <w:t xml:space="preserve"> </w:t>
      </w:r>
      <w:r w:rsidR="00A4697F">
        <w:rPr>
          <w:rFonts w:eastAsia="Times New Roman" w:cs="Times New Roman"/>
          <w:szCs w:val="24"/>
        </w:rPr>
        <w:t xml:space="preserve">Apelācijas instances tiesa </w:t>
      </w:r>
      <w:r w:rsidR="00097E7C">
        <w:rPr>
          <w:rFonts w:eastAsia="Times New Roman" w:cs="Times New Roman"/>
          <w:color w:val="000000" w:themeColor="text1"/>
          <w:szCs w:val="24"/>
        </w:rPr>
        <w:t>[pers. E]</w:t>
      </w:r>
      <w:r w:rsidR="00A4697F" w:rsidRPr="004F59B4">
        <w:rPr>
          <w:rFonts w:eastAsia="Times New Roman" w:cs="Times New Roman"/>
          <w:color w:val="000000" w:themeColor="text1"/>
          <w:szCs w:val="24"/>
        </w:rPr>
        <w:t xml:space="preserve"> </w:t>
      </w:r>
      <w:r w:rsidR="00A4697F">
        <w:rPr>
          <w:rFonts w:eastAsia="Times New Roman" w:cs="Times New Roman"/>
          <w:color w:val="000000" w:themeColor="text1"/>
          <w:szCs w:val="24"/>
        </w:rPr>
        <w:t xml:space="preserve">atzīšanu par </w:t>
      </w:r>
      <w:r w:rsidR="00A4697F" w:rsidRPr="004F59B4">
        <w:rPr>
          <w:rFonts w:eastAsia="Times New Roman" w:cs="Times New Roman"/>
          <w:color w:val="000000" w:themeColor="text1"/>
          <w:szCs w:val="24"/>
        </w:rPr>
        <w:t>nevainīgu pret viņu celtajā apsūdzībā pēc Krimināllikuma 132.</w:t>
      </w:r>
      <w:r w:rsidR="00A4697F" w:rsidRPr="004F59B4">
        <w:rPr>
          <w:rFonts w:eastAsia="Times New Roman" w:cs="Times New Roman"/>
          <w:color w:val="000000" w:themeColor="text1"/>
          <w:szCs w:val="24"/>
          <w:vertAlign w:val="superscript"/>
        </w:rPr>
        <w:t xml:space="preserve">1 </w:t>
      </w:r>
      <w:r w:rsidR="00A4697F" w:rsidRPr="004F59B4">
        <w:rPr>
          <w:rFonts w:eastAsia="Times New Roman" w:cs="Times New Roman"/>
          <w:color w:val="000000" w:themeColor="text1"/>
          <w:szCs w:val="24"/>
        </w:rPr>
        <w:t>panta un attaisno</w:t>
      </w:r>
      <w:r w:rsidR="00A4697F">
        <w:rPr>
          <w:rFonts w:eastAsia="Times New Roman" w:cs="Times New Roman"/>
          <w:color w:val="000000" w:themeColor="text1"/>
          <w:szCs w:val="24"/>
        </w:rPr>
        <w:t>šanu pamatoj</w:t>
      </w:r>
      <w:r w:rsidR="00321326">
        <w:rPr>
          <w:rFonts w:eastAsia="Times New Roman" w:cs="Times New Roman"/>
          <w:color w:val="000000" w:themeColor="text1"/>
          <w:szCs w:val="24"/>
        </w:rPr>
        <w:t>usi</w:t>
      </w:r>
      <w:r w:rsidR="00A4697F">
        <w:rPr>
          <w:rFonts w:eastAsia="Times New Roman" w:cs="Times New Roman"/>
          <w:color w:val="000000" w:themeColor="text1"/>
          <w:szCs w:val="24"/>
        </w:rPr>
        <w:t xml:space="preserve"> ar to, ka</w:t>
      </w:r>
      <w:r w:rsidR="00B95B79">
        <w:rPr>
          <w:rFonts w:eastAsia="Times New Roman" w:cs="Times New Roman"/>
          <w:color w:val="000000" w:themeColor="text1"/>
          <w:szCs w:val="24"/>
        </w:rPr>
        <w:t xml:space="preserve"> </w:t>
      </w:r>
      <w:r w:rsidR="00E62113">
        <w:rPr>
          <w:rFonts w:eastAsia="Times New Roman" w:cs="Times New Roman"/>
          <w:color w:val="000000" w:themeColor="text1"/>
          <w:szCs w:val="24"/>
        </w:rPr>
        <w:t>apsūdzētā izdarītajā nodarījumā n</w:t>
      </w:r>
      <w:r w:rsidR="002911DC">
        <w:rPr>
          <w:rFonts w:eastAsia="Times New Roman" w:cs="Times New Roman"/>
          <w:color w:val="000000" w:themeColor="text1"/>
          <w:szCs w:val="24"/>
        </w:rPr>
        <w:t>av</w:t>
      </w:r>
      <w:r w:rsidR="00E62113">
        <w:rPr>
          <w:rFonts w:eastAsia="Times New Roman" w:cs="Times New Roman"/>
          <w:color w:val="000000" w:themeColor="text1"/>
          <w:szCs w:val="24"/>
        </w:rPr>
        <w:t xml:space="preserve"> subjektīvās puses pazīmes </w:t>
      </w:r>
      <w:r w:rsidR="00321326">
        <w:rPr>
          <w:rFonts w:eastAsia="Times New Roman" w:cs="Times New Roman"/>
          <w:color w:val="000000" w:themeColor="text1"/>
          <w:szCs w:val="24"/>
        </w:rPr>
        <w:t>–</w:t>
      </w:r>
      <w:r w:rsidR="00E62113">
        <w:rPr>
          <w:rFonts w:eastAsia="Times New Roman" w:cs="Times New Roman"/>
          <w:color w:val="000000" w:themeColor="text1"/>
          <w:szCs w:val="24"/>
        </w:rPr>
        <w:t xml:space="preserve"> </w:t>
      </w:r>
      <w:r w:rsidR="00B95B79">
        <w:rPr>
          <w:rFonts w:eastAsia="Times New Roman" w:cs="Times New Roman"/>
          <w:color w:val="000000" w:themeColor="text1"/>
          <w:szCs w:val="24"/>
        </w:rPr>
        <w:t>lietā nav konstatējami</w:t>
      </w:r>
      <w:r w:rsidR="00ED004F">
        <w:rPr>
          <w:rFonts w:eastAsia="Times New Roman" w:cs="Times New Roman"/>
          <w:color w:val="000000" w:themeColor="text1"/>
          <w:szCs w:val="24"/>
        </w:rPr>
        <w:t xml:space="preserve"> objektīvi apstākļi, kas liecinātu par </w:t>
      </w:r>
      <w:r w:rsidR="00ED004F" w:rsidRPr="00846985">
        <w:rPr>
          <w:rFonts w:eastAsia="Times New Roman" w:cs="Times New Roman"/>
          <w:color w:val="000000" w:themeColor="text1"/>
          <w:szCs w:val="24"/>
        </w:rPr>
        <w:t xml:space="preserve">apsūdzētā </w:t>
      </w:r>
      <w:r w:rsidR="00097E7C">
        <w:rPr>
          <w:rFonts w:eastAsia="Times New Roman" w:cs="Times New Roman"/>
          <w:color w:val="000000" w:themeColor="text1"/>
          <w:szCs w:val="24"/>
        </w:rPr>
        <w:t>[pers. E]</w:t>
      </w:r>
      <w:r w:rsidR="00ED004F" w:rsidRPr="00846985">
        <w:rPr>
          <w:rFonts w:eastAsia="Times New Roman" w:cs="Times New Roman"/>
          <w:color w:val="000000" w:themeColor="text1"/>
          <w:szCs w:val="24"/>
        </w:rPr>
        <w:t xml:space="preserve"> nolūku </w:t>
      </w:r>
      <w:r w:rsidR="00924A7A" w:rsidRPr="00846985">
        <w:rPr>
          <w:rFonts w:eastAsia="Times New Roman" w:cs="Times New Roman"/>
          <w:color w:val="000000" w:themeColor="text1"/>
          <w:szCs w:val="24"/>
        </w:rPr>
        <w:t xml:space="preserve">iedvest bailes cietušajiem. </w:t>
      </w:r>
      <w:r w:rsidR="005D73A0" w:rsidRPr="003C33C7">
        <w:rPr>
          <w:rFonts w:eastAsia="Times New Roman" w:cs="Times New Roman"/>
          <w:color w:val="000000" w:themeColor="text1"/>
          <w:szCs w:val="24"/>
        </w:rPr>
        <w:t>Apelācijas instances tiesa secinājusi, ka</w:t>
      </w:r>
      <w:r w:rsidR="00FE7167" w:rsidRPr="003C33C7">
        <w:rPr>
          <w:rFonts w:eastAsia="Times New Roman" w:cs="Times New Roman"/>
          <w:color w:val="000000" w:themeColor="text1"/>
          <w:szCs w:val="24"/>
        </w:rPr>
        <w:t xml:space="preserve"> </w:t>
      </w:r>
      <w:r w:rsidR="00097E7C">
        <w:rPr>
          <w:rFonts w:eastAsia="Times New Roman" w:cs="Times New Roman"/>
          <w:color w:val="000000" w:themeColor="text1"/>
          <w:szCs w:val="24"/>
        </w:rPr>
        <w:t>[pers. E]</w:t>
      </w:r>
      <w:r w:rsidR="00FE7167" w:rsidRPr="003C33C7">
        <w:rPr>
          <w:rFonts w:eastAsia="Times New Roman" w:cs="Times New Roman"/>
          <w:color w:val="000000" w:themeColor="text1"/>
          <w:szCs w:val="24"/>
        </w:rPr>
        <w:t xml:space="preserve"> </w:t>
      </w:r>
      <w:r w:rsidR="00CD6EF4" w:rsidRPr="003C33C7">
        <w:rPr>
          <w:rFonts w:eastAsia="Times New Roman" w:cs="Times New Roman"/>
          <w:color w:val="000000" w:themeColor="text1"/>
          <w:szCs w:val="24"/>
        </w:rPr>
        <w:t xml:space="preserve">savā </w:t>
      </w:r>
      <w:r w:rsidR="00FE7167" w:rsidRPr="003C33C7">
        <w:rPr>
          <w:rFonts w:eastAsia="Times New Roman" w:cs="Times New Roman"/>
          <w:color w:val="000000" w:themeColor="text1"/>
          <w:szCs w:val="24"/>
        </w:rPr>
        <w:t xml:space="preserve">īpašumā </w:t>
      </w:r>
      <w:r w:rsidR="00CD6EF4" w:rsidRPr="003C33C7">
        <w:rPr>
          <w:rFonts w:eastAsia="Times New Roman" w:cs="Times New Roman"/>
          <w:color w:val="000000" w:themeColor="text1"/>
          <w:szCs w:val="24"/>
        </w:rPr>
        <w:t>uzstādīja</w:t>
      </w:r>
      <w:r w:rsidR="00FE7167" w:rsidRPr="003C33C7">
        <w:rPr>
          <w:rFonts w:eastAsia="Times New Roman" w:cs="Times New Roman"/>
          <w:color w:val="000000" w:themeColor="text1"/>
          <w:szCs w:val="24"/>
        </w:rPr>
        <w:t xml:space="preserve"> prožektor</w:t>
      </w:r>
      <w:r w:rsidR="00CD6EF4" w:rsidRPr="003C33C7">
        <w:rPr>
          <w:rFonts w:eastAsia="Times New Roman" w:cs="Times New Roman"/>
          <w:color w:val="000000" w:themeColor="text1"/>
          <w:szCs w:val="24"/>
        </w:rPr>
        <w:t>us</w:t>
      </w:r>
      <w:r w:rsidR="000D7E40" w:rsidRPr="003C33C7">
        <w:rPr>
          <w:rFonts w:eastAsia="Times New Roman" w:cs="Times New Roman"/>
          <w:color w:val="000000" w:themeColor="text1"/>
          <w:szCs w:val="24"/>
        </w:rPr>
        <w:t>,</w:t>
      </w:r>
      <w:r w:rsidR="00FE7167" w:rsidRPr="003C33C7">
        <w:rPr>
          <w:rFonts w:eastAsia="Times New Roman" w:cs="Times New Roman"/>
          <w:color w:val="000000" w:themeColor="text1"/>
          <w:szCs w:val="24"/>
        </w:rPr>
        <w:t xml:space="preserve"> videonovērošanas kamer</w:t>
      </w:r>
      <w:r w:rsidR="00CD6EF4" w:rsidRPr="003C33C7">
        <w:rPr>
          <w:rFonts w:eastAsia="Times New Roman" w:cs="Times New Roman"/>
          <w:color w:val="000000" w:themeColor="text1"/>
          <w:szCs w:val="24"/>
        </w:rPr>
        <w:t>u</w:t>
      </w:r>
      <w:r w:rsidR="00FE7167" w:rsidRPr="003C33C7">
        <w:rPr>
          <w:rFonts w:eastAsia="Times New Roman" w:cs="Times New Roman"/>
          <w:color w:val="000000" w:themeColor="text1"/>
          <w:szCs w:val="24"/>
        </w:rPr>
        <w:t xml:space="preserve"> </w:t>
      </w:r>
      <w:r w:rsidR="000D7E40" w:rsidRPr="003C33C7">
        <w:rPr>
          <w:rFonts w:eastAsia="Times New Roman" w:cs="Times New Roman"/>
          <w:color w:val="000000" w:themeColor="text1"/>
          <w:szCs w:val="24"/>
        </w:rPr>
        <w:t>un fotoaparāt</w:t>
      </w:r>
      <w:r w:rsidR="00CD6EF4" w:rsidRPr="003C33C7">
        <w:rPr>
          <w:rFonts w:eastAsia="Times New Roman" w:cs="Times New Roman"/>
          <w:color w:val="000000" w:themeColor="text1"/>
          <w:szCs w:val="24"/>
        </w:rPr>
        <w:t xml:space="preserve">u un </w:t>
      </w:r>
      <w:r w:rsidR="000D7E40" w:rsidRPr="003C33C7">
        <w:rPr>
          <w:rFonts w:eastAsia="Times New Roman" w:cs="Times New Roman"/>
          <w:color w:val="000000" w:themeColor="text1"/>
          <w:szCs w:val="24"/>
        </w:rPr>
        <w:t xml:space="preserve">tie pildīja </w:t>
      </w:r>
      <w:r w:rsidR="00097E7C">
        <w:rPr>
          <w:rFonts w:eastAsia="Times New Roman" w:cs="Times New Roman"/>
          <w:color w:val="000000" w:themeColor="text1"/>
          <w:szCs w:val="24"/>
        </w:rPr>
        <w:t>[pers. E]</w:t>
      </w:r>
      <w:r w:rsidR="000D7E40" w:rsidRPr="003C33C7">
        <w:rPr>
          <w:rFonts w:eastAsia="Times New Roman" w:cs="Times New Roman"/>
          <w:color w:val="000000" w:themeColor="text1"/>
          <w:szCs w:val="24"/>
        </w:rPr>
        <w:t xml:space="preserve"> īpašuma apsardzes funkcijas. Savukārt</w:t>
      </w:r>
      <w:r w:rsidR="005B38FC" w:rsidRPr="003C33C7">
        <w:rPr>
          <w:rFonts w:eastAsia="Times New Roman" w:cs="Times New Roman"/>
          <w:color w:val="000000" w:themeColor="text1"/>
          <w:szCs w:val="24"/>
        </w:rPr>
        <w:t xml:space="preserve"> pierādīšanā netika novērstas sapratīgas šaubas par to, ka </w:t>
      </w:r>
      <w:r w:rsidR="00097E7C">
        <w:rPr>
          <w:rFonts w:eastAsia="Times New Roman" w:cs="Times New Roman"/>
          <w:color w:val="000000" w:themeColor="text1"/>
          <w:szCs w:val="24"/>
        </w:rPr>
        <w:t>[pers. E]</w:t>
      </w:r>
      <w:r w:rsidR="005B38FC" w:rsidRPr="003C33C7">
        <w:rPr>
          <w:rFonts w:eastAsia="Times New Roman" w:cs="Times New Roman"/>
          <w:color w:val="000000" w:themeColor="text1"/>
          <w:szCs w:val="24"/>
        </w:rPr>
        <w:t xml:space="preserve"> </w:t>
      </w:r>
      <w:r w:rsidR="00AA3F95" w:rsidRPr="003C33C7">
        <w:rPr>
          <w:rFonts w:eastAsia="Times New Roman" w:cs="Times New Roman"/>
          <w:szCs w:val="24"/>
        </w:rPr>
        <w:t>spīdinā</w:t>
      </w:r>
      <w:r w:rsidR="005B38FC" w:rsidRPr="003C33C7">
        <w:rPr>
          <w:rFonts w:eastAsia="Times New Roman" w:cs="Times New Roman"/>
          <w:szCs w:val="24"/>
        </w:rPr>
        <w:t>ja</w:t>
      </w:r>
      <w:r w:rsidR="00AA3F95" w:rsidRPr="003C33C7">
        <w:rPr>
          <w:rFonts w:eastAsia="Times New Roman" w:cs="Times New Roman"/>
          <w:szCs w:val="24"/>
        </w:rPr>
        <w:t xml:space="preserve"> </w:t>
      </w:r>
      <w:r w:rsidR="00AA3F95" w:rsidRPr="003C33C7">
        <w:rPr>
          <w:rFonts w:eastAsia="Times New Roman" w:cs="Times New Roman"/>
          <w:color w:val="000000" w:themeColor="text1"/>
          <w:szCs w:val="24"/>
        </w:rPr>
        <w:t>ar lāzera staru</w:t>
      </w:r>
      <w:r w:rsidR="003C33C7" w:rsidRPr="003C33C7">
        <w:rPr>
          <w:rFonts w:eastAsia="Times New Roman" w:cs="Times New Roman"/>
          <w:color w:val="000000" w:themeColor="text1"/>
          <w:szCs w:val="24"/>
        </w:rPr>
        <w:t xml:space="preserve"> uz</w:t>
      </w:r>
      <w:r w:rsidR="00AA3F95" w:rsidRPr="003C33C7">
        <w:rPr>
          <w:rFonts w:eastAsia="Times New Roman" w:cs="Times New Roman"/>
          <w:color w:val="000000" w:themeColor="text1"/>
          <w:szCs w:val="24"/>
        </w:rPr>
        <w:t xml:space="preserve"> nepilngadīgajiem bērniem</w:t>
      </w:r>
      <w:r w:rsidR="005B38FC" w:rsidRPr="003C33C7">
        <w:rPr>
          <w:rFonts w:eastAsia="Times New Roman" w:cs="Times New Roman"/>
          <w:color w:val="000000" w:themeColor="text1"/>
          <w:szCs w:val="24"/>
        </w:rPr>
        <w:t>.</w:t>
      </w:r>
      <w:r w:rsidR="00AA3F95" w:rsidRPr="003C33C7">
        <w:rPr>
          <w:rFonts w:eastAsia="Times New Roman" w:cs="Times New Roman"/>
          <w:color w:val="000000" w:themeColor="text1"/>
          <w:szCs w:val="24"/>
        </w:rPr>
        <w:t xml:space="preserve"> </w:t>
      </w:r>
    </w:p>
    <w:p w14:paraId="29F70B2E" w14:textId="308B243E" w:rsidR="008B0355" w:rsidRDefault="002911DC" w:rsidP="00D9266D">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[6.</w:t>
      </w:r>
      <w:r w:rsidR="0014532D">
        <w:rPr>
          <w:rFonts w:eastAsia="Times New Roman" w:cs="Times New Roman"/>
          <w:color w:val="000000" w:themeColor="text1"/>
          <w:szCs w:val="24"/>
        </w:rPr>
        <w:t>3</w:t>
      </w:r>
      <w:r>
        <w:rPr>
          <w:rFonts w:eastAsia="Times New Roman" w:cs="Times New Roman"/>
          <w:color w:val="000000" w:themeColor="text1"/>
          <w:szCs w:val="24"/>
        </w:rPr>
        <w:t xml:space="preserve">] </w:t>
      </w:r>
      <w:r w:rsidR="000B0101">
        <w:rPr>
          <w:rFonts w:eastAsia="Times New Roman" w:cs="Times New Roman"/>
          <w:color w:val="000000" w:themeColor="text1"/>
          <w:szCs w:val="24"/>
        </w:rPr>
        <w:t>Krimināllikuma 132.</w:t>
      </w:r>
      <w:r w:rsidR="008B0355">
        <w:rPr>
          <w:rFonts w:eastAsia="Times New Roman" w:cs="Times New Roman"/>
          <w:color w:val="000000" w:themeColor="text1"/>
          <w:szCs w:val="24"/>
          <w:vertAlign w:val="superscript"/>
        </w:rPr>
        <w:t>1</w:t>
      </w:r>
      <w:r w:rsidR="008B0355">
        <w:rPr>
          <w:rFonts w:eastAsia="Times New Roman" w:cs="Times New Roman"/>
          <w:color w:val="000000" w:themeColor="text1"/>
          <w:szCs w:val="24"/>
        </w:rPr>
        <w:t>pantā paredzētais noziedzīgais nodarījums izpaužas citas personas izsekošanā</w:t>
      </w:r>
      <w:r w:rsidR="00C70C4B">
        <w:rPr>
          <w:rFonts w:eastAsia="Times New Roman" w:cs="Times New Roman"/>
          <w:color w:val="000000" w:themeColor="text1"/>
          <w:szCs w:val="24"/>
        </w:rPr>
        <w:t>,</w:t>
      </w:r>
      <w:r w:rsidR="008B0355">
        <w:rPr>
          <w:rFonts w:eastAsia="Times New Roman" w:cs="Times New Roman"/>
          <w:color w:val="000000" w:themeColor="text1"/>
          <w:szCs w:val="24"/>
        </w:rPr>
        <w:t xml:space="preserve"> novērošanā, draudu izteikšanā šai personai un nevēlamā saziņā.</w:t>
      </w:r>
      <w:r w:rsidR="00D9266D">
        <w:rPr>
          <w:rFonts w:eastAsia="Times New Roman" w:cs="Times New Roman"/>
          <w:color w:val="000000" w:themeColor="text1"/>
          <w:szCs w:val="24"/>
        </w:rPr>
        <w:t xml:space="preserve"> </w:t>
      </w:r>
      <w:r w:rsidR="008B0355">
        <w:rPr>
          <w:rFonts w:eastAsia="Times New Roman" w:cs="Times New Roman"/>
          <w:color w:val="000000" w:themeColor="text1"/>
          <w:szCs w:val="24"/>
        </w:rPr>
        <w:t>Minētās vajāšanas izpausmes vērstas, lai iebiedēt</w:t>
      </w:r>
      <w:r w:rsidR="00D068EA">
        <w:rPr>
          <w:rFonts w:eastAsia="Times New Roman" w:cs="Times New Roman"/>
          <w:color w:val="000000" w:themeColor="text1"/>
          <w:szCs w:val="24"/>
        </w:rPr>
        <w:t xml:space="preserve">u </w:t>
      </w:r>
      <w:r w:rsidR="008B0355">
        <w:rPr>
          <w:rFonts w:eastAsia="Times New Roman" w:cs="Times New Roman"/>
          <w:color w:val="000000" w:themeColor="text1"/>
          <w:szCs w:val="24"/>
        </w:rPr>
        <w:t>cietušo</w:t>
      </w:r>
      <w:r w:rsidR="00D068EA">
        <w:rPr>
          <w:rFonts w:eastAsia="Times New Roman" w:cs="Times New Roman"/>
          <w:color w:val="000000" w:themeColor="text1"/>
          <w:szCs w:val="24"/>
        </w:rPr>
        <w:t>.</w:t>
      </w:r>
    </w:p>
    <w:p w14:paraId="39F8E775" w14:textId="5F78776A" w:rsidR="00B47808" w:rsidRDefault="00D9266D" w:rsidP="00B47808">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Likumprojekta</w:t>
      </w:r>
      <w:r w:rsidR="002B3834">
        <w:rPr>
          <w:rFonts w:eastAsia="Times New Roman" w:cs="Times New Roman"/>
          <w:color w:val="000000" w:themeColor="text1"/>
          <w:szCs w:val="24"/>
        </w:rPr>
        <w:t xml:space="preserve"> „</w:t>
      </w:r>
      <w:r>
        <w:rPr>
          <w:rFonts w:eastAsia="Times New Roman" w:cs="Times New Roman"/>
          <w:color w:val="000000" w:themeColor="text1"/>
          <w:szCs w:val="24"/>
        </w:rPr>
        <w:t>Grozījumi Krimināllikumā” anotācijā norādīts, ka šī</w:t>
      </w:r>
      <w:r w:rsidR="00BF6DD2">
        <w:rPr>
          <w:rFonts w:eastAsia="Times New Roman" w:cs="Times New Roman"/>
          <w:color w:val="000000" w:themeColor="text1"/>
          <w:szCs w:val="24"/>
        </w:rPr>
        <w:t>s tiesību normas</w:t>
      </w:r>
      <w:r>
        <w:rPr>
          <w:rFonts w:eastAsia="Times New Roman" w:cs="Times New Roman"/>
          <w:color w:val="000000" w:themeColor="text1"/>
          <w:szCs w:val="24"/>
        </w:rPr>
        <w:t xml:space="preserve"> nolūks ir atklāt tādas vardarbīgas rīcības modeļa kriminālo būtību, kuras atsevišķi elementi, ja tie tiek apskatīti atsevišķi, ne vienmēr ir nelikumīga darbība. </w:t>
      </w:r>
    </w:p>
    <w:p w14:paraId="16D34437" w14:textId="205B3D96" w:rsidR="00B47808" w:rsidRDefault="00B47808" w:rsidP="00B47808">
      <w:pPr>
        <w:spacing w:after="0" w:line="276" w:lineRule="auto"/>
        <w:ind w:firstLine="709"/>
        <w:jc w:val="both"/>
        <w:rPr>
          <w:rFonts w:eastAsia="Times New Roman" w:cs="Times New Roman"/>
          <w:color w:val="000000" w:themeColor="text1"/>
          <w:szCs w:val="24"/>
        </w:rPr>
      </w:pPr>
      <w:r w:rsidRPr="00B47808">
        <w:rPr>
          <w:rFonts w:eastAsia="Times New Roman" w:cs="Times New Roman"/>
          <w:color w:val="000000" w:themeColor="text1"/>
          <w:szCs w:val="24"/>
        </w:rPr>
        <w:t>Vajāšanu var izdarīt vairākos veidos – tā var izpausties kā uzmācīga komunikācija, miera traucēšana, sekošana, ilgstoša uzturēšanās vienā vietā, lai novērotu citu personu</w:t>
      </w:r>
      <w:r w:rsidR="00C70C4B">
        <w:rPr>
          <w:rFonts w:eastAsia="Times New Roman" w:cs="Times New Roman"/>
          <w:color w:val="000000" w:themeColor="text1"/>
          <w:szCs w:val="24"/>
        </w:rPr>
        <w:t>,</w:t>
      </w:r>
      <w:r w:rsidR="00C70C4B" w:rsidRPr="00B47808">
        <w:rPr>
          <w:rFonts w:eastAsia="Times New Roman" w:cs="Times New Roman"/>
          <w:color w:val="000000" w:themeColor="text1"/>
          <w:szCs w:val="24"/>
        </w:rPr>
        <w:t xml:space="preserve"> vai citas personas</w:t>
      </w:r>
      <w:r w:rsidRPr="00B47808">
        <w:rPr>
          <w:rFonts w:eastAsia="Times New Roman" w:cs="Times New Roman"/>
          <w:color w:val="000000" w:themeColor="text1"/>
          <w:szCs w:val="24"/>
        </w:rPr>
        <w:t xml:space="preserve"> aizskaršana jebkurā citā līdzīgā veidā bez likumīga iemesla. Tā var izpausties kā pietuvošanās personai vai tās konfrontēšana, ierašanās personas darba vietā, vai sazināšanās ar darba devēju, darba kolēģiem vai ar kaimiņiem. Vajāšanu var realizēt arī vienkārši atrodoties pie personas privātīpašuma vai iekļūstot tajā, sūtot, piegādājot, novietojot materiālu vai objektu vajātajai personai pieejamā vietā bez jebkāda iemesla. Vajāšana var ietvert arī informācijas ievākšanu par personu, komunicēšanu ar vajātajai personai tuvu cilvēku.</w:t>
      </w:r>
    </w:p>
    <w:p w14:paraId="7563F454" w14:textId="4B69012E" w:rsidR="00B47808" w:rsidRPr="00B47808" w:rsidRDefault="002B3834" w:rsidP="00B47808">
      <w:pPr>
        <w:spacing w:after="0" w:line="276" w:lineRule="auto"/>
        <w:ind w:firstLine="709"/>
        <w:jc w:val="both"/>
      </w:pPr>
      <w:r w:rsidRPr="002B3834">
        <w:rPr>
          <w:rFonts w:eastAsia="Times New Roman" w:cs="Times New Roman"/>
          <w:color w:val="000000" w:themeColor="text1"/>
          <w:szCs w:val="24"/>
        </w:rPr>
        <w:t>Lai atzītu draudīgās darbības par vajāšanu, tām jābūt veiktām tīši un ar nolūku iedvest bailes upurim, rīcībai jāietver</w:t>
      </w:r>
      <w:r w:rsidR="00BB64FA">
        <w:rPr>
          <w:rFonts w:eastAsia="Times New Roman" w:cs="Times New Roman"/>
          <w:color w:val="000000" w:themeColor="text1"/>
          <w:szCs w:val="24"/>
        </w:rPr>
        <w:t xml:space="preserve"> </w:t>
      </w:r>
      <w:r w:rsidR="00C70C4B" w:rsidRPr="002B3834">
        <w:rPr>
          <w:rFonts w:eastAsia="Times New Roman" w:cs="Times New Roman"/>
          <w:color w:val="000000" w:themeColor="text1"/>
          <w:szCs w:val="24"/>
        </w:rPr>
        <w:t>atkārtoti nozīmīgi notikumi</w:t>
      </w:r>
      <w:r w:rsidRPr="002B3834">
        <w:rPr>
          <w:rFonts w:eastAsia="Times New Roman" w:cs="Times New Roman"/>
          <w:color w:val="000000" w:themeColor="text1"/>
          <w:szCs w:val="24"/>
        </w:rPr>
        <w:t>.</w:t>
      </w:r>
      <w:r w:rsidR="00BB64FA">
        <w:rPr>
          <w:rFonts w:eastAsia="Times New Roman" w:cs="Times New Roman"/>
          <w:color w:val="000000" w:themeColor="text1"/>
          <w:szCs w:val="24"/>
        </w:rPr>
        <w:t xml:space="preserve"> J</w:t>
      </w:r>
      <w:r w:rsidRPr="002B3834">
        <w:rPr>
          <w:rFonts w:eastAsia="Times New Roman" w:cs="Times New Roman"/>
          <w:color w:val="000000" w:themeColor="text1"/>
          <w:szCs w:val="24"/>
        </w:rPr>
        <w:t>āpastāv objektīviem apstākļiem, kas liecina par to, ka vajātājs varētu nodarīt kaitējumu vajātajam vai tā tuviniekiem, piemēram,</w:t>
      </w:r>
      <w:r w:rsidR="00846985">
        <w:rPr>
          <w:rFonts w:eastAsia="Times New Roman" w:cs="Times New Roman"/>
          <w:color w:val="000000" w:themeColor="text1"/>
          <w:szCs w:val="24"/>
        </w:rPr>
        <w:t xml:space="preserve"> </w:t>
      </w:r>
      <w:r w:rsidRPr="002B3834">
        <w:rPr>
          <w:rFonts w:eastAsia="Times New Roman" w:cs="Times New Roman"/>
          <w:color w:val="000000" w:themeColor="text1"/>
          <w:szCs w:val="24"/>
        </w:rPr>
        <w:t>ziņas par to, ka vajātājs agrāk ir varmācīgi izturējies pret vajāto, tā tuviniekiem vai citām personām.</w:t>
      </w:r>
      <w:r w:rsidR="00BE4922">
        <w:rPr>
          <w:rFonts w:eastAsia="Times New Roman" w:cs="Times New Roman"/>
          <w:color w:val="000000" w:themeColor="text1"/>
          <w:szCs w:val="24"/>
        </w:rPr>
        <w:t xml:space="preserve"> [..]</w:t>
      </w:r>
      <w:r w:rsidRPr="002B3834">
        <w:rPr>
          <w:rFonts w:eastAsia="Times New Roman" w:cs="Times New Roman"/>
          <w:color w:val="000000" w:themeColor="text1"/>
          <w:szCs w:val="24"/>
        </w:rPr>
        <w:t>. Tāpat vajātājam var būt objektīvi motīvi apdraudēt minēto personu drošību – atriebība, greizsirdība, mantkārība</w:t>
      </w:r>
      <w:r w:rsidR="00B47808">
        <w:t>.</w:t>
      </w:r>
    </w:p>
    <w:p w14:paraId="3816DE00" w14:textId="0212E8E4" w:rsidR="00B47808" w:rsidRDefault="00B47808" w:rsidP="00B47808">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N</w:t>
      </w:r>
      <w:r w:rsidR="002B3834" w:rsidRPr="002B3834">
        <w:rPr>
          <w:rFonts w:eastAsia="Times New Roman" w:cs="Times New Roman"/>
          <w:color w:val="000000" w:themeColor="text1"/>
          <w:szCs w:val="24"/>
        </w:rPr>
        <w:t xml:space="preserve">o valodniecības aspekta latviešu valodā – </w:t>
      </w:r>
      <w:r w:rsidR="00C70C4B">
        <w:rPr>
          <w:rFonts w:eastAsia="Times New Roman" w:cs="Times New Roman"/>
          <w:color w:val="000000" w:themeColor="text1"/>
          <w:szCs w:val="24"/>
        </w:rPr>
        <w:t>„</w:t>
      </w:r>
      <w:r w:rsidR="002B3834" w:rsidRPr="002B3834">
        <w:rPr>
          <w:rFonts w:eastAsia="Times New Roman" w:cs="Times New Roman"/>
          <w:color w:val="000000" w:themeColor="text1"/>
          <w:szCs w:val="24"/>
        </w:rPr>
        <w:t>vajāt</w:t>
      </w:r>
      <w:r w:rsidR="00E023B2">
        <w:rPr>
          <w:rFonts w:eastAsia="Times New Roman" w:cs="Times New Roman"/>
          <w:color w:val="000000" w:themeColor="text1"/>
          <w:szCs w:val="24"/>
        </w:rPr>
        <w:t>”</w:t>
      </w:r>
      <w:r w:rsidR="002B3834" w:rsidRPr="002B3834">
        <w:rPr>
          <w:rFonts w:eastAsia="Times New Roman" w:cs="Times New Roman"/>
          <w:color w:val="000000" w:themeColor="text1"/>
          <w:szCs w:val="24"/>
        </w:rPr>
        <w:t xml:space="preserve"> nozīmē 1) </w:t>
      </w:r>
      <w:r w:rsidR="00E023B2">
        <w:rPr>
          <w:rFonts w:eastAsia="Times New Roman" w:cs="Times New Roman"/>
          <w:color w:val="000000" w:themeColor="text1"/>
          <w:szCs w:val="24"/>
        </w:rPr>
        <w:t>„</w:t>
      </w:r>
      <w:r w:rsidR="002B3834" w:rsidRPr="002B3834">
        <w:rPr>
          <w:rFonts w:eastAsia="Times New Roman" w:cs="Times New Roman"/>
          <w:color w:val="000000" w:themeColor="text1"/>
          <w:szCs w:val="24"/>
        </w:rPr>
        <w:t>sekot (kam), lai to notvertu; dzīties pakaļ</w:t>
      </w:r>
      <w:r w:rsidR="00E023B2">
        <w:rPr>
          <w:rFonts w:eastAsia="Times New Roman" w:cs="Times New Roman"/>
          <w:color w:val="000000" w:themeColor="text1"/>
          <w:szCs w:val="24"/>
        </w:rPr>
        <w:t>”</w:t>
      </w:r>
      <w:r w:rsidR="002B3834" w:rsidRPr="002B3834">
        <w:rPr>
          <w:rFonts w:eastAsia="Times New Roman" w:cs="Times New Roman"/>
          <w:color w:val="000000" w:themeColor="text1"/>
          <w:szCs w:val="24"/>
        </w:rPr>
        <w:t>; 2) uzmācīgi, neatlaidīgi vērsties (pie kāda), traucēt; pastāvīgi nodarbināt kāda prātu, domas. Vajāšanas jēdziena skaidrojums ietver nepieciešamību darbībām būt neatlaidīgām, traucējošām un ilgstošām, lai tās varētu definēt kā vajāšanu</w:t>
      </w:r>
      <w:r w:rsidR="00D54A7C">
        <w:rPr>
          <w:rFonts w:eastAsia="Times New Roman" w:cs="Times New Roman"/>
          <w:color w:val="000000" w:themeColor="text1"/>
          <w:szCs w:val="24"/>
        </w:rPr>
        <w:t xml:space="preserve"> </w:t>
      </w:r>
      <w:r>
        <w:t>(</w:t>
      </w:r>
      <w:r w:rsidR="00C70C4B" w:rsidRPr="00C70C4B">
        <w:rPr>
          <w:i/>
          <w:iCs/>
        </w:rPr>
        <w:t>Pieejams:</w:t>
      </w:r>
      <w:r w:rsidR="00C70C4B">
        <w:t xml:space="preserve"> </w:t>
      </w:r>
      <w:r w:rsidRPr="007732D4">
        <w:rPr>
          <w:rFonts w:eastAsia="Times New Roman" w:cs="Times New Roman"/>
          <w:i/>
          <w:iCs/>
          <w:color w:val="000000" w:themeColor="text1"/>
          <w:szCs w:val="24"/>
        </w:rPr>
        <w:t>http://titania.saeima.lv/LIVS12/SaeimaLIVS12.nsf/0/1995DC23D08AA716C225808E002F9306?OpenDocument#b</w:t>
      </w:r>
      <w:r>
        <w:rPr>
          <w:rFonts w:eastAsia="Times New Roman" w:cs="Times New Roman"/>
          <w:color w:val="000000" w:themeColor="text1"/>
          <w:szCs w:val="24"/>
        </w:rPr>
        <w:t>)</w:t>
      </w:r>
      <w:r w:rsidR="00C70C4B">
        <w:rPr>
          <w:rFonts w:eastAsia="Times New Roman" w:cs="Times New Roman"/>
          <w:color w:val="000000" w:themeColor="text1"/>
          <w:szCs w:val="24"/>
        </w:rPr>
        <w:t>.</w:t>
      </w:r>
    </w:p>
    <w:p w14:paraId="119F1370" w14:textId="26FAFC32" w:rsidR="00ED177A" w:rsidRPr="00E94F70" w:rsidRDefault="00AB22C9" w:rsidP="00E72D42">
      <w:pPr>
        <w:spacing w:after="0" w:line="276" w:lineRule="auto"/>
        <w:ind w:firstLine="709"/>
        <w:jc w:val="both"/>
        <w:rPr>
          <w:rFonts w:eastAsia="Times New Roman" w:cs="Times New Roman"/>
          <w:color w:val="000000" w:themeColor="text1"/>
          <w:szCs w:val="24"/>
        </w:rPr>
      </w:pPr>
      <w:r w:rsidRPr="00E94F70">
        <w:rPr>
          <w:rFonts w:eastAsia="Times New Roman" w:cs="Times New Roman"/>
          <w:color w:val="000000" w:themeColor="text1"/>
          <w:szCs w:val="24"/>
        </w:rPr>
        <w:t>Ievērojot minēto, Senāts atzīst, ka n</w:t>
      </w:r>
      <w:r w:rsidR="004E5884" w:rsidRPr="00E94F70">
        <w:rPr>
          <w:rFonts w:eastAsia="Times New Roman" w:cs="Times New Roman"/>
          <w:color w:val="000000" w:themeColor="text1"/>
          <w:szCs w:val="24"/>
        </w:rPr>
        <w:t xml:space="preserve">oskaidrojot, vai apsūdzētajam ir nolūks likt personai baidīties par savu vai tuvinieku drošību, </w:t>
      </w:r>
      <w:r w:rsidR="00196E3E" w:rsidRPr="00E94F70">
        <w:rPr>
          <w:rFonts w:eastAsia="Times New Roman" w:cs="Times New Roman"/>
          <w:color w:val="000000" w:themeColor="text1"/>
          <w:szCs w:val="24"/>
        </w:rPr>
        <w:t xml:space="preserve">ir </w:t>
      </w:r>
      <w:r w:rsidR="003D575D" w:rsidRPr="00E94F70">
        <w:rPr>
          <w:rFonts w:eastAsia="Times New Roman" w:cs="Times New Roman"/>
          <w:color w:val="000000" w:themeColor="text1"/>
          <w:szCs w:val="24"/>
        </w:rPr>
        <w:t xml:space="preserve">vērtējams, kādu apzinātu uzvedības veidu </w:t>
      </w:r>
      <w:r w:rsidR="00034E6F" w:rsidRPr="00E94F70">
        <w:rPr>
          <w:rFonts w:eastAsia="Times New Roman" w:cs="Times New Roman"/>
          <w:color w:val="000000" w:themeColor="text1"/>
          <w:szCs w:val="24"/>
        </w:rPr>
        <w:t xml:space="preserve">persona </w:t>
      </w:r>
      <w:r w:rsidR="003D575D" w:rsidRPr="00E94F70">
        <w:rPr>
          <w:rFonts w:eastAsia="Times New Roman" w:cs="Times New Roman"/>
          <w:color w:val="000000" w:themeColor="text1"/>
          <w:szCs w:val="24"/>
        </w:rPr>
        <w:t>ievēro kopumā</w:t>
      </w:r>
      <w:r w:rsidR="00AF16A5" w:rsidRPr="00E94F70">
        <w:rPr>
          <w:rFonts w:eastAsia="Times New Roman" w:cs="Times New Roman"/>
          <w:color w:val="000000" w:themeColor="text1"/>
          <w:szCs w:val="24"/>
        </w:rPr>
        <w:t>, lai nopietni satrauktu citu personu,</w:t>
      </w:r>
      <w:r w:rsidR="00D7501E">
        <w:rPr>
          <w:rFonts w:eastAsia="Times New Roman" w:cs="Times New Roman"/>
          <w:color w:val="000000" w:themeColor="text1"/>
          <w:szCs w:val="24"/>
        </w:rPr>
        <w:t xml:space="preserve"> </w:t>
      </w:r>
      <w:r w:rsidR="00AF16A5" w:rsidRPr="00E94F70">
        <w:rPr>
          <w:rFonts w:eastAsia="Times New Roman" w:cs="Times New Roman"/>
          <w:color w:val="000000" w:themeColor="text1"/>
          <w:szCs w:val="24"/>
        </w:rPr>
        <w:t>darbību ilgum</w:t>
      </w:r>
      <w:r w:rsidRPr="00E94F70">
        <w:rPr>
          <w:rFonts w:eastAsia="Times New Roman" w:cs="Times New Roman"/>
          <w:color w:val="000000" w:themeColor="text1"/>
          <w:szCs w:val="24"/>
        </w:rPr>
        <w:t>s</w:t>
      </w:r>
      <w:r w:rsidR="00AF16A5" w:rsidRPr="00E94F70">
        <w:rPr>
          <w:rFonts w:eastAsia="Times New Roman" w:cs="Times New Roman"/>
          <w:color w:val="000000" w:themeColor="text1"/>
          <w:szCs w:val="24"/>
        </w:rPr>
        <w:t>, intensitāt</w:t>
      </w:r>
      <w:r w:rsidRPr="00E94F70">
        <w:rPr>
          <w:rFonts w:eastAsia="Times New Roman" w:cs="Times New Roman"/>
          <w:color w:val="000000" w:themeColor="text1"/>
          <w:szCs w:val="24"/>
        </w:rPr>
        <w:t>e</w:t>
      </w:r>
      <w:r w:rsidR="00AF16A5" w:rsidRPr="00E94F70">
        <w:rPr>
          <w:rFonts w:eastAsia="Times New Roman" w:cs="Times New Roman"/>
          <w:color w:val="000000" w:themeColor="text1"/>
          <w:szCs w:val="24"/>
        </w:rPr>
        <w:t xml:space="preserve"> un sistemātiskum</w:t>
      </w:r>
      <w:r w:rsidRPr="00E94F70">
        <w:rPr>
          <w:rFonts w:eastAsia="Times New Roman" w:cs="Times New Roman"/>
          <w:color w:val="000000" w:themeColor="text1"/>
          <w:szCs w:val="24"/>
        </w:rPr>
        <w:t>s</w:t>
      </w:r>
      <w:r w:rsidR="00AF16A5" w:rsidRPr="00E94F70">
        <w:rPr>
          <w:rFonts w:eastAsia="Times New Roman" w:cs="Times New Roman"/>
          <w:color w:val="000000" w:themeColor="text1"/>
          <w:szCs w:val="24"/>
        </w:rPr>
        <w:t xml:space="preserve">. </w:t>
      </w:r>
      <w:r w:rsidRPr="00E94F70">
        <w:rPr>
          <w:rFonts w:eastAsia="Times New Roman" w:cs="Times New Roman"/>
          <w:color w:val="000000" w:themeColor="text1"/>
          <w:szCs w:val="24"/>
        </w:rPr>
        <w:t>Turklāt ļaunprātīgām darbībām</w:t>
      </w:r>
      <w:r w:rsidR="00AF16A5" w:rsidRPr="00E94F70">
        <w:rPr>
          <w:rFonts w:eastAsia="Times New Roman" w:cs="Times New Roman"/>
          <w:color w:val="000000" w:themeColor="text1"/>
          <w:szCs w:val="24"/>
        </w:rPr>
        <w:t xml:space="preserve"> </w:t>
      </w:r>
      <w:r w:rsidRPr="00E94F70">
        <w:rPr>
          <w:rFonts w:eastAsia="Times New Roman" w:cs="Times New Roman"/>
          <w:color w:val="000000" w:themeColor="text1"/>
          <w:szCs w:val="24"/>
        </w:rPr>
        <w:t xml:space="preserve">nav </w:t>
      </w:r>
      <w:r w:rsidR="00AF16A5" w:rsidRPr="00E94F70">
        <w:rPr>
          <w:rFonts w:eastAsia="Times New Roman" w:cs="Times New Roman"/>
          <w:color w:val="000000" w:themeColor="text1"/>
          <w:szCs w:val="24"/>
        </w:rPr>
        <w:t>jābūt vienveidīgām.</w:t>
      </w:r>
      <w:r w:rsidR="00ED177A" w:rsidRPr="00E94F70">
        <w:rPr>
          <w:rFonts w:eastAsia="Times New Roman" w:cs="Times New Roman"/>
          <w:color w:val="000000" w:themeColor="text1"/>
          <w:szCs w:val="24"/>
        </w:rPr>
        <w:t xml:space="preserve"> </w:t>
      </w:r>
      <w:r w:rsidR="00196E3E" w:rsidRPr="00E94F70">
        <w:rPr>
          <w:rFonts w:eastAsia="Times New Roman" w:cs="Times New Roman"/>
          <w:color w:val="000000" w:themeColor="text1"/>
          <w:szCs w:val="24"/>
        </w:rPr>
        <w:t xml:space="preserve">Tāpēc </w:t>
      </w:r>
      <w:r w:rsidR="00A4710D" w:rsidRPr="00E94F70">
        <w:rPr>
          <w:rFonts w:eastAsia="Times New Roman" w:cs="Times New Roman"/>
          <w:color w:val="000000" w:themeColor="text1"/>
          <w:szCs w:val="24"/>
        </w:rPr>
        <w:t xml:space="preserve">apelācijas instances tiesas norādītajam </w:t>
      </w:r>
      <w:r w:rsidR="00196E3E" w:rsidRPr="00E94F70">
        <w:rPr>
          <w:rFonts w:eastAsia="Times New Roman" w:cs="Times New Roman"/>
          <w:color w:val="000000" w:themeColor="text1"/>
          <w:szCs w:val="24"/>
        </w:rPr>
        <w:t>apstāklim, k</w:t>
      </w:r>
      <w:r w:rsidR="00A4710D" w:rsidRPr="00E94F70">
        <w:rPr>
          <w:rFonts w:eastAsia="Times New Roman" w:cs="Times New Roman"/>
          <w:color w:val="000000" w:themeColor="text1"/>
          <w:szCs w:val="24"/>
        </w:rPr>
        <w:t xml:space="preserve">a </w:t>
      </w:r>
      <w:r w:rsidR="00196E3E" w:rsidRPr="00E94F70">
        <w:rPr>
          <w:rFonts w:eastAsia="Times New Roman" w:cs="Times New Roman"/>
          <w:color w:val="000000" w:themeColor="text1"/>
          <w:szCs w:val="24"/>
        </w:rPr>
        <w:t>apsūdzētais inkriminētās darbības</w:t>
      </w:r>
      <w:r w:rsidR="003C33C7" w:rsidRPr="00E94F70">
        <w:rPr>
          <w:rFonts w:eastAsia="Times New Roman" w:cs="Times New Roman"/>
          <w:color w:val="000000" w:themeColor="text1"/>
          <w:szCs w:val="24"/>
        </w:rPr>
        <w:t xml:space="preserve"> </w:t>
      </w:r>
      <w:r w:rsidR="00196E3E" w:rsidRPr="00E94F70">
        <w:rPr>
          <w:rFonts w:eastAsia="Times New Roman" w:cs="Times New Roman"/>
          <w:color w:val="000000" w:themeColor="text1"/>
          <w:szCs w:val="24"/>
        </w:rPr>
        <w:t>veicis, atrodoties sava privātīpašuma teritorijā</w:t>
      </w:r>
      <w:r w:rsidR="004C0B46" w:rsidRPr="00E94F70">
        <w:rPr>
          <w:rFonts w:eastAsia="Times New Roman" w:cs="Times New Roman"/>
          <w:szCs w:val="24"/>
        </w:rPr>
        <w:t>, nav izšķirošas nozīmes nolūka noskaidrošanai</w:t>
      </w:r>
      <w:r w:rsidR="00196E3E" w:rsidRPr="00E94F70">
        <w:rPr>
          <w:rFonts w:eastAsia="Times New Roman" w:cs="Times New Roman"/>
          <w:szCs w:val="24"/>
        </w:rPr>
        <w:t>.</w:t>
      </w:r>
    </w:p>
    <w:p w14:paraId="7C043FCE" w14:textId="5713CF32" w:rsidR="00E023B2" w:rsidRDefault="00B95B79" w:rsidP="00E023B2">
      <w:pPr>
        <w:spacing w:after="0" w:line="276" w:lineRule="auto"/>
        <w:ind w:firstLine="709"/>
        <w:jc w:val="both"/>
        <w:rPr>
          <w:rFonts w:cs="Times New Roman"/>
          <w:szCs w:val="24"/>
        </w:rPr>
      </w:pPr>
      <w:r w:rsidRPr="00BB0B91">
        <w:rPr>
          <w:rFonts w:cs="Times New Roman"/>
          <w:szCs w:val="24"/>
        </w:rPr>
        <w:t>Senāts atzīst, ka apelācijas instances tiesa nav sniegusi motivāciju,</w:t>
      </w:r>
      <w:r>
        <w:rPr>
          <w:rFonts w:cs="Times New Roman"/>
          <w:szCs w:val="24"/>
        </w:rPr>
        <w:t xml:space="preserve"> kāpēc tā noraidījusi </w:t>
      </w:r>
      <w:r w:rsidR="00AB22C9">
        <w:rPr>
          <w:rFonts w:cs="Times New Roman"/>
          <w:szCs w:val="24"/>
        </w:rPr>
        <w:t>valsts apsūdzības</w:t>
      </w:r>
      <w:r>
        <w:rPr>
          <w:rFonts w:cs="Times New Roman"/>
          <w:szCs w:val="24"/>
        </w:rPr>
        <w:t xml:space="preserve"> argumentus, </w:t>
      </w:r>
      <w:r w:rsidR="00FF66B0">
        <w:rPr>
          <w:rFonts w:cs="Times New Roman"/>
          <w:szCs w:val="24"/>
        </w:rPr>
        <w:t>pamatotus ar cietušo liecību izvērtējumu</w:t>
      </w:r>
      <w:r w:rsidR="007A0521">
        <w:rPr>
          <w:rFonts w:cs="Times New Roman"/>
          <w:szCs w:val="24"/>
        </w:rPr>
        <w:t xml:space="preserve"> </w:t>
      </w:r>
      <w:r w:rsidR="00CE56AA" w:rsidRPr="00846985">
        <w:rPr>
          <w:rFonts w:cs="Times New Roman"/>
          <w:color w:val="000000" w:themeColor="text1"/>
          <w:szCs w:val="24"/>
        </w:rPr>
        <w:t>to kopumā un savstarpējā sakarībā</w:t>
      </w:r>
      <w:r w:rsidR="00CE56AA" w:rsidRPr="00CE56AA">
        <w:rPr>
          <w:rFonts w:cs="Times New Roman"/>
          <w:color w:val="FF0000"/>
          <w:szCs w:val="24"/>
        </w:rPr>
        <w:t xml:space="preserve"> </w:t>
      </w:r>
      <w:r w:rsidR="007A0521">
        <w:rPr>
          <w:rFonts w:cs="Times New Roman"/>
          <w:szCs w:val="24"/>
        </w:rPr>
        <w:t>ar citiem pierādījumiem</w:t>
      </w:r>
      <w:r w:rsidR="00846985">
        <w:rPr>
          <w:rFonts w:cs="Times New Roman"/>
          <w:szCs w:val="24"/>
        </w:rPr>
        <w:t xml:space="preserve"> </w:t>
      </w:r>
      <w:r w:rsidR="004B14CE">
        <w:rPr>
          <w:rFonts w:cs="Times New Roman"/>
          <w:szCs w:val="24"/>
        </w:rPr>
        <w:t xml:space="preserve">un </w:t>
      </w:r>
      <w:r w:rsidR="00F86690">
        <w:rPr>
          <w:rFonts w:cs="Times New Roman"/>
          <w:szCs w:val="24"/>
        </w:rPr>
        <w:t xml:space="preserve">piešķīrusi ticamību apsūdzētā </w:t>
      </w:r>
      <w:r w:rsidR="00097E7C">
        <w:rPr>
          <w:rFonts w:cs="Times New Roman"/>
          <w:szCs w:val="24"/>
        </w:rPr>
        <w:t>[pers. E]</w:t>
      </w:r>
      <w:r w:rsidR="00F86690">
        <w:rPr>
          <w:rFonts w:cs="Times New Roman"/>
          <w:szCs w:val="24"/>
        </w:rPr>
        <w:t xml:space="preserve"> liecībām.</w:t>
      </w:r>
    </w:p>
    <w:p w14:paraId="0B132CD8" w14:textId="4AE23CFA" w:rsidR="00F86690" w:rsidRPr="00E023B2" w:rsidRDefault="00916F47" w:rsidP="00E023B2">
      <w:pPr>
        <w:spacing w:after="0" w:line="276" w:lineRule="auto"/>
        <w:ind w:firstLine="709"/>
        <w:jc w:val="both"/>
        <w:rPr>
          <w:rFonts w:cs="Times New Roman"/>
          <w:szCs w:val="24"/>
        </w:rPr>
      </w:pPr>
      <w:r w:rsidRPr="009B5E9E">
        <w:rPr>
          <w:rFonts w:asciiTheme="majorBidi" w:hAnsiTheme="majorBidi" w:cstheme="majorBidi"/>
        </w:rPr>
        <w:t xml:space="preserve">No </w:t>
      </w:r>
      <w:r w:rsidR="00C80C53" w:rsidRPr="009B5E9E">
        <w:rPr>
          <w:rFonts w:asciiTheme="majorBidi" w:hAnsiTheme="majorBidi" w:cstheme="majorBidi"/>
        </w:rPr>
        <w:t>cietušo</w:t>
      </w:r>
      <w:r w:rsidRPr="009B5E9E">
        <w:rPr>
          <w:rFonts w:asciiTheme="majorBidi" w:hAnsiTheme="majorBidi" w:cstheme="majorBidi"/>
        </w:rPr>
        <w:t xml:space="preserve"> </w:t>
      </w:r>
      <w:r w:rsidR="00097E7C">
        <w:rPr>
          <w:rFonts w:asciiTheme="majorBidi" w:hAnsiTheme="majorBidi" w:cstheme="majorBidi"/>
        </w:rPr>
        <w:t>[pers. C]</w:t>
      </w:r>
      <w:r w:rsidRPr="009B5E9E">
        <w:rPr>
          <w:rFonts w:asciiTheme="majorBidi" w:hAnsiTheme="majorBidi" w:cstheme="majorBidi"/>
        </w:rPr>
        <w:t xml:space="preserve"> un </w:t>
      </w:r>
      <w:r w:rsidR="00097E7C">
        <w:rPr>
          <w:rFonts w:asciiTheme="majorBidi" w:hAnsiTheme="majorBidi" w:cstheme="majorBidi"/>
        </w:rPr>
        <w:t>[pers. A]</w:t>
      </w:r>
      <w:r w:rsidRPr="009B5E9E">
        <w:rPr>
          <w:rFonts w:asciiTheme="majorBidi" w:hAnsiTheme="majorBidi" w:cstheme="majorBidi"/>
        </w:rPr>
        <w:t xml:space="preserve"> </w:t>
      </w:r>
      <w:r w:rsidR="00C80C53" w:rsidRPr="009B5E9E">
        <w:rPr>
          <w:rFonts w:asciiTheme="majorBidi" w:hAnsiTheme="majorBidi" w:cstheme="majorBidi"/>
        </w:rPr>
        <w:t xml:space="preserve">liecībām izriet, ka </w:t>
      </w:r>
      <w:r w:rsidRPr="009B5E9E">
        <w:rPr>
          <w:rFonts w:asciiTheme="majorBidi" w:hAnsiTheme="majorBidi" w:cstheme="majorBidi"/>
        </w:rPr>
        <w:t xml:space="preserve">starp viņiem un apsūdzēto </w:t>
      </w:r>
      <w:r w:rsidR="00097E7C">
        <w:rPr>
          <w:rFonts w:asciiTheme="majorBidi" w:hAnsiTheme="majorBidi" w:cstheme="majorBidi"/>
        </w:rPr>
        <w:t>[pers. E]</w:t>
      </w:r>
      <w:r w:rsidRPr="009B5E9E">
        <w:rPr>
          <w:rFonts w:asciiTheme="majorBidi" w:hAnsiTheme="majorBidi" w:cstheme="majorBidi"/>
        </w:rPr>
        <w:t xml:space="preserve"> ilgstoši pastāvējušas konflikt</w:t>
      </w:r>
      <w:r w:rsidR="00633320">
        <w:rPr>
          <w:rFonts w:asciiTheme="majorBidi" w:hAnsiTheme="majorBidi" w:cstheme="majorBidi"/>
        </w:rPr>
        <w:t>ējošas</w:t>
      </w:r>
      <w:r w:rsidRPr="009B5E9E">
        <w:rPr>
          <w:rFonts w:asciiTheme="majorBidi" w:hAnsiTheme="majorBidi" w:cstheme="majorBidi"/>
        </w:rPr>
        <w:t xml:space="preserve"> attiecības, uz kurām </w:t>
      </w:r>
      <w:r w:rsidR="00097E7C">
        <w:rPr>
          <w:rFonts w:asciiTheme="majorBidi" w:hAnsiTheme="majorBidi" w:cstheme="majorBidi"/>
        </w:rPr>
        <w:t>[pers. E]</w:t>
      </w:r>
      <w:r w:rsidRPr="009B5E9E">
        <w:rPr>
          <w:rFonts w:asciiTheme="majorBidi" w:hAnsiTheme="majorBidi" w:cstheme="majorBidi"/>
        </w:rPr>
        <w:t xml:space="preserve"> reaģējis, uzsākot cietušo vajāšanu </w:t>
      </w:r>
      <w:r w:rsidR="00823DE2" w:rsidRPr="009B5E9E">
        <w:rPr>
          <w:rFonts w:asciiTheme="majorBidi" w:hAnsiTheme="majorBidi" w:cstheme="majorBidi"/>
        </w:rPr>
        <w:t>–</w:t>
      </w:r>
      <w:r w:rsidRPr="009B5E9E">
        <w:rPr>
          <w:rFonts w:asciiTheme="majorBidi" w:hAnsiTheme="majorBidi" w:cstheme="majorBidi"/>
        </w:rPr>
        <w:t xml:space="preserve"> </w:t>
      </w:r>
      <w:r w:rsidR="00823DE2" w:rsidRPr="009B5E9E">
        <w:rPr>
          <w:rFonts w:asciiTheme="majorBidi" w:hAnsiTheme="majorBidi" w:cstheme="majorBidi"/>
        </w:rPr>
        <w:t xml:space="preserve">ilgstoši </w:t>
      </w:r>
      <w:r w:rsidR="00C80C53" w:rsidRPr="009B5E9E">
        <w:rPr>
          <w:rFonts w:asciiTheme="majorBidi" w:hAnsiTheme="majorBidi" w:cstheme="majorBidi"/>
        </w:rPr>
        <w:t xml:space="preserve">novērojis, fotografējis, </w:t>
      </w:r>
      <w:r w:rsidR="00823DE2" w:rsidRPr="009B5E9E">
        <w:rPr>
          <w:rFonts w:asciiTheme="majorBidi" w:hAnsiTheme="majorBidi" w:cstheme="majorBidi"/>
        </w:rPr>
        <w:t xml:space="preserve">atkārtoti </w:t>
      </w:r>
      <w:r w:rsidR="00C80C53" w:rsidRPr="009B5E9E">
        <w:rPr>
          <w:rFonts w:asciiTheme="majorBidi" w:hAnsiTheme="majorBidi" w:cstheme="majorBidi"/>
        </w:rPr>
        <w:t>spīdinājis ar lāzera staru mazgadīgās meitas istabā. Liecinieki</w:t>
      </w:r>
      <w:r w:rsidRPr="009B5E9E">
        <w:rPr>
          <w:rFonts w:asciiTheme="majorBidi" w:hAnsiTheme="majorBidi" w:cstheme="majorBidi"/>
        </w:rPr>
        <w:t xml:space="preserve"> </w:t>
      </w:r>
      <w:r w:rsidR="003A095B">
        <w:rPr>
          <w:rFonts w:asciiTheme="majorBidi" w:hAnsiTheme="majorBidi" w:cstheme="majorBidi"/>
        </w:rPr>
        <w:t>[pers. G]</w:t>
      </w:r>
      <w:r w:rsidR="00C80C53" w:rsidRPr="009B5E9E">
        <w:rPr>
          <w:rFonts w:asciiTheme="majorBidi" w:hAnsiTheme="majorBidi" w:cstheme="majorBidi"/>
        </w:rPr>
        <w:t xml:space="preserve">, </w:t>
      </w:r>
      <w:r w:rsidR="003A095B">
        <w:rPr>
          <w:rFonts w:asciiTheme="majorBidi" w:hAnsiTheme="majorBidi" w:cstheme="majorBidi"/>
        </w:rPr>
        <w:t>[pers. H]</w:t>
      </w:r>
      <w:r w:rsidR="00C80C53" w:rsidRPr="009B5E9E">
        <w:rPr>
          <w:rFonts w:asciiTheme="majorBidi" w:hAnsiTheme="majorBidi" w:cstheme="majorBidi"/>
        </w:rPr>
        <w:t xml:space="preserve"> un </w:t>
      </w:r>
      <w:r w:rsidR="003A095B">
        <w:rPr>
          <w:rFonts w:asciiTheme="majorBidi" w:hAnsiTheme="majorBidi" w:cstheme="majorBidi"/>
        </w:rPr>
        <w:t>[pers. I]</w:t>
      </w:r>
      <w:r w:rsidR="00C80C53" w:rsidRPr="009B5E9E">
        <w:rPr>
          <w:rFonts w:asciiTheme="majorBidi" w:hAnsiTheme="majorBidi" w:cstheme="majorBidi"/>
        </w:rPr>
        <w:t xml:space="preserve"> liecināja par viņu fotografēšanas apstākļiem,</w:t>
      </w:r>
      <w:r w:rsidR="00823DE2" w:rsidRPr="009B5E9E">
        <w:rPr>
          <w:rFonts w:asciiTheme="majorBidi" w:hAnsiTheme="majorBidi" w:cstheme="majorBidi"/>
        </w:rPr>
        <w:t xml:space="preserve"> papildus </w:t>
      </w:r>
      <w:r w:rsidR="003A095B">
        <w:rPr>
          <w:rFonts w:asciiTheme="majorBidi" w:hAnsiTheme="majorBidi" w:cstheme="majorBidi"/>
        </w:rPr>
        <w:t>[pers. </w:t>
      </w:r>
      <w:r w:rsidR="003A095B">
        <w:t>I]</w:t>
      </w:r>
      <w:r w:rsidR="00C80C53" w:rsidRPr="009F3AC8">
        <w:t xml:space="preserve"> un </w:t>
      </w:r>
      <w:r w:rsidR="003A095B">
        <w:t>[pers. H]</w:t>
      </w:r>
      <w:r w:rsidR="00C80C53" w:rsidRPr="009F3AC8">
        <w:t xml:space="preserve"> liecināja par lāzera spīdināšanu. Liecinieces </w:t>
      </w:r>
      <w:r w:rsidR="003A095B">
        <w:t>[pers. J]</w:t>
      </w:r>
      <w:r w:rsidR="00C80C53" w:rsidRPr="009F3AC8">
        <w:t xml:space="preserve"> un</w:t>
      </w:r>
      <w:r w:rsidR="005F460F" w:rsidRPr="009F3AC8">
        <w:t xml:space="preserve"> </w:t>
      </w:r>
      <w:r w:rsidR="003A095B">
        <w:t>[pers. K]</w:t>
      </w:r>
      <w:r w:rsidR="00C80C53" w:rsidRPr="009F3AC8">
        <w:t xml:space="preserve"> </w:t>
      </w:r>
      <w:r w:rsidR="005F460F" w:rsidRPr="009F3AC8">
        <w:t>liecināja</w:t>
      </w:r>
      <w:r w:rsidR="00C80C53" w:rsidRPr="009F3AC8">
        <w:t>, ka cietušie pie viņām kā pie speciālistēm psiholoģijā</w:t>
      </w:r>
      <w:r w:rsidR="005F460F" w:rsidRPr="009F3AC8">
        <w:t xml:space="preserve"> </w:t>
      </w:r>
      <w:r w:rsidR="00C80C53" w:rsidRPr="009F3AC8">
        <w:t>vērsušies sakarā ar kaimiņa darbībām – viņu novērošanu,</w:t>
      </w:r>
      <w:r w:rsidR="005F460F" w:rsidRPr="009F3AC8">
        <w:t xml:space="preserve"> </w:t>
      </w:r>
      <w:r w:rsidR="00C80C53" w:rsidRPr="009F3AC8">
        <w:t xml:space="preserve">fotografēšanu, rupju izturēšanos pret mazgadīgo bērnu. </w:t>
      </w:r>
      <w:r w:rsidR="005F460F" w:rsidRPr="009F3AC8">
        <w:t>Cietušo raksturotā situācija varējusi radīt nedrošības sajūtu un bailes.</w:t>
      </w:r>
      <w:r w:rsidR="00654EB6">
        <w:rPr>
          <w:b/>
          <w:bCs/>
        </w:rPr>
        <w:t xml:space="preserve"> </w:t>
      </w:r>
    </w:p>
    <w:p w14:paraId="254F43CC" w14:textId="7C856ABE" w:rsidR="00B536E7" w:rsidRDefault="00823DE2" w:rsidP="00E023B2">
      <w:pPr>
        <w:spacing w:after="0" w:line="276" w:lineRule="auto"/>
        <w:ind w:firstLine="709"/>
        <w:jc w:val="both"/>
        <w:rPr>
          <w:rFonts w:cs="Times New Roman"/>
          <w:szCs w:val="24"/>
        </w:rPr>
      </w:pPr>
      <w:r>
        <w:rPr>
          <w:rFonts w:cs="Times New Roman"/>
          <w:szCs w:val="24"/>
        </w:rPr>
        <w:t>T</w:t>
      </w:r>
      <w:r w:rsidR="00654EB6">
        <w:rPr>
          <w:rFonts w:cs="Times New Roman"/>
          <w:szCs w:val="24"/>
        </w:rPr>
        <w:t>urklāt</w:t>
      </w:r>
      <w:r>
        <w:rPr>
          <w:rFonts w:cs="Times New Roman"/>
          <w:szCs w:val="24"/>
        </w:rPr>
        <w:t xml:space="preserve"> a</w:t>
      </w:r>
      <w:r w:rsidR="00C80C53" w:rsidRPr="00C80C53">
        <w:rPr>
          <w:rFonts w:cs="Times New Roman"/>
          <w:szCs w:val="24"/>
        </w:rPr>
        <w:t>pelācijas instances tiesa nav vērtējusi apsūdzētā</w:t>
      </w:r>
      <w:r w:rsidR="00FF66B0" w:rsidRPr="00C80C53">
        <w:rPr>
          <w:rFonts w:cs="Times New Roman"/>
          <w:szCs w:val="24"/>
        </w:rPr>
        <w:t xml:space="preserve"> </w:t>
      </w:r>
      <w:r w:rsidR="003A095B">
        <w:rPr>
          <w:rFonts w:cs="Times New Roman"/>
          <w:szCs w:val="24"/>
        </w:rPr>
        <w:t>[pers. E]</w:t>
      </w:r>
      <w:r w:rsidR="00C80C53" w:rsidRPr="00C80C53">
        <w:rPr>
          <w:rFonts w:cs="Times New Roman"/>
          <w:szCs w:val="24"/>
        </w:rPr>
        <w:t xml:space="preserve"> </w:t>
      </w:r>
      <w:r w:rsidR="00C80C53" w:rsidRPr="00C80C53">
        <w:rPr>
          <w:rFonts w:eastAsia="Times New Roman" w:cs="Times New Roman"/>
          <w:color w:val="000000" w:themeColor="text1"/>
          <w:szCs w:val="24"/>
        </w:rPr>
        <w:t>apzinātu uzvedības veidu kopumā</w:t>
      </w:r>
      <w:r w:rsidR="00C80C53" w:rsidRPr="00C80C53">
        <w:rPr>
          <w:rFonts w:cs="Times New Roman"/>
          <w:szCs w:val="24"/>
        </w:rPr>
        <w:t xml:space="preserve"> </w:t>
      </w:r>
      <w:r w:rsidR="00E023B2">
        <w:rPr>
          <w:rFonts w:cs="Times New Roman"/>
          <w:szCs w:val="24"/>
        </w:rPr>
        <w:t>–</w:t>
      </w:r>
      <w:r w:rsidR="00C80C53" w:rsidRPr="00C80C53">
        <w:rPr>
          <w:rFonts w:cs="Times New Roman"/>
          <w:szCs w:val="24"/>
        </w:rPr>
        <w:t xml:space="preserve"> </w:t>
      </w:r>
      <w:r w:rsidR="007A0521" w:rsidRPr="00C80C53">
        <w:rPr>
          <w:rFonts w:cs="Times New Roman"/>
          <w:szCs w:val="24"/>
        </w:rPr>
        <w:t>vērošan</w:t>
      </w:r>
      <w:r w:rsidR="00465D77">
        <w:rPr>
          <w:rFonts w:cs="Times New Roman"/>
          <w:szCs w:val="24"/>
        </w:rPr>
        <w:t>u</w:t>
      </w:r>
      <w:r w:rsidR="007A0521" w:rsidRPr="00C80C53">
        <w:rPr>
          <w:rFonts w:cs="Times New Roman"/>
          <w:szCs w:val="24"/>
        </w:rPr>
        <w:t>, prožektoru likšan</w:t>
      </w:r>
      <w:r w:rsidR="00465D77">
        <w:rPr>
          <w:rFonts w:cs="Times New Roman"/>
          <w:szCs w:val="24"/>
        </w:rPr>
        <w:t>u</w:t>
      </w:r>
      <w:r w:rsidR="007A0521" w:rsidRPr="00C80C53">
        <w:rPr>
          <w:rFonts w:cs="Times New Roman"/>
          <w:szCs w:val="24"/>
        </w:rPr>
        <w:t>, fotografēšan</w:t>
      </w:r>
      <w:r w:rsidR="00465D77">
        <w:rPr>
          <w:rFonts w:cs="Times New Roman"/>
          <w:szCs w:val="24"/>
        </w:rPr>
        <w:t>u</w:t>
      </w:r>
      <w:r w:rsidR="007A0521" w:rsidRPr="00C80C53">
        <w:rPr>
          <w:rFonts w:cs="Times New Roman"/>
          <w:szCs w:val="24"/>
        </w:rPr>
        <w:t xml:space="preserve"> ar zibspuldzi, spīdināšan</w:t>
      </w:r>
      <w:r w:rsidR="00465D77">
        <w:rPr>
          <w:rFonts w:cs="Times New Roman"/>
          <w:szCs w:val="24"/>
        </w:rPr>
        <w:t>u</w:t>
      </w:r>
      <w:r w:rsidR="007A0521" w:rsidRPr="00C80C53">
        <w:rPr>
          <w:rFonts w:cs="Times New Roman"/>
          <w:szCs w:val="24"/>
        </w:rPr>
        <w:t xml:space="preserve"> ar lāzer</w:t>
      </w:r>
      <w:r w:rsidR="00D7501E">
        <w:rPr>
          <w:rFonts w:cs="Times New Roman"/>
          <w:szCs w:val="24"/>
        </w:rPr>
        <w:t>a staru</w:t>
      </w:r>
      <w:r w:rsidR="00B43EB8" w:rsidRPr="00C80C53">
        <w:rPr>
          <w:rFonts w:cs="Times New Roman"/>
          <w:szCs w:val="24"/>
        </w:rPr>
        <w:t>,</w:t>
      </w:r>
      <w:r w:rsidR="00602774" w:rsidRPr="00C80C53">
        <w:rPr>
          <w:rFonts w:cs="Times New Roman"/>
          <w:szCs w:val="24"/>
        </w:rPr>
        <w:t xml:space="preserve"> </w:t>
      </w:r>
      <w:r w:rsidR="00846985">
        <w:rPr>
          <w:rFonts w:cs="Times New Roman"/>
          <w:szCs w:val="24"/>
        </w:rPr>
        <w:t xml:space="preserve">šo darbību </w:t>
      </w:r>
      <w:r w:rsidR="00B43EB8" w:rsidRPr="00C80C53">
        <w:rPr>
          <w:rFonts w:cs="Times New Roman"/>
          <w:szCs w:val="24"/>
        </w:rPr>
        <w:t>atkārtotību, neatlaidīgumu, ilgumu un sistemātiskum</w:t>
      </w:r>
      <w:r w:rsidR="00602774" w:rsidRPr="00C80C53">
        <w:rPr>
          <w:rFonts w:cs="Times New Roman"/>
          <w:szCs w:val="24"/>
        </w:rPr>
        <w:t xml:space="preserve">u, kas bija vērstas, lai iedvestu bailes cietušajam un </w:t>
      </w:r>
      <w:r w:rsidR="00C80C53" w:rsidRPr="00C80C53">
        <w:rPr>
          <w:rFonts w:cs="Times New Roman"/>
          <w:szCs w:val="24"/>
        </w:rPr>
        <w:t xml:space="preserve">to, ka </w:t>
      </w:r>
      <w:r w:rsidR="00BB4EB2" w:rsidRPr="00C80C53">
        <w:rPr>
          <w:rFonts w:cs="Times New Roman"/>
          <w:szCs w:val="24"/>
        </w:rPr>
        <w:t xml:space="preserve">apsūdzētais šādas darbības </w:t>
      </w:r>
      <w:r w:rsidR="00602774" w:rsidRPr="00C80C53">
        <w:rPr>
          <w:rFonts w:cs="Times New Roman"/>
          <w:szCs w:val="24"/>
        </w:rPr>
        <w:t>turpināj</w:t>
      </w:r>
      <w:r w:rsidR="00BB4EB2" w:rsidRPr="00C80C53">
        <w:rPr>
          <w:rFonts w:cs="Times New Roman"/>
          <w:szCs w:val="24"/>
        </w:rPr>
        <w:t>a</w:t>
      </w:r>
      <w:r w:rsidR="00602774" w:rsidRPr="00C80C53">
        <w:rPr>
          <w:rFonts w:cs="Times New Roman"/>
          <w:szCs w:val="24"/>
        </w:rPr>
        <w:t>, lai arī cietušais</w:t>
      </w:r>
      <w:r w:rsidR="00633320">
        <w:rPr>
          <w:rFonts w:cs="Times New Roman"/>
          <w:szCs w:val="24"/>
        </w:rPr>
        <w:t xml:space="preserve"> </w:t>
      </w:r>
      <w:r w:rsidR="003A095B">
        <w:rPr>
          <w:rFonts w:cs="Times New Roman"/>
          <w:szCs w:val="24"/>
        </w:rPr>
        <w:t>[pers. C]</w:t>
      </w:r>
      <w:r w:rsidR="00602774" w:rsidRPr="00C80C53">
        <w:rPr>
          <w:rFonts w:cs="Times New Roman"/>
          <w:szCs w:val="24"/>
        </w:rPr>
        <w:t xml:space="preserve"> </w:t>
      </w:r>
      <w:r w:rsidR="00BB4EB2" w:rsidRPr="00C80C53">
        <w:rPr>
          <w:rFonts w:cs="Times New Roman"/>
          <w:szCs w:val="24"/>
        </w:rPr>
        <w:t xml:space="preserve">apsūdzētajam </w:t>
      </w:r>
      <w:r w:rsidR="003A095B">
        <w:rPr>
          <w:rFonts w:cs="Times New Roman"/>
          <w:szCs w:val="24"/>
        </w:rPr>
        <w:t>[pers. E]</w:t>
      </w:r>
      <w:r w:rsidR="00633320">
        <w:rPr>
          <w:rFonts w:cs="Times New Roman"/>
          <w:szCs w:val="24"/>
        </w:rPr>
        <w:t xml:space="preserve"> </w:t>
      </w:r>
      <w:r w:rsidR="00BB4EB2" w:rsidRPr="00C80C53">
        <w:rPr>
          <w:rFonts w:cs="Times New Roman"/>
          <w:szCs w:val="24"/>
        </w:rPr>
        <w:t xml:space="preserve">bija lūdzis </w:t>
      </w:r>
      <w:r w:rsidR="00602774" w:rsidRPr="00C80C53">
        <w:rPr>
          <w:rFonts w:cs="Times New Roman"/>
          <w:szCs w:val="24"/>
        </w:rPr>
        <w:t>pārtraukt viņa ģimenes vajāšanu</w:t>
      </w:r>
      <w:r w:rsidR="00580299" w:rsidRPr="00C80C53">
        <w:rPr>
          <w:rFonts w:cs="Times New Roman"/>
          <w:szCs w:val="24"/>
        </w:rPr>
        <w:t>.</w:t>
      </w:r>
    </w:p>
    <w:p w14:paraId="0FDC3290" w14:textId="2DEC2C15" w:rsidR="00E023B2" w:rsidRDefault="009B5E9E" w:rsidP="00E023B2">
      <w:pPr>
        <w:autoSpaceDE w:val="0"/>
        <w:autoSpaceDN w:val="0"/>
        <w:adjustRightInd w:val="0"/>
        <w:spacing w:after="0" w:line="276" w:lineRule="auto"/>
        <w:ind w:firstLine="709"/>
        <w:jc w:val="both"/>
        <w:rPr>
          <w:rFonts w:asciiTheme="majorBidi" w:hAnsiTheme="majorBidi" w:cstheme="majorBidi"/>
          <w:szCs w:val="24"/>
        </w:rPr>
      </w:pPr>
      <w:r w:rsidRPr="00E023B2">
        <w:rPr>
          <w:rFonts w:asciiTheme="majorBidi" w:hAnsiTheme="majorBidi" w:cstheme="majorBidi"/>
          <w:szCs w:val="24"/>
        </w:rPr>
        <w:t xml:space="preserve">No </w:t>
      </w:r>
      <w:r w:rsidR="003A095B">
        <w:rPr>
          <w:rFonts w:asciiTheme="majorBidi" w:hAnsiTheme="majorBidi" w:cstheme="majorBidi"/>
          <w:szCs w:val="24"/>
        </w:rPr>
        <w:t>[pers. E]</w:t>
      </w:r>
      <w:r w:rsidRPr="00E023B2">
        <w:rPr>
          <w:rFonts w:asciiTheme="majorBidi" w:hAnsiTheme="majorBidi" w:cstheme="majorBidi"/>
          <w:szCs w:val="24"/>
        </w:rPr>
        <w:t xml:space="preserve"> celtās apsūdzības izriet, ka laikā no 2018.gad</w:t>
      </w:r>
      <w:r w:rsidR="003737DA">
        <w:rPr>
          <w:rFonts w:asciiTheme="majorBidi" w:hAnsiTheme="majorBidi" w:cstheme="majorBidi"/>
          <w:szCs w:val="24"/>
        </w:rPr>
        <w:t>a</w:t>
      </w:r>
      <w:r w:rsidRPr="00E023B2">
        <w:rPr>
          <w:rFonts w:asciiTheme="majorBidi" w:hAnsiTheme="majorBidi" w:cstheme="majorBidi"/>
          <w:szCs w:val="24"/>
        </w:rPr>
        <w:t xml:space="preserve"> </w:t>
      </w:r>
      <w:r w:rsidR="003A095B">
        <w:rPr>
          <w:rFonts w:asciiTheme="majorBidi" w:hAnsiTheme="majorBidi" w:cstheme="majorBidi"/>
          <w:szCs w:val="24"/>
        </w:rPr>
        <w:t>[..]</w:t>
      </w:r>
      <w:r w:rsidRPr="00E023B2">
        <w:rPr>
          <w:rFonts w:asciiTheme="majorBidi" w:hAnsiTheme="majorBidi" w:cstheme="majorBidi"/>
          <w:szCs w:val="24"/>
        </w:rPr>
        <w:t xml:space="preserve">.janvāra līdz </w:t>
      </w:r>
      <w:r w:rsidR="003A095B">
        <w:rPr>
          <w:rFonts w:asciiTheme="majorBidi" w:hAnsiTheme="majorBidi" w:cstheme="majorBidi"/>
          <w:szCs w:val="24"/>
        </w:rPr>
        <w:t>[..]</w:t>
      </w:r>
      <w:r w:rsidRPr="00E023B2">
        <w:rPr>
          <w:rFonts w:asciiTheme="majorBidi" w:hAnsiTheme="majorBidi" w:cstheme="majorBidi"/>
          <w:szCs w:val="24"/>
        </w:rPr>
        <w:t xml:space="preserve">.septembrim </w:t>
      </w:r>
      <w:r w:rsidR="003A095B">
        <w:rPr>
          <w:rFonts w:asciiTheme="majorBidi" w:hAnsiTheme="majorBidi" w:cstheme="majorBidi"/>
          <w:szCs w:val="24"/>
        </w:rPr>
        <w:t>[pers. E]</w:t>
      </w:r>
      <w:r w:rsidRPr="00E023B2">
        <w:rPr>
          <w:rFonts w:asciiTheme="majorBidi" w:hAnsiTheme="majorBidi" w:cstheme="majorBidi"/>
          <w:szCs w:val="24"/>
        </w:rPr>
        <w:t xml:space="preserve">, nolūkā iedvest bailes kaimiņiem </w:t>
      </w:r>
      <w:r w:rsidR="003A095B">
        <w:rPr>
          <w:rFonts w:asciiTheme="majorBidi" w:hAnsiTheme="majorBidi" w:cstheme="majorBidi"/>
          <w:szCs w:val="24"/>
        </w:rPr>
        <w:t>[pers. </w:t>
      </w:r>
      <w:r w:rsidR="003A095B">
        <w:t>C]</w:t>
      </w:r>
      <w:r w:rsidRPr="00E023B2">
        <w:rPr>
          <w:rFonts w:asciiTheme="majorBidi" w:hAnsiTheme="majorBidi" w:cstheme="majorBidi"/>
          <w:szCs w:val="24"/>
        </w:rPr>
        <w:t xml:space="preserve"> un </w:t>
      </w:r>
      <w:r w:rsidR="003A095B">
        <w:rPr>
          <w:rFonts w:asciiTheme="majorBidi" w:hAnsiTheme="majorBidi" w:cstheme="majorBidi"/>
          <w:szCs w:val="24"/>
        </w:rPr>
        <w:t>[pers. A]</w:t>
      </w:r>
      <w:r w:rsidRPr="00E023B2">
        <w:rPr>
          <w:rFonts w:asciiTheme="majorBidi" w:hAnsiTheme="majorBidi" w:cstheme="majorBidi"/>
          <w:szCs w:val="24"/>
        </w:rPr>
        <w:t xml:space="preserve">, ne mazāk kā 30 reizes demonstratīvi novēroja, kas notiek viņu dzīvesvietā. </w:t>
      </w:r>
      <w:r w:rsidR="003A095B">
        <w:rPr>
          <w:rFonts w:asciiTheme="majorBidi" w:hAnsiTheme="majorBidi" w:cstheme="majorBidi"/>
          <w:szCs w:val="24"/>
        </w:rPr>
        <w:t>[Pers. </w:t>
      </w:r>
      <w:r w:rsidR="003A095B">
        <w:t>E]</w:t>
      </w:r>
      <w:r w:rsidRPr="00E023B2">
        <w:rPr>
          <w:rFonts w:asciiTheme="majorBidi" w:hAnsiTheme="majorBidi" w:cstheme="majorBidi"/>
          <w:szCs w:val="24"/>
        </w:rPr>
        <w:t xml:space="preserve"> uzņēma ne mazāk kā 1200 fotogrāfijas ar zibspuldzi, pavērsa uz </w:t>
      </w:r>
      <w:r w:rsidR="003A095B">
        <w:rPr>
          <w:rFonts w:asciiTheme="majorBidi" w:hAnsiTheme="majorBidi" w:cstheme="majorBidi"/>
          <w:szCs w:val="24"/>
        </w:rPr>
        <w:t>[pers. C]</w:t>
      </w:r>
      <w:r w:rsidRPr="00E023B2">
        <w:rPr>
          <w:rFonts w:asciiTheme="majorBidi" w:hAnsiTheme="majorBidi" w:cstheme="majorBidi"/>
          <w:szCs w:val="24"/>
        </w:rPr>
        <w:t xml:space="preserve"> īpašumu videonovērošanas kameru un prožektorus, kā arī dažas reizes vakarā spīdināja lāzera staru </w:t>
      </w:r>
      <w:r w:rsidR="00C45AF8" w:rsidRPr="00846985">
        <w:rPr>
          <w:rFonts w:asciiTheme="majorBidi" w:hAnsiTheme="majorBidi" w:cstheme="majorBidi"/>
          <w:color w:val="000000" w:themeColor="text1"/>
          <w:szCs w:val="24"/>
        </w:rPr>
        <w:t>uz</w:t>
      </w:r>
      <w:r w:rsidRPr="00C45AF8">
        <w:rPr>
          <w:rFonts w:asciiTheme="majorBidi" w:hAnsiTheme="majorBidi" w:cstheme="majorBidi"/>
          <w:szCs w:val="24"/>
        </w:rPr>
        <w:t xml:space="preserve"> </w:t>
      </w:r>
      <w:r w:rsidR="003A095B">
        <w:rPr>
          <w:rFonts w:asciiTheme="majorBidi" w:hAnsiTheme="majorBidi" w:cstheme="majorBidi"/>
          <w:szCs w:val="24"/>
        </w:rPr>
        <w:t>[pers. C]</w:t>
      </w:r>
      <w:r w:rsidRPr="00E023B2">
        <w:rPr>
          <w:rFonts w:asciiTheme="majorBidi" w:hAnsiTheme="majorBidi" w:cstheme="majorBidi"/>
          <w:szCs w:val="24"/>
        </w:rPr>
        <w:t xml:space="preserve"> un </w:t>
      </w:r>
      <w:r w:rsidR="003A095B">
        <w:rPr>
          <w:rFonts w:asciiTheme="majorBidi" w:hAnsiTheme="majorBidi" w:cstheme="majorBidi"/>
          <w:szCs w:val="24"/>
        </w:rPr>
        <w:t>[pers. A]</w:t>
      </w:r>
      <w:r w:rsidRPr="00E023B2">
        <w:rPr>
          <w:rFonts w:asciiTheme="majorBidi" w:hAnsiTheme="majorBidi" w:cstheme="majorBidi"/>
          <w:szCs w:val="24"/>
        </w:rPr>
        <w:t xml:space="preserve"> nepilngadīgajiem bērniem.</w:t>
      </w:r>
    </w:p>
    <w:p w14:paraId="4DABB329" w14:textId="547FC829" w:rsidR="00B95B79" w:rsidRPr="00E023B2" w:rsidRDefault="00B95B79" w:rsidP="0086370B">
      <w:pPr>
        <w:autoSpaceDE w:val="0"/>
        <w:autoSpaceDN w:val="0"/>
        <w:adjustRightInd w:val="0"/>
        <w:spacing w:after="0" w:line="276" w:lineRule="auto"/>
        <w:ind w:firstLine="709"/>
        <w:jc w:val="both"/>
        <w:rPr>
          <w:rFonts w:asciiTheme="majorBidi" w:hAnsiTheme="majorBidi" w:cstheme="majorBidi"/>
          <w:szCs w:val="24"/>
        </w:rPr>
      </w:pPr>
      <w:r w:rsidRPr="00580299">
        <w:rPr>
          <w:rFonts w:cs="Times New Roman"/>
          <w:szCs w:val="24"/>
        </w:rPr>
        <w:t>Atbilstoši Kriminālprocesa likuma 124.panta otrajai daļai kriminālprocesā pierādāma noziedzīgā nodarījuma sastāva esamība vai neesamība, tātad Krimināllikuma</w:t>
      </w:r>
      <w:r w:rsidR="00AB22C9" w:rsidRPr="00580299">
        <w:rPr>
          <w:rFonts w:cs="Times New Roman"/>
          <w:szCs w:val="24"/>
        </w:rPr>
        <w:t xml:space="preserve"> 132.</w:t>
      </w:r>
      <w:r w:rsidR="00AB22C9" w:rsidRPr="00580299">
        <w:rPr>
          <w:rFonts w:cs="Times New Roman"/>
          <w:szCs w:val="24"/>
          <w:vertAlign w:val="superscript"/>
        </w:rPr>
        <w:t>1</w:t>
      </w:r>
      <w:r w:rsidR="00AB22C9" w:rsidRPr="00580299">
        <w:rPr>
          <w:rFonts w:cs="Times New Roman"/>
          <w:szCs w:val="24"/>
        </w:rPr>
        <w:t xml:space="preserve"> pantā </w:t>
      </w:r>
      <w:r w:rsidRPr="00580299">
        <w:rPr>
          <w:rFonts w:cs="Times New Roman"/>
          <w:szCs w:val="24"/>
        </w:rPr>
        <w:t xml:space="preserve">paredzētā noziedzīgā nodarījuma sastāva </w:t>
      </w:r>
      <w:r w:rsidR="00AB22C9" w:rsidRPr="00580299">
        <w:rPr>
          <w:rFonts w:cs="Times New Roman"/>
          <w:szCs w:val="24"/>
        </w:rPr>
        <w:t>subjektīvās</w:t>
      </w:r>
      <w:r w:rsidRPr="00580299">
        <w:rPr>
          <w:rFonts w:cs="Times New Roman"/>
          <w:szCs w:val="24"/>
        </w:rPr>
        <w:t xml:space="preserve"> puses </w:t>
      </w:r>
      <w:r w:rsidR="00580299" w:rsidRPr="00580299">
        <w:rPr>
          <w:rFonts w:cs="Times New Roman"/>
          <w:szCs w:val="24"/>
        </w:rPr>
        <w:t>speciāls nolūks – iedvest bailes upurim.</w:t>
      </w:r>
      <w:r w:rsidR="004E2A6D">
        <w:rPr>
          <w:rFonts w:cs="Times New Roman"/>
          <w:szCs w:val="24"/>
        </w:rPr>
        <w:t xml:space="preserve"> </w:t>
      </w:r>
      <w:r w:rsidR="0086370B">
        <w:rPr>
          <w:rFonts w:cs="Times New Roman"/>
          <w:szCs w:val="24"/>
        </w:rPr>
        <w:t xml:space="preserve">Tādējādi apelācijas instances tiesa nav </w:t>
      </w:r>
      <w:r w:rsidR="00851100">
        <w:rPr>
          <w:rFonts w:cs="Times New Roman"/>
          <w:szCs w:val="24"/>
        </w:rPr>
        <w:t>ievērojusi Kriminālprocesa likuma 128.panta otrās daļas prasības, vērtējot ziņas par faktiem, kuriem ir nozīme konkrēto krimināltiesisko attiecību taisnīgā noregulējumā.</w:t>
      </w:r>
    </w:p>
    <w:p w14:paraId="4390DE89" w14:textId="219B859C" w:rsidR="00E023B2" w:rsidRDefault="00B95B79" w:rsidP="00E023B2">
      <w:pPr>
        <w:autoSpaceDE w:val="0"/>
        <w:autoSpaceDN w:val="0"/>
        <w:adjustRightInd w:val="0"/>
        <w:spacing w:after="0" w:line="276" w:lineRule="auto"/>
        <w:ind w:firstLine="720"/>
        <w:jc w:val="both"/>
        <w:rPr>
          <w:rFonts w:cs="Times New Roman"/>
          <w:szCs w:val="24"/>
        </w:rPr>
      </w:pPr>
      <w:r w:rsidRPr="00641269">
        <w:rPr>
          <w:rFonts w:cs="Times New Roman"/>
          <w:szCs w:val="24"/>
        </w:rPr>
        <w:t>Senāts atzīst, ka apelācijas instances tiesa, izskatot lietu, pieļāvusi Kriminālprocesa</w:t>
      </w:r>
      <w:r>
        <w:rPr>
          <w:rFonts w:cs="Times New Roman"/>
          <w:szCs w:val="24"/>
        </w:rPr>
        <w:t xml:space="preserve"> </w:t>
      </w:r>
      <w:r w:rsidRPr="00641269">
        <w:rPr>
          <w:rFonts w:cs="Times New Roman"/>
          <w:szCs w:val="24"/>
        </w:rPr>
        <w:t xml:space="preserve">likuma </w:t>
      </w:r>
      <w:r w:rsidR="004B14CE">
        <w:rPr>
          <w:rFonts w:cs="Times New Roman"/>
          <w:szCs w:val="24"/>
        </w:rPr>
        <w:t xml:space="preserve">128.panta otrās daļas un </w:t>
      </w:r>
      <w:r w:rsidRPr="00641269">
        <w:rPr>
          <w:rFonts w:cs="Times New Roman"/>
          <w:szCs w:val="24"/>
        </w:rPr>
        <w:t>564.panta ceturtās daļas pārkāpumu, kas atzīstam</w:t>
      </w:r>
      <w:r w:rsidR="00B6312C">
        <w:rPr>
          <w:rFonts w:cs="Times New Roman"/>
          <w:szCs w:val="24"/>
        </w:rPr>
        <w:t>s</w:t>
      </w:r>
      <w:r w:rsidRPr="00641269">
        <w:rPr>
          <w:rFonts w:cs="Times New Roman"/>
          <w:szCs w:val="24"/>
        </w:rPr>
        <w:t xml:space="preserve"> par Kriminālprocesa likuma būtisku</w:t>
      </w:r>
      <w:r>
        <w:rPr>
          <w:rFonts w:cs="Times New Roman"/>
          <w:szCs w:val="24"/>
        </w:rPr>
        <w:t xml:space="preserve"> </w:t>
      </w:r>
      <w:r w:rsidRPr="00641269">
        <w:rPr>
          <w:rFonts w:cs="Times New Roman"/>
          <w:szCs w:val="24"/>
        </w:rPr>
        <w:t>pārkāpumu šā likuma 575.panta trešās daļas izpratnē, kas noved</w:t>
      </w:r>
      <w:r w:rsidR="00B6312C">
        <w:rPr>
          <w:rFonts w:cs="Times New Roman"/>
          <w:szCs w:val="24"/>
        </w:rPr>
        <w:t>is</w:t>
      </w:r>
      <w:r w:rsidRPr="00641269">
        <w:rPr>
          <w:rFonts w:cs="Times New Roman"/>
          <w:szCs w:val="24"/>
        </w:rPr>
        <w:t xml:space="preserve"> pie nelikumīga nolēmuma.</w:t>
      </w:r>
    </w:p>
    <w:p w14:paraId="0F7C6442" w14:textId="77777777" w:rsidR="00E023B2" w:rsidRDefault="00E023B2" w:rsidP="00E023B2">
      <w:pPr>
        <w:autoSpaceDE w:val="0"/>
        <w:autoSpaceDN w:val="0"/>
        <w:adjustRightInd w:val="0"/>
        <w:spacing w:after="0" w:line="276" w:lineRule="auto"/>
        <w:ind w:firstLine="720"/>
        <w:jc w:val="both"/>
        <w:rPr>
          <w:rFonts w:cs="Times New Roman"/>
          <w:szCs w:val="24"/>
        </w:rPr>
      </w:pPr>
    </w:p>
    <w:p w14:paraId="7D963241" w14:textId="0202E576" w:rsidR="00E023B2" w:rsidRDefault="001F0B7E" w:rsidP="00E023B2">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[7] Vienlaikus Senāts atzīst, ka prokurore nav pamatojusi, kā apelācijas instances tiesas spriedum</w:t>
      </w:r>
      <w:r w:rsidR="00B875A2">
        <w:rPr>
          <w:rFonts w:eastAsia="Times New Roman" w:cs="Times New Roman"/>
          <w:szCs w:val="24"/>
        </w:rPr>
        <w:t>a</w:t>
      </w:r>
      <w:r>
        <w:rPr>
          <w:rFonts w:eastAsia="Times New Roman" w:cs="Times New Roman"/>
          <w:szCs w:val="24"/>
        </w:rPr>
        <w:t xml:space="preserve"> motīvu daļā pieļautā kļūda, norādot citas personas datus, novedusi pie nelikumīga nolēmuma.</w:t>
      </w:r>
    </w:p>
    <w:p w14:paraId="61893A40" w14:textId="34B552AB" w:rsidR="00E023B2" w:rsidRDefault="00F86690" w:rsidP="00E023B2">
      <w:pPr>
        <w:autoSpaceDE w:val="0"/>
        <w:autoSpaceDN w:val="0"/>
        <w:adjustRightInd w:val="0"/>
        <w:spacing w:after="0" w:line="276" w:lineRule="auto"/>
        <w:ind w:firstLine="720"/>
        <w:jc w:val="both"/>
        <w:rPr>
          <w:rFonts w:cs="Times New Roman"/>
          <w:szCs w:val="24"/>
        </w:rPr>
      </w:pPr>
      <w:r>
        <w:rPr>
          <w:rFonts w:eastAsia="Times New Roman" w:cs="Times New Roman"/>
          <w:szCs w:val="24"/>
        </w:rPr>
        <w:t>No apelācijas instances tiesas sprieduma izriet, ka nolēmuma motīvu daļā vien</w:t>
      </w:r>
      <w:r w:rsidR="0081227A">
        <w:rPr>
          <w:rFonts w:eastAsia="Times New Roman" w:cs="Times New Roman"/>
          <w:szCs w:val="24"/>
        </w:rPr>
        <w:t xml:space="preserve">ā rindkopā </w:t>
      </w:r>
      <w:r w:rsidR="009B5E9E">
        <w:rPr>
          <w:rFonts w:eastAsia="Times New Roman" w:cs="Times New Roman"/>
          <w:szCs w:val="24"/>
        </w:rPr>
        <w:t xml:space="preserve">kļūdaini </w:t>
      </w:r>
      <w:r w:rsidR="0081227A">
        <w:rPr>
          <w:rFonts w:eastAsia="Times New Roman" w:cs="Times New Roman"/>
          <w:szCs w:val="24"/>
        </w:rPr>
        <w:t>norādīt</w:t>
      </w:r>
      <w:r w:rsidR="00492B3B">
        <w:rPr>
          <w:rFonts w:eastAsia="Times New Roman" w:cs="Times New Roman"/>
          <w:szCs w:val="24"/>
        </w:rPr>
        <w:t>i</w:t>
      </w:r>
      <w:r w:rsidR="0081227A" w:rsidRPr="0081227A">
        <w:t xml:space="preserve"> </w:t>
      </w:r>
      <w:r w:rsidR="0081227A">
        <w:t xml:space="preserve">citas personas dati </w:t>
      </w:r>
      <w:r w:rsidR="00492B3B" w:rsidRPr="00580299">
        <w:rPr>
          <w:rFonts w:cs="Times New Roman"/>
          <w:szCs w:val="24"/>
        </w:rPr>
        <w:t>–</w:t>
      </w:r>
      <w:r w:rsidR="0081227A">
        <w:t xml:space="preserve"> </w:t>
      </w:r>
      <w:r w:rsidR="003A095B">
        <w:rPr>
          <w:rFonts w:eastAsia="Times New Roman" w:cs="Times New Roman"/>
          <w:szCs w:val="24"/>
        </w:rPr>
        <w:t>[pers. F]</w:t>
      </w:r>
      <w:r w:rsidR="00492B3B">
        <w:rPr>
          <w:rFonts w:eastAsia="Times New Roman" w:cs="Times New Roman"/>
          <w:szCs w:val="24"/>
        </w:rPr>
        <w:t xml:space="preserve">. Savukārt pārējā nolēmuma daļā ir vērtēta </w:t>
      </w:r>
      <w:r w:rsidR="003A095B">
        <w:rPr>
          <w:rFonts w:eastAsia="Times New Roman" w:cs="Times New Roman"/>
          <w:szCs w:val="24"/>
        </w:rPr>
        <w:t>[pers. E]</w:t>
      </w:r>
      <w:r w:rsidR="00492B3B">
        <w:rPr>
          <w:rFonts w:eastAsia="Times New Roman" w:cs="Times New Roman"/>
          <w:szCs w:val="24"/>
        </w:rPr>
        <w:t xml:space="preserve"> celtās apsūdzības pēc Krimināllikuma 132.</w:t>
      </w:r>
      <w:r w:rsidR="00492B3B">
        <w:rPr>
          <w:rFonts w:eastAsia="Times New Roman" w:cs="Times New Roman"/>
          <w:szCs w:val="24"/>
          <w:vertAlign w:val="superscript"/>
        </w:rPr>
        <w:t>1</w:t>
      </w:r>
      <w:r w:rsidR="00492B3B">
        <w:rPr>
          <w:rFonts w:eastAsia="Times New Roman" w:cs="Times New Roman"/>
          <w:szCs w:val="24"/>
        </w:rPr>
        <w:t xml:space="preserve">panta pamatotība, kas </w:t>
      </w:r>
      <w:r w:rsidR="004B14CE">
        <w:rPr>
          <w:rFonts w:eastAsia="Times New Roman" w:cs="Times New Roman"/>
          <w:szCs w:val="24"/>
        </w:rPr>
        <w:t xml:space="preserve">arī </w:t>
      </w:r>
      <w:r w:rsidR="00492B3B">
        <w:rPr>
          <w:rFonts w:eastAsia="Times New Roman" w:cs="Times New Roman"/>
          <w:szCs w:val="24"/>
        </w:rPr>
        <w:t>atspoguļoj</w:t>
      </w:r>
      <w:r w:rsidR="004B14CE">
        <w:rPr>
          <w:rFonts w:eastAsia="Times New Roman" w:cs="Times New Roman"/>
          <w:szCs w:val="24"/>
        </w:rPr>
        <w:t>ā</w:t>
      </w:r>
      <w:r w:rsidR="00492B3B">
        <w:rPr>
          <w:rFonts w:eastAsia="Times New Roman" w:cs="Times New Roman"/>
          <w:szCs w:val="24"/>
        </w:rPr>
        <w:t>s</w:t>
      </w:r>
      <w:r w:rsidR="004B14CE">
        <w:rPr>
          <w:rFonts w:eastAsia="Times New Roman" w:cs="Times New Roman"/>
          <w:szCs w:val="24"/>
        </w:rPr>
        <w:t xml:space="preserve"> </w:t>
      </w:r>
      <w:r w:rsidR="00492B3B">
        <w:rPr>
          <w:rFonts w:eastAsia="Times New Roman" w:cs="Times New Roman"/>
          <w:szCs w:val="24"/>
        </w:rPr>
        <w:t>nolēmuma rezolutīvajā daļā.</w:t>
      </w:r>
    </w:p>
    <w:p w14:paraId="71F8363D" w14:textId="77777777" w:rsidR="00E023B2" w:rsidRDefault="00E023B2" w:rsidP="00E023B2">
      <w:pPr>
        <w:autoSpaceDE w:val="0"/>
        <w:autoSpaceDN w:val="0"/>
        <w:adjustRightInd w:val="0"/>
        <w:spacing w:after="0" w:line="276" w:lineRule="auto"/>
        <w:ind w:firstLine="720"/>
        <w:jc w:val="both"/>
        <w:rPr>
          <w:rFonts w:cs="Times New Roman"/>
          <w:szCs w:val="24"/>
        </w:rPr>
      </w:pPr>
    </w:p>
    <w:p w14:paraId="4629C51E" w14:textId="44B3D853" w:rsidR="003B13E9" w:rsidRPr="00E023B2" w:rsidRDefault="003B13E9" w:rsidP="00E023B2">
      <w:pPr>
        <w:autoSpaceDE w:val="0"/>
        <w:autoSpaceDN w:val="0"/>
        <w:adjustRightInd w:val="0"/>
        <w:spacing w:after="0" w:line="276" w:lineRule="auto"/>
        <w:ind w:firstLine="720"/>
        <w:jc w:val="both"/>
        <w:rPr>
          <w:rFonts w:cs="Times New Roman"/>
          <w:szCs w:val="24"/>
        </w:rPr>
      </w:pPr>
      <w:r>
        <w:rPr>
          <w:rFonts w:eastAsia="Times New Roman" w:cs="Times New Roman"/>
          <w:szCs w:val="24"/>
        </w:rPr>
        <w:t>[</w:t>
      </w:r>
      <w:r w:rsidR="001F0B7E">
        <w:rPr>
          <w:rFonts w:eastAsia="Times New Roman" w:cs="Times New Roman"/>
          <w:szCs w:val="24"/>
        </w:rPr>
        <w:t>8</w:t>
      </w:r>
      <w:r>
        <w:rPr>
          <w:rFonts w:eastAsia="Times New Roman" w:cs="Times New Roman"/>
          <w:szCs w:val="24"/>
        </w:rPr>
        <w:t>]</w:t>
      </w:r>
      <w:r w:rsidR="00E023B2">
        <w:rPr>
          <w:rFonts w:eastAsia="Times New Roman" w:cs="Times New Roman"/>
          <w:szCs w:val="24"/>
        </w:rPr>
        <w:t xml:space="preserve"> </w:t>
      </w:r>
      <w:r w:rsidR="003C7E52">
        <w:rPr>
          <w:rFonts w:eastAsia="Times New Roman" w:cs="Times New Roman"/>
          <w:szCs w:val="24"/>
        </w:rPr>
        <w:t>Apelācijas</w:t>
      </w:r>
      <w:r>
        <w:rPr>
          <w:rFonts w:eastAsia="Times New Roman" w:cs="Times New Roman"/>
          <w:szCs w:val="24"/>
        </w:rPr>
        <w:t xml:space="preserve"> instances tiesa, taisot attaisnojošu spriedumu, </w:t>
      </w:r>
      <w:r w:rsidR="003C7E52">
        <w:rPr>
          <w:rFonts w:eastAsia="Times New Roman" w:cs="Times New Roman"/>
          <w:szCs w:val="24"/>
        </w:rPr>
        <w:t>nav lēmusi jautājumu par</w:t>
      </w:r>
      <w:r>
        <w:rPr>
          <w:rFonts w:eastAsia="Times New Roman" w:cs="Times New Roman"/>
          <w:szCs w:val="24"/>
        </w:rPr>
        <w:t xml:space="preserve"> drošības līdzek</w:t>
      </w:r>
      <w:r w:rsidR="003C7E52">
        <w:rPr>
          <w:rFonts w:eastAsia="Times New Roman" w:cs="Times New Roman"/>
          <w:szCs w:val="24"/>
        </w:rPr>
        <w:t>li</w:t>
      </w:r>
      <w:r>
        <w:rPr>
          <w:rFonts w:eastAsia="Times New Roman" w:cs="Times New Roman"/>
          <w:szCs w:val="24"/>
        </w:rPr>
        <w:t>.</w:t>
      </w:r>
      <w:r w:rsidR="003C7E52">
        <w:rPr>
          <w:rFonts w:eastAsia="Times New Roman" w:cs="Times New Roman"/>
          <w:szCs w:val="24"/>
        </w:rPr>
        <w:t xml:space="preserve"> </w:t>
      </w:r>
      <w:r w:rsidRPr="00D934B3">
        <w:rPr>
          <w:rFonts w:eastAsia="Times New Roman" w:cs="Times New Roman"/>
          <w:szCs w:val="24"/>
        </w:rPr>
        <w:t xml:space="preserve">Senāts atzīst, ka drošības līdzekļa piemērošanai </w:t>
      </w:r>
      <w:r w:rsidR="003A095B">
        <w:rPr>
          <w:rFonts w:eastAsia="Times New Roman" w:cs="Times New Roman"/>
          <w:szCs w:val="24"/>
        </w:rPr>
        <w:t>[pers. E]</w:t>
      </w:r>
      <w:r w:rsidR="003C7E52">
        <w:rPr>
          <w:rFonts w:eastAsia="Times New Roman" w:cs="Times New Roman"/>
          <w:szCs w:val="24"/>
        </w:rPr>
        <w:t xml:space="preserve"> </w:t>
      </w:r>
      <w:r w:rsidRPr="00D934B3">
        <w:rPr>
          <w:rFonts w:eastAsia="Times New Roman" w:cs="Times New Roman"/>
          <w:szCs w:val="24"/>
        </w:rPr>
        <w:t>šajā kriminālprocesa stadijā nav tiesiska pamata.</w:t>
      </w:r>
    </w:p>
    <w:p w14:paraId="462A321B" w14:textId="1BECB63F" w:rsidR="00B6312C" w:rsidRDefault="00B6312C" w:rsidP="003B13E9">
      <w:pPr>
        <w:tabs>
          <w:tab w:val="left" w:pos="0"/>
        </w:tabs>
        <w:spacing w:after="0" w:line="276" w:lineRule="auto"/>
        <w:jc w:val="both"/>
        <w:rPr>
          <w:rFonts w:eastAsia="Times New Roman" w:cs="Times New Roman"/>
          <w:szCs w:val="24"/>
        </w:rPr>
      </w:pPr>
    </w:p>
    <w:p w14:paraId="63185757" w14:textId="77777777" w:rsidR="003C33C7" w:rsidRDefault="003C33C7" w:rsidP="003B13E9">
      <w:pPr>
        <w:tabs>
          <w:tab w:val="left" w:pos="0"/>
        </w:tabs>
        <w:spacing w:after="0" w:line="276" w:lineRule="auto"/>
        <w:jc w:val="both"/>
        <w:rPr>
          <w:rFonts w:eastAsia="Times New Roman" w:cs="Times New Roman"/>
          <w:szCs w:val="24"/>
        </w:rPr>
      </w:pPr>
    </w:p>
    <w:p w14:paraId="68F9E967" w14:textId="77777777" w:rsidR="003B13E9" w:rsidRDefault="003B13E9" w:rsidP="003B13E9">
      <w:pPr>
        <w:spacing w:after="0" w:line="276" w:lineRule="auto"/>
        <w:jc w:val="center"/>
        <w:rPr>
          <w:rFonts w:eastAsia="Times New Roman" w:cs="Times New Roman"/>
          <w:b/>
          <w:szCs w:val="24"/>
        </w:rPr>
      </w:pPr>
      <w:r>
        <w:rPr>
          <w:rFonts w:eastAsia="Times New Roman" w:cs="Times New Roman"/>
          <w:b/>
          <w:szCs w:val="24"/>
        </w:rPr>
        <w:t>Rezolutīvā daļa</w:t>
      </w:r>
    </w:p>
    <w:p w14:paraId="567C0662" w14:textId="77777777" w:rsidR="003B13E9" w:rsidRDefault="003B13E9" w:rsidP="003B13E9">
      <w:pPr>
        <w:spacing w:after="0" w:line="276" w:lineRule="auto"/>
        <w:jc w:val="center"/>
        <w:rPr>
          <w:rFonts w:eastAsia="Times New Roman" w:cs="Times New Roman"/>
          <w:b/>
          <w:szCs w:val="24"/>
        </w:rPr>
      </w:pPr>
    </w:p>
    <w:p w14:paraId="06C2EB63" w14:textId="37DB973F" w:rsidR="00B875A2" w:rsidRDefault="003B13E9" w:rsidP="003C33C7">
      <w:pPr>
        <w:spacing w:after="0" w:line="276" w:lineRule="auto"/>
        <w:ind w:firstLine="720"/>
        <w:jc w:val="both"/>
        <w:rPr>
          <w:rFonts w:eastAsia="Times New Roman" w:cs="Times New Roman"/>
          <w:szCs w:val="24"/>
        </w:rPr>
      </w:pPr>
      <w:r>
        <w:rPr>
          <w:rFonts w:eastAsia="Times New Roman" w:cs="Times New Roman"/>
          <w:szCs w:val="24"/>
        </w:rPr>
        <w:t>Pamatojoties uz Kriminālprocesa likuma 585.pantu un 587.panta pirmās daļas 2.punktu, tiesa</w:t>
      </w:r>
    </w:p>
    <w:p w14:paraId="4AF623B3" w14:textId="77777777" w:rsidR="003C33C7" w:rsidRPr="003C33C7" w:rsidRDefault="003C33C7" w:rsidP="0088094E">
      <w:pPr>
        <w:spacing w:after="0" w:line="276" w:lineRule="auto"/>
        <w:jc w:val="both"/>
        <w:rPr>
          <w:rFonts w:eastAsia="Times New Roman" w:cs="Times New Roman"/>
          <w:szCs w:val="24"/>
        </w:rPr>
      </w:pPr>
    </w:p>
    <w:p w14:paraId="771F5440" w14:textId="7ECCEBCF" w:rsidR="003B13E9" w:rsidRDefault="003B13E9" w:rsidP="003B13E9">
      <w:pPr>
        <w:spacing w:after="0" w:line="276" w:lineRule="auto"/>
        <w:jc w:val="center"/>
        <w:rPr>
          <w:rFonts w:eastAsia="Times New Roman" w:cs="Times New Roman"/>
          <w:b/>
          <w:szCs w:val="24"/>
        </w:rPr>
      </w:pPr>
      <w:r>
        <w:rPr>
          <w:rFonts w:eastAsia="Times New Roman" w:cs="Times New Roman"/>
          <w:b/>
          <w:szCs w:val="24"/>
        </w:rPr>
        <w:t>nolēma:</w:t>
      </w:r>
    </w:p>
    <w:p w14:paraId="03724F54" w14:textId="0588A506" w:rsidR="00EF1479" w:rsidRPr="00B875A2" w:rsidRDefault="00EF1479" w:rsidP="003B13E9">
      <w:pPr>
        <w:spacing w:after="0" w:line="276" w:lineRule="auto"/>
        <w:jc w:val="both"/>
        <w:rPr>
          <w:rFonts w:eastAsia="Times New Roman" w:cs="Times New Roman"/>
          <w:color w:val="000000" w:themeColor="text1"/>
          <w:szCs w:val="24"/>
        </w:rPr>
      </w:pPr>
    </w:p>
    <w:p w14:paraId="14D7D60D" w14:textId="49939A5F" w:rsidR="003B13E9" w:rsidRDefault="003B13E9" w:rsidP="00B875A2">
      <w:pPr>
        <w:spacing w:after="0" w:line="276" w:lineRule="auto"/>
        <w:ind w:firstLine="709"/>
        <w:jc w:val="both"/>
        <w:rPr>
          <w:rFonts w:eastAsia="Times New Roman" w:cs="Times New Roman"/>
          <w:szCs w:val="24"/>
        </w:rPr>
      </w:pPr>
      <w:r>
        <w:rPr>
          <w:rFonts w:eastAsia="Times New Roman" w:cs="Times New Roman"/>
          <w:color w:val="000000" w:themeColor="text1"/>
          <w:szCs w:val="24"/>
        </w:rPr>
        <w:t xml:space="preserve">atcelt </w:t>
      </w:r>
      <w:r w:rsidR="003A095B">
        <w:rPr>
          <w:rFonts w:eastAsia="Times New Roman" w:cs="Times New Roman"/>
          <w:color w:val="000000" w:themeColor="text1"/>
          <w:szCs w:val="24"/>
        </w:rPr>
        <w:t>[..]</w:t>
      </w:r>
      <w:r w:rsidR="004F59B4" w:rsidRPr="004F59B4">
        <w:rPr>
          <w:rFonts w:eastAsia="Times New Roman" w:cs="Times New Roman"/>
          <w:color w:val="000000" w:themeColor="text1"/>
          <w:szCs w:val="24"/>
        </w:rPr>
        <w:t xml:space="preserve"> apgabaltiesas 2020.gada </w:t>
      </w:r>
      <w:r w:rsidR="003A095B">
        <w:rPr>
          <w:rFonts w:eastAsia="Times New Roman" w:cs="Times New Roman"/>
          <w:color w:val="000000" w:themeColor="text1"/>
          <w:szCs w:val="24"/>
        </w:rPr>
        <w:t>[..]</w:t>
      </w:r>
      <w:r w:rsidR="004F59B4" w:rsidRPr="004F59B4">
        <w:rPr>
          <w:rFonts w:eastAsia="Times New Roman" w:cs="Times New Roman"/>
          <w:color w:val="000000" w:themeColor="text1"/>
          <w:szCs w:val="24"/>
        </w:rPr>
        <w:t xml:space="preserve"> spriedumu</w:t>
      </w:r>
      <w:r>
        <w:rPr>
          <w:rFonts w:eastAsia="Times New Roman" w:cs="Times New Roman"/>
          <w:color w:val="000000" w:themeColor="text1"/>
          <w:szCs w:val="24"/>
        </w:rPr>
        <w:t xml:space="preserve"> </w:t>
      </w:r>
      <w:r>
        <w:rPr>
          <w:rFonts w:eastAsia="Times New Roman" w:cs="Times New Roman"/>
          <w:szCs w:val="24"/>
        </w:rPr>
        <w:t xml:space="preserve">un lietu nosūtīt jaunai izskatīšanai </w:t>
      </w:r>
      <w:r w:rsidR="00AB6C38">
        <w:rPr>
          <w:rFonts w:eastAsia="Times New Roman" w:cs="Times New Roman"/>
          <w:szCs w:val="24"/>
        </w:rPr>
        <w:t>[..]</w:t>
      </w:r>
      <w:r>
        <w:rPr>
          <w:rFonts w:eastAsia="Times New Roman" w:cs="Times New Roman"/>
          <w:szCs w:val="24"/>
        </w:rPr>
        <w:t xml:space="preserve"> apgabaltiesā.</w:t>
      </w:r>
    </w:p>
    <w:p w14:paraId="669F0E9C" w14:textId="34EAAA9C" w:rsidR="00264398" w:rsidRPr="004F59B4" w:rsidRDefault="00EF1479" w:rsidP="00BB5709">
      <w:pPr>
        <w:spacing w:after="0" w:line="276" w:lineRule="auto"/>
        <w:ind w:firstLine="720"/>
        <w:jc w:val="both"/>
        <w:rPr>
          <w:rFonts w:eastAsia="Times New Roman" w:cs="Times New Roman"/>
          <w:color w:val="000000" w:themeColor="text1"/>
          <w:szCs w:val="24"/>
        </w:rPr>
      </w:pPr>
      <w:r w:rsidRPr="004F59B4">
        <w:rPr>
          <w:rFonts w:eastAsia="Times New Roman" w:cs="Times New Roman"/>
          <w:color w:val="000000" w:themeColor="text1"/>
          <w:szCs w:val="24"/>
        </w:rPr>
        <w:t>Lēmums nav pārsūdzams.</w:t>
      </w:r>
    </w:p>
    <w:sectPr w:rsidR="00264398" w:rsidRPr="004F59B4" w:rsidSect="00363E6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6F91" w14:textId="77777777" w:rsidR="00763618" w:rsidRDefault="00763618" w:rsidP="0064020B">
      <w:pPr>
        <w:spacing w:after="0" w:line="240" w:lineRule="auto"/>
      </w:pPr>
      <w:r>
        <w:separator/>
      </w:r>
    </w:p>
  </w:endnote>
  <w:endnote w:type="continuationSeparator" w:id="0">
    <w:p w14:paraId="0D3555F5" w14:textId="77777777" w:rsidR="00763618" w:rsidRDefault="00763618" w:rsidP="0064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376F8EED" w14:textId="138F92AC" w:rsidR="00826091" w:rsidRDefault="00826091" w:rsidP="0064020B">
        <w:pPr>
          <w:pStyle w:val="Footer"/>
          <w:tabs>
            <w:tab w:val="clear" w:pos="4153"/>
            <w:tab w:val="clear" w:pos="8306"/>
            <w:tab w:val="center" w:pos="4513"/>
            <w:tab w:val="right" w:pos="9026"/>
          </w:tabs>
          <w:jc w:val="center"/>
          <w:rPr>
            <w:szCs w:val="24"/>
          </w:rPr>
        </w:pPr>
        <w:r w:rsidRPr="006E36C7">
          <w:rPr>
            <w:szCs w:val="24"/>
          </w:rPr>
          <w:fldChar w:fldCharType="begin"/>
        </w:r>
        <w:r w:rsidRPr="006E36C7">
          <w:rPr>
            <w:szCs w:val="24"/>
          </w:rPr>
          <w:instrText xml:space="preserve"> PAGE </w:instrText>
        </w:r>
        <w:r w:rsidRPr="006E36C7">
          <w:rPr>
            <w:szCs w:val="24"/>
          </w:rPr>
          <w:fldChar w:fldCharType="separate"/>
        </w:r>
        <w:r w:rsidR="005877C1">
          <w:rPr>
            <w:noProof/>
            <w:szCs w:val="24"/>
          </w:rPr>
          <w:t>4</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5877C1">
          <w:rPr>
            <w:noProof/>
            <w:szCs w:val="24"/>
          </w:rPr>
          <w:t>4</w:t>
        </w:r>
        <w:r w:rsidRPr="006E36C7">
          <w:rPr>
            <w:szCs w:val="24"/>
          </w:rPr>
          <w:fldChar w:fldCharType="end"/>
        </w:r>
      </w:p>
    </w:sdtContent>
  </w:sdt>
  <w:p w14:paraId="05A1A219" w14:textId="77777777" w:rsidR="00826091" w:rsidRDefault="0082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FCA4" w14:textId="77777777" w:rsidR="00763618" w:rsidRDefault="00763618" w:rsidP="0064020B">
      <w:pPr>
        <w:spacing w:after="0" w:line="240" w:lineRule="auto"/>
      </w:pPr>
      <w:r>
        <w:separator/>
      </w:r>
    </w:p>
  </w:footnote>
  <w:footnote w:type="continuationSeparator" w:id="0">
    <w:p w14:paraId="3115FDC6" w14:textId="77777777" w:rsidR="00763618" w:rsidRDefault="00763618" w:rsidP="0064020B">
      <w:pPr>
        <w:spacing w:after="0" w:line="240" w:lineRule="auto"/>
      </w:pPr>
      <w:r>
        <w:continuationSeparator/>
      </w:r>
    </w:p>
  </w:footnote>
  <w:footnote w:id="1">
    <w:p w14:paraId="168C97E0" w14:textId="6CDE983C" w:rsidR="000460BB" w:rsidRDefault="000460BB">
      <w:pPr>
        <w:pStyle w:val="FootnoteText"/>
      </w:pPr>
      <w:r>
        <w:rPr>
          <w:rStyle w:val="FootnoteReference"/>
        </w:rPr>
        <w:footnoteRef/>
      </w:r>
      <w:r>
        <w:t xml:space="preserve"> Slēgtas lietas statuss. Publicēti izvilkumi no nolēmuma.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E66A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FAA25DC"/>
    <w:multiLevelType w:val="hybridMultilevel"/>
    <w:tmpl w:val="8B027674"/>
    <w:lvl w:ilvl="0" w:tplc="6AA269AC">
      <w:start w:val="2017"/>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0E"/>
    <w:rsid w:val="00010497"/>
    <w:rsid w:val="00017F05"/>
    <w:rsid w:val="00020114"/>
    <w:rsid w:val="0002162E"/>
    <w:rsid w:val="0002787C"/>
    <w:rsid w:val="00034E6F"/>
    <w:rsid w:val="000460BB"/>
    <w:rsid w:val="00046EBC"/>
    <w:rsid w:val="000471FC"/>
    <w:rsid w:val="00055CC2"/>
    <w:rsid w:val="00055DED"/>
    <w:rsid w:val="00071D96"/>
    <w:rsid w:val="0007793F"/>
    <w:rsid w:val="00097E7C"/>
    <w:rsid w:val="000B0101"/>
    <w:rsid w:val="000C0A7C"/>
    <w:rsid w:val="000C1EED"/>
    <w:rsid w:val="000C6E9E"/>
    <w:rsid w:val="000D5C53"/>
    <w:rsid w:val="000D7E40"/>
    <w:rsid w:val="000E42D4"/>
    <w:rsid w:val="001020FA"/>
    <w:rsid w:val="0010278D"/>
    <w:rsid w:val="00102AC7"/>
    <w:rsid w:val="00103474"/>
    <w:rsid w:val="001117AE"/>
    <w:rsid w:val="00117B24"/>
    <w:rsid w:val="0013544C"/>
    <w:rsid w:val="0014532D"/>
    <w:rsid w:val="0014550E"/>
    <w:rsid w:val="0015406F"/>
    <w:rsid w:val="00160700"/>
    <w:rsid w:val="001630FA"/>
    <w:rsid w:val="00173862"/>
    <w:rsid w:val="00177A19"/>
    <w:rsid w:val="00180D98"/>
    <w:rsid w:val="00196E3E"/>
    <w:rsid w:val="001A02AD"/>
    <w:rsid w:val="001A3B58"/>
    <w:rsid w:val="001B7B5D"/>
    <w:rsid w:val="001C013D"/>
    <w:rsid w:val="001C1B45"/>
    <w:rsid w:val="001D217C"/>
    <w:rsid w:val="001D687A"/>
    <w:rsid w:val="001E1A91"/>
    <w:rsid w:val="001E6FC1"/>
    <w:rsid w:val="001F075B"/>
    <w:rsid w:val="001F0B7E"/>
    <w:rsid w:val="001F1CBB"/>
    <w:rsid w:val="001F3B15"/>
    <w:rsid w:val="0020183C"/>
    <w:rsid w:val="0020590F"/>
    <w:rsid w:val="00223E3F"/>
    <w:rsid w:val="00224C6F"/>
    <w:rsid w:val="00230496"/>
    <w:rsid w:val="00233D6C"/>
    <w:rsid w:val="0025439B"/>
    <w:rsid w:val="002604A6"/>
    <w:rsid w:val="00264398"/>
    <w:rsid w:val="002803A1"/>
    <w:rsid w:val="00283010"/>
    <w:rsid w:val="002911DC"/>
    <w:rsid w:val="002A3135"/>
    <w:rsid w:val="002B3834"/>
    <w:rsid w:val="002C3B2E"/>
    <w:rsid w:val="002C7D0D"/>
    <w:rsid w:val="002D2563"/>
    <w:rsid w:val="002D738D"/>
    <w:rsid w:val="002D7CBE"/>
    <w:rsid w:val="002F122C"/>
    <w:rsid w:val="003014B0"/>
    <w:rsid w:val="003029E9"/>
    <w:rsid w:val="003031E1"/>
    <w:rsid w:val="0030426C"/>
    <w:rsid w:val="003052C0"/>
    <w:rsid w:val="00312BE3"/>
    <w:rsid w:val="00321326"/>
    <w:rsid w:val="003325D4"/>
    <w:rsid w:val="00335DB8"/>
    <w:rsid w:val="00336A56"/>
    <w:rsid w:val="00351B05"/>
    <w:rsid w:val="00363E69"/>
    <w:rsid w:val="003737DA"/>
    <w:rsid w:val="00382C40"/>
    <w:rsid w:val="0038589D"/>
    <w:rsid w:val="003A095B"/>
    <w:rsid w:val="003A1D3F"/>
    <w:rsid w:val="003A4FEB"/>
    <w:rsid w:val="003B0817"/>
    <w:rsid w:val="003B13E9"/>
    <w:rsid w:val="003B1732"/>
    <w:rsid w:val="003B5966"/>
    <w:rsid w:val="003C2B94"/>
    <w:rsid w:val="003C33C7"/>
    <w:rsid w:val="003C4C18"/>
    <w:rsid w:val="003C56C7"/>
    <w:rsid w:val="003C7E52"/>
    <w:rsid w:val="003D2111"/>
    <w:rsid w:val="003D316C"/>
    <w:rsid w:val="003D3349"/>
    <w:rsid w:val="003D575D"/>
    <w:rsid w:val="003D653D"/>
    <w:rsid w:val="00446A77"/>
    <w:rsid w:val="004526E2"/>
    <w:rsid w:val="00465D77"/>
    <w:rsid w:val="004701C6"/>
    <w:rsid w:val="00480D91"/>
    <w:rsid w:val="004845EB"/>
    <w:rsid w:val="00492B3B"/>
    <w:rsid w:val="004A1B2A"/>
    <w:rsid w:val="004B0502"/>
    <w:rsid w:val="004B14CE"/>
    <w:rsid w:val="004B4076"/>
    <w:rsid w:val="004B5341"/>
    <w:rsid w:val="004B7235"/>
    <w:rsid w:val="004C0B46"/>
    <w:rsid w:val="004C266D"/>
    <w:rsid w:val="004C5ECC"/>
    <w:rsid w:val="004D2FB6"/>
    <w:rsid w:val="004E269D"/>
    <w:rsid w:val="004E2A6D"/>
    <w:rsid w:val="004E3E89"/>
    <w:rsid w:val="004E5884"/>
    <w:rsid w:val="004E76B8"/>
    <w:rsid w:val="004F2A81"/>
    <w:rsid w:val="004F59B4"/>
    <w:rsid w:val="004F7B9A"/>
    <w:rsid w:val="00502F6D"/>
    <w:rsid w:val="00511558"/>
    <w:rsid w:val="00515AD1"/>
    <w:rsid w:val="00520031"/>
    <w:rsid w:val="005265F6"/>
    <w:rsid w:val="005279DA"/>
    <w:rsid w:val="0053492E"/>
    <w:rsid w:val="00542BC4"/>
    <w:rsid w:val="00543634"/>
    <w:rsid w:val="00551861"/>
    <w:rsid w:val="005531EA"/>
    <w:rsid w:val="00553E87"/>
    <w:rsid w:val="0056042F"/>
    <w:rsid w:val="0056469B"/>
    <w:rsid w:val="00564B7B"/>
    <w:rsid w:val="00580299"/>
    <w:rsid w:val="005826F4"/>
    <w:rsid w:val="0058500C"/>
    <w:rsid w:val="005877C1"/>
    <w:rsid w:val="0059401F"/>
    <w:rsid w:val="005A10A9"/>
    <w:rsid w:val="005A7B22"/>
    <w:rsid w:val="005B38FC"/>
    <w:rsid w:val="005B4435"/>
    <w:rsid w:val="005C125D"/>
    <w:rsid w:val="005D73A0"/>
    <w:rsid w:val="005E0B04"/>
    <w:rsid w:val="005E5C74"/>
    <w:rsid w:val="005F0BDF"/>
    <w:rsid w:val="005F460F"/>
    <w:rsid w:val="00602774"/>
    <w:rsid w:val="00603619"/>
    <w:rsid w:val="00610AE8"/>
    <w:rsid w:val="006274EE"/>
    <w:rsid w:val="00627543"/>
    <w:rsid w:val="00633320"/>
    <w:rsid w:val="0064020B"/>
    <w:rsid w:val="00644511"/>
    <w:rsid w:val="00654EB6"/>
    <w:rsid w:val="00672939"/>
    <w:rsid w:val="00672D33"/>
    <w:rsid w:val="00674BB7"/>
    <w:rsid w:val="00694096"/>
    <w:rsid w:val="006A3D95"/>
    <w:rsid w:val="006B33A5"/>
    <w:rsid w:val="006B56D7"/>
    <w:rsid w:val="006C2F80"/>
    <w:rsid w:val="006C321E"/>
    <w:rsid w:val="006C6E36"/>
    <w:rsid w:val="006F514F"/>
    <w:rsid w:val="006F517E"/>
    <w:rsid w:val="006F5836"/>
    <w:rsid w:val="006F5CD9"/>
    <w:rsid w:val="006F74CB"/>
    <w:rsid w:val="0070364F"/>
    <w:rsid w:val="0071207B"/>
    <w:rsid w:val="00713954"/>
    <w:rsid w:val="007225C5"/>
    <w:rsid w:val="00725630"/>
    <w:rsid w:val="00727DE6"/>
    <w:rsid w:val="0073681E"/>
    <w:rsid w:val="0075315F"/>
    <w:rsid w:val="00754A99"/>
    <w:rsid w:val="007558E6"/>
    <w:rsid w:val="0075637A"/>
    <w:rsid w:val="00761447"/>
    <w:rsid w:val="00763618"/>
    <w:rsid w:val="007732D4"/>
    <w:rsid w:val="00777BD6"/>
    <w:rsid w:val="007915AB"/>
    <w:rsid w:val="007966A5"/>
    <w:rsid w:val="007A0521"/>
    <w:rsid w:val="007D6413"/>
    <w:rsid w:val="007E1926"/>
    <w:rsid w:val="007E7E4E"/>
    <w:rsid w:val="007F060B"/>
    <w:rsid w:val="00800298"/>
    <w:rsid w:val="0081227A"/>
    <w:rsid w:val="00812BC9"/>
    <w:rsid w:val="008161D5"/>
    <w:rsid w:val="00823DE2"/>
    <w:rsid w:val="00826091"/>
    <w:rsid w:val="0083547B"/>
    <w:rsid w:val="008457DC"/>
    <w:rsid w:val="00846985"/>
    <w:rsid w:val="00851100"/>
    <w:rsid w:val="008564BF"/>
    <w:rsid w:val="0086370B"/>
    <w:rsid w:val="008703E4"/>
    <w:rsid w:val="00875B76"/>
    <w:rsid w:val="0088094E"/>
    <w:rsid w:val="00881864"/>
    <w:rsid w:val="0088563B"/>
    <w:rsid w:val="00886932"/>
    <w:rsid w:val="008907FA"/>
    <w:rsid w:val="008A1D5F"/>
    <w:rsid w:val="008B0355"/>
    <w:rsid w:val="008B0561"/>
    <w:rsid w:val="008B0648"/>
    <w:rsid w:val="008B5012"/>
    <w:rsid w:val="008C7378"/>
    <w:rsid w:val="008D0FCA"/>
    <w:rsid w:val="008E5379"/>
    <w:rsid w:val="008E69FF"/>
    <w:rsid w:val="00901B3E"/>
    <w:rsid w:val="00907A9D"/>
    <w:rsid w:val="009122A0"/>
    <w:rsid w:val="00915682"/>
    <w:rsid w:val="00916F47"/>
    <w:rsid w:val="00917325"/>
    <w:rsid w:val="009212A7"/>
    <w:rsid w:val="00924A7A"/>
    <w:rsid w:val="009414BC"/>
    <w:rsid w:val="00944AEB"/>
    <w:rsid w:val="0095711D"/>
    <w:rsid w:val="00962B22"/>
    <w:rsid w:val="009644A3"/>
    <w:rsid w:val="0099147B"/>
    <w:rsid w:val="0099397E"/>
    <w:rsid w:val="009939F7"/>
    <w:rsid w:val="009A1D08"/>
    <w:rsid w:val="009B3962"/>
    <w:rsid w:val="009B57B4"/>
    <w:rsid w:val="009B5E9E"/>
    <w:rsid w:val="009C6F4F"/>
    <w:rsid w:val="009C7628"/>
    <w:rsid w:val="009D2CBD"/>
    <w:rsid w:val="009E3C84"/>
    <w:rsid w:val="009F0A4F"/>
    <w:rsid w:val="009F12A2"/>
    <w:rsid w:val="009F3AC8"/>
    <w:rsid w:val="00A0020A"/>
    <w:rsid w:val="00A01890"/>
    <w:rsid w:val="00A038F0"/>
    <w:rsid w:val="00A041AD"/>
    <w:rsid w:val="00A10644"/>
    <w:rsid w:val="00A10FCD"/>
    <w:rsid w:val="00A215E2"/>
    <w:rsid w:val="00A33EE9"/>
    <w:rsid w:val="00A453EF"/>
    <w:rsid w:val="00A4697F"/>
    <w:rsid w:val="00A4710D"/>
    <w:rsid w:val="00A50223"/>
    <w:rsid w:val="00A60365"/>
    <w:rsid w:val="00A72EF2"/>
    <w:rsid w:val="00A733DC"/>
    <w:rsid w:val="00A806BA"/>
    <w:rsid w:val="00A917BD"/>
    <w:rsid w:val="00A93DE7"/>
    <w:rsid w:val="00A968CA"/>
    <w:rsid w:val="00AA1A8E"/>
    <w:rsid w:val="00AA3F95"/>
    <w:rsid w:val="00AA7686"/>
    <w:rsid w:val="00AB22C9"/>
    <w:rsid w:val="00AB6C38"/>
    <w:rsid w:val="00AC02ED"/>
    <w:rsid w:val="00AC1DF8"/>
    <w:rsid w:val="00AC3A1A"/>
    <w:rsid w:val="00AE0866"/>
    <w:rsid w:val="00AE718F"/>
    <w:rsid w:val="00AF16A5"/>
    <w:rsid w:val="00B013AF"/>
    <w:rsid w:val="00B01708"/>
    <w:rsid w:val="00B21542"/>
    <w:rsid w:val="00B3362F"/>
    <w:rsid w:val="00B42F0F"/>
    <w:rsid w:val="00B43EB8"/>
    <w:rsid w:val="00B44E27"/>
    <w:rsid w:val="00B47808"/>
    <w:rsid w:val="00B47C3C"/>
    <w:rsid w:val="00B536E7"/>
    <w:rsid w:val="00B54C53"/>
    <w:rsid w:val="00B57E36"/>
    <w:rsid w:val="00B6312C"/>
    <w:rsid w:val="00B654A2"/>
    <w:rsid w:val="00B70B90"/>
    <w:rsid w:val="00B8106C"/>
    <w:rsid w:val="00B824F0"/>
    <w:rsid w:val="00B83A0B"/>
    <w:rsid w:val="00B875A2"/>
    <w:rsid w:val="00B9130E"/>
    <w:rsid w:val="00B91A9F"/>
    <w:rsid w:val="00B94174"/>
    <w:rsid w:val="00B94FDF"/>
    <w:rsid w:val="00B95B79"/>
    <w:rsid w:val="00BA013F"/>
    <w:rsid w:val="00BA1E3F"/>
    <w:rsid w:val="00BA5870"/>
    <w:rsid w:val="00BB4EB2"/>
    <w:rsid w:val="00BB5709"/>
    <w:rsid w:val="00BB64FA"/>
    <w:rsid w:val="00BC5A3D"/>
    <w:rsid w:val="00BD1C7E"/>
    <w:rsid w:val="00BD5FDD"/>
    <w:rsid w:val="00BE4922"/>
    <w:rsid w:val="00BF30C1"/>
    <w:rsid w:val="00BF368D"/>
    <w:rsid w:val="00BF6DD2"/>
    <w:rsid w:val="00C00586"/>
    <w:rsid w:val="00C30582"/>
    <w:rsid w:val="00C324C9"/>
    <w:rsid w:val="00C3742E"/>
    <w:rsid w:val="00C45AF8"/>
    <w:rsid w:val="00C70C4B"/>
    <w:rsid w:val="00C766F8"/>
    <w:rsid w:val="00C77917"/>
    <w:rsid w:val="00C800DF"/>
    <w:rsid w:val="00C80BD8"/>
    <w:rsid w:val="00C80C53"/>
    <w:rsid w:val="00C8492F"/>
    <w:rsid w:val="00C86743"/>
    <w:rsid w:val="00CB007E"/>
    <w:rsid w:val="00CB1DC8"/>
    <w:rsid w:val="00CC6359"/>
    <w:rsid w:val="00CD3CEC"/>
    <w:rsid w:val="00CD5E56"/>
    <w:rsid w:val="00CD6EF4"/>
    <w:rsid w:val="00CE56AA"/>
    <w:rsid w:val="00D0469C"/>
    <w:rsid w:val="00D068EA"/>
    <w:rsid w:val="00D22B4C"/>
    <w:rsid w:val="00D3189E"/>
    <w:rsid w:val="00D35B5C"/>
    <w:rsid w:val="00D40D88"/>
    <w:rsid w:val="00D4710D"/>
    <w:rsid w:val="00D54A7C"/>
    <w:rsid w:val="00D56467"/>
    <w:rsid w:val="00D57D2F"/>
    <w:rsid w:val="00D64B0A"/>
    <w:rsid w:val="00D7501E"/>
    <w:rsid w:val="00D827A2"/>
    <w:rsid w:val="00D922A6"/>
    <w:rsid w:val="00D9266D"/>
    <w:rsid w:val="00D93C7E"/>
    <w:rsid w:val="00DD09CF"/>
    <w:rsid w:val="00DF2D0B"/>
    <w:rsid w:val="00E023B2"/>
    <w:rsid w:val="00E1561A"/>
    <w:rsid w:val="00E24540"/>
    <w:rsid w:val="00E251E9"/>
    <w:rsid w:val="00E32130"/>
    <w:rsid w:val="00E50003"/>
    <w:rsid w:val="00E62113"/>
    <w:rsid w:val="00E66087"/>
    <w:rsid w:val="00E67365"/>
    <w:rsid w:val="00E72D42"/>
    <w:rsid w:val="00E750B2"/>
    <w:rsid w:val="00E94F70"/>
    <w:rsid w:val="00EA177B"/>
    <w:rsid w:val="00EA2720"/>
    <w:rsid w:val="00EB75FC"/>
    <w:rsid w:val="00EC0D93"/>
    <w:rsid w:val="00EC1C20"/>
    <w:rsid w:val="00EC3DB1"/>
    <w:rsid w:val="00EC4536"/>
    <w:rsid w:val="00ED004F"/>
    <w:rsid w:val="00ED177A"/>
    <w:rsid w:val="00EE2B1B"/>
    <w:rsid w:val="00EF1479"/>
    <w:rsid w:val="00EF68DD"/>
    <w:rsid w:val="00F25472"/>
    <w:rsid w:val="00F2680E"/>
    <w:rsid w:val="00F31EC6"/>
    <w:rsid w:val="00F32A72"/>
    <w:rsid w:val="00F32AC5"/>
    <w:rsid w:val="00F42ED2"/>
    <w:rsid w:val="00F516DE"/>
    <w:rsid w:val="00F51FF9"/>
    <w:rsid w:val="00F65663"/>
    <w:rsid w:val="00F747E0"/>
    <w:rsid w:val="00F75C6B"/>
    <w:rsid w:val="00F776D6"/>
    <w:rsid w:val="00F77A41"/>
    <w:rsid w:val="00F86690"/>
    <w:rsid w:val="00F92FD7"/>
    <w:rsid w:val="00F943DF"/>
    <w:rsid w:val="00FA0D82"/>
    <w:rsid w:val="00FA3B69"/>
    <w:rsid w:val="00FA4661"/>
    <w:rsid w:val="00FB44D5"/>
    <w:rsid w:val="00FE16D3"/>
    <w:rsid w:val="00FE3AFD"/>
    <w:rsid w:val="00FE7167"/>
    <w:rsid w:val="00FF1971"/>
    <w:rsid w:val="00FF66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F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C2"/>
    <w:pPr>
      <w:ind w:left="720"/>
      <w:contextualSpacing/>
    </w:pPr>
  </w:style>
  <w:style w:type="table" w:styleId="TableGrid">
    <w:name w:val="Table Grid"/>
    <w:basedOn w:val="TableNormal"/>
    <w:uiPriority w:val="39"/>
    <w:rsid w:val="00EF14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01708"/>
    <w:pPr>
      <w:spacing w:after="0" w:line="240" w:lineRule="auto"/>
      <w:jc w:val="right"/>
    </w:pPr>
    <w:rPr>
      <w:rFonts w:ascii="Garamond" w:eastAsia="Times New Roman" w:hAnsi="Garamond" w:cs="Times New Roman"/>
      <w:sz w:val="28"/>
      <w:szCs w:val="28"/>
      <w:lang w:val="x-none"/>
    </w:rPr>
  </w:style>
  <w:style w:type="character" w:customStyle="1" w:styleId="BodyText2Char">
    <w:name w:val="Body Text 2 Char"/>
    <w:basedOn w:val="DefaultParagraphFont"/>
    <w:link w:val="BodyText2"/>
    <w:rsid w:val="00B01708"/>
    <w:rPr>
      <w:rFonts w:ascii="Garamond" w:eastAsia="Times New Roman" w:hAnsi="Garamond" w:cs="Times New Roman"/>
      <w:sz w:val="28"/>
      <w:szCs w:val="28"/>
      <w:lang w:val="x-none"/>
    </w:rPr>
  </w:style>
  <w:style w:type="character" w:styleId="Hyperlink">
    <w:name w:val="Hyperlink"/>
    <w:basedOn w:val="DefaultParagraphFont"/>
    <w:unhideWhenUsed/>
    <w:rsid w:val="00502F6D"/>
    <w:rPr>
      <w:color w:val="0000FF"/>
      <w:u w:val="single"/>
    </w:rPr>
  </w:style>
  <w:style w:type="paragraph" w:styleId="BalloonText">
    <w:name w:val="Balloon Text"/>
    <w:basedOn w:val="Normal"/>
    <w:link w:val="BalloonTextChar"/>
    <w:uiPriority w:val="99"/>
    <w:semiHidden/>
    <w:unhideWhenUsed/>
    <w:rsid w:val="007D6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13"/>
    <w:rPr>
      <w:rFonts w:ascii="Segoe UI" w:hAnsi="Segoe UI" w:cs="Segoe UI"/>
      <w:sz w:val="18"/>
      <w:szCs w:val="18"/>
    </w:rPr>
  </w:style>
  <w:style w:type="paragraph" w:styleId="ListBullet">
    <w:name w:val="List Bullet"/>
    <w:basedOn w:val="Normal"/>
    <w:uiPriority w:val="99"/>
    <w:unhideWhenUsed/>
    <w:rsid w:val="00D57D2F"/>
    <w:pPr>
      <w:numPr>
        <w:numId w:val="2"/>
      </w:numPr>
      <w:contextualSpacing/>
    </w:pPr>
  </w:style>
  <w:style w:type="character" w:styleId="CommentReference">
    <w:name w:val="annotation reference"/>
    <w:basedOn w:val="DefaultParagraphFont"/>
    <w:uiPriority w:val="99"/>
    <w:semiHidden/>
    <w:unhideWhenUsed/>
    <w:rsid w:val="006B56D7"/>
    <w:rPr>
      <w:sz w:val="16"/>
      <w:szCs w:val="16"/>
    </w:rPr>
  </w:style>
  <w:style w:type="paragraph" w:styleId="CommentText">
    <w:name w:val="annotation text"/>
    <w:basedOn w:val="Normal"/>
    <w:link w:val="CommentTextChar"/>
    <w:uiPriority w:val="99"/>
    <w:semiHidden/>
    <w:unhideWhenUsed/>
    <w:rsid w:val="006B56D7"/>
    <w:pPr>
      <w:spacing w:line="240" w:lineRule="auto"/>
    </w:pPr>
    <w:rPr>
      <w:sz w:val="20"/>
      <w:szCs w:val="20"/>
    </w:rPr>
  </w:style>
  <w:style w:type="character" w:customStyle="1" w:styleId="CommentTextChar">
    <w:name w:val="Comment Text Char"/>
    <w:basedOn w:val="DefaultParagraphFont"/>
    <w:link w:val="CommentText"/>
    <w:uiPriority w:val="99"/>
    <w:semiHidden/>
    <w:rsid w:val="006B56D7"/>
    <w:rPr>
      <w:sz w:val="20"/>
      <w:szCs w:val="20"/>
    </w:rPr>
  </w:style>
  <w:style w:type="paragraph" w:styleId="CommentSubject">
    <w:name w:val="annotation subject"/>
    <w:basedOn w:val="CommentText"/>
    <w:next w:val="CommentText"/>
    <w:link w:val="CommentSubjectChar"/>
    <w:uiPriority w:val="99"/>
    <w:semiHidden/>
    <w:unhideWhenUsed/>
    <w:rsid w:val="006B56D7"/>
    <w:rPr>
      <w:b/>
      <w:bCs/>
    </w:rPr>
  </w:style>
  <w:style w:type="character" w:customStyle="1" w:styleId="CommentSubjectChar">
    <w:name w:val="Comment Subject Char"/>
    <w:basedOn w:val="CommentTextChar"/>
    <w:link w:val="CommentSubject"/>
    <w:uiPriority w:val="99"/>
    <w:semiHidden/>
    <w:rsid w:val="006B56D7"/>
    <w:rPr>
      <w:b/>
      <w:bCs/>
      <w:sz w:val="20"/>
      <w:szCs w:val="20"/>
    </w:rPr>
  </w:style>
  <w:style w:type="paragraph" w:styleId="Header">
    <w:name w:val="header"/>
    <w:basedOn w:val="Normal"/>
    <w:link w:val="HeaderChar"/>
    <w:uiPriority w:val="99"/>
    <w:unhideWhenUsed/>
    <w:rsid w:val="006402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020B"/>
  </w:style>
  <w:style w:type="paragraph" w:styleId="Footer">
    <w:name w:val="footer"/>
    <w:basedOn w:val="Normal"/>
    <w:link w:val="FooterChar"/>
    <w:uiPriority w:val="99"/>
    <w:unhideWhenUsed/>
    <w:rsid w:val="006402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020B"/>
  </w:style>
  <w:style w:type="paragraph" w:customStyle="1" w:styleId="Default">
    <w:name w:val="Default"/>
    <w:rsid w:val="005531EA"/>
    <w:pPr>
      <w:autoSpaceDE w:val="0"/>
      <w:autoSpaceDN w:val="0"/>
      <w:adjustRightInd w:val="0"/>
      <w:spacing w:after="0" w:line="240" w:lineRule="auto"/>
    </w:pPr>
    <w:rPr>
      <w:rFonts w:cs="Times New Roman"/>
      <w:color w:val="000000"/>
      <w:szCs w:val="24"/>
    </w:rPr>
  </w:style>
  <w:style w:type="character" w:styleId="Emphasis">
    <w:name w:val="Emphasis"/>
    <w:qFormat/>
    <w:rsid w:val="00B95B79"/>
    <w:rPr>
      <w:i/>
      <w:iCs/>
    </w:rPr>
  </w:style>
  <w:style w:type="paragraph" w:styleId="Revision">
    <w:name w:val="Revision"/>
    <w:hidden/>
    <w:uiPriority w:val="99"/>
    <w:semiHidden/>
    <w:rsid w:val="00846985"/>
    <w:pPr>
      <w:spacing w:after="0" w:line="240" w:lineRule="auto"/>
    </w:pPr>
  </w:style>
  <w:style w:type="paragraph" w:styleId="FootnoteText">
    <w:name w:val="footnote text"/>
    <w:basedOn w:val="Normal"/>
    <w:link w:val="FootnoteTextChar"/>
    <w:uiPriority w:val="99"/>
    <w:semiHidden/>
    <w:unhideWhenUsed/>
    <w:rsid w:val="000460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0BB"/>
    <w:rPr>
      <w:sz w:val="20"/>
      <w:szCs w:val="20"/>
    </w:rPr>
  </w:style>
  <w:style w:type="character" w:styleId="FootnoteReference">
    <w:name w:val="footnote reference"/>
    <w:basedOn w:val="DefaultParagraphFont"/>
    <w:uiPriority w:val="99"/>
    <w:semiHidden/>
    <w:unhideWhenUsed/>
    <w:rsid w:val="00046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734">
      <w:bodyDiv w:val="1"/>
      <w:marLeft w:val="0"/>
      <w:marRight w:val="0"/>
      <w:marTop w:val="0"/>
      <w:marBottom w:val="0"/>
      <w:divBdr>
        <w:top w:val="none" w:sz="0" w:space="0" w:color="auto"/>
        <w:left w:val="none" w:sz="0" w:space="0" w:color="auto"/>
        <w:bottom w:val="none" w:sz="0" w:space="0" w:color="auto"/>
        <w:right w:val="none" w:sz="0" w:space="0" w:color="auto"/>
      </w:divBdr>
    </w:div>
    <w:div w:id="228851894">
      <w:bodyDiv w:val="1"/>
      <w:marLeft w:val="0"/>
      <w:marRight w:val="0"/>
      <w:marTop w:val="0"/>
      <w:marBottom w:val="0"/>
      <w:divBdr>
        <w:top w:val="none" w:sz="0" w:space="0" w:color="auto"/>
        <w:left w:val="none" w:sz="0" w:space="0" w:color="auto"/>
        <w:bottom w:val="none" w:sz="0" w:space="0" w:color="auto"/>
        <w:right w:val="none" w:sz="0" w:space="0" w:color="auto"/>
      </w:divBdr>
    </w:div>
    <w:div w:id="664286488">
      <w:bodyDiv w:val="1"/>
      <w:marLeft w:val="0"/>
      <w:marRight w:val="0"/>
      <w:marTop w:val="0"/>
      <w:marBottom w:val="0"/>
      <w:divBdr>
        <w:top w:val="none" w:sz="0" w:space="0" w:color="auto"/>
        <w:left w:val="none" w:sz="0" w:space="0" w:color="auto"/>
        <w:bottom w:val="none" w:sz="0" w:space="0" w:color="auto"/>
        <w:right w:val="none" w:sz="0" w:space="0" w:color="auto"/>
      </w:divBdr>
    </w:div>
    <w:div w:id="701059289">
      <w:bodyDiv w:val="1"/>
      <w:marLeft w:val="0"/>
      <w:marRight w:val="0"/>
      <w:marTop w:val="0"/>
      <w:marBottom w:val="0"/>
      <w:divBdr>
        <w:top w:val="none" w:sz="0" w:space="0" w:color="auto"/>
        <w:left w:val="none" w:sz="0" w:space="0" w:color="auto"/>
        <w:bottom w:val="none" w:sz="0" w:space="0" w:color="auto"/>
        <w:right w:val="none" w:sz="0" w:space="0" w:color="auto"/>
      </w:divBdr>
    </w:div>
    <w:div w:id="878316650">
      <w:bodyDiv w:val="1"/>
      <w:marLeft w:val="0"/>
      <w:marRight w:val="0"/>
      <w:marTop w:val="0"/>
      <w:marBottom w:val="0"/>
      <w:divBdr>
        <w:top w:val="none" w:sz="0" w:space="0" w:color="auto"/>
        <w:left w:val="none" w:sz="0" w:space="0" w:color="auto"/>
        <w:bottom w:val="none" w:sz="0" w:space="0" w:color="auto"/>
        <w:right w:val="none" w:sz="0" w:space="0" w:color="auto"/>
      </w:divBdr>
      <w:divsChild>
        <w:div w:id="62802083">
          <w:marLeft w:val="0"/>
          <w:marRight w:val="0"/>
          <w:marTop w:val="240"/>
          <w:marBottom w:val="0"/>
          <w:divBdr>
            <w:top w:val="none" w:sz="0" w:space="0" w:color="auto"/>
            <w:left w:val="none" w:sz="0" w:space="0" w:color="auto"/>
            <w:bottom w:val="none" w:sz="0" w:space="0" w:color="auto"/>
            <w:right w:val="none" w:sz="0" w:space="0" w:color="auto"/>
          </w:divBdr>
          <w:divsChild>
            <w:div w:id="68698158">
              <w:marLeft w:val="480"/>
              <w:marRight w:val="0"/>
              <w:marTop w:val="120"/>
              <w:marBottom w:val="0"/>
              <w:divBdr>
                <w:top w:val="none" w:sz="0" w:space="0" w:color="auto"/>
                <w:left w:val="none" w:sz="0" w:space="0" w:color="auto"/>
                <w:bottom w:val="none" w:sz="0" w:space="0" w:color="auto"/>
                <w:right w:val="none" w:sz="0" w:space="0" w:color="auto"/>
              </w:divBdr>
            </w:div>
            <w:div w:id="246380602">
              <w:marLeft w:val="480"/>
              <w:marRight w:val="0"/>
              <w:marTop w:val="120"/>
              <w:marBottom w:val="0"/>
              <w:divBdr>
                <w:top w:val="none" w:sz="0" w:space="0" w:color="auto"/>
                <w:left w:val="none" w:sz="0" w:space="0" w:color="auto"/>
                <w:bottom w:val="none" w:sz="0" w:space="0" w:color="auto"/>
                <w:right w:val="none" w:sz="0" w:space="0" w:color="auto"/>
              </w:divBdr>
            </w:div>
            <w:div w:id="1008484563">
              <w:marLeft w:val="480"/>
              <w:marRight w:val="0"/>
              <w:marTop w:val="120"/>
              <w:marBottom w:val="0"/>
              <w:divBdr>
                <w:top w:val="none" w:sz="0" w:space="0" w:color="auto"/>
                <w:left w:val="none" w:sz="0" w:space="0" w:color="auto"/>
                <w:bottom w:val="none" w:sz="0" w:space="0" w:color="auto"/>
                <w:right w:val="none" w:sz="0" w:space="0" w:color="auto"/>
              </w:divBdr>
            </w:div>
            <w:div w:id="1917088159">
              <w:marLeft w:val="480"/>
              <w:marRight w:val="0"/>
              <w:marTop w:val="120"/>
              <w:marBottom w:val="0"/>
              <w:divBdr>
                <w:top w:val="none" w:sz="0" w:space="0" w:color="auto"/>
                <w:left w:val="none" w:sz="0" w:space="0" w:color="auto"/>
                <w:bottom w:val="none" w:sz="0" w:space="0" w:color="auto"/>
                <w:right w:val="none" w:sz="0" w:space="0" w:color="auto"/>
              </w:divBdr>
            </w:div>
          </w:divsChild>
        </w:div>
        <w:div w:id="759302339">
          <w:marLeft w:val="0"/>
          <w:marRight w:val="0"/>
          <w:marTop w:val="240"/>
          <w:marBottom w:val="0"/>
          <w:divBdr>
            <w:top w:val="none" w:sz="0" w:space="0" w:color="auto"/>
            <w:left w:val="none" w:sz="0" w:space="0" w:color="auto"/>
            <w:bottom w:val="none" w:sz="0" w:space="0" w:color="auto"/>
            <w:right w:val="none" w:sz="0" w:space="0" w:color="auto"/>
          </w:divBdr>
          <w:divsChild>
            <w:div w:id="713120202">
              <w:marLeft w:val="480"/>
              <w:marRight w:val="0"/>
              <w:marTop w:val="120"/>
              <w:marBottom w:val="0"/>
              <w:divBdr>
                <w:top w:val="none" w:sz="0" w:space="0" w:color="auto"/>
                <w:left w:val="none" w:sz="0" w:space="0" w:color="auto"/>
                <w:bottom w:val="none" w:sz="0" w:space="0" w:color="auto"/>
                <w:right w:val="none" w:sz="0" w:space="0" w:color="auto"/>
              </w:divBdr>
            </w:div>
          </w:divsChild>
        </w:div>
      </w:divsChild>
    </w:div>
    <w:div w:id="1112238261">
      <w:bodyDiv w:val="1"/>
      <w:marLeft w:val="0"/>
      <w:marRight w:val="0"/>
      <w:marTop w:val="0"/>
      <w:marBottom w:val="0"/>
      <w:divBdr>
        <w:top w:val="none" w:sz="0" w:space="0" w:color="auto"/>
        <w:left w:val="none" w:sz="0" w:space="0" w:color="auto"/>
        <w:bottom w:val="none" w:sz="0" w:space="0" w:color="auto"/>
        <w:right w:val="none" w:sz="0" w:space="0" w:color="auto"/>
      </w:divBdr>
    </w:div>
    <w:div w:id="1325157905">
      <w:bodyDiv w:val="1"/>
      <w:marLeft w:val="0"/>
      <w:marRight w:val="0"/>
      <w:marTop w:val="0"/>
      <w:marBottom w:val="0"/>
      <w:divBdr>
        <w:top w:val="none" w:sz="0" w:space="0" w:color="auto"/>
        <w:left w:val="none" w:sz="0" w:space="0" w:color="auto"/>
        <w:bottom w:val="none" w:sz="0" w:space="0" w:color="auto"/>
        <w:right w:val="none" w:sz="0" w:space="0" w:color="auto"/>
      </w:divBdr>
    </w:div>
    <w:div w:id="1517887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9847-FFA3-4D52-8C34-E9FE7E7D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9646</Words>
  <Characters>5499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2022-01-13T13:11:00Z</dcterms:created>
  <dcterms:modified xsi:type="dcterms:W3CDTF">2022-01-13T13:11:00Z</dcterms:modified>
</cp:coreProperties>
</file>