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B2A7" w14:textId="25BFD878" w:rsidR="006B7A2C" w:rsidRPr="00023CCB" w:rsidRDefault="00023CCB" w:rsidP="00023CCB">
      <w:pPr>
        <w:suppressAutoHyphens/>
        <w:autoSpaceDN w:val="0"/>
        <w:spacing w:after="0"/>
        <w:ind w:right="-1"/>
        <w:jc w:val="both"/>
        <w:textAlignment w:val="baseline"/>
        <w:rPr>
          <w:rFonts w:ascii="Times New Roman" w:hAnsi="Times New Roman" w:cs="Times New Roman"/>
          <w:b/>
          <w:bCs/>
          <w:sz w:val="24"/>
          <w:szCs w:val="24"/>
        </w:rPr>
      </w:pPr>
      <w:r w:rsidRPr="00023CCB">
        <w:rPr>
          <w:rFonts w:ascii="Times New Roman" w:hAnsi="Times New Roman" w:cs="Times New Roman"/>
          <w:b/>
          <w:bCs/>
          <w:sz w:val="24"/>
          <w:szCs w:val="24"/>
        </w:rPr>
        <w:t>Izvairīšanās no nodokļu nomaksas vienlaikus vairākos uzņēmumos kā atsevišķs (vienots) noziedzīgs nodarījums</w:t>
      </w:r>
    </w:p>
    <w:p w14:paraId="4BE02AAA" w14:textId="62A96771" w:rsidR="00023CCB" w:rsidRPr="00023CCB" w:rsidRDefault="00023CCB" w:rsidP="00023CCB">
      <w:pPr>
        <w:suppressAutoHyphens/>
        <w:autoSpaceDN w:val="0"/>
        <w:spacing w:after="0"/>
        <w:ind w:right="-1"/>
        <w:jc w:val="both"/>
        <w:textAlignment w:val="baseline"/>
        <w:rPr>
          <w:rFonts w:ascii="Times New Roman" w:eastAsia="Calibri" w:hAnsi="Times New Roman" w:cs="Times New Roman"/>
          <w:sz w:val="24"/>
          <w:szCs w:val="24"/>
        </w:rPr>
      </w:pPr>
      <w:bookmarkStart w:id="0" w:name="_Hlk92979830"/>
      <w:r w:rsidRPr="00023CCB">
        <w:rPr>
          <w:rFonts w:ascii="Times New Roman" w:hAnsi="Times New Roman" w:cs="Times New Roman"/>
          <w:sz w:val="24"/>
          <w:szCs w:val="24"/>
        </w:rPr>
        <w:t xml:space="preserve">Konstatējot, ka vainīgās personas nodarījumu veido vairākas savstarpēji saistītas tādas pašas darbības vai bezdarbības akti, kas vērsti uz kopēju mērķi – izvairīties no nodokļu vai tiem pielīdzināto maksājumu nomaksas –, </w:t>
      </w:r>
      <w:proofErr w:type="gramStart"/>
      <w:r w:rsidRPr="00023CCB">
        <w:rPr>
          <w:rFonts w:ascii="Times New Roman" w:hAnsi="Times New Roman" w:cs="Times New Roman"/>
          <w:sz w:val="24"/>
          <w:szCs w:val="24"/>
        </w:rPr>
        <w:t>ko aptver vainīgās personas</w:t>
      </w:r>
      <w:proofErr w:type="gramEnd"/>
      <w:r w:rsidRPr="00023CCB">
        <w:rPr>
          <w:rFonts w:ascii="Times New Roman" w:hAnsi="Times New Roman" w:cs="Times New Roman"/>
          <w:sz w:val="24"/>
          <w:szCs w:val="24"/>
        </w:rPr>
        <w:t xml:space="preserve"> vienots nodoms, izvairīšanās no nodokļu nomaksas, nodarot valstij zaudējumus lielā apmērā, var tikt kvalificēta kā viens atsevišķs (vienots) noziedzīgs nodarījums arī gadījumos, kad izvairīšanās no nodokļu nomaksas notikusi vienlaikus vairākās kapitālsabiedrībās kā patstāvīgos tiesību subjektos.</w:t>
      </w:r>
      <w:bookmarkEnd w:id="0"/>
    </w:p>
    <w:p w14:paraId="063DA235" w14:textId="42B5066E" w:rsidR="00554DC3" w:rsidRPr="00023CCB" w:rsidRDefault="00554DC3" w:rsidP="00023CCB">
      <w:pPr>
        <w:suppressAutoHyphens/>
        <w:autoSpaceDN w:val="0"/>
        <w:spacing w:after="0"/>
        <w:ind w:right="-1"/>
        <w:jc w:val="both"/>
        <w:textAlignment w:val="baseline"/>
        <w:rPr>
          <w:rFonts w:ascii="Times New Roman" w:eastAsia="Calibri" w:hAnsi="Times New Roman" w:cs="Times New Roman"/>
          <w:sz w:val="24"/>
          <w:szCs w:val="24"/>
        </w:rPr>
      </w:pPr>
    </w:p>
    <w:p w14:paraId="4F51582C" w14:textId="77777777" w:rsidR="00404EE6" w:rsidRPr="00023CCB" w:rsidRDefault="00554DC3" w:rsidP="00583A95">
      <w:pPr>
        <w:suppressAutoHyphens/>
        <w:autoSpaceDN w:val="0"/>
        <w:spacing w:after="0"/>
        <w:ind w:right="-1"/>
        <w:jc w:val="center"/>
        <w:textAlignment w:val="baseline"/>
        <w:rPr>
          <w:rFonts w:ascii="Times New Roman" w:eastAsia="Calibri" w:hAnsi="Times New Roman" w:cs="Times New Roman"/>
          <w:b/>
          <w:sz w:val="24"/>
          <w:szCs w:val="24"/>
        </w:rPr>
      </w:pPr>
      <w:r w:rsidRPr="00023CCB">
        <w:rPr>
          <w:rFonts w:ascii="Times New Roman" w:eastAsia="Calibri" w:hAnsi="Times New Roman" w:cs="Times New Roman"/>
          <w:b/>
          <w:sz w:val="24"/>
          <w:szCs w:val="24"/>
        </w:rPr>
        <w:t>Latvijas Republikas Senāt</w:t>
      </w:r>
      <w:r w:rsidR="00404EE6" w:rsidRPr="00023CCB">
        <w:rPr>
          <w:rFonts w:ascii="Times New Roman" w:eastAsia="Calibri" w:hAnsi="Times New Roman" w:cs="Times New Roman"/>
          <w:b/>
          <w:sz w:val="24"/>
          <w:szCs w:val="24"/>
        </w:rPr>
        <w:t xml:space="preserve">a </w:t>
      </w:r>
    </w:p>
    <w:p w14:paraId="0DFFFD7A" w14:textId="77777777" w:rsidR="00404EE6" w:rsidRPr="00023CCB" w:rsidRDefault="00404EE6" w:rsidP="00583A95">
      <w:pPr>
        <w:suppressAutoHyphens/>
        <w:autoSpaceDN w:val="0"/>
        <w:spacing w:after="0"/>
        <w:ind w:right="-1"/>
        <w:jc w:val="center"/>
        <w:textAlignment w:val="baseline"/>
        <w:rPr>
          <w:rFonts w:ascii="Times New Roman" w:eastAsia="Calibri" w:hAnsi="Times New Roman" w:cs="Times New Roman"/>
          <w:b/>
          <w:sz w:val="24"/>
          <w:szCs w:val="24"/>
        </w:rPr>
      </w:pPr>
      <w:r w:rsidRPr="00023CCB">
        <w:rPr>
          <w:rFonts w:ascii="Times New Roman" w:eastAsia="Calibri" w:hAnsi="Times New Roman" w:cs="Times New Roman"/>
          <w:b/>
          <w:sz w:val="24"/>
          <w:szCs w:val="24"/>
        </w:rPr>
        <w:t>Krimināllietu departamenta</w:t>
      </w:r>
    </w:p>
    <w:p w14:paraId="05848D1F" w14:textId="7EEE109B" w:rsidR="00554DC3" w:rsidRPr="00023CCB" w:rsidRDefault="00404EE6" w:rsidP="00583A95">
      <w:pPr>
        <w:suppressAutoHyphens/>
        <w:autoSpaceDN w:val="0"/>
        <w:spacing w:after="0"/>
        <w:ind w:right="-1"/>
        <w:jc w:val="center"/>
        <w:textAlignment w:val="baseline"/>
        <w:rPr>
          <w:rFonts w:ascii="Times New Roman" w:eastAsia="Calibri" w:hAnsi="Times New Roman" w:cs="Times New Roman"/>
          <w:b/>
          <w:sz w:val="24"/>
          <w:szCs w:val="24"/>
        </w:rPr>
      </w:pPr>
      <w:proofErr w:type="gramStart"/>
      <w:r w:rsidRPr="00023CCB">
        <w:rPr>
          <w:rFonts w:ascii="Times New Roman" w:eastAsia="Calibri" w:hAnsi="Times New Roman" w:cs="Times New Roman"/>
          <w:b/>
          <w:sz w:val="24"/>
          <w:szCs w:val="24"/>
        </w:rPr>
        <w:t>2021.gada</w:t>
      </w:r>
      <w:proofErr w:type="gramEnd"/>
      <w:r w:rsidRPr="00023CCB">
        <w:rPr>
          <w:rFonts w:ascii="Times New Roman" w:eastAsia="Calibri" w:hAnsi="Times New Roman" w:cs="Times New Roman"/>
          <w:b/>
          <w:sz w:val="24"/>
          <w:szCs w:val="24"/>
        </w:rPr>
        <w:t xml:space="preserve"> 15.decembra</w:t>
      </w:r>
    </w:p>
    <w:p w14:paraId="492684C6" w14:textId="77777777" w:rsidR="00554DC3" w:rsidRPr="00023CCB" w:rsidRDefault="00554DC3" w:rsidP="00583A95">
      <w:pPr>
        <w:suppressAutoHyphens/>
        <w:autoSpaceDN w:val="0"/>
        <w:spacing w:after="0"/>
        <w:ind w:right="-1"/>
        <w:jc w:val="center"/>
        <w:textAlignment w:val="baseline"/>
        <w:rPr>
          <w:rFonts w:ascii="Times New Roman" w:eastAsia="Calibri" w:hAnsi="Times New Roman" w:cs="Times New Roman"/>
          <w:b/>
          <w:sz w:val="24"/>
          <w:szCs w:val="24"/>
        </w:rPr>
      </w:pPr>
      <w:r w:rsidRPr="00023CCB">
        <w:rPr>
          <w:rFonts w:ascii="Times New Roman" w:eastAsia="Calibri" w:hAnsi="Times New Roman" w:cs="Times New Roman"/>
          <w:b/>
          <w:sz w:val="24"/>
          <w:szCs w:val="24"/>
        </w:rPr>
        <w:t>LĒMUMS</w:t>
      </w:r>
    </w:p>
    <w:p w14:paraId="65C087B4" w14:textId="6745FC21" w:rsidR="00554DC3" w:rsidRPr="00023CCB" w:rsidRDefault="00404EE6" w:rsidP="00583A95">
      <w:pPr>
        <w:suppressAutoHyphens/>
        <w:autoSpaceDN w:val="0"/>
        <w:spacing w:after="0"/>
        <w:ind w:right="-1"/>
        <w:jc w:val="center"/>
        <w:textAlignment w:val="baseline"/>
        <w:rPr>
          <w:rFonts w:ascii="Times New Roman" w:eastAsia="Calibri" w:hAnsi="Times New Roman" w:cs="Times New Roman"/>
          <w:b/>
          <w:sz w:val="24"/>
          <w:szCs w:val="24"/>
        </w:rPr>
      </w:pPr>
      <w:r w:rsidRPr="00023CCB">
        <w:rPr>
          <w:rFonts w:ascii="Times New Roman" w:eastAsia="Calibri" w:hAnsi="Times New Roman" w:cs="Times New Roman"/>
          <w:b/>
          <w:sz w:val="24"/>
          <w:szCs w:val="24"/>
        </w:rPr>
        <w:t>Lieta Nr. </w:t>
      </w:r>
      <w:r w:rsidRPr="00023CCB">
        <w:rPr>
          <w:rFonts w:ascii="Times New Roman" w:hAnsi="Times New Roman" w:cs="Times New Roman"/>
          <w:b/>
          <w:sz w:val="24"/>
          <w:szCs w:val="24"/>
        </w:rPr>
        <w:t>11904011313</w:t>
      </w:r>
      <w:r w:rsidRPr="00023CCB">
        <w:rPr>
          <w:rFonts w:ascii="Times New Roman" w:eastAsia="Calibri" w:hAnsi="Times New Roman" w:cs="Times New Roman"/>
          <w:b/>
          <w:sz w:val="24"/>
          <w:szCs w:val="24"/>
        </w:rPr>
        <w:t>, SKK-139/2021</w:t>
      </w:r>
    </w:p>
    <w:p w14:paraId="02E660D3" w14:textId="6DCA1FBA" w:rsidR="00404EE6" w:rsidRPr="00023CCB" w:rsidRDefault="00B63FFD" w:rsidP="00583A95">
      <w:pPr>
        <w:suppressAutoHyphens/>
        <w:autoSpaceDN w:val="0"/>
        <w:spacing w:after="0"/>
        <w:ind w:right="-1"/>
        <w:jc w:val="center"/>
        <w:textAlignment w:val="baseline"/>
        <w:rPr>
          <w:rFonts w:ascii="Times New Roman" w:eastAsia="Calibri" w:hAnsi="Times New Roman" w:cs="Times New Roman"/>
          <w:sz w:val="24"/>
          <w:szCs w:val="24"/>
        </w:rPr>
      </w:pPr>
      <w:hyperlink r:id="rId7" w:history="1">
        <w:r w:rsidR="00023CCB" w:rsidRPr="00023CCB">
          <w:rPr>
            <w:rStyle w:val="Hyperlink"/>
            <w:rFonts w:ascii="Times New Roman" w:hAnsi="Times New Roman" w:cs="Times New Roman"/>
            <w:sz w:val="24"/>
            <w:szCs w:val="24"/>
            <w:shd w:val="clear" w:color="auto" w:fill="FFFFFF"/>
          </w:rPr>
          <w:t>ECLI:LV:AT:2021:1215.11904011313.6.L</w:t>
        </w:r>
      </w:hyperlink>
    </w:p>
    <w:p w14:paraId="2622F42F" w14:textId="77777777" w:rsidR="00554DC3" w:rsidRPr="00E273B3" w:rsidRDefault="00554DC3" w:rsidP="00583A95">
      <w:pPr>
        <w:suppressAutoHyphens/>
        <w:autoSpaceDN w:val="0"/>
        <w:spacing w:after="0"/>
        <w:ind w:right="-1"/>
        <w:textAlignment w:val="baseline"/>
        <w:rPr>
          <w:rFonts w:ascii="Times New Roman" w:eastAsia="Calibri" w:hAnsi="Times New Roman" w:cs="Times New Roman"/>
          <w:sz w:val="24"/>
          <w:szCs w:val="24"/>
        </w:rPr>
      </w:pPr>
    </w:p>
    <w:p w14:paraId="25FE8937" w14:textId="07C92993" w:rsidR="00554DC3" w:rsidRPr="00E273B3" w:rsidRDefault="009510E7" w:rsidP="00583A95">
      <w:pPr>
        <w:suppressAutoHyphens/>
        <w:autoSpaceDN w:val="0"/>
        <w:spacing w:after="0"/>
        <w:ind w:right="-1" w:firstLine="709"/>
        <w:jc w:val="both"/>
        <w:textAlignment w:val="baseline"/>
        <w:rPr>
          <w:rFonts w:ascii="Times New Roman" w:eastAsia="Calibri" w:hAnsi="Times New Roman" w:cs="Times New Roman"/>
          <w:sz w:val="24"/>
          <w:szCs w:val="24"/>
        </w:rPr>
      </w:pPr>
      <w:r w:rsidRPr="00E273B3">
        <w:rPr>
          <w:rFonts w:ascii="Times New Roman" w:eastAsia="Calibri" w:hAnsi="Times New Roman" w:cs="Times New Roman"/>
          <w:sz w:val="24"/>
          <w:szCs w:val="24"/>
        </w:rPr>
        <w:t>Tiesa šādā sastāvā: senatores</w:t>
      </w:r>
      <w:r w:rsidR="00554DC3" w:rsidRPr="00E273B3">
        <w:rPr>
          <w:rFonts w:ascii="Times New Roman" w:eastAsia="Calibri" w:hAnsi="Times New Roman" w:cs="Times New Roman"/>
          <w:sz w:val="24"/>
          <w:szCs w:val="24"/>
        </w:rPr>
        <w:t xml:space="preserve"> Inguna Radzeviča, </w:t>
      </w:r>
      <w:r w:rsidR="00A05CB0" w:rsidRPr="00E273B3">
        <w:rPr>
          <w:rFonts w:ascii="Times New Roman" w:eastAsia="Calibri" w:hAnsi="Times New Roman" w:cs="Times New Roman"/>
          <w:sz w:val="24"/>
          <w:szCs w:val="24"/>
        </w:rPr>
        <w:t>Aija Branta</w:t>
      </w:r>
      <w:r w:rsidR="00583A95" w:rsidRPr="00E273B3">
        <w:rPr>
          <w:rFonts w:ascii="Times New Roman" w:eastAsia="Calibri" w:hAnsi="Times New Roman" w:cs="Times New Roman"/>
          <w:sz w:val="24"/>
          <w:szCs w:val="24"/>
        </w:rPr>
        <w:t>, Anita Poļakova</w:t>
      </w:r>
    </w:p>
    <w:p w14:paraId="7D322114" w14:textId="77777777" w:rsidR="00583A95" w:rsidRPr="00E273B3" w:rsidRDefault="00583A95" w:rsidP="00583A95">
      <w:pPr>
        <w:suppressAutoHyphens/>
        <w:autoSpaceDN w:val="0"/>
        <w:spacing w:after="0"/>
        <w:ind w:right="-1" w:firstLine="709"/>
        <w:jc w:val="both"/>
        <w:textAlignment w:val="baseline"/>
        <w:rPr>
          <w:rFonts w:ascii="Times New Roman" w:eastAsia="Calibri" w:hAnsi="Times New Roman" w:cs="Times New Roman"/>
          <w:sz w:val="24"/>
          <w:szCs w:val="24"/>
        </w:rPr>
      </w:pPr>
    </w:p>
    <w:p w14:paraId="0ADED46D" w14:textId="705D6C68" w:rsidR="00583A95" w:rsidRPr="00E273B3" w:rsidRDefault="00554DC3" w:rsidP="00583A95">
      <w:pPr>
        <w:suppressAutoHyphens/>
        <w:autoSpaceDN w:val="0"/>
        <w:spacing w:after="0"/>
        <w:ind w:right="-1" w:firstLine="709"/>
        <w:jc w:val="both"/>
        <w:textAlignment w:val="baseline"/>
        <w:rPr>
          <w:rFonts w:ascii="Times New Roman" w:eastAsia="Calibri" w:hAnsi="Times New Roman" w:cs="Times New Roman"/>
          <w:sz w:val="24"/>
          <w:szCs w:val="24"/>
        </w:rPr>
      </w:pPr>
      <w:r w:rsidRPr="00E273B3">
        <w:rPr>
          <w:rFonts w:ascii="Times New Roman" w:eastAsia="Calibri" w:hAnsi="Times New Roman" w:cs="Times New Roman"/>
          <w:sz w:val="24"/>
          <w:szCs w:val="24"/>
        </w:rPr>
        <w:t xml:space="preserve">izskatīja rakstveida procesā krimināllietu sakarā ar </w:t>
      </w:r>
      <w:r w:rsidR="007173B8" w:rsidRPr="00E273B3">
        <w:rPr>
          <w:rFonts w:ascii="Times New Roman" w:eastAsia="Calibri" w:hAnsi="Times New Roman" w:cs="Times New Roman"/>
          <w:sz w:val="24"/>
          <w:szCs w:val="24"/>
        </w:rPr>
        <w:t>V</w:t>
      </w:r>
      <w:r w:rsidR="00A05CB0" w:rsidRPr="00E273B3">
        <w:rPr>
          <w:rFonts w:ascii="Times New Roman" w:eastAsia="Calibri" w:hAnsi="Times New Roman" w:cs="Times New Roman"/>
          <w:sz w:val="24"/>
          <w:szCs w:val="24"/>
        </w:rPr>
        <w:t>almieras rajona</w:t>
      </w:r>
      <w:r w:rsidRPr="00E273B3">
        <w:rPr>
          <w:rFonts w:ascii="Times New Roman" w:eastAsia="Calibri" w:hAnsi="Times New Roman" w:cs="Times New Roman"/>
          <w:sz w:val="24"/>
          <w:szCs w:val="24"/>
        </w:rPr>
        <w:t xml:space="preserve"> prokuratūras </w:t>
      </w:r>
      <w:r w:rsidR="00583A95" w:rsidRPr="00E273B3">
        <w:rPr>
          <w:rFonts w:ascii="Times New Roman" w:eastAsia="Calibri" w:hAnsi="Times New Roman" w:cs="Times New Roman"/>
          <w:sz w:val="24"/>
          <w:szCs w:val="24"/>
        </w:rPr>
        <w:t>prokurores</w:t>
      </w:r>
      <w:r w:rsidR="00A05CB0" w:rsidRPr="00E273B3">
        <w:rPr>
          <w:rFonts w:ascii="Times New Roman" w:eastAsia="Calibri" w:hAnsi="Times New Roman" w:cs="Times New Roman"/>
          <w:sz w:val="24"/>
          <w:szCs w:val="24"/>
        </w:rPr>
        <w:t xml:space="preserve"> Solvitas </w:t>
      </w:r>
      <w:proofErr w:type="spellStart"/>
      <w:r w:rsidR="00A05CB0" w:rsidRPr="00E273B3">
        <w:rPr>
          <w:rFonts w:ascii="Times New Roman" w:eastAsia="Calibri" w:hAnsi="Times New Roman" w:cs="Times New Roman"/>
          <w:sz w:val="24"/>
          <w:szCs w:val="24"/>
        </w:rPr>
        <w:t>Kristapas</w:t>
      </w:r>
      <w:proofErr w:type="spellEnd"/>
      <w:r w:rsidRPr="00E273B3">
        <w:rPr>
          <w:rFonts w:ascii="Times New Roman" w:eastAsia="Calibri" w:hAnsi="Times New Roman" w:cs="Times New Roman"/>
          <w:sz w:val="24"/>
          <w:szCs w:val="24"/>
        </w:rPr>
        <w:t xml:space="preserve"> kasācijas protestu par </w:t>
      </w:r>
      <w:r w:rsidR="00A05CB0" w:rsidRPr="00E273B3">
        <w:rPr>
          <w:rFonts w:ascii="Times New Roman" w:eastAsia="Calibri" w:hAnsi="Times New Roman" w:cs="Times New Roman"/>
          <w:sz w:val="24"/>
          <w:szCs w:val="24"/>
        </w:rPr>
        <w:t>Vidzemes</w:t>
      </w:r>
      <w:r w:rsidR="007173B8" w:rsidRPr="00E273B3">
        <w:rPr>
          <w:rFonts w:ascii="Times New Roman" w:eastAsia="Calibri" w:hAnsi="Times New Roman" w:cs="Times New Roman"/>
          <w:sz w:val="24"/>
          <w:szCs w:val="24"/>
        </w:rPr>
        <w:t xml:space="preserve"> apgabal</w:t>
      </w:r>
      <w:r w:rsidRPr="00E273B3">
        <w:rPr>
          <w:rFonts w:ascii="Times New Roman" w:eastAsia="Calibri" w:hAnsi="Times New Roman" w:cs="Times New Roman"/>
          <w:sz w:val="24"/>
          <w:szCs w:val="24"/>
        </w:rPr>
        <w:t xml:space="preserve">tiesas </w:t>
      </w:r>
      <w:proofErr w:type="gramStart"/>
      <w:r w:rsidRPr="00E273B3">
        <w:rPr>
          <w:rFonts w:ascii="Times New Roman" w:eastAsia="Calibri" w:hAnsi="Times New Roman" w:cs="Times New Roman"/>
          <w:sz w:val="24"/>
          <w:szCs w:val="24"/>
        </w:rPr>
        <w:t>2020.gada</w:t>
      </w:r>
      <w:proofErr w:type="gramEnd"/>
      <w:r w:rsidRPr="00E273B3">
        <w:rPr>
          <w:rFonts w:ascii="Times New Roman" w:eastAsia="Calibri" w:hAnsi="Times New Roman" w:cs="Times New Roman"/>
          <w:sz w:val="24"/>
          <w:szCs w:val="24"/>
        </w:rPr>
        <w:t xml:space="preserve"> </w:t>
      </w:r>
      <w:r w:rsidR="00A05CB0" w:rsidRPr="00E273B3">
        <w:rPr>
          <w:rFonts w:ascii="Times New Roman" w:eastAsia="Calibri" w:hAnsi="Times New Roman" w:cs="Times New Roman"/>
          <w:sz w:val="24"/>
          <w:szCs w:val="24"/>
        </w:rPr>
        <w:t>26.augusta spriedumu</w:t>
      </w:r>
      <w:r w:rsidRPr="00E273B3">
        <w:rPr>
          <w:rFonts w:ascii="Times New Roman" w:eastAsia="Calibri" w:hAnsi="Times New Roman" w:cs="Times New Roman"/>
          <w:sz w:val="24"/>
          <w:szCs w:val="24"/>
        </w:rPr>
        <w:t>.</w:t>
      </w:r>
    </w:p>
    <w:p w14:paraId="30E2CA2A" w14:textId="218814A5" w:rsidR="007173B8" w:rsidRPr="00E273B3" w:rsidRDefault="00ED23D2" w:rsidP="00051D02">
      <w:pPr>
        <w:suppressAutoHyphens/>
        <w:autoSpaceDN w:val="0"/>
        <w:spacing w:after="0"/>
        <w:ind w:right="-1"/>
        <w:jc w:val="both"/>
        <w:textAlignment w:val="baseline"/>
        <w:rPr>
          <w:rFonts w:ascii="Times New Roman" w:eastAsia="Calibri" w:hAnsi="Times New Roman" w:cs="Times New Roman"/>
          <w:sz w:val="24"/>
          <w:szCs w:val="24"/>
        </w:rPr>
      </w:pPr>
      <w:r w:rsidRPr="00E273B3">
        <w:rPr>
          <w:rFonts w:ascii="Times New Roman" w:eastAsia="Calibri" w:hAnsi="Times New Roman" w:cs="Times New Roman"/>
          <w:sz w:val="24"/>
          <w:szCs w:val="24"/>
        </w:rPr>
        <w:t xml:space="preserve"> </w:t>
      </w:r>
    </w:p>
    <w:p w14:paraId="0772762B" w14:textId="77777777" w:rsidR="00554DC3" w:rsidRPr="00E273B3" w:rsidRDefault="00554DC3" w:rsidP="00583A95">
      <w:pPr>
        <w:suppressAutoHyphens/>
        <w:autoSpaceDN w:val="0"/>
        <w:spacing w:after="0"/>
        <w:ind w:right="-1"/>
        <w:jc w:val="center"/>
        <w:textAlignment w:val="baseline"/>
        <w:rPr>
          <w:rFonts w:ascii="Times New Roman" w:eastAsia="Calibri" w:hAnsi="Times New Roman" w:cs="Times New Roman"/>
          <w:b/>
          <w:sz w:val="24"/>
          <w:szCs w:val="24"/>
        </w:rPr>
      </w:pPr>
      <w:r w:rsidRPr="00E273B3">
        <w:rPr>
          <w:rFonts w:ascii="Times New Roman" w:eastAsia="Calibri" w:hAnsi="Times New Roman" w:cs="Times New Roman"/>
          <w:b/>
          <w:sz w:val="24"/>
          <w:szCs w:val="24"/>
        </w:rPr>
        <w:t>Aprakstošā daļa</w:t>
      </w:r>
    </w:p>
    <w:p w14:paraId="2A5E013F" w14:textId="77777777" w:rsidR="00583A95" w:rsidRPr="00E273B3" w:rsidRDefault="00583A95" w:rsidP="00583A95">
      <w:pPr>
        <w:suppressAutoHyphens/>
        <w:autoSpaceDN w:val="0"/>
        <w:spacing w:after="0"/>
        <w:ind w:right="-1"/>
        <w:jc w:val="center"/>
        <w:textAlignment w:val="baseline"/>
        <w:rPr>
          <w:rFonts w:ascii="Times New Roman" w:eastAsia="Calibri" w:hAnsi="Times New Roman" w:cs="Times New Roman"/>
          <w:b/>
          <w:sz w:val="24"/>
          <w:szCs w:val="24"/>
        </w:rPr>
      </w:pPr>
    </w:p>
    <w:p w14:paraId="4D2BF8FB" w14:textId="52F63F86" w:rsidR="00882B37" w:rsidRPr="00E273B3" w:rsidRDefault="00843B1A" w:rsidP="00583A95">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[1]</w:t>
      </w:r>
      <w:r w:rsidR="00D5451C" w:rsidRPr="00E273B3">
        <w:rPr>
          <w:rFonts w:ascii="Times New Roman" w:hAnsi="Times New Roman" w:cs="Times New Roman"/>
          <w:sz w:val="24"/>
          <w:szCs w:val="24"/>
        </w:rPr>
        <w:t> </w:t>
      </w:r>
      <w:r w:rsidRPr="00E273B3">
        <w:rPr>
          <w:rFonts w:ascii="Times New Roman" w:hAnsi="Times New Roman" w:cs="Times New Roman"/>
          <w:sz w:val="24"/>
          <w:szCs w:val="24"/>
        </w:rPr>
        <w:t xml:space="preserve">Ar </w:t>
      </w:r>
      <w:r w:rsidR="00A05CB0" w:rsidRPr="00E273B3">
        <w:rPr>
          <w:rFonts w:ascii="Times New Roman" w:hAnsi="Times New Roman" w:cs="Times New Roman"/>
          <w:sz w:val="24"/>
          <w:szCs w:val="24"/>
        </w:rPr>
        <w:t>Vidzemes</w:t>
      </w:r>
      <w:r w:rsidRPr="00E273B3">
        <w:rPr>
          <w:rFonts w:ascii="Times New Roman" w:hAnsi="Times New Roman" w:cs="Times New Roman"/>
          <w:sz w:val="24"/>
          <w:szCs w:val="24"/>
        </w:rPr>
        <w:t xml:space="preserve"> rajona tiesas</w:t>
      </w:r>
      <w:r w:rsidR="004F2AAB" w:rsidRPr="00E273B3">
        <w:rPr>
          <w:rFonts w:ascii="Times New Roman" w:hAnsi="Times New Roman" w:cs="Times New Roman"/>
          <w:sz w:val="24"/>
          <w:szCs w:val="24"/>
        </w:rPr>
        <w:t xml:space="preserve"> </w:t>
      </w:r>
      <w:proofErr w:type="gramStart"/>
      <w:r w:rsidR="004F2AAB" w:rsidRPr="00E273B3">
        <w:rPr>
          <w:rFonts w:ascii="Times New Roman" w:hAnsi="Times New Roman" w:cs="Times New Roman"/>
          <w:sz w:val="24"/>
          <w:szCs w:val="24"/>
        </w:rPr>
        <w:t>20</w:t>
      </w:r>
      <w:r w:rsidR="00A05CB0" w:rsidRPr="00E273B3">
        <w:rPr>
          <w:rFonts w:ascii="Times New Roman" w:hAnsi="Times New Roman" w:cs="Times New Roman"/>
          <w:sz w:val="24"/>
          <w:szCs w:val="24"/>
        </w:rPr>
        <w:t>19</w:t>
      </w:r>
      <w:r w:rsidR="004F2AAB" w:rsidRPr="00E273B3">
        <w:rPr>
          <w:rFonts w:ascii="Times New Roman" w:hAnsi="Times New Roman" w:cs="Times New Roman"/>
          <w:sz w:val="24"/>
          <w:szCs w:val="24"/>
        </w:rPr>
        <w:t>.gada</w:t>
      </w:r>
      <w:proofErr w:type="gramEnd"/>
      <w:r w:rsidR="004F2AAB" w:rsidRPr="00E273B3">
        <w:rPr>
          <w:rFonts w:ascii="Times New Roman" w:hAnsi="Times New Roman" w:cs="Times New Roman"/>
          <w:sz w:val="24"/>
          <w:szCs w:val="24"/>
        </w:rPr>
        <w:t xml:space="preserve"> </w:t>
      </w:r>
      <w:r w:rsidR="00A05CB0" w:rsidRPr="00E273B3">
        <w:rPr>
          <w:rFonts w:ascii="Times New Roman" w:hAnsi="Times New Roman" w:cs="Times New Roman"/>
          <w:sz w:val="24"/>
          <w:szCs w:val="24"/>
        </w:rPr>
        <w:t>1.februāra</w:t>
      </w:r>
      <w:r w:rsidR="004F2AAB" w:rsidRPr="00E273B3">
        <w:rPr>
          <w:rFonts w:ascii="Times New Roman" w:hAnsi="Times New Roman" w:cs="Times New Roman"/>
          <w:sz w:val="24"/>
          <w:szCs w:val="24"/>
        </w:rPr>
        <w:t xml:space="preserve"> spriedumu </w:t>
      </w:r>
    </w:p>
    <w:p w14:paraId="2AFB9937" w14:textId="498B45D7" w:rsidR="004F2AAB" w:rsidRPr="00E273B3" w:rsidRDefault="00D5451C" w:rsidP="00583A95">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[1.1] </w:t>
      </w:r>
      <w:r w:rsidR="005544A0">
        <w:rPr>
          <w:rFonts w:ascii="Times New Roman" w:hAnsi="Times New Roman" w:cs="Times New Roman"/>
          <w:sz w:val="24"/>
          <w:szCs w:val="24"/>
        </w:rPr>
        <w:t>[pers. A]</w:t>
      </w:r>
      <w:r w:rsidR="00882B37" w:rsidRPr="00E273B3">
        <w:rPr>
          <w:rFonts w:ascii="Times New Roman" w:hAnsi="Times New Roman" w:cs="Times New Roman"/>
          <w:sz w:val="24"/>
          <w:szCs w:val="24"/>
        </w:rPr>
        <w:t>, personas k</w:t>
      </w:r>
      <w:r w:rsidR="00A05CB0" w:rsidRPr="00E273B3">
        <w:rPr>
          <w:rFonts w:ascii="Times New Roman" w:hAnsi="Times New Roman" w:cs="Times New Roman"/>
          <w:sz w:val="24"/>
          <w:szCs w:val="24"/>
        </w:rPr>
        <w:t>ods</w:t>
      </w:r>
      <w:r w:rsidR="00882B37" w:rsidRPr="00E273B3">
        <w:rPr>
          <w:rFonts w:ascii="Times New Roman" w:hAnsi="Times New Roman" w:cs="Times New Roman"/>
          <w:sz w:val="24"/>
          <w:szCs w:val="24"/>
        </w:rPr>
        <w:t xml:space="preserve"> </w:t>
      </w:r>
      <w:r w:rsidR="005544A0">
        <w:rPr>
          <w:rFonts w:ascii="Times New Roman" w:hAnsi="Times New Roman" w:cs="Times New Roman"/>
          <w:sz w:val="24"/>
          <w:szCs w:val="24"/>
        </w:rPr>
        <w:t>[..]</w:t>
      </w:r>
      <w:r w:rsidR="004F2AAB" w:rsidRPr="00E273B3">
        <w:rPr>
          <w:rFonts w:ascii="Times New Roman" w:hAnsi="Times New Roman" w:cs="Times New Roman"/>
          <w:sz w:val="24"/>
          <w:szCs w:val="24"/>
        </w:rPr>
        <w:t xml:space="preserve">, </w:t>
      </w:r>
    </w:p>
    <w:p w14:paraId="3BBF0308" w14:textId="4BEFD81D" w:rsidR="00583A95" w:rsidRPr="00E273B3" w:rsidRDefault="0015548E" w:rsidP="00583A95">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a</w:t>
      </w:r>
      <w:r w:rsidR="004F2AAB" w:rsidRPr="00E273B3">
        <w:rPr>
          <w:rFonts w:ascii="Times New Roman" w:hAnsi="Times New Roman" w:cs="Times New Roman"/>
          <w:sz w:val="24"/>
          <w:szCs w:val="24"/>
        </w:rPr>
        <w:t xml:space="preserve">tzīts par vainīgu Krimināllikuma </w:t>
      </w:r>
      <w:proofErr w:type="gramStart"/>
      <w:r w:rsidR="009010FB" w:rsidRPr="00E273B3">
        <w:rPr>
          <w:rFonts w:ascii="Times New Roman" w:hAnsi="Times New Roman" w:cs="Times New Roman"/>
          <w:sz w:val="24"/>
          <w:szCs w:val="24"/>
        </w:rPr>
        <w:t>218.panta</w:t>
      </w:r>
      <w:proofErr w:type="gramEnd"/>
      <w:r w:rsidR="004F2AAB" w:rsidRPr="00E273B3">
        <w:rPr>
          <w:rFonts w:ascii="Times New Roman" w:hAnsi="Times New Roman" w:cs="Times New Roman"/>
          <w:sz w:val="24"/>
          <w:szCs w:val="24"/>
        </w:rPr>
        <w:t xml:space="preserve"> </w:t>
      </w:r>
      <w:r w:rsidR="009010FB" w:rsidRPr="00E273B3">
        <w:rPr>
          <w:rFonts w:ascii="Times New Roman" w:hAnsi="Times New Roman" w:cs="Times New Roman"/>
          <w:sz w:val="24"/>
          <w:szCs w:val="24"/>
        </w:rPr>
        <w:t xml:space="preserve">otrajā </w:t>
      </w:r>
      <w:r w:rsidR="004F2AAB" w:rsidRPr="00E273B3">
        <w:rPr>
          <w:rFonts w:ascii="Times New Roman" w:hAnsi="Times New Roman" w:cs="Times New Roman"/>
          <w:sz w:val="24"/>
          <w:szCs w:val="24"/>
        </w:rPr>
        <w:t>daļā paredzētajā noziedzīgajā nodarījumā un sodīts</w:t>
      </w:r>
      <w:r w:rsidR="009010FB" w:rsidRPr="00E273B3">
        <w:rPr>
          <w:rFonts w:ascii="Times New Roman" w:hAnsi="Times New Roman" w:cs="Times New Roman"/>
          <w:sz w:val="24"/>
          <w:szCs w:val="24"/>
        </w:rPr>
        <w:t>, piemērojot Krimināllikuma 49.</w:t>
      </w:r>
      <w:r w:rsidR="009010FB" w:rsidRPr="00E273B3">
        <w:rPr>
          <w:rFonts w:ascii="Times New Roman" w:hAnsi="Times New Roman" w:cs="Times New Roman"/>
          <w:sz w:val="24"/>
          <w:szCs w:val="24"/>
          <w:vertAlign w:val="superscript"/>
        </w:rPr>
        <w:t>1</w:t>
      </w:r>
      <w:r w:rsidR="00D5451C" w:rsidRPr="00E273B3">
        <w:rPr>
          <w:rFonts w:ascii="Times New Roman" w:hAnsi="Times New Roman" w:cs="Times New Roman"/>
          <w:sz w:val="24"/>
          <w:szCs w:val="24"/>
          <w:vertAlign w:val="superscript"/>
        </w:rPr>
        <w:t> </w:t>
      </w:r>
      <w:r w:rsidR="009010FB" w:rsidRPr="00E273B3">
        <w:rPr>
          <w:rFonts w:ascii="Times New Roman" w:hAnsi="Times New Roman" w:cs="Times New Roman"/>
          <w:sz w:val="24"/>
          <w:szCs w:val="24"/>
        </w:rPr>
        <w:t>panta pirmās daļas 1.punktu,</w:t>
      </w:r>
      <w:r w:rsidR="004F2AAB" w:rsidRPr="00E273B3">
        <w:rPr>
          <w:rFonts w:ascii="Times New Roman" w:hAnsi="Times New Roman" w:cs="Times New Roman"/>
          <w:sz w:val="24"/>
          <w:szCs w:val="24"/>
        </w:rPr>
        <w:t xml:space="preserve"> </w:t>
      </w:r>
      <w:r w:rsidR="009010FB" w:rsidRPr="00E273B3">
        <w:rPr>
          <w:rFonts w:ascii="Times New Roman" w:hAnsi="Times New Roman" w:cs="Times New Roman"/>
          <w:sz w:val="24"/>
          <w:szCs w:val="24"/>
        </w:rPr>
        <w:t>ar brīvības atņemšanu uz 8 mēnešiem, atņemot tiesības veikt visu veidu komercdarbību uz 2 gadiem.</w:t>
      </w:r>
    </w:p>
    <w:p w14:paraId="08704174" w14:textId="70DF8D54" w:rsidR="009010FB" w:rsidRPr="00E273B3" w:rsidRDefault="009010FB" w:rsidP="00583A95">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 xml:space="preserve">Saskaņā ar Krimināllikuma </w:t>
      </w:r>
      <w:proofErr w:type="gramStart"/>
      <w:r w:rsidRPr="00E273B3">
        <w:rPr>
          <w:rFonts w:ascii="Times New Roman" w:hAnsi="Times New Roman" w:cs="Times New Roman"/>
          <w:sz w:val="24"/>
          <w:szCs w:val="24"/>
        </w:rPr>
        <w:t>55.pantu</w:t>
      </w:r>
      <w:proofErr w:type="gramEnd"/>
      <w:r w:rsidRPr="00E273B3">
        <w:rPr>
          <w:rFonts w:ascii="Times New Roman" w:hAnsi="Times New Roman" w:cs="Times New Roman"/>
          <w:sz w:val="24"/>
          <w:szCs w:val="24"/>
        </w:rPr>
        <w:t xml:space="preserve"> </w:t>
      </w:r>
      <w:r w:rsidR="005544A0">
        <w:rPr>
          <w:rFonts w:ascii="Times New Roman" w:hAnsi="Times New Roman" w:cs="Times New Roman"/>
          <w:sz w:val="24"/>
          <w:szCs w:val="24"/>
        </w:rPr>
        <w:t>[pers. A]</w:t>
      </w:r>
      <w:r w:rsidRPr="00E273B3">
        <w:rPr>
          <w:rFonts w:ascii="Times New Roman" w:hAnsi="Times New Roman" w:cs="Times New Roman"/>
          <w:sz w:val="24"/>
          <w:szCs w:val="24"/>
        </w:rPr>
        <w:t xml:space="preserve"> ar brīvības atņemšanas sodu notiesāts nosacīti ar pārbaudes laiku uz 8 mēnešiem.</w:t>
      </w:r>
    </w:p>
    <w:p w14:paraId="1F50524C" w14:textId="4EDB4481" w:rsidR="00882B37" w:rsidRPr="00E273B3" w:rsidRDefault="005544A0" w:rsidP="00612D3D">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[Pers. A]</w:t>
      </w:r>
      <w:r w:rsidR="009010FB" w:rsidRPr="00E273B3">
        <w:rPr>
          <w:rFonts w:ascii="Times New Roman" w:hAnsi="Times New Roman" w:cs="Times New Roman"/>
          <w:sz w:val="24"/>
          <w:szCs w:val="24"/>
        </w:rPr>
        <w:t xml:space="preserve"> piemērotais drošības līdzeklis – aizliegums tuvoties</w:t>
      </w:r>
      <w:r w:rsidR="00612D3D" w:rsidRPr="00E273B3">
        <w:rPr>
          <w:rFonts w:ascii="Times New Roman" w:hAnsi="Times New Roman" w:cs="Times New Roman"/>
          <w:sz w:val="24"/>
          <w:szCs w:val="24"/>
        </w:rPr>
        <w:t xml:space="preserve"> noteiktai personai un vietai – atcelts.</w:t>
      </w:r>
      <w:r w:rsidR="009010FB" w:rsidRPr="00E273B3">
        <w:rPr>
          <w:rFonts w:ascii="Times New Roman" w:hAnsi="Times New Roman" w:cs="Times New Roman"/>
          <w:sz w:val="24"/>
          <w:szCs w:val="24"/>
        </w:rPr>
        <w:t xml:space="preserve"> </w:t>
      </w:r>
    </w:p>
    <w:p w14:paraId="5478B69D" w14:textId="61488E56" w:rsidR="00583A95" w:rsidRPr="00E273B3" w:rsidRDefault="00D5451C" w:rsidP="00583A95">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[1.2] </w:t>
      </w:r>
      <w:r w:rsidR="005544A0">
        <w:rPr>
          <w:rFonts w:ascii="Times New Roman" w:hAnsi="Times New Roman" w:cs="Times New Roman"/>
          <w:sz w:val="24"/>
          <w:szCs w:val="24"/>
        </w:rPr>
        <w:t>[Pers. B]</w:t>
      </w:r>
      <w:r w:rsidR="00612D3D" w:rsidRPr="00E273B3">
        <w:rPr>
          <w:rFonts w:ascii="Times New Roman" w:hAnsi="Times New Roman" w:cs="Times New Roman"/>
          <w:sz w:val="24"/>
          <w:szCs w:val="24"/>
        </w:rPr>
        <w:t xml:space="preserve">, personas kods </w:t>
      </w:r>
      <w:r w:rsidR="005544A0">
        <w:rPr>
          <w:rFonts w:ascii="Times New Roman" w:hAnsi="Times New Roman" w:cs="Times New Roman"/>
          <w:sz w:val="24"/>
          <w:szCs w:val="24"/>
        </w:rPr>
        <w:t>[..]</w:t>
      </w:r>
      <w:r w:rsidR="00612D3D" w:rsidRPr="00E273B3">
        <w:rPr>
          <w:rFonts w:ascii="Times New Roman" w:hAnsi="Times New Roman" w:cs="Times New Roman"/>
          <w:sz w:val="24"/>
          <w:szCs w:val="24"/>
        </w:rPr>
        <w:t>,</w:t>
      </w:r>
    </w:p>
    <w:p w14:paraId="47C17569" w14:textId="5AD1BF47" w:rsidR="00612D3D" w:rsidRPr="00E273B3" w:rsidRDefault="00612D3D" w:rsidP="00612D3D">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 xml:space="preserve">atzīta par vainīgu Krimināllikuma </w:t>
      </w:r>
      <w:proofErr w:type="gramStart"/>
      <w:r w:rsidRPr="00E273B3">
        <w:rPr>
          <w:rFonts w:ascii="Times New Roman" w:hAnsi="Times New Roman" w:cs="Times New Roman"/>
          <w:sz w:val="24"/>
          <w:szCs w:val="24"/>
        </w:rPr>
        <w:t>20.panta</w:t>
      </w:r>
      <w:proofErr w:type="gramEnd"/>
      <w:r w:rsidRPr="00E273B3">
        <w:rPr>
          <w:rFonts w:ascii="Times New Roman" w:hAnsi="Times New Roman" w:cs="Times New Roman"/>
          <w:sz w:val="24"/>
          <w:szCs w:val="24"/>
        </w:rPr>
        <w:t xml:space="preserve"> ceturtajā daļā un 218.panta otrajā daļā paredzētajā noziedzīgajā nodarījumā un sodīta, piemērojot Krimināllikuma 49.</w:t>
      </w:r>
      <w:r w:rsidRPr="00E273B3">
        <w:rPr>
          <w:rFonts w:ascii="Times New Roman" w:hAnsi="Times New Roman" w:cs="Times New Roman"/>
          <w:sz w:val="24"/>
          <w:szCs w:val="24"/>
          <w:vertAlign w:val="superscript"/>
        </w:rPr>
        <w:t>1</w:t>
      </w:r>
      <w:r w:rsidR="00D5451C" w:rsidRPr="00E273B3">
        <w:rPr>
          <w:rFonts w:ascii="Times New Roman" w:hAnsi="Times New Roman" w:cs="Times New Roman"/>
          <w:sz w:val="24"/>
          <w:szCs w:val="24"/>
          <w:vertAlign w:val="superscript"/>
        </w:rPr>
        <w:t> </w:t>
      </w:r>
      <w:r w:rsidRPr="00E273B3">
        <w:rPr>
          <w:rFonts w:ascii="Times New Roman" w:hAnsi="Times New Roman" w:cs="Times New Roman"/>
          <w:sz w:val="24"/>
          <w:szCs w:val="24"/>
        </w:rPr>
        <w:t xml:space="preserve">panta pirmās daļas 1.punktu, ar brīvības atņemšanu uz 4 mēnešiem, atņemot tiesības ieņemt amatu, kas saistīts ar grāmatvedības pakalpojumu </w:t>
      </w:r>
      <w:r w:rsidR="0028367F" w:rsidRPr="00E273B3">
        <w:rPr>
          <w:rFonts w:ascii="Times New Roman" w:hAnsi="Times New Roman" w:cs="Times New Roman"/>
          <w:sz w:val="24"/>
          <w:szCs w:val="24"/>
        </w:rPr>
        <w:t>veikšanu,</w:t>
      </w:r>
      <w:r w:rsidRPr="00E273B3">
        <w:rPr>
          <w:rFonts w:ascii="Times New Roman" w:hAnsi="Times New Roman" w:cs="Times New Roman"/>
          <w:sz w:val="24"/>
          <w:szCs w:val="24"/>
        </w:rPr>
        <w:t xml:space="preserve"> uz 2 gadiem.</w:t>
      </w:r>
    </w:p>
    <w:p w14:paraId="63C20F7D" w14:textId="6160C994" w:rsidR="00612D3D" w:rsidRPr="00E273B3" w:rsidRDefault="00612D3D" w:rsidP="00612D3D">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 xml:space="preserve">Saskaņā ar Krimināllikuma </w:t>
      </w:r>
      <w:proofErr w:type="gramStart"/>
      <w:r w:rsidRPr="00E273B3">
        <w:rPr>
          <w:rFonts w:ascii="Times New Roman" w:hAnsi="Times New Roman" w:cs="Times New Roman"/>
          <w:sz w:val="24"/>
          <w:szCs w:val="24"/>
        </w:rPr>
        <w:t>55.pantu</w:t>
      </w:r>
      <w:proofErr w:type="gramEnd"/>
      <w:r w:rsidRPr="00E273B3">
        <w:rPr>
          <w:rFonts w:ascii="Times New Roman" w:hAnsi="Times New Roman" w:cs="Times New Roman"/>
          <w:sz w:val="24"/>
          <w:szCs w:val="24"/>
        </w:rPr>
        <w:t xml:space="preserve"> </w:t>
      </w:r>
      <w:r w:rsidR="005544A0">
        <w:rPr>
          <w:rFonts w:ascii="Times New Roman" w:hAnsi="Times New Roman" w:cs="Times New Roman"/>
          <w:sz w:val="24"/>
          <w:szCs w:val="24"/>
        </w:rPr>
        <w:t>[pers. B]</w:t>
      </w:r>
      <w:r w:rsidRPr="00E273B3">
        <w:rPr>
          <w:rFonts w:ascii="Times New Roman" w:hAnsi="Times New Roman" w:cs="Times New Roman"/>
          <w:sz w:val="24"/>
          <w:szCs w:val="24"/>
        </w:rPr>
        <w:t xml:space="preserve"> ar brīvības atņemšanas sodu notiesāt</w:t>
      </w:r>
      <w:r w:rsidR="0028367F" w:rsidRPr="00E273B3">
        <w:rPr>
          <w:rFonts w:ascii="Times New Roman" w:hAnsi="Times New Roman" w:cs="Times New Roman"/>
          <w:sz w:val="24"/>
          <w:szCs w:val="24"/>
        </w:rPr>
        <w:t>a</w:t>
      </w:r>
      <w:r w:rsidRPr="00E273B3">
        <w:rPr>
          <w:rFonts w:ascii="Times New Roman" w:hAnsi="Times New Roman" w:cs="Times New Roman"/>
          <w:sz w:val="24"/>
          <w:szCs w:val="24"/>
        </w:rPr>
        <w:t xml:space="preserve"> nosacīti ar pārbaudes laiku uz </w:t>
      </w:r>
      <w:r w:rsidR="0028367F" w:rsidRPr="00E273B3">
        <w:rPr>
          <w:rFonts w:ascii="Times New Roman" w:hAnsi="Times New Roman" w:cs="Times New Roman"/>
          <w:sz w:val="24"/>
          <w:szCs w:val="24"/>
        </w:rPr>
        <w:t>6</w:t>
      </w:r>
      <w:r w:rsidRPr="00E273B3">
        <w:rPr>
          <w:rFonts w:ascii="Times New Roman" w:hAnsi="Times New Roman" w:cs="Times New Roman"/>
          <w:sz w:val="24"/>
          <w:szCs w:val="24"/>
        </w:rPr>
        <w:t xml:space="preserve"> mēnešiem.</w:t>
      </w:r>
    </w:p>
    <w:p w14:paraId="00F16522" w14:textId="5C031FD0" w:rsidR="00612D3D" w:rsidRPr="00E273B3" w:rsidRDefault="00D5451C" w:rsidP="00583A95">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[1.3] </w:t>
      </w:r>
      <w:r w:rsidR="005544A0">
        <w:rPr>
          <w:rFonts w:ascii="Times New Roman" w:hAnsi="Times New Roman" w:cs="Times New Roman"/>
          <w:sz w:val="24"/>
          <w:szCs w:val="24"/>
        </w:rPr>
        <w:t>[Pers. C]</w:t>
      </w:r>
      <w:r w:rsidR="0028367F" w:rsidRPr="00E273B3">
        <w:rPr>
          <w:rFonts w:ascii="Times New Roman" w:hAnsi="Times New Roman" w:cs="Times New Roman"/>
          <w:sz w:val="24"/>
          <w:szCs w:val="24"/>
        </w:rPr>
        <w:t xml:space="preserve">, personas kods </w:t>
      </w:r>
      <w:r w:rsidR="005544A0">
        <w:rPr>
          <w:rFonts w:ascii="Times New Roman" w:hAnsi="Times New Roman" w:cs="Times New Roman"/>
          <w:sz w:val="24"/>
          <w:szCs w:val="24"/>
        </w:rPr>
        <w:t>[..]</w:t>
      </w:r>
      <w:r w:rsidR="0028367F" w:rsidRPr="00E273B3">
        <w:rPr>
          <w:rFonts w:ascii="Times New Roman" w:hAnsi="Times New Roman" w:cs="Times New Roman"/>
          <w:sz w:val="24"/>
          <w:szCs w:val="24"/>
        </w:rPr>
        <w:t>,</w:t>
      </w:r>
    </w:p>
    <w:p w14:paraId="076B28D8" w14:textId="2E6BA025" w:rsidR="0028367F" w:rsidRPr="00E273B3" w:rsidRDefault="0028367F" w:rsidP="0028367F">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 xml:space="preserve">atzīts par vainīgu Krimināllikuma </w:t>
      </w:r>
      <w:proofErr w:type="gramStart"/>
      <w:r w:rsidRPr="00E273B3">
        <w:rPr>
          <w:rFonts w:ascii="Times New Roman" w:hAnsi="Times New Roman" w:cs="Times New Roman"/>
          <w:sz w:val="24"/>
          <w:szCs w:val="24"/>
        </w:rPr>
        <w:t>20.panta</w:t>
      </w:r>
      <w:proofErr w:type="gramEnd"/>
      <w:r w:rsidRPr="00E273B3">
        <w:rPr>
          <w:rFonts w:ascii="Times New Roman" w:hAnsi="Times New Roman" w:cs="Times New Roman"/>
          <w:sz w:val="24"/>
          <w:szCs w:val="24"/>
        </w:rPr>
        <w:t xml:space="preserve"> ceturtajā daļā un 218.panta otrajā daļā paredzētajā n</w:t>
      </w:r>
      <w:r w:rsidR="00D5451C" w:rsidRPr="00E273B3">
        <w:rPr>
          <w:rFonts w:ascii="Times New Roman" w:hAnsi="Times New Roman" w:cs="Times New Roman"/>
          <w:sz w:val="24"/>
          <w:szCs w:val="24"/>
        </w:rPr>
        <w:t>oziedzīgajā nodarījumā un sodīts</w:t>
      </w:r>
      <w:r w:rsidRPr="00E273B3">
        <w:rPr>
          <w:rFonts w:ascii="Times New Roman" w:hAnsi="Times New Roman" w:cs="Times New Roman"/>
          <w:sz w:val="24"/>
          <w:szCs w:val="24"/>
        </w:rPr>
        <w:t>, piemērojot Krimināllikuma 49.</w:t>
      </w:r>
      <w:r w:rsidRPr="00E273B3">
        <w:rPr>
          <w:rFonts w:ascii="Times New Roman" w:hAnsi="Times New Roman" w:cs="Times New Roman"/>
          <w:sz w:val="24"/>
          <w:szCs w:val="24"/>
          <w:vertAlign w:val="superscript"/>
        </w:rPr>
        <w:t>1</w:t>
      </w:r>
      <w:r w:rsidR="00D5451C" w:rsidRPr="00E273B3">
        <w:rPr>
          <w:rFonts w:ascii="Times New Roman" w:hAnsi="Times New Roman" w:cs="Times New Roman"/>
          <w:sz w:val="24"/>
          <w:szCs w:val="24"/>
          <w:vertAlign w:val="superscript"/>
        </w:rPr>
        <w:t> </w:t>
      </w:r>
      <w:r w:rsidRPr="00E273B3">
        <w:rPr>
          <w:rFonts w:ascii="Times New Roman" w:hAnsi="Times New Roman" w:cs="Times New Roman"/>
          <w:sz w:val="24"/>
          <w:szCs w:val="24"/>
        </w:rPr>
        <w:t>panta pirmās daļas 1.punktu, ar brīvības atņemšanu uz 8 mēnešiem, atņemot tiesības veikt visu veidu komercdarbību uz 2 gadiem.</w:t>
      </w:r>
    </w:p>
    <w:p w14:paraId="350AA99B" w14:textId="155ABBDC" w:rsidR="0028367F" w:rsidRPr="00E273B3" w:rsidRDefault="0028367F" w:rsidP="0028367F">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lastRenderedPageBreak/>
        <w:t xml:space="preserve">Saskaņā ar Krimināllikuma </w:t>
      </w:r>
      <w:proofErr w:type="gramStart"/>
      <w:r w:rsidRPr="00E273B3">
        <w:rPr>
          <w:rFonts w:ascii="Times New Roman" w:hAnsi="Times New Roman" w:cs="Times New Roman"/>
          <w:sz w:val="24"/>
          <w:szCs w:val="24"/>
        </w:rPr>
        <w:t>55.pantu</w:t>
      </w:r>
      <w:proofErr w:type="gramEnd"/>
      <w:r w:rsidRPr="00E273B3">
        <w:rPr>
          <w:rFonts w:ascii="Times New Roman" w:hAnsi="Times New Roman" w:cs="Times New Roman"/>
          <w:sz w:val="24"/>
          <w:szCs w:val="24"/>
        </w:rPr>
        <w:t xml:space="preserve"> </w:t>
      </w:r>
      <w:r w:rsidR="00F05EE1">
        <w:rPr>
          <w:rFonts w:ascii="Times New Roman" w:hAnsi="Times New Roman" w:cs="Times New Roman"/>
          <w:sz w:val="24"/>
          <w:szCs w:val="24"/>
        </w:rPr>
        <w:t>[pers. C]</w:t>
      </w:r>
      <w:r w:rsidRPr="00E273B3">
        <w:rPr>
          <w:rFonts w:ascii="Times New Roman" w:hAnsi="Times New Roman" w:cs="Times New Roman"/>
          <w:sz w:val="24"/>
          <w:szCs w:val="24"/>
        </w:rPr>
        <w:t xml:space="preserve"> ar brīvības atņemšanas sodu notiesāts nosacīti ar pārbaudes laiku uz 8 mēnešiem.</w:t>
      </w:r>
    </w:p>
    <w:p w14:paraId="14596EC4" w14:textId="792553EB" w:rsidR="00891885" w:rsidRPr="00E273B3" w:rsidRDefault="005544A0" w:rsidP="00891885">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[Pers. C]</w:t>
      </w:r>
      <w:r w:rsidR="00891885" w:rsidRPr="00E273B3">
        <w:rPr>
          <w:rFonts w:ascii="Times New Roman" w:hAnsi="Times New Roman" w:cs="Times New Roman"/>
          <w:sz w:val="24"/>
          <w:szCs w:val="24"/>
        </w:rPr>
        <w:t xml:space="preserve"> piemērotie drošības līdzekļi – drošības nauda un aizliegums tuvoties noteiktai personai un vietai – atcelti.</w:t>
      </w:r>
    </w:p>
    <w:p w14:paraId="0AD60600" w14:textId="6D8D1115" w:rsidR="00891885" w:rsidRPr="00E273B3" w:rsidRDefault="00AE6E33" w:rsidP="00891885">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[1.4] </w:t>
      </w:r>
      <w:r w:rsidR="005544A0">
        <w:rPr>
          <w:rFonts w:ascii="Times New Roman" w:hAnsi="Times New Roman" w:cs="Times New Roman"/>
          <w:sz w:val="24"/>
          <w:szCs w:val="24"/>
        </w:rPr>
        <w:t>[Pers. D]</w:t>
      </w:r>
      <w:r w:rsidR="00891885" w:rsidRPr="00E273B3">
        <w:rPr>
          <w:rFonts w:ascii="Times New Roman" w:hAnsi="Times New Roman" w:cs="Times New Roman"/>
          <w:sz w:val="24"/>
          <w:szCs w:val="24"/>
        </w:rPr>
        <w:t xml:space="preserve">, personas kods </w:t>
      </w:r>
      <w:r w:rsidR="005544A0">
        <w:rPr>
          <w:rFonts w:ascii="Times New Roman" w:hAnsi="Times New Roman" w:cs="Times New Roman"/>
          <w:sz w:val="24"/>
          <w:szCs w:val="24"/>
        </w:rPr>
        <w:t>[..]</w:t>
      </w:r>
      <w:r w:rsidR="00891885" w:rsidRPr="00E273B3">
        <w:rPr>
          <w:rFonts w:ascii="Times New Roman" w:hAnsi="Times New Roman" w:cs="Times New Roman"/>
          <w:sz w:val="24"/>
          <w:szCs w:val="24"/>
        </w:rPr>
        <w:t>,</w:t>
      </w:r>
    </w:p>
    <w:p w14:paraId="40901119" w14:textId="13BDEDA5" w:rsidR="00891885" w:rsidRPr="00E273B3" w:rsidRDefault="00891885" w:rsidP="00891885">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 xml:space="preserve">pret viņu celtajā apsūdzībā pēc Krimināllikuma </w:t>
      </w:r>
      <w:proofErr w:type="gramStart"/>
      <w:r w:rsidRPr="00E273B3">
        <w:rPr>
          <w:rFonts w:ascii="Times New Roman" w:hAnsi="Times New Roman" w:cs="Times New Roman"/>
          <w:sz w:val="24"/>
          <w:szCs w:val="24"/>
        </w:rPr>
        <w:t>20.panta</w:t>
      </w:r>
      <w:proofErr w:type="gramEnd"/>
      <w:r w:rsidRPr="00E273B3">
        <w:rPr>
          <w:rFonts w:ascii="Times New Roman" w:hAnsi="Times New Roman" w:cs="Times New Roman"/>
          <w:sz w:val="24"/>
          <w:szCs w:val="24"/>
        </w:rPr>
        <w:t xml:space="preserve"> ceturtās daļas un 218.panta otrās daļas atz</w:t>
      </w:r>
      <w:r w:rsidR="00393847" w:rsidRPr="00E273B3">
        <w:rPr>
          <w:rFonts w:ascii="Times New Roman" w:hAnsi="Times New Roman" w:cs="Times New Roman"/>
          <w:sz w:val="24"/>
          <w:szCs w:val="24"/>
        </w:rPr>
        <w:t>īts par nevainīgu un attaisnots,</w:t>
      </w:r>
    </w:p>
    <w:p w14:paraId="02D1F9B7" w14:textId="77777777" w:rsidR="00393847" w:rsidRPr="00E273B3" w:rsidRDefault="00891885" w:rsidP="00393847">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 xml:space="preserve">pret viņu celtajā apsūdzībā pēc Krimināllikuma </w:t>
      </w:r>
      <w:proofErr w:type="gramStart"/>
      <w:r w:rsidRPr="00E273B3">
        <w:rPr>
          <w:rFonts w:ascii="Times New Roman" w:hAnsi="Times New Roman" w:cs="Times New Roman"/>
          <w:sz w:val="24"/>
          <w:szCs w:val="24"/>
        </w:rPr>
        <w:t>275.panta</w:t>
      </w:r>
      <w:proofErr w:type="gramEnd"/>
      <w:r w:rsidRPr="00E273B3">
        <w:rPr>
          <w:rFonts w:ascii="Times New Roman" w:hAnsi="Times New Roman" w:cs="Times New Roman"/>
          <w:sz w:val="24"/>
          <w:szCs w:val="24"/>
        </w:rPr>
        <w:t xml:space="preserve"> otrās daļas atzīts par nevainīgu un attaisnots.</w:t>
      </w:r>
      <w:r w:rsidR="00393847" w:rsidRPr="00E273B3">
        <w:rPr>
          <w:rFonts w:ascii="Times New Roman" w:hAnsi="Times New Roman" w:cs="Times New Roman"/>
          <w:sz w:val="24"/>
          <w:szCs w:val="24"/>
        </w:rPr>
        <w:t xml:space="preserve"> </w:t>
      </w:r>
    </w:p>
    <w:p w14:paraId="6D026FDA" w14:textId="77777777" w:rsidR="00393847" w:rsidRPr="00E273B3" w:rsidRDefault="00393847" w:rsidP="00393847">
      <w:pPr>
        <w:spacing w:after="0"/>
        <w:ind w:right="-1" w:firstLine="709"/>
        <w:jc w:val="both"/>
        <w:rPr>
          <w:rFonts w:ascii="Times New Roman" w:hAnsi="Times New Roman" w:cs="Times New Roman"/>
          <w:sz w:val="24"/>
          <w:szCs w:val="24"/>
        </w:rPr>
      </w:pPr>
    </w:p>
    <w:p w14:paraId="2CD9151D" w14:textId="77777777" w:rsidR="00393847" w:rsidRPr="00E273B3" w:rsidRDefault="00393847" w:rsidP="00393847">
      <w:pPr>
        <w:spacing w:after="0"/>
        <w:ind w:right="-1" w:firstLine="709"/>
        <w:jc w:val="both"/>
        <w:rPr>
          <w:rStyle w:val="Emphasis"/>
          <w:rFonts w:ascii="Times New Roman" w:hAnsi="Times New Roman" w:cs="Times New Roman"/>
          <w:i w:val="0"/>
          <w:iCs w:val="0"/>
          <w:sz w:val="24"/>
          <w:szCs w:val="24"/>
        </w:rPr>
      </w:pPr>
      <w:r w:rsidRPr="00E273B3">
        <w:rPr>
          <w:rStyle w:val="Emphasis"/>
          <w:rFonts w:ascii="Times New Roman" w:hAnsi="Times New Roman" w:cs="Times New Roman"/>
          <w:i w:val="0"/>
          <w:iCs w:val="0"/>
          <w:sz w:val="24"/>
          <w:szCs w:val="24"/>
        </w:rPr>
        <w:t>[2] </w:t>
      </w:r>
      <w:r w:rsidR="00882B37" w:rsidRPr="00E273B3">
        <w:rPr>
          <w:rStyle w:val="Emphasis"/>
          <w:rFonts w:ascii="Times New Roman" w:hAnsi="Times New Roman" w:cs="Times New Roman"/>
          <w:i w:val="0"/>
          <w:iCs w:val="0"/>
          <w:sz w:val="24"/>
          <w:szCs w:val="24"/>
        </w:rPr>
        <w:t xml:space="preserve">Ar </w:t>
      </w:r>
      <w:r w:rsidR="00BE41A7" w:rsidRPr="00E273B3">
        <w:rPr>
          <w:rStyle w:val="Emphasis"/>
          <w:rFonts w:ascii="Times New Roman" w:hAnsi="Times New Roman" w:cs="Times New Roman"/>
          <w:i w:val="0"/>
          <w:iCs w:val="0"/>
          <w:sz w:val="24"/>
          <w:szCs w:val="24"/>
        </w:rPr>
        <w:t xml:space="preserve">Vidzemes rajona tiesas </w:t>
      </w:r>
      <w:proofErr w:type="gramStart"/>
      <w:r w:rsidR="00BE41A7" w:rsidRPr="00E273B3">
        <w:rPr>
          <w:rStyle w:val="Emphasis"/>
          <w:rFonts w:ascii="Times New Roman" w:hAnsi="Times New Roman" w:cs="Times New Roman"/>
          <w:i w:val="0"/>
          <w:iCs w:val="0"/>
          <w:sz w:val="24"/>
          <w:szCs w:val="24"/>
        </w:rPr>
        <w:t>2019.gada</w:t>
      </w:r>
      <w:proofErr w:type="gramEnd"/>
      <w:r w:rsidR="00BE41A7" w:rsidRPr="00E273B3">
        <w:rPr>
          <w:rStyle w:val="Emphasis"/>
          <w:rFonts w:ascii="Times New Roman" w:hAnsi="Times New Roman" w:cs="Times New Roman"/>
          <w:i w:val="0"/>
          <w:iCs w:val="0"/>
          <w:sz w:val="24"/>
          <w:szCs w:val="24"/>
        </w:rPr>
        <w:t xml:space="preserve"> 1.februāra spriedumu</w:t>
      </w:r>
      <w:r w:rsidRPr="00E273B3">
        <w:rPr>
          <w:rStyle w:val="Emphasis"/>
          <w:rFonts w:ascii="Times New Roman" w:hAnsi="Times New Roman" w:cs="Times New Roman"/>
          <w:i w:val="0"/>
          <w:iCs w:val="0"/>
          <w:sz w:val="24"/>
          <w:szCs w:val="24"/>
        </w:rPr>
        <w:t xml:space="preserve"> </w:t>
      </w:r>
    </w:p>
    <w:p w14:paraId="6173B94A" w14:textId="7895B7C1" w:rsidR="00393847" w:rsidRPr="00E273B3" w:rsidRDefault="005544A0" w:rsidP="00393847">
      <w:pPr>
        <w:spacing w:after="0"/>
        <w:ind w:right="-1" w:firstLine="709"/>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[Pers. A]</w:t>
      </w:r>
      <w:r w:rsidR="00BE41A7" w:rsidRPr="00E273B3">
        <w:rPr>
          <w:rStyle w:val="Emphasis"/>
          <w:rFonts w:ascii="Times New Roman" w:hAnsi="Times New Roman" w:cs="Times New Roman"/>
          <w:i w:val="0"/>
          <w:iCs w:val="0"/>
          <w:sz w:val="24"/>
          <w:szCs w:val="24"/>
        </w:rPr>
        <w:t xml:space="preserve"> atzīts par vainīgu un sodīts pēc Krimināllikuma </w:t>
      </w:r>
      <w:proofErr w:type="gramStart"/>
      <w:r w:rsidR="00BE41A7" w:rsidRPr="00E273B3">
        <w:rPr>
          <w:rStyle w:val="Emphasis"/>
          <w:rFonts w:ascii="Times New Roman" w:hAnsi="Times New Roman" w:cs="Times New Roman"/>
          <w:i w:val="0"/>
          <w:iCs w:val="0"/>
          <w:sz w:val="24"/>
          <w:szCs w:val="24"/>
        </w:rPr>
        <w:t>218.panta</w:t>
      </w:r>
      <w:proofErr w:type="gramEnd"/>
      <w:r w:rsidR="00BE41A7" w:rsidRPr="00E273B3">
        <w:rPr>
          <w:rStyle w:val="Emphasis"/>
          <w:rFonts w:ascii="Times New Roman" w:hAnsi="Times New Roman" w:cs="Times New Roman"/>
          <w:i w:val="0"/>
          <w:iCs w:val="0"/>
          <w:sz w:val="24"/>
          <w:szCs w:val="24"/>
        </w:rPr>
        <w:t xml:space="preserve"> otrās daļas par izvairīšanos no nodokļu nomaksas, nodarot </w:t>
      </w:r>
      <w:r w:rsidR="00393847" w:rsidRPr="00E273B3">
        <w:rPr>
          <w:rStyle w:val="Emphasis"/>
          <w:rFonts w:ascii="Times New Roman" w:hAnsi="Times New Roman" w:cs="Times New Roman"/>
          <w:i w:val="0"/>
          <w:iCs w:val="0"/>
          <w:sz w:val="24"/>
          <w:szCs w:val="24"/>
        </w:rPr>
        <w:t xml:space="preserve">valstij zaudējumus lielā apmērā. </w:t>
      </w:r>
    </w:p>
    <w:p w14:paraId="089F1944" w14:textId="1CD872E0" w:rsidR="00393847" w:rsidRPr="00E273B3" w:rsidRDefault="005544A0" w:rsidP="00393847">
      <w:pPr>
        <w:spacing w:after="0"/>
        <w:ind w:right="-1" w:firstLine="709"/>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[Pers. B]</w:t>
      </w:r>
      <w:r w:rsidR="00BE41A7" w:rsidRPr="00E273B3">
        <w:rPr>
          <w:rStyle w:val="Emphasis"/>
          <w:rFonts w:ascii="Times New Roman" w:hAnsi="Times New Roman" w:cs="Times New Roman"/>
          <w:i w:val="0"/>
          <w:iCs w:val="0"/>
          <w:sz w:val="24"/>
          <w:szCs w:val="24"/>
        </w:rPr>
        <w:t xml:space="preserve"> un </w:t>
      </w:r>
      <w:r>
        <w:rPr>
          <w:rStyle w:val="Emphasis"/>
          <w:rFonts w:ascii="Times New Roman" w:hAnsi="Times New Roman" w:cs="Times New Roman"/>
          <w:i w:val="0"/>
          <w:iCs w:val="0"/>
          <w:sz w:val="24"/>
          <w:szCs w:val="24"/>
        </w:rPr>
        <w:t>[pers. C]</w:t>
      </w:r>
      <w:r w:rsidR="00BE41A7" w:rsidRPr="00E273B3">
        <w:rPr>
          <w:rStyle w:val="Emphasis"/>
          <w:rFonts w:ascii="Times New Roman" w:hAnsi="Times New Roman" w:cs="Times New Roman"/>
          <w:i w:val="0"/>
          <w:iCs w:val="0"/>
          <w:sz w:val="24"/>
          <w:szCs w:val="24"/>
        </w:rPr>
        <w:t xml:space="preserve"> atzīti par vainīgiem un sodīti pēc Krimināllikuma </w:t>
      </w:r>
      <w:proofErr w:type="gramStart"/>
      <w:r w:rsidR="00BE41A7" w:rsidRPr="00E273B3">
        <w:rPr>
          <w:rStyle w:val="Emphasis"/>
          <w:rFonts w:ascii="Times New Roman" w:hAnsi="Times New Roman" w:cs="Times New Roman"/>
          <w:i w:val="0"/>
          <w:iCs w:val="0"/>
          <w:sz w:val="24"/>
          <w:szCs w:val="24"/>
        </w:rPr>
        <w:t>20.panta</w:t>
      </w:r>
      <w:proofErr w:type="gramEnd"/>
      <w:r w:rsidR="00BE41A7" w:rsidRPr="00E273B3">
        <w:rPr>
          <w:rStyle w:val="Emphasis"/>
          <w:rFonts w:ascii="Times New Roman" w:hAnsi="Times New Roman" w:cs="Times New Roman"/>
          <w:i w:val="0"/>
          <w:iCs w:val="0"/>
          <w:sz w:val="24"/>
          <w:szCs w:val="24"/>
        </w:rPr>
        <w:t xml:space="preserve"> ceturtās daļas un 218.panta otrās daļas par to, ka viņi atbalstīja izvairīšanos no nodokļu nomaksas, </w:t>
      </w:r>
      <w:r w:rsidR="00697B7F" w:rsidRPr="00E273B3">
        <w:rPr>
          <w:rStyle w:val="Emphasis"/>
          <w:rFonts w:ascii="Times New Roman" w:hAnsi="Times New Roman" w:cs="Times New Roman"/>
          <w:i w:val="0"/>
          <w:iCs w:val="0"/>
          <w:sz w:val="24"/>
          <w:szCs w:val="24"/>
        </w:rPr>
        <w:t>nodarot valstij zaudējumus lielā apmērā</w:t>
      </w:r>
      <w:r w:rsidR="00B14C58" w:rsidRPr="00E273B3">
        <w:rPr>
          <w:rStyle w:val="Emphasis"/>
          <w:rFonts w:ascii="Times New Roman" w:hAnsi="Times New Roman" w:cs="Times New Roman"/>
          <w:i w:val="0"/>
          <w:iCs w:val="0"/>
          <w:sz w:val="24"/>
          <w:szCs w:val="24"/>
        </w:rPr>
        <w:t>.</w:t>
      </w:r>
      <w:r w:rsidR="00393847" w:rsidRPr="00E273B3">
        <w:rPr>
          <w:rStyle w:val="Emphasis"/>
          <w:rFonts w:ascii="Times New Roman" w:hAnsi="Times New Roman" w:cs="Times New Roman"/>
          <w:i w:val="0"/>
          <w:iCs w:val="0"/>
          <w:sz w:val="24"/>
          <w:szCs w:val="24"/>
        </w:rPr>
        <w:t xml:space="preserve"> </w:t>
      </w:r>
    </w:p>
    <w:p w14:paraId="1E4C585A" w14:textId="50A0B5F5" w:rsidR="00393847" w:rsidRPr="00E273B3" w:rsidRDefault="005544A0" w:rsidP="00393847">
      <w:pPr>
        <w:spacing w:after="0"/>
        <w:ind w:right="-1" w:firstLine="709"/>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[Pers. D]</w:t>
      </w:r>
      <w:r w:rsidR="003F691B" w:rsidRPr="00E273B3">
        <w:rPr>
          <w:rStyle w:val="Emphasis"/>
          <w:rFonts w:ascii="Times New Roman" w:hAnsi="Times New Roman" w:cs="Times New Roman"/>
          <w:i w:val="0"/>
          <w:iCs w:val="0"/>
          <w:sz w:val="24"/>
          <w:szCs w:val="24"/>
        </w:rPr>
        <w:t xml:space="preserve"> atzīts par nevainīgu pret viņu celtajā apsūdzībā pēc Krimināllikuma </w:t>
      </w:r>
      <w:proofErr w:type="gramStart"/>
      <w:r w:rsidR="003F691B" w:rsidRPr="00E273B3">
        <w:rPr>
          <w:rStyle w:val="Emphasis"/>
          <w:rFonts w:ascii="Times New Roman" w:hAnsi="Times New Roman" w:cs="Times New Roman"/>
          <w:i w:val="0"/>
          <w:iCs w:val="0"/>
          <w:sz w:val="24"/>
          <w:szCs w:val="24"/>
        </w:rPr>
        <w:t>20.panta</w:t>
      </w:r>
      <w:proofErr w:type="gramEnd"/>
      <w:r w:rsidR="003F691B" w:rsidRPr="00E273B3">
        <w:rPr>
          <w:rStyle w:val="Emphasis"/>
          <w:rFonts w:ascii="Times New Roman" w:hAnsi="Times New Roman" w:cs="Times New Roman"/>
          <w:i w:val="0"/>
          <w:iCs w:val="0"/>
          <w:sz w:val="24"/>
          <w:szCs w:val="24"/>
        </w:rPr>
        <w:t xml:space="preserve"> ceturtās daļas un 218.panta otrās daļas</w:t>
      </w:r>
      <w:r w:rsidR="00183684" w:rsidRPr="00E273B3">
        <w:rPr>
          <w:rStyle w:val="Emphasis"/>
          <w:rFonts w:ascii="Times New Roman" w:hAnsi="Times New Roman" w:cs="Times New Roman"/>
          <w:i w:val="0"/>
          <w:iCs w:val="0"/>
          <w:sz w:val="24"/>
          <w:szCs w:val="24"/>
        </w:rPr>
        <w:t xml:space="preserve"> par personu grupā pēc </w:t>
      </w:r>
      <w:r w:rsidR="00393847" w:rsidRPr="00E273B3">
        <w:rPr>
          <w:rStyle w:val="Emphasis"/>
          <w:rFonts w:ascii="Times New Roman" w:hAnsi="Times New Roman" w:cs="Times New Roman"/>
          <w:i w:val="0"/>
          <w:iCs w:val="0"/>
          <w:sz w:val="24"/>
          <w:szCs w:val="24"/>
        </w:rPr>
        <w:t>iepriekšējas vienošanās veiktas</w:t>
      </w:r>
      <w:r w:rsidR="00183684" w:rsidRPr="00E273B3">
        <w:rPr>
          <w:rStyle w:val="Emphasis"/>
          <w:rFonts w:ascii="Times New Roman" w:hAnsi="Times New Roman" w:cs="Times New Roman"/>
          <w:i w:val="0"/>
          <w:iCs w:val="0"/>
          <w:sz w:val="24"/>
          <w:szCs w:val="24"/>
        </w:rPr>
        <w:t xml:space="preserve"> izvairīšanās no nodokļu nomaksas, nodarot valstij zaudējumus lielā apmērā, atbalstī</w:t>
      </w:r>
      <w:r w:rsidR="00393847" w:rsidRPr="00E273B3">
        <w:rPr>
          <w:rStyle w:val="Emphasis"/>
          <w:rFonts w:ascii="Times New Roman" w:hAnsi="Times New Roman" w:cs="Times New Roman"/>
          <w:i w:val="0"/>
          <w:iCs w:val="0"/>
          <w:sz w:val="24"/>
          <w:szCs w:val="24"/>
        </w:rPr>
        <w:t xml:space="preserve">šanu. </w:t>
      </w:r>
    </w:p>
    <w:p w14:paraId="1D576B99" w14:textId="1AA636E2" w:rsidR="00393847" w:rsidRPr="00E273B3" w:rsidRDefault="005544A0" w:rsidP="00393847">
      <w:pPr>
        <w:spacing w:after="0"/>
        <w:ind w:right="-1" w:firstLine="709"/>
        <w:jc w:val="both"/>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[Pers. D]</w:t>
      </w:r>
      <w:r w:rsidR="003F691B" w:rsidRPr="00E273B3">
        <w:rPr>
          <w:rStyle w:val="Emphasis"/>
          <w:rFonts w:ascii="Times New Roman" w:hAnsi="Times New Roman" w:cs="Times New Roman"/>
          <w:i w:val="0"/>
          <w:iCs w:val="0"/>
          <w:sz w:val="24"/>
          <w:szCs w:val="24"/>
        </w:rPr>
        <w:t xml:space="preserve"> atzīts par nevainīgu pret viņu celtajā apsūdzībā pēc Krimināllikuma </w:t>
      </w:r>
      <w:proofErr w:type="gramStart"/>
      <w:r w:rsidR="003F691B" w:rsidRPr="00E273B3">
        <w:rPr>
          <w:rStyle w:val="Emphasis"/>
          <w:rFonts w:ascii="Times New Roman" w:hAnsi="Times New Roman" w:cs="Times New Roman"/>
          <w:i w:val="0"/>
          <w:iCs w:val="0"/>
          <w:sz w:val="24"/>
          <w:szCs w:val="24"/>
        </w:rPr>
        <w:t>275.panta</w:t>
      </w:r>
      <w:proofErr w:type="gramEnd"/>
      <w:r w:rsidR="003F691B" w:rsidRPr="00E273B3">
        <w:rPr>
          <w:rStyle w:val="Emphasis"/>
          <w:rFonts w:ascii="Times New Roman" w:hAnsi="Times New Roman" w:cs="Times New Roman"/>
          <w:i w:val="0"/>
          <w:iCs w:val="0"/>
          <w:sz w:val="24"/>
          <w:szCs w:val="24"/>
        </w:rPr>
        <w:t xml:space="preserve"> otrās daļas par viltota dokumenta, kas piešķir tiesības un atbrīvo no pienākumiem, izmantošanu </w:t>
      </w:r>
      <w:r w:rsidR="00183684" w:rsidRPr="00E273B3">
        <w:rPr>
          <w:rStyle w:val="Emphasis"/>
          <w:rFonts w:ascii="Times New Roman" w:hAnsi="Times New Roman" w:cs="Times New Roman"/>
          <w:i w:val="0"/>
          <w:iCs w:val="0"/>
          <w:sz w:val="24"/>
          <w:szCs w:val="24"/>
        </w:rPr>
        <w:t>mantkārīgā nolūkā.</w:t>
      </w:r>
      <w:r w:rsidR="00393847" w:rsidRPr="00E273B3">
        <w:rPr>
          <w:rStyle w:val="Emphasis"/>
          <w:rFonts w:ascii="Times New Roman" w:hAnsi="Times New Roman" w:cs="Times New Roman"/>
          <w:i w:val="0"/>
          <w:iCs w:val="0"/>
          <w:sz w:val="24"/>
          <w:szCs w:val="24"/>
        </w:rPr>
        <w:t xml:space="preserve"> </w:t>
      </w:r>
    </w:p>
    <w:p w14:paraId="2AEB9127" w14:textId="77777777" w:rsidR="00393847" w:rsidRPr="00E273B3" w:rsidRDefault="00393847" w:rsidP="00393847">
      <w:pPr>
        <w:spacing w:after="0"/>
        <w:ind w:right="-1" w:firstLine="709"/>
        <w:jc w:val="both"/>
        <w:rPr>
          <w:rStyle w:val="Emphasis"/>
          <w:rFonts w:ascii="Times New Roman" w:hAnsi="Times New Roman" w:cs="Times New Roman"/>
          <w:i w:val="0"/>
          <w:iCs w:val="0"/>
          <w:sz w:val="24"/>
          <w:szCs w:val="24"/>
        </w:rPr>
      </w:pPr>
    </w:p>
    <w:p w14:paraId="00CFD504" w14:textId="25D50E37" w:rsidR="00C07A4C" w:rsidRPr="00E273B3" w:rsidRDefault="00D404DF" w:rsidP="00C07A4C">
      <w:pPr>
        <w:spacing w:after="0"/>
        <w:ind w:right="-1" w:firstLine="709"/>
        <w:jc w:val="both"/>
        <w:rPr>
          <w:rFonts w:ascii="Times New Roman" w:hAnsi="Times New Roman" w:cs="Times New Roman"/>
          <w:sz w:val="24"/>
          <w:szCs w:val="24"/>
        </w:rPr>
      </w:pPr>
      <w:r w:rsidRPr="00E273B3">
        <w:rPr>
          <w:rStyle w:val="Emphasis"/>
          <w:rFonts w:ascii="Times New Roman" w:hAnsi="Times New Roman" w:cs="Times New Roman"/>
          <w:i w:val="0"/>
          <w:iCs w:val="0"/>
          <w:sz w:val="24"/>
          <w:szCs w:val="24"/>
        </w:rPr>
        <w:t>[3] </w:t>
      </w:r>
      <w:r w:rsidR="009F11DA" w:rsidRPr="00E273B3">
        <w:rPr>
          <w:rStyle w:val="Emphasis"/>
          <w:rFonts w:ascii="Times New Roman" w:hAnsi="Times New Roman" w:cs="Times New Roman"/>
          <w:i w:val="0"/>
          <w:iCs w:val="0"/>
          <w:sz w:val="24"/>
          <w:szCs w:val="24"/>
        </w:rPr>
        <w:t xml:space="preserve">Pirmās instances tiesa konstatējusi, </w:t>
      </w:r>
      <w:r w:rsidR="009F11DA" w:rsidRPr="00E273B3">
        <w:rPr>
          <w:rFonts w:ascii="Times New Roman" w:hAnsi="Times New Roman" w:cs="Times New Roman"/>
          <w:sz w:val="24"/>
          <w:szCs w:val="24"/>
        </w:rPr>
        <w:t xml:space="preserve">ka </w:t>
      </w:r>
      <w:r w:rsidR="005544A0">
        <w:rPr>
          <w:rFonts w:ascii="Times New Roman" w:hAnsi="Times New Roman" w:cs="Times New Roman"/>
          <w:sz w:val="24"/>
          <w:szCs w:val="24"/>
        </w:rPr>
        <w:t>[pers. A]</w:t>
      </w:r>
      <w:r w:rsidR="009F11DA" w:rsidRPr="00E273B3">
        <w:rPr>
          <w:rFonts w:ascii="Times New Roman" w:hAnsi="Times New Roman" w:cs="Times New Roman"/>
          <w:sz w:val="24"/>
          <w:szCs w:val="24"/>
        </w:rPr>
        <w:t xml:space="preserve"> laika posmā no 201</w:t>
      </w:r>
      <w:r w:rsidR="00C07A4C" w:rsidRPr="00E273B3">
        <w:rPr>
          <w:rFonts w:ascii="Times New Roman" w:hAnsi="Times New Roman" w:cs="Times New Roman"/>
          <w:sz w:val="24"/>
          <w:szCs w:val="24"/>
        </w:rPr>
        <w:t xml:space="preserve">2. līdz </w:t>
      </w:r>
      <w:proofErr w:type="gramStart"/>
      <w:r w:rsidR="00C07A4C" w:rsidRPr="00E273B3">
        <w:rPr>
          <w:rFonts w:ascii="Times New Roman" w:hAnsi="Times New Roman" w:cs="Times New Roman"/>
          <w:sz w:val="24"/>
          <w:szCs w:val="24"/>
        </w:rPr>
        <w:t>2013.gadam</w:t>
      </w:r>
      <w:proofErr w:type="gramEnd"/>
      <w:r w:rsidR="00C07A4C" w:rsidRPr="00E273B3">
        <w:rPr>
          <w:rFonts w:ascii="Times New Roman" w:hAnsi="Times New Roman" w:cs="Times New Roman"/>
          <w:sz w:val="24"/>
          <w:szCs w:val="24"/>
        </w:rPr>
        <w:t>, būdams SIA ,,</w:t>
      </w:r>
      <w:r w:rsidR="007D56EE">
        <w:rPr>
          <w:rFonts w:ascii="Times New Roman" w:hAnsi="Times New Roman" w:cs="Times New Roman"/>
          <w:sz w:val="24"/>
          <w:szCs w:val="24"/>
        </w:rPr>
        <w:t>[Nosaukums A]</w:t>
      </w:r>
      <w:r w:rsidR="009F11DA" w:rsidRPr="00E273B3">
        <w:rPr>
          <w:rFonts w:ascii="Times New Roman" w:hAnsi="Times New Roman" w:cs="Times New Roman"/>
          <w:sz w:val="24"/>
          <w:szCs w:val="24"/>
        </w:rPr>
        <w:t>” valdes priekšsēdētājs ar tiesībām pārstāvēt kapitālsabiedrību un rīkoties tās vārdā</w:t>
      </w:r>
      <w:r w:rsidR="00C07A4C" w:rsidRPr="00E273B3">
        <w:rPr>
          <w:rFonts w:ascii="Times New Roman" w:hAnsi="Times New Roman" w:cs="Times New Roman"/>
          <w:sz w:val="24"/>
          <w:szCs w:val="24"/>
        </w:rPr>
        <w:t>, kā arī vienlaikus būdams SIA ,,</w:t>
      </w:r>
      <w:r w:rsidR="007D56EE">
        <w:rPr>
          <w:rFonts w:ascii="Times New Roman" w:hAnsi="Times New Roman" w:cs="Times New Roman"/>
          <w:sz w:val="24"/>
          <w:szCs w:val="24"/>
        </w:rPr>
        <w:t>[Nosaukums B]</w:t>
      </w:r>
      <w:r w:rsidR="009F11DA" w:rsidRPr="00E273B3">
        <w:rPr>
          <w:rFonts w:ascii="Times New Roman" w:hAnsi="Times New Roman" w:cs="Times New Roman"/>
          <w:sz w:val="24"/>
          <w:szCs w:val="24"/>
        </w:rPr>
        <w:t xml:space="preserve">” valdes loceklis ar tiesībām pārstāvēt kapitālsabiedrību un rīkoties tās vārdā, būdams atbildīgs par grāmatvedības kārtošanu un likumos noteikto nodokļu nomaksu valsts budžetā, ar vienotu noziedzīgu nodomu minētajā laika posmā, izmantojot </w:t>
      </w:r>
      <w:r w:rsidR="007D56EE">
        <w:rPr>
          <w:rFonts w:ascii="Times New Roman" w:hAnsi="Times New Roman" w:cs="Times New Roman"/>
          <w:sz w:val="24"/>
          <w:szCs w:val="24"/>
        </w:rPr>
        <w:t>[pers. B]</w:t>
      </w:r>
      <w:r w:rsidR="009F11DA" w:rsidRPr="00E273B3">
        <w:rPr>
          <w:rFonts w:ascii="Times New Roman" w:hAnsi="Times New Roman" w:cs="Times New Roman"/>
          <w:sz w:val="24"/>
          <w:szCs w:val="24"/>
        </w:rPr>
        <w:t xml:space="preserve"> un </w:t>
      </w:r>
      <w:r w:rsidR="007D56EE">
        <w:rPr>
          <w:rFonts w:ascii="Times New Roman" w:hAnsi="Times New Roman" w:cs="Times New Roman"/>
          <w:sz w:val="24"/>
          <w:szCs w:val="24"/>
        </w:rPr>
        <w:t>[pers. C]</w:t>
      </w:r>
      <w:r w:rsidR="009F11DA" w:rsidRPr="00E273B3">
        <w:rPr>
          <w:rFonts w:ascii="Times New Roman" w:hAnsi="Times New Roman" w:cs="Times New Roman"/>
          <w:sz w:val="24"/>
          <w:szCs w:val="24"/>
        </w:rPr>
        <w:t xml:space="preserve"> atbalstu rēķinu viltošanā par faktiski </w:t>
      </w:r>
      <w:r w:rsidR="00C07A4C" w:rsidRPr="00E273B3">
        <w:rPr>
          <w:rFonts w:ascii="Times New Roman" w:hAnsi="Times New Roman" w:cs="Times New Roman"/>
          <w:sz w:val="24"/>
          <w:szCs w:val="24"/>
        </w:rPr>
        <w:t>nenotikušiem darījumiem ar SIA ,,</w:t>
      </w:r>
      <w:r w:rsidR="007D56EE">
        <w:rPr>
          <w:rFonts w:ascii="Times New Roman" w:hAnsi="Times New Roman" w:cs="Times New Roman"/>
          <w:sz w:val="24"/>
          <w:szCs w:val="24"/>
        </w:rPr>
        <w:t>[Nosaukums A]</w:t>
      </w:r>
      <w:r w:rsidR="00C07A4C" w:rsidRPr="00E273B3">
        <w:rPr>
          <w:rFonts w:ascii="Times New Roman" w:hAnsi="Times New Roman" w:cs="Times New Roman"/>
          <w:sz w:val="24"/>
          <w:szCs w:val="24"/>
        </w:rPr>
        <w:t>” un SIA ,,</w:t>
      </w:r>
      <w:r w:rsidR="007D56EE">
        <w:rPr>
          <w:rFonts w:ascii="Times New Roman" w:hAnsi="Times New Roman" w:cs="Times New Roman"/>
          <w:sz w:val="24"/>
          <w:szCs w:val="24"/>
        </w:rPr>
        <w:t>[Nosaukums B]</w:t>
      </w:r>
      <w:r w:rsidR="00C07A4C" w:rsidRPr="00E273B3">
        <w:rPr>
          <w:rFonts w:ascii="Times New Roman" w:hAnsi="Times New Roman" w:cs="Times New Roman"/>
          <w:sz w:val="24"/>
          <w:szCs w:val="24"/>
        </w:rPr>
        <w:t>”, iekļaujot šos rēķinu</w:t>
      </w:r>
      <w:r w:rsidR="009F11DA" w:rsidRPr="00E273B3">
        <w:rPr>
          <w:rFonts w:ascii="Times New Roman" w:hAnsi="Times New Roman" w:cs="Times New Roman"/>
          <w:sz w:val="24"/>
          <w:szCs w:val="24"/>
        </w:rPr>
        <w:t xml:space="preserve">s grāmatvedības reģistros un VID </w:t>
      </w:r>
      <w:r w:rsidR="00032094" w:rsidRPr="00E273B3">
        <w:rPr>
          <w:rFonts w:ascii="Times New Roman" w:hAnsi="Times New Roman" w:cs="Times New Roman"/>
          <w:sz w:val="24"/>
          <w:szCs w:val="24"/>
        </w:rPr>
        <w:t>ie</w:t>
      </w:r>
      <w:r w:rsidR="009F11DA" w:rsidRPr="00E273B3">
        <w:rPr>
          <w:rFonts w:ascii="Times New Roman" w:hAnsi="Times New Roman" w:cs="Times New Roman"/>
          <w:sz w:val="24"/>
          <w:szCs w:val="24"/>
        </w:rPr>
        <w:t>sniedzamajās PVN deklarācijās un tādējādi nepamatoti samazinot valsts budžetā maksājamās PVN summas, izvairī</w:t>
      </w:r>
      <w:r w:rsidR="00C07A4C" w:rsidRPr="00E273B3">
        <w:rPr>
          <w:rFonts w:ascii="Times New Roman" w:hAnsi="Times New Roman" w:cs="Times New Roman"/>
          <w:sz w:val="24"/>
          <w:szCs w:val="24"/>
        </w:rPr>
        <w:t>jās no nodokļu nomaksas 20 968,28 </w:t>
      </w:r>
      <w:proofErr w:type="spellStart"/>
      <w:r w:rsidR="009F11DA" w:rsidRPr="00E273B3">
        <w:rPr>
          <w:rFonts w:ascii="Times New Roman" w:hAnsi="Times New Roman" w:cs="Times New Roman"/>
          <w:i/>
          <w:iCs/>
          <w:sz w:val="24"/>
          <w:szCs w:val="24"/>
        </w:rPr>
        <w:t>euro</w:t>
      </w:r>
      <w:proofErr w:type="spellEnd"/>
      <w:r w:rsidR="009F11DA" w:rsidRPr="00E273B3">
        <w:rPr>
          <w:rFonts w:ascii="Times New Roman" w:hAnsi="Times New Roman" w:cs="Times New Roman"/>
          <w:sz w:val="24"/>
          <w:szCs w:val="24"/>
        </w:rPr>
        <w:t xml:space="preserve"> apmērā, proti, lielā apmērā.</w:t>
      </w:r>
      <w:r w:rsidR="00C07A4C" w:rsidRPr="00E273B3">
        <w:rPr>
          <w:rFonts w:ascii="Times New Roman" w:hAnsi="Times New Roman" w:cs="Times New Roman"/>
          <w:sz w:val="24"/>
          <w:szCs w:val="24"/>
        </w:rPr>
        <w:t xml:space="preserve"> </w:t>
      </w:r>
    </w:p>
    <w:p w14:paraId="6640BAB1" w14:textId="77777777" w:rsidR="00C07A4C" w:rsidRPr="00E273B3" w:rsidRDefault="00C07A4C" w:rsidP="00C07A4C">
      <w:pPr>
        <w:spacing w:after="0"/>
        <w:ind w:right="-1" w:firstLine="709"/>
        <w:jc w:val="both"/>
        <w:rPr>
          <w:rFonts w:ascii="Times New Roman" w:hAnsi="Times New Roman" w:cs="Times New Roman"/>
          <w:sz w:val="24"/>
          <w:szCs w:val="24"/>
        </w:rPr>
      </w:pPr>
    </w:p>
    <w:p w14:paraId="2031F5EB" w14:textId="26AD1DFA" w:rsidR="00966AAD" w:rsidRPr="00E273B3" w:rsidRDefault="004C52E7" w:rsidP="00966AAD">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w:t>
      </w:r>
      <w:r w:rsidR="003843EE" w:rsidRPr="00E273B3">
        <w:rPr>
          <w:rFonts w:ascii="Times New Roman" w:hAnsi="Times New Roman" w:cs="Times New Roman"/>
          <w:sz w:val="24"/>
          <w:szCs w:val="24"/>
        </w:rPr>
        <w:t>4</w:t>
      </w:r>
      <w:r w:rsidR="00C07A4C" w:rsidRPr="00E273B3">
        <w:rPr>
          <w:rFonts w:ascii="Times New Roman" w:hAnsi="Times New Roman" w:cs="Times New Roman"/>
          <w:sz w:val="24"/>
          <w:szCs w:val="24"/>
        </w:rPr>
        <w:t>] </w:t>
      </w:r>
      <w:r w:rsidR="00882B37" w:rsidRPr="00E273B3">
        <w:rPr>
          <w:rFonts w:ascii="Times New Roman" w:hAnsi="Times New Roman" w:cs="Times New Roman"/>
          <w:sz w:val="24"/>
          <w:szCs w:val="24"/>
        </w:rPr>
        <w:t xml:space="preserve">Ar </w:t>
      </w:r>
      <w:r w:rsidR="00183684" w:rsidRPr="00E273B3">
        <w:rPr>
          <w:rFonts w:ascii="Times New Roman" w:hAnsi="Times New Roman" w:cs="Times New Roman"/>
          <w:sz w:val="24"/>
          <w:szCs w:val="24"/>
        </w:rPr>
        <w:t xml:space="preserve">Vidzemes </w:t>
      </w:r>
      <w:r w:rsidR="00882B37" w:rsidRPr="00E273B3">
        <w:rPr>
          <w:rFonts w:ascii="Times New Roman" w:hAnsi="Times New Roman" w:cs="Times New Roman"/>
          <w:sz w:val="24"/>
          <w:szCs w:val="24"/>
        </w:rPr>
        <w:t xml:space="preserve">apgabaltiesas </w:t>
      </w:r>
      <w:proofErr w:type="gramStart"/>
      <w:r w:rsidR="00882B37" w:rsidRPr="00E273B3">
        <w:rPr>
          <w:rFonts w:ascii="Times New Roman" w:hAnsi="Times New Roman" w:cs="Times New Roman"/>
          <w:sz w:val="24"/>
          <w:szCs w:val="24"/>
        </w:rPr>
        <w:t>2020.gada</w:t>
      </w:r>
      <w:proofErr w:type="gramEnd"/>
      <w:r w:rsidR="00882B37" w:rsidRPr="00E273B3">
        <w:rPr>
          <w:rFonts w:ascii="Times New Roman" w:hAnsi="Times New Roman" w:cs="Times New Roman"/>
          <w:sz w:val="24"/>
          <w:szCs w:val="24"/>
        </w:rPr>
        <w:t xml:space="preserve"> </w:t>
      </w:r>
      <w:r w:rsidR="00183684" w:rsidRPr="00E273B3">
        <w:rPr>
          <w:rFonts w:ascii="Times New Roman" w:hAnsi="Times New Roman" w:cs="Times New Roman"/>
          <w:sz w:val="24"/>
          <w:szCs w:val="24"/>
        </w:rPr>
        <w:t>26.augusta spriedumu</w:t>
      </w:r>
      <w:r w:rsidR="00D87261" w:rsidRPr="00E273B3">
        <w:rPr>
          <w:rFonts w:ascii="Times New Roman" w:hAnsi="Times New Roman" w:cs="Times New Roman"/>
          <w:sz w:val="24"/>
          <w:szCs w:val="24"/>
        </w:rPr>
        <w:t>, iztiesājot krimināllietu</w:t>
      </w:r>
      <w:r w:rsidR="00097845" w:rsidRPr="00E273B3">
        <w:rPr>
          <w:rFonts w:ascii="Times New Roman" w:hAnsi="Times New Roman" w:cs="Times New Roman"/>
          <w:sz w:val="24"/>
          <w:szCs w:val="24"/>
        </w:rPr>
        <w:t xml:space="preserve"> apelācijas kārtībā</w:t>
      </w:r>
      <w:r w:rsidR="00D87261" w:rsidRPr="00E273B3">
        <w:rPr>
          <w:rFonts w:ascii="Times New Roman" w:hAnsi="Times New Roman" w:cs="Times New Roman"/>
          <w:sz w:val="24"/>
          <w:szCs w:val="24"/>
        </w:rPr>
        <w:t xml:space="preserve"> sakarā ar </w:t>
      </w:r>
      <w:r w:rsidR="00FA6807" w:rsidRPr="00E273B3">
        <w:rPr>
          <w:rFonts w:ascii="Times New Roman" w:hAnsi="Times New Roman" w:cs="Times New Roman"/>
          <w:sz w:val="24"/>
          <w:szCs w:val="24"/>
        </w:rPr>
        <w:t>Valmieras rajona prokuratūras prokurores S.</w:t>
      </w:r>
      <w:r w:rsidR="003136C2" w:rsidRPr="00E273B3">
        <w:rPr>
          <w:rFonts w:ascii="Times New Roman" w:hAnsi="Times New Roman" w:cs="Times New Roman"/>
          <w:sz w:val="24"/>
          <w:szCs w:val="24"/>
        </w:rPr>
        <w:t> </w:t>
      </w:r>
      <w:proofErr w:type="spellStart"/>
      <w:r w:rsidR="00FA6807" w:rsidRPr="00E273B3">
        <w:rPr>
          <w:rFonts w:ascii="Times New Roman" w:hAnsi="Times New Roman" w:cs="Times New Roman"/>
          <w:sz w:val="24"/>
          <w:szCs w:val="24"/>
        </w:rPr>
        <w:t>Kristapas</w:t>
      </w:r>
      <w:proofErr w:type="spellEnd"/>
      <w:r w:rsidR="00FA6807" w:rsidRPr="00E273B3">
        <w:rPr>
          <w:rFonts w:ascii="Times New Roman" w:hAnsi="Times New Roman" w:cs="Times New Roman"/>
          <w:sz w:val="24"/>
          <w:szCs w:val="24"/>
        </w:rPr>
        <w:t xml:space="preserve"> apelācijas protestu, apsūdzētā </w:t>
      </w:r>
      <w:r w:rsidR="007D56EE">
        <w:rPr>
          <w:rFonts w:ascii="Times New Roman" w:hAnsi="Times New Roman" w:cs="Times New Roman"/>
          <w:sz w:val="24"/>
          <w:szCs w:val="24"/>
        </w:rPr>
        <w:t>[pers. A]</w:t>
      </w:r>
      <w:r w:rsidR="00FA6807" w:rsidRPr="00E273B3">
        <w:rPr>
          <w:rFonts w:ascii="Times New Roman" w:hAnsi="Times New Roman" w:cs="Times New Roman"/>
          <w:sz w:val="24"/>
          <w:szCs w:val="24"/>
        </w:rPr>
        <w:t xml:space="preserve"> un apsūdzētā </w:t>
      </w:r>
      <w:r w:rsidR="007D56EE">
        <w:rPr>
          <w:rFonts w:ascii="Times New Roman" w:hAnsi="Times New Roman" w:cs="Times New Roman"/>
          <w:sz w:val="24"/>
          <w:szCs w:val="24"/>
        </w:rPr>
        <w:t>[pers. C]</w:t>
      </w:r>
      <w:r w:rsidR="00FA6807" w:rsidRPr="00E273B3">
        <w:rPr>
          <w:rFonts w:ascii="Times New Roman" w:hAnsi="Times New Roman" w:cs="Times New Roman"/>
          <w:sz w:val="24"/>
          <w:szCs w:val="24"/>
        </w:rPr>
        <w:t xml:space="preserve"> aizstāvja Sanda Sproģa apelācijas sūdzībām, Vidzemes rajona tiesas 2019.gada 1.februāra spriedums atcelts daļā par </w:t>
      </w:r>
      <w:r w:rsidR="007D56EE">
        <w:rPr>
          <w:rFonts w:ascii="Times New Roman" w:hAnsi="Times New Roman" w:cs="Times New Roman"/>
          <w:sz w:val="24"/>
          <w:szCs w:val="24"/>
        </w:rPr>
        <w:t>[pers. A]</w:t>
      </w:r>
      <w:r w:rsidR="00FA6807" w:rsidRPr="00E273B3">
        <w:rPr>
          <w:rFonts w:ascii="Times New Roman" w:hAnsi="Times New Roman" w:cs="Times New Roman"/>
          <w:sz w:val="24"/>
          <w:szCs w:val="24"/>
        </w:rPr>
        <w:t xml:space="preserve">, </w:t>
      </w:r>
      <w:r w:rsidR="007D56EE">
        <w:rPr>
          <w:rFonts w:ascii="Times New Roman" w:hAnsi="Times New Roman" w:cs="Times New Roman"/>
          <w:sz w:val="24"/>
          <w:szCs w:val="24"/>
        </w:rPr>
        <w:t>[pers. B]</w:t>
      </w:r>
      <w:r w:rsidR="00FA6807" w:rsidRPr="00E273B3">
        <w:rPr>
          <w:rFonts w:ascii="Times New Roman" w:hAnsi="Times New Roman" w:cs="Times New Roman"/>
          <w:sz w:val="24"/>
          <w:szCs w:val="24"/>
        </w:rPr>
        <w:t xml:space="preserve"> un </w:t>
      </w:r>
      <w:r w:rsidR="007D56EE">
        <w:rPr>
          <w:rFonts w:ascii="Times New Roman" w:hAnsi="Times New Roman" w:cs="Times New Roman"/>
          <w:sz w:val="24"/>
          <w:szCs w:val="24"/>
        </w:rPr>
        <w:t>[pers. C]</w:t>
      </w:r>
      <w:r w:rsidR="00FA6807" w:rsidRPr="00E273B3">
        <w:rPr>
          <w:rFonts w:ascii="Times New Roman" w:hAnsi="Times New Roman" w:cs="Times New Roman"/>
          <w:sz w:val="24"/>
          <w:szCs w:val="24"/>
        </w:rPr>
        <w:t xml:space="preserve"> notiesāšanu, </w:t>
      </w:r>
      <w:r w:rsidR="007D56EE">
        <w:rPr>
          <w:rFonts w:ascii="Times New Roman" w:hAnsi="Times New Roman" w:cs="Times New Roman"/>
          <w:sz w:val="24"/>
          <w:szCs w:val="24"/>
        </w:rPr>
        <w:t>[pers. D]</w:t>
      </w:r>
      <w:r w:rsidR="00FA6807" w:rsidRPr="00E273B3">
        <w:rPr>
          <w:rFonts w:ascii="Times New Roman" w:hAnsi="Times New Roman" w:cs="Times New Roman"/>
          <w:sz w:val="24"/>
          <w:szCs w:val="24"/>
        </w:rPr>
        <w:t xml:space="preserve"> attaisnošanu </w:t>
      </w:r>
      <w:r w:rsidR="00F24068" w:rsidRPr="00E273B3">
        <w:rPr>
          <w:rFonts w:ascii="Times New Roman" w:hAnsi="Times New Roman" w:cs="Times New Roman"/>
          <w:sz w:val="24"/>
          <w:szCs w:val="24"/>
        </w:rPr>
        <w:t>apsūdzībā pēc K</w:t>
      </w:r>
      <w:r w:rsidR="006C7C0C" w:rsidRPr="00E273B3">
        <w:rPr>
          <w:rFonts w:ascii="Times New Roman" w:hAnsi="Times New Roman" w:cs="Times New Roman"/>
          <w:sz w:val="24"/>
          <w:szCs w:val="24"/>
        </w:rPr>
        <w:t>rimināllikuma 20.panta ceturtās daļas un 218.panta otrās daļas un kaitējuma kompensācijas izlemšanu.</w:t>
      </w:r>
      <w:r w:rsidR="00966AAD" w:rsidRPr="00E273B3">
        <w:rPr>
          <w:rFonts w:ascii="Times New Roman" w:hAnsi="Times New Roman" w:cs="Times New Roman"/>
          <w:sz w:val="24"/>
          <w:szCs w:val="24"/>
        </w:rPr>
        <w:t xml:space="preserve"> </w:t>
      </w:r>
    </w:p>
    <w:p w14:paraId="51CD5AC1" w14:textId="7E465E56" w:rsidR="00966AAD" w:rsidRPr="00E273B3" w:rsidRDefault="007D56EE" w:rsidP="00966AAD">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[Pers. A]</w:t>
      </w:r>
      <w:r w:rsidR="006C7C0C" w:rsidRPr="00E273B3">
        <w:rPr>
          <w:rFonts w:ascii="Times New Roman" w:hAnsi="Times New Roman" w:cs="Times New Roman"/>
          <w:sz w:val="24"/>
          <w:szCs w:val="24"/>
        </w:rPr>
        <w:t xml:space="preserve"> atzīts par nevainīgu pret viņu celtajā apsūdzībā pēc Krimināllikuma </w:t>
      </w:r>
      <w:proofErr w:type="gramStart"/>
      <w:r w:rsidR="006C7C0C" w:rsidRPr="00E273B3">
        <w:rPr>
          <w:rFonts w:ascii="Times New Roman" w:hAnsi="Times New Roman" w:cs="Times New Roman"/>
          <w:sz w:val="24"/>
          <w:szCs w:val="24"/>
        </w:rPr>
        <w:t>218.panta</w:t>
      </w:r>
      <w:proofErr w:type="gramEnd"/>
      <w:r w:rsidR="006C7C0C" w:rsidRPr="00E273B3">
        <w:rPr>
          <w:rFonts w:ascii="Times New Roman" w:hAnsi="Times New Roman" w:cs="Times New Roman"/>
          <w:sz w:val="24"/>
          <w:szCs w:val="24"/>
        </w:rPr>
        <w:t xml:space="preserve"> un attaisnots</w:t>
      </w:r>
      <w:r w:rsidR="00966AAD" w:rsidRPr="00E273B3">
        <w:rPr>
          <w:rFonts w:ascii="Times New Roman" w:hAnsi="Times New Roman" w:cs="Times New Roman"/>
          <w:sz w:val="24"/>
          <w:szCs w:val="24"/>
        </w:rPr>
        <w:t xml:space="preserve">. </w:t>
      </w:r>
    </w:p>
    <w:p w14:paraId="7E0FA72B" w14:textId="68334789" w:rsidR="00966AAD" w:rsidRPr="00E273B3" w:rsidRDefault="007D56EE" w:rsidP="00966AAD">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[Pers. B]</w:t>
      </w:r>
      <w:r w:rsidR="006C7C0C" w:rsidRPr="00E273B3">
        <w:rPr>
          <w:rFonts w:ascii="Times New Roman" w:hAnsi="Times New Roman" w:cs="Times New Roman"/>
          <w:sz w:val="24"/>
          <w:szCs w:val="24"/>
        </w:rPr>
        <w:t xml:space="preserve"> atzīta par nevainīgu p</w:t>
      </w:r>
      <w:r w:rsidR="00966AAD" w:rsidRPr="00E273B3">
        <w:rPr>
          <w:rFonts w:ascii="Times New Roman" w:hAnsi="Times New Roman" w:cs="Times New Roman"/>
          <w:sz w:val="24"/>
          <w:szCs w:val="24"/>
        </w:rPr>
        <w:t>ret viņu celtajā apsūdzībā pēc K</w:t>
      </w:r>
      <w:r w:rsidR="006C7C0C" w:rsidRPr="00E273B3">
        <w:rPr>
          <w:rFonts w:ascii="Times New Roman" w:hAnsi="Times New Roman" w:cs="Times New Roman"/>
          <w:sz w:val="24"/>
          <w:szCs w:val="24"/>
        </w:rPr>
        <w:t xml:space="preserve">rimināllikuma </w:t>
      </w:r>
      <w:proofErr w:type="gramStart"/>
      <w:r w:rsidR="006C7C0C" w:rsidRPr="00E273B3">
        <w:rPr>
          <w:rFonts w:ascii="Times New Roman" w:hAnsi="Times New Roman" w:cs="Times New Roman"/>
          <w:sz w:val="24"/>
          <w:szCs w:val="24"/>
        </w:rPr>
        <w:t>20.panta</w:t>
      </w:r>
      <w:proofErr w:type="gramEnd"/>
      <w:r w:rsidR="006C7C0C" w:rsidRPr="00E273B3">
        <w:rPr>
          <w:rFonts w:ascii="Times New Roman" w:hAnsi="Times New Roman" w:cs="Times New Roman"/>
          <w:sz w:val="24"/>
          <w:szCs w:val="24"/>
        </w:rPr>
        <w:t xml:space="preserve"> ceturtās daļas un 218.panta otrās daļas un attaisnota.</w:t>
      </w:r>
      <w:r w:rsidR="00966AAD" w:rsidRPr="00E273B3">
        <w:rPr>
          <w:rFonts w:ascii="Times New Roman" w:hAnsi="Times New Roman" w:cs="Times New Roman"/>
          <w:sz w:val="24"/>
          <w:szCs w:val="24"/>
        </w:rPr>
        <w:t xml:space="preserve"> </w:t>
      </w:r>
    </w:p>
    <w:p w14:paraId="209F4452" w14:textId="792ECF2E" w:rsidR="00966AAD" w:rsidRPr="00E273B3" w:rsidRDefault="007D56EE" w:rsidP="00966AAD">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[Pers. C]</w:t>
      </w:r>
      <w:r w:rsidR="006C7C0C" w:rsidRPr="00E273B3">
        <w:rPr>
          <w:rFonts w:ascii="Times New Roman" w:hAnsi="Times New Roman" w:cs="Times New Roman"/>
          <w:sz w:val="24"/>
          <w:szCs w:val="24"/>
        </w:rPr>
        <w:t xml:space="preserve"> atzīts par nevainīgu pret viņu celtajā apsūdzībā pēc Krimināllikuma </w:t>
      </w:r>
      <w:proofErr w:type="gramStart"/>
      <w:r w:rsidR="006C7C0C" w:rsidRPr="00E273B3">
        <w:rPr>
          <w:rFonts w:ascii="Times New Roman" w:hAnsi="Times New Roman" w:cs="Times New Roman"/>
          <w:sz w:val="24"/>
          <w:szCs w:val="24"/>
        </w:rPr>
        <w:t>20.panta</w:t>
      </w:r>
      <w:proofErr w:type="gramEnd"/>
      <w:r w:rsidR="006C7C0C" w:rsidRPr="00E273B3">
        <w:rPr>
          <w:rFonts w:ascii="Times New Roman" w:hAnsi="Times New Roman" w:cs="Times New Roman"/>
          <w:sz w:val="24"/>
          <w:szCs w:val="24"/>
        </w:rPr>
        <w:t xml:space="preserve"> ceturtās daļas un 218.panta otrās daļas un attaisnots.</w:t>
      </w:r>
      <w:r w:rsidR="00966AAD" w:rsidRPr="00E273B3">
        <w:rPr>
          <w:rFonts w:ascii="Times New Roman" w:hAnsi="Times New Roman" w:cs="Times New Roman"/>
          <w:sz w:val="24"/>
          <w:szCs w:val="24"/>
        </w:rPr>
        <w:t xml:space="preserve"> </w:t>
      </w:r>
    </w:p>
    <w:p w14:paraId="3B9B55D4" w14:textId="42006074" w:rsidR="002E2073" w:rsidRPr="00E273B3" w:rsidRDefault="007D56EE" w:rsidP="002E2073">
      <w:pPr>
        <w:spacing w:after="0"/>
        <w:ind w:right="-1" w:firstLine="709"/>
        <w:jc w:val="both"/>
        <w:rPr>
          <w:rFonts w:ascii="Times New Roman" w:hAnsi="Times New Roman" w:cs="Times New Roman"/>
          <w:sz w:val="24"/>
          <w:szCs w:val="24"/>
        </w:rPr>
      </w:pPr>
      <w:r>
        <w:rPr>
          <w:rFonts w:ascii="Times New Roman" w:hAnsi="Times New Roman" w:cs="Times New Roman"/>
          <w:sz w:val="24"/>
          <w:szCs w:val="24"/>
        </w:rPr>
        <w:t>[Pers. D]</w:t>
      </w:r>
      <w:r w:rsidR="006C7C0C" w:rsidRPr="00E273B3">
        <w:rPr>
          <w:rFonts w:ascii="Times New Roman" w:hAnsi="Times New Roman" w:cs="Times New Roman"/>
          <w:sz w:val="24"/>
          <w:szCs w:val="24"/>
        </w:rPr>
        <w:t xml:space="preserve"> atzīts par nevainīgu pret viņu celtajā apsūdzībā pēc </w:t>
      </w:r>
      <w:r w:rsidR="0081100B" w:rsidRPr="00E273B3">
        <w:rPr>
          <w:rFonts w:ascii="Times New Roman" w:hAnsi="Times New Roman" w:cs="Times New Roman"/>
          <w:sz w:val="24"/>
          <w:szCs w:val="24"/>
        </w:rPr>
        <w:t xml:space="preserve">Krimināllikuma </w:t>
      </w:r>
      <w:proofErr w:type="gramStart"/>
      <w:r w:rsidR="0081100B" w:rsidRPr="00E273B3">
        <w:rPr>
          <w:rFonts w:ascii="Times New Roman" w:hAnsi="Times New Roman" w:cs="Times New Roman"/>
          <w:sz w:val="24"/>
          <w:szCs w:val="24"/>
        </w:rPr>
        <w:t>20.panta</w:t>
      </w:r>
      <w:proofErr w:type="gramEnd"/>
      <w:r w:rsidR="0081100B" w:rsidRPr="00E273B3">
        <w:rPr>
          <w:rFonts w:ascii="Times New Roman" w:hAnsi="Times New Roman" w:cs="Times New Roman"/>
          <w:sz w:val="24"/>
          <w:szCs w:val="24"/>
        </w:rPr>
        <w:t xml:space="preserve"> ceturtās daļas un 218.panta otrās daļas un attaisnots.</w:t>
      </w:r>
      <w:r w:rsidR="002E2073" w:rsidRPr="00E273B3">
        <w:rPr>
          <w:rFonts w:ascii="Times New Roman" w:hAnsi="Times New Roman" w:cs="Times New Roman"/>
          <w:sz w:val="24"/>
          <w:szCs w:val="24"/>
        </w:rPr>
        <w:t xml:space="preserve"> </w:t>
      </w:r>
    </w:p>
    <w:p w14:paraId="670FE202" w14:textId="77777777" w:rsidR="00CB488F" w:rsidRPr="00E273B3" w:rsidRDefault="0081100B" w:rsidP="00CB488F">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Valsts ieņēmumu dienesta kaitējuma kompe</w:t>
      </w:r>
      <w:r w:rsidR="002E2073" w:rsidRPr="00E273B3">
        <w:rPr>
          <w:rFonts w:ascii="Times New Roman" w:hAnsi="Times New Roman" w:cs="Times New Roman"/>
          <w:sz w:val="24"/>
          <w:szCs w:val="24"/>
        </w:rPr>
        <w:t>nsācijas pieteikums par 20 968,28 </w:t>
      </w:r>
      <w:proofErr w:type="spellStart"/>
      <w:r w:rsidRPr="00E273B3">
        <w:rPr>
          <w:rFonts w:ascii="Times New Roman" w:hAnsi="Times New Roman" w:cs="Times New Roman"/>
          <w:i/>
          <w:iCs/>
          <w:sz w:val="24"/>
          <w:szCs w:val="24"/>
        </w:rPr>
        <w:t>euro</w:t>
      </w:r>
      <w:proofErr w:type="spellEnd"/>
      <w:r w:rsidRPr="00E273B3">
        <w:rPr>
          <w:rFonts w:ascii="Times New Roman" w:hAnsi="Times New Roman" w:cs="Times New Roman"/>
          <w:sz w:val="24"/>
          <w:szCs w:val="24"/>
        </w:rPr>
        <w:t xml:space="preserve"> piedziņu atstāts bez izskatīšanas.</w:t>
      </w:r>
      <w:r w:rsidR="00CB488F" w:rsidRPr="00E273B3">
        <w:rPr>
          <w:rFonts w:ascii="Times New Roman" w:hAnsi="Times New Roman" w:cs="Times New Roman"/>
          <w:sz w:val="24"/>
          <w:szCs w:val="24"/>
        </w:rPr>
        <w:t xml:space="preserve"> </w:t>
      </w:r>
    </w:p>
    <w:p w14:paraId="6B16D884" w14:textId="77777777" w:rsidR="005E10B2" w:rsidRPr="00E273B3" w:rsidRDefault="0081100B" w:rsidP="005E10B2">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 xml:space="preserve">Pārējā daļā Vidzemes rajona tiesas </w:t>
      </w:r>
      <w:proofErr w:type="gramStart"/>
      <w:r w:rsidRPr="00E273B3">
        <w:rPr>
          <w:rFonts w:ascii="Times New Roman" w:hAnsi="Times New Roman" w:cs="Times New Roman"/>
          <w:sz w:val="24"/>
          <w:szCs w:val="24"/>
        </w:rPr>
        <w:t>2019.gada</w:t>
      </w:r>
      <w:proofErr w:type="gramEnd"/>
      <w:r w:rsidRPr="00E273B3">
        <w:rPr>
          <w:rFonts w:ascii="Times New Roman" w:hAnsi="Times New Roman" w:cs="Times New Roman"/>
          <w:sz w:val="24"/>
          <w:szCs w:val="24"/>
        </w:rPr>
        <w:t xml:space="preserve"> 1.februāra spriedums atstāts negrozīts.</w:t>
      </w:r>
      <w:r w:rsidR="005E10B2" w:rsidRPr="00E273B3">
        <w:rPr>
          <w:rFonts w:ascii="Times New Roman" w:hAnsi="Times New Roman" w:cs="Times New Roman"/>
          <w:sz w:val="24"/>
          <w:szCs w:val="24"/>
        </w:rPr>
        <w:t xml:space="preserve"> </w:t>
      </w:r>
    </w:p>
    <w:p w14:paraId="6E3E2E69" w14:textId="77777777" w:rsidR="005E10B2" w:rsidRPr="00E273B3" w:rsidRDefault="005E10B2" w:rsidP="005E10B2">
      <w:pPr>
        <w:spacing w:after="0"/>
        <w:ind w:right="-1" w:firstLine="709"/>
        <w:jc w:val="both"/>
        <w:rPr>
          <w:rFonts w:ascii="Times New Roman" w:hAnsi="Times New Roman" w:cs="Times New Roman"/>
          <w:sz w:val="24"/>
          <w:szCs w:val="24"/>
        </w:rPr>
      </w:pPr>
    </w:p>
    <w:p w14:paraId="63A7B8D2" w14:textId="77777777" w:rsidR="001579F8" w:rsidRPr="00E273B3" w:rsidRDefault="004C52E7" w:rsidP="001579F8">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w:t>
      </w:r>
      <w:r w:rsidR="003843EE" w:rsidRPr="00E273B3">
        <w:rPr>
          <w:rFonts w:ascii="Times New Roman" w:hAnsi="Times New Roman" w:cs="Times New Roman"/>
          <w:sz w:val="24"/>
          <w:szCs w:val="24"/>
        </w:rPr>
        <w:t>5</w:t>
      </w:r>
      <w:r w:rsidR="00CB488F" w:rsidRPr="00E273B3">
        <w:rPr>
          <w:rFonts w:ascii="Times New Roman" w:hAnsi="Times New Roman" w:cs="Times New Roman"/>
          <w:sz w:val="24"/>
          <w:szCs w:val="24"/>
        </w:rPr>
        <w:t>] </w:t>
      </w:r>
      <w:r w:rsidR="00D87261" w:rsidRPr="00E273B3">
        <w:rPr>
          <w:rFonts w:ascii="Times New Roman" w:hAnsi="Times New Roman" w:cs="Times New Roman"/>
          <w:sz w:val="24"/>
          <w:szCs w:val="24"/>
        </w:rPr>
        <w:t>Par</w:t>
      </w:r>
      <w:r w:rsidR="0081100B" w:rsidRPr="00E273B3">
        <w:rPr>
          <w:rFonts w:ascii="Times New Roman" w:hAnsi="Times New Roman" w:cs="Times New Roman"/>
          <w:sz w:val="24"/>
          <w:szCs w:val="24"/>
        </w:rPr>
        <w:t xml:space="preserve"> Vidzemes </w:t>
      </w:r>
      <w:r w:rsidR="00D87261" w:rsidRPr="00E273B3">
        <w:rPr>
          <w:rFonts w:ascii="Times New Roman" w:hAnsi="Times New Roman" w:cs="Times New Roman"/>
          <w:sz w:val="24"/>
          <w:szCs w:val="24"/>
        </w:rPr>
        <w:t xml:space="preserve">apgabaltiesas </w:t>
      </w:r>
      <w:proofErr w:type="gramStart"/>
      <w:r w:rsidR="00D87261" w:rsidRPr="00E273B3">
        <w:rPr>
          <w:rFonts w:ascii="Times New Roman" w:hAnsi="Times New Roman" w:cs="Times New Roman"/>
          <w:sz w:val="24"/>
          <w:szCs w:val="24"/>
        </w:rPr>
        <w:t>202</w:t>
      </w:r>
      <w:r w:rsidR="0081100B" w:rsidRPr="00E273B3">
        <w:rPr>
          <w:rFonts w:ascii="Times New Roman" w:hAnsi="Times New Roman" w:cs="Times New Roman"/>
          <w:sz w:val="24"/>
          <w:szCs w:val="24"/>
        </w:rPr>
        <w:t>0.gada</w:t>
      </w:r>
      <w:proofErr w:type="gramEnd"/>
      <w:r w:rsidR="0081100B" w:rsidRPr="00E273B3">
        <w:rPr>
          <w:rFonts w:ascii="Times New Roman" w:hAnsi="Times New Roman" w:cs="Times New Roman"/>
          <w:sz w:val="24"/>
          <w:szCs w:val="24"/>
        </w:rPr>
        <w:t xml:space="preserve"> 26.augusta spriedumu Valmieras rajona</w:t>
      </w:r>
      <w:r w:rsidR="005E10B2" w:rsidRPr="00E273B3">
        <w:rPr>
          <w:rFonts w:ascii="Times New Roman" w:hAnsi="Times New Roman" w:cs="Times New Roman"/>
          <w:sz w:val="24"/>
          <w:szCs w:val="24"/>
        </w:rPr>
        <w:t xml:space="preserve"> prokuratūras</w:t>
      </w:r>
      <w:r w:rsidR="0081100B" w:rsidRPr="00E273B3">
        <w:rPr>
          <w:rFonts w:ascii="Times New Roman" w:hAnsi="Times New Roman" w:cs="Times New Roman"/>
          <w:sz w:val="24"/>
          <w:szCs w:val="24"/>
        </w:rPr>
        <w:t xml:space="preserve"> prokurore S.</w:t>
      </w:r>
      <w:r w:rsidR="001579F8" w:rsidRPr="00E273B3">
        <w:rPr>
          <w:rFonts w:ascii="Times New Roman" w:hAnsi="Times New Roman" w:cs="Times New Roman"/>
          <w:sz w:val="24"/>
          <w:szCs w:val="24"/>
        </w:rPr>
        <w:t> </w:t>
      </w:r>
      <w:r w:rsidR="0081100B" w:rsidRPr="00E273B3">
        <w:rPr>
          <w:rFonts w:ascii="Times New Roman" w:hAnsi="Times New Roman" w:cs="Times New Roman"/>
          <w:sz w:val="24"/>
          <w:szCs w:val="24"/>
        </w:rPr>
        <w:t>Kristapa</w:t>
      </w:r>
      <w:r w:rsidR="00123111" w:rsidRPr="00E273B3">
        <w:rPr>
          <w:rFonts w:ascii="Times New Roman" w:eastAsia="Calibri" w:hAnsi="Times New Roman" w:cs="Times New Roman"/>
          <w:sz w:val="24"/>
          <w:szCs w:val="24"/>
        </w:rPr>
        <w:t xml:space="preserve"> iesniegusi kasācijas protestu</w:t>
      </w:r>
      <w:r w:rsidR="00D87261" w:rsidRPr="00E273B3">
        <w:rPr>
          <w:rFonts w:ascii="Times New Roman" w:eastAsia="Calibri" w:hAnsi="Times New Roman" w:cs="Times New Roman"/>
          <w:sz w:val="24"/>
          <w:szCs w:val="24"/>
        </w:rPr>
        <w:t>, kurā lūdz atcelt</w:t>
      </w:r>
      <w:r w:rsidR="00123111" w:rsidRPr="00E273B3">
        <w:rPr>
          <w:rFonts w:ascii="Times New Roman" w:eastAsia="Calibri" w:hAnsi="Times New Roman" w:cs="Times New Roman"/>
          <w:sz w:val="24"/>
          <w:szCs w:val="24"/>
        </w:rPr>
        <w:t xml:space="preserve"> tiesas</w:t>
      </w:r>
      <w:r w:rsidR="0081100B" w:rsidRPr="00E273B3">
        <w:rPr>
          <w:rFonts w:ascii="Times New Roman" w:eastAsia="Calibri" w:hAnsi="Times New Roman" w:cs="Times New Roman"/>
          <w:sz w:val="24"/>
          <w:szCs w:val="24"/>
        </w:rPr>
        <w:t xml:space="preserve"> spriedumu</w:t>
      </w:r>
      <w:r w:rsidR="00D87261" w:rsidRPr="00E273B3">
        <w:rPr>
          <w:rFonts w:ascii="Times New Roman" w:eastAsia="Calibri" w:hAnsi="Times New Roman" w:cs="Times New Roman"/>
          <w:sz w:val="24"/>
          <w:szCs w:val="24"/>
        </w:rPr>
        <w:t xml:space="preserve"> un nosūtīt lietu jaunai izskatīšanai </w:t>
      </w:r>
      <w:r w:rsidR="0081100B" w:rsidRPr="00E273B3">
        <w:rPr>
          <w:rFonts w:ascii="Times New Roman" w:eastAsia="Calibri" w:hAnsi="Times New Roman" w:cs="Times New Roman"/>
          <w:sz w:val="24"/>
          <w:szCs w:val="24"/>
        </w:rPr>
        <w:t>Vidzemes</w:t>
      </w:r>
      <w:r w:rsidR="00D87261" w:rsidRPr="00E273B3">
        <w:rPr>
          <w:rFonts w:ascii="Times New Roman" w:eastAsia="Calibri" w:hAnsi="Times New Roman" w:cs="Times New Roman"/>
          <w:sz w:val="24"/>
          <w:szCs w:val="24"/>
        </w:rPr>
        <w:t xml:space="preserve"> apgabaltiesā</w:t>
      </w:r>
      <w:r w:rsidR="00076C59" w:rsidRPr="00E273B3">
        <w:rPr>
          <w:rFonts w:ascii="Times New Roman" w:eastAsia="Calibri" w:hAnsi="Times New Roman" w:cs="Times New Roman"/>
          <w:sz w:val="24"/>
          <w:szCs w:val="24"/>
        </w:rPr>
        <w:t>, norādot, ka apelācijas instances tiesa nepareizi piemērojusi Krimināllikuma 218. un 275.pantu, kā arī Kriminālprocesa likuma 455.pantu.</w:t>
      </w:r>
      <w:r w:rsidR="00D87261" w:rsidRPr="00E273B3">
        <w:rPr>
          <w:rFonts w:ascii="Times New Roman" w:eastAsia="Calibri" w:hAnsi="Times New Roman" w:cs="Times New Roman"/>
          <w:sz w:val="24"/>
          <w:szCs w:val="24"/>
        </w:rPr>
        <w:t xml:space="preserve"> </w:t>
      </w:r>
    </w:p>
    <w:p w14:paraId="3C3FC707" w14:textId="77777777" w:rsidR="001579F8" w:rsidRPr="00E273B3" w:rsidRDefault="00123111" w:rsidP="001579F8">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Savu lūgumu prokurore pamatojusi ar šādiem argumentiem</w:t>
      </w:r>
      <w:r w:rsidR="00910EDE" w:rsidRPr="00E273B3">
        <w:rPr>
          <w:rFonts w:ascii="Times New Roman" w:hAnsi="Times New Roman" w:cs="Times New Roman"/>
          <w:sz w:val="24"/>
          <w:szCs w:val="24"/>
        </w:rPr>
        <w:t>.</w:t>
      </w:r>
      <w:r w:rsidR="001579F8" w:rsidRPr="00E273B3">
        <w:rPr>
          <w:rFonts w:ascii="Times New Roman" w:hAnsi="Times New Roman" w:cs="Times New Roman"/>
          <w:sz w:val="24"/>
          <w:szCs w:val="24"/>
        </w:rPr>
        <w:t xml:space="preserve"> </w:t>
      </w:r>
    </w:p>
    <w:p w14:paraId="46886DA1" w14:textId="7F9BBF08" w:rsidR="00E029BE" w:rsidRPr="00E273B3" w:rsidRDefault="00076C59" w:rsidP="00E029BE">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w:t>
      </w:r>
      <w:r w:rsidR="003843EE" w:rsidRPr="00E273B3">
        <w:rPr>
          <w:rFonts w:ascii="Times New Roman" w:hAnsi="Times New Roman" w:cs="Times New Roman"/>
          <w:sz w:val="24"/>
          <w:szCs w:val="24"/>
        </w:rPr>
        <w:t>5</w:t>
      </w:r>
      <w:r w:rsidRPr="00E273B3">
        <w:rPr>
          <w:rFonts w:ascii="Times New Roman" w:hAnsi="Times New Roman" w:cs="Times New Roman"/>
          <w:sz w:val="24"/>
          <w:szCs w:val="24"/>
        </w:rPr>
        <w:t>.1]</w:t>
      </w:r>
      <w:r w:rsidR="001579F8" w:rsidRPr="00E273B3">
        <w:rPr>
          <w:rFonts w:ascii="Times New Roman" w:hAnsi="Times New Roman" w:cs="Times New Roman"/>
          <w:sz w:val="24"/>
          <w:szCs w:val="24"/>
        </w:rPr>
        <w:t> </w:t>
      </w:r>
      <w:r w:rsidR="007C0B1C" w:rsidRPr="00E273B3">
        <w:rPr>
          <w:rFonts w:ascii="Times New Roman" w:hAnsi="Times New Roman" w:cs="Times New Roman"/>
          <w:sz w:val="24"/>
          <w:szCs w:val="24"/>
        </w:rPr>
        <w:t>Apelācijas instance</w:t>
      </w:r>
      <w:r w:rsidR="00E029BE" w:rsidRPr="00E273B3">
        <w:rPr>
          <w:rFonts w:ascii="Times New Roman" w:hAnsi="Times New Roman" w:cs="Times New Roman"/>
          <w:sz w:val="24"/>
          <w:szCs w:val="24"/>
        </w:rPr>
        <w:t>s tiesa nav apšaubījusi, ka: 1) </w:t>
      </w:r>
      <w:r w:rsidR="007C0B1C" w:rsidRPr="00E273B3">
        <w:rPr>
          <w:rFonts w:ascii="Times New Roman" w:hAnsi="Times New Roman" w:cs="Times New Roman"/>
          <w:sz w:val="24"/>
          <w:szCs w:val="24"/>
        </w:rPr>
        <w:t xml:space="preserve">apsūdzībā norādīto </w:t>
      </w:r>
      <w:r w:rsidR="007D56EE">
        <w:rPr>
          <w:rFonts w:ascii="Times New Roman" w:hAnsi="Times New Roman" w:cs="Times New Roman"/>
          <w:sz w:val="24"/>
          <w:szCs w:val="24"/>
        </w:rPr>
        <w:t>[pers. A]</w:t>
      </w:r>
      <w:r w:rsidR="007C0B1C" w:rsidRPr="00E273B3">
        <w:rPr>
          <w:rFonts w:ascii="Times New Roman" w:hAnsi="Times New Roman" w:cs="Times New Roman"/>
          <w:sz w:val="24"/>
          <w:szCs w:val="24"/>
        </w:rPr>
        <w:t xml:space="preserve">, </w:t>
      </w:r>
      <w:r w:rsidR="007D56EE">
        <w:rPr>
          <w:rFonts w:ascii="Times New Roman" w:hAnsi="Times New Roman" w:cs="Times New Roman"/>
          <w:sz w:val="24"/>
          <w:szCs w:val="24"/>
        </w:rPr>
        <w:t>[pers. B]</w:t>
      </w:r>
      <w:r w:rsidR="007C0B1C" w:rsidRPr="00E273B3">
        <w:rPr>
          <w:rFonts w:ascii="Times New Roman" w:hAnsi="Times New Roman" w:cs="Times New Roman"/>
          <w:sz w:val="24"/>
          <w:szCs w:val="24"/>
        </w:rPr>
        <w:t xml:space="preserve"> un </w:t>
      </w:r>
      <w:r w:rsidR="007D56EE">
        <w:rPr>
          <w:rFonts w:ascii="Times New Roman" w:hAnsi="Times New Roman" w:cs="Times New Roman"/>
          <w:sz w:val="24"/>
          <w:szCs w:val="24"/>
        </w:rPr>
        <w:t>[pers. C]</w:t>
      </w:r>
      <w:r w:rsidR="00E029BE" w:rsidRPr="00E273B3">
        <w:rPr>
          <w:rFonts w:ascii="Times New Roman" w:hAnsi="Times New Roman" w:cs="Times New Roman"/>
          <w:sz w:val="24"/>
          <w:szCs w:val="24"/>
        </w:rPr>
        <w:t xml:space="preserve"> darbību rezultātā SIA „</w:t>
      </w:r>
      <w:r w:rsidR="007D56EE">
        <w:rPr>
          <w:rFonts w:ascii="Times New Roman" w:hAnsi="Times New Roman" w:cs="Times New Roman"/>
          <w:sz w:val="24"/>
          <w:szCs w:val="24"/>
        </w:rPr>
        <w:t>[Nosaukums A]</w:t>
      </w:r>
      <w:r w:rsidR="00E029BE" w:rsidRPr="00E273B3">
        <w:rPr>
          <w:rFonts w:ascii="Times New Roman" w:hAnsi="Times New Roman" w:cs="Times New Roman"/>
          <w:sz w:val="24"/>
          <w:szCs w:val="24"/>
        </w:rPr>
        <w:t>” un SIA „</w:t>
      </w:r>
      <w:r w:rsidR="007D56EE">
        <w:rPr>
          <w:rFonts w:ascii="Times New Roman" w:hAnsi="Times New Roman" w:cs="Times New Roman"/>
          <w:sz w:val="24"/>
          <w:szCs w:val="24"/>
        </w:rPr>
        <w:t>[Nosaukums B]</w:t>
      </w:r>
      <w:r w:rsidR="007C0B1C" w:rsidRPr="00E273B3">
        <w:rPr>
          <w:rFonts w:ascii="Times New Roman" w:hAnsi="Times New Roman" w:cs="Times New Roman"/>
          <w:sz w:val="24"/>
          <w:szCs w:val="24"/>
        </w:rPr>
        <w:t>” kopumā ir izva</w:t>
      </w:r>
      <w:r w:rsidR="00E029BE" w:rsidRPr="00E273B3">
        <w:rPr>
          <w:rFonts w:ascii="Times New Roman" w:hAnsi="Times New Roman" w:cs="Times New Roman"/>
          <w:sz w:val="24"/>
          <w:szCs w:val="24"/>
        </w:rPr>
        <w:t>irījušās no nodokļu nomaksas 20 968,28 </w:t>
      </w:r>
      <w:proofErr w:type="spellStart"/>
      <w:r w:rsidR="007C0B1C" w:rsidRPr="00E273B3">
        <w:rPr>
          <w:rFonts w:ascii="Times New Roman" w:hAnsi="Times New Roman" w:cs="Times New Roman"/>
          <w:i/>
          <w:iCs/>
          <w:sz w:val="24"/>
          <w:szCs w:val="24"/>
        </w:rPr>
        <w:t>euro</w:t>
      </w:r>
      <w:proofErr w:type="spellEnd"/>
      <w:r w:rsidR="007C0B1C" w:rsidRPr="00E273B3">
        <w:rPr>
          <w:rFonts w:ascii="Times New Roman" w:hAnsi="Times New Roman" w:cs="Times New Roman"/>
          <w:i/>
          <w:iCs/>
          <w:sz w:val="24"/>
          <w:szCs w:val="24"/>
        </w:rPr>
        <w:t xml:space="preserve"> </w:t>
      </w:r>
      <w:r w:rsidR="007C0B1C" w:rsidRPr="00E273B3">
        <w:rPr>
          <w:rFonts w:ascii="Times New Roman" w:hAnsi="Times New Roman" w:cs="Times New Roman"/>
          <w:sz w:val="24"/>
          <w:szCs w:val="24"/>
        </w:rPr>
        <w:t>apmērā</w:t>
      </w:r>
      <w:r w:rsidR="00E029BE" w:rsidRPr="00E273B3">
        <w:rPr>
          <w:rFonts w:ascii="Times New Roman" w:hAnsi="Times New Roman" w:cs="Times New Roman"/>
          <w:sz w:val="24"/>
          <w:szCs w:val="24"/>
        </w:rPr>
        <w:t>; 2) </w:t>
      </w:r>
      <w:r w:rsidR="00B7266C" w:rsidRPr="00E273B3">
        <w:rPr>
          <w:rFonts w:ascii="Times New Roman" w:hAnsi="Times New Roman" w:cs="Times New Roman"/>
          <w:sz w:val="24"/>
          <w:szCs w:val="24"/>
        </w:rPr>
        <w:t>izvairīšanās no nodok</w:t>
      </w:r>
      <w:r w:rsidR="00E029BE" w:rsidRPr="00E273B3">
        <w:rPr>
          <w:rFonts w:ascii="Times New Roman" w:hAnsi="Times New Roman" w:cs="Times New Roman"/>
          <w:sz w:val="24"/>
          <w:szCs w:val="24"/>
        </w:rPr>
        <w:t>ļu nomaksas 20 968,28 </w:t>
      </w:r>
      <w:proofErr w:type="spellStart"/>
      <w:r w:rsidR="00B7266C" w:rsidRPr="00E273B3">
        <w:rPr>
          <w:rFonts w:ascii="Times New Roman" w:hAnsi="Times New Roman" w:cs="Times New Roman"/>
          <w:i/>
          <w:iCs/>
          <w:sz w:val="24"/>
          <w:szCs w:val="24"/>
        </w:rPr>
        <w:t>euro</w:t>
      </w:r>
      <w:proofErr w:type="spellEnd"/>
      <w:r w:rsidR="00B7266C" w:rsidRPr="00E273B3">
        <w:rPr>
          <w:rFonts w:ascii="Times New Roman" w:hAnsi="Times New Roman" w:cs="Times New Roman"/>
          <w:i/>
          <w:iCs/>
          <w:sz w:val="24"/>
          <w:szCs w:val="24"/>
        </w:rPr>
        <w:t xml:space="preserve"> </w:t>
      </w:r>
      <w:r w:rsidR="00B7266C" w:rsidRPr="00E273B3">
        <w:rPr>
          <w:rFonts w:ascii="Times New Roman" w:hAnsi="Times New Roman" w:cs="Times New Roman"/>
          <w:sz w:val="24"/>
          <w:szCs w:val="24"/>
        </w:rPr>
        <w:t xml:space="preserve">apmērā ir notikusi, </w:t>
      </w:r>
      <w:r w:rsidR="007D56EE">
        <w:rPr>
          <w:rFonts w:ascii="Times New Roman" w:hAnsi="Times New Roman" w:cs="Times New Roman"/>
          <w:sz w:val="24"/>
          <w:szCs w:val="24"/>
        </w:rPr>
        <w:t>[pers. A]</w:t>
      </w:r>
      <w:r w:rsidR="00B7266C" w:rsidRPr="00E273B3">
        <w:rPr>
          <w:rFonts w:ascii="Times New Roman" w:hAnsi="Times New Roman" w:cs="Times New Roman"/>
          <w:sz w:val="24"/>
          <w:szCs w:val="24"/>
        </w:rPr>
        <w:t xml:space="preserve"> </w:t>
      </w:r>
      <w:r w:rsidR="00AC1689" w:rsidRPr="00E273B3">
        <w:rPr>
          <w:rFonts w:ascii="Times New Roman" w:hAnsi="Times New Roman" w:cs="Times New Roman"/>
          <w:sz w:val="24"/>
          <w:szCs w:val="24"/>
        </w:rPr>
        <w:t>minēto uzņēmumu grāmatvedībā iekļaujot un izmantojot viltotus</w:t>
      </w:r>
      <w:r w:rsidR="0097112A" w:rsidRPr="00E273B3">
        <w:rPr>
          <w:rFonts w:ascii="Times New Roman" w:hAnsi="Times New Roman" w:cs="Times New Roman"/>
          <w:sz w:val="24"/>
          <w:szCs w:val="24"/>
        </w:rPr>
        <w:t xml:space="preserve"> </w:t>
      </w:r>
      <w:r w:rsidR="00272023" w:rsidRPr="00E273B3">
        <w:rPr>
          <w:rFonts w:ascii="Times New Roman" w:hAnsi="Times New Roman" w:cs="Times New Roman"/>
          <w:sz w:val="24"/>
          <w:szCs w:val="24"/>
        </w:rPr>
        <w:t xml:space="preserve">grāmatvedības </w:t>
      </w:r>
      <w:r w:rsidR="0097112A" w:rsidRPr="00E273B3">
        <w:rPr>
          <w:rFonts w:ascii="Times New Roman" w:hAnsi="Times New Roman" w:cs="Times New Roman"/>
          <w:sz w:val="24"/>
          <w:szCs w:val="24"/>
        </w:rPr>
        <w:t xml:space="preserve">attaisnojuma dokumentus, kuri iegūti, </w:t>
      </w:r>
      <w:r w:rsidR="007D56EE">
        <w:rPr>
          <w:rFonts w:ascii="Times New Roman" w:hAnsi="Times New Roman" w:cs="Times New Roman"/>
          <w:sz w:val="24"/>
          <w:szCs w:val="24"/>
        </w:rPr>
        <w:t>[pers. A]</w:t>
      </w:r>
      <w:r w:rsidR="0097112A" w:rsidRPr="00E273B3">
        <w:rPr>
          <w:rFonts w:ascii="Times New Roman" w:hAnsi="Times New Roman" w:cs="Times New Roman"/>
          <w:sz w:val="24"/>
          <w:szCs w:val="24"/>
        </w:rPr>
        <w:t xml:space="preserve"> sadarbojoties vismaz ar </w:t>
      </w:r>
      <w:r w:rsidR="007D56EE">
        <w:rPr>
          <w:rFonts w:ascii="Times New Roman" w:hAnsi="Times New Roman" w:cs="Times New Roman"/>
          <w:sz w:val="24"/>
          <w:szCs w:val="24"/>
        </w:rPr>
        <w:t>[pers. B]</w:t>
      </w:r>
      <w:r w:rsidR="0097112A" w:rsidRPr="00E273B3">
        <w:rPr>
          <w:rFonts w:ascii="Times New Roman" w:hAnsi="Times New Roman" w:cs="Times New Roman"/>
          <w:sz w:val="24"/>
          <w:szCs w:val="24"/>
        </w:rPr>
        <w:t xml:space="preserve"> un </w:t>
      </w:r>
      <w:r w:rsidR="007D56EE">
        <w:rPr>
          <w:rFonts w:ascii="Times New Roman" w:hAnsi="Times New Roman" w:cs="Times New Roman"/>
          <w:sz w:val="24"/>
          <w:szCs w:val="24"/>
        </w:rPr>
        <w:t>[pers. C]</w:t>
      </w:r>
      <w:r w:rsidR="00C174C2" w:rsidRPr="00E273B3">
        <w:rPr>
          <w:rFonts w:ascii="Times New Roman" w:hAnsi="Times New Roman" w:cs="Times New Roman"/>
          <w:sz w:val="24"/>
          <w:szCs w:val="24"/>
        </w:rPr>
        <w:t>.</w:t>
      </w:r>
      <w:r w:rsidR="00E029BE" w:rsidRPr="00E273B3">
        <w:rPr>
          <w:rFonts w:ascii="Times New Roman" w:hAnsi="Times New Roman" w:cs="Times New Roman"/>
          <w:sz w:val="24"/>
          <w:szCs w:val="24"/>
        </w:rPr>
        <w:t xml:space="preserve"> </w:t>
      </w:r>
    </w:p>
    <w:p w14:paraId="4B70E9AD" w14:textId="634E774B" w:rsidR="00E029BE" w:rsidRPr="00E273B3" w:rsidRDefault="00C174C2" w:rsidP="00E029BE">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T</w:t>
      </w:r>
      <w:r w:rsidR="00A03C0C" w:rsidRPr="00E273B3">
        <w:rPr>
          <w:rFonts w:ascii="Times New Roman" w:hAnsi="Times New Roman" w:cs="Times New Roman"/>
          <w:sz w:val="24"/>
          <w:szCs w:val="24"/>
        </w:rPr>
        <w:t>āpat lietā noskaidrots, ka,</w:t>
      </w:r>
      <w:r w:rsidR="00E029BE" w:rsidRPr="00E273B3">
        <w:rPr>
          <w:rFonts w:ascii="Times New Roman" w:hAnsi="Times New Roman" w:cs="Times New Roman"/>
          <w:sz w:val="24"/>
          <w:szCs w:val="24"/>
        </w:rPr>
        <w:t xml:space="preserve"> lai SIA „</w:t>
      </w:r>
      <w:r w:rsidR="007D56EE">
        <w:rPr>
          <w:rFonts w:ascii="Times New Roman" w:hAnsi="Times New Roman" w:cs="Times New Roman"/>
          <w:sz w:val="24"/>
          <w:szCs w:val="24"/>
        </w:rPr>
        <w:t>[Nosaukums A]</w:t>
      </w:r>
      <w:r w:rsidR="00E029BE" w:rsidRPr="00E273B3">
        <w:rPr>
          <w:rFonts w:ascii="Times New Roman" w:hAnsi="Times New Roman" w:cs="Times New Roman"/>
          <w:sz w:val="24"/>
          <w:szCs w:val="24"/>
        </w:rPr>
        <w:t>” un SIA „</w:t>
      </w:r>
      <w:r w:rsidR="007D56EE">
        <w:rPr>
          <w:rFonts w:ascii="Times New Roman" w:hAnsi="Times New Roman" w:cs="Times New Roman"/>
          <w:sz w:val="24"/>
          <w:szCs w:val="24"/>
        </w:rPr>
        <w:t>[Nosaukums B]</w:t>
      </w:r>
      <w:r w:rsidRPr="00E273B3">
        <w:rPr>
          <w:rFonts w:ascii="Times New Roman" w:hAnsi="Times New Roman" w:cs="Times New Roman"/>
          <w:sz w:val="24"/>
          <w:szCs w:val="24"/>
        </w:rPr>
        <w:t>” izv</w:t>
      </w:r>
      <w:r w:rsidR="00E029BE" w:rsidRPr="00E273B3">
        <w:rPr>
          <w:rFonts w:ascii="Times New Roman" w:hAnsi="Times New Roman" w:cs="Times New Roman"/>
          <w:sz w:val="24"/>
          <w:szCs w:val="24"/>
        </w:rPr>
        <w:t>airītos no nodokļu nomaksas: 1) </w:t>
      </w:r>
      <w:r w:rsidRPr="00E273B3">
        <w:rPr>
          <w:rFonts w:ascii="Times New Roman" w:hAnsi="Times New Roman" w:cs="Times New Roman"/>
          <w:sz w:val="24"/>
          <w:szCs w:val="24"/>
        </w:rPr>
        <w:t>tika izmantoti</w:t>
      </w:r>
      <w:r w:rsidR="00272023" w:rsidRPr="00E273B3">
        <w:rPr>
          <w:rFonts w:ascii="Times New Roman" w:hAnsi="Times New Roman" w:cs="Times New Roman"/>
          <w:sz w:val="24"/>
          <w:szCs w:val="24"/>
        </w:rPr>
        <w:t xml:space="preserve"> vienu un to pašu fiktīvo uzņēmumu vārdā viltoti grāmatved</w:t>
      </w:r>
      <w:r w:rsidR="00E029BE" w:rsidRPr="00E273B3">
        <w:rPr>
          <w:rFonts w:ascii="Times New Roman" w:hAnsi="Times New Roman" w:cs="Times New Roman"/>
          <w:sz w:val="24"/>
          <w:szCs w:val="24"/>
        </w:rPr>
        <w:t>ības attaisnojuma dokumenti; 2) </w:t>
      </w:r>
      <w:r w:rsidR="00272023" w:rsidRPr="00E273B3">
        <w:rPr>
          <w:rFonts w:ascii="Times New Roman" w:hAnsi="Times New Roman" w:cs="Times New Roman"/>
          <w:sz w:val="24"/>
          <w:szCs w:val="24"/>
        </w:rPr>
        <w:t>šie dokumenti vienlaic</w:t>
      </w:r>
      <w:r w:rsidR="00E029BE" w:rsidRPr="00E273B3">
        <w:rPr>
          <w:rFonts w:ascii="Times New Roman" w:hAnsi="Times New Roman" w:cs="Times New Roman"/>
          <w:sz w:val="24"/>
          <w:szCs w:val="24"/>
        </w:rPr>
        <w:t>īgi iegūti abiem uzņēmumiem; 3) </w:t>
      </w:r>
      <w:r w:rsidR="00272023" w:rsidRPr="00E273B3">
        <w:rPr>
          <w:rFonts w:ascii="Times New Roman" w:hAnsi="Times New Roman" w:cs="Times New Roman"/>
          <w:sz w:val="24"/>
          <w:szCs w:val="24"/>
        </w:rPr>
        <w:t>koordinējot viltoto dokumentu iegūšanu, tika izmantoti vieni un tie paši e</w:t>
      </w:r>
      <w:r w:rsidR="00E029BE" w:rsidRPr="00E273B3">
        <w:rPr>
          <w:rFonts w:ascii="Times New Roman" w:hAnsi="Times New Roman" w:cs="Times New Roman"/>
          <w:sz w:val="24"/>
          <w:szCs w:val="24"/>
        </w:rPr>
        <w:t>-</w:t>
      </w:r>
      <w:proofErr w:type="spellStart"/>
      <w:r w:rsidR="00272023" w:rsidRPr="00E273B3">
        <w:rPr>
          <w:rFonts w:ascii="Times New Roman" w:hAnsi="Times New Roman" w:cs="Times New Roman"/>
          <w:sz w:val="24"/>
          <w:szCs w:val="24"/>
        </w:rPr>
        <w:t>past</w:t>
      </w:r>
      <w:r w:rsidR="003971F2" w:rsidRPr="00E273B3">
        <w:rPr>
          <w:rFonts w:ascii="Times New Roman" w:hAnsi="Times New Roman" w:cs="Times New Roman"/>
          <w:sz w:val="24"/>
          <w:szCs w:val="24"/>
        </w:rPr>
        <w:t>i</w:t>
      </w:r>
      <w:proofErr w:type="spellEnd"/>
      <w:r w:rsidR="003971F2" w:rsidRPr="00E273B3">
        <w:rPr>
          <w:rFonts w:ascii="Times New Roman" w:hAnsi="Times New Roman" w:cs="Times New Roman"/>
          <w:sz w:val="24"/>
          <w:szCs w:val="24"/>
        </w:rPr>
        <w:t>.</w:t>
      </w:r>
      <w:r w:rsidR="00E029BE" w:rsidRPr="00E273B3">
        <w:rPr>
          <w:rFonts w:ascii="Times New Roman" w:hAnsi="Times New Roman" w:cs="Times New Roman"/>
          <w:sz w:val="24"/>
          <w:szCs w:val="24"/>
        </w:rPr>
        <w:t xml:space="preserve"> </w:t>
      </w:r>
    </w:p>
    <w:p w14:paraId="2E6794BB" w14:textId="106AEEE3" w:rsidR="0064003E" w:rsidRPr="00E273B3" w:rsidRDefault="00A03C0C" w:rsidP="0064003E">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 xml:space="preserve">Turklāt no apsūdzētās </w:t>
      </w:r>
      <w:r w:rsidR="007D56EE">
        <w:rPr>
          <w:rFonts w:ascii="Times New Roman" w:hAnsi="Times New Roman" w:cs="Times New Roman"/>
          <w:sz w:val="24"/>
          <w:szCs w:val="24"/>
        </w:rPr>
        <w:t>[pers. B]</w:t>
      </w:r>
      <w:r w:rsidRPr="00E273B3">
        <w:rPr>
          <w:rFonts w:ascii="Times New Roman" w:hAnsi="Times New Roman" w:cs="Times New Roman"/>
          <w:sz w:val="24"/>
          <w:szCs w:val="24"/>
        </w:rPr>
        <w:t xml:space="preserve"> pirmstiesas kriminālprocesā sniegtajām liecībām izriet, ka vienošanās par abu uzņēmumu izvairīšanos no nodokļu nomaksas notikusi vienlai</w:t>
      </w:r>
      <w:r w:rsidR="0064003E" w:rsidRPr="00E273B3">
        <w:rPr>
          <w:rFonts w:ascii="Times New Roman" w:hAnsi="Times New Roman" w:cs="Times New Roman"/>
          <w:sz w:val="24"/>
          <w:szCs w:val="24"/>
        </w:rPr>
        <w:t>kus </w:t>
      </w:r>
      <w:r w:rsidRPr="00E273B3">
        <w:rPr>
          <w:rFonts w:ascii="Times New Roman" w:hAnsi="Times New Roman" w:cs="Times New Roman"/>
          <w:sz w:val="24"/>
          <w:szCs w:val="24"/>
        </w:rPr>
        <w:t>– vienas sarunas ietvaros.</w:t>
      </w:r>
      <w:r w:rsidR="00272023" w:rsidRPr="00E273B3">
        <w:rPr>
          <w:rFonts w:ascii="Times New Roman" w:hAnsi="Times New Roman" w:cs="Times New Roman"/>
          <w:sz w:val="24"/>
          <w:szCs w:val="24"/>
        </w:rPr>
        <w:t xml:space="preserve"> </w:t>
      </w:r>
    </w:p>
    <w:p w14:paraId="276F0071" w14:textId="77777777" w:rsidR="0064003E" w:rsidRPr="00E273B3" w:rsidRDefault="00DB4E50" w:rsidP="0064003E">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 xml:space="preserve">Atstājot bez ievērības iepriekš minētos </w:t>
      </w:r>
      <w:r w:rsidR="0044147C" w:rsidRPr="00E273B3">
        <w:rPr>
          <w:rFonts w:ascii="Times New Roman" w:hAnsi="Times New Roman" w:cs="Times New Roman"/>
          <w:sz w:val="24"/>
          <w:szCs w:val="24"/>
        </w:rPr>
        <w:t>faktus</w:t>
      </w:r>
      <w:r w:rsidRPr="00E273B3">
        <w:rPr>
          <w:rFonts w:ascii="Times New Roman" w:hAnsi="Times New Roman" w:cs="Times New Roman"/>
          <w:sz w:val="24"/>
          <w:szCs w:val="24"/>
        </w:rPr>
        <w:t xml:space="preserve">, apelācijas instances tiesa atzinusi, ka personas nav saucamas pie kriminālatbildības, jo izvairīšanās no nodokļu nomaksas lielā apmērā notikusi divu, nevis viena uzņēmuma ietvaros. Tādējādi apelācijas instances tiesa nepareizi piemērojusi Krimināllikuma </w:t>
      </w:r>
      <w:proofErr w:type="gramStart"/>
      <w:r w:rsidRPr="00E273B3">
        <w:rPr>
          <w:rFonts w:ascii="Times New Roman" w:hAnsi="Times New Roman" w:cs="Times New Roman"/>
          <w:sz w:val="24"/>
          <w:szCs w:val="24"/>
        </w:rPr>
        <w:t>218.pantu</w:t>
      </w:r>
      <w:proofErr w:type="gramEnd"/>
      <w:r w:rsidR="0044147C" w:rsidRPr="00E273B3">
        <w:rPr>
          <w:rFonts w:ascii="Times New Roman" w:hAnsi="Times New Roman" w:cs="Times New Roman"/>
          <w:sz w:val="24"/>
          <w:szCs w:val="24"/>
        </w:rPr>
        <w:t>, jo pieļāvusi, ka vainīgās personas netiek sauktas pie kriminālatbildības, lai arī valstij ir nodarīti zaudējumi lielā apmērā. Šāda tiesu prakse ir pretrunā arī ar profesores V.</w:t>
      </w:r>
      <w:r w:rsidR="0064003E" w:rsidRPr="00E273B3">
        <w:rPr>
          <w:rFonts w:ascii="Times New Roman" w:hAnsi="Times New Roman" w:cs="Times New Roman"/>
          <w:sz w:val="24"/>
          <w:szCs w:val="24"/>
        </w:rPr>
        <w:t> </w:t>
      </w:r>
      <w:proofErr w:type="spellStart"/>
      <w:r w:rsidR="0044147C" w:rsidRPr="00E273B3">
        <w:rPr>
          <w:rFonts w:ascii="Times New Roman" w:hAnsi="Times New Roman" w:cs="Times New Roman"/>
          <w:sz w:val="24"/>
          <w:szCs w:val="24"/>
        </w:rPr>
        <w:t>Liholajas</w:t>
      </w:r>
      <w:proofErr w:type="spellEnd"/>
      <w:r w:rsidR="0044147C" w:rsidRPr="00E273B3">
        <w:rPr>
          <w:rFonts w:ascii="Times New Roman" w:hAnsi="Times New Roman" w:cs="Times New Roman"/>
          <w:sz w:val="24"/>
          <w:szCs w:val="24"/>
        </w:rPr>
        <w:t xml:space="preserve"> 2016.gada 11.aprīlī izskatāmajā lietā sniegt</w:t>
      </w:r>
      <w:r w:rsidR="00C2243E" w:rsidRPr="00E273B3">
        <w:rPr>
          <w:rFonts w:ascii="Times New Roman" w:hAnsi="Times New Roman" w:cs="Times New Roman"/>
          <w:sz w:val="24"/>
          <w:szCs w:val="24"/>
        </w:rPr>
        <w:t>o</w:t>
      </w:r>
      <w:r w:rsidR="0044147C" w:rsidRPr="00E273B3">
        <w:rPr>
          <w:rFonts w:ascii="Times New Roman" w:hAnsi="Times New Roman" w:cs="Times New Roman"/>
          <w:sz w:val="24"/>
          <w:szCs w:val="24"/>
        </w:rPr>
        <w:t xml:space="preserve"> atzinum</w:t>
      </w:r>
      <w:r w:rsidR="00C2243E" w:rsidRPr="00E273B3">
        <w:rPr>
          <w:rFonts w:ascii="Times New Roman" w:hAnsi="Times New Roman" w:cs="Times New Roman"/>
          <w:sz w:val="24"/>
          <w:szCs w:val="24"/>
        </w:rPr>
        <w:t>u.</w:t>
      </w:r>
      <w:r w:rsidR="0064003E" w:rsidRPr="00E273B3">
        <w:rPr>
          <w:rFonts w:ascii="Times New Roman" w:hAnsi="Times New Roman" w:cs="Times New Roman"/>
          <w:sz w:val="24"/>
          <w:szCs w:val="24"/>
        </w:rPr>
        <w:t xml:space="preserve"> </w:t>
      </w:r>
    </w:p>
    <w:p w14:paraId="5BC8E1F3" w14:textId="785010C8" w:rsidR="00170FE4" w:rsidRPr="00E273B3" w:rsidRDefault="00C2243E" w:rsidP="00170FE4">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w:t>
      </w:r>
      <w:r w:rsidR="003843EE" w:rsidRPr="00E273B3">
        <w:rPr>
          <w:rFonts w:ascii="Times New Roman" w:hAnsi="Times New Roman" w:cs="Times New Roman"/>
          <w:sz w:val="24"/>
          <w:szCs w:val="24"/>
        </w:rPr>
        <w:t>5</w:t>
      </w:r>
      <w:r w:rsidR="00A53AD4" w:rsidRPr="00E273B3">
        <w:rPr>
          <w:rFonts w:ascii="Times New Roman" w:hAnsi="Times New Roman" w:cs="Times New Roman"/>
          <w:sz w:val="24"/>
          <w:szCs w:val="24"/>
        </w:rPr>
        <w:t>.2] </w:t>
      </w:r>
      <w:r w:rsidRPr="00E273B3">
        <w:rPr>
          <w:rFonts w:ascii="Times New Roman" w:hAnsi="Times New Roman" w:cs="Times New Roman"/>
          <w:sz w:val="24"/>
          <w:szCs w:val="24"/>
        </w:rPr>
        <w:t>Apelācijas instances tiesa nepamatoti atzinusi, ka pirmās instances tiesa</w:t>
      </w:r>
      <w:r w:rsidR="00EF10FD" w:rsidRPr="00E273B3">
        <w:rPr>
          <w:rFonts w:ascii="Times New Roman" w:hAnsi="Times New Roman" w:cs="Times New Roman"/>
          <w:sz w:val="24"/>
          <w:szCs w:val="24"/>
        </w:rPr>
        <w:t>,</w:t>
      </w:r>
      <w:r w:rsidRPr="00E273B3">
        <w:rPr>
          <w:rFonts w:ascii="Times New Roman" w:hAnsi="Times New Roman" w:cs="Times New Roman"/>
          <w:sz w:val="24"/>
          <w:szCs w:val="24"/>
        </w:rPr>
        <w:t xml:space="preserve"> papildinot apsūdzību ar norādi, ka</w:t>
      </w:r>
      <w:r w:rsidR="001F1801" w:rsidRPr="00E273B3">
        <w:rPr>
          <w:rFonts w:ascii="Times New Roman" w:hAnsi="Times New Roman" w:cs="Times New Roman"/>
          <w:sz w:val="24"/>
          <w:szCs w:val="24"/>
        </w:rPr>
        <w:t xml:space="preserve"> SIA „</w:t>
      </w:r>
      <w:r w:rsidR="00613739">
        <w:rPr>
          <w:rFonts w:ascii="Times New Roman" w:hAnsi="Times New Roman" w:cs="Times New Roman"/>
          <w:sz w:val="24"/>
          <w:szCs w:val="24"/>
        </w:rPr>
        <w:t>[Nosaukums A]</w:t>
      </w:r>
      <w:r w:rsidR="001F1801" w:rsidRPr="00E273B3">
        <w:rPr>
          <w:rFonts w:ascii="Times New Roman" w:hAnsi="Times New Roman" w:cs="Times New Roman"/>
          <w:sz w:val="24"/>
          <w:szCs w:val="24"/>
        </w:rPr>
        <w:t>” un SIA „</w:t>
      </w:r>
      <w:r w:rsidR="00613739">
        <w:rPr>
          <w:rFonts w:ascii="Times New Roman" w:hAnsi="Times New Roman" w:cs="Times New Roman"/>
          <w:sz w:val="24"/>
          <w:szCs w:val="24"/>
        </w:rPr>
        <w:t>[Nosaukums B]</w:t>
      </w:r>
      <w:r w:rsidRPr="00E273B3">
        <w:rPr>
          <w:rFonts w:ascii="Times New Roman" w:hAnsi="Times New Roman" w:cs="Times New Roman"/>
          <w:sz w:val="24"/>
          <w:szCs w:val="24"/>
        </w:rPr>
        <w:t>”</w:t>
      </w:r>
      <w:r w:rsidR="00EF10FD" w:rsidRPr="00E273B3">
        <w:rPr>
          <w:rFonts w:ascii="Times New Roman" w:hAnsi="Times New Roman" w:cs="Times New Roman"/>
          <w:sz w:val="24"/>
          <w:szCs w:val="24"/>
        </w:rPr>
        <w:t xml:space="preserve"> par nodokļu nomaksu atbildīgā amatpersona </w:t>
      </w:r>
      <w:r w:rsidR="00613739">
        <w:rPr>
          <w:rFonts w:ascii="Times New Roman" w:hAnsi="Times New Roman" w:cs="Times New Roman"/>
          <w:sz w:val="24"/>
          <w:szCs w:val="24"/>
        </w:rPr>
        <w:t>[pers. A]</w:t>
      </w:r>
      <w:r w:rsidR="00EF10FD" w:rsidRPr="00E273B3">
        <w:rPr>
          <w:rFonts w:ascii="Times New Roman" w:hAnsi="Times New Roman" w:cs="Times New Roman"/>
          <w:sz w:val="24"/>
          <w:szCs w:val="24"/>
        </w:rPr>
        <w:t xml:space="preserve"> veica darbības, īstenojot vienotu nodomu, pārkāpusi Kriminālprocesa likuma 455.panta nosacījumus, jo prettiesiski konstatējusi no apsūdzības atšķirīgus noziedzīgā nodarījuma subjektīvo pusi raksturojošos apstākļus un tādējādi nepamatoti pasliktinājusi visu apsūdzēto stāvokli lietā.</w:t>
      </w:r>
      <w:r w:rsidR="00170FE4" w:rsidRPr="00E273B3">
        <w:rPr>
          <w:rFonts w:ascii="Times New Roman" w:hAnsi="Times New Roman" w:cs="Times New Roman"/>
          <w:sz w:val="24"/>
          <w:szCs w:val="24"/>
        </w:rPr>
        <w:t xml:space="preserve"> </w:t>
      </w:r>
    </w:p>
    <w:p w14:paraId="34136ECF" w14:textId="4040F7C3" w:rsidR="00A002B4" w:rsidRPr="00E273B3" w:rsidRDefault="00993CFB" w:rsidP="00A002B4">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 xml:space="preserve">Šāds tiesas atzinums ir nepamatots, jo visu kriminālprocesa laiku apsūdzētajiem tika uzturēta apsūdzība par izvairīšanos no nodokļu nomaksas kā vienota turpināta noziedzīga nodarījuma izdarīšanu vai atbalstīšanu. Turklāt </w:t>
      </w:r>
      <w:r w:rsidR="00613739">
        <w:rPr>
          <w:rFonts w:ascii="Times New Roman" w:hAnsi="Times New Roman" w:cs="Times New Roman"/>
          <w:sz w:val="24"/>
          <w:szCs w:val="24"/>
        </w:rPr>
        <w:t>[pers. A]</w:t>
      </w:r>
      <w:r w:rsidRPr="00E273B3">
        <w:rPr>
          <w:rFonts w:ascii="Times New Roman" w:hAnsi="Times New Roman" w:cs="Times New Roman"/>
          <w:sz w:val="24"/>
          <w:szCs w:val="24"/>
        </w:rPr>
        <w:t xml:space="preserve"> un </w:t>
      </w:r>
      <w:r w:rsidR="00613739">
        <w:rPr>
          <w:rFonts w:ascii="Times New Roman" w:hAnsi="Times New Roman" w:cs="Times New Roman"/>
          <w:sz w:val="24"/>
          <w:szCs w:val="24"/>
        </w:rPr>
        <w:t>[pers. B]</w:t>
      </w:r>
      <w:r w:rsidR="0095116E" w:rsidRPr="00E273B3">
        <w:rPr>
          <w:rFonts w:ascii="Times New Roman" w:hAnsi="Times New Roman" w:cs="Times New Roman"/>
          <w:sz w:val="24"/>
          <w:szCs w:val="24"/>
        </w:rPr>
        <w:t xml:space="preserve"> pirmās instances tiesā</w:t>
      </w:r>
      <w:r w:rsidRPr="00E273B3">
        <w:rPr>
          <w:rFonts w:ascii="Times New Roman" w:hAnsi="Times New Roman" w:cs="Times New Roman"/>
          <w:sz w:val="24"/>
          <w:szCs w:val="24"/>
        </w:rPr>
        <w:t xml:space="preserve"> tika uzturēta smagāka apsūdzība</w:t>
      </w:r>
      <w:r w:rsidR="0095116E" w:rsidRPr="00E273B3">
        <w:rPr>
          <w:rFonts w:ascii="Times New Roman" w:hAnsi="Times New Roman" w:cs="Times New Roman"/>
          <w:sz w:val="24"/>
          <w:szCs w:val="24"/>
        </w:rPr>
        <w:t xml:space="preserve"> </w:t>
      </w:r>
      <w:r w:rsidRPr="00E273B3">
        <w:rPr>
          <w:rFonts w:ascii="Times New Roman" w:hAnsi="Times New Roman" w:cs="Times New Roman"/>
          <w:sz w:val="24"/>
          <w:szCs w:val="24"/>
        </w:rPr>
        <w:t>par noziedzīgā nodarījuma izdarīšanu personu grupā pēc iepriekšējas vienošanās,</w:t>
      </w:r>
      <w:r w:rsidR="0095116E" w:rsidRPr="00E273B3">
        <w:rPr>
          <w:rFonts w:ascii="Times New Roman" w:hAnsi="Times New Roman" w:cs="Times New Roman"/>
          <w:sz w:val="24"/>
          <w:szCs w:val="24"/>
        </w:rPr>
        <w:t xml:space="preserve"> savukārt </w:t>
      </w:r>
      <w:r w:rsidR="00613739">
        <w:rPr>
          <w:rFonts w:ascii="Times New Roman" w:hAnsi="Times New Roman" w:cs="Times New Roman"/>
          <w:sz w:val="24"/>
          <w:szCs w:val="24"/>
        </w:rPr>
        <w:t>[pers. C]</w:t>
      </w:r>
      <w:r w:rsidR="0095116E" w:rsidRPr="00E273B3">
        <w:rPr>
          <w:rFonts w:ascii="Times New Roman" w:hAnsi="Times New Roman" w:cs="Times New Roman"/>
          <w:sz w:val="24"/>
          <w:szCs w:val="24"/>
        </w:rPr>
        <w:t xml:space="preserve"> un </w:t>
      </w:r>
      <w:r w:rsidR="00613739">
        <w:rPr>
          <w:rFonts w:ascii="Times New Roman" w:hAnsi="Times New Roman" w:cs="Times New Roman"/>
          <w:sz w:val="24"/>
          <w:szCs w:val="24"/>
        </w:rPr>
        <w:t>[pers. D]</w:t>
      </w:r>
      <w:r w:rsidR="0095116E" w:rsidRPr="00E273B3">
        <w:rPr>
          <w:rFonts w:ascii="Times New Roman" w:hAnsi="Times New Roman" w:cs="Times New Roman"/>
          <w:sz w:val="24"/>
          <w:szCs w:val="24"/>
        </w:rPr>
        <w:t xml:space="preserve"> – par šāda noziedzīgā nodarījuma atbalstīšanu. Tādējādi apelācijas instances tiesa nepareizi piemērojusi Kriminālprocesa likuma </w:t>
      </w:r>
      <w:proofErr w:type="gramStart"/>
      <w:r w:rsidR="0095116E" w:rsidRPr="00E273B3">
        <w:rPr>
          <w:rFonts w:ascii="Times New Roman" w:hAnsi="Times New Roman" w:cs="Times New Roman"/>
          <w:sz w:val="24"/>
          <w:szCs w:val="24"/>
        </w:rPr>
        <w:t>455.pantu</w:t>
      </w:r>
      <w:proofErr w:type="gramEnd"/>
      <w:r w:rsidR="0095116E" w:rsidRPr="00E273B3">
        <w:rPr>
          <w:rFonts w:ascii="Times New Roman" w:hAnsi="Times New Roman" w:cs="Times New Roman"/>
          <w:sz w:val="24"/>
          <w:szCs w:val="24"/>
        </w:rPr>
        <w:t>.</w:t>
      </w:r>
      <w:r w:rsidR="00A002B4" w:rsidRPr="00E273B3">
        <w:rPr>
          <w:rFonts w:ascii="Times New Roman" w:hAnsi="Times New Roman" w:cs="Times New Roman"/>
          <w:sz w:val="24"/>
          <w:szCs w:val="24"/>
        </w:rPr>
        <w:t xml:space="preserve"> </w:t>
      </w:r>
    </w:p>
    <w:p w14:paraId="2E21CDB2" w14:textId="3BA1A655" w:rsidR="00993CFB" w:rsidRPr="00E273B3" w:rsidRDefault="0095116E" w:rsidP="00A002B4">
      <w:pPr>
        <w:spacing w:after="0"/>
        <w:ind w:right="-1" w:firstLine="709"/>
        <w:jc w:val="both"/>
        <w:rPr>
          <w:rFonts w:ascii="Times New Roman" w:hAnsi="Times New Roman" w:cs="Times New Roman"/>
          <w:sz w:val="24"/>
          <w:szCs w:val="24"/>
        </w:rPr>
      </w:pPr>
      <w:r w:rsidRPr="00E273B3">
        <w:rPr>
          <w:rFonts w:ascii="Times New Roman" w:hAnsi="Times New Roman" w:cs="Times New Roman"/>
          <w:sz w:val="24"/>
          <w:szCs w:val="24"/>
        </w:rPr>
        <w:t>[</w:t>
      </w:r>
      <w:r w:rsidR="003843EE" w:rsidRPr="00E273B3">
        <w:rPr>
          <w:rFonts w:ascii="Times New Roman" w:hAnsi="Times New Roman" w:cs="Times New Roman"/>
          <w:sz w:val="24"/>
          <w:szCs w:val="24"/>
        </w:rPr>
        <w:t>5</w:t>
      </w:r>
      <w:r w:rsidR="00A002B4" w:rsidRPr="00E273B3">
        <w:rPr>
          <w:rFonts w:ascii="Times New Roman" w:hAnsi="Times New Roman" w:cs="Times New Roman"/>
          <w:sz w:val="24"/>
          <w:szCs w:val="24"/>
        </w:rPr>
        <w:t>.3] </w:t>
      </w:r>
      <w:r w:rsidR="00A3045E" w:rsidRPr="00E273B3">
        <w:rPr>
          <w:rFonts w:ascii="Times New Roman" w:hAnsi="Times New Roman" w:cs="Times New Roman"/>
          <w:sz w:val="24"/>
          <w:szCs w:val="24"/>
        </w:rPr>
        <w:t xml:space="preserve">Apelācijas instances tiesa nepamatoti atzinusi, ka faktūrrēķini par </w:t>
      </w:r>
      <w:r w:rsidR="00377B98" w:rsidRPr="00E273B3">
        <w:rPr>
          <w:rFonts w:ascii="Times New Roman" w:hAnsi="Times New Roman" w:cs="Times New Roman"/>
          <w:sz w:val="24"/>
          <w:szCs w:val="24"/>
        </w:rPr>
        <w:t>datora iegādi Polijas uzņēmumā „</w:t>
      </w:r>
      <w:proofErr w:type="spellStart"/>
      <w:r w:rsidR="00A3045E" w:rsidRPr="00E273B3">
        <w:rPr>
          <w:rFonts w:ascii="Times New Roman" w:hAnsi="Times New Roman" w:cs="Times New Roman"/>
          <w:sz w:val="24"/>
          <w:szCs w:val="24"/>
        </w:rPr>
        <w:t>Belamare</w:t>
      </w:r>
      <w:proofErr w:type="spellEnd"/>
      <w:r w:rsidR="00A3045E" w:rsidRPr="00E273B3">
        <w:rPr>
          <w:rFonts w:ascii="Times New Roman" w:hAnsi="Times New Roman" w:cs="Times New Roman"/>
          <w:sz w:val="24"/>
          <w:szCs w:val="24"/>
        </w:rPr>
        <w:t xml:space="preserve">”, kurus </w:t>
      </w:r>
      <w:r w:rsidR="00613739">
        <w:rPr>
          <w:rFonts w:ascii="Times New Roman" w:hAnsi="Times New Roman" w:cs="Times New Roman"/>
          <w:sz w:val="24"/>
          <w:szCs w:val="24"/>
        </w:rPr>
        <w:t>[pers. D]</w:t>
      </w:r>
      <w:r w:rsidR="00A3045E" w:rsidRPr="00E273B3">
        <w:rPr>
          <w:rFonts w:ascii="Times New Roman" w:hAnsi="Times New Roman" w:cs="Times New Roman"/>
          <w:sz w:val="24"/>
          <w:szCs w:val="24"/>
        </w:rPr>
        <w:t xml:space="preserve"> iesniedza procesa virzītājam, nav uzskatāmi par dokumentiem Krimināllikuma </w:t>
      </w:r>
      <w:proofErr w:type="gramStart"/>
      <w:r w:rsidR="00A3045E" w:rsidRPr="00E273B3">
        <w:rPr>
          <w:rFonts w:ascii="Times New Roman" w:hAnsi="Times New Roman" w:cs="Times New Roman"/>
          <w:sz w:val="24"/>
          <w:szCs w:val="24"/>
        </w:rPr>
        <w:t>275.panta</w:t>
      </w:r>
      <w:proofErr w:type="gramEnd"/>
      <w:r w:rsidR="00A3045E" w:rsidRPr="00E273B3">
        <w:rPr>
          <w:rFonts w:ascii="Times New Roman" w:hAnsi="Times New Roman" w:cs="Times New Roman"/>
          <w:sz w:val="24"/>
          <w:szCs w:val="24"/>
        </w:rPr>
        <w:t xml:space="preserve"> izpratnē, bet par maldinošu informāciju, kura nevienam nekādas tiesības nepiešķir un pienākumus neuzliek</w:t>
      </w:r>
      <w:r w:rsidR="00377B98" w:rsidRPr="00E273B3">
        <w:rPr>
          <w:rFonts w:ascii="Times New Roman" w:hAnsi="Times New Roman" w:cs="Times New Roman"/>
          <w:sz w:val="24"/>
          <w:szCs w:val="24"/>
        </w:rPr>
        <w:t xml:space="preserve">, kā arī neapdraud </w:t>
      </w:r>
      <w:r w:rsidR="0014203B" w:rsidRPr="00E273B3">
        <w:rPr>
          <w:rFonts w:ascii="Times New Roman" w:hAnsi="Times New Roman" w:cs="Times New Roman"/>
          <w:sz w:val="24"/>
          <w:szCs w:val="24"/>
        </w:rPr>
        <w:t xml:space="preserve">valsts pārvaldības kārtību. Tiesa nepamatoti secinājusi, ka </w:t>
      </w:r>
      <w:r w:rsidR="00613739">
        <w:rPr>
          <w:rFonts w:ascii="Times New Roman" w:hAnsi="Times New Roman" w:cs="Times New Roman"/>
          <w:sz w:val="24"/>
          <w:szCs w:val="24"/>
        </w:rPr>
        <w:t>[pers. D]</w:t>
      </w:r>
      <w:r w:rsidR="0014203B" w:rsidRPr="00E273B3">
        <w:rPr>
          <w:rFonts w:ascii="Times New Roman" w:hAnsi="Times New Roman" w:cs="Times New Roman"/>
          <w:sz w:val="24"/>
          <w:szCs w:val="24"/>
        </w:rPr>
        <w:t xml:space="preserve"> rīcība, iesniedzot procesa virzītājam kratīšanas laikā izņemtā datora iegādi apliecinošus dokumentus, vērtējama vienīgi saistībā ar to, ka bija nepieciešams pierādīt izņemtā datora piederību</w:t>
      </w:r>
      <w:r w:rsidR="000529B2" w:rsidRPr="00E273B3">
        <w:rPr>
          <w:rFonts w:ascii="Times New Roman" w:hAnsi="Times New Roman" w:cs="Times New Roman"/>
          <w:sz w:val="24"/>
          <w:szCs w:val="24"/>
        </w:rPr>
        <w:t xml:space="preserve">. </w:t>
      </w:r>
      <w:r w:rsidR="007C132A" w:rsidRPr="00E273B3">
        <w:rPr>
          <w:rFonts w:ascii="Times New Roman" w:hAnsi="Times New Roman" w:cs="Times New Roman"/>
          <w:sz w:val="24"/>
          <w:szCs w:val="24"/>
        </w:rPr>
        <w:t xml:space="preserve">Tiesa nepamatoti atzinusi, ka nav apstiprinājies </w:t>
      </w:r>
      <w:r w:rsidR="00613739">
        <w:rPr>
          <w:rFonts w:ascii="Times New Roman" w:hAnsi="Times New Roman" w:cs="Times New Roman"/>
          <w:sz w:val="24"/>
          <w:szCs w:val="24"/>
        </w:rPr>
        <w:t>[pers. D]</w:t>
      </w:r>
      <w:r w:rsidR="007C132A" w:rsidRPr="00E273B3">
        <w:rPr>
          <w:rFonts w:ascii="Times New Roman" w:hAnsi="Times New Roman" w:cs="Times New Roman"/>
          <w:sz w:val="24"/>
          <w:szCs w:val="24"/>
        </w:rPr>
        <w:t xml:space="preserve"> mantkārīgais nolūks – vēlēšanās izvairīties no soda par tādu datoru izmantošanu, kuros instalētas programmas, pārkāpjot autortiesības –</w:t>
      </w:r>
      <w:r w:rsidR="00514FA1" w:rsidRPr="00E273B3">
        <w:rPr>
          <w:rFonts w:ascii="Times New Roman" w:hAnsi="Times New Roman" w:cs="Times New Roman"/>
          <w:sz w:val="24"/>
          <w:szCs w:val="24"/>
        </w:rPr>
        <w:t>, atsaucoties uz to, ka</w:t>
      </w:r>
      <w:r w:rsidR="00DE62A1" w:rsidRPr="00E273B3">
        <w:rPr>
          <w:rFonts w:ascii="Times New Roman" w:hAnsi="Times New Roman" w:cs="Times New Roman"/>
          <w:sz w:val="24"/>
          <w:szCs w:val="24"/>
        </w:rPr>
        <w:t xml:space="preserve"> </w:t>
      </w:r>
      <w:r w:rsidR="00514FA1" w:rsidRPr="00E273B3">
        <w:rPr>
          <w:rFonts w:ascii="Times New Roman" w:hAnsi="Times New Roman" w:cs="Times New Roman"/>
          <w:sz w:val="24"/>
          <w:szCs w:val="24"/>
        </w:rPr>
        <w:t xml:space="preserve">vēl nebija veikta izņemtā datora apskate un procesa virzītājam vēl nebija zināms par datorā instalētajām programmām. Faktiski lietā nekad nav pastāvējis strīds par to, ka </w:t>
      </w:r>
      <w:r w:rsidR="00613739">
        <w:rPr>
          <w:rFonts w:ascii="Times New Roman" w:hAnsi="Times New Roman" w:cs="Times New Roman"/>
          <w:sz w:val="24"/>
          <w:szCs w:val="24"/>
        </w:rPr>
        <w:t>[pers. D]</w:t>
      </w:r>
      <w:r w:rsidR="00514FA1" w:rsidRPr="00E273B3">
        <w:rPr>
          <w:rFonts w:ascii="Times New Roman" w:hAnsi="Times New Roman" w:cs="Times New Roman"/>
          <w:sz w:val="24"/>
          <w:szCs w:val="24"/>
        </w:rPr>
        <w:t xml:space="preserve"> faktūrrēķinus procesa virzītājam</w:t>
      </w:r>
      <w:r w:rsidR="00DE62A1" w:rsidRPr="00E273B3">
        <w:rPr>
          <w:rFonts w:ascii="Times New Roman" w:hAnsi="Times New Roman" w:cs="Times New Roman"/>
          <w:sz w:val="24"/>
          <w:szCs w:val="24"/>
        </w:rPr>
        <w:t xml:space="preserve"> iesniedzis kā datora īpašumtiesības un datorprogrammu legalitāti apliecinošus dokumentus. Minēto apstiprina </w:t>
      </w:r>
      <w:r w:rsidR="00613739">
        <w:rPr>
          <w:rFonts w:ascii="Times New Roman" w:hAnsi="Times New Roman" w:cs="Times New Roman"/>
          <w:sz w:val="24"/>
          <w:szCs w:val="24"/>
        </w:rPr>
        <w:t>[pers. D]</w:t>
      </w:r>
      <w:r w:rsidR="00DE62A1" w:rsidRPr="00E273B3">
        <w:rPr>
          <w:rFonts w:ascii="Times New Roman" w:hAnsi="Times New Roman" w:cs="Times New Roman"/>
          <w:sz w:val="24"/>
          <w:szCs w:val="24"/>
        </w:rPr>
        <w:t xml:space="preserve"> pirmstiesas kriminālprocesā sniegtās liecības. </w:t>
      </w:r>
      <w:r w:rsidR="003C12B5" w:rsidRPr="00E273B3">
        <w:rPr>
          <w:rFonts w:ascii="Times New Roman" w:hAnsi="Times New Roman" w:cs="Times New Roman"/>
          <w:sz w:val="24"/>
          <w:szCs w:val="24"/>
        </w:rPr>
        <w:t xml:space="preserve">Šajā gadījumā </w:t>
      </w:r>
      <w:r w:rsidR="00613739">
        <w:rPr>
          <w:rFonts w:ascii="Times New Roman" w:hAnsi="Times New Roman" w:cs="Times New Roman"/>
          <w:sz w:val="24"/>
          <w:szCs w:val="24"/>
        </w:rPr>
        <w:t>[pers. D]</w:t>
      </w:r>
      <w:r w:rsidR="00047EF6" w:rsidRPr="00E273B3">
        <w:rPr>
          <w:rFonts w:ascii="Times New Roman" w:hAnsi="Times New Roman" w:cs="Times New Roman"/>
          <w:sz w:val="24"/>
          <w:szCs w:val="24"/>
        </w:rPr>
        <w:t xml:space="preserve"> iesniegtie faktūrrēķini Nr. BL/0309-005 un Nr. </w:t>
      </w:r>
      <w:r w:rsidR="003C12B5" w:rsidRPr="00E273B3">
        <w:rPr>
          <w:rFonts w:ascii="Times New Roman" w:hAnsi="Times New Roman" w:cs="Times New Roman"/>
          <w:sz w:val="24"/>
          <w:szCs w:val="24"/>
        </w:rPr>
        <w:t>BL/0309-006 atbilst OEM (</w:t>
      </w:r>
      <w:proofErr w:type="spellStart"/>
      <w:r w:rsidR="003C12B5" w:rsidRPr="00E273B3">
        <w:rPr>
          <w:rFonts w:ascii="Times New Roman" w:hAnsi="Times New Roman" w:cs="Times New Roman"/>
          <w:i/>
          <w:iCs/>
          <w:sz w:val="24"/>
          <w:szCs w:val="24"/>
        </w:rPr>
        <w:t>Original</w:t>
      </w:r>
      <w:proofErr w:type="spellEnd"/>
      <w:r w:rsidR="003C12B5" w:rsidRPr="00E273B3">
        <w:rPr>
          <w:rFonts w:ascii="Times New Roman" w:hAnsi="Times New Roman" w:cs="Times New Roman"/>
          <w:i/>
          <w:iCs/>
          <w:sz w:val="24"/>
          <w:szCs w:val="24"/>
        </w:rPr>
        <w:t xml:space="preserve"> </w:t>
      </w:r>
      <w:proofErr w:type="spellStart"/>
      <w:r w:rsidR="003C12B5" w:rsidRPr="00E273B3">
        <w:rPr>
          <w:rFonts w:ascii="Times New Roman" w:hAnsi="Times New Roman" w:cs="Times New Roman"/>
          <w:i/>
          <w:iCs/>
          <w:sz w:val="24"/>
          <w:szCs w:val="24"/>
        </w:rPr>
        <w:t>Equipment</w:t>
      </w:r>
      <w:proofErr w:type="spellEnd"/>
      <w:r w:rsidR="003C12B5" w:rsidRPr="00E273B3">
        <w:rPr>
          <w:rFonts w:ascii="Times New Roman" w:hAnsi="Times New Roman" w:cs="Times New Roman"/>
          <w:i/>
          <w:iCs/>
          <w:sz w:val="24"/>
          <w:szCs w:val="24"/>
        </w:rPr>
        <w:t xml:space="preserve"> </w:t>
      </w:r>
      <w:proofErr w:type="spellStart"/>
      <w:r w:rsidR="003C12B5" w:rsidRPr="00E273B3">
        <w:rPr>
          <w:rFonts w:ascii="Times New Roman" w:hAnsi="Times New Roman" w:cs="Times New Roman"/>
          <w:i/>
          <w:iCs/>
          <w:sz w:val="24"/>
          <w:szCs w:val="24"/>
        </w:rPr>
        <w:t>Manufacturer</w:t>
      </w:r>
      <w:proofErr w:type="spellEnd"/>
      <w:r w:rsidR="003C12B5" w:rsidRPr="00E273B3">
        <w:rPr>
          <w:rFonts w:ascii="Times New Roman" w:hAnsi="Times New Roman" w:cs="Times New Roman"/>
          <w:sz w:val="24"/>
          <w:szCs w:val="24"/>
        </w:rPr>
        <w:t>) licencei un līdz ar to apstiprina datorprogrammu legālu iegādi</w:t>
      </w:r>
      <w:r w:rsidR="00CB2FB7" w:rsidRPr="00E273B3">
        <w:rPr>
          <w:rFonts w:ascii="Times New Roman" w:hAnsi="Times New Roman" w:cs="Times New Roman"/>
          <w:sz w:val="24"/>
          <w:szCs w:val="24"/>
        </w:rPr>
        <w:t>, kā arī</w:t>
      </w:r>
      <w:r w:rsidR="003C12B5" w:rsidRPr="00E273B3">
        <w:rPr>
          <w:rFonts w:ascii="Times New Roman" w:hAnsi="Times New Roman" w:cs="Times New Roman"/>
          <w:sz w:val="24"/>
          <w:szCs w:val="24"/>
        </w:rPr>
        <w:t xml:space="preserve"> piešķir tiesības izmantot faktūrrēķinos norādītās datorprogrammas.</w:t>
      </w:r>
      <w:r w:rsidR="00514FA1" w:rsidRPr="00E273B3">
        <w:rPr>
          <w:rFonts w:ascii="Times New Roman" w:hAnsi="Times New Roman" w:cs="Times New Roman"/>
          <w:sz w:val="24"/>
          <w:szCs w:val="24"/>
        </w:rPr>
        <w:t xml:space="preserve"> </w:t>
      </w:r>
      <w:r w:rsidR="00CB2FB7" w:rsidRPr="00E273B3">
        <w:rPr>
          <w:rFonts w:ascii="Times New Roman" w:hAnsi="Times New Roman" w:cs="Times New Roman"/>
          <w:sz w:val="24"/>
          <w:szCs w:val="24"/>
        </w:rPr>
        <w:t xml:space="preserve">Turklāt šie faktūrrēķini, kuros ir norādīts datorprogrammas pārdošanas fakts, arī paredz, ka persona netiek saukta pie administratīvās atbildības par datorprogrammu nelikumīgu izmantošanu. Savukārt, ievērojot to, ka </w:t>
      </w:r>
      <w:r w:rsidR="00613739">
        <w:rPr>
          <w:rFonts w:ascii="Times New Roman" w:hAnsi="Times New Roman" w:cs="Times New Roman"/>
          <w:sz w:val="24"/>
          <w:szCs w:val="24"/>
        </w:rPr>
        <w:t>[pers. D]</w:t>
      </w:r>
      <w:r w:rsidR="00CB2FB7" w:rsidRPr="00E273B3">
        <w:rPr>
          <w:rFonts w:ascii="Times New Roman" w:hAnsi="Times New Roman" w:cs="Times New Roman"/>
          <w:sz w:val="24"/>
          <w:szCs w:val="24"/>
        </w:rPr>
        <w:t xml:space="preserve"> faktūrrēķinus iesniedza nevis privāto tiesību subjektam, bet valsts</w:t>
      </w:r>
      <w:r w:rsidR="00C30FC6" w:rsidRPr="00E273B3">
        <w:rPr>
          <w:rFonts w:ascii="Times New Roman" w:hAnsi="Times New Roman" w:cs="Times New Roman"/>
          <w:sz w:val="24"/>
          <w:szCs w:val="24"/>
        </w:rPr>
        <w:t xml:space="preserve"> policijas amatpersonai kriminālprocesa ietvaros</w:t>
      </w:r>
      <w:r w:rsidR="0077622D" w:rsidRPr="00E273B3">
        <w:rPr>
          <w:rFonts w:ascii="Times New Roman" w:hAnsi="Times New Roman" w:cs="Times New Roman"/>
          <w:sz w:val="24"/>
          <w:szCs w:val="24"/>
        </w:rPr>
        <w:t>,</w:t>
      </w:r>
      <w:r w:rsidR="00C30FC6" w:rsidRPr="00E273B3">
        <w:rPr>
          <w:rFonts w:ascii="Times New Roman" w:hAnsi="Times New Roman" w:cs="Times New Roman"/>
          <w:sz w:val="24"/>
          <w:szCs w:val="24"/>
        </w:rPr>
        <w:t xml:space="preserve"> kā autortiesību objektu legālas izmantošanas pierādījumu, ir pamats atzīt, ka ar šādu rīcību viņš apdraudējis pārvaldības kārtību, pārkāpjot Latvijas Republikas Satversmes</w:t>
      </w:r>
      <w:r w:rsidR="0077622D" w:rsidRPr="00E273B3">
        <w:rPr>
          <w:rFonts w:ascii="Times New Roman" w:hAnsi="Times New Roman" w:cs="Times New Roman"/>
          <w:sz w:val="24"/>
          <w:szCs w:val="24"/>
        </w:rPr>
        <w:t xml:space="preserve"> </w:t>
      </w:r>
      <w:r w:rsidR="00C30FC6" w:rsidRPr="00E273B3">
        <w:rPr>
          <w:rFonts w:ascii="Times New Roman" w:hAnsi="Times New Roman" w:cs="Times New Roman"/>
          <w:sz w:val="24"/>
          <w:szCs w:val="24"/>
        </w:rPr>
        <w:t>113.pantā garantētās a</w:t>
      </w:r>
      <w:r w:rsidR="00651388" w:rsidRPr="00E273B3">
        <w:rPr>
          <w:rFonts w:ascii="Times New Roman" w:hAnsi="Times New Roman" w:cs="Times New Roman"/>
          <w:sz w:val="24"/>
          <w:szCs w:val="24"/>
        </w:rPr>
        <w:t>u</w:t>
      </w:r>
      <w:r w:rsidR="00C30FC6" w:rsidRPr="00E273B3">
        <w:rPr>
          <w:rFonts w:ascii="Times New Roman" w:hAnsi="Times New Roman" w:cs="Times New Roman"/>
          <w:sz w:val="24"/>
          <w:szCs w:val="24"/>
        </w:rPr>
        <w:t>tortiesības.</w:t>
      </w:r>
      <w:r w:rsidR="007C132A" w:rsidRPr="00E273B3">
        <w:rPr>
          <w:rFonts w:ascii="Times New Roman" w:hAnsi="Times New Roman" w:cs="Times New Roman"/>
          <w:sz w:val="24"/>
          <w:szCs w:val="24"/>
        </w:rPr>
        <w:t xml:space="preserve"> </w:t>
      </w:r>
      <w:r w:rsidR="0014203B" w:rsidRPr="00E273B3">
        <w:rPr>
          <w:rFonts w:ascii="Times New Roman" w:hAnsi="Times New Roman" w:cs="Times New Roman"/>
          <w:sz w:val="24"/>
          <w:szCs w:val="24"/>
        </w:rPr>
        <w:t xml:space="preserve"> </w:t>
      </w:r>
      <w:r w:rsidRPr="00E273B3">
        <w:rPr>
          <w:rFonts w:ascii="Times New Roman" w:hAnsi="Times New Roman" w:cs="Times New Roman"/>
          <w:sz w:val="24"/>
          <w:szCs w:val="24"/>
        </w:rPr>
        <w:t xml:space="preserve"> </w:t>
      </w:r>
      <w:r w:rsidR="00993CFB" w:rsidRPr="00E273B3">
        <w:rPr>
          <w:rFonts w:ascii="Times New Roman" w:hAnsi="Times New Roman" w:cs="Times New Roman"/>
          <w:sz w:val="24"/>
          <w:szCs w:val="24"/>
        </w:rPr>
        <w:t xml:space="preserve"> </w:t>
      </w:r>
    </w:p>
    <w:p w14:paraId="36C2193F" w14:textId="1EABFA85" w:rsidR="00076C59" w:rsidRPr="00E273B3" w:rsidRDefault="00272023" w:rsidP="00DB4E50">
      <w:pPr>
        <w:spacing w:after="0"/>
        <w:ind w:right="-1" w:firstLine="709"/>
        <w:jc w:val="both"/>
        <w:rPr>
          <w:rFonts w:ascii="Times New Roman" w:eastAsia="Times New Roman" w:hAnsi="Times New Roman" w:cs="Times New Roman"/>
          <w:b/>
          <w:sz w:val="24"/>
          <w:szCs w:val="24"/>
          <w:lang w:eastAsia="lv-LV"/>
        </w:rPr>
      </w:pPr>
      <w:r w:rsidRPr="00E273B3">
        <w:rPr>
          <w:rFonts w:ascii="Times New Roman" w:hAnsi="Times New Roman" w:cs="Times New Roman"/>
          <w:sz w:val="24"/>
          <w:szCs w:val="24"/>
        </w:rPr>
        <w:t xml:space="preserve"> </w:t>
      </w:r>
      <w:r w:rsidR="00C174C2" w:rsidRPr="00E273B3">
        <w:rPr>
          <w:rFonts w:ascii="Times New Roman" w:hAnsi="Times New Roman" w:cs="Times New Roman"/>
          <w:sz w:val="24"/>
          <w:szCs w:val="24"/>
        </w:rPr>
        <w:t xml:space="preserve"> </w:t>
      </w:r>
      <w:r w:rsidR="00AC1689" w:rsidRPr="00E273B3">
        <w:rPr>
          <w:rFonts w:ascii="Times New Roman" w:hAnsi="Times New Roman" w:cs="Times New Roman"/>
          <w:sz w:val="24"/>
          <w:szCs w:val="24"/>
        </w:rPr>
        <w:t xml:space="preserve"> </w:t>
      </w:r>
      <w:r w:rsidR="007C0B1C" w:rsidRPr="00E273B3">
        <w:rPr>
          <w:rFonts w:ascii="Times New Roman" w:hAnsi="Times New Roman" w:cs="Times New Roman"/>
          <w:sz w:val="24"/>
          <w:szCs w:val="24"/>
        </w:rPr>
        <w:t xml:space="preserve"> </w:t>
      </w:r>
    </w:p>
    <w:p w14:paraId="077EE4B1" w14:textId="014E3D36" w:rsidR="001C567B" w:rsidRPr="00E273B3" w:rsidRDefault="00022994" w:rsidP="00C4745D">
      <w:pPr>
        <w:pStyle w:val="NoSpacing"/>
        <w:spacing w:line="276" w:lineRule="auto"/>
        <w:ind w:right="-1"/>
        <w:jc w:val="center"/>
        <w:rPr>
          <w:rFonts w:eastAsia="Times New Roman" w:cs="Times New Roman"/>
          <w:b/>
          <w:szCs w:val="24"/>
          <w:lang w:eastAsia="lv-LV"/>
        </w:rPr>
      </w:pPr>
      <w:r w:rsidRPr="00E273B3">
        <w:rPr>
          <w:rFonts w:eastAsia="Times New Roman" w:cs="Times New Roman"/>
          <w:b/>
          <w:szCs w:val="24"/>
          <w:lang w:eastAsia="lv-LV"/>
        </w:rPr>
        <w:t>Motīvu daļa</w:t>
      </w:r>
    </w:p>
    <w:p w14:paraId="78A453A6" w14:textId="77777777" w:rsidR="001C567B" w:rsidRPr="00E273B3" w:rsidRDefault="001C567B" w:rsidP="001C567B">
      <w:pPr>
        <w:pStyle w:val="NoSpacing"/>
        <w:spacing w:line="276" w:lineRule="auto"/>
        <w:ind w:right="-1"/>
        <w:jc w:val="center"/>
        <w:rPr>
          <w:rFonts w:eastAsia="Times New Roman" w:cs="Times New Roman"/>
          <w:b/>
          <w:szCs w:val="24"/>
          <w:lang w:eastAsia="lv-LV"/>
        </w:rPr>
      </w:pPr>
    </w:p>
    <w:p w14:paraId="42671714" w14:textId="5188DA02" w:rsidR="0061405B" w:rsidRDefault="00712203" w:rsidP="0061405B">
      <w:pPr>
        <w:spacing w:after="0"/>
        <w:ind w:right="-1" w:firstLine="720"/>
        <w:jc w:val="both"/>
        <w:rPr>
          <w:rFonts w:ascii="Times New Roman" w:hAnsi="Times New Roman" w:cs="Times New Roman"/>
          <w:sz w:val="24"/>
        </w:rPr>
      </w:pPr>
      <w:r w:rsidRPr="00E273B3">
        <w:rPr>
          <w:rFonts w:ascii="Times New Roman" w:hAnsi="Times New Roman" w:cs="Times New Roman"/>
          <w:sz w:val="24"/>
        </w:rPr>
        <w:t>[</w:t>
      </w:r>
      <w:r w:rsidR="00E273B3">
        <w:rPr>
          <w:rFonts w:ascii="Times New Roman" w:hAnsi="Times New Roman" w:cs="Times New Roman"/>
          <w:sz w:val="24"/>
        </w:rPr>
        <w:t>6] </w:t>
      </w:r>
      <w:r w:rsidRPr="00E273B3">
        <w:rPr>
          <w:rFonts w:ascii="Times New Roman" w:hAnsi="Times New Roman" w:cs="Times New Roman"/>
          <w:sz w:val="24"/>
        </w:rPr>
        <w:t xml:space="preserve">Senāts atzīst, ka Vidzemes apgabaltiesas </w:t>
      </w:r>
      <w:proofErr w:type="gramStart"/>
      <w:r w:rsidRPr="00E273B3">
        <w:rPr>
          <w:rFonts w:ascii="Times New Roman" w:hAnsi="Times New Roman" w:cs="Times New Roman"/>
          <w:sz w:val="24"/>
        </w:rPr>
        <w:t>2020.gada</w:t>
      </w:r>
      <w:proofErr w:type="gramEnd"/>
      <w:r w:rsidRPr="00E273B3">
        <w:rPr>
          <w:rFonts w:ascii="Times New Roman" w:hAnsi="Times New Roman" w:cs="Times New Roman"/>
          <w:sz w:val="24"/>
        </w:rPr>
        <w:t xml:space="preserve"> 26.augusta spriedums atceļams daļā par </w:t>
      </w:r>
      <w:r w:rsidR="00613739">
        <w:rPr>
          <w:rFonts w:ascii="Times New Roman" w:hAnsi="Times New Roman" w:cs="Times New Roman"/>
          <w:sz w:val="24"/>
        </w:rPr>
        <w:t>[pers. A]</w:t>
      </w:r>
      <w:r w:rsidRPr="00E273B3">
        <w:rPr>
          <w:rFonts w:ascii="Times New Roman" w:hAnsi="Times New Roman" w:cs="Times New Roman"/>
          <w:sz w:val="24"/>
        </w:rPr>
        <w:t xml:space="preserve"> atzīšanu par nevainīgu pret viņu celtajā apsūdzībā pēc Krimināllikuma 218.panta otrās daļas un attaisnošanu, daļā par </w:t>
      </w:r>
      <w:r w:rsidR="00613739">
        <w:rPr>
          <w:rFonts w:ascii="Times New Roman" w:hAnsi="Times New Roman" w:cs="Times New Roman"/>
          <w:sz w:val="24"/>
        </w:rPr>
        <w:t>[pers. B]</w:t>
      </w:r>
      <w:r w:rsidRPr="00E273B3">
        <w:rPr>
          <w:rFonts w:ascii="Times New Roman" w:hAnsi="Times New Roman" w:cs="Times New Roman"/>
          <w:sz w:val="24"/>
        </w:rPr>
        <w:t xml:space="preserve"> un </w:t>
      </w:r>
      <w:r w:rsidR="00613739">
        <w:rPr>
          <w:rFonts w:ascii="Times New Roman" w:hAnsi="Times New Roman" w:cs="Times New Roman"/>
          <w:sz w:val="24"/>
        </w:rPr>
        <w:t>[pers. C]</w:t>
      </w:r>
      <w:r w:rsidRPr="00E273B3">
        <w:rPr>
          <w:rFonts w:ascii="Times New Roman" w:hAnsi="Times New Roman" w:cs="Times New Roman"/>
          <w:sz w:val="24"/>
        </w:rPr>
        <w:t xml:space="preserve"> atzīšanu par nevainīgiem pret viņiem celtajā apsūdzībā pēc Krimināllikuma 20.panta ceturtās daļas un 218.panta otrās daļas un attaisnošanu, daļā par </w:t>
      </w:r>
      <w:r w:rsidR="00613739">
        <w:rPr>
          <w:rFonts w:ascii="Times New Roman" w:hAnsi="Times New Roman" w:cs="Times New Roman"/>
          <w:sz w:val="24"/>
        </w:rPr>
        <w:t>[pers. D]</w:t>
      </w:r>
      <w:r w:rsidRPr="00E273B3">
        <w:rPr>
          <w:rFonts w:ascii="Times New Roman" w:hAnsi="Times New Roman" w:cs="Times New Roman"/>
          <w:sz w:val="24"/>
        </w:rPr>
        <w:t xml:space="preserve"> atzīšanu par nevainīgu pret viņu celtajā apsūdzībā pēc Krimināllikuma 275.panta otrās daļas un attaisnošanu un daļā par VID kaitējuma kompens</w:t>
      </w:r>
      <w:r w:rsidR="0061405B">
        <w:rPr>
          <w:rFonts w:ascii="Times New Roman" w:hAnsi="Times New Roman" w:cs="Times New Roman"/>
          <w:sz w:val="24"/>
        </w:rPr>
        <w:t>ācijas pieteikuma par 20 968,28 </w:t>
      </w:r>
      <w:proofErr w:type="spellStart"/>
      <w:r w:rsidRPr="00E273B3">
        <w:rPr>
          <w:rFonts w:ascii="Times New Roman" w:hAnsi="Times New Roman" w:cs="Times New Roman"/>
          <w:i/>
          <w:iCs/>
          <w:sz w:val="24"/>
        </w:rPr>
        <w:t>euro</w:t>
      </w:r>
      <w:proofErr w:type="spellEnd"/>
      <w:r w:rsidRPr="00E273B3">
        <w:rPr>
          <w:rFonts w:ascii="Times New Roman" w:hAnsi="Times New Roman" w:cs="Times New Roman"/>
          <w:sz w:val="24"/>
        </w:rPr>
        <w:t xml:space="preserve"> piedziņu atstāšanu bez izskatīšanas. Atceltajā daļā lieta nosūtāma jaunai izskatīšanai apelācijas instances tiesā, bet pārējā daļā apelācijas instances tiesas spriedums atstājams negrozīts.</w:t>
      </w:r>
      <w:r w:rsidR="0061405B">
        <w:rPr>
          <w:rFonts w:ascii="Times New Roman" w:hAnsi="Times New Roman" w:cs="Times New Roman"/>
          <w:sz w:val="24"/>
        </w:rPr>
        <w:t xml:space="preserve"> </w:t>
      </w:r>
    </w:p>
    <w:p w14:paraId="0BC4901E" w14:textId="77777777" w:rsidR="0061405B" w:rsidRDefault="0061405B" w:rsidP="0061405B">
      <w:pPr>
        <w:spacing w:after="0"/>
        <w:ind w:right="-1" w:firstLine="720"/>
        <w:jc w:val="both"/>
        <w:rPr>
          <w:rFonts w:ascii="Times New Roman" w:hAnsi="Times New Roman" w:cs="Times New Roman"/>
          <w:sz w:val="24"/>
          <w:szCs w:val="24"/>
        </w:rPr>
      </w:pPr>
      <w:r>
        <w:rPr>
          <w:rFonts w:ascii="Times New Roman" w:hAnsi="Times New Roman" w:cs="Times New Roman"/>
          <w:sz w:val="24"/>
        </w:rPr>
        <w:t>[6</w:t>
      </w:r>
      <w:r w:rsidR="00712203" w:rsidRPr="00E273B3">
        <w:rPr>
          <w:rFonts w:ascii="Times New Roman" w:hAnsi="Times New Roman" w:cs="Times New Roman"/>
          <w:sz w:val="24"/>
        </w:rPr>
        <w:t>.1]</w:t>
      </w:r>
      <w:r>
        <w:rPr>
          <w:rFonts w:ascii="Times New Roman" w:hAnsi="Times New Roman" w:cs="Times New Roman"/>
          <w:sz w:val="24"/>
          <w:szCs w:val="24"/>
        </w:rPr>
        <w:t> </w:t>
      </w:r>
      <w:r w:rsidR="00712203" w:rsidRPr="00712203">
        <w:rPr>
          <w:rFonts w:ascii="Times New Roman" w:hAnsi="Times New Roman" w:cs="Times New Roman"/>
          <w:sz w:val="24"/>
          <w:szCs w:val="24"/>
        </w:rPr>
        <w:t xml:space="preserve">Apelācijas instances tiesa, iztiesājot lietu, pieļāvusi Kriminālprocesa likuma </w:t>
      </w:r>
      <w:proofErr w:type="gramStart"/>
      <w:r w:rsidR="00712203" w:rsidRPr="00712203">
        <w:rPr>
          <w:rFonts w:ascii="Times New Roman" w:hAnsi="Times New Roman" w:cs="Times New Roman"/>
          <w:sz w:val="24"/>
          <w:szCs w:val="24"/>
        </w:rPr>
        <w:t>511.panta</w:t>
      </w:r>
      <w:proofErr w:type="gramEnd"/>
      <w:r w:rsidR="00712203" w:rsidRPr="00712203">
        <w:rPr>
          <w:rFonts w:ascii="Times New Roman" w:hAnsi="Times New Roman" w:cs="Times New Roman"/>
          <w:sz w:val="24"/>
          <w:szCs w:val="24"/>
        </w:rPr>
        <w:t xml:space="preserve"> otrās daļas, 512.panta, 564.panta ceturtās daļas</w:t>
      </w:r>
      <w:r>
        <w:rPr>
          <w:rFonts w:ascii="Times New Roman" w:hAnsi="Times New Roman" w:cs="Times New Roman"/>
          <w:sz w:val="24"/>
          <w:szCs w:val="24"/>
        </w:rPr>
        <w:t xml:space="preserve"> pārkāpumus. </w:t>
      </w:r>
    </w:p>
    <w:p w14:paraId="2D1A8903" w14:textId="77777777"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 xml:space="preserve">Saskaņā ar Kriminālprocesa likuma </w:t>
      </w:r>
      <w:proofErr w:type="gramStart"/>
      <w:r w:rsidRPr="00712203">
        <w:rPr>
          <w:rFonts w:ascii="Times New Roman" w:hAnsi="Times New Roman" w:cs="Times New Roman"/>
          <w:sz w:val="24"/>
          <w:szCs w:val="24"/>
        </w:rPr>
        <w:t>511.panta</w:t>
      </w:r>
      <w:proofErr w:type="gramEnd"/>
      <w:r w:rsidRPr="00712203">
        <w:rPr>
          <w:rFonts w:ascii="Times New Roman" w:hAnsi="Times New Roman" w:cs="Times New Roman"/>
          <w:sz w:val="24"/>
          <w:szCs w:val="24"/>
        </w:rPr>
        <w:t xml:space="preserve"> otro daļu spriedumam jābūt tiesiskam un pamatotam. Spriedums ir tiesisks un pamatots, ja tas atbilst Kriminālprocesa likuma </w:t>
      </w:r>
      <w:proofErr w:type="gramStart"/>
      <w:r w:rsidRPr="00712203">
        <w:rPr>
          <w:rFonts w:ascii="Times New Roman" w:hAnsi="Times New Roman" w:cs="Times New Roman"/>
          <w:sz w:val="24"/>
          <w:szCs w:val="24"/>
        </w:rPr>
        <w:t>512.panta</w:t>
      </w:r>
      <w:proofErr w:type="gramEnd"/>
      <w:r w:rsidRPr="00712203">
        <w:rPr>
          <w:rFonts w:ascii="Times New Roman" w:hAnsi="Times New Roman" w:cs="Times New Roman"/>
          <w:sz w:val="24"/>
          <w:szCs w:val="24"/>
        </w:rPr>
        <w:t xml:space="preserve"> nosacījumiem, tajā skaitā šīs normas otrajā daļā noteiktajam, ka tiesa spriedumu pamato ar: 1) pierādījumiem, kuri pārbaudīti tiesas sēdē; 2) pierādījumiem, kurus saskaņā ar Kriminālprocesa likuma 125.panta noteikumiem nav nepieciešams pārbaudīt; 3) rakstveida pierādījumiem un dokumentiem, kuri norādīti lēmumā par krimināllietas nodošanu tiesai; 4) ziņām, kas fiksētas konkrētajā kriminālprocesā agrāk sniegtajās liecībās, ja aizstāvība piekritusi šo liecību izmantošanai; 5) personas, kura tiesas sēdē sniedza liecības, konkrētajā pirmstiesas kriminālprocesā sniegtajām ziņām. </w:t>
      </w:r>
    </w:p>
    <w:p w14:paraId="51E741CB" w14:textId="77777777" w:rsidR="0061405B" w:rsidRDefault="00712203" w:rsidP="0061405B">
      <w:pPr>
        <w:spacing w:after="0"/>
        <w:ind w:right="-1" w:firstLine="720"/>
        <w:jc w:val="both"/>
        <w:rPr>
          <w:rFonts w:ascii="Times New Roman" w:hAnsi="Times New Roman" w:cs="Times New Roman"/>
          <w:sz w:val="24"/>
          <w:szCs w:val="24"/>
        </w:rPr>
      </w:pPr>
      <w:r w:rsidRPr="00712203">
        <w:rPr>
          <w:rFonts w:ascii="Times New Roman" w:hAnsi="Times New Roman" w:cs="Times New Roman"/>
          <w:sz w:val="24"/>
          <w:szCs w:val="24"/>
        </w:rPr>
        <w:t>Šīs likuma normas attiecināmas arī uz apelācij</w:t>
      </w:r>
      <w:r w:rsidR="0061405B">
        <w:rPr>
          <w:rFonts w:ascii="Times New Roman" w:hAnsi="Times New Roman" w:cs="Times New Roman"/>
          <w:sz w:val="24"/>
          <w:szCs w:val="24"/>
        </w:rPr>
        <w:t xml:space="preserve">as instances tiesas nolēmumiem. </w:t>
      </w:r>
    </w:p>
    <w:p w14:paraId="6CEB7A0A" w14:textId="77777777" w:rsidR="0061405B" w:rsidRDefault="00712203" w:rsidP="0061405B">
      <w:pPr>
        <w:spacing w:after="0"/>
        <w:ind w:right="-1" w:firstLine="720"/>
        <w:jc w:val="both"/>
        <w:rPr>
          <w:rFonts w:ascii="Times New Roman" w:hAnsi="Times New Roman" w:cs="Times New Roman"/>
          <w:sz w:val="24"/>
          <w:szCs w:val="24"/>
        </w:rPr>
      </w:pPr>
      <w:r w:rsidRPr="00712203">
        <w:rPr>
          <w:rFonts w:ascii="Times New Roman" w:hAnsi="Times New Roman" w:cs="Times New Roman"/>
          <w:sz w:val="24"/>
          <w:szCs w:val="24"/>
        </w:rPr>
        <w:t xml:space="preserve">Apelācijas instances tiesas nolēmuma saturs noteikts Kriminālprocesa likuma </w:t>
      </w:r>
      <w:proofErr w:type="gramStart"/>
      <w:r w:rsidRPr="00712203">
        <w:rPr>
          <w:rFonts w:ascii="Times New Roman" w:hAnsi="Times New Roman" w:cs="Times New Roman"/>
          <w:sz w:val="24"/>
          <w:szCs w:val="24"/>
        </w:rPr>
        <w:t>564.pantā</w:t>
      </w:r>
      <w:proofErr w:type="gramEnd"/>
      <w:r w:rsidRPr="00712203">
        <w:rPr>
          <w:rFonts w:ascii="Times New Roman" w:hAnsi="Times New Roman" w:cs="Times New Roman"/>
          <w:sz w:val="24"/>
          <w:szCs w:val="24"/>
        </w:rPr>
        <w:t>. No minētā panta ceturtās daļas izriet,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r w:rsidR="0061405B">
        <w:rPr>
          <w:rFonts w:ascii="Times New Roman" w:hAnsi="Times New Roman" w:cs="Times New Roman"/>
          <w:sz w:val="24"/>
          <w:szCs w:val="24"/>
        </w:rPr>
        <w:t xml:space="preserve"> </w:t>
      </w:r>
    </w:p>
    <w:p w14:paraId="468B540C" w14:textId="2482C6EC" w:rsidR="0061405B" w:rsidRDefault="0061405B" w:rsidP="0061405B">
      <w:pPr>
        <w:spacing w:after="0"/>
        <w:ind w:right="-1" w:firstLine="720"/>
        <w:jc w:val="both"/>
        <w:rPr>
          <w:rFonts w:ascii="Times New Roman" w:hAnsi="Times New Roman" w:cs="Times New Roman"/>
          <w:sz w:val="24"/>
        </w:rPr>
      </w:pPr>
      <w:r>
        <w:rPr>
          <w:rFonts w:ascii="Times New Roman" w:hAnsi="Times New Roman" w:cs="Times New Roman"/>
          <w:sz w:val="24"/>
          <w:szCs w:val="24"/>
        </w:rPr>
        <w:t>[6.2] </w:t>
      </w:r>
      <w:r w:rsidR="00712203" w:rsidRPr="00712203">
        <w:rPr>
          <w:rFonts w:ascii="Times New Roman" w:hAnsi="Times New Roman" w:cs="Times New Roman"/>
          <w:sz w:val="24"/>
          <w:szCs w:val="24"/>
        </w:rPr>
        <w:t>Apelācijas insta</w:t>
      </w:r>
      <w:r>
        <w:rPr>
          <w:rFonts w:ascii="Times New Roman" w:hAnsi="Times New Roman" w:cs="Times New Roman"/>
          <w:sz w:val="24"/>
          <w:szCs w:val="24"/>
        </w:rPr>
        <w:t>nces tiesa atzinusi, ka ar SIA „</w:t>
      </w:r>
      <w:r w:rsidR="00613739">
        <w:rPr>
          <w:rFonts w:ascii="Times New Roman" w:hAnsi="Times New Roman" w:cs="Times New Roman"/>
          <w:sz w:val="24"/>
          <w:szCs w:val="24"/>
        </w:rPr>
        <w:t>[Nosaukums A]</w:t>
      </w:r>
      <w:r>
        <w:rPr>
          <w:rFonts w:ascii="Times New Roman" w:hAnsi="Times New Roman" w:cs="Times New Roman"/>
          <w:sz w:val="24"/>
          <w:szCs w:val="24"/>
        </w:rPr>
        <w:t>” un SIA „</w:t>
      </w:r>
      <w:r w:rsidR="00613739">
        <w:rPr>
          <w:rFonts w:ascii="Times New Roman" w:hAnsi="Times New Roman" w:cs="Times New Roman"/>
          <w:sz w:val="24"/>
          <w:szCs w:val="24"/>
        </w:rPr>
        <w:t>[Nosaukums B]</w:t>
      </w:r>
      <w:r w:rsidR="00712203" w:rsidRPr="00712203">
        <w:rPr>
          <w:rFonts w:ascii="Times New Roman" w:hAnsi="Times New Roman" w:cs="Times New Roman"/>
          <w:sz w:val="24"/>
          <w:szCs w:val="24"/>
        </w:rPr>
        <w:t>” izvairīšanos no nodokļu nomaksas ir izdarīti divi patstāvīgi nodarījumi, un nav pamata uzskatīt, ka izvairīšanās no nodokļu nomaksas abās kapitālsabiedrībās būtu savstarpēji saistīta vai virzīta uz vienota ekonomiskā mērķa sasniegšanu.</w:t>
      </w:r>
      <w:r>
        <w:rPr>
          <w:rFonts w:ascii="Times New Roman" w:hAnsi="Times New Roman" w:cs="Times New Roman"/>
          <w:sz w:val="24"/>
        </w:rPr>
        <w:t xml:space="preserve"> </w:t>
      </w:r>
    </w:p>
    <w:p w14:paraId="43400B32" w14:textId="77777777" w:rsidR="0061405B" w:rsidRDefault="00712203" w:rsidP="0061405B">
      <w:pPr>
        <w:spacing w:after="0"/>
        <w:ind w:right="-1" w:firstLine="720"/>
        <w:jc w:val="both"/>
        <w:rPr>
          <w:rFonts w:ascii="Times New Roman" w:hAnsi="Times New Roman" w:cs="Times New Roman"/>
          <w:sz w:val="24"/>
          <w:szCs w:val="24"/>
        </w:rPr>
      </w:pPr>
      <w:r w:rsidRPr="00712203">
        <w:rPr>
          <w:rFonts w:ascii="Times New Roman" w:hAnsi="Times New Roman" w:cs="Times New Roman"/>
          <w:sz w:val="24"/>
          <w:szCs w:val="24"/>
        </w:rPr>
        <w:t>Savu atzinumu apelācijas instances tiesa pamat</w:t>
      </w:r>
      <w:r w:rsidR="0061405B">
        <w:rPr>
          <w:rFonts w:ascii="Times New Roman" w:hAnsi="Times New Roman" w:cs="Times New Roman"/>
          <w:sz w:val="24"/>
          <w:szCs w:val="24"/>
        </w:rPr>
        <w:t>ojusi ar šādiem argumentiem: 1) </w:t>
      </w:r>
      <w:r w:rsidRPr="00712203">
        <w:rPr>
          <w:rFonts w:ascii="Times New Roman" w:hAnsi="Times New Roman" w:cs="Times New Roman"/>
          <w:sz w:val="24"/>
          <w:szCs w:val="24"/>
        </w:rPr>
        <w:t>katra kapitālsabiedrība ir patstāvīgs tiesību subjekts, proti, katra kapitālsabiedrība Uzņēmumu reģistrā reģistrēta citā laikā, katrai ir savs reģistrācijas numurs, juridiskā adrese, savi norēķinu konti kredītiestādēs, savs nekustamais īpašums un savi VID Elektroniskās deklarēšanas sistēmas piekļuves rekvizīti; katra kapitālsabiedrība ar PVN apliekamo personu sarakstā ir reģistrēta atšķirīgā laikā; katrai kapitālsabiedrībai bija savi darījumu partneri, no kuriem tā guva ienākumus, savi kreditori un debitori, kā arī patstāvīga grāmatvedība</w:t>
      </w:r>
      <w:r w:rsidR="0061405B">
        <w:rPr>
          <w:rFonts w:ascii="Times New Roman" w:hAnsi="Times New Roman" w:cs="Times New Roman"/>
          <w:sz w:val="24"/>
          <w:szCs w:val="24"/>
        </w:rPr>
        <w:t>; 2) </w:t>
      </w:r>
      <w:r w:rsidRPr="00712203">
        <w:rPr>
          <w:rFonts w:ascii="Times New Roman" w:hAnsi="Times New Roman" w:cs="Times New Roman"/>
          <w:sz w:val="24"/>
          <w:szCs w:val="24"/>
        </w:rPr>
        <w:t>katra kapitālsabiedrība veica patstāvīgu uzņēmējdarbību un nekādā ziņā – ne finansiāli, ne saimnieciski, ne organizatoriski – nebija saistīta ar otru, kā arī neizmantoja viena otru, lai deklarētu faktiski nenotikušus darījumus</w:t>
      </w:r>
      <w:r w:rsidR="0061405B">
        <w:rPr>
          <w:rFonts w:ascii="Times New Roman" w:hAnsi="Times New Roman" w:cs="Times New Roman"/>
          <w:sz w:val="24"/>
          <w:szCs w:val="24"/>
        </w:rPr>
        <w:t>; 3) </w:t>
      </w:r>
      <w:r w:rsidRPr="00712203">
        <w:rPr>
          <w:rFonts w:ascii="Times New Roman" w:hAnsi="Times New Roman" w:cs="Times New Roman"/>
          <w:sz w:val="24"/>
          <w:szCs w:val="24"/>
        </w:rPr>
        <w:t xml:space="preserve">izpildot procesa virzītāja lēmumu par viena kopīga PVN aprēķina veikšanu, VID veicis katrai kapitālsabiedrībai atsevišķu nodokļu aprēķinu. </w:t>
      </w:r>
    </w:p>
    <w:p w14:paraId="37D16B52" w14:textId="7F2B997A"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 xml:space="preserve">Turklāt apelācijas instances tiesa atzinusi, ka lietā nav pamata konstatēt Krimināllikuma </w:t>
      </w:r>
      <w:proofErr w:type="gramStart"/>
      <w:r w:rsidRPr="00712203">
        <w:rPr>
          <w:rFonts w:ascii="Times New Roman" w:hAnsi="Times New Roman" w:cs="Times New Roman"/>
          <w:sz w:val="24"/>
          <w:szCs w:val="24"/>
        </w:rPr>
        <w:t>218.panta</w:t>
      </w:r>
      <w:proofErr w:type="gramEnd"/>
      <w:r w:rsidRPr="00712203">
        <w:rPr>
          <w:rFonts w:ascii="Times New Roman" w:hAnsi="Times New Roman" w:cs="Times New Roman"/>
          <w:sz w:val="24"/>
          <w:szCs w:val="24"/>
        </w:rPr>
        <w:t xml:space="preserve"> otrajā daļā paredzētā noziedzīgā nodarījuma subjektīvo pusi, proti, </w:t>
      </w:r>
      <w:r w:rsidR="005E0CB9">
        <w:rPr>
          <w:rFonts w:ascii="Times New Roman" w:hAnsi="Times New Roman" w:cs="Times New Roman"/>
          <w:sz w:val="24"/>
          <w:szCs w:val="24"/>
        </w:rPr>
        <w:t>to, ka abās kapitālsabiedrībā</w:t>
      </w:r>
      <w:r w:rsidRPr="00712203">
        <w:rPr>
          <w:rFonts w:ascii="Times New Roman" w:hAnsi="Times New Roman" w:cs="Times New Roman"/>
          <w:sz w:val="24"/>
          <w:szCs w:val="24"/>
        </w:rPr>
        <w:t>s veikto izvairīšanos no nodokļu nomaksas aptver visu apsūdzēto kopīgs nodoms, kas vērsts uz kopīgu mērķi – liela apmēra zaudējumu nodarīšanu.</w:t>
      </w:r>
      <w:r w:rsidR="0061405B">
        <w:rPr>
          <w:rFonts w:ascii="Times New Roman" w:hAnsi="Times New Roman" w:cs="Times New Roman"/>
          <w:sz w:val="24"/>
        </w:rPr>
        <w:t xml:space="preserve"> </w:t>
      </w:r>
    </w:p>
    <w:p w14:paraId="63042EB8" w14:textId="188A2B58"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 xml:space="preserve">Pamatojot savu atzinumu šajā daļā, apelācijas instances tiesa norādījusi, ka arī saskaņā ar </w:t>
      </w:r>
      <w:r w:rsidR="00613739">
        <w:rPr>
          <w:rFonts w:ascii="Times New Roman" w:hAnsi="Times New Roman" w:cs="Times New Roman"/>
          <w:sz w:val="24"/>
          <w:szCs w:val="24"/>
        </w:rPr>
        <w:t>[pers. A]</w:t>
      </w:r>
      <w:r w:rsidRPr="00712203">
        <w:rPr>
          <w:rFonts w:ascii="Times New Roman" w:hAnsi="Times New Roman" w:cs="Times New Roman"/>
          <w:sz w:val="24"/>
          <w:szCs w:val="24"/>
        </w:rPr>
        <w:t xml:space="preserve">, </w:t>
      </w:r>
      <w:r w:rsidR="00613739">
        <w:rPr>
          <w:rFonts w:ascii="Times New Roman" w:hAnsi="Times New Roman" w:cs="Times New Roman"/>
          <w:sz w:val="24"/>
          <w:szCs w:val="24"/>
        </w:rPr>
        <w:t>[pers. B]</w:t>
      </w:r>
      <w:r w:rsidRPr="00712203">
        <w:rPr>
          <w:rFonts w:ascii="Times New Roman" w:hAnsi="Times New Roman" w:cs="Times New Roman"/>
          <w:sz w:val="24"/>
          <w:szCs w:val="24"/>
        </w:rPr>
        <w:t xml:space="preserve"> un </w:t>
      </w:r>
      <w:r w:rsidR="00613739">
        <w:rPr>
          <w:rFonts w:ascii="Times New Roman" w:hAnsi="Times New Roman" w:cs="Times New Roman"/>
          <w:sz w:val="24"/>
          <w:szCs w:val="24"/>
        </w:rPr>
        <w:t>[pers. C]</w:t>
      </w:r>
      <w:r w:rsidRPr="00712203">
        <w:rPr>
          <w:rFonts w:ascii="Times New Roman" w:hAnsi="Times New Roman" w:cs="Times New Roman"/>
          <w:sz w:val="24"/>
          <w:szCs w:val="24"/>
        </w:rPr>
        <w:t xml:space="preserve"> cel</w:t>
      </w:r>
      <w:r w:rsidR="0061405B">
        <w:rPr>
          <w:rFonts w:ascii="Times New Roman" w:hAnsi="Times New Roman" w:cs="Times New Roman"/>
          <w:sz w:val="24"/>
          <w:szCs w:val="24"/>
        </w:rPr>
        <w:t>tās apsūdzības formulējumu SIA „</w:t>
      </w:r>
      <w:r w:rsidR="00613739">
        <w:rPr>
          <w:rFonts w:ascii="Times New Roman" w:hAnsi="Times New Roman" w:cs="Times New Roman"/>
          <w:sz w:val="24"/>
          <w:szCs w:val="24"/>
        </w:rPr>
        <w:t>[Nosaukums A]</w:t>
      </w:r>
      <w:r w:rsidR="0061405B">
        <w:rPr>
          <w:rFonts w:ascii="Times New Roman" w:hAnsi="Times New Roman" w:cs="Times New Roman"/>
          <w:sz w:val="24"/>
          <w:szCs w:val="24"/>
        </w:rPr>
        <w:t>” un SIA „</w:t>
      </w:r>
      <w:r w:rsidR="00613739">
        <w:rPr>
          <w:rFonts w:ascii="Times New Roman" w:hAnsi="Times New Roman" w:cs="Times New Roman"/>
          <w:sz w:val="24"/>
          <w:szCs w:val="24"/>
        </w:rPr>
        <w:t>[Nosaukums B]</w:t>
      </w:r>
      <w:r w:rsidRPr="00712203">
        <w:rPr>
          <w:rFonts w:ascii="Times New Roman" w:hAnsi="Times New Roman" w:cs="Times New Roman"/>
          <w:sz w:val="24"/>
          <w:szCs w:val="24"/>
        </w:rPr>
        <w:t>” izvairīšanās no nodokļu nomaksas ir vērtējama kā divi atsevišķi nodarījumi, jo summa, par kādu samazināts budžetā maksājamai</w:t>
      </w:r>
      <w:r w:rsidR="005E0CB9">
        <w:rPr>
          <w:rFonts w:ascii="Times New Roman" w:hAnsi="Times New Roman" w:cs="Times New Roman"/>
          <w:sz w:val="24"/>
          <w:szCs w:val="24"/>
        </w:rPr>
        <w:t>s</w:t>
      </w:r>
      <w:r w:rsidRPr="00712203">
        <w:rPr>
          <w:rFonts w:ascii="Times New Roman" w:hAnsi="Times New Roman" w:cs="Times New Roman"/>
          <w:sz w:val="24"/>
          <w:szCs w:val="24"/>
        </w:rPr>
        <w:t xml:space="preserve"> PVN, norādīta par katru kapitālsabiedrību atsevišķi, neatspoguļojot to kopumā kā vienotu veselumu. Savukārt pirmās instances tiesa pēc savas iniciatīvas ir papildinājusi apsūdzību ar norādi par to, ka </w:t>
      </w:r>
      <w:r w:rsidR="007A6385">
        <w:rPr>
          <w:rFonts w:ascii="Times New Roman" w:hAnsi="Times New Roman" w:cs="Times New Roman"/>
          <w:sz w:val="24"/>
          <w:szCs w:val="24"/>
        </w:rPr>
        <w:t>[pers. A]</w:t>
      </w:r>
      <w:r w:rsidRPr="00712203">
        <w:rPr>
          <w:rFonts w:ascii="Times New Roman" w:hAnsi="Times New Roman" w:cs="Times New Roman"/>
          <w:sz w:val="24"/>
          <w:szCs w:val="24"/>
        </w:rPr>
        <w:t>, VID iesniegtajās PVN deklarācijās norādot informāciju par patiesībai neatbilstošiem rēķiniem, rīkojies ar vienotu nodomu, tādējādi prettiesiski konstatējot no apsūdzības atšķirīgus nodarījuma subjektīvo pusi raksturojošos apstākļus un līdz ar to nelikumīgi pasliktinot visu apsūdzēto stāvokli lietā. Tiesa norādījusi, ka apsūdzības grozīšana atbilstoši Kriminālprocesa likuma 461. un 462.pantam ir prokurora kompetences jautājums, turklāt noziedzīgā nodarījuma apraksta papildināšana ar norādi par vienota nodoma īstenošanu iespējama tikai tiesas izmeklēšanas laikā pirmās instances tiesā.</w:t>
      </w:r>
      <w:r w:rsidR="0061405B">
        <w:rPr>
          <w:rFonts w:ascii="Times New Roman" w:hAnsi="Times New Roman" w:cs="Times New Roman"/>
          <w:sz w:val="24"/>
        </w:rPr>
        <w:t xml:space="preserve"> </w:t>
      </w:r>
    </w:p>
    <w:p w14:paraId="6D9C33A2" w14:textId="77777777" w:rsidR="0061405B" w:rsidRDefault="0061405B" w:rsidP="0061405B">
      <w:pPr>
        <w:spacing w:after="0"/>
        <w:ind w:right="-1" w:firstLine="720"/>
        <w:jc w:val="both"/>
        <w:rPr>
          <w:rFonts w:ascii="Times New Roman" w:hAnsi="Times New Roman" w:cs="Times New Roman"/>
          <w:i/>
          <w:iCs/>
          <w:sz w:val="24"/>
          <w:szCs w:val="24"/>
        </w:rPr>
      </w:pPr>
      <w:r>
        <w:rPr>
          <w:rFonts w:ascii="Times New Roman" w:hAnsi="Times New Roman" w:cs="Times New Roman"/>
          <w:sz w:val="24"/>
          <w:szCs w:val="24"/>
        </w:rPr>
        <w:t>[6</w:t>
      </w:r>
      <w:r w:rsidR="00712203" w:rsidRPr="00712203">
        <w:rPr>
          <w:rFonts w:ascii="Times New Roman" w:hAnsi="Times New Roman" w:cs="Times New Roman"/>
          <w:sz w:val="24"/>
          <w:szCs w:val="24"/>
        </w:rPr>
        <w:t>.3]</w:t>
      </w:r>
      <w:r>
        <w:rPr>
          <w:rFonts w:ascii="Times New Roman" w:hAnsi="Times New Roman" w:cs="Times New Roman"/>
          <w:sz w:val="24"/>
          <w:szCs w:val="24"/>
        </w:rPr>
        <w:t> </w:t>
      </w:r>
      <w:r w:rsidR="00712203" w:rsidRPr="00712203">
        <w:rPr>
          <w:rFonts w:ascii="Times New Roman" w:hAnsi="Times New Roman" w:cs="Times New Roman"/>
          <w:sz w:val="24"/>
          <w:szCs w:val="24"/>
        </w:rPr>
        <w:t>Senāts norāda, ka, izlemjot jautājumu par to, vai persona izdarījusi atsevišķu turpinātu noziedzīgu nodarījumu vai vairākus noziedzīgus nodarījumus, ir svarīgi konstatēt personas nodoma virzību, proti, vai vairākas darbības vai bezdarbības akti un kaitīgās sekas tiek aptvertas ar vainīgā vienotu nodomu, vai katrs nodarījums izdarīts, īstenojot atsevišķi radušos nodomu.</w:t>
      </w:r>
      <w:r>
        <w:rPr>
          <w:rFonts w:ascii="Times New Roman" w:hAnsi="Times New Roman" w:cs="Times New Roman"/>
          <w:i/>
          <w:iCs/>
          <w:sz w:val="24"/>
          <w:szCs w:val="24"/>
        </w:rPr>
        <w:t xml:space="preserve"> </w:t>
      </w:r>
    </w:p>
    <w:p w14:paraId="206F904F" w14:textId="007F959F" w:rsidR="0061405B" w:rsidRDefault="005E0CB9" w:rsidP="0061405B">
      <w:pPr>
        <w:spacing w:after="0"/>
        <w:ind w:right="-1" w:firstLine="720"/>
        <w:jc w:val="both"/>
        <w:rPr>
          <w:rFonts w:ascii="Times New Roman" w:hAnsi="Times New Roman" w:cs="Times New Roman"/>
          <w:sz w:val="24"/>
        </w:rPr>
      </w:pPr>
      <w:r>
        <w:rPr>
          <w:rFonts w:ascii="Times New Roman" w:hAnsi="Times New Roman" w:cs="Times New Roman"/>
          <w:sz w:val="24"/>
          <w:szCs w:val="24"/>
        </w:rPr>
        <w:t>Ja vainīgā</w:t>
      </w:r>
      <w:r w:rsidR="00712203" w:rsidRPr="00712203">
        <w:rPr>
          <w:rFonts w:ascii="Times New Roman" w:hAnsi="Times New Roman" w:cs="Times New Roman"/>
          <w:sz w:val="24"/>
          <w:szCs w:val="24"/>
        </w:rPr>
        <w:t>s personas nodarījumu veido vairākas savstarpēji saistītas tādas paša</w:t>
      </w:r>
      <w:r>
        <w:rPr>
          <w:rFonts w:ascii="Times New Roman" w:hAnsi="Times New Roman" w:cs="Times New Roman"/>
          <w:sz w:val="24"/>
          <w:szCs w:val="24"/>
        </w:rPr>
        <w:t>s</w:t>
      </w:r>
      <w:r w:rsidR="00712203" w:rsidRPr="00712203">
        <w:rPr>
          <w:rFonts w:ascii="Times New Roman" w:hAnsi="Times New Roman" w:cs="Times New Roman"/>
          <w:sz w:val="24"/>
          <w:szCs w:val="24"/>
        </w:rPr>
        <w:t xml:space="preserve"> darbības vai bezdarbības akti, kas vērsti uz kopēju mērķi – izvairīties no nodokļu vai tiem pielīdzināto maksājumu nomaksas, ko aptver vainīgās pers</w:t>
      </w:r>
      <w:r>
        <w:rPr>
          <w:rFonts w:ascii="Times New Roman" w:hAnsi="Times New Roman" w:cs="Times New Roman"/>
          <w:sz w:val="24"/>
          <w:szCs w:val="24"/>
        </w:rPr>
        <w:t>onas vienots nodoms, nodarījums</w:t>
      </w:r>
      <w:r w:rsidR="00712203" w:rsidRPr="00712203">
        <w:rPr>
          <w:rFonts w:ascii="Times New Roman" w:hAnsi="Times New Roman" w:cs="Times New Roman"/>
          <w:sz w:val="24"/>
          <w:szCs w:val="24"/>
        </w:rPr>
        <w:t xml:space="preserve"> saskaņā ar Krimināllikuma</w:t>
      </w:r>
      <w:r>
        <w:rPr>
          <w:rFonts w:ascii="Times New Roman" w:hAnsi="Times New Roman" w:cs="Times New Roman"/>
          <w:sz w:val="24"/>
          <w:szCs w:val="24"/>
        </w:rPr>
        <w:t xml:space="preserve"> </w:t>
      </w:r>
      <w:proofErr w:type="gramStart"/>
      <w:r>
        <w:rPr>
          <w:rFonts w:ascii="Times New Roman" w:hAnsi="Times New Roman" w:cs="Times New Roman"/>
          <w:sz w:val="24"/>
          <w:szCs w:val="24"/>
        </w:rPr>
        <w:t>23.panta</w:t>
      </w:r>
      <w:proofErr w:type="gramEnd"/>
      <w:r>
        <w:rPr>
          <w:rFonts w:ascii="Times New Roman" w:hAnsi="Times New Roman" w:cs="Times New Roman"/>
          <w:sz w:val="24"/>
          <w:szCs w:val="24"/>
        </w:rPr>
        <w:t xml:space="preserve"> trešajā daļā norādīto</w:t>
      </w:r>
      <w:r w:rsidR="00712203" w:rsidRPr="00712203">
        <w:rPr>
          <w:rFonts w:ascii="Times New Roman" w:hAnsi="Times New Roman" w:cs="Times New Roman"/>
          <w:sz w:val="24"/>
          <w:szCs w:val="24"/>
        </w:rPr>
        <w:t xml:space="preserve"> atzīstams par atsevišķu turpinātu noziedzīgu nodarījumu. Nosakot turpināta noziedzīga nodarījuma rezultātā valstij vai pašvaldībai nodarītos zaudējumus, tiek ņemts vērā viss zaudējumu apmērs, kāds valstij vai pašvaldībai nodarīts, izvairoties kā no viena, tā arī no dažāda veida nodokļu nomaksas (</w:t>
      </w:r>
      <w:r w:rsidR="0061405B">
        <w:rPr>
          <w:rFonts w:ascii="Times New Roman" w:hAnsi="Times New Roman" w:cs="Times New Roman"/>
          <w:i/>
          <w:iCs/>
          <w:sz w:val="24"/>
          <w:szCs w:val="24"/>
        </w:rPr>
        <w:t>Senāta 2002.gada 10.</w:t>
      </w:r>
      <w:r w:rsidR="00712203" w:rsidRPr="00712203">
        <w:rPr>
          <w:rFonts w:ascii="Times New Roman" w:hAnsi="Times New Roman" w:cs="Times New Roman"/>
          <w:i/>
          <w:iCs/>
          <w:sz w:val="24"/>
          <w:szCs w:val="24"/>
        </w:rPr>
        <w:t xml:space="preserve">septembra </w:t>
      </w:r>
      <w:smartTag w:uri="schemas-tilde-lv/tildestengine" w:element="veidnes">
        <w:smartTagPr>
          <w:attr w:name="text" w:val="lēmums"/>
          <w:attr w:name="id" w:val="-1"/>
          <w:attr w:name="baseform" w:val="lēmum|s"/>
        </w:smartTagPr>
        <w:r w:rsidR="00712203" w:rsidRPr="00712203">
          <w:rPr>
            <w:rFonts w:ascii="Times New Roman" w:hAnsi="Times New Roman" w:cs="Times New Roman"/>
            <w:i/>
            <w:iCs/>
            <w:sz w:val="24"/>
            <w:szCs w:val="24"/>
          </w:rPr>
          <w:t>lēmums</w:t>
        </w:r>
      </w:smartTag>
      <w:r w:rsidR="00712203" w:rsidRPr="00712203">
        <w:rPr>
          <w:rFonts w:ascii="Times New Roman" w:hAnsi="Times New Roman" w:cs="Times New Roman"/>
          <w:i/>
          <w:iCs/>
          <w:sz w:val="24"/>
          <w:szCs w:val="24"/>
        </w:rPr>
        <w:t xml:space="preserve"> lietā Nr</w:t>
      </w:r>
      <w:smartTag w:uri="schemas-tilde-lv/tildestengine" w:element="currency">
        <w:smartTagPr>
          <w:attr w:name="currency_id" w:val="43"/>
          <w:attr w:name="currency_key" w:val="SKK"/>
          <w:attr w:name="currency_value" w:val="."/>
          <w:attr w:name="currency_text" w:val="SKK"/>
        </w:smartTagPr>
        <w:r w:rsidR="00712203" w:rsidRPr="00712203">
          <w:rPr>
            <w:rFonts w:ascii="Times New Roman" w:hAnsi="Times New Roman" w:cs="Times New Roman"/>
            <w:i/>
            <w:iCs/>
            <w:sz w:val="24"/>
            <w:szCs w:val="24"/>
          </w:rPr>
          <w:t>. SKK</w:t>
        </w:r>
      </w:smartTag>
      <w:r w:rsidR="00712203" w:rsidRPr="00712203">
        <w:rPr>
          <w:rFonts w:ascii="Times New Roman" w:hAnsi="Times New Roman" w:cs="Times New Roman"/>
          <w:i/>
          <w:iCs/>
          <w:sz w:val="24"/>
          <w:szCs w:val="24"/>
        </w:rPr>
        <w:t>-310</w:t>
      </w:r>
      <w:r>
        <w:rPr>
          <w:rFonts w:ascii="Times New Roman" w:hAnsi="Times New Roman" w:cs="Times New Roman"/>
          <w:i/>
          <w:iCs/>
          <w:sz w:val="24"/>
          <w:szCs w:val="24"/>
        </w:rPr>
        <w:t>/2002</w:t>
      </w:r>
      <w:r w:rsidR="00712203" w:rsidRPr="00712203">
        <w:rPr>
          <w:rFonts w:ascii="Times New Roman" w:hAnsi="Times New Roman" w:cs="Times New Roman"/>
          <w:sz w:val="24"/>
          <w:szCs w:val="24"/>
        </w:rPr>
        <w:t>). Savukārt, ja vainīgajai personai bijis atsevišķs nodoms izdarīt divas vai vairāk izvairīšanās no nodokļu vai tiem pielīdzināto maksājumu nomaksas, katrs izvairīšanās gadījums ir kvalificējams patstāvīgi.</w:t>
      </w:r>
      <w:r w:rsidR="0061405B">
        <w:rPr>
          <w:rFonts w:ascii="Times New Roman" w:hAnsi="Times New Roman" w:cs="Times New Roman"/>
          <w:sz w:val="24"/>
        </w:rPr>
        <w:t xml:space="preserve"> </w:t>
      </w:r>
    </w:p>
    <w:p w14:paraId="553B5414" w14:textId="69810B0E"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 xml:space="preserve">Senāts atzīst, ka apelācijas instances tiesa, izvērtējot apsūdzētā </w:t>
      </w:r>
      <w:r w:rsidR="007A6385">
        <w:rPr>
          <w:rFonts w:ascii="Times New Roman" w:hAnsi="Times New Roman" w:cs="Times New Roman"/>
          <w:sz w:val="24"/>
          <w:szCs w:val="24"/>
        </w:rPr>
        <w:t>[pers. A]</w:t>
      </w:r>
      <w:r w:rsidRPr="00712203">
        <w:rPr>
          <w:rFonts w:ascii="Times New Roman" w:hAnsi="Times New Roman" w:cs="Times New Roman"/>
          <w:sz w:val="24"/>
          <w:szCs w:val="24"/>
        </w:rPr>
        <w:t xml:space="preserve"> nodoma virzību, izšķirošu nozīmi piešķīrusi no apsūdzētā gribas neatkarīgiem faktiem, proti, faktam, ka katra kapitālsabiedrība ir patstāvīgs tiesību subjekts, un faktam, ka VID katrai kapitālsabiedrībai veicis atsevišķu nodokļu aprēķinu, nepaskaidrojot, kā šie fakti atspoguļo apsūdzētā nodomu, kas ir viens no apsūdzētā psihiskās attieksmes pret viņa izdarīto prettiesisko darbību vai bezdarbību un ar to cēloņsakarībā saistītajām sekām, veidiem. </w:t>
      </w:r>
    </w:p>
    <w:p w14:paraId="649C374F" w14:textId="77777777"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 xml:space="preserve">No lietas materiāliem pievienotā prof. </w:t>
      </w:r>
      <w:proofErr w:type="spellStart"/>
      <w:r w:rsidRPr="00712203">
        <w:rPr>
          <w:rFonts w:ascii="Times New Roman" w:hAnsi="Times New Roman" w:cs="Times New Roman"/>
          <w:sz w:val="24"/>
          <w:szCs w:val="24"/>
        </w:rPr>
        <w:t>Valentijas</w:t>
      </w:r>
      <w:proofErr w:type="spellEnd"/>
      <w:r w:rsidRPr="00712203">
        <w:rPr>
          <w:rFonts w:ascii="Times New Roman" w:hAnsi="Times New Roman" w:cs="Times New Roman"/>
          <w:sz w:val="24"/>
          <w:szCs w:val="24"/>
        </w:rPr>
        <w:t xml:space="preserve"> </w:t>
      </w:r>
      <w:proofErr w:type="spellStart"/>
      <w:r w:rsidRPr="00712203">
        <w:rPr>
          <w:rFonts w:ascii="Times New Roman" w:hAnsi="Times New Roman" w:cs="Times New Roman"/>
          <w:sz w:val="24"/>
          <w:szCs w:val="24"/>
        </w:rPr>
        <w:t>Liholajas</w:t>
      </w:r>
      <w:proofErr w:type="spellEnd"/>
      <w:r w:rsidRPr="00712203">
        <w:rPr>
          <w:rFonts w:ascii="Times New Roman" w:hAnsi="Times New Roman" w:cs="Times New Roman"/>
          <w:sz w:val="24"/>
          <w:szCs w:val="24"/>
        </w:rPr>
        <w:t xml:space="preserve"> atzinuma izriet, ka profesore sniegusi skaidrojumu par nodarījuma kvalifikāciju gadījumā, kas atbilst izskatāmajā lietā konstatētajam, proti, kad persona viena kriminālprocesa ietvaros apsūdzēta par izvairīšanos no nodokļu nomaksas vienlaikus divās kapitālsabiedrībās, kurās šī persona bija atbildīga par nodokļu nomaksu, nenodalot apsūdzību par katru kapitālsabiedrību un summējot VID veiktos nodokļu aprēķinus.</w:t>
      </w:r>
      <w:r w:rsidR="0061405B">
        <w:rPr>
          <w:rFonts w:ascii="Times New Roman" w:hAnsi="Times New Roman" w:cs="Times New Roman"/>
          <w:sz w:val="24"/>
        </w:rPr>
        <w:t xml:space="preserve"> </w:t>
      </w:r>
    </w:p>
    <w:p w14:paraId="1FE16DE7" w14:textId="4919CB74"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Profesore norādījusi, ka atbilde par šāda kvalifikācijas risinājuma pareizību un pamatotību ir atkarīga no tā, vai pēc lietas faktiskajiem apstākļiem un noziedzīgā nodarījuma subjektīvās puses inkriminētais nodarījums vērtējams kā viens atsevišķs (vienots) nozied</w:t>
      </w:r>
      <w:r w:rsidR="000E1448">
        <w:rPr>
          <w:rFonts w:ascii="Times New Roman" w:hAnsi="Times New Roman" w:cs="Times New Roman"/>
          <w:sz w:val="24"/>
          <w:szCs w:val="24"/>
        </w:rPr>
        <w:t>zīgs nodarījums, ko saskaņā ar K</w:t>
      </w:r>
      <w:r w:rsidRPr="00712203">
        <w:rPr>
          <w:rFonts w:ascii="Times New Roman" w:hAnsi="Times New Roman" w:cs="Times New Roman"/>
          <w:sz w:val="24"/>
          <w:szCs w:val="24"/>
        </w:rPr>
        <w:t>rimināllikuma 23.panta pirmajā daļā noteikto var veidot kā viens nodarījums, kam ir viena noziedzīga nodarījuma sastāva pazīmes, tā arī divi vai vairāki savstarpēji saistīti noziedzīgi nodarījumi, kurus aptver vainīgās personas vienots nodoms un kuri atbilst tikai viena noziedzīga nodarījuma sastāva pazīmēm, vai arī izdarīti divi patstāvīgi noziedzīgi nodarījumi un katrs no tiem ir atsevišķs (vienots) noziedzīgs nodarījums, kas arī viena kriminālprocesa ietvaros kvalificējams patstāvīgi, atbilstoši Kriminālprocesa likuma 405.panta pirmās daļas 2.punkta priekšrakstiem.</w:t>
      </w:r>
      <w:r w:rsidR="0061405B">
        <w:rPr>
          <w:rFonts w:ascii="Times New Roman" w:hAnsi="Times New Roman" w:cs="Times New Roman"/>
          <w:sz w:val="24"/>
        </w:rPr>
        <w:t xml:space="preserve"> </w:t>
      </w:r>
    </w:p>
    <w:p w14:paraId="71B9D6F9" w14:textId="77777777"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No minētā atzinuma izriet, ka, konstatējot likumā norādīto savstarpējo saistību, izvairīšanās no nodokļu nomaksas, nodarot valstij zaudējumus lielā apmērā, var tikt kvalificēta kā viens atsevišķs (vienots) noziedzīgs nodarījums arī gadījumos, kad izvairīšanās no nodokļu nomaksas notikusi vienlaikus divās kapitālsabiedrībās kā patstāvīgos tiesību subjektos.</w:t>
      </w:r>
      <w:r w:rsidR="0061405B">
        <w:rPr>
          <w:rFonts w:ascii="Times New Roman" w:hAnsi="Times New Roman" w:cs="Times New Roman"/>
          <w:sz w:val="24"/>
        </w:rPr>
        <w:t xml:space="preserve"> </w:t>
      </w:r>
    </w:p>
    <w:p w14:paraId="79905840" w14:textId="77777777"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 xml:space="preserve">Vienlaikus apelācijas instances tiesa atstājusi bez ievērības vairākus lietas apstākļus, uz kuriem prokurore norādījusi kasācijas protestā, un kuri var liecināt par apsūdzētā nodomu, proti, lai izvairītos no nodokļu nomaksas: </w:t>
      </w:r>
      <w:r w:rsidR="0061405B">
        <w:rPr>
          <w:rFonts w:ascii="Times New Roman" w:hAnsi="Times New Roman" w:cs="Times New Roman"/>
          <w:sz w:val="24"/>
          <w:szCs w:val="24"/>
        </w:rPr>
        <w:t>1) </w:t>
      </w:r>
      <w:r w:rsidRPr="00712203">
        <w:rPr>
          <w:rFonts w:ascii="Times New Roman" w:hAnsi="Times New Roman" w:cs="Times New Roman"/>
          <w:sz w:val="24"/>
          <w:szCs w:val="24"/>
        </w:rPr>
        <w:t>tika izmantoti vienu un to pašu fiktīvo uzņēmumu vārdā viltoti grāmatved</w:t>
      </w:r>
      <w:r w:rsidR="0061405B">
        <w:rPr>
          <w:rFonts w:ascii="Times New Roman" w:hAnsi="Times New Roman" w:cs="Times New Roman"/>
          <w:sz w:val="24"/>
          <w:szCs w:val="24"/>
        </w:rPr>
        <w:t>ības attaisnojuma dokumenti; 2) </w:t>
      </w:r>
      <w:r w:rsidRPr="00712203">
        <w:rPr>
          <w:rFonts w:ascii="Times New Roman" w:hAnsi="Times New Roman" w:cs="Times New Roman"/>
          <w:sz w:val="24"/>
          <w:szCs w:val="24"/>
        </w:rPr>
        <w:t>šie dokumenti vienlaicīgi iegūti abiem uzņēmumiem; 3</w:t>
      </w:r>
      <w:r w:rsidR="0061405B">
        <w:rPr>
          <w:rFonts w:ascii="Times New Roman" w:hAnsi="Times New Roman" w:cs="Times New Roman"/>
          <w:sz w:val="24"/>
          <w:szCs w:val="24"/>
        </w:rPr>
        <w:t>) </w:t>
      </w:r>
      <w:r w:rsidRPr="00712203">
        <w:rPr>
          <w:rFonts w:ascii="Times New Roman" w:hAnsi="Times New Roman" w:cs="Times New Roman"/>
          <w:sz w:val="24"/>
          <w:szCs w:val="24"/>
        </w:rPr>
        <w:t>koordinējot viltoto dokumentu iegūšanu, tika izmantoti vieni un tie paši e-</w:t>
      </w:r>
      <w:proofErr w:type="spellStart"/>
      <w:r w:rsidRPr="00712203">
        <w:rPr>
          <w:rFonts w:ascii="Times New Roman" w:hAnsi="Times New Roman" w:cs="Times New Roman"/>
          <w:sz w:val="24"/>
          <w:szCs w:val="24"/>
        </w:rPr>
        <w:t>pasti</w:t>
      </w:r>
      <w:proofErr w:type="spellEnd"/>
      <w:r w:rsidRPr="00712203">
        <w:rPr>
          <w:rFonts w:ascii="Times New Roman" w:hAnsi="Times New Roman" w:cs="Times New Roman"/>
          <w:sz w:val="24"/>
          <w:szCs w:val="24"/>
        </w:rPr>
        <w:t>.</w:t>
      </w:r>
      <w:r w:rsidR="0061405B">
        <w:rPr>
          <w:rFonts w:ascii="Times New Roman" w:hAnsi="Times New Roman" w:cs="Times New Roman"/>
          <w:sz w:val="24"/>
        </w:rPr>
        <w:t xml:space="preserve"> </w:t>
      </w:r>
    </w:p>
    <w:p w14:paraId="6F07D09D" w14:textId="77777777" w:rsidR="0061405B" w:rsidRDefault="00712203" w:rsidP="0061405B">
      <w:pPr>
        <w:spacing w:after="0"/>
        <w:ind w:right="-1" w:firstLine="720"/>
        <w:jc w:val="both"/>
        <w:rPr>
          <w:rFonts w:ascii="Times New Roman" w:hAnsi="Times New Roman" w:cs="Times New Roman"/>
          <w:sz w:val="24"/>
          <w:szCs w:val="24"/>
        </w:rPr>
      </w:pPr>
      <w:r w:rsidRPr="00712203">
        <w:rPr>
          <w:rFonts w:ascii="Times New Roman" w:hAnsi="Times New Roman" w:cs="Times New Roman"/>
          <w:sz w:val="24"/>
          <w:szCs w:val="24"/>
        </w:rPr>
        <w:t>Neizvērtējot šos apstākļus, apelācijas instances tiesa pieļāvusi Kriminālprocesa likuma 512.panta un 564.panta ceturtās daļas pārkāpumus, kuru dēļ apelācijas instances tiesas spriedumu šajā daļā nevar atzīt par tiesisku un pamatotu Kriminālprocesa likuma 511.panta otrās daļas izpratnē.</w:t>
      </w:r>
      <w:r w:rsidR="0061405B">
        <w:rPr>
          <w:rFonts w:ascii="Times New Roman" w:hAnsi="Times New Roman" w:cs="Times New Roman"/>
          <w:sz w:val="24"/>
          <w:szCs w:val="24"/>
        </w:rPr>
        <w:t xml:space="preserve"> </w:t>
      </w:r>
    </w:p>
    <w:p w14:paraId="7CAD751B" w14:textId="27F7DEB1" w:rsidR="0061405B" w:rsidRDefault="0061405B" w:rsidP="0061405B">
      <w:pPr>
        <w:spacing w:after="0"/>
        <w:ind w:right="-1" w:firstLine="720"/>
        <w:jc w:val="both"/>
        <w:rPr>
          <w:rFonts w:ascii="Times New Roman" w:hAnsi="Times New Roman" w:cs="Times New Roman"/>
          <w:sz w:val="24"/>
        </w:rPr>
      </w:pPr>
      <w:r>
        <w:rPr>
          <w:rFonts w:ascii="Times New Roman" w:hAnsi="Times New Roman" w:cs="Times New Roman"/>
          <w:sz w:val="24"/>
          <w:szCs w:val="24"/>
        </w:rPr>
        <w:t>[6.4] </w:t>
      </w:r>
      <w:r w:rsidR="00712203" w:rsidRPr="00712203">
        <w:rPr>
          <w:rFonts w:ascii="Times New Roman" w:hAnsi="Times New Roman" w:cs="Times New Roman"/>
          <w:sz w:val="24"/>
          <w:szCs w:val="24"/>
        </w:rPr>
        <w:t xml:space="preserve">Apelācijas instances tiesa atzinusi, ka lietā nav pamata konstatēt Krimināllikuma 218.panta otrajā daļā paredzētā noziedzīgā nodarījuma subjektīvo pusi – to, ka izvairīšanos no nodokļu nomaksas abās kapitālsabiedrībās aptver apsūdzēto vienots nodoms –, jo norādi par to, ka </w:t>
      </w:r>
      <w:r w:rsidR="007A6385">
        <w:rPr>
          <w:rFonts w:ascii="Times New Roman" w:hAnsi="Times New Roman" w:cs="Times New Roman"/>
          <w:sz w:val="24"/>
          <w:szCs w:val="24"/>
        </w:rPr>
        <w:t>[pers. A]</w:t>
      </w:r>
      <w:r w:rsidR="00712203" w:rsidRPr="00712203">
        <w:rPr>
          <w:rFonts w:ascii="Times New Roman" w:hAnsi="Times New Roman" w:cs="Times New Roman"/>
          <w:sz w:val="24"/>
          <w:szCs w:val="24"/>
        </w:rPr>
        <w:t xml:space="preserve"> inkriminētās darbības veicis, īstenojot vienotu nodomu, pierādītā noziedzīgā nodarījuma aprakstā ietvērusi pirmās instances tiesa, tādējādi pasliktinot visu apsūdzēto stāvokli lietā un pārkāpjot viņu tiesības uz aizstāvību.</w:t>
      </w:r>
      <w:r>
        <w:rPr>
          <w:rFonts w:ascii="Times New Roman" w:hAnsi="Times New Roman" w:cs="Times New Roman"/>
          <w:sz w:val="24"/>
        </w:rPr>
        <w:t xml:space="preserve"> </w:t>
      </w:r>
    </w:p>
    <w:p w14:paraId="27DBBF2A" w14:textId="7F87F741"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 xml:space="preserve">Senāts atzīst, ka apelācijas instances tiesa, kvalificējot </w:t>
      </w:r>
      <w:r w:rsidR="007A6385">
        <w:rPr>
          <w:rFonts w:ascii="Times New Roman" w:hAnsi="Times New Roman" w:cs="Times New Roman"/>
          <w:sz w:val="24"/>
          <w:szCs w:val="24"/>
        </w:rPr>
        <w:t>[pers. A]</w:t>
      </w:r>
      <w:r w:rsidRPr="00712203">
        <w:rPr>
          <w:rFonts w:ascii="Times New Roman" w:hAnsi="Times New Roman" w:cs="Times New Roman"/>
          <w:sz w:val="24"/>
          <w:szCs w:val="24"/>
        </w:rPr>
        <w:t xml:space="preserve"> nodarījumu, izšķirošo nozīmi nepamatoti piešķīrusi faktam, ka apsūdzībā nav ietverta norāde par vienota nodoma esību, bet nav izvērtējusi </w:t>
      </w:r>
      <w:r w:rsidR="007A6385">
        <w:rPr>
          <w:rFonts w:ascii="Times New Roman" w:hAnsi="Times New Roman" w:cs="Times New Roman"/>
          <w:sz w:val="24"/>
          <w:szCs w:val="24"/>
        </w:rPr>
        <w:t>[pers. A]</w:t>
      </w:r>
      <w:r w:rsidRPr="00712203">
        <w:rPr>
          <w:rFonts w:ascii="Times New Roman" w:hAnsi="Times New Roman" w:cs="Times New Roman"/>
          <w:sz w:val="24"/>
          <w:szCs w:val="24"/>
        </w:rPr>
        <w:t xml:space="preserve"> celto apsūdzību kopumā. Par izvair</w:t>
      </w:r>
      <w:r w:rsidR="0061405B">
        <w:rPr>
          <w:rFonts w:ascii="Times New Roman" w:hAnsi="Times New Roman" w:cs="Times New Roman"/>
          <w:sz w:val="24"/>
          <w:szCs w:val="24"/>
        </w:rPr>
        <w:t>īšanos no nodokļu nomaksas SIA „</w:t>
      </w:r>
      <w:r w:rsidR="007A6385">
        <w:rPr>
          <w:rFonts w:ascii="Times New Roman" w:hAnsi="Times New Roman" w:cs="Times New Roman"/>
          <w:sz w:val="24"/>
          <w:szCs w:val="24"/>
        </w:rPr>
        <w:t>[Nosaukums A]</w:t>
      </w:r>
      <w:r w:rsidR="0061405B">
        <w:rPr>
          <w:rFonts w:ascii="Times New Roman" w:hAnsi="Times New Roman" w:cs="Times New Roman"/>
          <w:sz w:val="24"/>
          <w:szCs w:val="24"/>
        </w:rPr>
        <w:t>” un SIA „</w:t>
      </w:r>
      <w:r w:rsidR="007A6385">
        <w:rPr>
          <w:rFonts w:ascii="Times New Roman" w:hAnsi="Times New Roman" w:cs="Times New Roman"/>
          <w:sz w:val="24"/>
          <w:szCs w:val="24"/>
        </w:rPr>
        <w:t>[Nosaukums B]</w:t>
      </w:r>
      <w:r w:rsidRPr="00712203">
        <w:rPr>
          <w:rFonts w:ascii="Times New Roman" w:hAnsi="Times New Roman" w:cs="Times New Roman"/>
          <w:sz w:val="24"/>
          <w:szCs w:val="24"/>
        </w:rPr>
        <w:t xml:space="preserve">” celta viena apsūdzība, kurā vienlaikus izklāstītas vienveidīgas abos uzņēmumos veiktas noziedzīgā nodarījuma objektīvo pusi raksturojošas darbības, kuras apvienotas laika un seku ziņā, norādot, ka valstij nodarītais zaudējums </w:t>
      </w:r>
      <w:r w:rsidR="0061405B">
        <w:rPr>
          <w:rFonts w:ascii="Times New Roman" w:hAnsi="Times New Roman" w:cs="Times New Roman"/>
          <w:sz w:val="24"/>
          <w:szCs w:val="24"/>
        </w:rPr>
        <w:t>20 968, 28 </w:t>
      </w:r>
      <w:proofErr w:type="spellStart"/>
      <w:r w:rsidRPr="00712203">
        <w:rPr>
          <w:rFonts w:ascii="Times New Roman" w:hAnsi="Times New Roman" w:cs="Times New Roman"/>
          <w:i/>
          <w:iCs/>
          <w:sz w:val="24"/>
          <w:szCs w:val="24"/>
        </w:rPr>
        <w:t>euro</w:t>
      </w:r>
      <w:proofErr w:type="spellEnd"/>
      <w:r w:rsidRPr="00712203">
        <w:rPr>
          <w:rFonts w:ascii="Times New Roman" w:hAnsi="Times New Roman" w:cs="Times New Roman"/>
          <w:i/>
          <w:iCs/>
          <w:sz w:val="24"/>
          <w:szCs w:val="24"/>
        </w:rPr>
        <w:t xml:space="preserve"> </w:t>
      </w:r>
      <w:r w:rsidRPr="00712203">
        <w:rPr>
          <w:rFonts w:ascii="Times New Roman" w:hAnsi="Times New Roman" w:cs="Times New Roman"/>
          <w:sz w:val="24"/>
          <w:szCs w:val="24"/>
        </w:rPr>
        <w:t>apmērā radies, abos uzņēmumos nepamatoti palielinot no budžeta atmaksājamās PVN summas. Turklāt šīs darbības veikušas vienas un tās pašas personas, vienādā veidā, izmantojot vienu un to pašu fiktīvo uzņēmumu vārdā viltotus grāmatvedības attaisnojuma dokumentus, kuri vienlaicīgi iegūti abiem uzņēmumiem.</w:t>
      </w:r>
      <w:r w:rsidR="0061405B">
        <w:rPr>
          <w:rFonts w:ascii="Times New Roman" w:hAnsi="Times New Roman" w:cs="Times New Roman"/>
          <w:sz w:val="24"/>
        </w:rPr>
        <w:t xml:space="preserve"> </w:t>
      </w:r>
    </w:p>
    <w:p w14:paraId="185CACD0" w14:textId="7D9EF32F" w:rsidR="0061405B" w:rsidRDefault="00712203" w:rsidP="0061405B">
      <w:pPr>
        <w:spacing w:after="0"/>
        <w:ind w:right="-1" w:firstLine="720"/>
        <w:jc w:val="both"/>
        <w:rPr>
          <w:rFonts w:ascii="Times New Roman" w:hAnsi="Times New Roman" w:cs="Times New Roman"/>
          <w:sz w:val="24"/>
          <w:szCs w:val="24"/>
        </w:rPr>
      </w:pPr>
      <w:r w:rsidRPr="00712203">
        <w:rPr>
          <w:rFonts w:ascii="Times New Roman" w:hAnsi="Times New Roman" w:cs="Times New Roman"/>
          <w:sz w:val="24"/>
          <w:szCs w:val="24"/>
        </w:rPr>
        <w:t>Neizvērtējot šos apstākļus, apelācijas instances tiesa pieļāvusi Krimināl</w:t>
      </w:r>
      <w:r w:rsidR="000E1448">
        <w:rPr>
          <w:rFonts w:ascii="Times New Roman" w:hAnsi="Times New Roman" w:cs="Times New Roman"/>
          <w:sz w:val="24"/>
          <w:szCs w:val="24"/>
        </w:rPr>
        <w:t xml:space="preserve">procesa </w:t>
      </w:r>
      <w:r w:rsidRPr="00712203">
        <w:rPr>
          <w:rFonts w:ascii="Times New Roman" w:hAnsi="Times New Roman" w:cs="Times New Roman"/>
          <w:sz w:val="24"/>
          <w:szCs w:val="24"/>
        </w:rPr>
        <w:t>likuma 512.panta un 564.panta pārkāpumus, kuru dēļ apelācijas instances tiesas spriedumu šajā daļā nevar atzīt par tiesisku un pamatotu Kriminālprocesa likuma 511.panta otrās daļas izpratnē.</w:t>
      </w:r>
      <w:r w:rsidR="0061405B">
        <w:rPr>
          <w:rFonts w:ascii="Times New Roman" w:hAnsi="Times New Roman" w:cs="Times New Roman"/>
          <w:sz w:val="24"/>
          <w:szCs w:val="24"/>
        </w:rPr>
        <w:t xml:space="preserve"> </w:t>
      </w:r>
    </w:p>
    <w:p w14:paraId="5B9D3B62" w14:textId="04B8E847" w:rsidR="0061405B" w:rsidRDefault="0061405B" w:rsidP="0061405B">
      <w:pPr>
        <w:spacing w:after="0"/>
        <w:ind w:right="-1" w:firstLine="720"/>
        <w:jc w:val="both"/>
        <w:rPr>
          <w:rFonts w:ascii="Times New Roman" w:hAnsi="Times New Roman" w:cs="Times New Roman"/>
          <w:sz w:val="24"/>
        </w:rPr>
      </w:pPr>
      <w:r>
        <w:rPr>
          <w:rFonts w:ascii="Times New Roman" w:hAnsi="Times New Roman" w:cs="Times New Roman"/>
          <w:sz w:val="24"/>
          <w:szCs w:val="24"/>
        </w:rPr>
        <w:t>[6.5] </w:t>
      </w:r>
      <w:r w:rsidR="00712203" w:rsidRPr="00712203">
        <w:rPr>
          <w:rFonts w:ascii="Times New Roman" w:hAnsi="Times New Roman" w:cs="Times New Roman"/>
          <w:sz w:val="24"/>
          <w:szCs w:val="24"/>
        </w:rPr>
        <w:t xml:space="preserve">Apelācijas instances tiesa atstājusi negrozītu pirmās instances tiesas spriedumu daļā par apsūdzētā </w:t>
      </w:r>
      <w:r w:rsidR="007A6385">
        <w:rPr>
          <w:rFonts w:ascii="Times New Roman" w:hAnsi="Times New Roman" w:cs="Times New Roman"/>
          <w:sz w:val="24"/>
          <w:szCs w:val="24"/>
        </w:rPr>
        <w:t>[pers. D]</w:t>
      </w:r>
      <w:r w:rsidR="00712203" w:rsidRPr="00712203">
        <w:rPr>
          <w:rFonts w:ascii="Times New Roman" w:hAnsi="Times New Roman" w:cs="Times New Roman"/>
          <w:sz w:val="24"/>
          <w:szCs w:val="24"/>
        </w:rPr>
        <w:t xml:space="preserve"> atzīšanu par nevainīgu un attaisnošanu apsūdzībā pēc Krimināllikuma 275.panta otrās daļas </w:t>
      </w:r>
      <w:r w:rsidR="00712203" w:rsidRPr="00E273B3">
        <w:rPr>
          <w:rFonts w:ascii="Times New Roman" w:hAnsi="Times New Roman" w:cs="Times New Roman"/>
          <w:sz w:val="24"/>
          <w:szCs w:val="24"/>
        </w:rPr>
        <w:t>par viltota dokumenta, kas piešķir tiesības un atbrīvo no pienākumiem, izmantošanu mantkārīgā nolūkā.</w:t>
      </w:r>
      <w:r>
        <w:rPr>
          <w:rFonts w:ascii="Times New Roman" w:hAnsi="Times New Roman" w:cs="Times New Roman"/>
          <w:sz w:val="24"/>
        </w:rPr>
        <w:t xml:space="preserve"> </w:t>
      </w:r>
    </w:p>
    <w:p w14:paraId="2D427606" w14:textId="3E705630" w:rsidR="0061405B" w:rsidRDefault="00712203" w:rsidP="0061405B">
      <w:pPr>
        <w:spacing w:after="0"/>
        <w:ind w:right="-1" w:firstLine="720"/>
        <w:jc w:val="both"/>
        <w:rPr>
          <w:rFonts w:ascii="Times New Roman" w:hAnsi="Times New Roman" w:cs="Times New Roman"/>
          <w:sz w:val="24"/>
          <w:szCs w:val="24"/>
        </w:rPr>
      </w:pPr>
      <w:r w:rsidRPr="00E273B3">
        <w:rPr>
          <w:rFonts w:ascii="Times New Roman" w:hAnsi="Times New Roman" w:cs="Times New Roman"/>
          <w:sz w:val="24"/>
          <w:szCs w:val="24"/>
        </w:rPr>
        <w:t>Pamatojot šādu atzinumu, tiesa norādījusi, ka</w:t>
      </w:r>
      <w:r w:rsidR="0061405B">
        <w:rPr>
          <w:rFonts w:ascii="Times New Roman" w:hAnsi="Times New Roman" w:cs="Times New Roman"/>
          <w:sz w:val="24"/>
          <w:szCs w:val="24"/>
        </w:rPr>
        <w:t>: 1) </w:t>
      </w:r>
      <w:r w:rsidRPr="00E273B3">
        <w:rPr>
          <w:rFonts w:ascii="Times New Roman" w:hAnsi="Times New Roman" w:cs="Times New Roman"/>
          <w:sz w:val="24"/>
          <w:szCs w:val="24"/>
        </w:rPr>
        <w:t>2013.gada 3.septembra faktūrrēķins Nr.</w:t>
      </w:r>
      <w:r w:rsidR="00724CD7">
        <w:rPr>
          <w:rFonts w:ascii="Times New Roman" w:hAnsi="Times New Roman" w:cs="Times New Roman"/>
          <w:sz w:val="24"/>
          <w:szCs w:val="24"/>
        </w:rPr>
        <w:t> </w:t>
      </w:r>
      <w:r w:rsidRPr="00E273B3">
        <w:rPr>
          <w:rFonts w:ascii="Times New Roman" w:hAnsi="Times New Roman" w:cs="Times New Roman"/>
          <w:sz w:val="24"/>
          <w:szCs w:val="24"/>
        </w:rPr>
        <w:t xml:space="preserve">BL/0309-005 par to, ka dators </w:t>
      </w:r>
      <w:r w:rsidRPr="00E273B3">
        <w:rPr>
          <w:rFonts w:ascii="Times New Roman" w:hAnsi="Times New Roman" w:cs="Times New Roman"/>
          <w:i/>
          <w:iCs/>
          <w:sz w:val="24"/>
          <w:szCs w:val="24"/>
        </w:rPr>
        <w:t>Asus X502CA-XX087D,</w:t>
      </w:r>
      <w:r w:rsidRPr="00E273B3">
        <w:rPr>
          <w:rFonts w:ascii="Times New Roman" w:hAnsi="Times New Roman" w:cs="Times New Roman"/>
          <w:sz w:val="24"/>
          <w:szCs w:val="24"/>
        </w:rPr>
        <w:t xml:space="preserve"> sērijas numurs </w:t>
      </w:r>
      <w:r w:rsidR="007659C9">
        <w:rPr>
          <w:rFonts w:ascii="Times New Roman" w:hAnsi="Times New Roman" w:cs="Times New Roman"/>
          <w:sz w:val="24"/>
          <w:szCs w:val="24"/>
        </w:rPr>
        <w:t>[..]</w:t>
      </w:r>
      <w:r w:rsidRPr="00E273B3">
        <w:rPr>
          <w:rFonts w:ascii="Times New Roman" w:hAnsi="Times New Roman" w:cs="Times New Roman"/>
          <w:sz w:val="24"/>
          <w:szCs w:val="24"/>
        </w:rPr>
        <w:t>,</w:t>
      </w:r>
      <w:r w:rsidRPr="00E273B3">
        <w:rPr>
          <w:rFonts w:ascii="Times New Roman" w:hAnsi="Times New Roman" w:cs="Times New Roman"/>
          <w:i/>
          <w:iCs/>
          <w:sz w:val="24"/>
          <w:szCs w:val="24"/>
        </w:rPr>
        <w:t xml:space="preserve"> </w:t>
      </w:r>
      <w:r w:rsidRPr="00E273B3">
        <w:rPr>
          <w:rFonts w:ascii="Times New Roman" w:hAnsi="Times New Roman" w:cs="Times New Roman"/>
          <w:sz w:val="24"/>
          <w:szCs w:val="24"/>
        </w:rPr>
        <w:t>ar tajā instalēt</w:t>
      </w:r>
      <w:r w:rsidR="00F63B23">
        <w:rPr>
          <w:rFonts w:ascii="Times New Roman" w:hAnsi="Times New Roman" w:cs="Times New Roman"/>
          <w:sz w:val="24"/>
          <w:szCs w:val="24"/>
        </w:rPr>
        <w:t>aj</w:t>
      </w:r>
      <w:r w:rsidRPr="00E273B3">
        <w:rPr>
          <w:rFonts w:ascii="Times New Roman" w:hAnsi="Times New Roman" w:cs="Times New Roman"/>
          <w:sz w:val="24"/>
          <w:szCs w:val="24"/>
        </w:rPr>
        <w:t xml:space="preserve">ām datorprogrammām </w:t>
      </w:r>
      <w:proofErr w:type="spellStart"/>
      <w:r w:rsidRPr="00E273B3">
        <w:rPr>
          <w:rFonts w:ascii="Times New Roman" w:hAnsi="Times New Roman" w:cs="Times New Roman"/>
          <w:i/>
          <w:iCs/>
          <w:sz w:val="24"/>
          <w:szCs w:val="24"/>
        </w:rPr>
        <w:t>Windows</w:t>
      </w:r>
      <w:proofErr w:type="spellEnd"/>
      <w:r w:rsidRPr="00E273B3">
        <w:rPr>
          <w:rFonts w:ascii="Times New Roman" w:hAnsi="Times New Roman" w:cs="Times New Roman"/>
          <w:i/>
          <w:iCs/>
          <w:sz w:val="24"/>
          <w:szCs w:val="24"/>
        </w:rPr>
        <w:t xml:space="preserve"> 7 </w:t>
      </w:r>
      <w:proofErr w:type="spellStart"/>
      <w:r w:rsidRPr="00E273B3">
        <w:rPr>
          <w:rFonts w:ascii="Times New Roman" w:hAnsi="Times New Roman" w:cs="Times New Roman"/>
          <w:i/>
          <w:iCs/>
          <w:sz w:val="24"/>
          <w:szCs w:val="24"/>
        </w:rPr>
        <w:t>Professional</w:t>
      </w:r>
      <w:proofErr w:type="spellEnd"/>
      <w:r w:rsidRPr="00E273B3">
        <w:rPr>
          <w:rFonts w:ascii="Times New Roman" w:hAnsi="Times New Roman" w:cs="Times New Roman"/>
          <w:i/>
          <w:iCs/>
          <w:sz w:val="24"/>
          <w:szCs w:val="24"/>
        </w:rPr>
        <w:t xml:space="preserve"> </w:t>
      </w:r>
      <w:r w:rsidRPr="00E273B3">
        <w:rPr>
          <w:rFonts w:ascii="Times New Roman" w:hAnsi="Times New Roman" w:cs="Times New Roman"/>
          <w:sz w:val="24"/>
          <w:szCs w:val="24"/>
        </w:rPr>
        <w:t xml:space="preserve">un </w:t>
      </w:r>
      <w:r w:rsidRPr="00E273B3">
        <w:rPr>
          <w:rFonts w:ascii="Times New Roman" w:hAnsi="Times New Roman" w:cs="Times New Roman"/>
          <w:i/>
          <w:iCs/>
          <w:sz w:val="24"/>
          <w:szCs w:val="24"/>
        </w:rPr>
        <w:t xml:space="preserve">Microsoft </w:t>
      </w:r>
      <w:proofErr w:type="spellStart"/>
      <w:r w:rsidRPr="00E273B3">
        <w:rPr>
          <w:rFonts w:ascii="Times New Roman" w:hAnsi="Times New Roman" w:cs="Times New Roman"/>
          <w:i/>
          <w:iCs/>
          <w:sz w:val="24"/>
          <w:szCs w:val="24"/>
        </w:rPr>
        <w:t>Office</w:t>
      </w:r>
      <w:proofErr w:type="spellEnd"/>
      <w:r w:rsidRPr="00E273B3">
        <w:rPr>
          <w:rFonts w:ascii="Times New Roman" w:hAnsi="Times New Roman" w:cs="Times New Roman"/>
          <w:i/>
          <w:iCs/>
          <w:sz w:val="24"/>
          <w:szCs w:val="24"/>
        </w:rPr>
        <w:t xml:space="preserve"> 2010 </w:t>
      </w:r>
      <w:r w:rsidR="0061405B">
        <w:rPr>
          <w:rFonts w:ascii="Times New Roman" w:hAnsi="Times New Roman" w:cs="Times New Roman"/>
          <w:sz w:val="24"/>
          <w:szCs w:val="24"/>
        </w:rPr>
        <w:t>iegādāts Polijas uzņēmumā ,,</w:t>
      </w:r>
      <w:proofErr w:type="spellStart"/>
      <w:r w:rsidRPr="00E273B3">
        <w:rPr>
          <w:rFonts w:ascii="Times New Roman" w:hAnsi="Times New Roman" w:cs="Times New Roman"/>
          <w:sz w:val="24"/>
          <w:szCs w:val="24"/>
        </w:rPr>
        <w:t>Belamare</w:t>
      </w:r>
      <w:proofErr w:type="spellEnd"/>
      <w:r w:rsidRPr="00E273B3">
        <w:rPr>
          <w:rFonts w:ascii="Times New Roman" w:hAnsi="Times New Roman" w:cs="Times New Roman"/>
          <w:sz w:val="24"/>
          <w:szCs w:val="24"/>
        </w:rPr>
        <w:t>”, nav uzskatāms par dokumentu Krimināllikuma 275.panta izpratnē, jo tas nerada tiesības un neatbrīvo no pienākumiem; 2)</w:t>
      </w:r>
      <w:r w:rsidR="0061405B">
        <w:rPr>
          <w:rFonts w:ascii="Times New Roman" w:hAnsi="Times New Roman" w:cs="Times New Roman"/>
          <w:sz w:val="24"/>
          <w:szCs w:val="24"/>
        </w:rPr>
        <w:t> </w:t>
      </w:r>
      <w:r w:rsidRPr="00E273B3">
        <w:rPr>
          <w:rFonts w:ascii="Times New Roman" w:hAnsi="Times New Roman" w:cs="Times New Roman"/>
          <w:sz w:val="24"/>
          <w:szCs w:val="24"/>
        </w:rPr>
        <w:t xml:space="preserve">apsūdzētā </w:t>
      </w:r>
      <w:r w:rsidR="000372FD">
        <w:rPr>
          <w:rFonts w:ascii="Times New Roman" w:hAnsi="Times New Roman" w:cs="Times New Roman"/>
          <w:sz w:val="24"/>
          <w:szCs w:val="24"/>
        </w:rPr>
        <w:t>[pers. D]</w:t>
      </w:r>
      <w:r w:rsidRPr="00E273B3">
        <w:rPr>
          <w:rFonts w:ascii="Times New Roman" w:hAnsi="Times New Roman" w:cs="Times New Roman"/>
          <w:sz w:val="24"/>
          <w:szCs w:val="24"/>
        </w:rPr>
        <w:t xml:space="preserve"> rīcība, 2014.gada 24.martā iesniedzot procesa virzītājam kriminālprocesā veiktās kratīšanas laikā izņemtā datora </w:t>
      </w:r>
      <w:r w:rsidRPr="00E273B3">
        <w:rPr>
          <w:rFonts w:ascii="Times New Roman" w:hAnsi="Times New Roman" w:cs="Times New Roman"/>
          <w:i/>
          <w:iCs/>
          <w:sz w:val="24"/>
          <w:szCs w:val="24"/>
        </w:rPr>
        <w:t xml:space="preserve">Asus X502CA-XX087D, </w:t>
      </w:r>
      <w:r w:rsidRPr="00E273B3">
        <w:rPr>
          <w:rFonts w:ascii="Times New Roman" w:hAnsi="Times New Roman" w:cs="Times New Roman"/>
          <w:sz w:val="24"/>
          <w:szCs w:val="24"/>
        </w:rPr>
        <w:t xml:space="preserve">sērijas numurs </w:t>
      </w:r>
      <w:r w:rsidR="007659C9">
        <w:rPr>
          <w:rFonts w:ascii="Times New Roman" w:hAnsi="Times New Roman" w:cs="Times New Roman"/>
          <w:sz w:val="24"/>
          <w:szCs w:val="24"/>
        </w:rPr>
        <w:t>[..]</w:t>
      </w:r>
      <w:r w:rsidRPr="00E273B3">
        <w:rPr>
          <w:rFonts w:ascii="Times New Roman" w:hAnsi="Times New Roman" w:cs="Times New Roman"/>
          <w:sz w:val="24"/>
          <w:szCs w:val="24"/>
        </w:rPr>
        <w:t xml:space="preserve">, iegādi apliecinošu dokumentu – 2013.gada 3.septembra faktūrrēķinu Nr. BL/0309-005, vērtējama vienīgi saistībā ar nepieciešamību pierādīt izņemtā datora piederību; </w:t>
      </w:r>
      <w:r w:rsidR="0061405B">
        <w:rPr>
          <w:rFonts w:ascii="Times New Roman" w:hAnsi="Times New Roman" w:cs="Times New Roman"/>
          <w:sz w:val="24"/>
          <w:szCs w:val="24"/>
        </w:rPr>
        <w:t>3) </w:t>
      </w:r>
      <w:r w:rsidR="00B641A5">
        <w:rPr>
          <w:rFonts w:ascii="Times New Roman" w:hAnsi="Times New Roman" w:cs="Times New Roman"/>
          <w:sz w:val="24"/>
          <w:szCs w:val="24"/>
        </w:rPr>
        <w:t>[pers. D]</w:t>
      </w:r>
      <w:r w:rsidRPr="00E273B3">
        <w:rPr>
          <w:rFonts w:ascii="Times New Roman" w:hAnsi="Times New Roman" w:cs="Times New Roman"/>
          <w:sz w:val="24"/>
          <w:szCs w:val="24"/>
        </w:rPr>
        <w:t xml:space="preserve"> izvirzītajā apsūdzībā norādītais mantkārīgais nolūks – vēlēšanās izvairīties no administratīvā soda piemērošanas par tāda datora izmantošanu, kurā datorprogrammas instalētas, pārkāpjot autortiesības</w:t>
      </w:r>
      <w:r w:rsidR="00106DC7">
        <w:rPr>
          <w:rFonts w:ascii="Times New Roman" w:hAnsi="Times New Roman" w:cs="Times New Roman"/>
          <w:sz w:val="24"/>
          <w:szCs w:val="24"/>
        </w:rPr>
        <w:t>,</w:t>
      </w:r>
      <w:r w:rsidRPr="00E273B3">
        <w:rPr>
          <w:rFonts w:ascii="Times New Roman" w:hAnsi="Times New Roman" w:cs="Times New Roman"/>
          <w:sz w:val="24"/>
          <w:szCs w:val="24"/>
        </w:rPr>
        <w:t xml:space="preserve"> – nav guvis apstiprinājumu, jo 2014.gada 24.martā vēl nebija veikta kratīšanā izņemtā datora </w:t>
      </w:r>
      <w:r w:rsidRPr="00E273B3">
        <w:rPr>
          <w:rFonts w:ascii="Times New Roman" w:hAnsi="Times New Roman" w:cs="Times New Roman"/>
          <w:i/>
          <w:iCs/>
          <w:sz w:val="24"/>
          <w:szCs w:val="24"/>
        </w:rPr>
        <w:t xml:space="preserve">Asus X502CA-XX087D, </w:t>
      </w:r>
      <w:r w:rsidRPr="00E273B3">
        <w:rPr>
          <w:rFonts w:ascii="Times New Roman" w:hAnsi="Times New Roman" w:cs="Times New Roman"/>
          <w:sz w:val="24"/>
          <w:szCs w:val="24"/>
        </w:rPr>
        <w:t xml:space="preserve">sērijas numurs </w:t>
      </w:r>
      <w:r w:rsidR="007659C9">
        <w:rPr>
          <w:rFonts w:ascii="Times New Roman" w:hAnsi="Times New Roman" w:cs="Times New Roman"/>
          <w:sz w:val="24"/>
          <w:szCs w:val="24"/>
        </w:rPr>
        <w:t>[..]</w:t>
      </w:r>
      <w:r w:rsidRPr="00E273B3">
        <w:rPr>
          <w:rFonts w:ascii="Times New Roman" w:hAnsi="Times New Roman" w:cs="Times New Roman"/>
          <w:sz w:val="24"/>
          <w:szCs w:val="24"/>
        </w:rPr>
        <w:t>, apskate un procesa virzītājam nebija zināms par datorā instalētajām datorprogrammām.</w:t>
      </w:r>
      <w:r w:rsidR="0061405B">
        <w:rPr>
          <w:rFonts w:ascii="Times New Roman" w:hAnsi="Times New Roman" w:cs="Times New Roman"/>
          <w:sz w:val="24"/>
          <w:szCs w:val="24"/>
        </w:rPr>
        <w:t xml:space="preserve"> </w:t>
      </w:r>
    </w:p>
    <w:p w14:paraId="5566C2A1" w14:textId="16DEDC1F" w:rsidR="0061405B" w:rsidRDefault="00712203" w:rsidP="0061405B">
      <w:pPr>
        <w:spacing w:after="0"/>
        <w:ind w:right="-1" w:firstLine="720"/>
        <w:jc w:val="both"/>
        <w:rPr>
          <w:rFonts w:ascii="Times New Roman" w:hAnsi="Times New Roman" w:cs="Times New Roman"/>
          <w:sz w:val="24"/>
          <w:szCs w:val="24"/>
        </w:rPr>
      </w:pPr>
      <w:r w:rsidRPr="00E273B3">
        <w:rPr>
          <w:rFonts w:ascii="Times New Roman" w:hAnsi="Times New Roman" w:cs="Times New Roman"/>
          <w:sz w:val="24"/>
          <w:szCs w:val="24"/>
        </w:rPr>
        <w:t xml:space="preserve">Senāts atzīst, ka apelācijas instances tiesa, norādot, ka apsūdzētā </w:t>
      </w:r>
      <w:r w:rsidR="00B641A5">
        <w:rPr>
          <w:rFonts w:ascii="Times New Roman" w:hAnsi="Times New Roman" w:cs="Times New Roman"/>
          <w:sz w:val="24"/>
          <w:szCs w:val="24"/>
        </w:rPr>
        <w:t>[pers. D]</w:t>
      </w:r>
      <w:r w:rsidRPr="00E273B3">
        <w:rPr>
          <w:rFonts w:ascii="Times New Roman" w:hAnsi="Times New Roman" w:cs="Times New Roman"/>
          <w:sz w:val="24"/>
          <w:szCs w:val="24"/>
        </w:rPr>
        <w:t xml:space="preserve"> procesa virzītājam 2014.gada 24.martā iesniegtais 2013.gada 3.septembra</w:t>
      </w:r>
      <w:r w:rsidR="0061405B">
        <w:rPr>
          <w:rFonts w:ascii="Times New Roman" w:hAnsi="Times New Roman" w:cs="Times New Roman"/>
          <w:sz w:val="24"/>
          <w:szCs w:val="24"/>
        </w:rPr>
        <w:t xml:space="preserve"> faktūrrēķins Nr. </w:t>
      </w:r>
      <w:r w:rsidRPr="00E273B3">
        <w:rPr>
          <w:rFonts w:ascii="Times New Roman" w:hAnsi="Times New Roman" w:cs="Times New Roman"/>
          <w:sz w:val="24"/>
          <w:szCs w:val="24"/>
        </w:rPr>
        <w:t xml:space="preserve">BL/0309-005 nav atzīstams par dokumentu Krimināllikuma 275.panta otrās daļas izpratnē, nav veikusi šī dokumenta juridisko analīzi, tajā skaitā nav izvērtējusi, vai minētais faktūrrēķins apstiprina vienīgi datora iegādi, vai arī </w:t>
      </w:r>
      <w:r w:rsidRPr="00712203">
        <w:rPr>
          <w:rFonts w:ascii="Times New Roman" w:hAnsi="Times New Roman" w:cs="Times New Roman"/>
          <w:sz w:val="24"/>
          <w:szCs w:val="24"/>
        </w:rPr>
        <w:t>tas atbilst OEM (</w:t>
      </w:r>
      <w:proofErr w:type="spellStart"/>
      <w:r w:rsidRPr="00712203">
        <w:rPr>
          <w:rFonts w:ascii="Times New Roman" w:hAnsi="Times New Roman" w:cs="Times New Roman"/>
          <w:i/>
          <w:iCs/>
          <w:sz w:val="24"/>
          <w:szCs w:val="24"/>
        </w:rPr>
        <w:t>Original</w:t>
      </w:r>
      <w:proofErr w:type="spellEnd"/>
      <w:r w:rsidRPr="00712203">
        <w:rPr>
          <w:rFonts w:ascii="Times New Roman" w:hAnsi="Times New Roman" w:cs="Times New Roman"/>
          <w:i/>
          <w:iCs/>
          <w:sz w:val="24"/>
          <w:szCs w:val="24"/>
        </w:rPr>
        <w:t xml:space="preserve"> </w:t>
      </w:r>
      <w:proofErr w:type="spellStart"/>
      <w:r w:rsidRPr="00712203">
        <w:rPr>
          <w:rFonts w:ascii="Times New Roman" w:hAnsi="Times New Roman" w:cs="Times New Roman"/>
          <w:i/>
          <w:iCs/>
          <w:sz w:val="24"/>
          <w:szCs w:val="24"/>
        </w:rPr>
        <w:t>Equipment</w:t>
      </w:r>
      <w:proofErr w:type="spellEnd"/>
      <w:r w:rsidRPr="00712203">
        <w:rPr>
          <w:rFonts w:ascii="Times New Roman" w:hAnsi="Times New Roman" w:cs="Times New Roman"/>
          <w:i/>
          <w:iCs/>
          <w:sz w:val="24"/>
          <w:szCs w:val="24"/>
        </w:rPr>
        <w:t xml:space="preserve"> </w:t>
      </w:r>
      <w:proofErr w:type="spellStart"/>
      <w:r w:rsidRPr="00712203">
        <w:rPr>
          <w:rFonts w:ascii="Times New Roman" w:hAnsi="Times New Roman" w:cs="Times New Roman"/>
          <w:i/>
          <w:iCs/>
          <w:sz w:val="24"/>
          <w:szCs w:val="24"/>
        </w:rPr>
        <w:t>Manufacturer</w:t>
      </w:r>
      <w:proofErr w:type="spellEnd"/>
      <w:r w:rsidRPr="00712203">
        <w:rPr>
          <w:rFonts w:ascii="Times New Roman" w:hAnsi="Times New Roman" w:cs="Times New Roman"/>
          <w:sz w:val="24"/>
          <w:szCs w:val="24"/>
        </w:rPr>
        <w:t xml:space="preserve">) licencei un līdz ar to piešķir tiesības izmantot tajā norādītās datorprogrammas, kā to kasācijas protestā norādījusi prokurore. Savukārt, norādot, ka apsūdzētā </w:t>
      </w:r>
      <w:r w:rsidR="00B641A5">
        <w:rPr>
          <w:rFonts w:ascii="Times New Roman" w:hAnsi="Times New Roman" w:cs="Times New Roman"/>
          <w:sz w:val="24"/>
          <w:szCs w:val="24"/>
        </w:rPr>
        <w:t>[pers. D]</w:t>
      </w:r>
      <w:r w:rsidRPr="00712203">
        <w:rPr>
          <w:rFonts w:ascii="Times New Roman" w:hAnsi="Times New Roman" w:cs="Times New Roman"/>
          <w:sz w:val="24"/>
          <w:szCs w:val="24"/>
        </w:rPr>
        <w:t xml:space="preserve"> rīcība, 2014.gada 24.martā iesniedzot procesa virzītājam minēto faktūrrēķinu, nav atzīstama par viltota dokumenta izmantošanu Krimināllikuma 275.panta izpratnē, bet ir saistīta ar nepieciešamību pierādīt izņemtā datora piederību, apelācijas instances tiesa nav izvērtējusi paša apsūdzētā </w:t>
      </w:r>
      <w:r w:rsidR="00B641A5">
        <w:rPr>
          <w:rFonts w:ascii="Times New Roman" w:hAnsi="Times New Roman" w:cs="Times New Roman"/>
          <w:sz w:val="24"/>
          <w:szCs w:val="24"/>
        </w:rPr>
        <w:t>[pers. D]</w:t>
      </w:r>
      <w:r w:rsidRPr="00712203">
        <w:rPr>
          <w:rFonts w:ascii="Times New Roman" w:hAnsi="Times New Roman" w:cs="Times New Roman"/>
          <w:sz w:val="24"/>
          <w:szCs w:val="24"/>
        </w:rPr>
        <w:t xml:space="preserve"> pirmstiesas kriminālprocesa laikā 2014.gada 10.jūnijā sniegtās liecības, kurās viņš norādījis, ka lietas izmeklēšanas gaitā procesa virzītājs viņam telefoniski pieprasījis kratīšanas laikā izņemto datoru, tajā skaitā datora </w:t>
      </w:r>
      <w:r w:rsidRPr="00E273B3">
        <w:rPr>
          <w:rFonts w:ascii="Times New Roman" w:hAnsi="Times New Roman" w:cs="Times New Roman"/>
          <w:i/>
          <w:iCs/>
          <w:sz w:val="24"/>
          <w:szCs w:val="24"/>
        </w:rPr>
        <w:t xml:space="preserve">Asus X502CA-XX087D, </w:t>
      </w:r>
      <w:r w:rsidRPr="00E273B3">
        <w:rPr>
          <w:rFonts w:ascii="Times New Roman" w:hAnsi="Times New Roman" w:cs="Times New Roman"/>
          <w:sz w:val="24"/>
          <w:szCs w:val="24"/>
        </w:rPr>
        <w:t xml:space="preserve">sērijas numurs </w:t>
      </w:r>
      <w:r w:rsidR="007659C9">
        <w:rPr>
          <w:rFonts w:ascii="Times New Roman" w:hAnsi="Times New Roman" w:cs="Times New Roman"/>
          <w:sz w:val="24"/>
          <w:szCs w:val="24"/>
        </w:rPr>
        <w:t>[..]</w:t>
      </w:r>
      <w:r w:rsidRPr="00E273B3">
        <w:rPr>
          <w:rFonts w:ascii="Times New Roman" w:hAnsi="Times New Roman" w:cs="Times New Roman"/>
          <w:sz w:val="24"/>
          <w:szCs w:val="24"/>
        </w:rPr>
        <w:t>, iegādes dokumentus un tajos instalēto datorprogrammu legalitāti apliecinošus dokumentus (oriģinālus), kurus viņš procesa virzītājam iesniedzis 2014.gada 24.martā, arī 2013.ga</w:t>
      </w:r>
      <w:r w:rsidR="0061405B">
        <w:rPr>
          <w:rFonts w:ascii="Times New Roman" w:hAnsi="Times New Roman" w:cs="Times New Roman"/>
          <w:sz w:val="24"/>
          <w:szCs w:val="24"/>
        </w:rPr>
        <w:t>da 3.septembra faktūrrēķinu Nr. </w:t>
      </w:r>
      <w:r w:rsidRPr="00E273B3">
        <w:rPr>
          <w:rFonts w:ascii="Times New Roman" w:hAnsi="Times New Roman" w:cs="Times New Roman"/>
          <w:sz w:val="24"/>
          <w:szCs w:val="24"/>
        </w:rPr>
        <w:t xml:space="preserve">BL/0309-005. Minētajās liecībās apsūdzētais </w:t>
      </w:r>
      <w:r w:rsidR="00B641A5">
        <w:rPr>
          <w:rFonts w:ascii="Times New Roman" w:hAnsi="Times New Roman" w:cs="Times New Roman"/>
          <w:sz w:val="24"/>
          <w:szCs w:val="24"/>
        </w:rPr>
        <w:t>[pers. D]</w:t>
      </w:r>
      <w:r w:rsidRPr="00E273B3">
        <w:rPr>
          <w:rFonts w:ascii="Times New Roman" w:hAnsi="Times New Roman" w:cs="Times New Roman"/>
          <w:sz w:val="24"/>
          <w:szCs w:val="24"/>
        </w:rPr>
        <w:t xml:space="preserve"> arī norādījis, ka 2013.gada faktūrrēķini, t</w:t>
      </w:r>
      <w:r w:rsidR="0061405B">
        <w:rPr>
          <w:rFonts w:ascii="Times New Roman" w:hAnsi="Times New Roman" w:cs="Times New Roman"/>
          <w:sz w:val="24"/>
          <w:szCs w:val="24"/>
        </w:rPr>
        <w:t>ajā skaitā faktūrrēķins Nr. </w:t>
      </w:r>
      <w:r w:rsidRPr="00E273B3">
        <w:rPr>
          <w:rFonts w:ascii="Times New Roman" w:hAnsi="Times New Roman" w:cs="Times New Roman"/>
          <w:sz w:val="24"/>
          <w:szCs w:val="24"/>
        </w:rPr>
        <w:t>BL/0309-005, apliecina viņa tiesības lietot kratīšanas laikā izņemtos datorus un tajos instalētās programmas (</w:t>
      </w:r>
      <w:r w:rsidRPr="00E273B3">
        <w:rPr>
          <w:rFonts w:ascii="Times New Roman" w:hAnsi="Times New Roman" w:cs="Times New Roman"/>
          <w:i/>
          <w:iCs/>
          <w:sz w:val="24"/>
          <w:szCs w:val="24"/>
        </w:rPr>
        <w:t>2.sējuma 184.lapa</w:t>
      </w:r>
      <w:r w:rsidRPr="00E273B3">
        <w:rPr>
          <w:rFonts w:ascii="Times New Roman" w:hAnsi="Times New Roman" w:cs="Times New Roman"/>
          <w:sz w:val="24"/>
          <w:szCs w:val="24"/>
        </w:rPr>
        <w:t>).</w:t>
      </w:r>
      <w:r w:rsidR="0061405B">
        <w:rPr>
          <w:rFonts w:ascii="Times New Roman" w:hAnsi="Times New Roman" w:cs="Times New Roman"/>
          <w:sz w:val="24"/>
          <w:szCs w:val="24"/>
        </w:rPr>
        <w:t xml:space="preserve"> </w:t>
      </w:r>
    </w:p>
    <w:p w14:paraId="0DA5C528" w14:textId="77777777"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Neizvērtējot šos apstākļus, apelācijas instances tiesa attaisnojošu spriedumu šajā daļā taisījusi priekšlaicīgi, pārkāpjot Kriminālprocesa likuma 512.panta un 564.panta ceturtās daļas prasības, līdz ar to tās spriedumu nevar atzīt par tiesisku un pamatotu saskaņā ar Kriminālprocesa likuma 511.panta otro daļu.</w:t>
      </w:r>
      <w:r w:rsidR="0061405B">
        <w:rPr>
          <w:rFonts w:ascii="Times New Roman" w:hAnsi="Times New Roman" w:cs="Times New Roman"/>
          <w:sz w:val="24"/>
        </w:rPr>
        <w:t xml:space="preserve"> </w:t>
      </w:r>
    </w:p>
    <w:p w14:paraId="2629BBE9" w14:textId="77777777"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Apelācijas instances tiesas pieļautie likuma pārkāpumi atzīstami par Kriminālprocesa likuma būtiskiem pārkāpumiem šā likuma 575.panta trešās daļas izpratnē, kuru dēļ apelācijas instances tiesas spriedums norādītajā daļā atceļams un atceltajā daļā lieta nosūtāma jaunai izskatīšanai apelācijas instances tiesā. Pārējā daļā, par kuru prokurore kasācijas protestu nav iesniegusi, apelācijas instances tiesas spriedums atstājams negrozīts.</w:t>
      </w:r>
      <w:r w:rsidR="0061405B">
        <w:rPr>
          <w:rFonts w:ascii="Times New Roman" w:hAnsi="Times New Roman" w:cs="Times New Roman"/>
          <w:sz w:val="24"/>
        </w:rPr>
        <w:t xml:space="preserve"> </w:t>
      </w:r>
    </w:p>
    <w:p w14:paraId="5BFD1DE2" w14:textId="77777777" w:rsidR="0061405B" w:rsidRDefault="0061405B" w:rsidP="0061405B">
      <w:pPr>
        <w:spacing w:after="0"/>
        <w:ind w:right="-1" w:firstLine="720"/>
        <w:jc w:val="both"/>
        <w:rPr>
          <w:rFonts w:ascii="Times New Roman" w:hAnsi="Times New Roman" w:cs="Times New Roman"/>
          <w:sz w:val="24"/>
        </w:rPr>
      </w:pPr>
    </w:p>
    <w:p w14:paraId="7EDCBB30" w14:textId="77777777" w:rsidR="0061405B" w:rsidRDefault="00712203" w:rsidP="0061405B">
      <w:pPr>
        <w:spacing w:after="0"/>
        <w:ind w:right="-1" w:firstLine="720"/>
        <w:jc w:val="both"/>
        <w:rPr>
          <w:rFonts w:ascii="Times New Roman" w:hAnsi="Times New Roman" w:cs="Times New Roman"/>
          <w:sz w:val="24"/>
          <w:szCs w:val="24"/>
        </w:rPr>
      </w:pPr>
      <w:r w:rsidRPr="00E273B3">
        <w:rPr>
          <w:rFonts w:ascii="Times New Roman" w:hAnsi="Times New Roman" w:cs="Times New Roman"/>
          <w:sz w:val="24"/>
          <w:szCs w:val="24"/>
        </w:rPr>
        <w:t>[</w:t>
      </w:r>
      <w:r w:rsidR="0061405B">
        <w:rPr>
          <w:rFonts w:ascii="Times New Roman" w:hAnsi="Times New Roman" w:cs="Times New Roman"/>
          <w:sz w:val="24"/>
          <w:szCs w:val="24"/>
        </w:rPr>
        <w:t>7] </w:t>
      </w:r>
      <w:r w:rsidRPr="00E273B3">
        <w:rPr>
          <w:rFonts w:ascii="Times New Roman" w:hAnsi="Times New Roman" w:cs="Times New Roman"/>
          <w:sz w:val="24"/>
          <w:szCs w:val="24"/>
        </w:rPr>
        <w:t>Kriminālprocesa likuma 588.panta 3</w:t>
      </w:r>
      <w:r w:rsidRPr="00E273B3">
        <w:rPr>
          <w:rFonts w:ascii="Times New Roman" w:hAnsi="Times New Roman" w:cs="Times New Roman"/>
          <w:sz w:val="24"/>
          <w:szCs w:val="24"/>
          <w:vertAlign w:val="superscript"/>
        </w:rPr>
        <w:t>1</w:t>
      </w:r>
      <w:r w:rsidRPr="00E273B3">
        <w:rPr>
          <w:rFonts w:ascii="Times New Roman" w:hAnsi="Times New Roman" w:cs="Times New Roman"/>
          <w:sz w:val="24"/>
          <w:szCs w:val="24"/>
        </w:rPr>
        <w:t>.daļa noteic: ja kasācijas instances tiesa pieņem šā likuma 587.panta pirmās daļas 2.punktā paredzēto lēmumu, tā izlemj jautā</w:t>
      </w:r>
      <w:r w:rsidR="0061405B">
        <w:rPr>
          <w:rFonts w:ascii="Times New Roman" w:hAnsi="Times New Roman" w:cs="Times New Roman"/>
          <w:sz w:val="24"/>
          <w:szCs w:val="24"/>
        </w:rPr>
        <w:t xml:space="preserve">jumu arī par drošības līdzekli. </w:t>
      </w:r>
    </w:p>
    <w:p w14:paraId="1CBC1BFC" w14:textId="36722BFC" w:rsidR="0061405B" w:rsidRDefault="00712203" w:rsidP="0061405B">
      <w:pPr>
        <w:spacing w:after="0"/>
        <w:ind w:right="-1" w:firstLine="720"/>
        <w:jc w:val="both"/>
        <w:rPr>
          <w:rFonts w:ascii="Times New Roman" w:hAnsi="Times New Roman" w:cs="Times New Roman"/>
          <w:sz w:val="24"/>
        </w:rPr>
      </w:pPr>
      <w:r w:rsidRPr="00E273B3">
        <w:rPr>
          <w:rFonts w:ascii="Times New Roman" w:hAnsi="Times New Roman" w:cs="Times New Roman"/>
          <w:sz w:val="24"/>
          <w:szCs w:val="24"/>
        </w:rPr>
        <w:t xml:space="preserve">Ar pirmās instances tiesas spriedumu apsūdzētajam </w:t>
      </w:r>
      <w:r w:rsidR="00B641A5">
        <w:rPr>
          <w:rFonts w:ascii="Times New Roman" w:hAnsi="Times New Roman" w:cs="Times New Roman"/>
          <w:sz w:val="24"/>
          <w:szCs w:val="24"/>
        </w:rPr>
        <w:t>[pers. A]</w:t>
      </w:r>
      <w:r w:rsidRPr="00712203">
        <w:rPr>
          <w:rFonts w:ascii="Times New Roman" w:hAnsi="Times New Roman" w:cs="Times New Roman"/>
          <w:sz w:val="24"/>
          <w:szCs w:val="24"/>
        </w:rPr>
        <w:t xml:space="preserve"> piemērotais drošības līdzeklis – aizliegums tuvoties noteiktai personai un vietai – un apsūdzētajam </w:t>
      </w:r>
      <w:r w:rsidR="00B641A5">
        <w:rPr>
          <w:rFonts w:ascii="Times New Roman" w:hAnsi="Times New Roman" w:cs="Times New Roman"/>
          <w:sz w:val="24"/>
          <w:szCs w:val="24"/>
        </w:rPr>
        <w:t>[pers. C]</w:t>
      </w:r>
      <w:r w:rsidRPr="00712203">
        <w:rPr>
          <w:rFonts w:ascii="Times New Roman" w:hAnsi="Times New Roman" w:cs="Times New Roman"/>
          <w:sz w:val="24"/>
          <w:szCs w:val="24"/>
        </w:rPr>
        <w:t xml:space="preserve"> piemērotie drošības līdzekļi – drošības nauda un aizliegums tuvoti</w:t>
      </w:r>
      <w:r w:rsidR="008F7F1C">
        <w:rPr>
          <w:rFonts w:ascii="Times New Roman" w:hAnsi="Times New Roman" w:cs="Times New Roman"/>
          <w:sz w:val="24"/>
          <w:szCs w:val="24"/>
        </w:rPr>
        <w:t>es noteiktai personai un vietai </w:t>
      </w:r>
      <w:r w:rsidRPr="00712203">
        <w:rPr>
          <w:rFonts w:ascii="Times New Roman" w:hAnsi="Times New Roman" w:cs="Times New Roman"/>
          <w:sz w:val="24"/>
          <w:szCs w:val="24"/>
        </w:rPr>
        <w:t>– atcelti.</w:t>
      </w:r>
      <w:r w:rsidR="0061405B">
        <w:rPr>
          <w:rFonts w:ascii="Times New Roman" w:hAnsi="Times New Roman" w:cs="Times New Roman"/>
          <w:sz w:val="24"/>
        </w:rPr>
        <w:t xml:space="preserve"> </w:t>
      </w:r>
    </w:p>
    <w:p w14:paraId="1DBD6881" w14:textId="77777777"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Ar apelācijas instances tiesas spriedumu pirmās instances tiesas spriedums šajā daļā atstāts negrozīts.</w:t>
      </w:r>
      <w:r w:rsidR="0061405B">
        <w:rPr>
          <w:rFonts w:ascii="Times New Roman" w:hAnsi="Times New Roman" w:cs="Times New Roman"/>
          <w:sz w:val="24"/>
        </w:rPr>
        <w:t xml:space="preserve"> </w:t>
      </w:r>
    </w:p>
    <w:p w14:paraId="75F4B005" w14:textId="16C8CC88"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 xml:space="preserve">Apsūdzētajiem </w:t>
      </w:r>
      <w:r w:rsidR="00B641A5">
        <w:rPr>
          <w:rFonts w:ascii="Times New Roman" w:hAnsi="Times New Roman" w:cs="Times New Roman"/>
          <w:sz w:val="24"/>
          <w:szCs w:val="24"/>
        </w:rPr>
        <w:t>[pers. B]</w:t>
      </w:r>
      <w:r w:rsidRPr="00712203">
        <w:rPr>
          <w:rFonts w:ascii="Times New Roman" w:hAnsi="Times New Roman" w:cs="Times New Roman"/>
          <w:sz w:val="24"/>
          <w:szCs w:val="24"/>
        </w:rPr>
        <w:t xml:space="preserve"> un </w:t>
      </w:r>
      <w:r w:rsidR="00B641A5">
        <w:rPr>
          <w:rFonts w:ascii="Times New Roman" w:hAnsi="Times New Roman" w:cs="Times New Roman"/>
          <w:sz w:val="24"/>
          <w:szCs w:val="24"/>
        </w:rPr>
        <w:t>[pers. D]</w:t>
      </w:r>
      <w:r w:rsidRPr="00712203">
        <w:rPr>
          <w:rFonts w:ascii="Times New Roman" w:hAnsi="Times New Roman" w:cs="Times New Roman"/>
          <w:sz w:val="24"/>
          <w:szCs w:val="24"/>
        </w:rPr>
        <w:t xml:space="preserve"> drošības līdzeklis nav piemērots.</w:t>
      </w:r>
      <w:r w:rsidR="0061405B">
        <w:rPr>
          <w:rFonts w:ascii="Times New Roman" w:hAnsi="Times New Roman" w:cs="Times New Roman"/>
          <w:sz w:val="24"/>
        </w:rPr>
        <w:t xml:space="preserve"> </w:t>
      </w:r>
    </w:p>
    <w:p w14:paraId="07D7BA71" w14:textId="611668C1" w:rsidR="00712203" w:rsidRPr="00712203"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 xml:space="preserve">Senāts atzīst, ka drošības līdzekļa piemērošanai apsūdzētajiem </w:t>
      </w:r>
      <w:r w:rsidR="00B641A5">
        <w:rPr>
          <w:rFonts w:ascii="Times New Roman" w:hAnsi="Times New Roman" w:cs="Times New Roman"/>
          <w:sz w:val="24"/>
          <w:szCs w:val="24"/>
        </w:rPr>
        <w:t>[pers. A]</w:t>
      </w:r>
      <w:r w:rsidRPr="00712203">
        <w:rPr>
          <w:rFonts w:ascii="Times New Roman" w:hAnsi="Times New Roman" w:cs="Times New Roman"/>
          <w:sz w:val="24"/>
          <w:szCs w:val="24"/>
        </w:rPr>
        <w:t xml:space="preserve">, </w:t>
      </w:r>
      <w:r w:rsidR="00B641A5">
        <w:rPr>
          <w:rFonts w:ascii="Times New Roman" w:hAnsi="Times New Roman" w:cs="Times New Roman"/>
          <w:sz w:val="24"/>
          <w:szCs w:val="24"/>
        </w:rPr>
        <w:t>[pers. B]</w:t>
      </w:r>
      <w:r w:rsidRPr="00712203">
        <w:rPr>
          <w:rFonts w:ascii="Times New Roman" w:hAnsi="Times New Roman" w:cs="Times New Roman"/>
          <w:sz w:val="24"/>
          <w:szCs w:val="24"/>
        </w:rPr>
        <w:t xml:space="preserve">, </w:t>
      </w:r>
      <w:r w:rsidR="00B641A5">
        <w:rPr>
          <w:rFonts w:ascii="Times New Roman" w:hAnsi="Times New Roman" w:cs="Times New Roman"/>
          <w:sz w:val="24"/>
          <w:szCs w:val="24"/>
        </w:rPr>
        <w:t>[pers. C]</w:t>
      </w:r>
      <w:r w:rsidRPr="00712203">
        <w:rPr>
          <w:rFonts w:ascii="Times New Roman" w:hAnsi="Times New Roman" w:cs="Times New Roman"/>
          <w:sz w:val="24"/>
          <w:szCs w:val="24"/>
        </w:rPr>
        <w:t xml:space="preserve"> un </w:t>
      </w:r>
      <w:r w:rsidR="00B641A5">
        <w:rPr>
          <w:rFonts w:ascii="Times New Roman" w:hAnsi="Times New Roman" w:cs="Times New Roman"/>
          <w:sz w:val="24"/>
          <w:szCs w:val="24"/>
        </w:rPr>
        <w:t>[pers. D]</w:t>
      </w:r>
      <w:r w:rsidRPr="00712203">
        <w:rPr>
          <w:rFonts w:ascii="Times New Roman" w:hAnsi="Times New Roman" w:cs="Times New Roman"/>
          <w:sz w:val="24"/>
          <w:szCs w:val="24"/>
        </w:rPr>
        <w:t xml:space="preserve"> šajā kriminālprocesa stadijā nav tiesiska pamata.</w:t>
      </w:r>
    </w:p>
    <w:p w14:paraId="7A183785" w14:textId="77777777" w:rsidR="00712203" w:rsidRPr="00712203" w:rsidRDefault="00712203" w:rsidP="00712203">
      <w:pPr>
        <w:spacing w:after="0"/>
        <w:ind w:right="-1" w:firstLine="709"/>
        <w:jc w:val="both"/>
        <w:rPr>
          <w:rFonts w:ascii="Times New Roman" w:hAnsi="Times New Roman" w:cs="Times New Roman"/>
          <w:sz w:val="24"/>
          <w:szCs w:val="24"/>
        </w:rPr>
      </w:pPr>
    </w:p>
    <w:p w14:paraId="0E16EB8C" w14:textId="77777777" w:rsidR="00712203" w:rsidRPr="00E273B3" w:rsidRDefault="00712203" w:rsidP="0061405B">
      <w:pPr>
        <w:spacing w:after="0"/>
        <w:ind w:right="-1"/>
        <w:jc w:val="center"/>
        <w:rPr>
          <w:rFonts w:ascii="Times New Roman" w:hAnsi="Times New Roman" w:cs="Times New Roman"/>
          <w:sz w:val="24"/>
          <w:szCs w:val="24"/>
        </w:rPr>
      </w:pPr>
      <w:r w:rsidRPr="00E273B3">
        <w:rPr>
          <w:rFonts w:ascii="Times New Roman" w:eastAsia="Calibri" w:hAnsi="Times New Roman" w:cs="Times New Roman"/>
          <w:b/>
          <w:iCs/>
          <w:sz w:val="24"/>
          <w:szCs w:val="24"/>
          <w:lang w:eastAsia="lv-LV"/>
        </w:rPr>
        <w:t>Rezolutīvā daļa</w:t>
      </w:r>
    </w:p>
    <w:p w14:paraId="205701A6" w14:textId="77777777" w:rsidR="00712203" w:rsidRPr="00E273B3" w:rsidRDefault="00712203" w:rsidP="00712203">
      <w:pPr>
        <w:spacing w:after="0"/>
        <w:ind w:right="-1"/>
        <w:jc w:val="center"/>
        <w:rPr>
          <w:rFonts w:ascii="Times New Roman" w:eastAsia="Calibri" w:hAnsi="Times New Roman" w:cs="Times New Roman"/>
          <w:b/>
          <w:iCs/>
          <w:sz w:val="24"/>
          <w:szCs w:val="24"/>
          <w:lang w:eastAsia="lv-LV"/>
        </w:rPr>
      </w:pPr>
    </w:p>
    <w:p w14:paraId="44E70217" w14:textId="77777777" w:rsidR="00712203" w:rsidRPr="00E273B3" w:rsidRDefault="00712203" w:rsidP="00712203">
      <w:pPr>
        <w:spacing w:after="0"/>
        <w:ind w:right="-1" w:firstLine="709"/>
        <w:jc w:val="both"/>
        <w:rPr>
          <w:rFonts w:ascii="Times New Roman" w:eastAsia="Calibri" w:hAnsi="Times New Roman" w:cs="Times New Roman"/>
          <w:b/>
          <w:iCs/>
          <w:sz w:val="24"/>
          <w:szCs w:val="24"/>
          <w:lang w:eastAsia="lv-LV"/>
        </w:rPr>
      </w:pPr>
      <w:r w:rsidRPr="00712203">
        <w:rPr>
          <w:rFonts w:ascii="Times New Roman" w:eastAsia="Times New Roman" w:hAnsi="Times New Roman" w:cs="Times New Roman"/>
          <w:sz w:val="24"/>
          <w:szCs w:val="24"/>
        </w:rPr>
        <w:t>Pamatojoties uz Kriminālprocesa likuma 585. un 587.pantu, tiesa</w:t>
      </w:r>
      <w:r w:rsidRPr="00E273B3">
        <w:rPr>
          <w:rFonts w:ascii="Times New Roman" w:eastAsia="Calibri" w:hAnsi="Times New Roman" w:cs="Times New Roman"/>
          <w:b/>
          <w:iCs/>
          <w:sz w:val="24"/>
          <w:szCs w:val="24"/>
          <w:lang w:eastAsia="lv-LV"/>
        </w:rPr>
        <w:t xml:space="preserve"> </w:t>
      </w:r>
    </w:p>
    <w:p w14:paraId="6D47FC74" w14:textId="77777777" w:rsidR="00712203" w:rsidRPr="00E273B3" w:rsidRDefault="00712203" w:rsidP="00712203">
      <w:pPr>
        <w:spacing w:after="0"/>
        <w:ind w:right="-1"/>
        <w:rPr>
          <w:rFonts w:ascii="Times New Roman" w:eastAsia="Calibri" w:hAnsi="Times New Roman" w:cs="Times New Roman"/>
          <w:b/>
          <w:iCs/>
          <w:sz w:val="24"/>
          <w:szCs w:val="24"/>
          <w:lang w:eastAsia="lv-LV"/>
        </w:rPr>
      </w:pPr>
    </w:p>
    <w:p w14:paraId="7DACCEA5" w14:textId="77777777" w:rsidR="00712203" w:rsidRPr="00E273B3" w:rsidRDefault="00712203" w:rsidP="00712203">
      <w:pPr>
        <w:spacing w:after="0"/>
        <w:ind w:right="-1"/>
        <w:jc w:val="center"/>
        <w:rPr>
          <w:rFonts w:ascii="Times New Roman" w:eastAsia="Calibri" w:hAnsi="Times New Roman" w:cs="Times New Roman"/>
          <w:b/>
          <w:iCs/>
          <w:sz w:val="24"/>
          <w:szCs w:val="24"/>
        </w:rPr>
      </w:pPr>
      <w:r w:rsidRPr="00E273B3">
        <w:rPr>
          <w:rFonts w:ascii="Times New Roman" w:eastAsia="Calibri" w:hAnsi="Times New Roman" w:cs="Times New Roman"/>
          <w:b/>
          <w:iCs/>
          <w:sz w:val="24"/>
          <w:szCs w:val="24"/>
        </w:rPr>
        <w:t xml:space="preserve">nolēma: </w:t>
      </w:r>
    </w:p>
    <w:p w14:paraId="69808E58" w14:textId="77777777" w:rsidR="00712203" w:rsidRPr="00E273B3" w:rsidRDefault="00712203" w:rsidP="00712203">
      <w:pPr>
        <w:spacing w:after="0"/>
        <w:ind w:right="-1"/>
        <w:jc w:val="center"/>
        <w:rPr>
          <w:rFonts w:ascii="Times New Roman" w:eastAsia="Calibri" w:hAnsi="Times New Roman" w:cs="Times New Roman"/>
          <w:b/>
          <w:iCs/>
        </w:rPr>
      </w:pPr>
    </w:p>
    <w:p w14:paraId="46162A24" w14:textId="53E5CD66" w:rsidR="0061405B" w:rsidRDefault="00712203" w:rsidP="0061405B">
      <w:pPr>
        <w:spacing w:after="0"/>
        <w:ind w:right="-1" w:firstLine="720"/>
        <w:jc w:val="both"/>
        <w:rPr>
          <w:rFonts w:ascii="Times New Roman" w:hAnsi="Times New Roman" w:cs="Times New Roman"/>
          <w:sz w:val="24"/>
        </w:rPr>
      </w:pPr>
      <w:r w:rsidRPr="00712203">
        <w:rPr>
          <w:rFonts w:ascii="Times New Roman" w:hAnsi="Times New Roman" w:cs="Times New Roman"/>
          <w:sz w:val="24"/>
          <w:szCs w:val="24"/>
        </w:rPr>
        <w:t xml:space="preserve">atcelt </w:t>
      </w:r>
      <w:r w:rsidRPr="00E273B3">
        <w:rPr>
          <w:rFonts w:ascii="Times New Roman" w:hAnsi="Times New Roman" w:cs="Times New Roman"/>
          <w:sz w:val="24"/>
        </w:rPr>
        <w:t xml:space="preserve">Vidzemes apgabaltiesas 2020.gada 26.augusta spriedumu daļā par </w:t>
      </w:r>
      <w:r w:rsidR="00B641A5">
        <w:rPr>
          <w:rFonts w:ascii="Times New Roman" w:hAnsi="Times New Roman" w:cs="Times New Roman"/>
          <w:sz w:val="24"/>
        </w:rPr>
        <w:t>[pers. A]</w:t>
      </w:r>
      <w:r w:rsidRPr="00E273B3">
        <w:rPr>
          <w:rFonts w:ascii="Times New Roman" w:hAnsi="Times New Roman" w:cs="Times New Roman"/>
          <w:sz w:val="24"/>
        </w:rPr>
        <w:t xml:space="preserve"> atzīšanu par nevainīgu pret viņu celtajā apsūdzībā pēc Krimināllikuma 218.panta otrās daļas un attaisnošanu, daļā par </w:t>
      </w:r>
      <w:r w:rsidR="00B641A5">
        <w:rPr>
          <w:rFonts w:ascii="Times New Roman" w:hAnsi="Times New Roman" w:cs="Times New Roman"/>
          <w:sz w:val="24"/>
        </w:rPr>
        <w:t>[pers. B]</w:t>
      </w:r>
      <w:r w:rsidRPr="00E273B3">
        <w:rPr>
          <w:rFonts w:ascii="Times New Roman" w:hAnsi="Times New Roman" w:cs="Times New Roman"/>
          <w:sz w:val="24"/>
        </w:rPr>
        <w:t xml:space="preserve"> un </w:t>
      </w:r>
      <w:r w:rsidR="00B641A5">
        <w:rPr>
          <w:rFonts w:ascii="Times New Roman" w:hAnsi="Times New Roman" w:cs="Times New Roman"/>
          <w:sz w:val="24"/>
        </w:rPr>
        <w:t>[pers. C]</w:t>
      </w:r>
      <w:r w:rsidRPr="00E273B3">
        <w:rPr>
          <w:rFonts w:ascii="Times New Roman" w:hAnsi="Times New Roman" w:cs="Times New Roman"/>
          <w:sz w:val="24"/>
        </w:rPr>
        <w:t xml:space="preserve"> atzīšanu par nevainīgiem pret viņiem celtajā apsūdzībā pēc Krimināllikuma 20.panta ceturtās daļas un 218.panta otrās daļas un attaisnošanu, daļā par </w:t>
      </w:r>
      <w:r w:rsidR="00B641A5">
        <w:rPr>
          <w:rFonts w:ascii="Times New Roman" w:hAnsi="Times New Roman" w:cs="Times New Roman"/>
          <w:sz w:val="24"/>
        </w:rPr>
        <w:t>[pers. D]</w:t>
      </w:r>
      <w:r w:rsidRPr="00E273B3">
        <w:rPr>
          <w:rFonts w:ascii="Times New Roman" w:hAnsi="Times New Roman" w:cs="Times New Roman"/>
          <w:sz w:val="24"/>
        </w:rPr>
        <w:t xml:space="preserve"> atzīšanu par nevainīgu pret viņu celtajā apsūdzībā pēc Krimināllikuma 275.panta otrās daļas un attaisnošanu un daļā par VID kaitējuma kompens</w:t>
      </w:r>
      <w:r w:rsidR="0061405B">
        <w:rPr>
          <w:rFonts w:ascii="Times New Roman" w:hAnsi="Times New Roman" w:cs="Times New Roman"/>
          <w:sz w:val="24"/>
        </w:rPr>
        <w:t>ācijas pieteikuma par 20 968,28 </w:t>
      </w:r>
      <w:proofErr w:type="spellStart"/>
      <w:r w:rsidRPr="00E273B3">
        <w:rPr>
          <w:rFonts w:ascii="Times New Roman" w:hAnsi="Times New Roman" w:cs="Times New Roman"/>
          <w:i/>
          <w:iCs/>
          <w:sz w:val="24"/>
        </w:rPr>
        <w:t>euro</w:t>
      </w:r>
      <w:proofErr w:type="spellEnd"/>
      <w:r w:rsidRPr="00E273B3">
        <w:rPr>
          <w:rFonts w:ascii="Times New Roman" w:hAnsi="Times New Roman" w:cs="Times New Roman"/>
          <w:sz w:val="24"/>
        </w:rPr>
        <w:t xml:space="preserve"> piedz</w:t>
      </w:r>
      <w:r w:rsidR="0061405B">
        <w:rPr>
          <w:rFonts w:ascii="Times New Roman" w:hAnsi="Times New Roman" w:cs="Times New Roman"/>
          <w:sz w:val="24"/>
        </w:rPr>
        <w:t xml:space="preserve">iņu atstāšanu bez izskatīšanas. </w:t>
      </w:r>
    </w:p>
    <w:p w14:paraId="3D9021E0" w14:textId="77777777" w:rsidR="0061405B" w:rsidRDefault="00712203" w:rsidP="0061405B">
      <w:pPr>
        <w:spacing w:after="0"/>
        <w:ind w:right="-1" w:firstLine="720"/>
        <w:jc w:val="both"/>
        <w:rPr>
          <w:rFonts w:ascii="Times New Roman" w:hAnsi="Times New Roman" w:cs="Times New Roman"/>
          <w:sz w:val="24"/>
        </w:rPr>
      </w:pPr>
      <w:r w:rsidRPr="00E273B3">
        <w:rPr>
          <w:rFonts w:ascii="Times New Roman" w:hAnsi="Times New Roman" w:cs="Times New Roman"/>
          <w:sz w:val="24"/>
        </w:rPr>
        <w:t>Atceltajā daļā nosūtīt lietu jaunai izskatīšanai Vidzemes apgabaltiesā, bet pārējā daļā apelācijas instances tiesas spriedumu atstāt negrozītu.</w:t>
      </w:r>
      <w:r w:rsidR="0061405B">
        <w:rPr>
          <w:rFonts w:ascii="Times New Roman" w:hAnsi="Times New Roman" w:cs="Times New Roman"/>
          <w:sz w:val="24"/>
        </w:rPr>
        <w:t xml:space="preserve"> </w:t>
      </w:r>
    </w:p>
    <w:p w14:paraId="6EB7F9A2" w14:textId="3205A257" w:rsidR="0089392C" w:rsidRPr="00B641A5" w:rsidRDefault="00712203" w:rsidP="00B641A5">
      <w:pPr>
        <w:spacing w:after="0"/>
        <w:ind w:right="-1" w:firstLine="720"/>
        <w:jc w:val="both"/>
        <w:rPr>
          <w:rStyle w:val="Emphasis"/>
          <w:rFonts w:ascii="Times New Roman" w:hAnsi="Times New Roman" w:cs="Times New Roman"/>
          <w:i w:val="0"/>
          <w:iCs w:val="0"/>
          <w:sz w:val="24"/>
        </w:rPr>
      </w:pPr>
      <w:r w:rsidRPr="00712203">
        <w:rPr>
          <w:rFonts w:ascii="Times New Roman" w:hAnsi="Times New Roman" w:cs="Times New Roman"/>
          <w:sz w:val="24"/>
          <w:szCs w:val="24"/>
        </w:rPr>
        <w:t>Lēmums nav pārsūdzams.</w:t>
      </w:r>
    </w:p>
    <w:p w14:paraId="080F3AFA" w14:textId="77777777" w:rsidR="0089392C" w:rsidRPr="00E273B3" w:rsidRDefault="0089392C" w:rsidP="0089090B">
      <w:pPr>
        <w:spacing w:after="0"/>
        <w:ind w:right="-1" w:firstLine="709"/>
        <w:jc w:val="both"/>
        <w:rPr>
          <w:rStyle w:val="Emphasis"/>
          <w:rFonts w:ascii="Times New Roman" w:hAnsi="Times New Roman" w:cs="Times New Roman"/>
          <w:i w:val="0"/>
          <w:iCs w:val="0"/>
          <w:sz w:val="24"/>
          <w:szCs w:val="24"/>
        </w:rPr>
      </w:pPr>
    </w:p>
    <w:p w14:paraId="44123B47" w14:textId="77777777" w:rsidR="0089392C" w:rsidRPr="00E273B3" w:rsidRDefault="0089392C" w:rsidP="0089090B">
      <w:pPr>
        <w:spacing w:after="0"/>
        <w:ind w:right="-1" w:firstLine="709"/>
        <w:jc w:val="both"/>
        <w:rPr>
          <w:rStyle w:val="Emphasis"/>
          <w:rFonts w:ascii="Times New Roman" w:hAnsi="Times New Roman" w:cs="Times New Roman"/>
          <w:i w:val="0"/>
          <w:iCs w:val="0"/>
          <w:sz w:val="24"/>
          <w:szCs w:val="24"/>
        </w:rPr>
      </w:pPr>
    </w:p>
    <w:p w14:paraId="59B0D054" w14:textId="77777777" w:rsidR="0089392C" w:rsidRPr="00E273B3" w:rsidRDefault="0089392C" w:rsidP="0089090B">
      <w:pPr>
        <w:spacing w:after="0"/>
        <w:ind w:right="-1" w:firstLine="709"/>
        <w:jc w:val="both"/>
        <w:rPr>
          <w:rStyle w:val="Emphasis"/>
          <w:rFonts w:ascii="Times New Roman" w:hAnsi="Times New Roman" w:cs="Times New Roman"/>
          <w:i w:val="0"/>
          <w:iCs w:val="0"/>
          <w:sz w:val="24"/>
          <w:szCs w:val="24"/>
        </w:rPr>
      </w:pPr>
    </w:p>
    <w:p w14:paraId="1E9827B4" w14:textId="77777777" w:rsidR="00C63689" w:rsidRPr="00E273B3" w:rsidRDefault="00C63689" w:rsidP="00583A95">
      <w:pPr>
        <w:ind w:right="-1" w:firstLine="567"/>
        <w:contextualSpacing/>
        <w:jc w:val="both"/>
        <w:rPr>
          <w:rFonts w:ascii="Times New Roman" w:hAnsi="Times New Roman" w:cs="Times New Roman"/>
          <w:sz w:val="24"/>
          <w:szCs w:val="24"/>
        </w:rPr>
      </w:pPr>
    </w:p>
    <w:p w14:paraId="6EC29138" w14:textId="77777777" w:rsidR="00DE0ECE" w:rsidRPr="00E273B3" w:rsidRDefault="00DE0ECE" w:rsidP="00583A95">
      <w:pPr>
        <w:spacing w:after="0"/>
        <w:ind w:right="-1" w:firstLine="709"/>
        <w:jc w:val="both"/>
        <w:rPr>
          <w:rFonts w:ascii="Times New Roman" w:hAnsi="Times New Roman" w:cs="Times New Roman"/>
          <w:sz w:val="24"/>
          <w:szCs w:val="24"/>
        </w:rPr>
      </w:pPr>
    </w:p>
    <w:sectPr w:rsidR="00DE0ECE" w:rsidRPr="00E273B3" w:rsidSect="006A50D2">
      <w:footerReference w:type="default" r:id="rId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BE38E" w14:textId="77777777" w:rsidR="00EF3BB0" w:rsidRDefault="00EF3BB0" w:rsidP="005000D4">
      <w:pPr>
        <w:spacing w:after="0" w:line="240" w:lineRule="auto"/>
      </w:pPr>
      <w:r>
        <w:separator/>
      </w:r>
    </w:p>
  </w:endnote>
  <w:endnote w:type="continuationSeparator" w:id="0">
    <w:p w14:paraId="7EC6C3D9" w14:textId="77777777" w:rsidR="00EF3BB0" w:rsidRDefault="00EF3BB0" w:rsidP="0050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426489"/>
      <w:docPartObj>
        <w:docPartGallery w:val="Page Numbers (Bottom of Page)"/>
        <w:docPartUnique/>
      </w:docPartObj>
    </w:sdtPr>
    <w:sdtEndPr>
      <w:rPr>
        <w:rFonts w:ascii="Times New Roman" w:hAnsi="Times New Roman" w:cs="Times New Roman"/>
        <w:noProof/>
        <w:sz w:val="24"/>
        <w:szCs w:val="24"/>
      </w:rPr>
    </w:sdtEndPr>
    <w:sdtContent>
      <w:p w14:paraId="423B98C2" w14:textId="6C44616F" w:rsidR="005000D4" w:rsidRPr="005000D4" w:rsidRDefault="005000D4">
        <w:pPr>
          <w:pStyle w:val="Footer"/>
          <w:jc w:val="center"/>
          <w:rPr>
            <w:rFonts w:ascii="Times New Roman" w:hAnsi="Times New Roman" w:cs="Times New Roman"/>
            <w:sz w:val="24"/>
            <w:szCs w:val="24"/>
          </w:rPr>
        </w:pPr>
        <w:r w:rsidRPr="005000D4">
          <w:rPr>
            <w:rFonts w:ascii="Times New Roman" w:hAnsi="Times New Roman" w:cs="Times New Roman"/>
            <w:sz w:val="24"/>
            <w:szCs w:val="24"/>
          </w:rPr>
          <w:fldChar w:fldCharType="begin"/>
        </w:r>
        <w:r w:rsidRPr="005000D4">
          <w:rPr>
            <w:rFonts w:ascii="Times New Roman" w:hAnsi="Times New Roman" w:cs="Times New Roman"/>
            <w:sz w:val="24"/>
            <w:szCs w:val="24"/>
          </w:rPr>
          <w:instrText xml:space="preserve"> PAGE   \* MERGEFORMAT </w:instrText>
        </w:r>
        <w:r w:rsidRPr="005000D4">
          <w:rPr>
            <w:rFonts w:ascii="Times New Roman" w:hAnsi="Times New Roman" w:cs="Times New Roman"/>
            <w:sz w:val="24"/>
            <w:szCs w:val="24"/>
          </w:rPr>
          <w:fldChar w:fldCharType="separate"/>
        </w:r>
        <w:r w:rsidR="008F7F1C">
          <w:rPr>
            <w:rFonts w:ascii="Times New Roman" w:hAnsi="Times New Roman" w:cs="Times New Roman"/>
            <w:noProof/>
            <w:sz w:val="24"/>
            <w:szCs w:val="24"/>
          </w:rPr>
          <w:t>9</w:t>
        </w:r>
        <w:r w:rsidRPr="005000D4">
          <w:rPr>
            <w:rFonts w:ascii="Times New Roman" w:hAnsi="Times New Roman" w:cs="Times New Roman"/>
            <w:noProof/>
            <w:sz w:val="24"/>
            <w:szCs w:val="24"/>
          </w:rPr>
          <w:fldChar w:fldCharType="end"/>
        </w:r>
        <w:r w:rsidR="0061405B">
          <w:rPr>
            <w:rFonts w:ascii="Times New Roman" w:hAnsi="Times New Roman" w:cs="Times New Roman"/>
            <w:noProof/>
            <w:sz w:val="24"/>
            <w:szCs w:val="24"/>
          </w:rPr>
          <w:t xml:space="preserve"> no 9</w:t>
        </w:r>
      </w:p>
    </w:sdtContent>
  </w:sdt>
  <w:p w14:paraId="002DFF2C" w14:textId="77777777" w:rsidR="005000D4" w:rsidRDefault="00500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DB60" w14:textId="77777777" w:rsidR="00EF3BB0" w:rsidRDefault="00EF3BB0" w:rsidP="005000D4">
      <w:pPr>
        <w:spacing w:after="0" w:line="240" w:lineRule="auto"/>
      </w:pPr>
      <w:r>
        <w:separator/>
      </w:r>
    </w:p>
  </w:footnote>
  <w:footnote w:type="continuationSeparator" w:id="0">
    <w:p w14:paraId="59842CBE" w14:textId="77777777" w:rsidR="00EF3BB0" w:rsidRDefault="00EF3BB0" w:rsidP="005000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DC3"/>
    <w:rsid w:val="00022994"/>
    <w:rsid w:val="00023CCB"/>
    <w:rsid w:val="00032094"/>
    <w:rsid w:val="000372FD"/>
    <w:rsid w:val="00047EF6"/>
    <w:rsid w:val="00051D02"/>
    <w:rsid w:val="000529B2"/>
    <w:rsid w:val="00061CFF"/>
    <w:rsid w:val="00076C59"/>
    <w:rsid w:val="00097845"/>
    <w:rsid w:val="000C07B6"/>
    <w:rsid w:val="000D6E2D"/>
    <w:rsid w:val="000E1448"/>
    <w:rsid w:val="00106DC7"/>
    <w:rsid w:val="00107E8C"/>
    <w:rsid w:val="00123111"/>
    <w:rsid w:val="00123367"/>
    <w:rsid w:val="00131E16"/>
    <w:rsid w:val="00135745"/>
    <w:rsid w:val="0014203B"/>
    <w:rsid w:val="001459DF"/>
    <w:rsid w:val="0015548E"/>
    <w:rsid w:val="001579F8"/>
    <w:rsid w:val="00170FE4"/>
    <w:rsid w:val="00176ACD"/>
    <w:rsid w:val="00183684"/>
    <w:rsid w:val="001C2E21"/>
    <w:rsid w:val="001C567B"/>
    <w:rsid w:val="001C7E52"/>
    <w:rsid w:val="001D798E"/>
    <w:rsid w:val="001F1801"/>
    <w:rsid w:val="00240638"/>
    <w:rsid w:val="00252DB6"/>
    <w:rsid w:val="00262DAB"/>
    <w:rsid w:val="00272023"/>
    <w:rsid w:val="00276411"/>
    <w:rsid w:val="00280E04"/>
    <w:rsid w:val="0028367F"/>
    <w:rsid w:val="002A4DA2"/>
    <w:rsid w:val="002A7BBD"/>
    <w:rsid w:val="002D3E83"/>
    <w:rsid w:val="002D78B6"/>
    <w:rsid w:val="002E2073"/>
    <w:rsid w:val="00305E61"/>
    <w:rsid w:val="003136C2"/>
    <w:rsid w:val="003158BA"/>
    <w:rsid w:val="0034234D"/>
    <w:rsid w:val="00356ECE"/>
    <w:rsid w:val="0036776A"/>
    <w:rsid w:val="0037692D"/>
    <w:rsid w:val="00377B98"/>
    <w:rsid w:val="00381C11"/>
    <w:rsid w:val="00381D38"/>
    <w:rsid w:val="003843EE"/>
    <w:rsid w:val="00387C47"/>
    <w:rsid w:val="00393847"/>
    <w:rsid w:val="003943D1"/>
    <w:rsid w:val="003970F6"/>
    <w:rsid w:val="003971F2"/>
    <w:rsid w:val="003C12B5"/>
    <w:rsid w:val="003C1913"/>
    <w:rsid w:val="003C4C77"/>
    <w:rsid w:val="003F691B"/>
    <w:rsid w:val="00404EE6"/>
    <w:rsid w:val="0044147C"/>
    <w:rsid w:val="00445711"/>
    <w:rsid w:val="004705AA"/>
    <w:rsid w:val="004877ED"/>
    <w:rsid w:val="004A0BCB"/>
    <w:rsid w:val="004C52E7"/>
    <w:rsid w:val="004D097D"/>
    <w:rsid w:val="004E2B66"/>
    <w:rsid w:val="004F2AAB"/>
    <w:rsid w:val="004F555E"/>
    <w:rsid w:val="005000D4"/>
    <w:rsid w:val="005107F4"/>
    <w:rsid w:val="00514FA1"/>
    <w:rsid w:val="00522F58"/>
    <w:rsid w:val="00532BF5"/>
    <w:rsid w:val="00534565"/>
    <w:rsid w:val="005544A0"/>
    <w:rsid w:val="00554DC3"/>
    <w:rsid w:val="00555D9C"/>
    <w:rsid w:val="00583A95"/>
    <w:rsid w:val="0059469B"/>
    <w:rsid w:val="005C1055"/>
    <w:rsid w:val="005E0CB9"/>
    <w:rsid w:val="005E10B2"/>
    <w:rsid w:val="00612D3D"/>
    <w:rsid w:val="00613739"/>
    <w:rsid w:val="0061405B"/>
    <w:rsid w:val="00616853"/>
    <w:rsid w:val="0064003E"/>
    <w:rsid w:val="00645C00"/>
    <w:rsid w:val="00651388"/>
    <w:rsid w:val="00662DDF"/>
    <w:rsid w:val="0067611D"/>
    <w:rsid w:val="00680C14"/>
    <w:rsid w:val="00697B7F"/>
    <w:rsid w:val="006A3F44"/>
    <w:rsid w:val="006A50D2"/>
    <w:rsid w:val="006B7A2C"/>
    <w:rsid w:val="006C3132"/>
    <w:rsid w:val="006C7C0C"/>
    <w:rsid w:val="006D1804"/>
    <w:rsid w:val="006D29B2"/>
    <w:rsid w:val="006D4F55"/>
    <w:rsid w:val="006F0625"/>
    <w:rsid w:val="006F286C"/>
    <w:rsid w:val="00706565"/>
    <w:rsid w:val="0071045E"/>
    <w:rsid w:val="00712203"/>
    <w:rsid w:val="00714CB9"/>
    <w:rsid w:val="007173B8"/>
    <w:rsid w:val="00724CD7"/>
    <w:rsid w:val="00741BF2"/>
    <w:rsid w:val="007464AA"/>
    <w:rsid w:val="007659C9"/>
    <w:rsid w:val="00765F3E"/>
    <w:rsid w:val="0077622D"/>
    <w:rsid w:val="007A4BC9"/>
    <w:rsid w:val="007A6385"/>
    <w:rsid w:val="007C0B1C"/>
    <w:rsid w:val="007C132A"/>
    <w:rsid w:val="007C2CDF"/>
    <w:rsid w:val="007C4764"/>
    <w:rsid w:val="007D2EFE"/>
    <w:rsid w:val="007D56EE"/>
    <w:rsid w:val="007F26D0"/>
    <w:rsid w:val="0081100B"/>
    <w:rsid w:val="00843B1A"/>
    <w:rsid w:val="00863CF9"/>
    <w:rsid w:val="00876505"/>
    <w:rsid w:val="00882B37"/>
    <w:rsid w:val="0089090B"/>
    <w:rsid w:val="00891885"/>
    <w:rsid w:val="0089392C"/>
    <w:rsid w:val="008A5EA4"/>
    <w:rsid w:val="008E6688"/>
    <w:rsid w:val="008E6C8E"/>
    <w:rsid w:val="008E76F6"/>
    <w:rsid w:val="008F5501"/>
    <w:rsid w:val="008F7F1C"/>
    <w:rsid w:val="009010FB"/>
    <w:rsid w:val="00901201"/>
    <w:rsid w:val="00910EDE"/>
    <w:rsid w:val="00917571"/>
    <w:rsid w:val="009246CE"/>
    <w:rsid w:val="0093502B"/>
    <w:rsid w:val="009510E7"/>
    <w:rsid w:val="0095116E"/>
    <w:rsid w:val="009567A1"/>
    <w:rsid w:val="00966AAD"/>
    <w:rsid w:val="0097112A"/>
    <w:rsid w:val="00971BDC"/>
    <w:rsid w:val="0097799D"/>
    <w:rsid w:val="00980ABA"/>
    <w:rsid w:val="00993CFB"/>
    <w:rsid w:val="009B3CDD"/>
    <w:rsid w:val="009D4184"/>
    <w:rsid w:val="009F11DA"/>
    <w:rsid w:val="009F1AF7"/>
    <w:rsid w:val="00A002B4"/>
    <w:rsid w:val="00A01AB6"/>
    <w:rsid w:val="00A03C0C"/>
    <w:rsid w:val="00A05CB0"/>
    <w:rsid w:val="00A3045E"/>
    <w:rsid w:val="00A32593"/>
    <w:rsid w:val="00A45774"/>
    <w:rsid w:val="00A53AD4"/>
    <w:rsid w:val="00A67B03"/>
    <w:rsid w:val="00A80963"/>
    <w:rsid w:val="00A81933"/>
    <w:rsid w:val="00A90F44"/>
    <w:rsid w:val="00A9251F"/>
    <w:rsid w:val="00AC0609"/>
    <w:rsid w:val="00AC1689"/>
    <w:rsid w:val="00AC4F21"/>
    <w:rsid w:val="00AD6FFB"/>
    <w:rsid w:val="00AE5560"/>
    <w:rsid w:val="00AE5A14"/>
    <w:rsid w:val="00AE6E33"/>
    <w:rsid w:val="00B033D3"/>
    <w:rsid w:val="00B14C58"/>
    <w:rsid w:val="00B161E9"/>
    <w:rsid w:val="00B45DF7"/>
    <w:rsid w:val="00B641A5"/>
    <w:rsid w:val="00B6654A"/>
    <w:rsid w:val="00B7266C"/>
    <w:rsid w:val="00B744C2"/>
    <w:rsid w:val="00B81D94"/>
    <w:rsid w:val="00BC2C1C"/>
    <w:rsid w:val="00BD2223"/>
    <w:rsid w:val="00BE1816"/>
    <w:rsid w:val="00BE28FC"/>
    <w:rsid w:val="00BE41A7"/>
    <w:rsid w:val="00C0032C"/>
    <w:rsid w:val="00C07A4C"/>
    <w:rsid w:val="00C174C2"/>
    <w:rsid w:val="00C2243E"/>
    <w:rsid w:val="00C30FC6"/>
    <w:rsid w:val="00C35AF5"/>
    <w:rsid w:val="00C4745D"/>
    <w:rsid w:val="00C518D5"/>
    <w:rsid w:val="00C63689"/>
    <w:rsid w:val="00C834F4"/>
    <w:rsid w:val="00C90C59"/>
    <w:rsid w:val="00CB2BD1"/>
    <w:rsid w:val="00CB2FB7"/>
    <w:rsid w:val="00CB3DE6"/>
    <w:rsid w:val="00CB488F"/>
    <w:rsid w:val="00CD6539"/>
    <w:rsid w:val="00D404DF"/>
    <w:rsid w:val="00D50A36"/>
    <w:rsid w:val="00D52BC1"/>
    <w:rsid w:val="00D5451C"/>
    <w:rsid w:val="00D776DB"/>
    <w:rsid w:val="00D87261"/>
    <w:rsid w:val="00DB36F8"/>
    <w:rsid w:val="00DB4E50"/>
    <w:rsid w:val="00DB7030"/>
    <w:rsid w:val="00DC32DD"/>
    <w:rsid w:val="00DD3EE3"/>
    <w:rsid w:val="00DD61C9"/>
    <w:rsid w:val="00DE0ECE"/>
    <w:rsid w:val="00DE62A1"/>
    <w:rsid w:val="00E029BE"/>
    <w:rsid w:val="00E14690"/>
    <w:rsid w:val="00E273B3"/>
    <w:rsid w:val="00E7246A"/>
    <w:rsid w:val="00E84303"/>
    <w:rsid w:val="00EB6594"/>
    <w:rsid w:val="00ED23D2"/>
    <w:rsid w:val="00EE0F91"/>
    <w:rsid w:val="00EF0B75"/>
    <w:rsid w:val="00EF10FD"/>
    <w:rsid w:val="00EF1281"/>
    <w:rsid w:val="00EF3BB0"/>
    <w:rsid w:val="00F05EE1"/>
    <w:rsid w:val="00F14EEC"/>
    <w:rsid w:val="00F24068"/>
    <w:rsid w:val="00F5525A"/>
    <w:rsid w:val="00F56C1C"/>
    <w:rsid w:val="00F63B23"/>
    <w:rsid w:val="00F77B5F"/>
    <w:rsid w:val="00F95F62"/>
    <w:rsid w:val="00FA6807"/>
    <w:rsid w:val="00FA7196"/>
    <w:rsid w:val="00FB106D"/>
    <w:rsid w:val="00FB1275"/>
    <w:rsid w:val="00FB217D"/>
    <w:rsid w:val="00FC59D5"/>
    <w:rsid w:val="00FC7771"/>
    <w:rsid w:val="00FF312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veidnes"/>
  <w:shapeDefaults>
    <o:shapedefaults v:ext="edit" spidmax="2049"/>
    <o:shapelayout v:ext="edit">
      <o:idmap v:ext="edit" data="1"/>
    </o:shapelayout>
  </w:shapeDefaults>
  <w:decimalSymbol w:val=","/>
  <w:listSeparator w:val=";"/>
  <w14:docId w14:val="5BAA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DC3"/>
    <w:rPr>
      <w:rFonts w:ascii="Tahoma" w:hAnsi="Tahoma" w:cs="Tahoma"/>
      <w:sz w:val="16"/>
      <w:szCs w:val="16"/>
    </w:rPr>
  </w:style>
  <w:style w:type="paragraph" w:styleId="Subtitle">
    <w:name w:val="Subtitle"/>
    <w:basedOn w:val="Normal"/>
    <w:next w:val="Normal"/>
    <w:link w:val="SubtitleChar"/>
    <w:qFormat/>
    <w:rsid w:val="00DE0ECE"/>
    <w:pPr>
      <w:spacing w:after="60" w:line="240" w:lineRule="auto"/>
      <w:jc w:val="center"/>
      <w:outlineLvl w:val="1"/>
    </w:pPr>
    <w:rPr>
      <w:rFonts w:ascii="Cambria" w:eastAsia="Times New Roman" w:hAnsi="Cambria" w:cs="Times New Roman"/>
      <w:sz w:val="24"/>
      <w:szCs w:val="24"/>
      <w:lang w:val="x-none"/>
    </w:rPr>
  </w:style>
  <w:style w:type="character" w:customStyle="1" w:styleId="SubtitleChar">
    <w:name w:val="Subtitle Char"/>
    <w:basedOn w:val="DefaultParagraphFont"/>
    <w:link w:val="Subtitle"/>
    <w:rsid w:val="00DE0ECE"/>
    <w:rPr>
      <w:rFonts w:ascii="Cambria" w:eastAsia="Times New Roman" w:hAnsi="Cambria" w:cs="Times New Roman"/>
      <w:sz w:val="24"/>
      <w:szCs w:val="24"/>
      <w:lang w:val="x-none"/>
    </w:rPr>
  </w:style>
  <w:style w:type="character" w:styleId="Emphasis">
    <w:name w:val="Emphasis"/>
    <w:qFormat/>
    <w:rsid w:val="00DE0ECE"/>
    <w:rPr>
      <w:i/>
      <w:iCs/>
    </w:rPr>
  </w:style>
  <w:style w:type="paragraph" w:styleId="NoSpacing">
    <w:name w:val="No Spacing"/>
    <w:uiPriority w:val="1"/>
    <w:qFormat/>
    <w:rsid w:val="00DE0ECE"/>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81C11"/>
    <w:rPr>
      <w:sz w:val="16"/>
      <w:szCs w:val="16"/>
    </w:rPr>
  </w:style>
  <w:style w:type="paragraph" w:styleId="CommentText">
    <w:name w:val="annotation text"/>
    <w:basedOn w:val="Normal"/>
    <w:link w:val="CommentTextChar"/>
    <w:uiPriority w:val="99"/>
    <w:semiHidden/>
    <w:unhideWhenUsed/>
    <w:rsid w:val="00381C11"/>
    <w:pPr>
      <w:spacing w:line="240" w:lineRule="auto"/>
    </w:pPr>
    <w:rPr>
      <w:sz w:val="20"/>
      <w:szCs w:val="20"/>
    </w:rPr>
  </w:style>
  <w:style w:type="character" w:customStyle="1" w:styleId="CommentTextChar">
    <w:name w:val="Comment Text Char"/>
    <w:basedOn w:val="DefaultParagraphFont"/>
    <w:link w:val="CommentText"/>
    <w:uiPriority w:val="99"/>
    <w:semiHidden/>
    <w:rsid w:val="00381C11"/>
    <w:rPr>
      <w:sz w:val="20"/>
      <w:szCs w:val="20"/>
    </w:rPr>
  </w:style>
  <w:style w:type="paragraph" w:styleId="CommentSubject">
    <w:name w:val="annotation subject"/>
    <w:basedOn w:val="CommentText"/>
    <w:next w:val="CommentText"/>
    <w:link w:val="CommentSubjectChar"/>
    <w:uiPriority w:val="99"/>
    <w:semiHidden/>
    <w:unhideWhenUsed/>
    <w:rsid w:val="00381C11"/>
    <w:rPr>
      <w:b/>
      <w:bCs/>
    </w:rPr>
  </w:style>
  <w:style w:type="character" w:customStyle="1" w:styleId="CommentSubjectChar">
    <w:name w:val="Comment Subject Char"/>
    <w:basedOn w:val="CommentTextChar"/>
    <w:link w:val="CommentSubject"/>
    <w:uiPriority w:val="99"/>
    <w:semiHidden/>
    <w:rsid w:val="00381C11"/>
    <w:rPr>
      <w:b/>
      <w:bCs/>
      <w:sz w:val="20"/>
      <w:szCs w:val="20"/>
    </w:rPr>
  </w:style>
  <w:style w:type="table" w:styleId="TableGrid">
    <w:name w:val="Table Grid"/>
    <w:basedOn w:val="TableNormal"/>
    <w:uiPriority w:val="59"/>
    <w:rsid w:val="00C6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0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00D4"/>
  </w:style>
  <w:style w:type="paragraph" w:styleId="Footer">
    <w:name w:val="footer"/>
    <w:basedOn w:val="Normal"/>
    <w:link w:val="FooterChar"/>
    <w:uiPriority w:val="99"/>
    <w:unhideWhenUsed/>
    <w:rsid w:val="005000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00D4"/>
  </w:style>
  <w:style w:type="character" w:styleId="Hyperlink">
    <w:name w:val="Hyperlink"/>
    <w:basedOn w:val="DefaultParagraphFont"/>
    <w:uiPriority w:val="99"/>
    <w:unhideWhenUsed/>
    <w:rsid w:val="00B14C58"/>
    <w:rPr>
      <w:color w:val="0000FF" w:themeColor="hyperlink"/>
      <w:u w:val="single"/>
    </w:rPr>
  </w:style>
  <w:style w:type="table" w:customStyle="1" w:styleId="TableGrid1">
    <w:name w:val="Table Grid1"/>
    <w:basedOn w:val="TableNormal"/>
    <w:next w:val="TableGrid"/>
    <w:uiPriority w:val="39"/>
    <w:rsid w:val="0071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B2BD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CCB"/>
    <w:rPr>
      <w:color w:val="605E5C"/>
      <w:shd w:val="clear" w:color="auto" w:fill="E1DFDD"/>
    </w:rPr>
  </w:style>
  <w:style w:type="character" w:styleId="FollowedHyperlink">
    <w:name w:val="FollowedHyperlink"/>
    <w:basedOn w:val="DefaultParagraphFont"/>
    <w:uiPriority w:val="99"/>
    <w:semiHidden/>
    <w:unhideWhenUsed/>
    <w:rsid w:val="005544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6600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9DB3-3094-4263-8918-E03BC639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17694</Words>
  <Characters>10086</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2022-01-14T07:03:00Z</dcterms:created>
  <dcterms:modified xsi:type="dcterms:W3CDTF">2022-01-14T07:03:00Z</dcterms:modified>
</cp:coreProperties>
</file>