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0EB30" w14:textId="23E3CFE5" w:rsidR="00424471" w:rsidRDefault="00DA0599" w:rsidP="00800645">
      <w:pPr>
        <w:spacing w:after="0" w:line="276" w:lineRule="auto"/>
        <w:jc w:val="both"/>
        <w:rPr>
          <w:b/>
          <w:bCs/>
        </w:rPr>
      </w:pPr>
      <w:r>
        <w:rPr>
          <w:b/>
          <w:bCs/>
        </w:rPr>
        <w:t>Tiesības uz repliku</w:t>
      </w:r>
    </w:p>
    <w:p w14:paraId="1FE60B50" w14:textId="77777777" w:rsidR="00DA0599" w:rsidRDefault="00DA0599" w:rsidP="00800645">
      <w:pPr>
        <w:spacing w:after="0" w:line="276" w:lineRule="auto"/>
        <w:jc w:val="both"/>
        <w:rPr>
          <w:b/>
          <w:bCs/>
        </w:rPr>
      </w:pPr>
      <w:r w:rsidRPr="009054CB">
        <w:t xml:space="preserve">Replika ir nesaraujami saistīta ar tiesas debašu runu, tomēr tiesas debašu runas un replikas priekšmeti ir atšķirīgi. Ja tiesas debatēs tiek pausts viedoklis par celto apsūdzību un ar to saistītajiem jautājumiem, tad replika ir vērsta uz tiesas debašu runu saturu. </w:t>
      </w:r>
    </w:p>
    <w:p w14:paraId="50E853F0" w14:textId="2ABE36E8" w:rsidR="00476641" w:rsidRDefault="00DA0599" w:rsidP="00800645">
      <w:pPr>
        <w:spacing w:after="0" w:line="276" w:lineRule="auto"/>
        <w:jc w:val="both"/>
      </w:pPr>
      <w:r w:rsidRPr="009054CB">
        <w:t>Ievērojot tiesas debašu runas un replikas dažādos uzdevumus, katram tiesas debašu dalībniekiem ir tiesības uz vienu repliku, neatkarīgi no tā, vai citi tiesas debašu dalībnieki izmanto savas tiesības uz repliku, vai nē. Tiesības uzstāties tiesas debatēs</w:t>
      </w:r>
      <w:proofErr w:type="gramStart"/>
      <w:r w:rsidRPr="009054CB">
        <w:t xml:space="preserve"> un</w:t>
      </w:r>
      <w:proofErr w:type="gramEnd"/>
      <w:r w:rsidRPr="009054CB">
        <w:t xml:space="preserve"> tiesības uz repliku aizstāvis vai apsūdzētais īsteno atkarībā no savas gribas, proti, gan apsūdzētais, gan aizstāvis var atteikties izmantot kādas no savām tiesībām, un šāda atteikšanās neveidos tiesību aizskārumu. Liedzot apsūdzētajam vai viņa aizstāvim īstenot tiesības uzstāties tiesas debatēs, kā arī izteikt repliku, ja apsūdzētais vai aizstāvis izteicis šādu vēlmi, tiek ierobežotas tiesības uz aizstāvību, kā arī tiesības uz taisnīgu tiesu kopumā.</w:t>
      </w:r>
    </w:p>
    <w:p w14:paraId="5E4D2916" w14:textId="77777777" w:rsidR="00800645" w:rsidRPr="00905F41" w:rsidRDefault="00800645" w:rsidP="00800645">
      <w:pPr>
        <w:spacing w:after="0" w:line="276" w:lineRule="auto"/>
        <w:jc w:val="both"/>
      </w:pPr>
    </w:p>
    <w:p w14:paraId="597B991B" w14:textId="77777777" w:rsidR="00DA0599" w:rsidRPr="00DA0599" w:rsidRDefault="00424471" w:rsidP="00424471">
      <w:pPr>
        <w:spacing w:line="276" w:lineRule="auto"/>
        <w:contextualSpacing/>
        <w:jc w:val="center"/>
        <w:rPr>
          <w:rFonts w:cs="Times New Roman"/>
          <w:b/>
          <w:color w:val="000000" w:themeColor="text1"/>
          <w:szCs w:val="24"/>
        </w:rPr>
      </w:pPr>
      <w:r w:rsidRPr="00DA0599">
        <w:rPr>
          <w:rFonts w:cs="Times New Roman"/>
          <w:b/>
          <w:color w:val="000000" w:themeColor="text1"/>
          <w:szCs w:val="24"/>
        </w:rPr>
        <w:t>Latvijas Republikas Senāt</w:t>
      </w:r>
      <w:r w:rsidR="00DA0599" w:rsidRPr="00DA0599">
        <w:rPr>
          <w:rFonts w:cs="Times New Roman"/>
          <w:b/>
          <w:color w:val="000000" w:themeColor="text1"/>
          <w:szCs w:val="24"/>
        </w:rPr>
        <w:t>a</w:t>
      </w:r>
      <w:r w:rsidRPr="00DA0599">
        <w:rPr>
          <w:rFonts w:cs="Times New Roman"/>
          <w:b/>
          <w:color w:val="000000" w:themeColor="text1"/>
          <w:szCs w:val="24"/>
        </w:rPr>
        <w:t xml:space="preserve"> </w:t>
      </w:r>
    </w:p>
    <w:p w14:paraId="5B53FF8D" w14:textId="77777777" w:rsidR="00DA0599" w:rsidRPr="00DA0599" w:rsidRDefault="00DA0599" w:rsidP="00424471">
      <w:pPr>
        <w:spacing w:line="276" w:lineRule="auto"/>
        <w:contextualSpacing/>
        <w:jc w:val="center"/>
        <w:rPr>
          <w:rFonts w:cs="Times New Roman"/>
          <w:b/>
          <w:color w:val="000000" w:themeColor="text1"/>
          <w:szCs w:val="24"/>
        </w:rPr>
      </w:pPr>
      <w:r w:rsidRPr="00DA0599">
        <w:rPr>
          <w:rFonts w:cs="Times New Roman"/>
          <w:b/>
          <w:color w:val="000000" w:themeColor="text1"/>
          <w:szCs w:val="24"/>
        </w:rPr>
        <w:t>Krimināllietu departamenta</w:t>
      </w:r>
    </w:p>
    <w:p w14:paraId="0EDE5761" w14:textId="702F22B9" w:rsidR="00424471" w:rsidRPr="00DA0599" w:rsidRDefault="00DA0599" w:rsidP="00424471">
      <w:pPr>
        <w:spacing w:line="276" w:lineRule="auto"/>
        <w:contextualSpacing/>
        <w:jc w:val="center"/>
        <w:rPr>
          <w:rFonts w:cs="Times New Roman"/>
          <w:b/>
          <w:color w:val="000000" w:themeColor="text1"/>
          <w:szCs w:val="24"/>
        </w:rPr>
      </w:pPr>
      <w:proofErr w:type="gramStart"/>
      <w:r w:rsidRPr="00DA0599">
        <w:rPr>
          <w:rFonts w:cs="Times New Roman"/>
          <w:b/>
          <w:color w:val="000000" w:themeColor="text1"/>
          <w:szCs w:val="24"/>
        </w:rPr>
        <w:t>2021.gada</w:t>
      </w:r>
      <w:proofErr w:type="gramEnd"/>
      <w:r w:rsidRPr="00DA0599">
        <w:rPr>
          <w:rFonts w:cs="Times New Roman"/>
          <w:b/>
          <w:color w:val="000000" w:themeColor="text1"/>
          <w:szCs w:val="24"/>
        </w:rPr>
        <w:t xml:space="preserve"> 14.decembra</w:t>
      </w:r>
    </w:p>
    <w:p w14:paraId="02CAE7C1" w14:textId="77777777" w:rsidR="00424471" w:rsidRPr="00DA0599" w:rsidRDefault="00424471" w:rsidP="00424471">
      <w:pPr>
        <w:spacing w:line="276" w:lineRule="auto"/>
        <w:contextualSpacing/>
        <w:jc w:val="center"/>
        <w:rPr>
          <w:rFonts w:cs="Times New Roman"/>
          <w:b/>
          <w:color w:val="000000" w:themeColor="text1"/>
          <w:szCs w:val="24"/>
        </w:rPr>
      </w:pPr>
      <w:r w:rsidRPr="00DA0599">
        <w:rPr>
          <w:rFonts w:cs="Times New Roman"/>
          <w:b/>
          <w:color w:val="000000" w:themeColor="text1"/>
          <w:szCs w:val="24"/>
        </w:rPr>
        <w:t>LĒMUMS</w:t>
      </w:r>
    </w:p>
    <w:p w14:paraId="3D297D7A" w14:textId="472E5265" w:rsidR="00424471" w:rsidRPr="00DA0599" w:rsidRDefault="00DA0599" w:rsidP="00D474F7">
      <w:pPr>
        <w:spacing w:after="0" w:line="276" w:lineRule="auto"/>
        <w:contextualSpacing/>
        <w:jc w:val="center"/>
        <w:rPr>
          <w:rFonts w:cs="Times New Roman"/>
          <w:b/>
          <w:szCs w:val="24"/>
        </w:rPr>
      </w:pPr>
      <w:r w:rsidRPr="00DA0599">
        <w:rPr>
          <w:rFonts w:cs="Times New Roman"/>
          <w:b/>
          <w:szCs w:val="24"/>
        </w:rPr>
        <w:t>Lieta Nr. 11517054313, SKK-147/2021</w:t>
      </w:r>
    </w:p>
    <w:p w14:paraId="571BCBB3" w14:textId="783DB537" w:rsidR="00DA0599" w:rsidRPr="00DA0599" w:rsidRDefault="0071426F" w:rsidP="00D474F7">
      <w:pPr>
        <w:spacing w:after="0" w:line="276" w:lineRule="auto"/>
        <w:contextualSpacing/>
        <w:jc w:val="center"/>
        <w:rPr>
          <w:rFonts w:cs="Times New Roman"/>
          <w:bCs/>
          <w:color w:val="000000" w:themeColor="text1"/>
          <w:szCs w:val="24"/>
        </w:rPr>
      </w:pPr>
      <w:hyperlink r:id="rId8" w:history="1">
        <w:r w:rsidR="00DA0599" w:rsidRPr="00CE0CF4">
          <w:rPr>
            <w:rStyle w:val="Hyperlink"/>
            <w:rFonts w:cs="Times New Roman"/>
            <w:bCs/>
            <w:szCs w:val="24"/>
            <w:shd w:val="clear" w:color="auto" w:fill="FFFFFF"/>
          </w:rPr>
          <w:t>ECLI:LV:AT:2021:1214.11517054313.3.L</w:t>
        </w:r>
      </w:hyperlink>
    </w:p>
    <w:p w14:paraId="57541A00" w14:textId="77777777" w:rsidR="00D474F7" w:rsidRPr="00111B13" w:rsidRDefault="00D474F7" w:rsidP="00033A1D">
      <w:pPr>
        <w:spacing w:after="0" w:line="276" w:lineRule="auto"/>
        <w:contextualSpacing/>
        <w:rPr>
          <w:rFonts w:cs="Times New Roman"/>
          <w:color w:val="000000" w:themeColor="text1"/>
          <w:szCs w:val="24"/>
        </w:rPr>
      </w:pPr>
    </w:p>
    <w:p w14:paraId="7BBF8B29" w14:textId="1DA0A418" w:rsidR="002A249E" w:rsidRPr="00111B13" w:rsidRDefault="00C80940" w:rsidP="005738CD">
      <w:pPr>
        <w:pStyle w:val="NoSpacing"/>
        <w:spacing w:line="276" w:lineRule="auto"/>
        <w:ind w:firstLine="720"/>
        <w:jc w:val="both"/>
        <w:rPr>
          <w:rFonts w:cs="Times New Roman"/>
          <w:szCs w:val="24"/>
        </w:rPr>
      </w:pPr>
      <w:r w:rsidRPr="00111B13">
        <w:rPr>
          <w:rFonts w:cs="Times New Roman"/>
          <w:szCs w:val="24"/>
        </w:rPr>
        <w:t>Tiesa šādā sastāvā: senator</w:t>
      </w:r>
      <w:r w:rsidR="00637E4C" w:rsidRPr="00111B13">
        <w:rPr>
          <w:rFonts w:cs="Times New Roman"/>
          <w:szCs w:val="24"/>
        </w:rPr>
        <w:t>es</w:t>
      </w:r>
      <w:r w:rsidR="003668EC" w:rsidRPr="00111B13">
        <w:rPr>
          <w:rFonts w:cs="Times New Roman"/>
          <w:szCs w:val="24"/>
        </w:rPr>
        <w:t xml:space="preserve"> </w:t>
      </w:r>
      <w:r w:rsidR="00DA5BF4" w:rsidRPr="00111B13">
        <w:rPr>
          <w:rFonts w:cs="Times New Roman"/>
          <w:szCs w:val="24"/>
        </w:rPr>
        <w:t xml:space="preserve">Inguna Radzeviča, </w:t>
      </w:r>
      <w:r w:rsidR="00637E4C" w:rsidRPr="00111B13">
        <w:rPr>
          <w:rFonts w:cs="Times New Roman"/>
          <w:szCs w:val="24"/>
        </w:rPr>
        <w:t>Sandra Kaija, Anita Poļakova</w:t>
      </w:r>
      <w:r w:rsidR="005738CD" w:rsidRPr="00111B13">
        <w:rPr>
          <w:rFonts w:cs="Times New Roman"/>
          <w:szCs w:val="24"/>
        </w:rPr>
        <w:t xml:space="preserve"> </w:t>
      </w:r>
    </w:p>
    <w:p w14:paraId="7E4A8C91" w14:textId="77777777" w:rsidR="00E77D3E" w:rsidRPr="00111B13" w:rsidRDefault="00E77D3E" w:rsidP="002A249E">
      <w:pPr>
        <w:pStyle w:val="NoSpacing"/>
        <w:spacing w:line="276" w:lineRule="auto"/>
        <w:ind w:firstLine="720"/>
        <w:jc w:val="both"/>
        <w:rPr>
          <w:rFonts w:cs="Times New Roman"/>
          <w:szCs w:val="24"/>
        </w:rPr>
      </w:pPr>
    </w:p>
    <w:p w14:paraId="0CFF8D71" w14:textId="6A168C36" w:rsidR="00424471" w:rsidRPr="00111B13" w:rsidRDefault="00424471" w:rsidP="002A249E">
      <w:pPr>
        <w:pStyle w:val="NoSpacing"/>
        <w:spacing w:line="276" w:lineRule="auto"/>
        <w:ind w:firstLine="720"/>
        <w:jc w:val="both"/>
        <w:rPr>
          <w:rFonts w:cs="Times New Roman"/>
          <w:b/>
          <w:i/>
          <w:szCs w:val="24"/>
        </w:rPr>
      </w:pPr>
      <w:r w:rsidRPr="00111B13">
        <w:rPr>
          <w:rFonts w:cs="Times New Roman"/>
          <w:szCs w:val="24"/>
        </w:rPr>
        <w:t xml:space="preserve">izskatīja rakstveida procesā krimināllietu sakarā ar </w:t>
      </w:r>
      <w:bookmarkStart w:id="0" w:name="_Hlk77074141"/>
      <w:r w:rsidR="001B4F2C" w:rsidRPr="00111B13">
        <w:rPr>
          <w:rFonts w:cs="Times New Roman"/>
          <w:szCs w:val="24"/>
        </w:rPr>
        <w:t xml:space="preserve">Rīgas tiesas apgabala prokuratūras virsprokurora Armīna </w:t>
      </w:r>
      <w:proofErr w:type="spellStart"/>
      <w:r w:rsidR="001B4F2C" w:rsidRPr="00111B13">
        <w:rPr>
          <w:rFonts w:cs="Times New Roman"/>
          <w:szCs w:val="24"/>
        </w:rPr>
        <w:t>Meistera</w:t>
      </w:r>
      <w:proofErr w:type="spellEnd"/>
      <w:r w:rsidR="001B4F2C" w:rsidRPr="00111B13">
        <w:rPr>
          <w:rFonts w:cs="Times New Roman"/>
          <w:szCs w:val="24"/>
        </w:rPr>
        <w:t xml:space="preserve"> kasācijas protestu</w:t>
      </w:r>
      <w:r w:rsidRPr="00111B13">
        <w:rPr>
          <w:rFonts w:cs="Times New Roman"/>
          <w:szCs w:val="24"/>
        </w:rPr>
        <w:t xml:space="preserve"> </w:t>
      </w:r>
      <w:bookmarkEnd w:id="0"/>
      <w:r w:rsidR="0072510D" w:rsidRPr="00111B13">
        <w:rPr>
          <w:rFonts w:cs="Times New Roman"/>
          <w:szCs w:val="24"/>
        </w:rPr>
        <w:t xml:space="preserve">un cietušā </w:t>
      </w:r>
      <w:r w:rsidR="00A06C20">
        <w:rPr>
          <w:rFonts w:cs="Times New Roman"/>
          <w:szCs w:val="24"/>
        </w:rPr>
        <w:t>[pers. A]</w:t>
      </w:r>
      <w:r w:rsidR="00111B13">
        <w:rPr>
          <w:rFonts w:cs="Times New Roman"/>
          <w:szCs w:val="24"/>
        </w:rPr>
        <w:t xml:space="preserve"> kasācijas sūdzību </w:t>
      </w:r>
      <w:r w:rsidRPr="00111B13">
        <w:rPr>
          <w:rFonts w:cs="Times New Roman"/>
          <w:szCs w:val="24"/>
        </w:rPr>
        <w:t xml:space="preserve">par </w:t>
      </w:r>
      <w:r w:rsidR="00BA30E3" w:rsidRPr="00111B13">
        <w:rPr>
          <w:rFonts w:cs="Times New Roman"/>
          <w:szCs w:val="24"/>
        </w:rPr>
        <w:t>Rīgas</w:t>
      </w:r>
      <w:r w:rsidR="00E77D3E" w:rsidRPr="00111B13">
        <w:rPr>
          <w:rFonts w:cs="Times New Roman"/>
          <w:szCs w:val="24"/>
        </w:rPr>
        <w:t xml:space="preserve"> </w:t>
      </w:r>
      <w:r w:rsidR="005738CD" w:rsidRPr="00111B13">
        <w:rPr>
          <w:rFonts w:cs="Times New Roman"/>
          <w:szCs w:val="24"/>
        </w:rPr>
        <w:t>apgabaltiesas</w:t>
      </w:r>
      <w:r w:rsidR="00C80940" w:rsidRPr="00111B13">
        <w:rPr>
          <w:rFonts w:cs="Times New Roman"/>
          <w:szCs w:val="24"/>
        </w:rPr>
        <w:t xml:space="preserve"> </w:t>
      </w:r>
      <w:proofErr w:type="gramStart"/>
      <w:r w:rsidR="00C80940" w:rsidRPr="00111B13">
        <w:rPr>
          <w:rFonts w:cs="Times New Roman"/>
          <w:szCs w:val="24"/>
        </w:rPr>
        <w:t>20</w:t>
      </w:r>
      <w:r w:rsidR="005469B7" w:rsidRPr="00111B13">
        <w:rPr>
          <w:rFonts w:cs="Times New Roman"/>
          <w:szCs w:val="24"/>
        </w:rPr>
        <w:t>2</w:t>
      </w:r>
      <w:r w:rsidR="00BA30E3" w:rsidRPr="00111B13">
        <w:rPr>
          <w:rFonts w:cs="Times New Roman"/>
          <w:szCs w:val="24"/>
        </w:rPr>
        <w:t>0</w:t>
      </w:r>
      <w:r w:rsidR="00C80940" w:rsidRPr="00111B13">
        <w:rPr>
          <w:rFonts w:cs="Times New Roman"/>
          <w:szCs w:val="24"/>
        </w:rPr>
        <w:t>.gada</w:t>
      </w:r>
      <w:proofErr w:type="gramEnd"/>
      <w:r w:rsidR="00C80940" w:rsidRPr="00111B13">
        <w:rPr>
          <w:rFonts w:cs="Times New Roman"/>
          <w:szCs w:val="24"/>
        </w:rPr>
        <w:t xml:space="preserve"> </w:t>
      </w:r>
      <w:r w:rsidR="00BA30E3" w:rsidRPr="00111B13">
        <w:rPr>
          <w:rFonts w:cs="Times New Roman"/>
          <w:szCs w:val="24"/>
        </w:rPr>
        <w:t>2</w:t>
      </w:r>
      <w:r w:rsidR="00E77D3E" w:rsidRPr="00111B13">
        <w:rPr>
          <w:rFonts w:cs="Times New Roman"/>
          <w:szCs w:val="24"/>
        </w:rPr>
        <w:t>.</w:t>
      </w:r>
      <w:r w:rsidR="00BA30E3" w:rsidRPr="00111B13">
        <w:rPr>
          <w:rFonts w:cs="Times New Roman"/>
          <w:szCs w:val="24"/>
        </w:rPr>
        <w:t>novembra</w:t>
      </w:r>
      <w:r w:rsidRPr="00111B13">
        <w:rPr>
          <w:rFonts w:cs="Times New Roman"/>
          <w:szCs w:val="24"/>
        </w:rPr>
        <w:t xml:space="preserve"> </w:t>
      </w:r>
      <w:r w:rsidR="003C3ED0" w:rsidRPr="00111B13">
        <w:rPr>
          <w:rFonts w:cs="Times New Roman"/>
          <w:szCs w:val="24"/>
        </w:rPr>
        <w:t>lēmumu</w:t>
      </w:r>
      <w:r w:rsidR="005469B7" w:rsidRPr="00111B13">
        <w:rPr>
          <w:rFonts w:cs="Times New Roman"/>
          <w:szCs w:val="24"/>
        </w:rPr>
        <w:t>.</w:t>
      </w:r>
    </w:p>
    <w:p w14:paraId="42E1D7C8" w14:textId="77777777" w:rsidR="005469B7" w:rsidRPr="00111B13" w:rsidRDefault="005469B7" w:rsidP="00111B13">
      <w:pPr>
        <w:spacing w:after="0"/>
      </w:pPr>
    </w:p>
    <w:p w14:paraId="6D1FE22E" w14:textId="77777777" w:rsidR="00424471" w:rsidRPr="00111B13" w:rsidRDefault="00424471" w:rsidP="00111B13">
      <w:pPr>
        <w:spacing w:after="0"/>
        <w:jc w:val="center"/>
        <w:rPr>
          <w:b/>
        </w:rPr>
      </w:pPr>
      <w:r w:rsidRPr="00111B13">
        <w:rPr>
          <w:b/>
        </w:rPr>
        <w:t>Aprakstošā daļa</w:t>
      </w:r>
    </w:p>
    <w:p w14:paraId="72365D8C" w14:textId="77777777" w:rsidR="005738CD" w:rsidRPr="00111B13" w:rsidRDefault="005738CD" w:rsidP="00111B13">
      <w:pPr>
        <w:spacing w:after="0" w:line="276" w:lineRule="auto"/>
        <w:contextualSpacing/>
        <w:rPr>
          <w:rFonts w:cs="Times New Roman"/>
          <w:szCs w:val="24"/>
        </w:rPr>
      </w:pPr>
    </w:p>
    <w:p w14:paraId="27511684" w14:textId="320B9639" w:rsidR="005738CD" w:rsidRPr="00111B13" w:rsidRDefault="00111B13" w:rsidP="005738CD">
      <w:pPr>
        <w:spacing w:after="0" w:line="276" w:lineRule="auto"/>
        <w:ind w:firstLine="709"/>
        <w:jc w:val="both"/>
        <w:rPr>
          <w:rFonts w:eastAsia="Calibri" w:cs="Times New Roman"/>
          <w:szCs w:val="24"/>
          <w:lang w:eastAsia="lv-LV"/>
        </w:rPr>
      </w:pPr>
      <w:r>
        <w:rPr>
          <w:rFonts w:eastAsia="Calibri" w:cs="Times New Roman"/>
          <w:szCs w:val="24"/>
        </w:rPr>
        <w:t>[1] </w:t>
      </w:r>
      <w:r w:rsidR="005738CD" w:rsidRPr="00111B13">
        <w:rPr>
          <w:rFonts w:eastAsia="Calibri" w:cs="Times New Roman"/>
          <w:szCs w:val="24"/>
          <w:lang w:eastAsia="lv-LV"/>
        </w:rPr>
        <w:t xml:space="preserve">Ar </w:t>
      </w:r>
      <w:bookmarkStart w:id="1" w:name="_Hlk85639188"/>
      <w:r w:rsidR="00BA30E3" w:rsidRPr="00111B13">
        <w:rPr>
          <w:rFonts w:eastAsia="Calibri" w:cs="Times New Roman"/>
          <w:szCs w:val="24"/>
          <w:lang w:eastAsia="lv-LV"/>
        </w:rPr>
        <w:t>Rīgas pilsētas Vidzemes priekšpilsētas</w:t>
      </w:r>
      <w:r w:rsidR="005738CD" w:rsidRPr="00111B13">
        <w:rPr>
          <w:rFonts w:eastAsia="Calibri" w:cs="Times New Roman"/>
          <w:szCs w:val="24"/>
          <w:lang w:eastAsia="lv-LV"/>
        </w:rPr>
        <w:t xml:space="preserve"> tiesas </w:t>
      </w:r>
      <w:proofErr w:type="gramStart"/>
      <w:r w:rsidR="00BA30E3" w:rsidRPr="00111B13">
        <w:rPr>
          <w:rFonts w:eastAsia="Calibri" w:cs="Times New Roman"/>
          <w:szCs w:val="24"/>
          <w:lang w:eastAsia="lv-LV"/>
        </w:rPr>
        <w:t>2020</w:t>
      </w:r>
      <w:r w:rsidR="005738CD" w:rsidRPr="00111B13">
        <w:rPr>
          <w:rFonts w:eastAsia="Calibri" w:cs="Times New Roman"/>
          <w:szCs w:val="24"/>
          <w:lang w:eastAsia="lv-LV"/>
        </w:rPr>
        <w:t>.gada</w:t>
      </w:r>
      <w:proofErr w:type="gramEnd"/>
      <w:r w:rsidR="005738CD" w:rsidRPr="00111B13">
        <w:rPr>
          <w:rFonts w:eastAsia="Calibri" w:cs="Times New Roman"/>
          <w:szCs w:val="24"/>
          <w:lang w:eastAsia="lv-LV"/>
        </w:rPr>
        <w:t xml:space="preserve"> </w:t>
      </w:r>
      <w:r w:rsidR="0050552D" w:rsidRPr="00111B13">
        <w:rPr>
          <w:rFonts w:eastAsia="Calibri" w:cs="Times New Roman"/>
          <w:szCs w:val="24"/>
          <w:lang w:eastAsia="lv-LV"/>
        </w:rPr>
        <w:t>25</w:t>
      </w:r>
      <w:r w:rsidR="005738CD" w:rsidRPr="00111B13">
        <w:rPr>
          <w:rFonts w:eastAsia="Calibri" w:cs="Times New Roman"/>
          <w:szCs w:val="24"/>
          <w:lang w:eastAsia="lv-LV"/>
        </w:rPr>
        <w:t>.</w:t>
      </w:r>
      <w:r w:rsidR="00BA30E3" w:rsidRPr="00111B13">
        <w:rPr>
          <w:rFonts w:eastAsia="Calibri" w:cs="Times New Roman"/>
          <w:szCs w:val="24"/>
          <w:lang w:eastAsia="lv-LV"/>
        </w:rPr>
        <w:t>februāra</w:t>
      </w:r>
      <w:r w:rsidR="005738CD" w:rsidRPr="00111B13">
        <w:rPr>
          <w:rFonts w:eastAsia="Calibri" w:cs="Times New Roman"/>
          <w:szCs w:val="24"/>
          <w:lang w:eastAsia="lv-LV"/>
        </w:rPr>
        <w:t xml:space="preserve"> spriedumu</w:t>
      </w:r>
      <w:bookmarkEnd w:id="1"/>
    </w:p>
    <w:p w14:paraId="6CD99287" w14:textId="2163D4B3" w:rsidR="005738CD" w:rsidRPr="00111B13" w:rsidRDefault="00A06C20" w:rsidP="005738CD">
      <w:pPr>
        <w:spacing w:after="0" w:line="276" w:lineRule="auto"/>
        <w:ind w:firstLine="709"/>
        <w:jc w:val="both"/>
        <w:rPr>
          <w:rFonts w:eastAsia="Calibri" w:cs="Times New Roman"/>
          <w:szCs w:val="24"/>
        </w:rPr>
      </w:pPr>
      <w:r>
        <w:rPr>
          <w:rFonts w:eastAsia="Calibri" w:cs="Times New Roman"/>
          <w:szCs w:val="24"/>
        </w:rPr>
        <w:t>[pers. B]</w:t>
      </w:r>
      <w:r w:rsidR="005738CD" w:rsidRPr="00111B13">
        <w:rPr>
          <w:rFonts w:eastAsia="Calibri" w:cs="Times New Roman"/>
          <w:szCs w:val="24"/>
        </w:rPr>
        <w:t xml:space="preserve">, personas kods </w:t>
      </w:r>
      <w:r>
        <w:rPr>
          <w:rFonts w:eastAsia="Calibri" w:cs="Times New Roman"/>
          <w:szCs w:val="24"/>
        </w:rPr>
        <w:t>[..]</w:t>
      </w:r>
      <w:r w:rsidR="005738CD" w:rsidRPr="00111B13">
        <w:rPr>
          <w:rFonts w:eastAsia="Calibri" w:cs="Times New Roman"/>
          <w:szCs w:val="24"/>
        </w:rPr>
        <w:t>,</w:t>
      </w:r>
    </w:p>
    <w:p w14:paraId="71D7374E" w14:textId="37DFFF69" w:rsidR="005738CD" w:rsidRPr="00111B13" w:rsidRDefault="005738CD" w:rsidP="005738CD">
      <w:pPr>
        <w:spacing w:after="0" w:line="276" w:lineRule="auto"/>
        <w:ind w:firstLine="709"/>
        <w:jc w:val="both"/>
        <w:rPr>
          <w:rFonts w:eastAsia="Calibri" w:cs="Times New Roman"/>
          <w:szCs w:val="24"/>
        </w:rPr>
      </w:pPr>
      <w:r w:rsidRPr="00111B13">
        <w:rPr>
          <w:rFonts w:eastAsia="Calibri" w:cs="Times New Roman"/>
          <w:szCs w:val="24"/>
        </w:rPr>
        <w:t>atzīt</w:t>
      </w:r>
      <w:r w:rsidR="00BA30E3" w:rsidRPr="00111B13">
        <w:rPr>
          <w:rFonts w:eastAsia="Calibri" w:cs="Times New Roman"/>
          <w:szCs w:val="24"/>
        </w:rPr>
        <w:t>a</w:t>
      </w:r>
      <w:r w:rsidRPr="00111B13">
        <w:rPr>
          <w:rFonts w:eastAsia="Calibri" w:cs="Times New Roman"/>
          <w:szCs w:val="24"/>
        </w:rPr>
        <w:t xml:space="preserve"> par vainīgu Krimināllikuma </w:t>
      </w:r>
      <w:proofErr w:type="gramStart"/>
      <w:r w:rsidRPr="00111B13">
        <w:rPr>
          <w:rFonts w:eastAsia="Calibri" w:cs="Times New Roman"/>
          <w:szCs w:val="24"/>
        </w:rPr>
        <w:t>1</w:t>
      </w:r>
      <w:r w:rsidR="0050552D" w:rsidRPr="00111B13">
        <w:rPr>
          <w:rFonts w:eastAsia="Calibri" w:cs="Times New Roman"/>
          <w:szCs w:val="24"/>
        </w:rPr>
        <w:t>79</w:t>
      </w:r>
      <w:r w:rsidRPr="00111B13">
        <w:rPr>
          <w:rFonts w:eastAsia="Calibri" w:cs="Times New Roman"/>
          <w:szCs w:val="24"/>
        </w:rPr>
        <w:t>.panta</w:t>
      </w:r>
      <w:proofErr w:type="gramEnd"/>
      <w:r w:rsidRPr="00111B13">
        <w:rPr>
          <w:rFonts w:eastAsia="Calibri" w:cs="Times New Roman"/>
          <w:szCs w:val="24"/>
        </w:rPr>
        <w:t xml:space="preserve"> </w:t>
      </w:r>
      <w:r w:rsidR="00BA30E3" w:rsidRPr="00111B13">
        <w:rPr>
          <w:rFonts w:eastAsia="Calibri" w:cs="Times New Roman"/>
          <w:szCs w:val="24"/>
        </w:rPr>
        <w:t>trešajā</w:t>
      </w:r>
      <w:r w:rsidRPr="00111B13">
        <w:rPr>
          <w:rFonts w:eastAsia="Calibri" w:cs="Times New Roman"/>
          <w:szCs w:val="24"/>
        </w:rPr>
        <w:t xml:space="preserve"> daļā</w:t>
      </w:r>
      <w:r w:rsidR="00BA30E3" w:rsidRPr="00111B13">
        <w:rPr>
          <w:rFonts w:eastAsia="Calibri" w:cs="Times New Roman"/>
          <w:szCs w:val="24"/>
        </w:rPr>
        <w:t xml:space="preserve"> (2012.gada 13.decembra likuma redakcijā)</w:t>
      </w:r>
      <w:r w:rsidRPr="00111B13">
        <w:rPr>
          <w:rFonts w:eastAsia="Calibri" w:cs="Times New Roman"/>
          <w:szCs w:val="24"/>
        </w:rPr>
        <w:t xml:space="preserve"> paredzētajā noziedzīgajā nodarījumā </w:t>
      </w:r>
      <w:r w:rsidR="0050552D" w:rsidRPr="00111B13">
        <w:rPr>
          <w:rFonts w:eastAsia="Calibri" w:cs="Times New Roman"/>
          <w:szCs w:val="24"/>
        </w:rPr>
        <w:t xml:space="preserve">un </w:t>
      </w:r>
      <w:r w:rsidR="006F632E">
        <w:rPr>
          <w:rFonts w:eastAsia="Calibri" w:cs="Times New Roman"/>
          <w:szCs w:val="24"/>
        </w:rPr>
        <w:t>sodīta ar brīvības atņemšanu uz </w:t>
      </w:r>
      <w:r w:rsidR="00A26BAE">
        <w:rPr>
          <w:rFonts w:eastAsia="Calibri" w:cs="Times New Roman"/>
          <w:szCs w:val="24"/>
        </w:rPr>
        <w:t>2 </w:t>
      </w:r>
      <w:r w:rsidR="00BA30E3" w:rsidRPr="00111B13">
        <w:rPr>
          <w:rFonts w:eastAsia="Calibri" w:cs="Times New Roman"/>
          <w:szCs w:val="24"/>
        </w:rPr>
        <w:t xml:space="preserve">gadiem </w:t>
      </w:r>
      <w:r w:rsidR="0072510D" w:rsidRPr="00111B13">
        <w:rPr>
          <w:rFonts w:eastAsia="Calibri" w:cs="Times New Roman"/>
          <w:szCs w:val="24"/>
        </w:rPr>
        <w:t>un</w:t>
      </w:r>
      <w:r w:rsidR="00BA30E3" w:rsidRPr="00111B13">
        <w:rPr>
          <w:rFonts w:eastAsia="Calibri" w:cs="Times New Roman"/>
          <w:szCs w:val="24"/>
        </w:rPr>
        <w:t xml:space="preserve"> probācijas uzraudzību uz </w:t>
      </w:r>
      <w:r w:rsidR="00A26BAE">
        <w:rPr>
          <w:rFonts w:eastAsia="Calibri" w:cs="Times New Roman"/>
          <w:szCs w:val="24"/>
        </w:rPr>
        <w:t>2</w:t>
      </w:r>
      <w:r w:rsidR="00BA30E3" w:rsidRPr="00111B13">
        <w:rPr>
          <w:rFonts w:eastAsia="Calibri" w:cs="Times New Roman"/>
          <w:szCs w:val="24"/>
        </w:rPr>
        <w:t xml:space="preserve"> gadiem</w:t>
      </w:r>
      <w:r w:rsidR="0050552D" w:rsidRPr="00111B13">
        <w:rPr>
          <w:rFonts w:eastAsia="Calibri" w:cs="Times New Roman"/>
          <w:szCs w:val="24"/>
        </w:rPr>
        <w:t>.</w:t>
      </w:r>
    </w:p>
    <w:p w14:paraId="5B2A1873" w14:textId="5669A88C" w:rsidR="00BA30E3" w:rsidRPr="00111B13" w:rsidRDefault="00BA30E3" w:rsidP="005738CD">
      <w:pPr>
        <w:spacing w:after="0" w:line="276" w:lineRule="auto"/>
        <w:ind w:firstLine="709"/>
        <w:jc w:val="both"/>
        <w:rPr>
          <w:rFonts w:eastAsia="Calibri" w:cs="Times New Roman"/>
          <w:szCs w:val="24"/>
        </w:rPr>
      </w:pPr>
      <w:r w:rsidRPr="00111B13">
        <w:rPr>
          <w:rFonts w:eastAsia="Calibri" w:cs="Times New Roman"/>
          <w:szCs w:val="24"/>
        </w:rPr>
        <w:t xml:space="preserve">atzīta par vainīgu Krimināllikuma </w:t>
      </w:r>
      <w:proofErr w:type="gramStart"/>
      <w:r w:rsidRPr="00111B13">
        <w:rPr>
          <w:rFonts w:eastAsia="Calibri" w:cs="Times New Roman"/>
          <w:szCs w:val="24"/>
        </w:rPr>
        <w:t>177.panta</w:t>
      </w:r>
      <w:proofErr w:type="gramEnd"/>
      <w:r w:rsidRPr="00111B13">
        <w:rPr>
          <w:rFonts w:eastAsia="Calibri" w:cs="Times New Roman"/>
          <w:szCs w:val="24"/>
        </w:rPr>
        <w:t xml:space="preserve"> </w:t>
      </w:r>
      <w:r w:rsidR="0072510D" w:rsidRPr="00111B13">
        <w:rPr>
          <w:rFonts w:eastAsia="Calibri" w:cs="Times New Roman"/>
          <w:szCs w:val="24"/>
        </w:rPr>
        <w:t>pirmajā</w:t>
      </w:r>
      <w:r w:rsidRPr="00111B13">
        <w:rPr>
          <w:rFonts w:eastAsia="Calibri" w:cs="Times New Roman"/>
          <w:szCs w:val="24"/>
        </w:rPr>
        <w:t xml:space="preserve"> daļā (likuma redakcijā līdz 2013.gada 31.martam) paredzētajā noziedzīgajā nodarījumā un </w:t>
      </w:r>
      <w:r w:rsidR="00A26BAE">
        <w:rPr>
          <w:rFonts w:eastAsia="Calibri" w:cs="Times New Roman"/>
          <w:szCs w:val="24"/>
        </w:rPr>
        <w:t>sodīta ar brīvības atņemšanu uz 2</w:t>
      </w:r>
      <w:r w:rsidRPr="00111B13">
        <w:rPr>
          <w:rFonts w:eastAsia="Calibri" w:cs="Times New Roman"/>
          <w:szCs w:val="24"/>
        </w:rPr>
        <w:t xml:space="preserve"> gadiem.</w:t>
      </w:r>
    </w:p>
    <w:p w14:paraId="01D146E0" w14:textId="5C6ADC5E" w:rsidR="00BA30E3" w:rsidRPr="00111B13" w:rsidRDefault="00BA30E3" w:rsidP="005738CD">
      <w:pPr>
        <w:spacing w:after="0" w:line="276" w:lineRule="auto"/>
        <w:ind w:firstLine="709"/>
        <w:jc w:val="both"/>
        <w:rPr>
          <w:rFonts w:eastAsia="Calibri" w:cs="Times New Roman"/>
          <w:szCs w:val="24"/>
        </w:rPr>
      </w:pPr>
      <w:r w:rsidRPr="00111B13">
        <w:rPr>
          <w:rFonts w:eastAsia="Calibri" w:cs="Times New Roman"/>
          <w:szCs w:val="24"/>
        </w:rPr>
        <w:t xml:space="preserve">Saskaņā ar Krimināllikuma </w:t>
      </w:r>
      <w:proofErr w:type="gramStart"/>
      <w:r w:rsidRPr="00111B13">
        <w:rPr>
          <w:rFonts w:eastAsia="Calibri" w:cs="Times New Roman"/>
          <w:szCs w:val="24"/>
        </w:rPr>
        <w:t>50.panta</w:t>
      </w:r>
      <w:proofErr w:type="gramEnd"/>
      <w:r w:rsidRPr="00111B13">
        <w:rPr>
          <w:rFonts w:eastAsia="Calibri" w:cs="Times New Roman"/>
          <w:szCs w:val="24"/>
        </w:rPr>
        <w:t xml:space="preserve"> p</w:t>
      </w:r>
      <w:r w:rsidR="006F632E">
        <w:rPr>
          <w:rFonts w:eastAsia="Calibri" w:cs="Times New Roman"/>
          <w:szCs w:val="24"/>
        </w:rPr>
        <w:t>irmo un trešo daļu galīgais sods</w:t>
      </w:r>
      <w:r w:rsidRPr="00111B13">
        <w:rPr>
          <w:rFonts w:eastAsia="Calibri" w:cs="Times New Roman"/>
          <w:szCs w:val="24"/>
        </w:rPr>
        <w:t xml:space="preserve"> </w:t>
      </w:r>
      <w:r w:rsidR="00A06C20">
        <w:rPr>
          <w:rFonts w:eastAsia="Calibri" w:cs="Times New Roman"/>
          <w:szCs w:val="24"/>
        </w:rPr>
        <w:t>[pers. B]</w:t>
      </w:r>
      <w:r w:rsidRPr="00111B13">
        <w:rPr>
          <w:rFonts w:eastAsia="Calibri" w:cs="Times New Roman"/>
          <w:szCs w:val="24"/>
        </w:rPr>
        <w:t xml:space="preserve"> noteikts brīvības atņemšana uz </w:t>
      </w:r>
      <w:r w:rsidR="006F632E">
        <w:rPr>
          <w:rFonts w:eastAsia="Calibri" w:cs="Times New Roman"/>
          <w:szCs w:val="24"/>
        </w:rPr>
        <w:t>3</w:t>
      </w:r>
      <w:r w:rsidRPr="00111B13">
        <w:rPr>
          <w:rFonts w:eastAsia="Calibri" w:cs="Times New Roman"/>
          <w:szCs w:val="24"/>
        </w:rPr>
        <w:t xml:space="preserve"> gadiem</w:t>
      </w:r>
      <w:r w:rsidR="00DC18FE" w:rsidRPr="00111B13">
        <w:rPr>
          <w:rFonts w:eastAsia="Calibri" w:cs="Times New Roman"/>
          <w:szCs w:val="24"/>
        </w:rPr>
        <w:t xml:space="preserve"> un </w:t>
      </w:r>
      <w:r w:rsidR="001B1748" w:rsidRPr="00111B13">
        <w:rPr>
          <w:rFonts w:eastAsia="Calibri" w:cs="Times New Roman"/>
          <w:szCs w:val="24"/>
        </w:rPr>
        <w:t>probācijas uzraudzīb</w:t>
      </w:r>
      <w:r w:rsidR="00DC18FE" w:rsidRPr="00111B13">
        <w:rPr>
          <w:rFonts w:eastAsia="Calibri" w:cs="Times New Roman"/>
          <w:szCs w:val="24"/>
        </w:rPr>
        <w:t>a</w:t>
      </w:r>
      <w:r w:rsidR="001B1748" w:rsidRPr="00111B13">
        <w:rPr>
          <w:rFonts w:eastAsia="Calibri" w:cs="Times New Roman"/>
          <w:szCs w:val="24"/>
        </w:rPr>
        <w:t xml:space="preserve"> uz </w:t>
      </w:r>
      <w:r w:rsidR="006F632E">
        <w:rPr>
          <w:rFonts w:eastAsia="Calibri" w:cs="Times New Roman"/>
          <w:szCs w:val="24"/>
        </w:rPr>
        <w:t>3</w:t>
      </w:r>
      <w:r w:rsidR="001B1748" w:rsidRPr="00111B13">
        <w:rPr>
          <w:rFonts w:eastAsia="Calibri" w:cs="Times New Roman"/>
          <w:szCs w:val="24"/>
        </w:rPr>
        <w:t xml:space="preserve"> gadiem.</w:t>
      </w:r>
    </w:p>
    <w:p w14:paraId="6A055D19" w14:textId="209D52EC" w:rsidR="001B1748" w:rsidRPr="00111B13" w:rsidRDefault="001B1748" w:rsidP="005738CD">
      <w:pPr>
        <w:spacing w:after="0" w:line="276" w:lineRule="auto"/>
        <w:ind w:firstLine="709"/>
        <w:jc w:val="both"/>
        <w:rPr>
          <w:rFonts w:eastAsia="Calibri" w:cs="Times New Roman"/>
          <w:szCs w:val="24"/>
        </w:rPr>
      </w:pPr>
      <w:r w:rsidRPr="00111B13">
        <w:rPr>
          <w:rFonts w:eastAsia="Calibri" w:cs="Times New Roman"/>
          <w:szCs w:val="24"/>
        </w:rPr>
        <w:t xml:space="preserve">Cietušā </w:t>
      </w:r>
      <w:r w:rsidR="00A06C20">
        <w:rPr>
          <w:rFonts w:eastAsia="Calibri" w:cs="Times New Roman"/>
          <w:szCs w:val="24"/>
        </w:rPr>
        <w:t>[pers. A]</w:t>
      </w:r>
      <w:r w:rsidRPr="00111B13">
        <w:rPr>
          <w:rFonts w:eastAsia="Calibri" w:cs="Times New Roman"/>
          <w:szCs w:val="24"/>
        </w:rPr>
        <w:t xml:space="preserve"> </w:t>
      </w:r>
      <w:r w:rsidR="00DC18FE" w:rsidRPr="00111B13">
        <w:rPr>
          <w:rFonts w:eastAsia="Calibri" w:cs="Times New Roman"/>
          <w:szCs w:val="24"/>
        </w:rPr>
        <w:t xml:space="preserve">pieteikums par </w:t>
      </w:r>
      <w:r w:rsidRPr="00111B13">
        <w:rPr>
          <w:rFonts w:eastAsia="Calibri" w:cs="Times New Roman"/>
          <w:szCs w:val="24"/>
        </w:rPr>
        <w:t>materiālā kaitējuma kompensācij</w:t>
      </w:r>
      <w:r w:rsidR="00DC18FE" w:rsidRPr="00111B13">
        <w:rPr>
          <w:rFonts w:eastAsia="Calibri" w:cs="Times New Roman"/>
          <w:szCs w:val="24"/>
        </w:rPr>
        <w:t>u</w:t>
      </w:r>
      <w:r w:rsidR="001325E1" w:rsidRPr="00111B13">
        <w:rPr>
          <w:rFonts w:eastAsia="Calibri" w:cs="Times New Roman"/>
          <w:szCs w:val="24"/>
        </w:rPr>
        <w:t xml:space="preserve"> </w:t>
      </w:r>
      <w:r w:rsidRPr="00111B13">
        <w:rPr>
          <w:rFonts w:eastAsia="Calibri" w:cs="Times New Roman"/>
          <w:szCs w:val="24"/>
        </w:rPr>
        <w:t>90,77</w:t>
      </w:r>
      <w:r w:rsidR="00A83B67" w:rsidRPr="00111B13">
        <w:rPr>
          <w:rFonts w:eastAsia="Calibri" w:cs="Times New Roman"/>
          <w:szCs w:val="24"/>
        </w:rPr>
        <w:t> </w:t>
      </w:r>
      <w:proofErr w:type="spellStart"/>
      <w:r w:rsidRPr="00111B13">
        <w:rPr>
          <w:rFonts w:eastAsia="Calibri" w:cs="Times New Roman"/>
          <w:i/>
          <w:iCs/>
          <w:szCs w:val="24"/>
        </w:rPr>
        <w:t>euro</w:t>
      </w:r>
      <w:proofErr w:type="spellEnd"/>
      <w:r w:rsidR="00DC18FE" w:rsidRPr="00111B13">
        <w:rPr>
          <w:rFonts w:eastAsia="Calibri" w:cs="Times New Roman"/>
          <w:szCs w:val="24"/>
        </w:rPr>
        <w:t xml:space="preserve"> apmērā</w:t>
      </w:r>
      <w:r w:rsidRPr="00111B13">
        <w:rPr>
          <w:rFonts w:eastAsia="Calibri" w:cs="Times New Roman"/>
          <w:szCs w:val="24"/>
        </w:rPr>
        <w:t xml:space="preserve"> noraidīt</w:t>
      </w:r>
      <w:r w:rsidR="00DC18FE" w:rsidRPr="00111B13">
        <w:rPr>
          <w:rFonts w:eastAsia="Calibri" w:cs="Times New Roman"/>
          <w:szCs w:val="24"/>
        </w:rPr>
        <w:t>s</w:t>
      </w:r>
      <w:r w:rsidRPr="00111B13">
        <w:rPr>
          <w:rFonts w:eastAsia="Calibri" w:cs="Times New Roman"/>
          <w:szCs w:val="24"/>
        </w:rPr>
        <w:t xml:space="preserve">. </w:t>
      </w:r>
    </w:p>
    <w:p w14:paraId="634D7FC8" w14:textId="50C5AF1D" w:rsidR="006F632E" w:rsidRDefault="001B1748" w:rsidP="006F632E">
      <w:pPr>
        <w:spacing w:after="0" w:line="276" w:lineRule="auto"/>
        <w:ind w:firstLine="709"/>
        <w:jc w:val="both"/>
        <w:rPr>
          <w:rFonts w:eastAsia="Calibri" w:cs="Times New Roman"/>
          <w:szCs w:val="24"/>
        </w:rPr>
      </w:pPr>
      <w:r w:rsidRPr="00111B13">
        <w:rPr>
          <w:rFonts w:eastAsia="Calibri" w:cs="Times New Roman"/>
          <w:szCs w:val="24"/>
        </w:rPr>
        <w:t xml:space="preserve">Cietušā </w:t>
      </w:r>
      <w:r w:rsidR="00A06C20">
        <w:rPr>
          <w:rFonts w:eastAsia="Calibri" w:cs="Times New Roman"/>
          <w:szCs w:val="24"/>
        </w:rPr>
        <w:t>[pers. A]</w:t>
      </w:r>
      <w:r w:rsidRPr="00111B13">
        <w:rPr>
          <w:rFonts w:eastAsia="Calibri" w:cs="Times New Roman"/>
          <w:szCs w:val="24"/>
        </w:rPr>
        <w:t xml:space="preserve"> p</w:t>
      </w:r>
      <w:r w:rsidR="00DC18FE" w:rsidRPr="00111B13">
        <w:rPr>
          <w:rFonts w:eastAsia="Calibri" w:cs="Times New Roman"/>
          <w:szCs w:val="24"/>
        </w:rPr>
        <w:t xml:space="preserve">ieteikums par </w:t>
      </w:r>
      <w:r w:rsidRPr="00111B13">
        <w:rPr>
          <w:rFonts w:eastAsia="Calibri" w:cs="Times New Roman"/>
          <w:szCs w:val="24"/>
        </w:rPr>
        <w:t>materiālā kaitējuma kompensācij</w:t>
      </w:r>
      <w:r w:rsidR="00DC18FE" w:rsidRPr="00111B13">
        <w:rPr>
          <w:rFonts w:eastAsia="Calibri" w:cs="Times New Roman"/>
          <w:szCs w:val="24"/>
        </w:rPr>
        <w:t>u</w:t>
      </w:r>
      <w:r w:rsidRPr="00111B13">
        <w:rPr>
          <w:rFonts w:eastAsia="Calibri" w:cs="Times New Roman"/>
          <w:szCs w:val="24"/>
        </w:rPr>
        <w:t xml:space="preserve"> 20</w:t>
      </w:r>
      <w:r w:rsidR="00A83B67" w:rsidRPr="00111B13">
        <w:rPr>
          <w:rFonts w:eastAsia="Calibri" w:cs="Times New Roman"/>
          <w:szCs w:val="24"/>
        </w:rPr>
        <w:t> </w:t>
      </w:r>
      <w:r w:rsidRPr="00111B13">
        <w:rPr>
          <w:rFonts w:eastAsia="Calibri" w:cs="Times New Roman"/>
          <w:szCs w:val="24"/>
        </w:rPr>
        <w:t>000</w:t>
      </w:r>
      <w:r w:rsidR="00A83B67" w:rsidRPr="00111B13">
        <w:rPr>
          <w:rFonts w:eastAsia="Calibri" w:cs="Times New Roman"/>
          <w:szCs w:val="24"/>
        </w:rPr>
        <w:t> </w:t>
      </w:r>
      <w:r w:rsidRPr="00111B13">
        <w:rPr>
          <w:rFonts w:eastAsia="Calibri" w:cs="Times New Roman"/>
          <w:szCs w:val="24"/>
        </w:rPr>
        <w:t>latu jeb 28</w:t>
      </w:r>
      <w:r w:rsidR="00A83B67" w:rsidRPr="00111B13">
        <w:rPr>
          <w:rFonts w:eastAsia="Calibri" w:cs="Times New Roman"/>
          <w:szCs w:val="24"/>
        </w:rPr>
        <w:t> </w:t>
      </w:r>
      <w:r w:rsidRPr="00111B13">
        <w:rPr>
          <w:rFonts w:eastAsia="Calibri" w:cs="Times New Roman"/>
          <w:szCs w:val="24"/>
        </w:rPr>
        <w:t>457,44</w:t>
      </w:r>
      <w:r w:rsidR="00A83B67" w:rsidRPr="00111B13">
        <w:rPr>
          <w:rFonts w:eastAsia="Calibri" w:cs="Times New Roman"/>
          <w:szCs w:val="24"/>
        </w:rPr>
        <w:t> </w:t>
      </w:r>
      <w:proofErr w:type="spellStart"/>
      <w:r w:rsidRPr="00111B13">
        <w:rPr>
          <w:rFonts w:eastAsia="Calibri" w:cs="Times New Roman"/>
          <w:i/>
          <w:iCs/>
          <w:szCs w:val="24"/>
        </w:rPr>
        <w:t>euro</w:t>
      </w:r>
      <w:proofErr w:type="spellEnd"/>
      <w:r w:rsidR="00505271" w:rsidRPr="00111B13">
        <w:rPr>
          <w:rFonts w:eastAsia="Calibri" w:cs="Times New Roman"/>
          <w:i/>
          <w:iCs/>
          <w:szCs w:val="24"/>
        </w:rPr>
        <w:t xml:space="preserve"> </w:t>
      </w:r>
      <w:r w:rsidR="00505271" w:rsidRPr="00111B13">
        <w:rPr>
          <w:rFonts w:eastAsia="Calibri" w:cs="Times New Roman"/>
          <w:szCs w:val="24"/>
        </w:rPr>
        <w:t>apmērā</w:t>
      </w:r>
      <w:r w:rsidR="00DC18FE" w:rsidRPr="00111B13">
        <w:rPr>
          <w:rFonts w:eastAsia="Calibri" w:cs="Times New Roman"/>
          <w:szCs w:val="24"/>
        </w:rPr>
        <w:t xml:space="preserve"> </w:t>
      </w:r>
      <w:r w:rsidRPr="00111B13">
        <w:rPr>
          <w:rFonts w:eastAsia="Calibri" w:cs="Times New Roman"/>
          <w:szCs w:val="24"/>
        </w:rPr>
        <w:t>apmierināt</w:t>
      </w:r>
      <w:r w:rsidR="00DC18FE" w:rsidRPr="00111B13">
        <w:rPr>
          <w:rFonts w:eastAsia="Calibri" w:cs="Times New Roman"/>
          <w:szCs w:val="24"/>
        </w:rPr>
        <w:t>s</w:t>
      </w:r>
      <w:r w:rsidRPr="00111B13">
        <w:rPr>
          <w:rFonts w:eastAsia="Calibri" w:cs="Times New Roman"/>
          <w:szCs w:val="24"/>
        </w:rPr>
        <w:t xml:space="preserve"> daļēji. No </w:t>
      </w:r>
      <w:r w:rsidR="00A06C20">
        <w:rPr>
          <w:rFonts w:eastAsia="Calibri" w:cs="Times New Roman"/>
          <w:szCs w:val="24"/>
        </w:rPr>
        <w:t>[pers. B]</w:t>
      </w:r>
      <w:r w:rsidRPr="00111B13">
        <w:rPr>
          <w:rFonts w:eastAsia="Calibri" w:cs="Times New Roman"/>
          <w:szCs w:val="24"/>
        </w:rPr>
        <w:t xml:space="preserve"> </w:t>
      </w:r>
      <w:r w:rsidR="00A06C20">
        <w:rPr>
          <w:rFonts w:eastAsia="Calibri" w:cs="Times New Roman"/>
          <w:szCs w:val="24"/>
        </w:rPr>
        <w:t>[pers. A]</w:t>
      </w:r>
      <w:r w:rsidR="00505271" w:rsidRPr="00111B13">
        <w:rPr>
          <w:rFonts w:eastAsia="Calibri" w:cs="Times New Roman"/>
          <w:szCs w:val="24"/>
        </w:rPr>
        <w:t xml:space="preserve"> labā</w:t>
      </w:r>
      <w:r w:rsidRPr="00111B13">
        <w:rPr>
          <w:rFonts w:eastAsia="Calibri" w:cs="Times New Roman"/>
          <w:szCs w:val="24"/>
        </w:rPr>
        <w:t xml:space="preserve"> piedzīta materiālā kaitējuma kompensācija</w:t>
      </w:r>
      <w:r w:rsidR="00505271" w:rsidRPr="00111B13">
        <w:rPr>
          <w:rFonts w:eastAsia="Calibri" w:cs="Times New Roman"/>
          <w:szCs w:val="24"/>
        </w:rPr>
        <w:t xml:space="preserve"> </w:t>
      </w:r>
      <w:r w:rsidRPr="00111B13">
        <w:rPr>
          <w:rFonts w:eastAsia="Calibri" w:cs="Times New Roman"/>
          <w:szCs w:val="24"/>
        </w:rPr>
        <w:t>18</w:t>
      </w:r>
      <w:r w:rsidR="00A83B67" w:rsidRPr="00111B13">
        <w:rPr>
          <w:rFonts w:eastAsia="Calibri" w:cs="Times New Roman"/>
          <w:szCs w:val="24"/>
        </w:rPr>
        <w:t> </w:t>
      </w:r>
      <w:r w:rsidRPr="00111B13">
        <w:rPr>
          <w:rFonts w:eastAsia="Calibri" w:cs="Times New Roman"/>
          <w:szCs w:val="24"/>
        </w:rPr>
        <w:t>000</w:t>
      </w:r>
      <w:r w:rsidR="00A83B67" w:rsidRPr="00111B13">
        <w:rPr>
          <w:rFonts w:eastAsia="Calibri" w:cs="Times New Roman"/>
          <w:szCs w:val="24"/>
        </w:rPr>
        <w:t> </w:t>
      </w:r>
      <w:proofErr w:type="spellStart"/>
      <w:r w:rsidRPr="00111B13">
        <w:rPr>
          <w:rFonts w:eastAsia="Calibri" w:cs="Times New Roman"/>
          <w:i/>
          <w:iCs/>
          <w:szCs w:val="24"/>
        </w:rPr>
        <w:t>euro</w:t>
      </w:r>
      <w:proofErr w:type="spellEnd"/>
      <w:r w:rsidRPr="00111B13">
        <w:rPr>
          <w:rFonts w:eastAsia="Calibri" w:cs="Times New Roman"/>
          <w:szCs w:val="24"/>
        </w:rPr>
        <w:t>, pārējā daļā materiālā kaitējuma kompensācija nav noteikta.</w:t>
      </w:r>
      <w:r w:rsidR="006F632E">
        <w:rPr>
          <w:rFonts w:eastAsia="Calibri" w:cs="Times New Roman"/>
          <w:szCs w:val="24"/>
        </w:rPr>
        <w:t xml:space="preserve"> </w:t>
      </w:r>
    </w:p>
    <w:p w14:paraId="43BEF4A6" w14:textId="51B9F3B6" w:rsidR="001325E1" w:rsidRPr="00111B13" w:rsidRDefault="00505271" w:rsidP="006F632E">
      <w:pPr>
        <w:spacing w:after="0" w:line="276" w:lineRule="auto"/>
        <w:ind w:firstLine="709"/>
        <w:jc w:val="both"/>
        <w:rPr>
          <w:rFonts w:eastAsia="Calibri" w:cs="Times New Roman"/>
          <w:szCs w:val="24"/>
        </w:rPr>
      </w:pPr>
      <w:r w:rsidRPr="00111B13">
        <w:rPr>
          <w:rFonts w:eastAsia="Calibri" w:cs="Times New Roman"/>
          <w:szCs w:val="24"/>
        </w:rPr>
        <w:t>N</w:t>
      </w:r>
      <w:r w:rsidR="001325E1" w:rsidRPr="00111B13">
        <w:rPr>
          <w:rFonts w:eastAsia="Calibri" w:cs="Times New Roman"/>
          <w:szCs w:val="24"/>
        </w:rPr>
        <w:t xml:space="preserve">o </w:t>
      </w:r>
      <w:r w:rsidR="00A06C20">
        <w:rPr>
          <w:rFonts w:eastAsia="Calibri" w:cs="Times New Roman"/>
          <w:szCs w:val="24"/>
        </w:rPr>
        <w:t>[pers. B]</w:t>
      </w:r>
      <w:r w:rsidR="001325E1" w:rsidRPr="00111B13">
        <w:rPr>
          <w:rFonts w:eastAsia="Calibri" w:cs="Times New Roman"/>
          <w:szCs w:val="24"/>
        </w:rPr>
        <w:t xml:space="preserve"> </w:t>
      </w:r>
      <w:r w:rsidRPr="00111B13">
        <w:rPr>
          <w:rFonts w:eastAsia="Calibri" w:cs="Times New Roman"/>
          <w:szCs w:val="24"/>
        </w:rPr>
        <w:t xml:space="preserve">cietušā </w:t>
      </w:r>
      <w:r w:rsidR="00A06C20">
        <w:rPr>
          <w:rFonts w:eastAsia="Calibri" w:cs="Times New Roman"/>
          <w:szCs w:val="24"/>
        </w:rPr>
        <w:t>[pers. A]</w:t>
      </w:r>
      <w:r w:rsidRPr="00111B13">
        <w:rPr>
          <w:rFonts w:eastAsia="Calibri" w:cs="Times New Roman"/>
          <w:szCs w:val="24"/>
        </w:rPr>
        <w:t xml:space="preserve"> labā </w:t>
      </w:r>
      <w:r w:rsidR="001325E1" w:rsidRPr="00111B13">
        <w:rPr>
          <w:rFonts w:eastAsia="Calibri" w:cs="Times New Roman"/>
          <w:szCs w:val="24"/>
        </w:rPr>
        <w:t>piedzīt</w:t>
      </w:r>
      <w:r w:rsidR="006F632E">
        <w:rPr>
          <w:rFonts w:eastAsia="Calibri" w:cs="Times New Roman"/>
          <w:szCs w:val="24"/>
        </w:rPr>
        <w:t>a morālā kaitējuma kompensācija </w:t>
      </w:r>
      <w:r w:rsidR="001325E1" w:rsidRPr="00111B13">
        <w:rPr>
          <w:rFonts w:eastAsia="Calibri" w:cs="Times New Roman"/>
          <w:szCs w:val="24"/>
        </w:rPr>
        <w:t>3000</w:t>
      </w:r>
      <w:r w:rsidR="00A83B67" w:rsidRPr="00111B13">
        <w:rPr>
          <w:rFonts w:eastAsia="Calibri" w:cs="Times New Roman"/>
          <w:szCs w:val="24"/>
        </w:rPr>
        <w:t> </w:t>
      </w:r>
      <w:proofErr w:type="spellStart"/>
      <w:r w:rsidR="001325E1" w:rsidRPr="00111B13">
        <w:rPr>
          <w:rFonts w:eastAsia="Calibri" w:cs="Times New Roman"/>
          <w:i/>
          <w:iCs/>
          <w:szCs w:val="24"/>
        </w:rPr>
        <w:t>euro</w:t>
      </w:r>
      <w:proofErr w:type="spellEnd"/>
      <w:r w:rsidR="001325E1" w:rsidRPr="00111B13">
        <w:rPr>
          <w:rFonts w:eastAsia="Calibri" w:cs="Times New Roman"/>
          <w:szCs w:val="24"/>
        </w:rPr>
        <w:t xml:space="preserve">. </w:t>
      </w:r>
    </w:p>
    <w:p w14:paraId="644D29C4" w14:textId="2684A0ED" w:rsidR="006F632E" w:rsidRDefault="005C0D9E" w:rsidP="006F632E">
      <w:pPr>
        <w:spacing w:after="0" w:line="276" w:lineRule="auto"/>
        <w:ind w:firstLine="709"/>
        <w:jc w:val="both"/>
        <w:rPr>
          <w:rFonts w:eastAsia="Calibri" w:cs="Times New Roman"/>
          <w:szCs w:val="24"/>
        </w:rPr>
      </w:pPr>
      <w:r w:rsidRPr="00111B13">
        <w:rPr>
          <w:rFonts w:eastAsia="Calibri" w:cs="Times New Roman"/>
          <w:szCs w:val="24"/>
        </w:rPr>
        <w:lastRenderedPageBreak/>
        <w:t>N</w:t>
      </w:r>
      <w:r w:rsidR="001325E1" w:rsidRPr="00111B13">
        <w:rPr>
          <w:rFonts w:eastAsia="Calibri" w:cs="Times New Roman"/>
          <w:szCs w:val="24"/>
        </w:rPr>
        <w:t xml:space="preserve">o </w:t>
      </w:r>
      <w:r w:rsidR="00A06C20">
        <w:rPr>
          <w:rFonts w:eastAsia="Calibri" w:cs="Times New Roman"/>
          <w:szCs w:val="24"/>
        </w:rPr>
        <w:t>[pers. B]</w:t>
      </w:r>
      <w:r w:rsidR="001325E1" w:rsidRPr="00111B13">
        <w:rPr>
          <w:rFonts w:eastAsia="Calibri" w:cs="Times New Roman"/>
          <w:szCs w:val="24"/>
        </w:rPr>
        <w:t xml:space="preserve"> </w:t>
      </w:r>
      <w:r w:rsidRPr="00111B13">
        <w:rPr>
          <w:rFonts w:eastAsia="Calibri" w:cs="Times New Roman"/>
          <w:szCs w:val="24"/>
        </w:rPr>
        <w:t xml:space="preserve">cietušā </w:t>
      </w:r>
      <w:r w:rsidR="00A06C20">
        <w:rPr>
          <w:rFonts w:eastAsia="Calibri" w:cs="Times New Roman"/>
          <w:szCs w:val="24"/>
        </w:rPr>
        <w:t>[pers. A]</w:t>
      </w:r>
      <w:r w:rsidRPr="00111B13">
        <w:rPr>
          <w:rFonts w:eastAsia="Calibri" w:cs="Times New Roman"/>
          <w:szCs w:val="24"/>
        </w:rPr>
        <w:t xml:space="preserve"> </w:t>
      </w:r>
      <w:proofErr w:type="gramStart"/>
      <w:r w:rsidRPr="00111B13">
        <w:rPr>
          <w:rFonts w:eastAsia="Calibri" w:cs="Times New Roman"/>
          <w:szCs w:val="24"/>
        </w:rPr>
        <w:t xml:space="preserve">labā </w:t>
      </w:r>
      <w:r w:rsidR="001325E1" w:rsidRPr="00111B13">
        <w:rPr>
          <w:rFonts w:eastAsia="Calibri" w:cs="Times New Roman"/>
          <w:szCs w:val="24"/>
        </w:rPr>
        <w:t>piedzīt</w:t>
      </w:r>
      <w:r w:rsidRPr="00111B13">
        <w:rPr>
          <w:rFonts w:eastAsia="Calibri" w:cs="Times New Roman"/>
          <w:szCs w:val="24"/>
        </w:rPr>
        <w:t>a</w:t>
      </w:r>
      <w:r w:rsidR="001325E1" w:rsidRPr="00111B13">
        <w:rPr>
          <w:rFonts w:eastAsia="Calibri" w:cs="Times New Roman"/>
          <w:szCs w:val="24"/>
        </w:rPr>
        <w:t xml:space="preserve"> kompensācija</w:t>
      </w:r>
      <w:proofErr w:type="gramEnd"/>
      <w:r w:rsidR="00E520DF">
        <w:rPr>
          <w:rFonts w:eastAsia="Calibri" w:cs="Times New Roman"/>
          <w:szCs w:val="24"/>
        </w:rPr>
        <w:t xml:space="preserve"> </w:t>
      </w:r>
      <w:r w:rsidRPr="00111B13">
        <w:rPr>
          <w:rFonts w:eastAsia="Calibri" w:cs="Times New Roman"/>
          <w:szCs w:val="24"/>
        </w:rPr>
        <w:t>par juridisk</w:t>
      </w:r>
      <w:r w:rsidR="00E520DF">
        <w:rPr>
          <w:rFonts w:eastAsia="Calibri" w:cs="Times New Roman"/>
          <w:szCs w:val="24"/>
        </w:rPr>
        <w:t>ās palīdzības izdevumiem</w:t>
      </w:r>
      <w:r w:rsidRPr="00111B13">
        <w:rPr>
          <w:rFonts w:eastAsia="Calibri" w:cs="Times New Roman"/>
          <w:szCs w:val="24"/>
        </w:rPr>
        <w:t xml:space="preserve"> </w:t>
      </w:r>
      <w:r w:rsidR="001325E1" w:rsidRPr="00111B13">
        <w:rPr>
          <w:rFonts w:eastAsia="Calibri" w:cs="Times New Roman"/>
          <w:szCs w:val="24"/>
        </w:rPr>
        <w:t>400</w:t>
      </w:r>
      <w:r w:rsidR="00A83B67" w:rsidRPr="00111B13">
        <w:rPr>
          <w:rFonts w:eastAsia="Calibri" w:cs="Times New Roman"/>
          <w:szCs w:val="24"/>
        </w:rPr>
        <w:t> </w:t>
      </w:r>
      <w:proofErr w:type="spellStart"/>
      <w:r w:rsidR="001325E1" w:rsidRPr="00111B13">
        <w:rPr>
          <w:rFonts w:eastAsia="Calibri" w:cs="Times New Roman"/>
          <w:i/>
          <w:iCs/>
          <w:szCs w:val="24"/>
        </w:rPr>
        <w:t>euro</w:t>
      </w:r>
      <w:proofErr w:type="spellEnd"/>
      <w:r w:rsidR="006F632E">
        <w:rPr>
          <w:rFonts w:eastAsia="Calibri" w:cs="Times New Roman"/>
          <w:szCs w:val="24"/>
        </w:rPr>
        <w:t xml:space="preserve">. </w:t>
      </w:r>
    </w:p>
    <w:p w14:paraId="7E3BE5AE" w14:textId="634EDAB8" w:rsidR="001B1748" w:rsidRPr="00111B13" w:rsidRDefault="001325E1" w:rsidP="006F632E">
      <w:pPr>
        <w:spacing w:after="0" w:line="276" w:lineRule="auto"/>
        <w:ind w:firstLine="709"/>
        <w:jc w:val="both"/>
        <w:rPr>
          <w:rFonts w:eastAsia="Calibri" w:cs="Times New Roman"/>
          <w:szCs w:val="24"/>
        </w:rPr>
      </w:pPr>
      <w:r w:rsidRPr="00111B13">
        <w:rPr>
          <w:rFonts w:eastAsia="Calibri" w:cs="Times New Roman"/>
          <w:szCs w:val="24"/>
        </w:rPr>
        <w:t xml:space="preserve">Atcelts arests </w:t>
      </w:r>
      <w:r w:rsidR="006D2ADB" w:rsidRPr="00111B13">
        <w:rPr>
          <w:rFonts w:eastAsia="Calibri" w:cs="Times New Roman"/>
          <w:szCs w:val="24"/>
        </w:rPr>
        <w:t xml:space="preserve">mākslinieces </w:t>
      </w:r>
      <w:r w:rsidRPr="00111B13">
        <w:rPr>
          <w:rFonts w:eastAsia="Calibri" w:cs="Times New Roman"/>
          <w:szCs w:val="24"/>
        </w:rPr>
        <w:t>Aleksandras Be</w:t>
      </w:r>
      <w:r w:rsidR="006F632E">
        <w:rPr>
          <w:rFonts w:eastAsia="Calibri" w:cs="Times New Roman"/>
          <w:szCs w:val="24"/>
        </w:rPr>
        <w:t>ļcovas porcelān</w:t>
      </w:r>
      <w:r w:rsidR="007173BE">
        <w:rPr>
          <w:rFonts w:eastAsia="Calibri" w:cs="Times New Roman"/>
          <w:szCs w:val="24"/>
        </w:rPr>
        <w:t>a sienas šķīvim „</w:t>
      </w:r>
      <w:r w:rsidRPr="00111B13">
        <w:rPr>
          <w:rFonts w:eastAsia="Calibri" w:cs="Times New Roman"/>
          <w:szCs w:val="24"/>
        </w:rPr>
        <w:t>Brīnu</w:t>
      </w:r>
      <w:r w:rsidR="006F632E">
        <w:rPr>
          <w:rFonts w:eastAsia="Calibri" w:cs="Times New Roman"/>
          <w:szCs w:val="24"/>
        </w:rPr>
        <w:t>mputns” (ar citu nosaukumu arī</w:t>
      </w:r>
      <w:r w:rsidR="007173BE">
        <w:rPr>
          <w:rFonts w:eastAsia="Calibri" w:cs="Times New Roman"/>
          <w:szCs w:val="24"/>
        </w:rPr>
        <w:t xml:space="preserve"> „</w:t>
      </w:r>
      <w:r w:rsidRPr="00111B13">
        <w:rPr>
          <w:rFonts w:eastAsia="Calibri" w:cs="Times New Roman"/>
          <w:szCs w:val="24"/>
        </w:rPr>
        <w:t>Meitene ar pāvu”), un tas atdots labticīga</w:t>
      </w:r>
      <w:r w:rsidR="00AA6070" w:rsidRPr="00111B13">
        <w:rPr>
          <w:rFonts w:eastAsia="Calibri" w:cs="Times New Roman"/>
          <w:szCs w:val="24"/>
        </w:rPr>
        <w:t>ja</w:t>
      </w:r>
      <w:r w:rsidRPr="00111B13">
        <w:rPr>
          <w:rFonts w:eastAsia="Calibri" w:cs="Times New Roman"/>
          <w:szCs w:val="24"/>
        </w:rPr>
        <w:t xml:space="preserve">m ieguvējam (īpašniekam) </w:t>
      </w:r>
      <w:r w:rsidR="00E32E46">
        <w:rPr>
          <w:rFonts w:eastAsia="Calibri" w:cs="Times New Roman"/>
          <w:szCs w:val="24"/>
        </w:rPr>
        <w:t>[pers. C]</w:t>
      </w:r>
      <w:r w:rsidRPr="00111B13">
        <w:rPr>
          <w:rFonts w:eastAsia="Calibri" w:cs="Times New Roman"/>
          <w:szCs w:val="24"/>
        </w:rPr>
        <w:t>.</w:t>
      </w:r>
    </w:p>
    <w:p w14:paraId="04A6402D" w14:textId="2D0BAA32" w:rsidR="0050552D" w:rsidRPr="00111B13" w:rsidRDefault="0050552D" w:rsidP="005738CD">
      <w:pPr>
        <w:spacing w:after="0" w:line="276" w:lineRule="auto"/>
        <w:ind w:firstLine="709"/>
        <w:jc w:val="both"/>
        <w:rPr>
          <w:rFonts w:eastAsia="Calibri" w:cs="Times New Roman"/>
          <w:szCs w:val="24"/>
        </w:rPr>
      </w:pPr>
    </w:p>
    <w:p w14:paraId="7BACA342" w14:textId="340909AB" w:rsidR="00AB2D3D" w:rsidRPr="00111B13" w:rsidRDefault="00AB2D3D" w:rsidP="00562E39">
      <w:pPr>
        <w:autoSpaceDE w:val="0"/>
        <w:autoSpaceDN w:val="0"/>
        <w:adjustRightInd w:val="0"/>
        <w:spacing w:after="0" w:line="276" w:lineRule="auto"/>
        <w:ind w:firstLine="709"/>
        <w:jc w:val="both"/>
        <w:rPr>
          <w:rFonts w:eastAsia="Calibri" w:cs="Times New Roman"/>
          <w:szCs w:val="24"/>
          <w:lang w:eastAsia="lv-LV"/>
        </w:rPr>
      </w:pPr>
      <w:r w:rsidRPr="00111B13">
        <w:rPr>
          <w:rFonts w:eastAsia="Calibri" w:cs="Times New Roman"/>
          <w:szCs w:val="24"/>
        </w:rPr>
        <w:t>[2</w:t>
      </w:r>
      <w:r w:rsidR="007173BE">
        <w:rPr>
          <w:rFonts w:eastAsia="Calibri" w:cs="Times New Roman"/>
          <w:szCs w:val="24"/>
        </w:rPr>
        <w:t>] </w:t>
      </w:r>
      <w:r w:rsidRPr="00111B13">
        <w:rPr>
          <w:rFonts w:eastAsia="Calibri" w:cs="Times New Roman"/>
          <w:szCs w:val="24"/>
        </w:rPr>
        <w:t xml:space="preserve">Ar </w:t>
      </w:r>
      <w:r w:rsidRPr="00111B13">
        <w:rPr>
          <w:rFonts w:eastAsia="Calibri" w:cs="Times New Roman"/>
          <w:szCs w:val="24"/>
          <w:lang w:eastAsia="lv-LV"/>
        </w:rPr>
        <w:t xml:space="preserve">Rīgas pilsētas Vidzemes priekšpilsētas tiesas </w:t>
      </w:r>
      <w:proofErr w:type="gramStart"/>
      <w:r w:rsidRPr="00111B13">
        <w:rPr>
          <w:rFonts w:eastAsia="Calibri" w:cs="Times New Roman"/>
          <w:szCs w:val="24"/>
          <w:lang w:eastAsia="lv-LV"/>
        </w:rPr>
        <w:t>2020.gada</w:t>
      </w:r>
      <w:proofErr w:type="gramEnd"/>
      <w:r w:rsidRPr="00111B13">
        <w:rPr>
          <w:rFonts w:eastAsia="Calibri" w:cs="Times New Roman"/>
          <w:szCs w:val="24"/>
          <w:lang w:eastAsia="lv-LV"/>
        </w:rPr>
        <w:t xml:space="preserve"> 25.februāra spriedumu </w:t>
      </w:r>
      <w:r w:rsidR="00E32E46">
        <w:rPr>
          <w:rFonts w:eastAsia="Calibri" w:cs="Times New Roman"/>
          <w:szCs w:val="24"/>
          <w:lang w:eastAsia="lv-LV"/>
        </w:rPr>
        <w:t>[pers. B]</w:t>
      </w:r>
      <w:r w:rsidRPr="00111B13">
        <w:rPr>
          <w:rFonts w:eastAsia="Calibri" w:cs="Times New Roman"/>
          <w:szCs w:val="24"/>
          <w:lang w:eastAsia="lv-LV"/>
        </w:rPr>
        <w:t xml:space="preserve"> atzīta par vainīgu un sodīta</w:t>
      </w:r>
      <w:r w:rsidR="00562E39" w:rsidRPr="00111B13">
        <w:rPr>
          <w:rFonts w:eastAsia="Calibri" w:cs="Times New Roman"/>
          <w:szCs w:val="24"/>
          <w:lang w:eastAsia="lv-LV"/>
        </w:rPr>
        <w:t>:</w:t>
      </w:r>
      <w:r w:rsidRPr="00111B13">
        <w:rPr>
          <w:rFonts w:eastAsia="Calibri" w:cs="Times New Roman"/>
          <w:szCs w:val="24"/>
          <w:lang w:eastAsia="lv-LV"/>
        </w:rPr>
        <w:t xml:space="preserve"> </w:t>
      </w:r>
      <w:r w:rsidR="007173BE">
        <w:rPr>
          <w:rFonts w:eastAsia="Calibri" w:cs="Times New Roman"/>
          <w:szCs w:val="24"/>
          <w:lang w:eastAsia="lv-LV"/>
        </w:rPr>
        <w:t>1) </w:t>
      </w:r>
      <w:r w:rsidRPr="00111B13">
        <w:rPr>
          <w:rFonts w:eastAsia="Calibri" w:cs="Times New Roman"/>
          <w:szCs w:val="24"/>
          <w:lang w:eastAsia="lv-LV"/>
        </w:rPr>
        <w:t>pēc Krimināllikuma 179.panta trešās daļas (20</w:t>
      </w:r>
      <w:r w:rsidR="00562E39" w:rsidRPr="00111B13">
        <w:rPr>
          <w:rFonts w:eastAsia="Calibri" w:cs="Times New Roman"/>
          <w:szCs w:val="24"/>
          <w:lang w:eastAsia="lv-LV"/>
        </w:rPr>
        <w:t>12</w:t>
      </w:r>
      <w:r w:rsidRPr="00111B13">
        <w:rPr>
          <w:rFonts w:eastAsia="Calibri" w:cs="Times New Roman"/>
          <w:szCs w:val="24"/>
          <w:lang w:eastAsia="lv-LV"/>
        </w:rPr>
        <w:t xml:space="preserve">.gada 13.decembra likuma redakcijā) par </w:t>
      </w:r>
      <w:r w:rsidR="00562E39" w:rsidRPr="00111B13">
        <w:rPr>
          <w:rFonts w:eastAsia="Calibri" w:cs="Times New Roman"/>
          <w:szCs w:val="24"/>
          <w:lang w:eastAsia="lv-LV"/>
        </w:rPr>
        <w:t>to, ka viņa prettiesiski ieguva s</w:t>
      </w:r>
      <w:r w:rsidRPr="00111B13">
        <w:rPr>
          <w:rFonts w:eastAsia="Calibri" w:cs="Times New Roman"/>
          <w:szCs w:val="24"/>
          <w:lang w:eastAsia="lv-LV"/>
        </w:rPr>
        <w:t>veš</w:t>
      </w:r>
      <w:r w:rsidR="00562E39" w:rsidRPr="00111B13">
        <w:rPr>
          <w:rFonts w:eastAsia="Calibri" w:cs="Times New Roman"/>
          <w:szCs w:val="24"/>
          <w:lang w:eastAsia="lv-LV"/>
        </w:rPr>
        <w:t>u</w:t>
      </w:r>
      <w:r w:rsidRPr="00111B13">
        <w:rPr>
          <w:rFonts w:eastAsia="Calibri" w:cs="Times New Roman"/>
          <w:szCs w:val="24"/>
          <w:lang w:eastAsia="lv-LV"/>
        </w:rPr>
        <w:t xml:space="preserve"> mant</w:t>
      </w:r>
      <w:r w:rsidR="00562E39" w:rsidRPr="00111B13">
        <w:rPr>
          <w:rFonts w:eastAsia="Calibri" w:cs="Times New Roman"/>
          <w:szCs w:val="24"/>
          <w:lang w:eastAsia="lv-LV"/>
        </w:rPr>
        <w:t>u</w:t>
      </w:r>
      <w:r w:rsidRPr="00111B13">
        <w:rPr>
          <w:rFonts w:eastAsia="Calibri" w:cs="Times New Roman"/>
          <w:szCs w:val="24"/>
          <w:lang w:eastAsia="lv-LV"/>
        </w:rPr>
        <w:t xml:space="preserve"> lielā apmērā</w:t>
      </w:r>
      <w:r w:rsidR="00562E39" w:rsidRPr="00111B13">
        <w:rPr>
          <w:rFonts w:eastAsia="Calibri" w:cs="Times New Roman"/>
          <w:szCs w:val="24"/>
          <w:lang w:eastAsia="lv-LV"/>
        </w:rPr>
        <w:t xml:space="preserve">, būdama </w:t>
      </w:r>
      <w:r w:rsidRPr="00111B13">
        <w:rPr>
          <w:rFonts w:eastAsia="Calibri" w:cs="Times New Roman"/>
          <w:szCs w:val="24"/>
          <w:lang w:eastAsia="lv-LV"/>
        </w:rPr>
        <w:t>persona, kurai šī manta uzticēta</w:t>
      </w:r>
      <w:r w:rsidR="009071F1">
        <w:rPr>
          <w:rFonts w:eastAsia="Calibri" w:cs="Times New Roman"/>
          <w:szCs w:val="24"/>
          <w:lang w:eastAsia="lv-LV"/>
        </w:rPr>
        <w:t>; 2) </w:t>
      </w:r>
      <w:r w:rsidRPr="00111B13">
        <w:rPr>
          <w:rFonts w:eastAsia="Calibri" w:cs="Times New Roman"/>
          <w:szCs w:val="24"/>
          <w:lang w:eastAsia="lv-LV"/>
        </w:rPr>
        <w:t>pēc Krimināllikuma 177.panta pirmās daļas (likuma redakcijā līdz 2013.gada 31.martam) par svešas mantas iegūšanu ar viltu (krāpšana).</w:t>
      </w:r>
    </w:p>
    <w:p w14:paraId="338D0925" w14:textId="77777777" w:rsidR="00AB2D3D" w:rsidRPr="00111B13" w:rsidRDefault="00AB2D3D" w:rsidP="005738CD">
      <w:pPr>
        <w:spacing w:after="0" w:line="276" w:lineRule="auto"/>
        <w:ind w:firstLine="709"/>
        <w:jc w:val="both"/>
        <w:rPr>
          <w:rFonts w:eastAsia="Calibri" w:cs="Times New Roman"/>
          <w:szCs w:val="24"/>
        </w:rPr>
      </w:pPr>
    </w:p>
    <w:p w14:paraId="1C15A8BE" w14:textId="4D184680" w:rsidR="005738CD" w:rsidRPr="00111B13" w:rsidRDefault="005738CD" w:rsidP="0050552D">
      <w:pPr>
        <w:autoSpaceDE w:val="0"/>
        <w:autoSpaceDN w:val="0"/>
        <w:adjustRightInd w:val="0"/>
        <w:spacing w:after="0" w:line="276" w:lineRule="auto"/>
        <w:ind w:firstLine="709"/>
        <w:jc w:val="both"/>
        <w:rPr>
          <w:rFonts w:eastAsia="Calibri" w:cs="Times New Roman"/>
          <w:szCs w:val="24"/>
        </w:rPr>
      </w:pPr>
      <w:r w:rsidRPr="00111B13">
        <w:rPr>
          <w:rFonts w:eastAsia="Calibri" w:cs="Times New Roman"/>
          <w:szCs w:val="24"/>
          <w:lang w:eastAsia="lv-LV"/>
        </w:rPr>
        <w:t>[</w:t>
      </w:r>
      <w:r w:rsidR="00AB2D3D" w:rsidRPr="00111B13">
        <w:rPr>
          <w:rFonts w:eastAsia="Calibri" w:cs="Times New Roman"/>
          <w:szCs w:val="24"/>
          <w:lang w:eastAsia="lv-LV"/>
        </w:rPr>
        <w:t>3</w:t>
      </w:r>
      <w:r w:rsidR="009071F1">
        <w:rPr>
          <w:rFonts w:eastAsia="Calibri" w:cs="Times New Roman"/>
          <w:szCs w:val="24"/>
          <w:lang w:eastAsia="lv-LV"/>
        </w:rPr>
        <w:t>] </w:t>
      </w:r>
      <w:r w:rsidRPr="00111B13">
        <w:rPr>
          <w:rFonts w:eastAsia="Calibri" w:cs="Times New Roman"/>
          <w:szCs w:val="24"/>
          <w:lang w:eastAsia="lv-LV"/>
        </w:rPr>
        <w:t xml:space="preserve">Ar </w:t>
      </w:r>
      <w:r w:rsidR="00DB2B97" w:rsidRPr="00111B13">
        <w:rPr>
          <w:rFonts w:eastAsia="Calibri" w:cs="Times New Roman"/>
          <w:szCs w:val="24"/>
          <w:lang w:eastAsia="lv-LV"/>
        </w:rPr>
        <w:t>Rīgas</w:t>
      </w:r>
      <w:r w:rsidRPr="00111B13">
        <w:rPr>
          <w:rFonts w:eastAsia="Calibri" w:cs="Times New Roman"/>
          <w:szCs w:val="24"/>
          <w:lang w:eastAsia="lv-LV"/>
        </w:rPr>
        <w:t xml:space="preserve"> </w:t>
      </w:r>
      <w:r w:rsidR="0050552D" w:rsidRPr="00111B13">
        <w:rPr>
          <w:rFonts w:eastAsia="Calibri" w:cs="Times New Roman"/>
          <w:szCs w:val="24"/>
          <w:lang w:eastAsia="lv-LV"/>
        </w:rPr>
        <w:t>apgabal</w:t>
      </w:r>
      <w:r w:rsidRPr="00111B13">
        <w:rPr>
          <w:rFonts w:eastAsia="Calibri" w:cs="Times New Roman"/>
          <w:szCs w:val="24"/>
          <w:lang w:eastAsia="lv-LV"/>
        </w:rPr>
        <w:t xml:space="preserve">tiesas </w:t>
      </w:r>
      <w:proofErr w:type="gramStart"/>
      <w:r w:rsidRPr="00111B13">
        <w:rPr>
          <w:rFonts w:eastAsia="Calibri" w:cs="Times New Roman"/>
          <w:szCs w:val="24"/>
          <w:lang w:eastAsia="lv-LV"/>
        </w:rPr>
        <w:t>20</w:t>
      </w:r>
      <w:r w:rsidR="0050552D" w:rsidRPr="00111B13">
        <w:rPr>
          <w:rFonts w:eastAsia="Calibri" w:cs="Times New Roman"/>
          <w:szCs w:val="24"/>
          <w:lang w:eastAsia="lv-LV"/>
        </w:rPr>
        <w:t>2</w:t>
      </w:r>
      <w:r w:rsidR="00DB2B97" w:rsidRPr="00111B13">
        <w:rPr>
          <w:rFonts w:eastAsia="Calibri" w:cs="Times New Roman"/>
          <w:szCs w:val="24"/>
          <w:lang w:eastAsia="lv-LV"/>
        </w:rPr>
        <w:t>0</w:t>
      </w:r>
      <w:r w:rsidRPr="00111B13">
        <w:rPr>
          <w:rFonts w:eastAsia="Calibri" w:cs="Times New Roman"/>
          <w:szCs w:val="24"/>
          <w:lang w:eastAsia="lv-LV"/>
        </w:rPr>
        <w:t>.gada</w:t>
      </w:r>
      <w:proofErr w:type="gramEnd"/>
      <w:r w:rsidRPr="00111B13">
        <w:rPr>
          <w:rFonts w:eastAsia="Calibri" w:cs="Times New Roman"/>
          <w:szCs w:val="24"/>
          <w:lang w:eastAsia="lv-LV"/>
        </w:rPr>
        <w:t xml:space="preserve"> </w:t>
      </w:r>
      <w:r w:rsidR="00DB2B97" w:rsidRPr="00111B13">
        <w:rPr>
          <w:rFonts w:eastAsia="Calibri" w:cs="Times New Roman"/>
          <w:szCs w:val="24"/>
          <w:lang w:eastAsia="lv-LV"/>
        </w:rPr>
        <w:t>2</w:t>
      </w:r>
      <w:r w:rsidRPr="00111B13">
        <w:rPr>
          <w:rFonts w:eastAsia="Calibri" w:cs="Times New Roman"/>
          <w:szCs w:val="24"/>
          <w:lang w:eastAsia="lv-LV"/>
        </w:rPr>
        <w:t>.</w:t>
      </w:r>
      <w:r w:rsidR="00DB2B97" w:rsidRPr="00111B13">
        <w:rPr>
          <w:rFonts w:eastAsia="Calibri" w:cs="Times New Roman"/>
          <w:szCs w:val="24"/>
          <w:lang w:eastAsia="lv-LV"/>
        </w:rPr>
        <w:t>novembra</w:t>
      </w:r>
      <w:r w:rsidRPr="00111B13">
        <w:rPr>
          <w:rFonts w:eastAsia="Calibri" w:cs="Times New Roman"/>
          <w:szCs w:val="24"/>
          <w:lang w:eastAsia="lv-LV"/>
        </w:rPr>
        <w:t xml:space="preserve"> </w:t>
      </w:r>
      <w:r w:rsidR="00E7629B" w:rsidRPr="00111B13">
        <w:rPr>
          <w:rFonts w:eastAsia="Calibri" w:cs="Times New Roman"/>
          <w:szCs w:val="24"/>
          <w:lang w:eastAsia="lv-LV"/>
        </w:rPr>
        <w:t>lēmumu</w:t>
      </w:r>
      <w:r w:rsidR="006D2ADB" w:rsidRPr="00111B13">
        <w:rPr>
          <w:rFonts w:eastAsia="Calibri" w:cs="Times New Roman"/>
          <w:szCs w:val="24"/>
          <w:lang w:eastAsia="lv-LV"/>
        </w:rPr>
        <w:t>, iztiesājot lietu apelācijas kārtībā sakarā ar Rīgas tiesas apgabala prokuratūras prokurores Vita</w:t>
      </w:r>
      <w:r w:rsidR="009071F1">
        <w:rPr>
          <w:rFonts w:eastAsia="Calibri" w:cs="Times New Roman"/>
          <w:szCs w:val="24"/>
          <w:lang w:eastAsia="lv-LV"/>
        </w:rPr>
        <w:t xml:space="preserve">s </w:t>
      </w:r>
      <w:proofErr w:type="spellStart"/>
      <w:r w:rsidR="009071F1">
        <w:rPr>
          <w:rFonts w:eastAsia="Calibri" w:cs="Times New Roman"/>
          <w:szCs w:val="24"/>
          <w:lang w:eastAsia="lv-LV"/>
        </w:rPr>
        <w:t>Hutores</w:t>
      </w:r>
      <w:proofErr w:type="spellEnd"/>
      <w:r w:rsidR="009071F1">
        <w:rPr>
          <w:rFonts w:eastAsia="Calibri" w:cs="Times New Roman"/>
          <w:szCs w:val="24"/>
          <w:lang w:eastAsia="lv-LV"/>
        </w:rPr>
        <w:t xml:space="preserve"> apelācijas protestu,</w:t>
      </w:r>
      <w:r w:rsidR="006D2ADB" w:rsidRPr="00111B13">
        <w:rPr>
          <w:rFonts w:eastAsia="Calibri" w:cs="Times New Roman"/>
          <w:szCs w:val="24"/>
          <w:lang w:eastAsia="lv-LV"/>
        </w:rPr>
        <w:t xml:space="preserve"> apsūdzētās </w:t>
      </w:r>
      <w:r w:rsidR="002A729A">
        <w:rPr>
          <w:rFonts w:eastAsia="Calibri" w:cs="Times New Roman"/>
          <w:szCs w:val="24"/>
          <w:lang w:eastAsia="lv-LV"/>
        </w:rPr>
        <w:t>[pers. B]</w:t>
      </w:r>
      <w:r w:rsidR="006D2ADB" w:rsidRPr="00111B13">
        <w:rPr>
          <w:rFonts w:eastAsia="Calibri" w:cs="Times New Roman"/>
          <w:szCs w:val="24"/>
          <w:lang w:eastAsia="lv-LV"/>
        </w:rPr>
        <w:t xml:space="preserve"> aizstāves Ingas Lauces un cietušā </w:t>
      </w:r>
      <w:r w:rsidR="002A729A">
        <w:rPr>
          <w:rFonts w:eastAsia="Calibri" w:cs="Times New Roman"/>
          <w:szCs w:val="24"/>
          <w:lang w:eastAsia="lv-LV"/>
        </w:rPr>
        <w:t>[pers. A]</w:t>
      </w:r>
      <w:r w:rsidR="006D2ADB" w:rsidRPr="00111B13">
        <w:rPr>
          <w:rFonts w:eastAsia="Calibri" w:cs="Times New Roman"/>
          <w:szCs w:val="24"/>
          <w:lang w:eastAsia="lv-LV"/>
        </w:rPr>
        <w:t xml:space="preserve"> apelācijas sūdzībām,</w:t>
      </w:r>
      <w:r w:rsidRPr="00111B13">
        <w:rPr>
          <w:rFonts w:eastAsia="Calibri" w:cs="Times New Roman"/>
          <w:szCs w:val="24"/>
        </w:rPr>
        <w:t xml:space="preserve"> </w:t>
      </w:r>
      <w:r w:rsidR="00DB2B97" w:rsidRPr="00111B13">
        <w:rPr>
          <w:rFonts w:eastAsia="Calibri" w:cs="Times New Roman"/>
          <w:szCs w:val="24"/>
        </w:rPr>
        <w:t>Rīgas pilsētas Vidzemes priekšpilsētas tiesas 2020.gada 25.februāra spriedums atcelts pilnībā un krimināllieta nosūtīta jaunai izskatīšanai pirmās instances tiesā</w:t>
      </w:r>
      <w:r w:rsidRPr="00111B13">
        <w:rPr>
          <w:rFonts w:eastAsia="Calibri" w:cs="Times New Roman"/>
          <w:szCs w:val="24"/>
        </w:rPr>
        <w:t>.</w:t>
      </w:r>
    </w:p>
    <w:p w14:paraId="62203C52" w14:textId="1C8B10B5" w:rsidR="00DB2B97" w:rsidRPr="00111B13" w:rsidRDefault="00DB2B97" w:rsidP="0050552D">
      <w:pPr>
        <w:autoSpaceDE w:val="0"/>
        <w:autoSpaceDN w:val="0"/>
        <w:adjustRightInd w:val="0"/>
        <w:spacing w:after="0" w:line="276" w:lineRule="auto"/>
        <w:ind w:firstLine="709"/>
        <w:jc w:val="both"/>
        <w:rPr>
          <w:rFonts w:eastAsia="Calibri" w:cs="Times New Roman"/>
          <w:szCs w:val="24"/>
        </w:rPr>
      </w:pPr>
      <w:r w:rsidRPr="00111B13">
        <w:rPr>
          <w:rFonts w:eastAsia="Calibri" w:cs="Times New Roman"/>
          <w:szCs w:val="24"/>
        </w:rPr>
        <w:t>Atstāts arests mākslinieces Aleksandras Be</w:t>
      </w:r>
      <w:r w:rsidR="009071F1">
        <w:rPr>
          <w:rFonts w:eastAsia="Calibri" w:cs="Times New Roman"/>
          <w:szCs w:val="24"/>
        </w:rPr>
        <w:t>ļcovas porcelāna sienas šķīvim „</w:t>
      </w:r>
      <w:r w:rsidRPr="00111B13">
        <w:rPr>
          <w:rFonts w:eastAsia="Calibri" w:cs="Times New Roman"/>
          <w:szCs w:val="24"/>
        </w:rPr>
        <w:t>B</w:t>
      </w:r>
      <w:r w:rsidR="009071F1">
        <w:rPr>
          <w:rFonts w:eastAsia="Calibri" w:cs="Times New Roman"/>
          <w:szCs w:val="24"/>
        </w:rPr>
        <w:t>rīnumputns” (ar citu nosaukumu „</w:t>
      </w:r>
      <w:r w:rsidRPr="00111B13">
        <w:rPr>
          <w:rFonts w:eastAsia="Calibri" w:cs="Times New Roman"/>
          <w:szCs w:val="24"/>
        </w:rPr>
        <w:t xml:space="preserve">Meitene ar pāvu”), kas atrodas Jelgavas Vēstures un mākslas muzejā </w:t>
      </w:r>
      <w:r w:rsidR="00AA6070" w:rsidRPr="00111B13">
        <w:rPr>
          <w:rFonts w:eastAsia="Calibri" w:cs="Times New Roman"/>
          <w:szCs w:val="24"/>
        </w:rPr>
        <w:t xml:space="preserve">Jelgavā, </w:t>
      </w:r>
      <w:r w:rsidRPr="00111B13">
        <w:rPr>
          <w:rFonts w:eastAsia="Calibri" w:cs="Times New Roman"/>
          <w:szCs w:val="24"/>
        </w:rPr>
        <w:t>Akadēmijas ielā 10</w:t>
      </w:r>
      <w:r w:rsidR="00AA6070" w:rsidRPr="00111B13">
        <w:rPr>
          <w:rFonts w:eastAsia="Calibri" w:cs="Times New Roman"/>
          <w:szCs w:val="24"/>
        </w:rPr>
        <w:t>.</w:t>
      </w:r>
    </w:p>
    <w:p w14:paraId="75FA6092" w14:textId="2157BE52" w:rsidR="0050552D" w:rsidRPr="00111B13" w:rsidRDefault="0050552D" w:rsidP="0050552D">
      <w:pPr>
        <w:autoSpaceDE w:val="0"/>
        <w:autoSpaceDN w:val="0"/>
        <w:adjustRightInd w:val="0"/>
        <w:spacing w:after="0" w:line="276" w:lineRule="auto"/>
        <w:ind w:firstLine="709"/>
        <w:jc w:val="both"/>
        <w:rPr>
          <w:rFonts w:eastAsia="Calibri" w:cs="Times New Roman"/>
          <w:szCs w:val="24"/>
        </w:rPr>
      </w:pPr>
    </w:p>
    <w:p w14:paraId="05774469" w14:textId="2ED18F1A" w:rsidR="00B5460D" w:rsidRPr="00111B13" w:rsidRDefault="0050552D" w:rsidP="00B5460D">
      <w:pPr>
        <w:autoSpaceDE w:val="0"/>
        <w:autoSpaceDN w:val="0"/>
        <w:adjustRightInd w:val="0"/>
        <w:spacing w:after="0" w:line="276" w:lineRule="auto"/>
        <w:ind w:firstLine="709"/>
        <w:jc w:val="both"/>
        <w:rPr>
          <w:rFonts w:cs="Times New Roman"/>
          <w:szCs w:val="24"/>
        </w:rPr>
      </w:pPr>
      <w:r w:rsidRPr="00111B13">
        <w:rPr>
          <w:rFonts w:eastAsia="Calibri" w:cs="Times New Roman"/>
          <w:szCs w:val="24"/>
        </w:rPr>
        <w:t>[</w:t>
      </w:r>
      <w:r w:rsidR="00D03804" w:rsidRPr="00111B13">
        <w:rPr>
          <w:rFonts w:eastAsia="Calibri" w:cs="Times New Roman"/>
          <w:szCs w:val="24"/>
        </w:rPr>
        <w:t>4</w:t>
      </w:r>
      <w:r w:rsidRPr="00111B13">
        <w:rPr>
          <w:rFonts w:eastAsia="Calibri" w:cs="Times New Roman"/>
          <w:szCs w:val="24"/>
        </w:rPr>
        <w:t>]</w:t>
      </w:r>
      <w:bookmarkStart w:id="2" w:name="_Hlk39745825"/>
      <w:r w:rsidR="009071F1">
        <w:rPr>
          <w:rFonts w:eastAsia="Calibri" w:cs="Times New Roman"/>
          <w:szCs w:val="24"/>
        </w:rPr>
        <w:t> </w:t>
      </w:r>
      <w:r w:rsidR="00B5460D" w:rsidRPr="00111B13">
        <w:rPr>
          <w:rFonts w:cs="Times New Roman"/>
          <w:szCs w:val="24"/>
        </w:rPr>
        <w:t xml:space="preserve">Par Rīgas apgabaltiesas </w:t>
      </w:r>
      <w:proofErr w:type="gramStart"/>
      <w:r w:rsidR="00B5460D" w:rsidRPr="00111B13">
        <w:rPr>
          <w:rFonts w:cs="Times New Roman"/>
          <w:szCs w:val="24"/>
        </w:rPr>
        <w:t>2020.gada</w:t>
      </w:r>
      <w:proofErr w:type="gramEnd"/>
      <w:r w:rsidR="00B5460D" w:rsidRPr="00111B13">
        <w:rPr>
          <w:rFonts w:cs="Times New Roman"/>
          <w:szCs w:val="24"/>
        </w:rPr>
        <w:t xml:space="preserve"> 2.novembra lēmumu Rīgas tiesas apgabala prokuratūras virsprokurors A</w:t>
      </w:r>
      <w:r w:rsidR="007C4BA0" w:rsidRPr="00111B13">
        <w:rPr>
          <w:rFonts w:cs="Times New Roman"/>
          <w:szCs w:val="24"/>
        </w:rPr>
        <w:t>.</w:t>
      </w:r>
      <w:r w:rsidR="009071F1">
        <w:rPr>
          <w:rFonts w:cs="Times New Roman"/>
          <w:szCs w:val="24"/>
        </w:rPr>
        <w:t> </w:t>
      </w:r>
      <w:proofErr w:type="spellStart"/>
      <w:r w:rsidR="00B5460D" w:rsidRPr="00111B13">
        <w:rPr>
          <w:rFonts w:cs="Times New Roman"/>
          <w:szCs w:val="24"/>
        </w:rPr>
        <w:t>Meisters</w:t>
      </w:r>
      <w:proofErr w:type="spellEnd"/>
      <w:r w:rsidR="00B5460D" w:rsidRPr="00111B13">
        <w:rPr>
          <w:rFonts w:eastAsia="Calibri" w:cs="Times New Roman"/>
          <w:szCs w:val="24"/>
        </w:rPr>
        <w:t xml:space="preserve"> </w:t>
      </w:r>
      <w:bookmarkEnd w:id="2"/>
      <w:r w:rsidR="00B5460D" w:rsidRPr="00111B13">
        <w:rPr>
          <w:rFonts w:eastAsia="Calibri" w:cs="Times New Roman"/>
          <w:szCs w:val="24"/>
        </w:rPr>
        <w:t>iesniedzis kasācijas protestu, kurā lūdz atcelt tiesas lēmumu un nosūtīt lietu jaunai izskatīšanai apelācijas instances tiesā.</w:t>
      </w:r>
    </w:p>
    <w:p w14:paraId="4B881E3A" w14:textId="77777777" w:rsidR="00B5460D" w:rsidRPr="00111B13" w:rsidRDefault="00B5460D" w:rsidP="00B5460D">
      <w:pPr>
        <w:spacing w:after="0" w:line="276" w:lineRule="auto"/>
        <w:ind w:firstLine="709"/>
        <w:jc w:val="both"/>
        <w:rPr>
          <w:rFonts w:eastAsia="Calibri" w:cs="Times New Roman"/>
          <w:szCs w:val="24"/>
        </w:rPr>
      </w:pPr>
      <w:r w:rsidRPr="00111B13">
        <w:rPr>
          <w:rFonts w:eastAsia="Calibri" w:cs="Times New Roman"/>
          <w:szCs w:val="24"/>
        </w:rPr>
        <w:t>Savu lūgumu prokurors pamatojis ar šādiem argumentiem.</w:t>
      </w:r>
    </w:p>
    <w:p w14:paraId="3FFC65BF" w14:textId="3CFB2BEF" w:rsidR="00B5460D" w:rsidRPr="00111B13" w:rsidRDefault="00B5460D" w:rsidP="00DC3D6F">
      <w:pPr>
        <w:spacing w:after="0" w:line="276" w:lineRule="auto"/>
        <w:ind w:firstLine="709"/>
        <w:jc w:val="both"/>
        <w:rPr>
          <w:rFonts w:eastAsia="Calibri" w:cs="Times New Roman"/>
          <w:szCs w:val="24"/>
        </w:rPr>
      </w:pPr>
      <w:r w:rsidRPr="00111B13">
        <w:rPr>
          <w:rFonts w:eastAsia="Calibri" w:cs="Times New Roman"/>
          <w:szCs w:val="24"/>
        </w:rPr>
        <w:t>[</w:t>
      </w:r>
      <w:r w:rsidR="00DC3D6F" w:rsidRPr="00111B13">
        <w:rPr>
          <w:rFonts w:eastAsia="Calibri" w:cs="Times New Roman"/>
          <w:szCs w:val="24"/>
        </w:rPr>
        <w:t>4</w:t>
      </w:r>
      <w:r w:rsidR="009071F1">
        <w:rPr>
          <w:rFonts w:eastAsia="Calibri" w:cs="Times New Roman"/>
          <w:szCs w:val="24"/>
        </w:rPr>
        <w:t>.1] </w:t>
      </w:r>
      <w:r w:rsidRPr="00111B13">
        <w:rPr>
          <w:rFonts w:eastAsia="Calibri" w:cs="Times New Roman"/>
          <w:szCs w:val="24"/>
        </w:rPr>
        <w:t>Apelācijas instances tiesa nepareizi interpretēj</w:t>
      </w:r>
      <w:r w:rsidR="00DC3D6F" w:rsidRPr="00111B13">
        <w:rPr>
          <w:rFonts w:eastAsia="Calibri" w:cs="Times New Roman"/>
          <w:szCs w:val="24"/>
        </w:rPr>
        <w:t>usi un piemērojusi</w:t>
      </w:r>
      <w:r w:rsidRPr="00111B13">
        <w:rPr>
          <w:rFonts w:eastAsia="Calibri" w:cs="Times New Roman"/>
          <w:szCs w:val="24"/>
        </w:rPr>
        <w:t xml:space="preserve"> Kriminālprocesa likuma </w:t>
      </w:r>
      <w:proofErr w:type="gramStart"/>
      <w:r w:rsidRPr="00111B13">
        <w:rPr>
          <w:rFonts w:eastAsia="Calibri" w:cs="Times New Roman"/>
          <w:szCs w:val="24"/>
        </w:rPr>
        <w:t>507.pantu</w:t>
      </w:r>
      <w:proofErr w:type="gramEnd"/>
      <w:r w:rsidRPr="00111B13">
        <w:rPr>
          <w:rFonts w:eastAsia="Calibri" w:cs="Times New Roman"/>
          <w:szCs w:val="24"/>
        </w:rPr>
        <w:t xml:space="preserve"> un </w:t>
      </w:r>
      <w:r w:rsidR="00DC3D6F" w:rsidRPr="00111B13">
        <w:rPr>
          <w:rFonts w:eastAsia="Calibri" w:cs="Times New Roman"/>
          <w:szCs w:val="24"/>
        </w:rPr>
        <w:t>līdz ar to nepamatoti secinājusi, ka pirmās instances ties</w:t>
      </w:r>
      <w:r w:rsidR="00AE0672" w:rsidRPr="00111B13">
        <w:rPr>
          <w:rFonts w:eastAsia="Calibri" w:cs="Times New Roman"/>
          <w:szCs w:val="24"/>
        </w:rPr>
        <w:t>ā</w:t>
      </w:r>
      <w:r w:rsidR="00DC3D6F" w:rsidRPr="00111B13">
        <w:rPr>
          <w:rFonts w:eastAsia="Calibri" w:cs="Times New Roman"/>
          <w:szCs w:val="24"/>
        </w:rPr>
        <w:t xml:space="preserve"> pieļ</w:t>
      </w:r>
      <w:r w:rsidR="00AE0672" w:rsidRPr="00111B13">
        <w:rPr>
          <w:rFonts w:eastAsia="Calibri" w:cs="Times New Roman"/>
          <w:szCs w:val="24"/>
        </w:rPr>
        <w:t>auts</w:t>
      </w:r>
      <w:r w:rsidR="00DC3D6F" w:rsidRPr="00111B13">
        <w:rPr>
          <w:rFonts w:eastAsia="Calibri" w:cs="Times New Roman"/>
          <w:szCs w:val="24"/>
        </w:rPr>
        <w:t xml:space="preserve"> </w:t>
      </w:r>
      <w:r w:rsidRPr="00111B13">
        <w:rPr>
          <w:rFonts w:eastAsia="Calibri" w:cs="Times New Roman"/>
          <w:szCs w:val="24"/>
        </w:rPr>
        <w:t xml:space="preserve"> Kriminālprocesa likuma 575.panta pirmās daļas 5.punktā norādītais pārkāpum</w:t>
      </w:r>
      <w:r w:rsidR="00C4401C">
        <w:rPr>
          <w:rFonts w:eastAsia="Calibri" w:cs="Times New Roman"/>
          <w:szCs w:val="24"/>
        </w:rPr>
        <w:t>s</w:t>
      </w:r>
      <w:r w:rsidR="00DC3D6F" w:rsidRPr="00111B13">
        <w:rPr>
          <w:rFonts w:eastAsia="Calibri" w:cs="Times New Roman"/>
          <w:szCs w:val="24"/>
        </w:rPr>
        <w:t xml:space="preserve"> – apsūdzētajam nav dots vārds aizstāvības runai.</w:t>
      </w:r>
      <w:r w:rsidRPr="00111B13">
        <w:rPr>
          <w:rFonts w:eastAsia="Calibri" w:cs="Times New Roman"/>
          <w:szCs w:val="24"/>
        </w:rPr>
        <w:t xml:space="preserve"> </w:t>
      </w:r>
      <w:r w:rsidR="00AE0672" w:rsidRPr="00111B13">
        <w:rPr>
          <w:rFonts w:eastAsia="Calibri" w:cs="Times New Roman"/>
          <w:szCs w:val="24"/>
        </w:rPr>
        <w:t xml:space="preserve">Tādējādi apelācijas instances tiesa </w:t>
      </w:r>
      <w:r w:rsidRPr="00111B13">
        <w:rPr>
          <w:rFonts w:eastAsia="Calibri" w:cs="Times New Roman"/>
          <w:szCs w:val="24"/>
        </w:rPr>
        <w:t>pieļāv</w:t>
      </w:r>
      <w:r w:rsidR="00AE0672" w:rsidRPr="00111B13">
        <w:rPr>
          <w:rFonts w:eastAsia="Calibri" w:cs="Times New Roman"/>
          <w:szCs w:val="24"/>
        </w:rPr>
        <w:t>usi</w:t>
      </w:r>
      <w:r w:rsidRPr="00111B13">
        <w:rPr>
          <w:rFonts w:eastAsia="Calibri" w:cs="Times New Roman"/>
          <w:szCs w:val="24"/>
        </w:rPr>
        <w:t xml:space="preserve"> Kriminālprocesa likuma būtisku pārkāpumu šā likuma </w:t>
      </w:r>
      <w:proofErr w:type="gramStart"/>
      <w:r w:rsidRPr="00111B13">
        <w:rPr>
          <w:rFonts w:eastAsia="Calibri" w:cs="Times New Roman"/>
          <w:szCs w:val="24"/>
        </w:rPr>
        <w:t>575.panta</w:t>
      </w:r>
      <w:proofErr w:type="gramEnd"/>
      <w:r w:rsidRPr="00111B13">
        <w:rPr>
          <w:rFonts w:eastAsia="Calibri" w:cs="Times New Roman"/>
          <w:szCs w:val="24"/>
        </w:rPr>
        <w:t xml:space="preserve"> trešās daļas izpratnē.</w:t>
      </w:r>
    </w:p>
    <w:p w14:paraId="313A35A0" w14:textId="7E435526" w:rsidR="0067299D" w:rsidRPr="00111B13" w:rsidRDefault="00B5460D" w:rsidP="00B5460D">
      <w:pPr>
        <w:spacing w:after="0" w:line="276" w:lineRule="auto"/>
        <w:ind w:firstLine="709"/>
        <w:jc w:val="both"/>
        <w:rPr>
          <w:rFonts w:eastAsia="Calibri" w:cs="Times New Roman"/>
          <w:szCs w:val="24"/>
        </w:rPr>
      </w:pPr>
      <w:r w:rsidRPr="00111B13">
        <w:rPr>
          <w:rFonts w:eastAsia="Calibri" w:cs="Times New Roman"/>
          <w:szCs w:val="24"/>
        </w:rPr>
        <w:tab/>
      </w:r>
      <w:r w:rsidR="00747C06" w:rsidRPr="00111B13">
        <w:rPr>
          <w:rFonts w:eastAsia="Calibri" w:cs="Times New Roman"/>
          <w:szCs w:val="24"/>
        </w:rPr>
        <w:t xml:space="preserve">Interpretējot </w:t>
      </w:r>
      <w:r w:rsidRPr="00111B13">
        <w:rPr>
          <w:rFonts w:eastAsia="Calibri" w:cs="Times New Roman"/>
          <w:szCs w:val="24"/>
        </w:rPr>
        <w:t xml:space="preserve">Kriminālprocesa likuma </w:t>
      </w:r>
      <w:proofErr w:type="gramStart"/>
      <w:r w:rsidRPr="00111B13">
        <w:rPr>
          <w:rFonts w:eastAsia="Calibri" w:cs="Times New Roman"/>
          <w:szCs w:val="24"/>
        </w:rPr>
        <w:t>507.pantu</w:t>
      </w:r>
      <w:proofErr w:type="gramEnd"/>
      <w:r w:rsidRPr="00111B13">
        <w:rPr>
          <w:rFonts w:eastAsia="Calibri" w:cs="Times New Roman"/>
          <w:szCs w:val="24"/>
        </w:rPr>
        <w:t xml:space="preserve">, </w:t>
      </w:r>
      <w:r w:rsidR="00747C06" w:rsidRPr="00111B13">
        <w:rPr>
          <w:rFonts w:eastAsia="Calibri" w:cs="Times New Roman"/>
          <w:szCs w:val="24"/>
        </w:rPr>
        <w:t>kas noteic, ka pēc tiesas debatēm katram to dalībniekam ir tiesības uz vienu repliku par runu saturu,</w:t>
      </w:r>
      <w:r w:rsidR="0067299D" w:rsidRPr="00111B13">
        <w:rPr>
          <w:rFonts w:eastAsia="Calibri" w:cs="Times New Roman"/>
          <w:szCs w:val="24"/>
        </w:rPr>
        <w:t xml:space="preserve"> apelācijas instances tiesa </w:t>
      </w:r>
      <w:r w:rsidR="007B7851" w:rsidRPr="00111B13">
        <w:rPr>
          <w:rFonts w:eastAsia="Calibri" w:cs="Times New Roman"/>
          <w:szCs w:val="24"/>
        </w:rPr>
        <w:t>atzinusi</w:t>
      </w:r>
      <w:r w:rsidR="0067299D" w:rsidRPr="00111B13">
        <w:rPr>
          <w:rFonts w:eastAsia="Calibri" w:cs="Times New Roman"/>
          <w:szCs w:val="24"/>
        </w:rPr>
        <w:t>, ka tiesības uz repliku aizstāvim ir neatkarīgi no tā, vai citi tiesas debašu dalībnieki ir vai nav izmantojuši savas tiesības uz repliku.</w:t>
      </w:r>
      <w:r w:rsidR="007B7851" w:rsidRPr="00111B13">
        <w:rPr>
          <w:rFonts w:eastAsia="Calibri" w:cs="Times New Roman"/>
          <w:szCs w:val="24"/>
        </w:rPr>
        <w:t xml:space="preserve"> Pamatojot šādu atzinumu, tiesa norādījusi, ka aizstāvim, gatavojot aizstāvības runu, </w:t>
      </w:r>
      <w:r w:rsidR="00675CFD" w:rsidRPr="00111B13">
        <w:rPr>
          <w:rFonts w:eastAsia="Calibri" w:cs="Times New Roman"/>
          <w:szCs w:val="24"/>
        </w:rPr>
        <w:t xml:space="preserve">parasti </w:t>
      </w:r>
      <w:r w:rsidR="007B7851" w:rsidRPr="00111B13">
        <w:rPr>
          <w:rFonts w:eastAsia="Calibri" w:cs="Times New Roman"/>
          <w:szCs w:val="24"/>
        </w:rPr>
        <w:t xml:space="preserve">nav zināmi visi argumenti, kas tiks izteikti </w:t>
      </w:r>
      <w:r w:rsidR="00546F4E" w:rsidRPr="00111B13">
        <w:rPr>
          <w:rFonts w:eastAsia="Calibri" w:cs="Times New Roman"/>
          <w:szCs w:val="24"/>
        </w:rPr>
        <w:t>valsts apsūdzības uzturētāja</w:t>
      </w:r>
      <w:r w:rsidR="007B7851" w:rsidRPr="00111B13">
        <w:rPr>
          <w:rFonts w:eastAsia="Calibri" w:cs="Times New Roman"/>
          <w:szCs w:val="24"/>
        </w:rPr>
        <w:t xml:space="preserve"> apsūdzības runā un citu tiesas debašu dalībnieku runās</w:t>
      </w:r>
      <w:r w:rsidR="00675CFD" w:rsidRPr="00111B13">
        <w:rPr>
          <w:rFonts w:eastAsia="Calibri" w:cs="Times New Roman"/>
          <w:szCs w:val="24"/>
        </w:rPr>
        <w:t xml:space="preserve">, līdz ar to aizstāvis savā replikā ir tiesīgs izteikties par tiem jautājumiem, kas netika skarti viņa aizstāvības runā, bet tika analizēti </w:t>
      </w:r>
      <w:r w:rsidR="00546F4E" w:rsidRPr="00111B13">
        <w:rPr>
          <w:rFonts w:eastAsia="Calibri" w:cs="Times New Roman"/>
          <w:szCs w:val="24"/>
        </w:rPr>
        <w:t>valsts apsūdzības uzturētāja</w:t>
      </w:r>
      <w:r w:rsidR="00675CFD" w:rsidRPr="00111B13">
        <w:rPr>
          <w:rFonts w:eastAsia="Calibri" w:cs="Times New Roman"/>
          <w:szCs w:val="24"/>
        </w:rPr>
        <w:t xml:space="preserve"> vai citu tiesas debašu dalībnieku runās.</w:t>
      </w:r>
      <w:r w:rsidR="0067299D" w:rsidRPr="00111B13">
        <w:rPr>
          <w:rFonts w:eastAsia="Calibri" w:cs="Times New Roman"/>
          <w:szCs w:val="24"/>
        </w:rPr>
        <w:t xml:space="preserve"> </w:t>
      </w:r>
      <w:r w:rsidR="007B7851" w:rsidRPr="00111B13">
        <w:rPr>
          <w:rFonts w:eastAsia="Calibri" w:cs="Times New Roman"/>
          <w:szCs w:val="24"/>
        </w:rPr>
        <w:t xml:space="preserve"> </w:t>
      </w:r>
      <w:r w:rsidR="00747C06" w:rsidRPr="00111B13">
        <w:rPr>
          <w:rFonts w:eastAsia="Calibri" w:cs="Times New Roman"/>
          <w:szCs w:val="24"/>
        </w:rPr>
        <w:t xml:space="preserve"> </w:t>
      </w:r>
    </w:p>
    <w:p w14:paraId="2059F836" w14:textId="294FD35E" w:rsidR="005A6370" w:rsidRDefault="00675CFD" w:rsidP="005A6370">
      <w:pPr>
        <w:spacing w:after="0" w:line="276" w:lineRule="auto"/>
        <w:ind w:firstLine="709"/>
        <w:jc w:val="both"/>
        <w:rPr>
          <w:rFonts w:eastAsia="Calibri" w:cs="Times New Roman"/>
          <w:szCs w:val="24"/>
        </w:rPr>
      </w:pPr>
      <w:r w:rsidRPr="00111B13">
        <w:rPr>
          <w:rFonts w:eastAsia="Calibri" w:cs="Times New Roman"/>
          <w:szCs w:val="24"/>
        </w:rPr>
        <w:t xml:space="preserve">Šāda apelācijas instances tiesas Kriminālprocesa likuma </w:t>
      </w:r>
      <w:proofErr w:type="gramStart"/>
      <w:r w:rsidRPr="00111B13">
        <w:rPr>
          <w:rFonts w:eastAsia="Calibri" w:cs="Times New Roman"/>
          <w:szCs w:val="24"/>
        </w:rPr>
        <w:t>507.panta</w:t>
      </w:r>
      <w:proofErr w:type="gramEnd"/>
      <w:r w:rsidRPr="00111B13">
        <w:rPr>
          <w:rFonts w:eastAsia="Calibri" w:cs="Times New Roman"/>
          <w:szCs w:val="24"/>
        </w:rPr>
        <w:t xml:space="preserve"> interpretācija ir pretrunā ar tiesību uz repliku </w:t>
      </w:r>
      <w:r w:rsidR="007A5651" w:rsidRPr="00111B13">
        <w:rPr>
          <w:rFonts w:eastAsia="Calibri" w:cs="Times New Roman"/>
          <w:szCs w:val="24"/>
        </w:rPr>
        <w:t xml:space="preserve">procesuālo būtību, </w:t>
      </w:r>
      <w:proofErr w:type="gramStart"/>
      <w:r w:rsidR="007A5651" w:rsidRPr="00111B13">
        <w:rPr>
          <w:rFonts w:eastAsia="Calibri" w:cs="Times New Roman"/>
          <w:szCs w:val="24"/>
        </w:rPr>
        <w:t>kas izpaužas tiesas debašu dalībnieka iespējā īsā izteikumā paust reakciju uz pārējo tiesas debašu dalībnieku runām, par kurām vēl</w:t>
      </w:r>
      <w:proofErr w:type="gramEnd"/>
      <w:r w:rsidR="007A5651" w:rsidRPr="00111B13">
        <w:rPr>
          <w:rFonts w:eastAsia="Calibri" w:cs="Times New Roman"/>
          <w:szCs w:val="24"/>
        </w:rPr>
        <w:t xml:space="preserve"> nav bijis iespējas izteikties.</w:t>
      </w:r>
      <w:r w:rsidR="00B9620F" w:rsidRPr="00111B13">
        <w:rPr>
          <w:rFonts w:eastAsia="Calibri" w:cs="Times New Roman"/>
          <w:szCs w:val="24"/>
        </w:rPr>
        <w:t xml:space="preserve"> Turklāt apelācijas instances tiesa savus atzinumus paudusi, neņemot vērā izskatāmās lietas apstākļus. No pirmās instances tiesas </w:t>
      </w:r>
      <w:proofErr w:type="gramStart"/>
      <w:r w:rsidR="00B9620F" w:rsidRPr="00111B13">
        <w:rPr>
          <w:rFonts w:eastAsia="Calibri" w:cs="Times New Roman"/>
          <w:szCs w:val="24"/>
        </w:rPr>
        <w:t>2019.gada</w:t>
      </w:r>
      <w:proofErr w:type="gramEnd"/>
      <w:r w:rsidR="00B9620F" w:rsidRPr="00111B13">
        <w:rPr>
          <w:rFonts w:eastAsia="Calibri" w:cs="Times New Roman"/>
          <w:szCs w:val="24"/>
        </w:rPr>
        <w:t xml:space="preserve"> 4.jūnija sēdes skaņu ieraksta izriet, ka šajā tiesas sēdē</w:t>
      </w:r>
      <w:r w:rsidR="004B28F8" w:rsidRPr="00111B13">
        <w:rPr>
          <w:rFonts w:eastAsia="Calibri" w:cs="Times New Roman"/>
          <w:szCs w:val="24"/>
        </w:rPr>
        <w:t xml:space="preserve"> savas tiesas debašu runas ir</w:t>
      </w:r>
      <w:r w:rsidR="00C47E66" w:rsidRPr="00111B13">
        <w:rPr>
          <w:rFonts w:eastAsia="Calibri" w:cs="Times New Roman"/>
          <w:szCs w:val="24"/>
        </w:rPr>
        <w:t xml:space="preserve"> </w:t>
      </w:r>
      <w:r w:rsidR="004B28F8" w:rsidRPr="00111B13">
        <w:rPr>
          <w:rFonts w:eastAsia="Calibri" w:cs="Times New Roman"/>
          <w:szCs w:val="24"/>
        </w:rPr>
        <w:t>teiku</w:t>
      </w:r>
      <w:r w:rsidR="00C47E66" w:rsidRPr="00111B13">
        <w:rPr>
          <w:rFonts w:eastAsia="Calibri" w:cs="Times New Roman"/>
          <w:szCs w:val="24"/>
        </w:rPr>
        <w:t>šas</w:t>
      </w:r>
      <w:r w:rsidR="004B28F8" w:rsidRPr="00111B13">
        <w:rPr>
          <w:rFonts w:eastAsia="Calibri" w:cs="Times New Roman"/>
          <w:szCs w:val="24"/>
        </w:rPr>
        <w:t xml:space="preserve"> valsts apsūdzības uzturētāja un cietušā pārstāve</w:t>
      </w:r>
      <w:r w:rsidR="00C47E66" w:rsidRPr="00111B13">
        <w:rPr>
          <w:rFonts w:eastAsia="Calibri" w:cs="Times New Roman"/>
          <w:szCs w:val="24"/>
        </w:rPr>
        <w:t>. Nākam</w:t>
      </w:r>
      <w:r w:rsidR="00C4401C">
        <w:rPr>
          <w:rFonts w:eastAsia="Calibri" w:cs="Times New Roman"/>
          <w:szCs w:val="24"/>
        </w:rPr>
        <w:t>ā tiesas sēde</w:t>
      </w:r>
      <w:r w:rsidR="00C47E66" w:rsidRPr="00111B13">
        <w:rPr>
          <w:rFonts w:eastAsia="Calibri" w:cs="Times New Roman"/>
          <w:szCs w:val="24"/>
        </w:rPr>
        <w:t xml:space="preserve">, kurā savu tiesas debašu runu teica aizstāve, notika </w:t>
      </w:r>
      <w:proofErr w:type="gramStart"/>
      <w:r w:rsidR="00C47E66" w:rsidRPr="00111B13">
        <w:rPr>
          <w:rFonts w:eastAsia="Calibri" w:cs="Times New Roman"/>
          <w:szCs w:val="24"/>
        </w:rPr>
        <w:t>2020.gada</w:t>
      </w:r>
      <w:proofErr w:type="gramEnd"/>
      <w:r w:rsidR="00C47E66" w:rsidRPr="00111B13">
        <w:rPr>
          <w:rFonts w:eastAsia="Calibri" w:cs="Times New Roman"/>
          <w:szCs w:val="24"/>
        </w:rPr>
        <w:t xml:space="preserve"> 17.janvārī</w:t>
      </w:r>
      <w:r w:rsidR="002876A1" w:rsidRPr="00111B13">
        <w:rPr>
          <w:rFonts w:eastAsia="Calibri" w:cs="Times New Roman"/>
          <w:szCs w:val="24"/>
        </w:rPr>
        <w:t xml:space="preserve">, proti, vairāk nekā pēc septiņiem mēnešiem. </w:t>
      </w:r>
      <w:r w:rsidR="00220A6A" w:rsidRPr="00111B13">
        <w:rPr>
          <w:rFonts w:eastAsia="Calibri" w:cs="Times New Roman"/>
          <w:szCs w:val="24"/>
        </w:rPr>
        <w:t xml:space="preserve">Šis laiks ir atzīstams par </w:t>
      </w:r>
      <w:r w:rsidR="00220A6A" w:rsidRPr="00111B13">
        <w:rPr>
          <w:rFonts w:eastAsia="Calibri" w:cs="Times New Roman"/>
          <w:szCs w:val="24"/>
        </w:rPr>
        <w:lastRenderedPageBreak/>
        <w:t>pietiekamu</w:t>
      </w:r>
      <w:r w:rsidR="002876A1" w:rsidRPr="00111B13">
        <w:rPr>
          <w:rFonts w:eastAsia="Calibri" w:cs="Times New Roman"/>
          <w:szCs w:val="24"/>
        </w:rPr>
        <w:t xml:space="preserve">, lai aizstāve sagatavotos tiesas debašu runai, ievērojot visus valsts apsūdzības uzturētājas runā ietvertos argumentus. Apelācijas instances </w:t>
      </w:r>
      <w:r w:rsidR="00C4401C">
        <w:rPr>
          <w:rFonts w:eastAsia="Calibri" w:cs="Times New Roman"/>
          <w:szCs w:val="24"/>
        </w:rPr>
        <w:t xml:space="preserve">tiesa </w:t>
      </w:r>
      <w:r w:rsidR="002876A1" w:rsidRPr="00111B13">
        <w:rPr>
          <w:rFonts w:eastAsia="Calibri" w:cs="Times New Roman"/>
          <w:szCs w:val="24"/>
        </w:rPr>
        <w:t>nepamatoti norādījusi, ka</w:t>
      </w:r>
      <w:r w:rsidR="000C5C28" w:rsidRPr="00111B13">
        <w:rPr>
          <w:rFonts w:eastAsia="Calibri" w:cs="Times New Roman"/>
          <w:szCs w:val="24"/>
        </w:rPr>
        <w:t xml:space="preserve"> aizstāvei tiesas debašu laikā nebija pienākuma paust iebildumus pret valsts apsūdzības uzturētājas tiesas debašu runā norādītajiem argumentiem. Šāds atzinums ir pretrunā ar Kriminālprocesa likuma </w:t>
      </w:r>
      <w:proofErr w:type="gramStart"/>
      <w:r w:rsidR="000C5C28" w:rsidRPr="00111B13">
        <w:rPr>
          <w:rFonts w:eastAsia="Calibri" w:cs="Times New Roman"/>
          <w:szCs w:val="24"/>
        </w:rPr>
        <w:t>507.panta</w:t>
      </w:r>
      <w:proofErr w:type="gramEnd"/>
      <w:r w:rsidR="000C5C28" w:rsidRPr="00111B13">
        <w:rPr>
          <w:rFonts w:eastAsia="Calibri" w:cs="Times New Roman"/>
          <w:szCs w:val="24"/>
        </w:rPr>
        <w:t xml:space="preserve"> būtību un pašas tiesas atzinumu, ka </w:t>
      </w:r>
      <w:r w:rsidR="00B60B9E" w:rsidRPr="00111B13">
        <w:rPr>
          <w:rFonts w:eastAsia="Calibri" w:cs="Times New Roman"/>
          <w:szCs w:val="24"/>
        </w:rPr>
        <w:t>aizstāvim ir tiesības uz repliku, lai izteiktos par tiem pārējo tiesas debašu dalībnieku argumentiem, kuri viņam nebija zināmi aizstāvības runas sagatavošanas laikā.</w:t>
      </w:r>
      <w:r w:rsidR="005A6370">
        <w:rPr>
          <w:rFonts w:eastAsia="Calibri" w:cs="Times New Roman"/>
          <w:szCs w:val="24"/>
        </w:rPr>
        <w:t xml:space="preserve"> </w:t>
      </w:r>
    </w:p>
    <w:p w14:paraId="2AF2E621" w14:textId="57E4D48E" w:rsidR="00273A68" w:rsidRDefault="00FD3D23" w:rsidP="00273A68">
      <w:pPr>
        <w:spacing w:after="0" w:line="276" w:lineRule="auto"/>
        <w:ind w:firstLine="709"/>
        <w:jc w:val="both"/>
        <w:rPr>
          <w:rFonts w:eastAsia="Calibri" w:cs="Times New Roman"/>
          <w:szCs w:val="24"/>
        </w:rPr>
      </w:pPr>
      <w:r w:rsidRPr="00111B13">
        <w:rPr>
          <w:rFonts w:eastAsia="Calibri" w:cs="Times New Roman"/>
          <w:szCs w:val="24"/>
        </w:rPr>
        <w:t xml:space="preserve">Pamatojot savu viedokli, </w:t>
      </w:r>
      <w:r w:rsidR="00B5460D" w:rsidRPr="00111B13">
        <w:rPr>
          <w:rFonts w:eastAsia="Calibri" w:cs="Times New Roman"/>
          <w:szCs w:val="24"/>
        </w:rPr>
        <w:t xml:space="preserve">apelācijas instances tiesa </w:t>
      </w:r>
      <w:r w:rsidRPr="00111B13">
        <w:rPr>
          <w:rFonts w:eastAsia="Calibri" w:cs="Times New Roman"/>
          <w:szCs w:val="24"/>
        </w:rPr>
        <w:t>atsaukusies uz</w:t>
      </w:r>
      <w:r w:rsidR="00B5460D" w:rsidRPr="00111B13">
        <w:rPr>
          <w:rFonts w:eastAsia="Calibri" w:cs="Times New Roman"/>
          <w:szCs w:val="24"/>
        </w:rPr>
        <w:t xml:space="preserve"> Senāta </w:t>
      </w:r>
      <w:proofErr w:type="gramStart"/>
      <w:r w:rsidR="00B5460D" w:rsidRPr="00111B13">
        <w:rPr>
          <w:rFonts w:eastAsia="Calibri" w:cs="Times New Roman"/>
          <w:szCs w:val="24"/>
        </w:rPr>
        <w:t>2018.gada</w:t>
      </w:r>
      <w:proofErr w:type="gramEnd"/>
      <w:r w:rsidR="00B5460D" w:rsidRPr="00111B13">
        <w:rPr>
          <w:rFonts w:eastAsia="Calibri" w:cs="Times New Roman"/>
          <w:szCs w:val="24"/>
        </w:rPr>
        <w:t xml:space="preserve"> 27.novem</w:t>
      </w:r>
      <w:r w:rsidR="00383D9C">
        <w:rPr>
          <w:rFonts w:eastAsia="Calibri" w:cs="Times New Roman"/>
          <w:szCs w:val="24"/>
        </w:rPr>
        <w:t>b</w:t>
      </w:r>
      <w:r w:rsidR="00B5460D" w:rsidRPr="00111B13">
        <w:rPr>
          <w:rFonts w:eastAsia="Calibri" w:cs="Times New Roman"/>
          <w:szCs w:val="24"/>
        </w:rPr>
        <w:t>ra lēmumā lietā Nr. SKK-475/2018 paustajām atziņām, taču nav ņēmusi vērā, ka ne katr</w:t>
      </w:r>
      <w:r w:rsidR="00BD634A" w:rsidRPr="00111B13">
        <w:rPr>
          <w:rFonts w:eastAsia="Calibri" w:cs="Times New Roman"/>
          <w:szCs w:val="24"/>
        </w:rPr>
        <w:t>am</w:t>
      </w:r>
      <w:r w:rsidR="00B5460D" w:rsidRPr="00111B13">
        <w:rPr>
          <w:rFonts w:eastAsia="Calibri" w:cs="Times New Roman"/>
          <w:szCs w:val="24"/>
        </w:rPr>
        <w:t xml:space="preserve"> Senāta lēmum</w:t>
      </w:r>
      <w:r w:rsidR="00BD634A" w:rsidRPr="00111B13">
        <w:rPr>
          <w:rFonts w:eastAsia="Calibri" w:cs="Times New Roman"/>
          <w:szCs w:val="24"/>
        </w:rPr>
        <w:t>am</w:t>
      </w:r>
      <w:r w:rsidR="00B5460D" w:rsidRPr="00111B13">
        <w:rPr>
          <w:rFonts w:eastAsia="Calibri" w:cs="Times New Roman"/>
          <w:szCs w:val="24"/>
        </w:rPr>
        <w:t xml:space="preserve"> </w:t>
      </w:r>
      <w:r w:rsidR="00BD634A" w:rsidRPr="00111B13">
        <w:rPr>
          <w:rFonts w:eastAsia="Calibri" w:cs="Times New Roman"/>
          <w:szCs w:val="24"/>
        </w:rPr>
        <w:t xml:space="preserve">ir </w:t>
      </w:r>
      <w:r w:rsidR="00B5460D" w:rsidRPr="00111B13">
        <w:rPr>
          <w:rFonts w:eastAsia="Calibri" w:cs="Times New Roman"/>
          <w:szCs w:val="24"/>
        </w:rPr>
        <w:t>judikatūr</w:t>
      </w:r>
      <w:r w:rsidR="00BD634A" w:rsidRPr="00111B13">
        <w:rPr>
          <w:rFonts w:eastAsia="Calibri" w:cs="Times New Roman"/>
          <w:szCs w:val="24"/>
        </w:rPr>
        <w:t>as nozīme. Par judikatūru atzīstami tikai tādi nol</w:t>
      </w:r>
      <w:r w:rsidR="00B5460D" w:rsidRPr="00111B13">
        <w:rPr>
          <w:rFonts w:eastAsia="Calibri" w:cs="Times New Roman"/>
          <w:szCs w:val="24"/>
        </w:rPr>
        <w:t>ēmumi, kuros tiesas paustās atziņas var būt noderīgas</w:t>
      </w:r>
      <w:r w:rsidR="00BD634A" w:rsidRPr="00111B13">
        <w:rPr>
          <w:rFonts w:eastAsia="Calibri" w:cs="Times New Roman"/>
          <w:szCs w:val="24"/>
        </w:rPr>
        <w:t xml:space="preserve"> tiesību normu interpretācij</w:t>
      </w:r>
      <w:r w:rsidR="00AB1798" w:rsidRPr="00111B13">
        <w:rPr>
          <w:rFonts w:eastAsia="Calibri" w:cs="Times New Roman"/>
          <w:szCs w:val="24"/>
        </w:rPr>
        <w:t>ā</w:t>
      </w:r>
      <w:r w:rsidR="00BD634A" w:rsidRPr="00111B13">
        <w:rPr>
          <w:rFonts w:eastAsia="Calibri" w:cs="Times New Roman"/>
          <w:szCs w:val="24"/>
        </w:rPr>
        <w:t>, izlemjot citas lietas.</w:t>
      </w:r>
      <w:r w:rsidR="00B5460D" w:rsidRPr="00111B13">
        <w:rPr>
          <w:rFonts w:eastAsia="Calibri" w:cs="Times New Roman"/>
          <w:szCs w:val="24"/>
        </w:rPr>
        <w:t xml:space="preserve"> Senāta lēmums, uz kuru atsau</w:t>
      </w:r>
      <w:r w:rsidR="00BD634A" w:rsidRPr="00111B13">
        <w:rPr>
          <w:rFonts w:eastAsia="Calibri" w:cs="Times New Roman"/>
          <w:szCs w:val="24"/>
        </w:rPr>
        <w:t>kusies</w:t>
      </w:r>
      <w:r w:rsidR="00B5460D" w:rsidRPr="00111B13">
        <w:rPr>
          <w:rFonts w:eastAsia="Calibri" w:cs="Times New Roman"/>
          <w:szCs w:val="24"/>
        </w:rPr>
        <w:t xml:space="preserve"> apelācijas instances tiesa, nav iekļauts judikatūrā</w:t>
      </w:r>
      <w:r w:rsidR="00BD634A" w:rsidRPr="00111B13">
        <w:rPr>
          <w:rFonts w:eastAsia="Calibri" w:cs="Times New Roman"/>
          <w:szCs w:val="24"/>
        </w:rPr>
        <w:t xml:space="preserve">. </w:t>
      </w:r>
      <w:r w:rsidR="00B5460D" w:rsidRPr="00111B13">
        <w:rPr>
          <w:rFonts w:eastAsia="Calibri" w:cs="Times New Roman"/>
          <w:szCs w:val="24"/>
        </w:rPr>
        <w:t>Jautājumā par tiesīb</w:t>
      </w:r>
      <w:r w:rsidR="00AB1798" w:rsidRPr="00111B13">
        <w:rPr>
          <w:rFonts w:eastAsia="Calibri" w:cs="Times New Roman"/>
          <w:szCs w:val="24"/>
        </w:rPr>
        <w:t>u</w:t>
      </w:r>
      <w:r w:rsidR="00B5460D" w:rsidRPr="00111B13">
        <w:rPr>
          <w:rFonts w:eastAsia="Calibri" w:cs="Times New Roman"/>
          <w:szCs w:val="24"/>
        </w:rPr>
        <w:t xml:space="preserve"> uz repliku būtību </w:t>
      </w:r>
      <w:r w:rsidR="00AB1798" w:rsidRPr="00111B13">
        <w:rPr>
          <w:rFonts w:eastAsia="Calibri" w:cs="Times New Roman"/>
          <w:szCs w:val="24"/>
        </w:rPr>
        <w:t xml:space="preserve">Senāts </w:t>
      </w:r>
      <w:r w:rsidR="00B5460D" w:rsidRPr="00111B13">
        <w:rPr>
          <w:rFonts w:eastAsia="Calibri" w:cs="Times New Roman"/>
          <w:szCs w:val="24"/>
        </w:rPr>
        <w:t>par judikatūru ir atzin</w:t>
      </w:r>
      <w:r w:rsidR="00AB1798" w:rsidRPr="00111B13">
        <w:rPr>
          <w:rFonts w:eastAsia="Calibri" w:cs="Times New Roman"/>
          <w:szCs w:val="24"/>
        </w:rPr>
        <w:t xml:space="preserve">is </w:t>
      </w:r>
      <w:proofErr w:type="gramStart"/>
      <w:r w:rsidR="00B5460D" w:rsidRPr="00111B13">
        <w:rPr>
          <w:rFonts w:eastAsia="Calibri" w:cs="Times New Roman"/>
          <w:szCs w:val="24"/>
        </w:rPr>
        <w:t>2013.g</w:t>
      </w:r>
      <w:r w:rsidR="005A6370">
        <w:rPr>
          <w:rFonts w:eastAsia="Calibri" w:cs="Times New Roman"/>
          <w:szCs w:val="24"/>
        </w:rPr>
        <w:t>ada</w:t>
      </w:r>
      <w:proofErr w:type="gramEnd"/>
      <w:r w:rsidR="005A6370">
        <w:rPr>
          <w:rFonts w:eastAsia="Calibri" w:cs="Times New Roman"/>
          <w:szCs w:val="24"/>
        </w:rPr>
        <w:t xml:space="preserve"> 11.oktobra lēmumu lietā Nr. </w:t>
      </w:r>
      <w:r w:rsidR="00B5460D" w:rsidRPr="00111B13">
        <w:rPr>
          <w:rFonts w:eastAsia="Calibri" w:cs="Times New Roman"/>
          <w:szCs w:val="24"/>
        </w:rPr>
        <w:t>SKK-325/2013</w:t>
      </w:r>
      <w:r w:rsidR="00AB1798" w:rsidRPr="00111B13">
        <w:rPr>
          <w:rFonts w:eastAsia="Calibri" w:cs="Times New Roman"/>
          <w:szCs w:val="24"/>
        </w:rPr>
        <w:t>. Šajā lietā Senāts norādīj</w:t>
      </w:r>
      <w:r w:rsidR="00F4744C" w:rsidRPr="00111B13">
        <w:rPr>
          <w:rFonts w:eastAsia="Calibri" w:cs="Times New Roman"/>
          <w:szCs w:val="24"/>
        </w:rPr>
        <w:t>is</w:t>
      </w:r>
      <w:r w:rsidR="00AB1798" w:rsidRPr="00111B13">
        <w:rPr>
          <w:rFonts w:eastAsia="Calibri" w:cs="Times New Roman"/>
          <w:szCs w:val="24"/>
        </w:rPr>
        <w:t xml:space="preserve">, ka </w:t>
      </w:r>
      <w:r w:rsidR="00B5460D" w:rsidRPr="00111B13">
        <w:rPr>
          <w:rFonts w:eastAsia="Calibri" w:cs="Times New Roman"/>
          <w:szCs w:val="24"/>
        </w:rPr>
        <w:t xml:space="preserve">tiesību uz repliku procesuālā būtība izpaužas tiesas debašu dalībnieka iespējā </w:t>
      </w:r>
      <w:r w:rsidR="00F4744C" w:rsidRPr="00111B13">
        <w:rPr>
          <w:rFonts w:eastAsia="Calibri" w:cs="Times New Roman"/>
          <w:szCs w:val="24"/>
        </w:rPr>
        <w:t>ī</w:t>
      </w:r>
      <w:r w:rsidR="00B5460D" w:rsidRPr="00111B13">
        <w:rPr>
          <w:rFonts w:eastAsia="Calibri" w:cs="Times New Roman"/>
          <w:szCs w:val="24"/>
        </w:rPr>
        <w:t>sā izteikumā paust reakciju uz pārējo tiesas debašu dalībnieku runām, par kurām vēl nav bijis iespējams izteikties.</w:t>
      </w:r>
      <w:r w:rsidR="00F4744C" w:rsidRPr="00111B13">
        <w:rPr>
          <w:rFonts w:eastAsia="Calibri" w:cs="Times New Roman"/>
          <w:szCs w:val="24"/>
        </w:rPr>
        <w:t xml:space="preserve"> Senāts atzinis, ka tiesa, nedodot aizstāvim iespēju teikt repliku, nav pieļāvusi Kriminālprocesa likuma 507.panta pārkāpumu, ievērojot to, ka tiesība</w:t>
      </w:r>
      <w:r w:rsidR="004358A7" w:rsidRPr="00111B13">
        <w:rPr>
          <w:rFonts w:eastAsia="Calibri" w:cs="Times New Roman"/>
          <w:szCs w:val="24"/>
        </w:rPr>
        <w:t>s uz repliku pēc aizstāvja runas prokurors nebija izmantojis, savukārt aizstāvim bija iespēja visus iebildumus pret prokurora runu izteikt aizstāvības runā.</w:t>
      </w:r>
      <w:r w:rsidR="00F4744C" w:rsidRPr="00111B13">
        <w:rPr>
          <w:rFonts w:eastAsia="Calibri" w:cs="Times New Roman"/>
          <w:szCs w:val="24"/>
        </w:rPr>
        <w:t xml:space="preserve"> </w:t>
      </w:r>
      <w:r w:rsidR="00B5460D" w:rsidRPr="00111B13">
        <w:rPr>
          <w:rFonts w:eastAsia="Calibri" w:cs="Times New Roman"/>
          <w:szCs w:val="24"/>
        </w:rPr>
        <w:t xml:space="preserve"> </w:t>
      </w:r>
      <w:r w:rsidR="004358A7" w:rsidRPr="00111B13">
        <w:rPr>
          <w:rFonts w:eastAsia="Calibri" w:cs="Times New Roman"/>
          <w:szCs w:val="24"/>
        </w:rPr>
        <w:t>No pirmās in</w:t>
      </w:r>
      <w:r w:rsidR="00273A68">
        <w:rPr>
          <w:rFonts w:eastAsia="Calibri" w:cs="Times New Roman"/>
          <w:szCs w:val="24"/>
        </w:rPr>
        <w:t>stances tiesas 2020.gada 25.febr</w:t>
      </w:r>
      <w:r w:rsidR="004358A7" w:rsidRPr="00111B13">
        <w:rPr>
          <w:rFonts w:eastAsia="Calibri" w:cs="Times New Roman"/>
          <w:szCs w:val="24"/>
        </w:rPr>
        <w:t>uāra sēdes skaņu ieraksta izriet, ka pirmās instances tiesa, liedzot aizstāvei tiesības uz repliku, atsaukusies tieši uz šo judikatūras atziņu</w:t>
      </w:r>
      <w:r w:rsidR="003359B3" w:rsidRPr="00111B13">
        <w:rPr>
          <w:rFonts w:eastAsia="Calibri" w:cs="Times New Roman"/>
          <w:szCs w:val="24"/>
        </w:rPr>
        <w:t>. Savukārt apelācijas instances tiesa lēmumā nav pamatojusi, kādēļ tā atkāpjas no judikatūras šajā jautājumā.</w:t>
      </w:r>
      <w:r w:rsidR="004358A7" w:rsidRPr="00111B13">
        <w:rPr>
          <w:rFonts w:eastAsia="Calibri" w:cs="Times New Roman"/>
          <w:szCs w:val="24"/>
        </w:rPr>
        <w:t xml:space="preserve"> </w:t>
      </w:r>
      <w:r w:rsidR="00B5460D" w:rsidRPr="00111B13">
        <w:rPr>
          <w:rFonts w:eastAsia="Calibri" w:cs="Times New Roman"/>
          <w:szCs w:val="24"/>
        </w:rPr>
        <w:t xml:space="preserve">Neargumentēta atkāpšanās no judikatūras par konkrētās normas interpretāciju ir pamats apšaubīt tiesību uz taisnīgu tiesu ievērošanu </w:t>
      </w:r>
      <w:r w:rsidR="003359B3" w:rsidRPr="00111B13">
        <w:rPr>
          <w:rFonts w:eastAsia="Calibri" w:cs="Times New Roman"/>
          <w:szCs w:val="24"/>
        </w:rPr>
        <w:t>šajā</w:t>
      </w:r>
      <w:r w:rsidR="00B5460D" w:rsidRPr="00111B13">
        <w:rPr>
          <w:rFonts w:eastAsia="Calibri" w:cs="Times New Roman"/>
          <w:szCs w:val="24"/>
        </w:rPr>
        <w:t xml:space="preserve"> kriminālprocesā.</w:t>
      </w:r>
      <w:r w:rsidR="00273A68">
        <w:rPr>
          <w:rFonts w:eastAsia="Calibri" w:cs="Times New Roman"/>
          <w:szCs w:val="24"/>
        </w:rPr>
        <w:t xml:space="preserve"> </w:t>
      </w:r>
    </w:p>
    <w:p w14:paraId="64BBD4CD" w14:textId="257B0513" w:rsidR="0013787A" w:rsidRDefault="00B5460D" w:rsidP="0013787A">
      <w:pPr>
        <w:spacing w:after="0" w:line="276" w:lineRule="auto"/>
        <w:ind w:firstLine="709"/>
        <w:jc w:val="both"/>
        <w:rPr>
          <w:rFonts w:eastAsia="Calibri" w:cs="Times New Roman"/>
          <w:szCs w:val="24"/>
        </w:rPr>
      </w:pPr>
      <w:r w:rsidRPr="00111B13">
        <w:rPr>
          <w:rFonts w:eastAsia="Calibri" w:cs="Times New Roman"/>
          <w:szCs w:val="24"/>
        </w:rPr>
        <w:t>[</w:t>
      </w:r>
      <w:r w:rsidR="00F8765D" w:rsidRPr="00111B13">
        <w:rPr>
          <w:rFonts w:eastAsia="Calibri" w:cs="Times New Roman"/>
          <w:szCs w:val="24"/>
        </w:rPr>
        <w:t>4</w:t>
      </w:r>
      <w:r w:rsidRPr="00111B13">
        <w:rPr>
          <w:rFonts w:eastAsia="Calibri" w:cs="Times New Roman"/>
          <w:szCs w:val="24"/>
        </w:rPr>
        <w:t>.2]</w:t>
      </w:r>
      <w:r w:rsidR="00273A68">
        <w:rPr>
          <w:rFonts w:eastAsia="Calibri" w:cs="Times New Roman"/>
          <w:szCs w:val="24"/>
        </w:rPr>
        <w:t> </w:t>
      </w:r>
      <w:r w:rsidRPr="00111B13">
        <w:rPr>
          <w:rFonts w:eastAsia="Calibri" w:cs="Times New Roman"/>
          <w:szCs w:val="24"/>
        </w:rPr>
        <w:t>A</w:t>
      </w:r>
      <w:r w:rsidR="00E206A8" w:rsidRPr="00111B13">
        <w:rPr>
          <w:rFonts w:eastAsia="Calibri" w:cs="Times New Roman"/>
          <w:szCs w:val="24"/>
        </w:rPr>
        <w:t xml:space="preserve">pelācijas instances tiesas lēmums </w:t>
      </w:r>
      <w:r w:rsidRPr="00111B13">
        <w:rPr>
          <w:rFonts w:eastAsia="Calibri" w:cs="Times New Roman"/>
          <w:szCs w:val="24"/>
        </w:rPr>
        <w:t xml:space="preserve">neatbilst Kriminālprocesa likuma 511., </w:t>
      </w:r>
      <w:proofErr w:type="gramStart"/>
      <w:r w:rsidRPr="00111B13">
        <w:rPr>
          <w:rFonts w:eastAsia="Calibri" w:cs="Times New Roman"/>
          <w:szCs w:val="24"/>
        </w:rPr>
        <w:t>512.</w:t>
      </w:r>
      <w:r w:rsidR="00E206A8" w:rsidRPr="00111B13">
        <w:rPr>
          <w:rFonts w:eastAsia="Calibri" w:cs="Times New Roman"/>
          <w:szCs w:val="24"/>
        </w:rPr>
        <w:t>panta</w:t>
      </w:r>
      <w:proofErr w:type="gramEnd"/>
      <w:r w:rsidRPr="00111B13">
        <w:rPr>
          <w:rFonts w:eastAsia="Calibri" w:cs="Times New Roman"/>
          <w:szCs w:val="24"/>
        </w:rPr>
        <w:t xml:space="preserve"> un 564.panta ceturtās daļas prasībām</w:t>
      </w:r>
      <w:r w:rsidR="00EF2137" w:rsidRPr="00111B13">
        <w:rPr>
          <w:rFonts w:eastAsia="Calibri" w:cs="Times New Roman"/>
          <w:szCs w:val="24"/>
        </w:rPr>
        <w:t xml:space="preserve">. Pieļautie pārkāpumi atzīstami par </w:t>
      </w:r>
      <w:r w:rsidRPr="00111B13">
        <w:rPr>
          <w:rFonts w:eastAsia="Calibri" w:cs="Times New Roman"/>
          <w:szCs w:val="24"/>
        </w:rPr>
        <w:t xml:space="preserve">Kriminālprocesa likuma </w:t>
      </w:r>
      <w:r w:rsidR="00EF2137" w:rsidRPr="00111B13">
        <w:rPr>
          <w:rFonts w:eastAsia="Calibri" w:cs="Times New Roman"/>
          <w:szCs w:val="24"/>
        </w:rPr>
        <w:t xml:space="preserve">būtiskiem </w:t>
      </w:r>
      <w:r w:rsidR="00383D9C">
        <w:rPr>
          <w:rFonts w:eastAsia="Calibri" w:cs="Times New Roman"/>
          <w:szCs w:val="24"/>
        </w:rPr>
        <w:t>pārkāpumiem</w:t>
      </w:r>
      <w:r w:rsidRPr="00111B13">
        <w:rPr>
          <w:rFonts w:eastAsia="Calibri" w:cs="Times New Roman"/>
          <w:szCs w:val="24"/>
        </w:rPr>
        <w:t xml:space="preserve"> šā likuma </w:t>
      </w:r>
      <w:proofErr w:type="gramStart"/>
      <w:r w:rsidRPr="00111B13">
        <w:rPr>
          <w:rFonts w:eastAsia="Calibri" w:cs="Times New Roman"/>
          <w:szCs w:val="24"/>
        </w:rPr>
        <w:t>575.panta</w:t>
      </w:r>
      <w:proofErr w:type="gramEnd"/>
      <w:r w:rsidRPr="00111B13">
        <w:rPr>
          <w:rFonts w:eastAsia="Calibri" w:cs="Times New Roman"/>
          <w:szCs w:val="24"/>
        </w:rPr>
        <w:t xml:space="preserve"> trešās daļas izpratnē</w:t>
      </w:r>
      <w:r w:rsidR="00EF2137" w:rsidRPr="00111B13">
        <w:rPr>
          <w:rFonts w:eastAsia="Calibri" w:cs="Times New Roman"/>
          <w:szCs w:val="24"/>
        </w:rPr>
        <w:t>, kas noveduši pie nelikumīga nolēmuma.</w:t>
      </w:r>
      <w:r w:rsidRPr="00111B13">
        <w:rPr>
          <w:rFonts w:eastAsia="Calibri" w:cs="Times New Roman"/>
          <w:szCs w:val="24"/>
        </w:rPr>
        <w:t xml:space="preserve"> </w:t>
      </w:r>
    </w:p>
    <w:p w14:paraId="0CB391B5" w14:textId="0CAA9E69" w:rsidR="00884B26" w:rsidRDefault="00EF2137" w:rsidP="00884B26">
      <w:pPr>
        <w:spacing w:after="0" w:line="276" w:lineRule="auto"/>
        <w:ind w:firstLine="709"/>
        <w:jc w:val="both"/>
        <w:rPr>
          <w:rFonts w:cs="Times New Roman"/>
        </w:rPr>
      </w:pPr>
      <w:r w:rsidRPr="00111B13">
        <w:rPr>
          <w:rFonts w:cs="Times New Roman"/>
        </w:rPr>
        <w:t>A</w:t>
      </w:r>
      <w:r w:rsidR="00B5460D" w:rsidRPr="00111B13">
        <w:rPr>
          <w:rFonts w:cs="Times New Roman"/>
        </w:rPr>
        <w:t xml:space="preserve">pelācijas instances tiesa </w:t>
      </w:r>
      <w:r w:rsidRPr="00111B13">
        <w:rPr>
          <w:rFonts w:cs="Times New Roman"/>
        </w:rPr>
        <w:t xml:space="preserve">atcēlusi </w:t>
      </w:r>
      <w:r w:rsidR="00B5460D" w:rsidRPr="00111B13">
        <w:rPr>
          <w:rFonts w:cs="Times New Roman"/>
        </w:rPr>
        <w:t xml:space="preserve">pirmās instances tiesas spriedumu sakarā ar Kriminālprocesa likuma </w:t>
      </w:r>
      <w:r w:rsidRPr="00111B13">
        <w:rPr>
          <w:rFonts w:cs="Times New Roman"/>
        </w:rPr>
        <w:t xml:space="preserve">būtisku </w:t>
      </w:r>
      <w:r w:rsidR="00B5460D" w:rsidRPr="00111B13">
        <w:rPr>
          <w:rFonts w:cs="Times New Roman"/>
        </w:rPr>
        <w:t>pārkāpumu, kas katrā ziņā izraisa sprieduma atcelšanu,</w:t>
      </w:r>
      <w:r w:rsidRPr="00111B13">
        <w:rPr>
          <w:rFonts w:cs="Times New Roman"/>
        </w:rPr>
        <w:t xml:space="preserve"> norādot, ka </w:t>
      </w:r>
      <w:r w:rsidR="00B5460D" w:rsidRPr="00111B13">
        <w:rPr>
          <w:rFonts w:cs="Times New Roman"/>
        </w:rPr>
        <w:t xml:space="preserve">pirmās instances </w:t>
      </w:r>
      <w:r w:rsidR="00956873" w:rsidRPr="00111B13">
        <w:rPr>
          <w:rFonts w:cs="Times New Roman"/>
        </w:rPr>
        <w:t xml:space="preserve">tiesas </w:t>
      </w:r>
      <w:r w:rsidR="00B5460D" w:rsidRPr="00111B13">
        <w:rPr>
          <w:rFonts w:cs="Times New Roman"/>
        </w:rPr>
        <w:t>sprieduma saturu</w:t>
      </w:r>
      <w:r w:rsidRPr="00111B13">
        <w:rPr>
          <w:rFonts w:cs="Times New Roman"/>
        </w:rPr>
        <w:t xml:space="preserve"> pēc būtības tā nevērtēs.</w:t>
      </w:r>
      <w:r w:rsidR="00F54687" w:rsidRPr="00111B13">
        <w:rPr>
          <w:rFonts w:cs="Times New Roman"/>
        </w:rPr>
        <w:t xml:space="preserve"> V</w:t>
      </w:r>
      <w:r w:rsidR="00B5460D" w:rsidRPr="00111B13">
        <w:rPr>
          <w:rFonts w:cs="Times New Roman"/>
        </w:rPr>
        <w:t xml:space="preserve">ienlaikus </w:t>
      </w:r>
      <w:r w:rsidR="00F54687" w:rsidRPr="00111B13">
        <w:rPr>
          <w:rFonts w:cs="Times New Roman"/>
        </w:rPr>
        <w:t>tiesa atzinusi</w:t>
      </w:r>
      <w:r w:rsidR="00B5460D" w:rsidRPr="00111B13">
        <w:rPr>
          <w:rFonts w:cs="Times New Roman"/>
        </w:rPr>
        <w:t>, ka vairāk</w:t>
      </w:r>
      <w:r w:rsidR="00956873" w:rsidRPr="00111B13">
        <w:rPr>
          <w:rFonts w:cs="Times New Roman"/>
        </w:rPr>
        <w:t xml:space="preserve">i </w:t>
      </w:r>
      <w:r w:rsidR="00F54687" w:rsidRPr="00111B13">
        <w:rPr>
          <w:rFonts w:cs="Times New Roman"/>
        </w:rPr>
        <w:t>prokurores apelācijas protest</w:t>
      </w:r>
      <w:r w:rsidR="00956873" w:rsidRPr="00111B13">
        <w:rPr>
          <w:rFonts w:cs="Times New Roman"/>
        </w:rPr>
        <w:t>a</w:t>
      </w:r>
      <w:r w:rsidR="00F54687" w:rsidRPr="00111B13">
        <w:rPr>
          <w:rFonts w:cs="Times New Roman"/>
        </w:rPr>
        <w:t xml:space="preserve"> un aizstāves </w:t>
      </w:r>
      <w:r w:rsidR="00B5460D" w:rsidRPr="00111B13">
        <w:rPr>
          <w:rFonts w:cs="Times New Roman"/>
        </w:rPr>
        <w:t>apelācijas sūdzīb</w:t>
      </w:r>
      <w:r w:rsidR="00956873" w:rsidRPr="00111B13">
        <w:rPr>
          <w:rFonts w:cs="Times New Roman"/>
        </w:rPr>
        <w:t>as</w:t>
      </w:r>
      <w:r w:rsidR="00B5460D" w:rsidRPr="00111B13">
        <w:rPr>
          <w:rFonts w:cs="Times New Roman"/>
        </w:rPr>
        <w:t xml:space="preserve"> </w:t>
      </w:r>
      <w:r w:rsidR="00956873" w:rsidRPr="00111B13">
        <w:rPr>
          <w:rFonts w:cs="Times New Roman"/>
        </w:rPr>
        <w:t>argumenti par</w:t>
      </w:r>
      <w:r w:rsidR="00B5460D" w:rsidRPr="00111B13">
        <w:rPr>
          <w:rFonts w:cs="Times New Roman"/>
        </w:rPr>
        <w:t xml:space="preserve"> Kriminālprocesa likuma pārkāpumi</w:t>
      </w:r>
      <w:r w:rsidR="00956873" w:rsidRPr="00111B13">
        <w:rPr>
          <w:rFonts w:cs="Times New Roman"/>
        </w:rPr>
        <w:t xml:space="preserve">em </w:t>
      </w:r>
      <w:r w:rsidR="00B5460D" w:rsidRPr="00111B13">
        <w:rPr>
          <w:rFonts w:cs="Times New Roman"/>
        </w:rPr>
        <w:t>saistī</w:t>
      </w:r>
      <w:r w:rsidR="00956873" w:rsidRPr="00111B13">
        <w:rPr>
          <w:rFonts w:cs="Times New Roman"/>
        </w:rPr>
        <w:t>bā</w:t>
      </w:r>
      <w:r w:rsidR="00B5460D" w:rsidRPr="00111B13">
        <w:rPr>
          <w:rFonts w:cs="Times New Roman"/>
        </w:rPr>
        <w:t xml:space="preserve"> ar pirmās instances tiesas sprieduma saturu ir pamatoti. Apelācijas instances tiesa nav </w:t>
      </w:r>
      <w:r w:rsidR="00956873" w:rsidRPr="00111B13">
        <w:rPr>
          <w:rFonts w:cs="Times New Roman"/>
        </w:rPr>
        <w:t>motivējusi</w:t>
      </w:r>
      <w:r w:rsidR="00B5460D" w:rsidRPr="00111B13">
        <w:rPr>
          <w:rFonts w:cs="Times New Roman"/>
        </w:rPr>
        <w:t xml:space="preserve">, kāpēc tā vērtē tikai daļu no apelācijas protesta un </w:t>
      </w:r>
      <w:r w:rsidR="00956873" w:rsidRPr="00111B13">
        <w:rPr>
          <w:rFonts w:cs="Times New Roman"/>
        </w:rPr>
        <w:t xml:space="preserve">apelācijas </w:t>
      </w:r>
      <w:r w:rsidR="00B5460D" w:rsidRPr="00111B13">
        <w:rPr>
          <w:rFonts w:cs="Times New Roman"/>
        </w:rPr>
        <w:t xml:space="preserve">sūdzību </w:t>
      </w:r>
      <w:r w:rsidR="00956873" w:rsidRPr="00111B13">
        <w:rPr>
          <w:rFonts w:cs="Times New Roman"/>
        </w:rPr>
        <w:t>argumentiem,</w:t>
      </w:r>
      <w:r w:rsidR="00B5460D" w:rsidRPr="00111B13">
        <w:rPr>
          <w:rFonts w:cs="Times New Roman"/>
        </w:rPr>
        <w:t xml:space="preserve"> </w:t>
      </w:r>
      <w:r w:rsidR="0048007A" w:rsidRPr="00111B13">
        <w:rPr>
          <w:rFonts w:cs="Times New Roman"/>
        </w:rPr>
        <w:t>un kāpēc pārējie argumenti netiek vērtēti. K</w:t>
      </w:r>
      <w:r w:rsidR="00B5460D" w:rsidRPr="00111B13">
        <w:rPr>
          <w:rFonts w:cs="Times New Roman"/>
        </w:rPr>
        <w:t xml:space="preserve">onstatējot Kriminālprocesa likuma </w:t>
      </w:r>
      <w:r w:rsidR="0048007A" w:rsidRPr="00111B13">
        <w:rPr>
          <w:rFonts w:cs="Times New Roman"/>
        </w:rPr>
        <w:t xml:space="preserve">būtisku </w:t>
      </w:r>
      <w:r w:rsidR="00B5460D" w:rsidRPr="00111B13">
        <w:rPr>
          <w:rFonts w:cs="Times New Roman"/>
        </w:rPr>
        <w:t>pārkāpumu, kuru nevar nov</w:t>
      </w:r>
      <w:r w:rsidR="00D236E0">
        <w:rPr>
          <w:rFonts w:cs="Times New Roman"/>
        </w:rPr>
        <w:t>ērst apelācijas instances tiesā</w:t>
      </w:r>
      <w:r w:rsidR="0048007A" w:rsidRPr="00111B13">
        <w:rPr>
          <w:rFonts w:cs="Times New Roman"/>
        </w:rPr>
        <w:t xml:space="preserve"> saistībā ar apsūdzētā tiesību uz aizstāvību pārkāpumu, </w:t>
      </w:r>
      <w:r w:rsidR="00F8765D" w:rsidRPr="00111B13">
        <w:rPr>
          <w:rFonts w:cs="Times New Roman"/>
        </w:rPr>
        <w:t xml:space="preserve">apelācijas instances </w:t>
      </w:r>
      <w:r w:rsidR="00B5460D" w:rsidRPr="00111B13">
        <w:rPr>
          <w:rFonts w:cs="Times New Roman"/>
        </w:rPr>
        <w:t xml:space="preserve">tiesa attiecībā uz pārējiem apelācijas protestā un </w:t>
      </w:r>
      <w:r w:rsidR="00F8765D" w:rsidRPr="00111B13">
        <w:rPr>
          <w:rFonts w:cs="Times New Roman"/>
        </w:rPr>
        <w:t xml:space="preserve">apelācijas </w:t>
      </w:r>
      <w:r w:rsidR="00B5460D" w:rsidRPr="00111B13">
        <w:rPr>
          <w:rFonts w:cs="Times New Roman"/>
        </w:rPr>
        <w:t>sūdzībā</w:t>
      </w:r>
      <w:r w:rsidR="00F8765D" w:rsidRPr="00111B13">
        <w:rPr>
          <w:rFonts w:cs="Times New Roman"/>
        </w:rPr>
        <w:t>s</w:t>
      </w:r>
      <w:r w:rsidR="00B5460D" w:rsidRPr="00111B13">
        <w:rPr>
          <w:rFonts w:cs="Times New Roman"/>
        </w:rPr>
        <w:t xml:space="preserve"> norādītajiem </w:t>
      </w:r>
      <w:r w:rsidR="00F8765D" w:rsidRPr="00111B13">
        <w:rPr>
          <w:rFonts w:cs="Times New Roman"/>
        </w:rPr>
        <w:t>likuma pārkāpumiem</w:t>
      </w:r>
      <w:r w:rsidR="00B5460D" w:rsidRPr="00111B13">
        <w:rPr>
          <w:rFonts w:cs="Times New Roman"/>
        </w:rPr>
        <w:t xml:space="preserve"> šādu secinājumu nav izdarījusi, tādējādi apliecinot, ka pārējos </w:t>
      </w:r>
      <w:r w:rsidR="00F8765D" w:rsidRPr="00111B13">
        <w:rPr>
          <w:rFonts w:cs="Times New Roman"/>
        </w:rPr>
        <w:t xml:space="preserve">likuma </w:t>
      </w:r>
      <w:r w:rsidR="00B5460D" w:rsidRPr="00111B13">
        <w:rPr>
          <w:rFonts w:cs="Times New Roman"/>
        </w:rPr>
        <w:t xml:space="preserve">pārkāpumus </w:t>
      </w:r>
      <w:r w:rsidR="00F8765D" w:rsidRPr="00111B13">
        <w:rPr>
          <w:rFonts w:cs="Times New Roman"/>
        </w:rPr>
        <w:t>ir</w:t>
      </w:r>
      <w:r w:rsidR="00B5460D" w:rsidRPr="00111B13">
        <w:rPr>
          <w:rFonts w:cs="Times New Roman"/>
        </w:rPr>
        <w:t xml:space="preserve"> iespējams novērst apelācijas instances tiesā.</w:t>
      </w:r>
      <w:r w:rsidR="00884B26">
        <w:rPr>
          <w:rFonts w:cs="Times New Roman"/>
        </w:rPr>
        <w:t xml:space="preserve"> </w:t>
      </w:r>
    </w:p>
    <w:p w14:paraId="1D2B1AA0" w14:textId="77777777" w:rsidR="00884B26" w:rsidRDefault="00884B26" w:rsidP="00884B26">
      <w:pPr>
        <w:spacing w:after="0" w:line="276" w:lineRule="auto"/>
        <w:ind w:firstLine="709"/>
        <w:jc w:val="both"/>
        <w:rPr>
          <w:rFonts w:cs="Times New Roman"/>
        </w:rPr>
      </w:pPr>
    </w:p>
    <w:p w14:paraId="38B9194F" w14:textId="028D88B5" w:rsidR="0066166E" w:rsidRDefault="00884B26" w:rsidP="0066166E">
      <w:pPr>
        <w:spacing w:after="0" w:line="276" w:lineRule="auto"/>
        <w:ind w:firstLine="709"/>
        <w:jc w:val="both"/>
        <w:rPr>
          <w:rFonts w:cs="Times New Roman"/>
        </w:rPr>
      </w:pPr>
      <w:r>
        <w:rPr>
          <w:rFonts w:cs="Times New Roman"/>
        </w:rPr>
        <w:t>[5] </w:t>
      </w:r>
      <w:r w:rsidR="00A64460" w:rsidRPr="00111B13">
        <w:rPr>
          <w:rFonts w:cs="Times New Roman"/>
        </w:rPr>
        <w:t xml:space="preserve">Par Rīgas apgabaltiesas </w:t>
      </w:r>
      <w:proofErr w:type="gramStart"/>
      <w:r w:rsidR="00A64460" w:rsidRPr="00111B13">
        <w:rPr>
          <w:rFonts w:cs="Times New Roman"/>
        </w:rPr>
        <w:t>2020.gada</w:t>
      </w:r>
      <w:proofErr w:type="gramEnd"/>
      <w:r w:rsidR="00A64460" w:rsidRPr="00111B13">
        <w:rPr>
          <w:rFonts w:cs="Times New Roman"/>
        </w:rPr>
        <w:t xml:space="preserve"> 2.novembra lēmumu cietušais </w:t>
      </w:r>
      <w:r w:rsidR="002A729A">
        <w:rPr>
          <w:rFonts w:cs="Times New Roman"/>
        </w:rPr>
        <w:t>[pers. A]</w:t>
      </w:r>
      <w:r w:rsidR="00A64460" w:rsidRPr="00111B13">
        <w:rPr>
          <w:rFonts w:cs="Times New Roman"/>
        </w:rPr>
        <w:t xml:space="preserve"> iesniedzis kasācijas sūdzību, </w:t>
      </w:r>
      <w:r w:rsidR="001748B7" w:rsidRPr="00111B13">
        <w:rPr>
          <w:rFonts w:cs="Times New Roman"/>
        </w:rPr>
        <w:t>kurā lūdz atcelt tiesas lēmumu daļā par mākslinieces A</w:t>
      </w:r>
      <w:r w:rsidR="009A1CE0">
        <w:rPr>
          <w:rFonts w:cs="Times New Roman"/>
        </w:rPr>
        <w:t>. </w:t>
      </w:r>
      <w:r w:rsidR="001748B7" w:rsidRPr="00111B13">
        <w:rPr>
          <w:rFonts w:cs="Times New Roman"/>
        </w:rPr>
        <w:t>Be</w:t>
      </w:r>
      <w:r w:rsidR="009A1CE0">
        <w:rPr>
          <w:rFonts w:cs="Times New Roman"/>
        </w:rPr>
        <w:t>ļcovas porcelāna sienas šķīvja ,,</w:t>
      </w:r>
      <w:r w:rsidR="001748B7" w:rsidRPr="00111B13">
        <w:rPr>
          <w:rFonts w:cs="Times New Roman"/>
        </w:rPr>
        <w:t>B</w:t>
      </w:r>
      <w:r w:rsidR="009A1CE0">
        <w:rPr>
          <w:rFonts w:cs="Times New Roman"/>
        </w:rPr>
        <w:t>rīnumputns” (ar citu nosaukumu ,,</w:t>
      </w:r>
      <w:r w:rsidR="001748B7" w:rsidRPr="00111B13">
        <w:rPr>
          <w:rFonts w:cs="Times New Roman"/>
        </w:rPr>
        <w:t xml:space="preserve">Meitene ar pāvu”) atrašanos Jelgavas Vēstures un mākslas muzejā, atstājot </w:t>
      </w:r>
      <w:r w:rsidR="003433D3" w:rsidRPr="00111B13">
        <w:rPr>
          <w:rFonts w:cs="Times New Roman"/>
        </w:rPr>
        <w:t xml:space="preserve">šo </w:t>
      </w:r>
      <w:r w:rsidR="0092073C" w:rsidRPr="00111B13">
        <w:rPr>
          <w:rFonts w:cs="Times New Roman"/>
        </w:rPr>
        <w:t xml:space="preserve">sienas </w:t>
      </w:r>
      <w:r w:rsidR="001748B7" w:rsidRPr="00111B13">
        <w:rPr>
          <w:rFonts w:cs="Times New Roman"/>
        </w:rPr>
        <w:t>šķīvi cietušā</w:t>
      </w:r>
      <w:r w:rsidR="003433D3" w:rsidRPr="00111B13">
        <w:rPr>
          <w:rFonts w:cs="Times New Roman"/>
        </w:rPr>
        <w:t xml:space="preserve"> </w:t>
      </w:r>
      <w:r w:rsidR="002A729A">
        <w:rPr>
          <w:rFonts w:cs="Times New Roman"/>
        </w:rPr>
        <w:t>[pers. A]</w:t>
      </w:r>
      <w:r w:rsidR="001748B7" w:rsidRPr="00111B13">
        <w:rPr>
          <w:rFonts w:cs="Times New Roman"/>
        </w:rPr>
        <w:t xml:space="preserve"> atbildīgā glabāšanā, </w:t>
      </w:r>
      <w:r w:rsidR="003433D3" w:rsidRPr="00111B13">
        <w:rPr>
          <w:rFonts w:cs="Times New Roman"/>
        </w:rPr>
        <w:t xml:space="preserve">un </w:t>
      </w:r>
      <w:r w:rsidR="004D225D">
        <w:rPr>
          <w:rFonts w:cs="Times New Roman"/>
        </w:rPr>
        <w:t>nosūtīt lietu jaunai izsk</w:t>
      </w:r>
      <w:r w:rsidR="001748B7" w:rsidRPr="00111B13">
        <w:rPr>
          <w:rFonts w:cs="Times New Roman"/>
        </w:rPr>
        <w:t>atīšanai pirmās instances tiesā.</w:t>
      </w:r>
      <w:r w:rsidR="0066166E">
        <w:rPr>
          <w:rFonts w:cs="Times New Roman"/>
        </w:rPr>
        <w:t xml:space="preserve"> </w:t>
      </w:r>
    </w:p>
    <w:p w14:paraId="4DEC84BC" w14:textId="77777777" w:rsidR="00934F4B" w:rsidRDefault="00EF4798" w:rsidP="00934F4B">
      <w:pPr>
        <w:spacing w:after="0" w:line="276" w:lineRule="auto"/>
        <w:ind w:firstLine="709"/>
        <w:jc w:val="both"/>
        <w:rPr>
          <w:rFonts w:cs="Times New Roman"/>
        </w:rPr>
      </w:pPr>
      <w:r w:rsidRPr="00111B13">
        <w:rPr>
          <w:rFonts w:cs="Times New Roman"/>
        </w:rPr>
        <w:lastRenderedPageBreak/>
        <w:t xml:space="preserve">Savu lūgumu cietušais pamatojis ar šādiem </w:t>
      </w:r>
      <w:r w:rsidR="002C4F24" w:rsidRPr="00111B13">
        <w:rPr>
          <w:rFonts w:cs="Times New Roman"/>
        </w:rPr>
        <w:t>argumentiem.</w:t>
      </w:r>
      <w:r w:rsidR="00934F4B">
        <w:rPr>
          <w:rFonts w:cs="Times New Roman"/>
        </w:rPr>
        <w:t xml:space="preserve"> </w:t>
      </w:r>
    </w:p>
    <w:p w14:paraId="1CF6F7A1" w14:textId="4B4AE983" w:rsidR="002C4F24" w:rsidRPr="00934F4B" w:rsidRDefault="0041524C" w:rsidP="00934F4B">
      <w:pPr>
        <w:spacing w:after="0" w:line="276" w:lineRule="auto"/>
        <w:ind w:firstLine="709"/>
        <w:jc w:val="both"/>
        <w:rPr>
          <w:rFonts w:eastAsia="Calibri" w:cs="Times New Roman"/>
          <w:szCs w:val="24"/>
        </w:rPr>
      </w:pPr>
      <w:r w:rsidRPr="00111B13">
        <w:rPr>
          <w:rFonts w:cs="Times New Roman"/>
        </w:rPr>
        <w:t>Rīgas tiesas apgabala prokurore V</w:t>
      </w:r>
      <w:r w:rsidR="00B11944" w:rsidRPr="00111B13">
        <w:rPr>
          <w:rFonts w:cs="Times New Roman"/>
        </w:rPr>
        <w:t>ita</w:t>
      </w:r>
      <w:r w:rsidR="00A83B67" w:rsidRPr="00111B13">
        <w:rPr>
          <w:rFonts w:cs="Times New Roman"/>
        </w:rPr>
        <w:t> </w:t>
      </w:r>
      <w:proofErr w:type="spellStart"/>
      <w:r w:rsidRPr="00111B13">
        <w:rPr>
          <w:rFonts w:cs="Times New Roman"/>
        </w:rPr>
        <w:t>Hutore</w:t>
      </w:r>
      <w:proofErr w:type="spellEnd"/>
      <w:r w:rsidRPr="00111B13">
        <w:rPr>
          <w:rFonts w:cs="Times New Roman"/>
        </w:rPr>
        <w:t xml:space="preserve"> </w:t>
      </w:r>
      <w:proofErr w:type="gramStart"/>
      <w:r w:rsidRPr="00111B13">
        <w:rPr>
          <w:rFonts w:cs="Times New Roman"/>
        </w:rPr>
        <w:t>2014.gada</w:t>
      </w:r>
      <w:proofErr w:type="gramEnd"/>
      <w:r w:rsidRPr="00111B13">
        <w:rPr>
          <w:rFonts w:cs="Times New Roman"/>
        </w:rPr>
        <w:t xml:space="preserve"> 27.novembrī pieņēma lēmumu par aresta uzlikšanu </w:t>
      </w:r>
      <w:r w:rsidR="00B11944" w:rsidRPr="00111B13">
        <w:rPr>
          <w:rFonts w:cs="Times New Roman"/>
        </w:rPr>
        <w:t xml:space="preserve">mākslinieces </w:t>
      </w:r>
      <w:r w:rsidRPr="00111B13">
        <w:rPr>
          <w:rFonts w:cs="Times New Roman"/>
        </w:rPr>
        <w:t>A.</w:t>
      </w:r>
      <w:r w:rsidR="003375E7">
        <w:rPr>
          <w:rFonts w:cs="Times New Roman"/>
        </w:rPr>
        <w:t> Beļco</w:t>
      </w:r>
      <w:r w:rsidRPr="00111B13">
        <w:rPr>
          <w:rFonts w:cs="Times New Roman"/>
        </w:rPr>
        <w:t xml:space="preserve">vas porcelāna </w:t>
      </w:r>
      <w:r w:rsidR="00B11944" w:rsidRPr="00111B13">
        <w:rPr>
          <w:rFonts w:cs="Times New Roman"/>
        </w:rPr>
        <w:t xml:space="preserve">sienas </w:t>
      </w:r>
      <w:r w:rsidR="003375E7">
        <w:rPr>
          <w:rFonts w:cs="Times New Roman"/>
        </w:rPr>
        <w:t>šķīvim ,,</w:t>
      </w:r>
      <w:r w:rsidRPr="00111B13">
        <w:rPr>
          <w:rFonts w:cs="Times New Roman"/>
        </w:rPr>
        <w:t>Brīnumputns”</w:t>
      </w:r>
      <w:r w:rsidR="00E75258" w:rsidRPr="00111B13">
        <w:rPr>
          <w:rFonts w:cs="Times New Roman"/>
        </w:rPr>
        <w:t xml:space="preserve">, ko </w:t>
      </w:r>
      <w:r w:rsidRPr="00111B13">
        <w:rPr>
          <w:rFonts w:cs="Times New Roman"/>
        </w:rPr>
        <w:t>apstiprināja Rīgas pilsētas Centra rajona tiesas tiesnese K</w:t>
      </w:r>
      <w:r w:rsidR="00E75258" w:rsidRPr="00111B13">
        <w:rPr>
          <w:rFonts w:cs="Times New Roman"/>
        </w:rPr>
        <w:t>arīna</w:t>
      </w:r>
      <w:r w:rsidR="00A83B67" w:rsidRPr="00111B13">
        <w:rPr>
          <w:rFonts w:cs="Times New Roman"/>
        </w:rPr>
        <w:t> </w:t>
      </w:r>
      <w:proofErr w:type="spellStart"/>
      <w:r w:rsidRPr="00111B13">
        <w:rPr>
          <w:rFonts w:cs="Times New Roman"/>
        </w:rPr>
        <w:t>Kraveca</w:t>
      </w:r>
      <w:proofErr w:type="spellEnd"/>
      <w:r w:rsidRPr="00111B13">
        <w:rPr>
          <w:rFonts w:cs="Times New Roman"/>
        </w:rPr>
        <w:t xml:space="preserve">. </w:t>
      </w:r>
      <w:r w:rsidR="00A55476" w:rsidRPr="00111B13">
        <w:rPr>
          <w:rFonts w:cs="Times New Roman"/>
        </w:rPr>
        <w:t xml:space="preserve">Ievērojot to, ka minētais sienas šķīvis tobrīd atradās Jelgavas Vēstures un mākslas muzejā, </w:t>
      </w:r>
      <w:r w:rsidR="00E75258" w:rsidRPr="00111B13">
        <w:rPr>
          <w:rFonts w:cs="Times New Roman"/>
        </w:rPr>
        <w:t xml:space="preserve">šis </w:t>
      </w:r>
      <w:r w:rsidRPr="00111B13">
        <w:rPr>
          <w:rFonts w:cs="Times New Roman"/>
        </w:rPr>
        <w:t xml:space="preserve">lēmums </w:t>
      </w:r>
      <w:r w:rsidR="00E75258" w:rsidRPr="00111B13">
        <w:rPr>
          <w:rFonts w:cs="Times New Roman"/>
        </w:rPr>
        <w:t xml:space="preserve">tika </w:t>
      </w:r>
      <w:r w:rsidRPr="00111B13">
        <w:rPr>
          <w:rFonts w:cs="Times New Roman"/>
        </w:rPr>
        <w:t xml:space="preserve">paziņots Jelgavas Vēstures un mākslas muzeja direktorei </w:t>
      </w:r>
      <w:r w:rsidR="002A729A">
        <w:rPr>
          <w:rFonts w:cs="Times New Roman"/>
        </w:rPr>
        <w:t>[pers. D]</w:t>
      </w:r>
      <w:r w:rsidR="00A55476" w:rsidRPr="00111B13">
        <w:rPr>
          <w:rFonts w:cs="Times New Roman"/>
        </w:rPr>
        <w:t xml:space="preserve"> un </w:t>
      </w:r>
      <w:proofErr w:type="gramStart"/>
      <w:r w:rsidR="002F7511" w:rsidRPr="00111B13">
        <w:rPr>
          <w:rFonts w:cs="Times New Roman"/>
        </w:rPr>
        <w:t>2014.gada</w:t>
      </w:r>
      <w:proofErr w:type="gramEnd"/>
      <w:r w:rsidR="002F7511" w:rsidRPr="00111B13">
        <w:rPr>
          <w:rFonts w:cs="Times New Roman"/>
        </w:rPr>
        <w:t xml:space="preserve"> 4.decembrī </w:t>
      </w:r>
      <w:r w:rsidR="00A55476" w:rsidRPr="00111B13">
        <w:rPr>
          <w:rFonts w:cs="Times New Roman"/>
        </w:rPr>
        <w:t>tika sastādīts protokols par aresta uzlikšanu sienas šķīv</w:t>
      </w:r>
      <w:r w:rsidR="002F7511" w:rsidRPr="00111B13">
        <w:rPr>
          <w:rFonts w:cs="Times New Roman"/>
        </w:rPr>
        <w:t>im</w:t>
      </w:r>
      <w:r w:rsidR="003F1F54" w:rsidRPr="00111B13">
        <w:rPr>
          <w:rFonts w:cs="Times New Roman"/>
        </w:rPr>
        <w:t>. Saskaņā ar šo protokolu sienas šķīvis</w:t>
      </w:r>
      <w:r w:rsidR="00F10638" w:rsidRPr="00111B13">
        <w:rPr>
          <w:rFonts w:cs="Times New Roman"/>
        </w:rPr>
        <w:t xml:space="preserve"> </w:t>
      </w:r>
      <w:r w:rsidR="002F7511" w:rsidRPr="00111B13">
        <w:rPr>
          <w:rFonts w:cs="Times New Roman"/>
        </w:rPr>
        <w:t xml:space="preserve">tika nodots </w:t>
      </w:r>
      <w:r w:rsidR="002A729A">
        <w:rPr>
          <w:rFonts w:cs="Times New Roman"/>
        </w:rPr>
        <w:t>[pers. A]</w:t>
      </w:r>
      <w:r w:rsidR="002F7511" w:rsidRPr="00111B13">
        <w:rPr>
          <w:rFonts w:cs="Times New Roman"/>
        </w:rPr>
        <w:t xml:space="preserve"> atbildīgā glabāšanā.</w:t>
      </w:r>
      <w:r w:rsidR="00F10638" w:rsidRPr="00111B13">
        <w:rPr>
          <w:rFonts w:cs="Times New Roman"/>
        </w:rPr>
        <w:t xml:space="preserve"> Ievērojot to, ka ne </w:t>
      </w:r>
      <w:r w:rsidR="00C10540" w:rsidRPr="00111B13">
        <w:rPr>
          <w:rFonts w:cs="Times New Roman"/>
        </w:rPr>
        <w:t>apelācijas protestā</w:t>
      </w:r>
      <w:r w:rsidR="00F10638" w:rsidRPr="00111B13">
        <w:rPr>
          <w:rFonts w:cs="Times New Roman"/>
        </w:rPr>
        <w:t>, ne apelācijas sūdzībās</w:t>
      </w:r>
      <w:r w:rsidR="00C10540" w:rsidRPr="00111B13">
        <w:rPr>
          <w:rFonts w:cs="Times New Roman"/>
        </w:rPr>
        <w:t xml:space="preserve"> netika izteiks lūgums </w:t>
      </w:r>
      <w:r w:rsidR="00F10638" w:rsidRPr="00111B13">
        <w:rPr>
          <w:rFonts w:cs="Times New Roman"/>
        </w:rPr>
        <w:t>atkārtoti izskatīt</w:t>
      </w:r>
      <w:r w:rsidR="00C10540" w:rsidRPr="00111B13">
        <w:rPr>
          <w:rFonts w:cs="Times New Roman"/>
        </w:rPr>
        <w:t xml:space="preserve"> jautājumu par</w:t>
      </w:r>
      <w:r w:rsidR="00F10638" w:rsidRPr="00111B13">
        <w:rPr>
          <w:rFonts w:cs="Times New Roman"/>
        </w:rPr>
        <w:t xml:space="preserve"> sienas </w:t>
      </w:r>
      <w:r w:rsidR="00C10540" w:rsidRPr="00111B13">
        <w:rPr>
          <w:rFonts w:cs="Times New Roman"/>
        </w:rPr>
        <w:t xml:space="preserve">šķīvja atbildīgo </w:t>
      </w:r>
      <w:r w:rsidR="00F10638" w:rsidRPr="00111B13">
        <w:rPr>
          <w:rFonts w:cs="Times New Roman"/>
        </w:rPr>
        <w:t xml:space="preserve">glabātāju un </w:t>
      </w:r>
      <w:r w:rsidR="00C10540" w:rsidRPr="00111B13">
        <w:rPr>
          <w:rFonts w:cs="Times New Roman"/>
        </w:rPr>
        <w:t xml:space="preserve">atrašanās vietu, </w:t>
      </w:r>
      <w:r w:rsidR="003F1F54" w:rsidRPr="00111B13">
        <w:rPr>
          <w:rFonts w:cs="Times New Roman"/>
        </w:rPr>
        <w:t xml:space="preserve">apelācijas instances tiesa, pieņemot lēmumu grozīt sienas šķīvja atbildīgo glabātāju un atrašanās vietu, </w:t>
      </w:r>
      <w:r w:rsidR="003750E1" w:rsidRPr="00111B13">
        <w:rPr>
          <w:rFonts w:cs="Times New Roman"/>
        </w:rPr>
        <w:t xml:space="preserve">nav ievērojusi </w:t>
      </w:r>
      <w:r w:rsidR="00C10540" w:rsidRPr="00111B13">
        <w:rPr>
          <w:rFonts w:cs="Times New Roman"/>
        </w:rPr>
        <w:t>Kriminālprocesa likuma</w:t>
      </w:r>
      <w:r w:rsidRPr="00111B13">
        <w:rPr>
          <w:rFonts w:cs="Times New Roman"/>
        </w:rPr>
        <w:t xml:space="preserve"> </w:t>
      </w:r>
      <w:proofErr w:type="gramStart"/>
      <w:r w:rsidR="00C10540" w:rsidRPr="00111B13">
        <w:rPr>
          <w:rFonts w:cs="Times New Roman"/>
        </w:rPr>
        <w:t>562.panta</w:t>
      </w:r>
      <w:proofErr w:type="gramEnd"/>
      <w:r w:rsidR="00C10540" w:rsidRPr="00111B13">
        <w:rPr>
          <w:rFonts w:cs="Times New Roman"/>
        </w:rPr>
        <w:t xml:space="preserve"> pirm</w:t>
      </w:r>
      <w:r w:rsidR="003F1F54" w:rsidRPr="00111B13">
        <w:rPr>
          <w:rFonts w:cs="Times New Roman"/>
        </w:rPr>
        <w:t>ajā</w:t>
      </w:r>
      <w:r w:rsidR="00C10540" w:rsidRPr="00111B13">
        <w:rPr>
          <w:rFonts w:cs="Times New Roman"/>
        </w:rPr>
        <w:t xml:space="preserve"> daļ</w:t>
      </w:r>
      <w:r w:rsidR="003F1F54" w:rsidRPr="00111B13">
        <w:rPr>
          <w:rFonts w:cs="Times New Roman"/>
        </w:rPr>
        <w:t>ā n</w:t>
      </w:r>
      <w:r w:rsidR="003750E1" w:rsidRPr="00111B13">
        <w:rPr>
          <w:rFonts w:cs="Times New Roman"/>
        </w:rPr>
        <w:t>orādīto</w:t>
      </w:r>
      <w:r w:rsidR="003F1F54" w:rsidRPr="00111B13">
        <w:rPr>
          <w:rFonts w:cs="Times New Roman"/>
        </w:rPr>
        <w:t xml:space="preserve"> apjo</w:t>
      </w:r>
      <w:r w:rsidR="00077576">
        <w:rPr>
          <w:rFonts w:cs="Times New Roman"/>
        </w:rPr>
        <w:t>mu, kādā lieta iztiesājama</w:t>
      </w:r>
      <w:r w:rsidR="003F1F54" w:rsidRPr="00111B13">
        <w:rPr>
          <w:rFonts w:cs="Times New Roman"/>
        </w:rPr>
        <w:t xml:space="preserve"> apelācijas instances tiesā</w:t>
      </w:r>
      <w:r w:rsidR="003750E1" w:rsidRPr="00111B13">
        <w:rPr>
          <w:rFonts w:cs="Times New Roman"/>
        </w:rPr>
        <w:t>, kā arī pārkāpusi Kriminālprocesa likuma 12., 15., 16., 18. un 22.pantā noteiktās cietušā tiesības. Turklāt šādu lēmumu apelācijas instances tiesa pieņēmusi bez jebkāda pamatojuma, jo</w:t>
      </w:r>
      <w:r w:rsidR="003F1F54" w:rsidRPr="00111B13">
        <w:rPr>
          <w:rFonts w:cs="Times New Roman"/>
        </w:rPr>
        <w:t xml:space="preserve"> </w:t>
      </w:r>
      <w:r w:rsidR="00C10540" w:rsidRPr="00111B13">
        <w:rPr>
          <w:rFonts w:cs="Times New Roman"/>
        </w:rPr>
        <w:t xml:space="preserve">apelācijas instances tiesas sēdē jautājums par </w:t>
      </w:r>
      <w:r w:rsidR="003750E1" w:rsidRPr="00111B13">
        <w:rPr>
          <w:rFonts w:cs="Times New Roman"/>
        </w:rPr>
        <w:t xml:space="preserve">sienas </w:t>
      </w:r>
      <w:r w:rsidR="00C10540" w:rsidRPr="00111B13">
        <w:rPr>
          <w:rFonts w:cs="Times New Roman"/>
        </w:rPr>
        <w:t>šķīvja atrašanās vietas iespējamo maiņu</w:t>
      </w:r>
      <w:r w:rsidR="003750E1" w:rsidRPr="00111B13">
        <w:rPr>
          <w:rFonts w:cs="Times New Roman"/>
        </w:rPr>
        <w:t xml:space="preserve"> un</w:t>
      </w:r>
      <w:r w:rsidR="00C10540" w:rsidRPr="00111B13">
        <w:rPr>
          <w:rFonts w:cs="Times New Roman"/>
        </w:rPr>
        <w:t xml:space="preserve"> tā iespējamo izņemšanu no cietušā atbildīgās glabāšanas</w:t>
      </w:r>
      <w:r w:rsidR="003750E1" w:rsidRPr="00111B13">
        <w:rPr>
          <w:rFonts w:cs="Times New Roman"/>
        </w:rPr>
        <w:t xml:space="preserve"> netika izvērtēts</w:t>
      </w:r>
      <w:r w:rsidR="00DB2B1B" w:rsidRPr="00111B13">
        <w:rPr>
          <w:rFonts w:cs="Times New Roman"/>
        </w:rPr>
        <w:t xml:space="preserve"> un arī tiesas lēmumā nav</w:t>
      </w:r>
      <w:r w:rsidR="00160C02" w:rsidRPr="00111B13">
        <w:rPr>
          <w:rFonts w:cs="Times New Roman"/>
        </w:rPr>
        <w:t xml:space="preserve"> norādīti nekādi pierādījumi, kas varētu apstiprināt tiesas atzinumu par sienas šķīvja atrašanās vietu Jelgavas Vēstures un mākslas muzejā.</w:t>
      </w:r>
    </w:p>
    <w:p w14:paraId="03D324FB" w14:textId="77777777" w:rsidR="005738CD" w:rsidRPr="00111B13" w:rsidRDefault="005738CD" w:rsidP="003C3ED0">
      <w:pPr>
        <w:spacing w:line="276" w:lineRule="auto"/>
        <w:contextualSpacing/>
        <w:rPr>
          <w:rFonts w:cs="Times New Roman"/>
          <w:szCs w:val="24"/>
        </w:rPr>
      </w:pPr>
    </w:p>
    <w:p w14:paraId="2989F622" w14:textId="39895E97" w:rsidR="00424471" w:rsidRPr="00111B13" w:rsidRDefault="00424471" w:rsidP="00A93D59">
      <w:pPr>
        <w:spacing w:line="276" w:lineRule="auto"/>
        <w:contextualSpacing/>
        <w:jc w:val="center"/>
        <w:rPr>
          <w:rFonts w:cs="Times New Roman"/>
          <w:b/>
          <w:color w:val="000000" w:themeColor="text1"/>
          <w:szCs w:val="24"/>
        </w:rPr>
      </w:pPr>
      <w:r w:rsidRPr="00111B13">
        <w:rPr>
          <w:rFonts w:cs="Times New Roman"/>
          <w:b/>
          <w:color w:val="000000" w:themeColor="text1"/>
          <w:szCs w:val="24"/>
        </w:rPr>
        <w:t>Motīvu daļa</w:t>
      </w:r>
    </w:p>
    <w:p w14:paraId="65FE9993" w14:textId="73568A9E" w:rsidR="005738CD" w:rsidRPr="00111B13" w:rsidRDefault="005738CD" w:rsidP="00807481">
      <w:pPr>
        <w:spacing w:line="276" w:lineRule="auto"/>
        <w:contextualSpacing/>
        <w:rPr>
          <w:rFonts w:cs="Times New Roman"/>
          <w:b/>
          <w:color w:val="000000" w:themeColor="text1"/>
          <w:szCs w:val="24"/>
        </w:rPr>
      </w:pPr>
    </w:p>
    <w:p w14:paraId="59107B52" w14:textId="299AB517" w:rsidR="00A96954" w:rsidRPr="00111B13" w:rsidRDefault="005738CD" w:rsidP="001A31B5">
      <w:pPr>
        <w:autoSpaceDE w:val="0"/>
        <w:autoSpaceDN w:val="0"/>
        <w:adjustRightInd w:val="0"/>
        <w:spacing w:after="0" w:line="276" w:lineRule="auto"/>
        <w:ind w:firstLine="720"/>
        <w:jc w:val="both"/>
        <w:rPr>
          <w:rFonts w:cs="Times New Roman"/>
          <w:szCs w:val="24"/>
        </w:rPr>
      </w:pPr>
      <w:bookmarkStart w:id="3" w:name="_Hlk39751883"/>
      <w:r w:rsidRPr="00111B13">
        <w:rPr>
          <w:rFonts w:eastAsia="Calibri" w:cs="Times New Roman"/>
          <w:szCs w:val="24"/>
        </w:rPr>
        <w:t>[</w:t>
      </w:r>
      <w:r w:rsidR="00D03804" w:rsidRPr="00111B13">
        <w:rPr>
          <w:rFonts w:eastAsia="Calibri" w:cs="Times New Roman"/>
          <w:szCs w:val="24"/>
        </w:rPr>
        <w:t>6</w:t>
      </w:r>
      <w:r w:rsidRPr="00111B13">
        <w:rPr>
          <w:rFonts w:eastAsia="Calibri" w:cs="Times New Roman"/>
          <w:szCs w:val="24"/>
        </w:rPr>
        <w:t>]</w:t>
      </w:r>
      <w:bookmarkEnd w:id="3"/>
      <w:r w:rsidR="00E3015D">
        <w:rPr>
          <w:rFonts w:eastAsia="Calibri" w:cs="Times New Roman"/>
          <w:szCs w:val="24"/>
        </w:rPr>
        <w:t> </w:t>
      </w:r>
      <w:r w:rsidRPr="00111B13">
        <w:rPr>
          <w:rFonts w:eastAsia="Calibri" w:cs="Times New Roman"/>
          <w:szCs w:val="24"/>
        </w:rPr>
        <w:t xml:space="preserve">Senāts atzīst, ka </w:t>
      </w:r>
      <w:r w:rsidR="008B240C" w:rsidRPr="00111B13">
        <w:rPr>
          <w:rFonts w:eastAsia="Calibri" w:cs="Times New Roman"/>
          <w:szCs w:val="24"/>
        </w:rPr>
        <w:t>Rīgas</w:t>
      </w:r>
      <w:r w:rsidRPr="00111B13">
        <w:rPr>
          <w:rFonts w:eastAsia="Calibri" w:cs="Times New Roman"/>
          <w:szCs w:val="24"/>
        </w:rPr>
        <w:t xml:space="preserve"> apgabaltiesas </w:t>
      </w:r>
      <w:proofErr w:type="gramStart"/>
      <w:r w:rsidRPr="00111B13">
        <w:rPr>
          <w:rFonts w:eastAsia="Calibri" w:cs="Times New Roman"/>
          <w:szCs w:val="24"/>
        </w:rPr>
        <w:t>202</w:t>
      </w:r>
      <w:r w:rsidR="008B240C" w:rsidRPr="00111B13">
        <w:rPr>
          <w:rFonts w:eastAsia="Calibri" w:cs="Times New Roman"/>
          <w:szCs w:val="24"/>
        </w:rPr>
        <w:t>0</w:t>
      </w:r>
      <w:r w:rsidRPr="00111B13">
        <w:rPr>
          <w:rFonts w:eastAsia="Calibri" w:cs="Times New Roman"/>
          <w:szCs w:val="24"/>
        </w:rPr>
        <w:t>.gada</w:t>
      </w:r>
      <w:proofErr w:type="gramEnd"/>
      <w:r w:rsidRPr="00111B13">
        <w:rPr>
          <w:rFonts w:eastAsia="Calibri" w:cs="Times New Roman"/>
          <w:szCs w:val="24"/>
        </w:rPr>
        <w:t xml:space="preserve"> </w:t>
      </w:r>
      <w:r w:rsidR="008B240C" w:rsidRPr="00111B13">
        <w:rPr>
          <w:rFonts w:eastAsia="Calibri" w:cs="Times New Roman"/>
          <w:szCs w:val="24"/>
        </w:rPr>
        <w:t>2</w:t>
      </w:r>
      <w:r w:rsidRPr="00111B13">
        <w:rPr>
          <w:rFonts w:eastAsia="Calibri" w:cs="Times New Roman"/>
          <w:szCs w:val="24"/>
        </w:rPr>
        <w:t>.</w:t>
      </w:r>
      <w:r w:rsidR="008B240C" w:rsidRPr="00111B13">
        <w:rPr>
          <w:rFonts w:eastAsia="Calibri" w:cs="Times New Roman"/>
          <w:szCs w:val="24"/>
        </w:rPr>
        <w:t>novembra</w:t>
      </w:r>
      <w:r w:rsidR="005651EE">
        <w:rPr>
          <w:rFonts w:eastAsia="Calibri" w:cs="Times New Roman"/>
          <w:szCs w:val="24"/>
        </w:rPr>
        <w:t xml:space="preserve"> lēmums</w:t>
      </w:r>
      <w:r w:rsidR="00A96954" w:rsidRPr="00111B13">
        <w:rPr>
          <w:rFonts w:cs="Times New Roman"/>
          <w:szCs w:val="24"/>
        </w:rPr>
        <w:t xml:space="preserve"> atstājams negrozīts, bet </w:t>
      </w:r>
      <w:r w:rsidR="008B240C" w:rsidRPr="00111B13">
        <w:rPr>
          <w:rFonts w:cs="Times New Roman"/>
          <w:szCs w:val="24"/>
        </w:rPr>
        <w:t>Rīgas</w:t>
      </w:r>
      <w:r w:rsidR="00A96954" w:rsidRPr="00111B13">
        <w:rPr>
          <w:rFonts w:cs="Times New Roman"/>
          <w:szCs w:val="24"/>
        </w:rPr>
        <w:t xml:space="preserve"> tiesas apgabala prokuratūras prokurora </w:t>
      </w:r>
      <w:r w:rsidR="008B240C" w:rsidRPr="00111B13">
        <w:rPr>
          <w:rFonts w:cs="Times New Roman"/>
          <w:szCs w:val="24"/>
        </w:rPr>
        <w:t>A</w:t>
      </w:r>
      <w:r w:rsidR="002B14FE" w:rsidRPr="00111B13">
        <w:rPr>
          <w:rFonts w:cs="Times New Roman"/>
          <w:szCs w:val="24"/>
        </w:rPr>
        <w:t>.</w:t>
      </w:r>
      <w:r w:rsidR="005651EE">
        <w:rPr>
          <w:rFonts w:cs="Times New Roman"/>
          <w:szCs w:val="24"/>
        </w:rPr>
        <w:t> </w:t>
      </w:r>
      <w:proofErr w:type="spellStart"/>
      <w:r w:rsidR="008B240C" w:rsidRPr="00111B13">
        <w:rPr>
          <w:rFonts w:cs="Times New Roman"/>
          <w:szCs w:val="24"/>
        </w:rPr>
        <w:t>Meistera</w:t>
      </w:r>
      <w:proofErr w:type="spellEnd"/>
      <w:r w:rsidR="00A96954" w:rsidRPr="00111B13">
        <w:rPr>
          <w:rFonts w:cs="Times New Roman"/>
          <w:szCs w:val="24"/>
        </w:rPr>
        <w:t xml:space="preserve"> kasācijas protests</w:t>
      </w:r>
      <w:r w:rsidR="00772C8F">
        <w:rPr>
          <w:rFonts w:cs="Times New Roman"/>
          <w:szCs w:val="24"/>
        </w:rPr>
        <w:t xml:space="preserve"> un</w:t>
      </w:r>
      <w:r w:rsidR="008B240C" w:rsidRPr="00111B13">
        <w:rPr>
          <w:rFonts w:cs="Times New Roman"/>
          <w:szCs w:val="24"/>
        </w:rPr>
        <w:t xml:space="preserve"> cietušā </w:t>
      </w:r>
      <w:r w:rsidR="002A729A">
        <w:rPr>
          <w:rFonts w:cs="Times New Roman"/>
          <w:szCs w:val="24"/>
        </w:rPr>
        <w:t>[pers. A]</w:t>
      </w:r>
      <w:r w:rsidR="008B240C" w:rsidRPr="00111B13">
        <w:rPr>
          <w:rFonts w:cs="Times New Roman"/>
          <w:szCs w:val="24"/>
        </w:rPr>
        <w:t xml:space="preserve"> kasācijas sūdzība</w:t>
      </w:r>
      <w:r w:rsidR="00A96954" w:rsidRPr="00111B13">
        <w:rPr>
          <w:rFonts w:cs="Times New Roman"/>
          <w:szCs w:val="24"/>
        </w:rPr>
        <w:t xml:space="preserve"> noraidām</w:t>
      </w:r>
      <w:r w:rsidR="002A241A" w:rsidRPr="00111B13">
        <w:rPr>
          <w:rFonts w:cs="Times New Roman"/>
          <w:szCs w:val="24"/>
        </w:rPr>
        <w:t>i</w:t>
      </w:r>
      <w:r w:rsidR="00A96954" w:rsidRPr="00111B13">
        <w:rPr>
          <w:rFonts w:cs="Times New Roman"/>
          <w:szCs w:val="24"/>
        </w:rPr>
        <w:t>.</w:t>
      </w:r>
    </w:p>
    <w:p w14:paraId="5A0264E8" w14:textId="77777777" w:rsidR="00A15E97" w:rsidRDefault="00772C8F" w:rsidP="00A15E97">
      <w:pPr>
        <w:autoSpaceDE w:val="0"/>
        <w:autoSpaceDN w:val="0"/>
        <w:adjustRightInd w:val="0"/>
        <w:spacing w:after="0" w:line="276" w:lineRule="auto"/>
        <w:ind w:firstLine="720"/>
        <w:jc w:val="both"/>
        <w:rPr>
          <w:rFonts w:cs="Times New Roman"/>
        </w:rPr>
      </w:pPr>
      <w:r>
        <w:rPr>
          <w:rFonts w:cs="Times New Roman"/>
          <w:szCs w:val="24"/>
        </w:rPr>
        <w:t>[6.1] </w:t>
      </w:r>
      <w:r w:rsidR="00DA2439" w:rsidRPr="00111B13">
        <w:rPr>
          <w:rFonts w:cs="Times New Roman"/>
          <w:szCs w:val="24"/>
        </w:rPr>
        <w:t>Apelācijas instances tiesa atzinusi</w:t>
      </w:r>
      <w:r w:rsidR="003262FB" w:rsidRPr="00111B13">
        <w:rPr>
          <w:rFonts w:cs="Times New Roman"/>
          <w:szCs w:val="24"/>
        </w:rPr>
        <w:t xml:space="preserve">, ka pirmās instances tiesa, liedzot apsūdzētā aizstāvei tiesības uz repliku, pieļāvusi Kriminālprocesa likuma </w:t>
      </w:r>
      <w:proofErr w:type="gramStart"/>
      <w:r w:rsidR="003262FB" w:rsidRPr="00111B13">
        <w:rPr>
          <w:rFonts w:cs="Times New Roman"/>
          <w:szCs w:val="24"/>
        </w:rPr>
        <w:t>575.panta</w:t>
      </w:r>
      <w:proofErr w:type="gramEnd"/>
      <w:r w:rsidR="003262FB" w:rsidRPr="00111B13">
        <w:rPr>
          <w:rFonts w:cs="Times New Roman"/>
          <w:szCs w:val="24"/>
        </w:rPr>
        <w:t xml:space="preserve"> pirmās daļas 5.punktā</w:t>
      </w:r>
      <w:r w:rsidR="002A241A" w:rsidRPr="00111B13">
        <w:rPr>
          <w:rFonts w:cs="Times New Roman"/>
          <w:szCs w:val="24"/>
        </w:rPr>
        <w:t xml:space="preserve"> norādīto pārkāpumu, kas katrā ziņā izraisa tiesas sprieduma atcelšanu, un nosūtījusi lietu jaunai izskatīšanai pirmās instances tiesā.</w:t>
      </w:r>
      <w:r w:rsidR="007B69B9" w:rsidRPr="00111B13">
        <w:rPr>
          <w:rFonts w:cs="Times New Roman"/>
          <w:szCs w:val="24"/>
        </w:rPr>
        <w:t xml:space="preserve"> Apelācijas instances tiesa norādījusi, ka</w:t>
      </w:r>
      <w:r w:rsidR="00CD3258" w:rsidRPr="00111B13">
        <w:rPr>
          <w:rFonts w:cs="Times New Roman"/>
          <w:szCs w:val="24"/>
        </w:rPr>
        <w:t xml:space="preserve">, </w:t>
      </w:r>
      <w:r w:rsidR="00817CE2" w:rsidRPr="00111B13">
        <w:rPr>
          <w:rFonts w:cs="Times New Roman"/>
          <w:szCs w:val="24"/>
        </w:rPr>
        <w:t>gatavojoties aizstāvības runai, apsūdzētā aizstāvim nevar būt zināmi visi argumenti, kurus prokurors un citi tiesas debašu dalībnieki norādīs savās tiesas debašu runās, līdz ar to replikā aizstāvim ir iespēja izteikties</w:t>
      </w:r>
      <w:r w:rsidR="00BB6B6E" w:rsidRPr="00111B13">
        <w:rPr>
          <w:rFonts w:cs="Times New Roman"/>
          <w:szCs w:val="24"/>
        </w:rPr>
        <w:t xml:space="preserve"> par tiem jautājumiem, kuri netika skarti viņa aizstāvības runā, bet tika analizēti prokurora vai kāda cita tiesas debašu dalībnieka runā. Šī iemesla dēļ atzīstams, ka</w:t>
      </w:r>
      <w:r w:rsidR="007B69B9" w:rsidRPr="00111B13">
        <w:rPr>
          <w:rFonts w:cs="Times New Roman"/>
        </w:rPr>
        <w:t xml:space="preserve"> tiesības uz pēdējo repliku aizstāvim</w:t>
      </w:r>
      <w:r w:rsidR="00BB6B6E" w:rsidRPr="00111B13">
        <w:rPr>
          <w:rFonts w:cs="Times New Roman"/>
        </w:rPr>
        <w:t xml:space="preserve"> ir</w:t>
      </w:r>
      <w:r w:rsidR="007B69B9" w:rsidRPr="00111B13">
        <w:rPr>
          <w:rFonts w:cs="Times New Roman"/>
        </w:rPr>
        <w:t xml:space="preserve"> neatkarīgi no tā, vai citi tiesas debašu dalībnieki</w:t>
      </w:r>
      <w:r w:rsidR="00BB6B6E" w:rsidRPr="00111B13">
        <w:rPr>
          <w:rFonts w:cs="Times New Roman"/>
        </w:rPr>
        <w:t xml:space="preserve"> ir vai nav izmantojuši</w:t>
      </w:r>
      <w:r w:rsidR="007B69B9" w:rsidRPr="00111B13">
        <w:rPr>
          <w:rFonts w:cs="Times New Roman"/>
        </w:rPr>
        <w:t xml:space="preserve"> savas tiesības uz repliku.</w:t>
      </w:r>
      <w:r w:rsidR="00785A60" w:rsidRPr="00111B13">
        <w:rPr>
          <w:rFonts w:cs="Times New Roman"/>
        </w:rPr>
        <w:t xml:space="preserve"> </w:t>
      </w:r>
      <w:r w:rsidR="007B69B9" w:rsidRPr="00111B13">
        <w:rPr>
          <w:rFonts w:cs="Times New Roman"/>
        </w:rPr>
        <w:t>Liedzot aizstāvei tiesības uz pēdējo repliku, pirmās instances tiesa ir pārkāpusi Kriminālprocesa likuma 507.pantu</w:t>
      </w:r>
      <w:r w:rsidR="0053521F" w:rsidRPr="00111B13">
        <w:rPr>
          <w:rFonts w:cs="Times New Roman"/>
        </w:rPr>
        <w:t>, nepamatoti ierobežojot apsūdzētā tiesības uz aizstāvību,</w:t>
      </w:r>
      <w:r w:rsidR="00634B5E" w:rsidRPr="00111B13">
        <w:rPr>
          <w:rFonts w:cs="Times New Roman"/>
        </w:rPr>
        <w:t xml:space="preserve"> un līdz ar to pieļāvusi Kriminālprocesa likuma 575.panta pirmās daļas 5.punktā norādīto pārkāpumu.</w:t>
      </w:r>
      <w:r w:rsidR="00A15E97">
        <w:rPr>
          <w:rFonts w:cs="Times New Roman"/>
        </w:rPr>
        <w:t xml:space="preserve"> </w:t>
      </w:r>
    </w:p>
    <w:p w14:paraId="6AC7C677" w14:textId="77777777" w:rsidR="00833D97" w:rsidRDefault="00A96954" w:rsidP="00833D97">
      <w:pPr>
        <w:autoSpaceDE w:val="0"/>
        <w:autoSpaceDN w:val="0"/>
        <w:adjustRightInd w:val="0"/>
        <w:spacing w:after="0" w:line="276" w:lineRule="auto"/>
        <w:ind w:firstLine="720"/>
        <w:jc w:val="both"/>
        <w:rPr>
          <w:rFonts w:cs="Times New Roman"/>
          <w:szCs w:val="24"/>
        </w:rPr>
      </w:pPr>
      <w:r w:rsidRPr="00111B13">
        <w:rPr>
          <w:rFonts w:cs="Times New Roman"/>
          <w:szCs w:val="24"/>
        </w:rPr>
        <w:t>[</w:t>
      </w:r>
      <w:r w:rsidR="002B14FE" w:rsidRPr="00111B13">
        <w:rPr>
          <w:rFonts w:cs="Times New Roman"/>
          <w:szCs w:val="24"/>
        </w:rPr>
        <w:t>6</w:t>
      </w:r>
      <w:r w:rsidR="00B3740D" w:rsidRPr="00111B13">
        <w:rPr>
          <w:rFonts w:cs="Times New Roman"/>
          <w:szCs w:val="24"/>
        </w:rPr>
        <w:t>.</w:t>
      </w:r>
      <w:r w:rsidR="00DA2439" w:rsidRPr="00111B13">
        <w:rPr>
          <w:rFonts w:cs="Times New Roman"/>
          <w:szCs w:val="24"/>
        </w:rPr>
        <w:t>2</w:t>
      </w:r>
      <w:r w:rsidR="00A15E97">
        <w:rPr>
          <w:rFonts w:cs="Times New Roman"/>
          <w:szCs w:val="24"/>
        </w:rPr>
        <w:t>] </w:t>
      </w:r>
      <w:r w:rsidR="000145A0" w:rsidRPr="00111B13">
        <w:rPr>
          <w:rFonts w:cs="Times New Roman"/>
          <w:szCs w:val="24"/>
        </w:rPr>
        <w:t xml:space="preserve">Virsprokurors </w:t>
      </w:r>
      <w:r w:rsidR="0095539C" w:rsidRPr="00111B13">
        <w:rPr>
          <w:rFonts w:cs="Times New Roman"/>
          <w:szCs w:val="24"/>
        </w:rPr>
        <w:t>A.</w:t>
      </w:r>
      <w:r w:rsidR="00A83B67" w:rsidRPr="00111B13">
        <w:rPr>
          <w:rFonts w:cs="Times New Roman"/>
          <w:szCs w:val="24"/>
        </w:rPr>
        <w:t> </w:t>
      </w:r>
      <w:proofErr w:type="spellStart"/>
      <w:r w:rsidR="0095539C" w:rsidRPr="00111B13">
        <w:rPr>
          <w:rFonts w:cs="Times New Roman"/>
          <w:szCs w:val="24"/>
        </w:rPr>
        <w:t>Meister</w:t>
      </w:r>
      <w:r w:rsidR="000145A0" w:rsidRPr="00111B13">
        <w:rPr>
          <w:rFonts w:cs="Times New Roman"/>
          <w:szCs w:val="24"/>
        </w:rPr>
        <w:t>s</w:t>
      </w:r>
      <w:proofErr w:type="spellEnd"/>
      <w:r w:rsidR="001B1089" w:rsidRPr="00111B13">
        <w:rPr>
          <w:rFonts w:cs="Times New Roman"/>
          <w:szCs w:val="24"/>
        </w:rPr>
        <w:t xml:space="preserve"> kasācijas protestā</w:t>
      </w:r>
      <w:r w:rsidR="00035CC7" w:rsidRPr="00111B13">
        <w:rPr>
          <w:rFonts w:cs="Times New Roman"/>
          <w:szCs w:val="24"/>
        </w:rPr>
        <w:t xml:space="preserve"> </w:t>
      </w:r>
      <w:r w:rsidR="00432C8C" w:rsidRPr="00111B13">
        <w:rPr>
          <w:rFonts w:cs="Times New Roman"/>
          <w:szCs w:val="24"/>
        </w:rPr>
        <w:t xml:space="preserve">apstrīdējis apelācijas instances tiesas sniegto Kriminālprocesa likuma </w:t>
      </w:r>
      <w:proofErr w:type="gramStart"/>
      <w:r w:rsidR="00432C8C" w:rsidRPr="00111B13">
        <w:rPr>
          <w:rFonts w:cs="Times New Roman"/>
          <w:szCs w:val="24"/>
        </w:rPr>
        <w:t>507.panta</w:t>
      </w:r>
      <w:proofErr w:type="gramEnd"/>
      <w:r w:rsidR="00432C8C" w:rsidRPr="00111B13">
        <w:rPr>
          <w:rFonts w:cs="Times New Roman"/>
          <w:szCs w:val="24"/>
        </w:rPr>
        <w:t xml:space="preserve"> interpretāciju un norādījis, ka tā neatbilst Augstākās tiesas judikatūrai.</w:t>
      </w:r>
      <w:r w:rsidR="00833D97">
        <w:rPr>
          <w:rFonts w:cs="Times New Roman"/>
          <w:szCs w:val="24"/>
        </w:rPr>
        <w:t xml:space="preserve"> </w:t>
      </w:r>
    </w:p>
    <w:p w14:paraId="78AF5590" w14:textId="61F8F5CC" w:rsidR="002C2C67" w:rsidRDefault="00044914" w:rsidP="00E520DF">
      <w:pPr>
        <w:autoSpaceDE w:val="0"/>
        <w:autoSpaceDN w:val="0"/>
        <w:adjustRightInd w:val="0"/>
        <w:spacing w:after="0" w:line="276" w:lineRule="auto"/>
        <w:ind w:firstLine="720"/>
        <w:jc w:val="both"/>
        <w:rPr>
          <w:rFonts w:cs="Times New Roman"/>
        </w:rPr>
      </w:pPr>
      <w:r>
        <w:rPr>
          <w:rFonts w:cs="Times New Roman"/>
          <w:szCs w:val="24"/>
        </w:rPr>
        <w:t>[6.3] </w:t>
      </w:r>
      <w:r w:rsidR="006A6B50" w:rsidRPr="00111B13">
        <w:rPr>
          <w:rFonts w:cs="Times New Roman"/>
          <w:szCs w:val="24"/>
        </w:rPr>
        <w:t>Senāts konstatē, ka jautājum</w:t>
      </w:r>
      <w:r w:rsidR="00A871E1" w:rsidRPr="00111B13">
        <w:rPr>
          <w:rFonts w:cs="Times New Roman"/>
          <w:szCs w:val="24"/>
        </w:rPr>
        <w:t>s</w:t>
      </w:r>
      <w:r w:rsidR="006A6B50" w:rsidRPr="00111B13">
        <w:rPr>
          <w:rFonts w:cs="Times New Roman"/>
          <w:szCs w:val="24"/>
        </w:rPr>
        <w:t xml:space="preserve"> par tiesībām uz repliku </w:t>
      </w:r>
      <w:r w:rsidR="00C519EF" w:rsidRPr="00111B13">
        <w:rPr>
          <w:rFonts w:cs="Times New Roman"/>
          <w:szCs w:val="24"/>
        </w:rPr>
        <w:t xml:space="preserve">Senātā </w:t>
      </w:r>
      <w:r w:rsidR="006A6B50" w:rsidRPr="00111B13">
        <w:rPr>
          <w:rFonts w:cs="Times New Roman"/>
          <w:szCs w:val="24"/>
        </w:rPr>
        <w:t>ir vērt</w:t>
      </w:r>
      <w:r w:rsidR="00A871E1" w:rsidRPr="00111B13">
        <w:rPr>
          <w:rFonts w:cs="Times New Roman"/>
          <w:szCs w:val="24"/>
        </w:rPr>
        <w:t>ēts</w:t>
      </w:r>
      <w:r w:rsidR="006A6B50" w:rsidRPr="00111B13">
        <w:rPr>
          <w:rFonts w:cs="Times New Roman"/>
          <w:szCs w:val="24"/>
        </w:rPr>
        <w:t xml:space="preserve"> vairākkārt</w:t>
      </w:r>
      <w:r w:rsidR="005E3CDA" w:rsidRPr="00111B13">
        <w:rPr>
          <w:rFonts w:cs="Times New Roman"/>
          <w:szCs w:val="24"/>
        </w:rPr>
        <w:t xml:space="preserve">, </w:t>
      </w:r>
      <w:r w:rsidR="008F705B" w:rsidRPr="00111B13">
        <w:rPr>
          <w:rFonts w:cs="Times New Roman"/>
          <w:szCs w:val="24"/>
        </w:rPr>
        <w:t>tomēr</w:t>
      </w:r>
      <w:r w:rsidR="005E3CDA" w:rsidRPr="00111B13">
        <w:rPr>
          <w:rFonts w:cs="Times New Roman"/>
          <w:szCs w:val="24"/>
        </w:rPr>
        <w:t xml:space="preserve"> atzīstams, ka Senāta prakse šajā jautājumā nav bijusi vienveidīga.</w:t>
      </w:r>
      <w:r w:rsidR="002C2C67">
        <w:rPr>
          <w:rFonts w:cs="Times New Roman"/>
        </w:rPr>
        <w:t xml:space="preserve"> </w:t>
      </w:r>
    </w:p>
    <w:p w14:paraId="6239E30E" w14:textId="6036A0A6" w:rsidR="00D901A7" w:rsidRPr="00032947" w:rsidRDefault="006A6B50" w:rsidP="00D901A7">
      <w:pPr>
        <w:autoSpaceDE w:val="0"/>
        <w:autoSpaceDN w:val="0"/>
        <w:adjustRightInd w:val="0"/>
        <w:spacing w:after="0" w:line="276" w:lineRule="auto"/>
        <w:ind w:firstLine="720"/>
        <w:jc w:val="both"/>
        <w:rPr>
          <w:rFonts w:cs="Times New Roman"/>
        </w:rPr>
      </w:pPr>
      <w:proofErr w:type="gramStart"/>
      <w:r w:rsidRPr="00111B13">
        <w:rPr>
          <w:rFonts w:cs="Times New Roman"/>
          <w:szCs w:val="24"/>
        </w:rPr>
        <w:t>2013.gada</w:t>
      </w:r>
      <w:proofErr w:type="gramEnd"/>
      <w:r w:rsidRPr="00111B13">
        <w:rPr>
          <w:rFonts w:cs="Times New Roman"/>
          <w:szCs w:val="24"/>
        </w:rPr>
        <w:t xml:space="preserve"> 21.jūnija lēmumā lietā Nr.</w:t>
      </w:r>
      <w:r w:rsidR="00D901A7">
        <w:rPr>
          <w:rFonts w:cs="Times New Roman"/>
          <w:szCs w:val="24"/>
        </w:rPr>
        <w:t> </w:t>
      </w:r>
      <w:r w:rsidRPr="00111B13">
        <w:rPr>
          <w:rFonts w:cs="Times New Roman"/>
          <w:szCs w:val="24"/>
        </w:rPr>
        <w:t xml:space="preserve">SKK-22/2013 Senāts </w:t>
      </w:r>
      <w:r w:rsidR="00C519EF" w:rsidRPr="00111B13">
        <w:rPr>
          <w:rFonts w:cs="Times New Roman"/>
          <w:szCs w:val="24"/>
        </w:rPr>
        <w:t>norādījis</w:t>
      </w:r>
      <w:r w:rsidRPr="00111B13">
        <w:rPr>
          <w:rFonts w:cs="Times New Roman"/>
          <w:szCs w:val="24"/>
        </w:rPr>
        <w:t xml:space="preserve">, ka </w:t>
      </w:r>
      <w:r w:rsidRPr="00111B13">
        <w:rPr>
          <w:rFonts w:cs="Times New Roman"/>
        </w:rPr>
        <w:t>tiesību uz repliku procesuālā būtība izpaužas tiesas debašu dalībnieka iespējā īsā izteikumā paust reakciju uz pārējo tiesas debašu dalībnieku runām, par kurām vēl nav bijis iespēj</w:t>
      </w:r>
      <w:r w:rsidR="00CC6D01" w:rsidRPr="00111B13">
        <w:rPr>
          <w:rFonts w:cs="Times New Roman"/>
        </w:rPr>
        <w:t>as</w:t>
      </w:r>
      <w:r w:rsidR="00D901A7">
        <w:rPr>
          <w:rFonts w:cs="Times New Roman"/>
        </w:rPr>
        <w:t xml:space="preserve"> izteikties.</w:t>
      </w:r>
      <w:r w:rsidR="00CC6D01" w:rsidRPr="00111B13">
        <w:rPr>
          <w:rFonts w:cs="Times New Roman"/>
        </w:rPr>
        <w:t xml:space="preserve"> Senāts atzinis, ka apsūdzētajam nebija tiesiska pamata īstenot savas tiesības uz repliku, i</w:t>
      </w:r>
      <w:r w:rsidRPr="00111B13">
        <w:rPr>
          <w:rFonts w:cs="Times New Roman"/>
        </w:rPr>
        <w:t xml:space="preserve">evērojot to, ka visus iebildumus pret prokurora runu </w:t>
      </w:r>
      <w:r w:rsidR="00CC6D01" w:rsidRPr="00111B13">
        <w:rPr>
          <w:rFonts w:cs="Times New Roman"/>
        </w:rPr>
        <w:t>viņam</w:t>
      </w:r>
      <w:r w:rsidRPr="00111B13">
        <w:rPr>
          <w:rFonts w:cs="Times New Roman"/>
        </w:rPr>
        <w:t xml:space="preserve"> bija iespēja izteikt savā aizstāvības runā, savukārt tiesības uz repliku pēc apsūdzētā aizstāvības runas prokurors nav izmantojis</w:t>
      </w:r>
      <w:r w:rsidR="00032947">
        <w:rPr>
          <w:rFonts w:cs="Times New Roman"/>
        </w:rPr>
        <w:t xml:space="preserve"> (</w:t>
      </w:r>
      <w:r w:rsidR="00032947">
        <w:rPr>
          <w:rFonts w:cs="Times New Roman"/>
          <w:i/>
        </w:rPr>
        <w:t xml:space="preserve">Augstākās tiesas </w:t>
      </w:r>
      <w:proofErr w:type="gramStart"/>
      <w:r w:rsidR="00032947">
        <w:rPr>
          <w:rFonts w:cs="Times New Roman"/>
          <w:i/>
        </w:rPr>
        <w:t>2013.gada</w:t>
      </w:r>
      <w:proofErr w:type="gramEnd"/>
      <w:r w:rsidR="00032947">
        <w:rPr>
          <w:rFonts w:cs="Times New Roman"/>
          <w:i/>
        </w:rPr>
        <w:t xml:space="preserve"> 21.jūnija lēmums lietā Nr. SKK-22/2013 (</w:t>
      </w:r>
      <w:r w:rsidR="00032947" w:rsidRPr="00032947">
        <w:rPr>
          <w:rFonts w:cs="Times New Roman"/>
          <w:i/>
        </w:rPr>
        <w:t>11240005408</w:t>
      </w:r>
      <w:r w:rsidR="00032947">
        <w:rPr>
          <w:rFonts w:cs="Times New Roman"/>
          <w:i/>
        </w:rPr>
        <w:t>)</w:t>
      </w:r>
      <w:r w:rsidR="00032947">
        <w:rPr>
          <w:rFonts w:cs="Times New Roman"/>
        </w:rPr>
        <w:t>).</w:t>
      </w:r>
    </w:p>
    <w:p w14:paraId="5690AC47" w14:textId="5BDE93F0" w:rsidR="004039EF" w:rsidRPr="00867C24" w:rsidRDefault="006A6B50" w:rsidP="004039EF">
      <w:pPr>
        <w:autoSpaceDE w:val="0"/>
        <w:autoSpaceDN w:val="0"/>
        <w:adjustRightInd w:val="0"/>
        <w:spacing w:after="0" w:line="276" w:lineRule="auto"/>
        <w:ind w:firstLine="720"/>
        <w:jc w:val="both"/>
        <w:rPr>
          <w:rFonts w:cs="Times New Roman"/>
        </w:rPr>
      </w:pPr>
      <w:r w:rsidRPr="00111B13">
        <w:rPr>
          <w:rFonts w:cs="Times New Roman"/>
        </w:rPr>
        <w:t xml:space="preserve">Šī pati tēze iekļauta arī </w:t>
      </w:r>
      <w:proofErr w:type="gramStart"/>
      <w:r w:rsidRPr="00111B13">
        <w:rPr>
          <w:rFonts w:cs="Times New Roman"/>
        </w:rPr>
        <w:t>2013.gada</w:t>
      </w:r>
      <w:proofErr w:type="gramEnd"/>
      <w:r w:rsidRPr="00111B13">
        <w:rPr>
          <w:rFonts w:cs="Times New Roman"/>
        </w:rPr>
        <w:t xml:space="preserve"> 11.oktobra lēmumā lietā Nr.</w:t>
      </w:r>
      <w:r w:rsidR="00D901A7">
        <w:rPr>
          <w:rFonts w:cs="Times New Roman"/>
        </w:rPr>
        <w:t> </w:t>
      </w:r>
      <w:r w:rsidRPr="00111B13">
        <w:rPr>
          <w:rFonts w:cs="Times New Roman"/>
        </w:rPr>
        <w:t>SKK-325/2013</w:t>
      </w:r>
      <w:r w:rsidR="00867C24">
        <w:rPr>
          <w:rFonts w:cs="Times New Roman"/>
        </w:rPr>
        <w:t xml:space="preserve"> (</w:t>
      </w:r>
      <w:r w:rsidR="00867C24">
        <w:rPr>
          <w:rFonts w:cs="Times New Roman"/>
          <w:i/>
        </w:rPr>
        <w:t>Augstākās tiesas 2013.gada 11.oktobra lēmums lietā Nr. SKK-325/2013 (</w:t>
      </w:r>
      <w:r w:rsidR="00867C24" w:rsidRPr="00867C24">
        <w:rPr>
          <w:rFonts w:cs="Times New Roman"/>
          <w:i/>
        </w:rPr>
        <w:t>11089011711</w:t>
      </w:r>
      <w:r w:rsidR="00867C24">
        <w:rPr>
          <w:rFonts w:cs="Times New Roman"/>
          <w:i/>
        </w:rPr>
        <w:t>)</w:t>
      </w:r>
      <w:r w:rsidR="00867C24">
        <w:rPr>
          <w:rFonts w:cs="Times New Roman"/>
        </w:rPr>
        <w:t>).</w:t>
      </w:r>
    </w:p>
    <w:p w14:paraId="6B3A462C" w14:textId="718D1C5E" w:rsidR="00F66C32" w:rsidRPr="003C2FF7" w:rsidRDefault="006A6B50" w:rsidP="00F66C32">
      <w:pPr>
        <w:autoSpaceDE w:val="0"/>
        <w:autoSpaceDN w:val="0"/>
        <w:adjustRightInd w:val="0"/>
        <w:spacing w:after="0" w:line="276" w:lineRule="auto"/>
        <w:ind w:firstLine="720"/>
        <w:jc w:val="both"/>
        <w:rPr>
          <w:rFonts w:cs="Times New Roman"/>
        </w:rPr>
      </w:pPr>
      <w:proofErr w:type="gramStart"/>
      <w:r w:rsidRPr="00111B13">
        <w:rPr>
          <w:rFonts w:cs="Times New Roman"/>
        </w:rPr>
        <w:t>2018.gad</w:t>
      </w:r>
      <w:r w:rsidR="00665DDC" w:rsidRPr="00111B13">
        <w:rPr>
          <w:rFonts w:cs="Times New Roman"/>
        </w:rPr>
        <w:t>a</w:t>
      </w:r>
      <w:proofErr w:type="gramEnd"/>
      <w:r w:rsidR="00665DDC" w:rsidRPr="00111B13">
        <w:rPr>
          <w:rFonts w:cs="Times New Roman"/>
        </w:rPr>
        <w:t xml:space="preserve"> 27.novembra lēmumā lietā Nr.</w:t>
      </w:r>
      <w:r w:rsidR="00DF368E">
        <w:rPr>
          <w:rFonts w:cs="Times New Roman"/>
        </w:rPr>
        <w:t> </w:t>
      </w:r>
      <w:r w:rsidR="00665DDC" w:rsidRPr="00111B13">
        <w:rPr>
          <w:rFonts w:cs="Times New Roman"/>
        </w:rPr>
        <w:t>SKK-475/2018 Senāts</w:t>
      </w:r>
      <w:r w:rsidR="003D5E1E" w:rsidRPr="00111B13">
        <w:rPr>
          <w:rFonts w:cs="Times New Roman"/>
        </w:rPr>
        <w:t xml:space="preserve"> atzinis, ka a</w:t>
      </w:r>
      <w:r w:rsidR="00665DDC" w:rsidRPr="00111B13">
        <w:rPr>
          <w:rFonts w:cs="Times New Roman"/>
        </w:rPr>
        <w:t>tbilstoši Kriminālprocesa likuma 507.panta otrajai daļai tiesības uz pēdējo repliku ir aizstāvim</w:t>
      </w:r>
      <w:r w:rsidR="00827AD9" w:rsidRPr="00111B13">
        <w:rPr>
          <w:rFonts w:cs="Times New Roman"/>
        </w:rPr>
        <w:t xml:space="preserve">, arī gadījumā, ja prokurors no tiesībām uz repliku ir atteicies. Vienlaikus Senāts nav konstatējis Kriminālprocesa likuma </w:t>
      </w:r>
      <w:proofErr w:type="gramStart"/>
      <w:r w:rsidR="00827AD9" w:rsidRPr="00111B13">
        <w:rPr>
          <w:rFonts w:cs="Times New Roman"/>
        </w:rPr>
        <w:t>507.panta</w:t>
      </w:r>
      <w:proofErr w:type="gramEnd"/>
      <w:r w:rsidR="00827AD9" w:rsidRPr="00111B13">
        <w:rPr>
          <w:rFonts w:cs="Times New Roman"/>
        </w:rPr>
        <w:t xml:space="preserve"> otrās daļas pārkāpumu, norādot, ka aizstāvim, kurš zināja par savām tiesībām uz repliku par debašu runu saturu, </w:t>
      </w:r>
      <w:r w:rsidR="00A179F2" w:rsidRPr="00111B13">
        <w:rPr>
          <w:rFonts w:cs="Times New Roman"/>
        </w:rPr>
        <w:t>nebija šķēršļu īstenot šīs tiesības, piesakot tiesai attiecīgu lūgumu</w:t>
      </w:r>
      <w:r w:rsidR="00A65FBF" w:rsidRPr="00111B13">
        <w:rPr>
          <w:rFonts w:cs="Times New Roman"/>
        </w:rPr>
        <w:t>, arī tajā gadījumā, ja tiesa aizstāvim nav jautājusi, vai viņš izm</w:t>
      </w:r>
      <w:r w:rsidR="00651369">
        <w:rPr>
          <w:rFonts w:cs="Times New Roman"/>
        </w:rPr>
        <w:t>antos savas tiesības uz repliku (</w:t>
      </w:r>
      <w:r w:rsidR="003C2FF7">
        <w:rPr>
          <w:rFonts w:cs="Times New Roman"/>
          <w:i/>
        </w:rPr>
        <w:t>Augstākās tiesas 2018.gada 27.novembra lēmums lietā Nr. SKK-475/2018 (</w:t>
      </w:r>
      <w:r w:rsidR="003C2FF7" w:rsidRPr="003C2FF7">
        <w:rPr>
          <w:rFonts w:cs="Times New Roman"/>
          <w:i/>
        </w:rPr>
        <w:t>ECLI:LV:AT:2018:1127.11089256414.2.L</w:t>
      </w:r>
      <w:r w:rsidR="003C2FF7">
        <w:rPr>
          <w:rFonts w:cs="Times New Roman"/>
          <w:i/>
        </w:rPr>
        <w:t>)</w:t>
      </w:r>
      <w:r w:rsidR="003C2FF7">
        <w:rPr>
          <w:rFonts w:cs="Times New Roman"/>
        </w:rPr>
        <w:t>).</w:t>
      </w:r>
    </w:p>
    <w:p w14:paraId="6C6F37BC" w14:textId="016EB1C9" w:rsidR="00C76C57" w:rsidRPr="00BD3EE7" w:rsidRDefault="00C84FB4" w:rsidP="00C76C57">
      <w:pPr>
        <w:autoSpaceDE w:val="0"/>
        <w:autoSpaceDN w:val="0"/>
        <w:adjustRightInd w:val="0"/>
        <w:spacing w:after="0" w:line="276" w:lineRule="auto"/>
        <w:ind w:firstLine="720"/>
        <w:jc w:val="both"/>
        <w:rPr>
          <w:rFonts w:cs="Times New Roman"/>
        </w:rPr>
      </w:pPr>
      <w:proofErr w:type="gramStart"/>
      <w:r w:rsidRPr="00111B13">
        <w:rPr>
          <w:rFonts w:cs="Times New Roman"/>
        </w:rPr>
        <w:t>2021.gada</w:t>
      </w:r>
      <w:proofErr w:type="gramEnd"/>
      <w:r w:rsidRPr="00111B13">
        <w:rPr>
          <w:rFonts w:cs="Times New Roman"/>
        </w:rPr>
        <w:t xml:space="preserve"> 8.marta lēmumā lietā Nr.</w:t>
      </w:r>
      <w:r w:rsidR="00F66C32">
        <w:rPr>
          <w:rFonts w:cs="Times New Roman"/>
        </w:rPr>
        <w:t> </w:t>
      </w:r>
      <w:r w:rsidRPr="00111B13">
        <w:rPr>
          <w:rFonts w:cs="Times New Roman"/>
        </w:rPr>
        <w:t xml:space="preserve">SKK-19/2021 </w:t>
      </w:r>
      <w:r w:rsidR="00A65FBF" w:rsidRPr="00111B13">
        <w:rPr>
          <w:rFonts w:cs="Times New Roman"/>
        </w:rPr>
        <w:t xml:space="preserve">Senāts nav konstatējis Kriminālprocesa likuma 507.panta otrās daļas pārkāpumu, norādot, ka </w:t>
      </w:r>
      <w:r w:rsidRPr="00111B13">
        <w:rPr>
          <w:rFonts w:cs="Times New Roman"/>
        </w:rPr>
        <w:t xml:space="preserve">apsūdzētais tiesas debatēs uzstājies pēc prokurora, līdz ar to viņam nebija liegtas tiesības savā aizstāvības runā </w:t>
      </w:r>
      <w:r w:rsidR="001A5479" w:rsidRPr="00111B13">
        <w:rPr>
          <w:rFonts w:cs="Times New Roman"/>
        </w:rPr>
        <w:t>izvērtēt</w:t>
      </w:r>
      <w:r w:rsidRPr="00111B13">
        <w:rPr>
          <w:rFonts w:cs="Times New Roman"/>
        </w:rPr>
        <w:t xml:space="preserve"> prokurora debatēs izteiktos argumentus</w:t>
      </w:r>
      <w:r w:rsidR="001A5479" w:rsidRPr="00111B13">
        <w:rPr>
          <w:rFonts w:cs="Times New Roman"/>
        </w:rPr>
        <w:t>, turklāt p</w:t>
      </w:r>
      <w:r w:rsidRPr="00111B13">
        <w:rPr>
          <w:rFonts w:cs="Times New Roman"/>
        </w:rPr>
        <w:t>rokurors pēc apsūdzētā debašu runas tie</w:t>
      </w:r>
      <w:r w:rsidR="00BD3EE7">
        <w:rPr>
          <w:rFonts w:cs="Times New Roman"/>
        </w:rPr>
        <w:t>sības uz repliku nav izmantojis (</w:t>
      </w:r>
      <w:r w:rsidR="00BD3EE7">
        <w:rPr>
          <w:rFonts w:cs="Times New Roman"/>
          <w:i/>
        </w:rPr>
        <w:t>Augstākās tiesas 2021.gada 8.marta lēmums lietā Nr. SKK-19/2021 (</w:t>
      </w:r>
      <w:r w:rsidR="00BD3EE7" w:rsidRPr="00BD3EE7">
        <w:rPr>
          <w:rFonts w:cs="Times New Roman"/>
          <w:i/>
        </w:rPr>
        <w:t>ECLI:LV:AT:2021:0308.11819002011.11.L</w:t>
      </w:r>
      <w:r w:rsidR="00BD3EE7">
        <w:rPr>
          <w:rFonts w:cs="Times New Roman"/>
          <w:i/>
        </w:rPr>
        <w:t>)</w:t>
      </w:r>
      <w:r w:rsidR="00BD3EE7">
        <w:rPr>
          <w:rFonts w:cs="Times New Roman"/>
        </w:rPr>
        <w:t>).</w:t>
      </w:r>
    </w:p>
    <w:p w14:paraId="4B5DCC9F" w14:textId="77777777" w:rsidR="00044914" w:rsidRDefault="008F49D6" w:rsidP="00044914">
      <w:pPr>
        <w:autoSpaceDE w:val="0"/>
        <w:autoSpaceDN w:val="0"/>
        <w:adjustRightInd w:val="0"/>
        <w:spacing w:after="0" w:line="276" w:lineRule="auto"/>
        <w:ind w:firstLine="720"/>
        <w:jc w:val="both"/>
        <w:rPr>
          <w:rFonts w:cs="Times New Roman"/>
        </w:rPr>
      </w:pPr>
      <w:r w:rsidRPr="00111B13">
        <w:rPr>
          <w:rFonts w:cs="Times New Roman"/>
        </w:rPr>
        <w:t xml:space="preserve">Ievērojot minēto, Senāts atzīst, ka </w:t>
      </w:r>
      <w:r w:rsidR="001A5479" w:rsidRPr="00111B13">
        <w:rPr>
          <w:rFonts w:cs="Times New Roman"/>
        </w:rPr>
        <w:t>jautājumā par tiesībām uz repliku un šo tiesību s</w:t>
      </w:r>
      <w:r w:rsidR="00065018" w:rsidRPr="00111B13">
        <w:rPr>
          <w:rFonts w:cs="Times New Roman"/>
        </w:rPr>
        <w:t>a</w:t>
      </w:r>
      <w:r w:rsidR="001A5479" w:rsidRPr="00111B13">
        <w:rPr>
          <w:rFonts w:cs="Times New Roman"/>
        </w:rPr>
        <w:t>turu</w:t>
      </w:r>
      <w:r w:rsidRPr="00111B13">
        <w:rPr>
          <w:rFonts w:cs="Times New Roman"/>
        </w:rPr>
        <w:t xml:space="preserve"> vēl nav izveidojusies stabila judikatūra</w:t>
      </w:r>
      <w:r w:rsidR="00A179F2" w:rsidRPr="00111B13">
        <w:rPr>
          <w:rFonts w:cs="Times New Roman"/>
        </w:rPr>
        <w:t>.</w:t>
      </w:r>
      <w:r w:rsidR="00B7440D" w:rsidRPr="00111B13">
        <w:rPr>
          <w:rFonts w:cs="Times New Roman"/>
        </w:rPr>
        <w:t xml:space="preserve"> </w:t>
      </w:r>
    </w:p>
    <w:p w14:paraId="0EACEA66" w14:textId="3245F3CB" w:rsidR="00C76C57" w:rsidRDefault="00A41F1F" w:rsidP="00044914">
      <w:pPr>
        <w:autoSpaceDE w:val="0"/>
        <w:autoSpaceDN w:val="0"/>
        <w:adjustRightInd w:val="0"/>
        <w:spacing w:after="0" w:line="276" w:lineRule="auto"/>
        <w:ind w:firstLine="720"/>
        <w:jc w:val="both"/>
        <w:rPr>
          <w:rFonts w:cs="Times New Roman"/>
        </w:rPr>
      </w:pPr>
      <w:r>
        <w:rPr>
          <w:rFonts w:cs="Times New Roman"/>
        </w:rPr>
        <w:t>[6.4] </w:t>
      </w:r>
      <w:r w:rsidR="00B7440D" w:rsidRPr="00111B13">
        <w:rPr>
          <w:rFonts w:cs="Times New Roman"/>
        </w:rPr>
        <w:t xml:space="preserve">Izvērtējis </w:t>
      </w:r>
      <w:r w:rsidR="00514CE5" w:rsidRPr="00111B13">
        <w:rPr>
          <w:rFonts w:cs="Times New Roman"/>
        </w:rPr>
        <w:t>virsprokurora kasācijas protesta argumentus</w:t>
      </w:r>
      <w:r w:rsidR="00DA2439" w:rsidRPr="00111B13">
        <w:rPr>
          <w:rFonts w:cs="Times New Roman"/>
        </w:rPr>
        <w:t xml:space="preserve"> un</w:t>
      </w:r>
      <w:r w:rsidR="00514CE5" w:rsidRPr="00111B13">
        <w:rPr>
          <w:rFonts w:cs="Times New Roman"/>
        </w:rPr>
        <w:t xml:space="preserve"> </w:t>
      </w:r>
      <w:r w:rsidR="00B7440D" w:rsidRPr="00111B13">
        <w:rPr>
          <w:rFonts w:cs="Times New Roman"/>
        </w:rPr>
        <w:t>līdzšinējo praksi šajā jautājumā, Senāts atzīst par nepieciešamu norādīt turpmāk minēto.</w:t>
      </w:r>
      <w:r w:rsidR="00C76C57">
        <w:rPr>
          <w:rFonts w:cs="Times New Roman"/>
        </w:rPr>
        <w:t xml:space="preserve"> </w:t>
      </w:r>
    </w:p>
    <w:p w14:paraId="5D16B096" w14:textId="77777777" w:rsidR="00E434D5" w:rsidRDefault="005E0857" w:rsidP="00E434D5">
      <w:pPr>
        <w:autoSpaceDE w:val="0"/>
        <w:autoSpaceDN w:val="0"/>
        <w:adjustRightInd w:val="0"/>
        <w:spacing w:after="0" w:line="276" w:lineRule="auto"/>
        <w:ind w:firstLine="720"/>
        <w:jc w:val="both"/>
        <w:rPr>
          <w:rFonts w:cs="Times New Roman"/>
          <w:szCs w:val="24"/>
        </w:rPr>
      </w:pPr>
      <w:r w:rsidRPr="00111B13">
        <w:rPr>
          <w:rFonts w:cs="Times New Roman"/>
          <w:szCs w:val="24"/>
        </w:rPr>
        <w:t xml:space="preserve">Kriminālprocesa likuma </w:t>
      </w:r>
      <w:proofErr w:type="gramStart"/>
      <w:r w:rsidRPr="00111B13">
        <w:rPr>
          <w:rFonts w:cs="Times New Roman"/>
          <w:szCs w:val="24"/>
        </w:rPr>
        <w:t>505.pants</w:t>
      </w:r>
      <w:proofErr w:type="gramEnd"/>
      <w:r w:rsidRPr="00111B13">
        <w:rPr>
          <w:rFonts w:cs="Times New Roman"/>
          <w:szCs w:val="24"/>
        </w:rPr>
        <w:t xml:space="preserve"> noteic, ka tiesas debatēs pirmais runu saka prokurors, pēc tam cietušais, viņa pārstāvis, kriminālprocesā aizskartais mantas īpašnieks, kura mantai uzlikts arests, un </w:t>
      </w:r>
      <w:r w:rsidR="00E434D5">
        <w:rPr>
          <w:rFonts w:cs="Times New Roman"/>
          <w:szCs w:val="24"/>
        </w:rPr>
        <w:t xml:space="preserve">apsūdzētais vai viņa aizstāvis. </w:t>
      </w:r>
    </w:p>
    <w:p w14:paraId="3513B1B4" w14:textId="77777777" w:rsidR="00E434D5" w:rsidRDefault="005E0857" w:rsidP="00E434D5">
      <w:pPr>
        <w:autoSpaceDE w:val="0"/>
        <w:autoSpaceDN w:val="0"/>
        <w:adjustRightInd w:val="0"/>
        <w:spacing w:after="0" w:line="276" w:lineRule="auto"/>
        <w:ind w:firstLine="720"/>
        <w:jc w:val="both"/>
        <w:rPr>
          <w:rFonts w:cs="Times New Roman"/>
          <w:szCs w:val="24"/>
        </w:rPr>
      </w:pPr>
      <w:r w:rsidRPr="00111B13">
        <w:rPr>
          <w:rFonts w:cs="Times New Roman"/>
          <w:szCs w:val="24"/>
        </w:rPr>
        <w:t xml:space="preserve">Tiesas debašu runu saturs skaidrots Kriminālprocesa likuma </w:t>
      </w:r>
      <w:proofErr w:type="gramStart"/>
      <w:r w:rsidRPr="00111B13">
        <w:rPr>
          <w:rFonts w:cs="Times New Roman"/>
          <w:szCs w:val="24"/>
        </w:rPr>
        <w:t>506.pantā</w:t>
      </w:r>
      <w:proofErr w:type="gramEnd"/>
      <w:r w:rsidRPr="00111B13">
        <w:rPr>
          <w:rFonts w:cs="Times New Roman"/>
          <w:szCs w:val="24"/>
        </w:rPr>
        <w:t xml:space="preserve">. </w:t>
      </w:r>
      <w:r w:rsidR="00065018" w:rsidRPr="00111B13">
        <w:rPr>
          <w:rFonts w:cs="Times New Roman"/>
          <w:szCs w:val="24"/>
        </w:rPr>
        <w:t xml:space="preserve">Šā panta pirmā daļa noteic, ka </w:t>
      </w:r>
      <w:r w:rsidRPr="00111B13">
        <w:rPr>
          <w:rFonts w:cs="Times New Roman"/>
          <w:szCs w:val="24"/>
        </w:rPr>
        <w:t>prokurors apsūdzības runā tiesas debatēs motivē savu viedokli par apsūdzētā vainu vai nevainīgumu un izsaka viedokli par apsūdzētajam piemērojamā soda veidu un mēru. Prokurors izsaka viedokli arī par citiem tiesas apspriedē izlemjamajiem jautājumiem</w:t>
      </w:r>
      <w:r w:rsidR="00065018" w:rsidRPr="00111B13">
        <w:rPr>
          <w:rFonts w:cs="Times New Roman"/>
          <w:szCs w:val="24"/>
        </w:rPr>
        <w:t>. Savukārt šā panta trešā daļa noteic, ka a</w:t>
      </w:r>
      <w:r w:rsidRPr="00111B13">
        <w:rPr>
          <w:rFonts w:cs="Times New Roman"/>
          <w:szCs w:val="24"/>
        </w:rPr>
        <w:t>psūdzētais vai viņa aizstāvis tiesas debatēs saka aizstāvības runu.</w:t>
      </w:r>
      <w:r w:rsidR="00E434D5">
        <w:rPr>
          <w:rFonts w:cs="Times New Roman"/>
          <w:szCs w:val="24"/>
        </w:rPr>
        <w:t xml:space="preserve"> </w:t>
      </w:r>
    </w:p>
    <w:p w14:paraId="549E207A" w14:textId="77777777" w:rsidR="00E434D5" w:rsidRDefault="005E0857" w:rsidP="00E434D5">
      <w:pPr>
        <w:autoSpaceDE w:val="0"/>
        <w:autoSpaceDN w:val="0"/>
        <w:adjustRightInd w:val="0"/>
        <w:spacing w:after="0" w:line="276" w:lineRule="auto"/>
        <w:ind w:firstLine="720"/>
        <w:jc w:val="both"/>
        <w:rPr>
          <w:rFonts w:cs="Times New Roman"/>
          <w:szCs w:val="24"/>
        </w:rPr>
      </w:pPr>
      <w:r w:rsidRPr="00111B13">
        <w:rPr>
          <w:rFonts w:cs="Times New Roman"/>
          <w:szCs w:val="24"/>
        </w:rPr>
        <w:t xml:space="preserve">Kriminālprocesa likuma </w:t>
      </w:r>
      <w:proofErr w:type="gramStart"/>
      <w:r w:rsidRPr="00111B13">
        <w:rPr>
          <w:rFonts w:cs="Times New Roman"/>
          <w:szCs w:val="24"/>
        </w:rPr>
        <w:t>507.pants</w:t>
      </w:r>
      <w:proofErr w:type="gramEnd"/>
      <w:r w:rsidRPr="00111B13">
        <w:rPr>
          <w:rFonts w:cs="Times New Roman"/>
          <w:szCs w:val="24"/>
        </w:rPr>
        <w:t xml:space="preserve"> noteic</w:t>
      </w:r>
      <w:r w:rsidR="00C811B8" w:rsidRPr="00111B13">
        <w:rPr>
          <w:rFonts w:cs="Times New Roman"/>
          <w:szCs w:val="24"/>
        </w:rPr>
        <w:t xml:space="preserve"> tiesības uz repliku. No </w:t>
      </w:r>
      <w:r w:rsidR="00F033B8" w:rsidRPr="00111B13">
        <w:rPr>
          <w:rFonts w:cs="Times New Roman"/>
          <w:szCs w:val="24"/>
        </w:rPr>
        <w:t xml:space="preserve">šā </w:t>
      </w:r>
      <w:r w:rsidR="00C811B8" w:rsidRPr="00111B13">
        <w:rPr>
          <w:rFonts w:cs="Times New Roman"/>
          <w:szCs w:val="24"/>
        </w:rPr>
        <w:t>panta pirmās daļas izriet,</w:t>
      </w:r>
      <w:r w:rsidRPr="00111B13">
        <w:rPr>
          <w:rFonts w:cs="Times New Roman"/>
          <w:szCs w:val="24"/>
        </w:rPr>
        <w:t xml:space="preserve"> ka pēc tiesas debatēm katram to dalībniekam ir tiesības uz vienu repliku par runu saturu.</w:t>
      </w:r>
      <w:r w:rsidR="004647D1" w:rsidRPr="00111B13">
        <w:rPr>
          <w:rFonts w:cs="Times New Roman"/>
          <w:szCs w:val="24"/>
        </w:rPr>
        <w:t xml:space="preserve"> Atbilstoši šā panta otrajai daļai </w:t>
      </w:r>
      <w:r w:rsidR="00F72FE8" w:rsidRPr="00111B13">
        <w:rPr>
          <w:rFonts w:cs="Times New Roman"/>
          <w:szCs w:val="24"/>
        </w:rPr>
        <w:t>tiesības uz pēdējo repliku ir aizstāvim. Ja aizstāvis nepiedalās tiesas sēdē, tiesības uz pēdējo repliku ir apsūdzētajam.</w:t>
      </w:r>
      <w:r w:rsidR="00E434D5">
        <w:rPr>
          <w:rFonts w:cs="Times New Roman"/>
          <w:szCs w:val="24"/>
        </w:rPr>
        <w:t xml:space="preserve"> </w:t>
      </w:r>
    </w:p>
    <w:p w14:paraId="621810A0" w14:textId="77777777" w:rsidR="00E434D5" w:rsidRDefault="00A47B08" w:rsidP="00E434D5">
      <w:pPr>
        <w:autoSpaceDE w:val="0"/>
        <w:autoSpaceDN w:val="0"/>
        <w:adjustRightInd w:val="0"/>
        <w:spacing w:after="0" w:line="276" w:lineRule="auto"/>
        <w:ind w:firstLine="720"/>
        <w:jc w:val="both"/>
        <w:rPr>
          <w:rFonts w:cs="Times New Roman"/>
          <w:szCs w:val="24"/>
        </w:rPr>
      </w:pPr>
      <w:r w:rsidRPr="00111B13">
        <w:rPr>
          <w:rFonts w:cs="Times New Roman"/>
          <w:szCs w:val="24"/>
        </w:rPr>
        <w:t xml:space="preserve">Savukārt Kriminālprocesa likuma </w:t>
      </w:r>
      <w:proofErr w:type="gramStart"/>
      <w:r w:rsidRPr="00111B13">
        <w:rPr>
          <w:rFonts w:cs="Times New Roman"/>
          <w:szCs w:val="24"/>
        </w:rPr>
        <w:t>508.panta</w:t>
      </w:r>
      <w:proofErr w:type="gramEnd"/>
      <w:r w:rsidRPr="00111B13">
        <w:rPr>
          <w:rFonts w:cs="Times New Roman"/>
          <w:szCs w:val="24"/>
        </w:rPr>
        <w:t xml:space="preserve"> pirmā daļa noteic, ka pēc tiesas debašu pabeigšanas tiesas sēdes priekšsēdētājs uzaicin</w:t>
      </w:r>
      <w:r w:rsidR="00E434D5">
        <w:rPr>
          <w:rFonts w:cs="Times New Roman"/>
          <w:szCs w:val="24"/>
        </w:rPr>
        <w:t xml:space="preserve">a apsūdzēto teikt pēdējo vārdu. </w:t>
      </w:r>
    </w:p>
    <w:p w14:paraId="288DED42" w14:textId="670E26D7" w:rsidR="003253B0" w:rsidRDefault="005B1E76" w:rsidP="003253B0">
      <w:pPr>
        <w:autoSpaceDE w:val="0"/>
        <w:autoSpaceDN w:val="0"/>
        <w:adjustRightInd w:val="0"/>
        <w:spacing w:after="0" w:line="276" w:lineRule="auto"/>
        <w:ind w:firstLine="720"/>
        <w:jc w:val="both"/>
        <w:rPr>
          <w:rFonts w:cs="Times New Roman"/>
        </w:rPr>
      </w:pPr>
      <w:r w:rsidRPr="00111B13">
        <w:rPr>
          <w:rFonts w:cs="Times New Roman"/>
          <w:szCs w:val="24"/>
        </w:rPr>
        <w:t xml:space="preserve">No minēto tiesību normu sistēmiskās analīzes izriet, </w:t>
      </w:r>
      <w:r w:rsidR="00F033B8" w:rsidRPr="00111B13">
        <w:rPr>
          <w:rFonts w:cs="Times New Roman"/>
          <w:szCs w:val="24"/>
        </w:rPr>
        <w:t xml:space="preserve">ka replika </w:t>
      </w:r>
      <w:r w:rsidR="00C811B8" w:rsidRPr="00111B13">
        <w:rPr>
          <w:rFonts w:cs="Times New Roman"/>
          <w:szCs w:val="24"/>
        </w:rPr>
        <w:t>ir nesaraujami saistīta ar tiesas debašu runu</w:t>
      </w:r>
      <w:r w:rsidR="00F65A9D" w:rsidRPr="00111B13">
        <w:rPr>
          <w:rFonts w:cs="Times New Roman"/>
          <w:szCs w:val="24"/>
        </w:rPr>
        <w:t xml:space="preserve">, tomēr </w:t>
      </w:r>
      <w:r w:rsidR="005E5F71" w:rsidRPr="00111B13">
        <w:rPr>
          <w:rFonts w:cs="Times New Roman"/>
          <w:szCs w:val="24"/>
        </w:rPr>
        <w:t>tiesas debašu</w:t>
      </w:r>
      <w:r w:rsidRPr="00111B13">
        <w:rPr>
          <w:rFonts w:cs="Times New Roman"/>
          <w:szCs w:val="24"/>
        </w:rPr>
        <w:t xml:space="preserve"> runas</w:t>
      </w:r>
      <w:r w:rsidR="005E5F71" w:rsidRPr="00111B13">
        <w:rPr>
          <w:rFonts w:cs="Times New Roman"/>
          <w:szCs w:val="24"/>
        </w:rPr>
        <w:t xml:space="preserve"> un replikas </w:t>
      </w:r>
      <w:r w:rsidR="00A34156" w:rsidRPr="00111B13">
        <w:rPr>
          <w:rFonts w:cs="Times New Roman"/>
          <w:szCs w:val="24"/>
        </w:rPr>
        <w:t>priekšmeti</w:t>
      </w:r>
      <w:r w:rsidR="005E5F71" w:rsidRPr="00111B13">
        <w:rPr>
          <w:rFonts w:cs="Times New Roman"/>
          <w:szCs w:val="24"/>
        </w:rPr>
        <w:t xml:space="preserve"> ir </w:t>
      </w:r>
      <w:r w:rsidRPr="00111B13">
        <w:rPr>
          <w:rFonts w:cs="Times New Roman"/>
          <w:szCs w:val="24"/>
        </w:rPr>
        <w:t>atšķirīgi</w:t>
      </w:r>
      <w:r w:rsidR="00A34156" w:rsidRPr="00111B13">
        <w:rPr>
          <w:rFonts w:cs="Times New Roman"/>
          <w:szCs w:val="24"/>
        </w:rPr>
        <w:t>. Ja tiesas deb</w:t>
      </w:r>
      <w:r w:rsidR="00EE3B3A">
        <w:rPr>
          <w:rFonts w:cs="Times New Roman"/>
          <w:szCs w:val="24"/>
        </w:rPr>
        <w:t>atēs</w:t>
      </w:r>
      <w:r w:rsidR="00A34156" w:rsidRPr="00111B13">
        <w:rPr>
          <w:rFonts w:cs="Times New Roman"/>
          <w:szCs w:val="24"/>
        </w:rPr>
        <w:t xml:space="preserve"> </w:t>
      </w:r>
      <w:r w:rsidR="00EE3B3A">
        <w:rPr>
          <w:rFonts w:cs="Times New Roman"/>
          <w:szCs w:val="24"/>
        </w:rPr>
        <w:t xml:space="preserve">tiek pausts viedoklis par </w:t>
      </w:r>
      <w:r w:rsidRPr="00111B13">
        <w:rPr>
          <w:rFonts w:cs="Times New Roman"/>
          <w:szCs w:val="24"/>
        </w:rPr>
        <w:t>celt</w:t>
      </w:r>
      <w:r w:rsidR="00EE3B3A">
        <w:rPr>
          <w:rFonts w:cs="Times New Roman"/>
          <w:szCs w:val="24"/>
        </w:rPr>
        <w:t>o</w:t>
      </w:r>
      <w:r w:rsidRPr="00111B13">
        <w:rPr>
          <w:rFonts w:cs="Times New Roman"/>
          <w:szCs w:val="24"/>
        </w:rPr>
        <w:t xml:space="preserve"> apsūdzīb</w:t>
      </w:r>
      <w:r w:rsidR="00EE3B3A">
        <w:rPr>
          <w:rFonts w:cs="Times New Roman"/>
          <w:szCs w:val="24"/>
        </w:rPr>
        <w:t>u</w:t>
      </w:r>
      <w:r w:rsidR="001C2966">
        <w:rPr>
          <w:rFonts w:cs="Times New Roman"/>
          <w:szCs w:val="24"/>
        </w:rPr>
        <w:t xml:space="preserve"> un ar to saistīt</w:t>
      </w:r>
      <w:r w:rsidR="00EE3B3A">
        <w:rPr>
          <w:rFonts w:cs="Times New Roman"/>
          <w:szCs w:val="24"/>
        </w:rPr>
        <w:t>ajiem</w:t>
      </w:r>
      <w:r w:rsidR="001C2966">
        <w:rPr>
          <w:rFonts w:cs="Times New Roman"/>
          <w:szCs w:val="24"/>
        </w:rPr>
        <w:t xml:space="preserve"> jautājum</w:t>
      </w:r>
      <w:r w:rsidR="00EE3B3A">
        <w:rPr>
          <w:rFonts w:cs="Times New Roman"/>
          <w:szCs w:val="24"/>
        </w:rPr>
        <w:t>iem</w:t>
      </w:r>
      <w:r w:rsidRPr="00111B13">
        <w:rPr>
          <w:rFonts w:cs="Times New Roman"/>
          <w:szCs w:val="24"/>
        </w:rPr>
        <w:t>, tad</w:t>
      </w:r>
      <w:r w:rsidR="009809F5" w:rsidRPr="00111B13">
        <w:rPr>
          <w:rFonts w:cs="Times New Roman"/>
          <w:szCs w:val="24"/>
        </w:rPr>
        <w:t xml:space="preserve"> replika ir vērsta uz </w:t>
      </w:r>
      <w:r w:rsidR="00690FE5" w:rsidRPr="00111B13">
        <w:rPr>
          <w:rFonts w:cs="Times New Roman"/>
          <w:szCs w:val="24"/>
        </w:rPr>
        <w:t xml:space="preserve">tiesas </w:t>
      </w:r>
      <w:r w:rsidR="009809F5" w:rsidRPr="00111B13">
        <w:rPr>
          <w:rFonts w:cs="Times New Roman"/>
          <w:szCs w:val="24"/>
        </w:rPr>
        <w:t>debašu runu saturu.</w:t>
      </w:r>
      <w:r w:rsidR="00690FE5" w:rsidRPr="00111B13">
        <w:rPr>
          <w:rFonts w:cs="Times New Roman"/>
          <w:szCs w:val="24"/>
        </w:rPr>
        <w:t xml:space="preserve"> Ievērojot tiesas debašu runas un replikas dažādos uzdevumus, </w:t>
      </w:r>
      <w:r w:rsidR="00B87B1E" w:rsidRPr="00111B13">
        <w:rPr>
          <w:rFonts w:cs="Times New Roman"/>
          <w:szCs w:val="24"/>
        </w:rPr>
        <w:t xml:space="preserve">atzīstams, ka </w:t>
      </w:r>
      <w:r w:rsidR="00B87B1E" w:rsidRPr="00111B13">
        <w:rPr>
          <w:rFonts w:eastAsia="Times New Roman" w:cs="Times New Roman"/>
          <w:iCs/>
          <w:color w:val="000000"/>
          <w:szCs w:val="24"/>
          <w:lang w:eastAsia="lv-LV"/>
        </w:rPr>
        <w:t>katram tiesas debašu dalībniekiem ir tiesības uz vienu repliku, neatkarīgi no tā, vai citi tiesas debašu dalībnieki izmanto savas tiesības uz repliku, vai nē</w:t>
      </w:r>
      <w:r w:rsidR="00F52DF8" w:rsidRPr="00111B13">
        <w:rPr>
          <w:rFonts w:eastAsia="Times New Roman" w:cs="Times New Roman"/>
          <w:iCs/>
          <w:color w:val="000000"/>
          <w:szCs w:val="24"/>
          <w:lang w:eastAsia="lv-LV"/>
        </w:rPr>
        <w:t>.</w:t>
      </w:r>
      <w:r w:rsidR="003253B0">
        <w:rPr>
          <w:rFonts w:cs="Times New Roman"/>
        </w:rPr>
        <w:t xml:space="preserve"> </w:t>
      </w:r>
    </w:p>
    <w:p w14:paraId="61C95FE3" w14:textId="33A955C9" w:rsidR="006C6F12" w:rsidRDefault="00AF0BC5" w:rsidP="006C6F12">
      <w:pPr>
        <w:autoSpaceDE w:val="0"/>
        <w:autoSpaceDN w:val="0"/>
        <w:adjustRightInd w:val="0"/>
        <w:spacing w:after="0" w:line="276" w:lineRule="auto"/>
        <w:ind w:firstLine="720"/>
        <w:jc w:val="both"/>
        <w:rPr>
          <w:rFonts w:cs="Times New Roman"/>
        </w:rPr>
      </w:pPr>
      <w:r w:rsidRPr="00111B13">
        <w:rPr>
          <w:rFonts w:cs="Times New Roman"/>
          <w:szCs w:val="24"/>
        </w:rPr>
        <w:t xml:space="preserve">Senāts norāda, ka tiesas debates bija paredzētas gan Latvijas PSR Kriminālprocesa kodeksā, gan Latvijas Kriminālprocesa kodeksā, turklāt šis regulējums </w:t>
      </w:r>
      <w:r w:rsidR="005B44E5">
        <w:rPr>
          <w:rFonts w:cs="Times New Roman"/>
          <w:szCs w:val="24"/>
        </w:rPr>
        <w:t>bija</w:t>
      </w:r>
      <w:r w:rsidRPr="00111B13">
        <w:rPr>
          <w:rFonts w:cs="Times New Roman"/>
          <w:szCs w:val="24"/>
        </w:rPr>
        <w:t xml:space="preserve"> līdzīgs šobrīd </w:t>
      </w:r>
      <w:r w:rsidR="002F02BF" w:rsidRPr="00111B13">
        <w:rPr>
          <w:rFonts w:cs="Times New Roman"/>
          <w:szCs w:val="24"/>
        </w:rPr>
        <w:t xml:space="preserve">Kriminālprocesa likumā </w:t>
      </w:r>
      <w:r w:rsidRPr="00111B13">
        <w:rPr>
          <w:rFonts w:cs="Times New Roman"/>
          <w:szCs w:val="24"/>
        </w:rPr>
        <w:t>paredzētajam regulējumam</w:t>
      </w:r>
      <w:r w:rsidR="002F02BF" w:rsidRPr="00111B13">
        <w:rPr>
          <w:rFonts w:cs="Times New Roman"/>
          <w:szCs w:val="24"/>
        </w:rPr>
        <w:t>.</w:t>
      </w:r>
      <w:r w:rsidRPr="00111B13">
        <w:rPr>
          <w:rFonts w:cs="Times New Roman"/>
          <w:szCs w:val="24"/>
        </w:rPr>
        <w:t xml:space="preserve"> </w:t>
      </w:r>
      <w:r w:rsidR="00FC085E" w:rsidRPr="00111B13">
        <w:rPr>
          <w:rFonts w:cs="Times New Roman"/>
          <w:szCs w:val="24"/>
        </w:rPr>
        <w:t xml:space="preserve">Latvijas PSR Kriminālprocesa kodeksa </w:t>
      </w:r>
      <w:proofErr w:type="gramStart"/>
      <w:r w:rsidR="00FC085E" w:rsidRPr="00111B13">
        <w:rPr>
          <w:rFonts w:cs="Times New Roman"/>
          <w:szCs w:val="24"/>
        </w:rPr>
        <w:t>294.pantā</w:t>
      </w:r>
      <w:proofErr w:type="gramEnd"/>
      <w:r w:rsidR="00FC085E" w:rsidRPr="00111B13">
        <w:rPr>
          <w:rFonts w:cs="Times New Roman"/>
          <w:szCs w:val="24"/>
        </w:rPr>
        <w:t xml:space="preserve"> bija noteikts</w:t>
      </w:r>
      <w:r w:rsidR="004D1C9D">
        <w:rPr>
          <w:rFonts w:cs="Times New Roman"/>
          <w:szCs w:val="24"/>
        </w:rPr>
        <w:t xml:space="preserve"> tiesas debašu saturs un kārtība</w:t>
      </w:r>
      <w:r w:rsidR="00FC085E" w:rsidRPr="00111B13">
        <w:rPr>
          <w:rFonts w:cs="Times New Roman"/>
          <w:szCs w:val="24"/>
        </w:rPr>
        <w:t xml:space="preserve">. No šā panta piektās daļas izrietēja, ka pēc tiesas debašu pabeigšanas to dalībnieki katrs vienu reizi </w:t>
      </w:r>
      <w:r w:rsidR="00A502B9" w:rsidRPr="00111B13">
        <w:rPr>
          <w:rFonts w:cs="Times New Roman"/>
          <w:szCs w:val="24"/>
        </w:rPr>
        <w:t xml:space="preserve">varēja </w:t>
      </w:r>
      <w:r w:rsidR="00FC085E" w:rsidRPr="00111B13">
        <w:rPr>
          <w:rFonts w:cs="Times New Roman"/>
          <w:szCs w:val="24"/>
        </w:rPr>
        <w:t>uzstāties ar repliku sakarā ar runas saturu. Tiesība uz pēdējo repliku vienmēr piederēja aizstāvim, bet, ja aizstāv</w:t>
      </w:r>
      <w:r w:rsidR="00A502B9" w:rsidRPr="00111B13">
        <w:rPr>
          <w:rFonts w:cs="Times New Roman"/>
          <w:szCs w:val="24"/>
        </w:rPr>
        <w:t>ja</w:t>
      </w:r>
      <w:r w:rsidR="00FC085E" w:rsidRPr="00111B13">
        <w:rPr>
          <w:rFonts w:cs="Times New Roman"/>
          <w:szCs w:val="24"/>
        </w:rPr>
        <w:t xml:space="preserve"> nebija,</w:t>
      </w:r>
      <w:r w:rsidR="005F0A9D">
        <w:rPr>
          <w:rFonts w:cs="Times New Roman"/>
          <w:szCs w:val="24"/>
        </w:rPr>
        <w:t> </w:t>
      </w:r>
      <w:r w:rsidR="00F65A9D" w:rsidRPr="00111B13">
        <w:rPr>
          <w:rFonts w:cs="Times New Roman"/>
          <w:szCs w:val="24"/>
        </w:rPr>
        <w:t>–</w:t>
      </w:r>
      <w:r w:rsidR="00FC085E" w:rsidRPr="00111B13">
        <w:rPr>
          <w:rFonts w:cs="Times New Roman"/>
          <w:szCs w:val="24"/>
        </w:rPr>
        <w:t xml:space="preserve"> tiesājamajam.</w:t>
      </w:r>
      <w:r w:rsidR="004B6963" w:rsidRPr="00111B13">
        <w:rPr>
          <w:rFonts w:cs="Times New Roman"/>
          <w:szCs w:val="24"/>
        </w:rPr>
        <w:t xml:space="preserve"> Komentējot minēto pantu, kriminālprocesa tiesību zinātnē norādīts, ka </w:t>
      </w:r>
      <w:r w:rsidR="00791526" w:rsidRPr="00111B13">
        <w:rPr>
          <w:rFonts w:cs="Times New Roman"/>
          <w:szCs w:val="24"/>
        </w:rPr>
        <w:t xml:space="preserve">procesuālā nozīmē replika ir viena tiesu debašu dalībnieka atbilde uz citu debašu dalībnieku runām </w:t>
      </w:r>
      <w:proofErr w:type="gramStart"/>
      <w:r w:rsidR="00791526" w:rsidRPr="00111B13">
        <w:rPr>
          <w:rFonts w:cs="Times New Roman"/>
          <w:szCs w:val="24"/>
        </w:rPr>
        <w:t>(</w:t>
      </w:r>
      <w:proofErr w:type="gramEnd"/>
      <w:r w:rsidR="002279FD">
        <w:rPr>
          <w:rFonts w:cs="Times New Roman"/>
          <w:i/>
          <w:iCs/>
          <w:szCs w:val="24"/>
        </w:rPr>
        <w:t>Latvijas PSR K</w:t>
      </w:r>
      <w:r w:rsidR="00791526" w:rsidRPr="00111B13">
        <w:rPr>
          <w:rFonts w:cs="Times New Roman"/>
          <w:i/>
          <w:iCs/>
          <w:szCs w:val="24"/>
        </w:rPr>
        <w:t xml:space="preserve">riminālprocesa kodeksa komentāri. </w:t>
      </w:r>
      <w:r w:rsidR="00C6565F" w:rsidRPr="00111B13">
        <w:rPr>
          <w:rFonts w:cs="Times New Roman"/>
          <w:i/>
          <w:iCs/>
          <w:szCs w:val="24"/>
        </w:rPr>
        <w:t>Prof.</w:t>
      </w:r>
      <w:r w:rsidR="00A83B67" w:rsidRPr="00111B13">
        <w:rPr>
          <w:rFonts w:cs="Times New Roman"/>
          <w:i/>
          <w:iCs/>
          <w:szCs w:val="24"/>
        </w:rPr>
        <w:t> </w:t>
      </w:r>
      <w:r w:rsidR="00C6565F" w:rsidRPr="00111B13">
        <w:rPr>
          <w:rFonts w:cs="Times New Roman"/>
          <w:i/>
          <w:iCs/>
          <w:szCs w:val="24"/>
        </w:rPr>
        <w:t>A.</w:t>
      </w:r>
      <w:r w:rsidR="00A83B67" w:rsidRPr="00111B13">
        <w:rPr>
          <w:rFonts w:cs="Times New Roman"/>
          <w:i/>
          <w:iCs/>
          <w:szCs w:val="24"/>
        </w:rPr>
        <w:t> </w:t>
      </w:r>
      <w:r w:rsidR="00C6565F" w:rsidRPr="00111B13">
        <w:rPr>
          <w:rFonts w:cs="Times New Roman"/>
          <w:i/>
          <w:iCs/>
          <w:szCs w:val="24"/>
        </w:rPr>
        <w:t xml:space="preserve">Liedes redakcija. </w:t>
      </w:r>
      <w:r w:rsidR="00791526" w:rsidRPr="00111B13">
        <w:rPr>
          <w:rFonts w:cs="Times New Roman"/>
          <w:i/>
          <w:iCs/>
          <w:szCs w:val="24"/>
        </w:rPr>
        <w:t>Rīga: Liesma, 1968, 429.lpp.</w:t>
      </w:r>
      <w:r w:rsidR="00791526" w:rsidRPr="00111B13">
        <w:rPr>
          <w:rFonts w:cs="Times New Roman"/>
          <w:szCs w:val="24"/>
        </w:rPr>
        <w:t xml:space="preserve">). </w:t>
      </w:r>
      <w:r w:rsidR="005B44E5">
        <w:rPr>
          <w:rFonts w:cs="Times New Roman"/>
          <w:szCs w:val="24"/>
        </w:rPr>
        <w:t>D</w:t>
      </w:r>
      <w:r w:rsidR="004B6963" w:rsidRPr="00111B13">
        <w:rPr>
          <w:rFonts w:cs="Times New Roman"/>
          <w:szCs w:val="24"/>
        </w:rPr>
        <w:t xml:space="preserve">ebašu dalībnieki replikā izsaka </w:t>
      </w:r>
      <w:r w:rsidR="003253B0">
        <w:rPr>
          <w:rFonts w:cs="Times New Roman"/>
          <w:szCs w:val="24"/>
        </w:rPr>
        <w:t>iebildumus pret cita debašu dalīb</w:t>
      </w:r>
      <w:r w:rsidR="004B6963" w:rsidRPr="00111B13">
        <w:rPr>
          <w:rFonts w:cs="Times New Roman"/>
          <w:szCs w:val="24"/>
        </w:rPr>
        <w:t xml:space="preserve">nieka izteiktajiem konstatējumiem, vērtējumiem, raksturojumiem un juridiskajiem secinājumiem. Taču replika var ietvert arī teiktās tiesu runas precizējumu </w:t>
      </w:r>
      <w:proofErr w:type="gramStart"/>
      <w:r w:rsidR="004B6963" w:rsidRPr="00111B13">
        <w:rPr>
          <w:rFonts w:cs="Times New Roman"/>
          <w:szCs w:val="24"/>
        </w:rPr>
        <w:t>(</w:t>
      </w:r>
      <w:proofErr w:type="gramEnd"/>
      <w:r w:rsidR="004B6963" w:rsidRPr="00111B13">
        <w:rPr>
          <w:rFonts w:cs="Times New Roman"/>
          <w:i/>
          <w:iCs/>
          <w:szCs w:val="24"/>
        </w:rPr>
        <w:t>Latvijas PSR Kriminālprocesa kodeksa komentāri.</w:t>
      </w:r>
      <w:r w:rsidR="00C6565F" w:rsidRPr="00111B13">
        <w:rPr>
          <w:rFonts w:cs="Times New Roman"/>
          <w:i/>
          <w:iCs/>
          <w:szCs w:val="24"/>
        </w:rPr>
        <w:t xml:space="preserve"> </w:t>
      </w:r>
      <w:r w:rsidR="00897BD8" w:rsidRPr="00111B13">
        <w:rPr>
          <w:rFonts w:cs="Times New Roman"/>
          <w:i/>
          <w:iCs/>
          <w:szCs w:val="24"/>
        </w:rPr>
        <w:t>B.</w:t>
      </w:r>
      <w:r w:rsidR="00703327">
        <w:rPr>
          <w:rFonts w:cs="Times New Roman"/>
          <w:i/>
          <w:iCs/>
          <w:szCs w:val="24"/>
        </w:rPr>
        <w:t> </w:t>
      </w:r>
      <w:r w:rsidR="00C6565F" w:rsidRPr="00111B13">
        <w:rPr>
          <w:rFonts w:cs="Times New Roman"/>
          <w:i/>
          <w:iCs/>
          <w:szCs w:val="24"/>
        </w:rPr>
        <w:t>Azāna</w:t>
      </w:r>
      <w:r w:rsidR="00C37BD1">
        <w:rPr>
          <w:rFonts w:cs="Times New Roman"/>
          <w:i/>
          <w:iCs/>
          <w:szCs w:val="24"/>
        </w:rPr>
        <w:t xml:space="preserve"> </w:t>
      </w:r>
      <w:r w:rsidR="00897BD8" w:rsidRPr="00111B13">
        <w:rPr>
          <w:rFonts w:cs="Times New Roman"/>
          <w:i/>
          <w:iCs/>
          <w:szCs w:val="24"/>
        </w:rPr>
        <w:t>v</w:t>
      </w:r>
      <w:r w:rsidR="00C6565F" w:rsidRPr="00111B13">
        <w:rPr>
          <w:rFonts w:cs="Times New Roman"/>
          <w:i/>
          <w:iCs/>
          <w:szCs w:val="24"/>
        </w:rPr>
        <w:t xml:space="preserve">ispārīgā redakcija. </w:t>
      </w:r>
      <w:r w:rsidR="004B6963" w:rsidRPr="00111B13">
        <w:rPr>
          <w:rFonts w:cs="Times New Roman"/>
          <w:i/>
          <w:iCs/>
          <w:szCs w:val="24"/>
        </w:rPr>
        <w:t>Rīga: Avots, 1986</w:t>
      </w:r>
      <w:r w:rsidR="00791526" w:rsidRPr="00111B13">
        <w:rPr>
          <w:rFonts w:cs="Times New Roman"/>
          <w:i/>
          <w:iCs/>
          <w:szCs w:val="24"/>
        </w:rPr>
        <w:t>, 440.lpp</w:t>
      </w:r>
      <w:r w:rsidR="00791526" w:rsidRPr="00111B13">
        <w:rPr>
          <w:rFonts w:cs="Times New Roman"/>
          <w:szCs w:val="24"/>
        </w:rPr>
        <w:t>.</w:t>
      </w:r>
      <w:r w:rsidR="004B6963" w:rsidRPr="00111B13">
        <w:rPr>
          <w:rFonts w:cs="Times New Roman"/>
          <w:szCs w:val="24"/>
        </w:rPr>
        <w:t>)</w:t>
      </w:r>
      <w:r w:rsidRPr="00111B13">
        <w:rPr>
          <w:rFonts w:cs="Times New Roman"/>
          <w:szCs w:val="24"/>
        </w:rPr>
        <w:t xml:space="preserve">. No minētā secināms, ka kriminālprocesa tiesību zinātnē </w:t>
      </w:r>
      <w:r w:rsidR="00A502B9" w:rsidRPr="00111B13">
        <w:rPr>
          <w:rFonts w:cs="Times New Roman"/>
          <w:szCs w:val="24"/>
        </w:rPr>
        <w:t>arī iepriekš</w:t>
      </w:r>
      <w:r w:rsidRPr="00111B13">
        <w:rPr>
          <w:rFonts w:cs="Times New Roman"/>
          <w:szCs w:val="24"/>
        </w:rPr>
        <w:t xml:space="preserve"> tiesas debašu dalībnieku run</w:t>
      </w:r>
      <w:r w:rsidR="006E24C5" w:rsidRPr="00111B13">
        <w:rPr>
          <w:rFonts w:cs="Times New Roman"/>
          <w:szCs w:val="24"/>
        </w:rPr>
        <w:t>as</w:t>
      </w:r>
      <w:r w:rsidRPr="00111B13">
        <w:rPr>
          <w:rFonts w:cs="Times New Roman"/>
          <w:szCs w:val="24"/>
        </w:rPr>
        <w:t xml:space="preserve"> </w:t>
      </w:r>
      <w:r w:rsidR="00A502B9" w:rsidRPr="00111B13">
        <w:rPr>
          <w:rFonts w:cs="Times New Roman"/>
          <w:szCs w:val="24"/>
        </w:rPr>
        <w:t xml:space="preserve">saturs tika nodalīts </w:t>
      </w:r>
      <w:r w:rsidRPr="00111B13">
        <w:rPr>
          <w:rFonts w:cs="Times New Roman"/>
          <w:szCs w:val="24"/>
        </w:rPr>
        <w:t>no replikas satura.</w:t>
      </w:r>
      <w:r w:rsidR="006C6F12">
        <w:rPr>
          <w:rFonts w:cs="Times New Roman"/>
        </w:rPr>
        <w:t xml:space="preserve"> </w:t>
      </w:r>
    </w:p>
    <w:p w14:paraId="3130C36C" w14:textId="32051B7E" w:rsidR="00C373DE" w:rsidRDefault="0016353C" w:rsidP="00C373DE">
      <w:pPr>
        <w:autoSpaceDE w:val="0"/>
        <w:autoSpaceDN w:val="0"/>
        <w:adjustRightInd w:val="0"/>
        <w:spacing w:after="0" w:line="276" w:lineRule="auto"/>
        <w:ind w:firstLine="720"/>
        <w:jc w:val="both"/>
        <w:rPr>
          <w:rFonts w:eastAsia="Times New Roman" w:cs="Times New Roman"/>
          <w:iCs/>
          <w:color w:val="000000"/>
          <w:szCs w:val="24"/>
          <w:lang w:eastAsia="lv-LV"/>
        </w:rPr>
      </w:pPr>
      <w:r w:rsidRPr="00111B13">
        <w:rPr>
          <w:rFonts w:eastAsia="Times New Roman" w:cs="Times New Roman"/>
          <w:iCs/>
          <w:color w:val="000000"/>
          <w:szCs w:val="24"/>
          <w:lang w:eastAsia="lv-LV"/>
        </w:rPr>
        <w:t>Kriminālprocesa liku</w:t>
      </w:r>
      <w:r w:rsidR="00FC5FF8">
        <w:rPr>
          <w:rFonts w:eastAsia="Times New Roman" w:cs="Times New Roman"/>
          <w:iCs/>
          <w:color w:val="000000"/>
          <w:szCs w:val="24"/>
          <w:lang w:eastAsia="lv-LV"/>
        </w:rPr>
        <w:t xml:space="preserve">ma </w:t>
      </w:r>
      <w:proofErr w:type="gramStart"/>
      <w:r w:rsidR="00FC5FF8">
        <w:rPr>
          <w:rFonts w:eastAsia="Times New Roman" w:cs="Times New Roman"/>
          <w:iCs/>
          <w:color w:val="000000"/>
          <w:szCs w:val="24"/>
          <w:lang w:eastAsia="lv-LV"/>
        </w:rPr>
        <w:t>71.panta</w:t>
      </w:r>
      <w:proofErr w:type="gramEnd"/>
      <w:r w:rsidR="00FC5FF8">
        <w:rPr>
          <w:rFonts w:eastAsia="Times New Roman" w:cs="Times New Roman"/>
          <w:iCs/>
          <w:color w:val="000000"/>
          <w:szCs w:val="24"/>
          <w:lang w:eastAsia="lv-LV"/>
        </w:rPr>
        <w:t xml:space="preserve"> 10.punkts nosaka</w:t>
      </w:r>
      <w:r w:rsidRPr="00111B13">
        <w:rPr>
          <w:rFonts w:eastAsia="Times New Roman" w:cs="Times New Roman"/>
          <w:iCs/>
          <w:color w:val="000000"/>
          <w:szCs w:val="24"/>
          <w:lang w:eastAsia="lv-LV"/>
        </w:rPr>
        <w:t xml:space="preserve">, ka apsūdzētajam pirmās instances tiesā </w:t>
      </w:r>
      <w:r w:rsidR="00AA3591" w:rsidRPr="00111B13">
        <w:rPr>
          <w:rFonts w:eastAsia="Times New Roman" w:cs="Times New Roman"/>
          <w:iCs/>
          <w:color w:val="000000"/>
          <w:szCs w:val="24"/>
          <w:lang w:eastAsia="lv-LV"/>
        </w:rPr>
        <w:t>i</w:t>
      </w:r>
      <w:r w:rsidRPr="00111B13">
        <w:rPr>
          <w:rFonts w:eastAsia="Times New Roman" w:cs="Times New Roman"/>
          <w:iCs/>
          <w:color w:val="000000"/>
          <w:szCs w:val="24"/>
          <w:lang w:eastAsia="lv-LV"/>
        </w:rPr>
        <w:t xml:space="preserve">r tiesības uzstāties tiesas debatēs, ja nepiedalās aizstāvis. Savukārt Kriminālprocesa likuma </w:t>
      </w:r>
      <w:proofErr w:type="gramStart"/>
      <w:r w:rsidRPr="00111B13">
        <w:rPr>
          <w:rFonts w:eastAsia="Times New Roman" w:cs="Times New Roman"/>
          <w:iCs/>
          <w:color w:val="000000"/>
          <w:szCs w:val="24"/>
          <w:lang w:eastAsia="lv-LV"/>
        </w:rPr>
        <w:t>86.panta</w:t>
      </w:r>
      <w:proofErr w:type="gramEnd"/>
      <w:r w:rsidRPr="00111B13">
        <w:rPr>
          <w:rFonts w:eastAsia="Times New Roman" w:cs="Times New Roman"/>
          <w:iCs/>
          <w:color w:val="000000"/>
          <w:szCs w:val="24"/>
          <w:lang w:eastAsia="lv-LV"/>
        </w:rPr>
        <w:t xml:space="preserve"> pirmās daļas 5.punkts no</w:t>
      </w:r>
      <w:r w:rsidR="000230E0" w:rsidRPr="00111B13">
        <w:rPr>
          <w:rFonts w:eastAsia="Times New Roman" w:cs="Times New Roman"/>
          <w:iCs/>
          <w:color w:val="000000"/>
          <w:szCs w:val="24"/>
          <w:lang w:eastAsia="lv-LV"/>
        </w:rPr>
        <w:t>teic</w:t>
      </w:r>
      <w:r w:rsidRPr="00111B13">
        <w:rPr>
          <w:rFonts w:eastAsia="Times New Roman" w:cs="Times New Roman"/>
          <w:iCs/>
          <w:color w:val="000000"/>
          <w:szCs w:val="24"/>
          <w:lang w:eastAsia="lv-LV"/>
        </w:rPr>
        <w:t>, ka aizstāvim ir tiesības uzstāties tiesas debatēs. Kā Senāts</w:t>
      </w:r>
      <w:r w:rsidR="000230E0" w:rsidRPr="00111B13">
        <w:rPr>
          <w:rFonts w:eastAsia="Times New Roman" w:cs="Times New Roman"/>
          <w:iCs/>
          <w:color w:val="000000"/>
          <w:szCs w:val="24"/>
          <w:lang w:eastAsia="lv-LV"/>
        </w:rPr>
        <w:t xml:space="preserve"> jau </w:t>
      </w:r>
      <w:r w:rsidRPr="00111B13">
        <w:rPr>
          <w:rFonts w:eastAsia="Times New Roman" w:cs="Times New Roman"/>
          <w:iCs/>
          <w:color w:val="000000"/>
          <w:szCs w:val="24"/>
          <w:lang w:eastAsia="lv-LV"/>
        </w:rPr>
        <w:t>iepriekš</w:t>
      </w:r>
      <w:r w:rsidR="000A3BAA" w:rsidRPr="00111B13">
        <w:rPr>
          <w:rFonts w:eastAsia="Times New Roman" w:cs="Times New Roman"/>
          <w:iCs/>
          <w:color w:val="000000"/>
          <w:szCs w:val="24"/>
          <w:lang w:eastAsia="lv-LV"/>
        </w:rPr>
        <w:t xml:space="preserve"> norādījis,</w:t>
      </w:r>
      <w:r w:rsidRPr="00111B13">
        <w:rPr>
          <w:rFonts w:eastAsia="Times New Roman" w:cs="Times New Roman"/>
          <w:iCs/>
          <w:color w:val="000000"/>
          <w:szCs w:val="24"/>
          <w:lang w:eastAsia="lv-LV"/>
        </w:rPr>
        <w:t xml:space="preserve"> </w:t>
      </w:r>
      <w:r w:rsidR="006864C4" w:rsidRPr="00111B13">
        <w:rPr>
          <w:rFonts w:eastAsia="Times New Roman" w:cs="Times New Roman"/>
          <w:iCs/>
          <w:color w:val="000000"/>
          <w:szCs w:val="24"/>
          <w:lang w:eastAsia="lv-LV"/>
        </w:rPr>
        <w:t xml:space="preserve">tiesības uzstāties </w:t>
      </w:r>
      <w:r w:rsidR="00E87704" w:rsidRPr="00111B13">
        <w:rPr>
          <w:rFonts w:eastAsia="Times New Roman" w:cs="Times New Roman"/>
          <w:iCs/>
          <w:color w:val="000000"/>
          <w:szCs w:val="24"/>
          <w:lang w:eastAsia="lv-LV"/>
        </w:rPr>
        <w:t xml:space="preserve">tiesas </w:t>
      </w:r>
      <w:r w:rsidR="006864C4" w:rsidRPr="00111B13">
        <w:rPr>
          <w:rFonts w:eastAsia="Times New Roman" w:cs="Times New Roman"/>
          <w:iCs/>
          <w:color w:val="000000"/>
          <w:szCs w:val="24"/>
          <w:lang w:eastAsia="lv-LV"/>
        </w:rPr>
        <w:t>debatēs ir saistītas ar tiesībām uz repliku.</w:t>
      </w:r>
      <w:r w:rsidR="00B035B5" w:rsidRPr="00111B13">
        <w:rPr>
          <w:rFonts w:eastAsia="Times New Roman" w:cs="Times New Roman"/>
          <w:iCs/>
          <w:color w:val="000000"/>
          <w:szCs w:val="24"/>
          <w:lang w:eastAsia="lv-LV"/>
        </w:rPr>
        <w:t xml:space="preserve"> </w:t>
      </w:r>
      <w:r w:rsidR="000230E0" w:rsidRPr="00111B13">
        <w:rPr>
          <w:rFonts w:eastAsia="Times New Roman" w:cs="Times New Roman"/>
          <w:iCs/>
          <w:color w:val="000000"/>
          <w:szCs w:val="24"/>
          <w:lang w:eastAsia="lv-LV"/>
        </w:rPr>
        <w:t xml:space="preserve">Savukārt šo </w:t>
      </w:r>
      <w:r w:rsidR="00B035B5" w:rsidRPr="00111B13">
        <w:rPr>
          <w:rFonts w:eastAsia="Times New Roman" w:cs="Times New Roman"/>
          <w:iCs/>
          <w:color w:val="000000"/>
          <w:szCs w:val="24"/>
          <w:lang w:eastAsia="lv-LV"/>
        </w:rPr>
        <w:t xml:space="preserve">tiesību </w:t>
      </w:r>
      <w:r w:rsidR="000230E0" w:rsidRPr="00111B13">
        <w:rPr>
          <w:rFonts w:eastAsia="Times New Roman" w:cs="Times New Roman"/>
          <w:iCs/>
          <w:color w:val="000000"/>
          <w:szCs w:val="24"/>
          <w:lang w:eastAsia="lv-LV"/>
        </w:rPr>
        <w:t>īstenošana</w:t>
      </w:r>
      <w:r w:rsidR="00B035B5" w:rsidRPr="00111B13">
        <w:rPr>
          <w:rFonts w:eastAsia="Times New Roman" w:cs="Times New Roman"/>
          <w:iCs/>
          <w:color w:val="000000"/>
          <w:szCs w:val="24"/>
          <w:lang w:eastAsia="lv-LV"/>
        </w:rPr>
        <w:t xml:space="preserve"> ir saistāma ar Kriminālprocesa likuma </w:t>
      </w:r>
      <w:proofErr w:type="gramStart"/>
      <w:r w:rsidR="00B035B5" w:rsidRPr="00111B13">
        <w:rPr>
          <w:rFonts w:eastAsia="Times New Roman" w:cs="Times New Roman"/>
          <w:iCs/>
          <w:color w:val="000000"/>
          <w:szCs w:val="24"/>
          <w:lang w:eastAsia="lv-LV"/>
        </w:rPr>
        <w:t>20.pantā</w:t>
      </w:r>
      <w:proofErr w:type="gramEnd"/>
      <w:r w:rsidR="00B035B5" w:rsidRPr="00111B13">
        <w:rPr>
          <w:rFonts w:eastAsia="Times New Roman" w:cs="Times New Roman"/>
          <w:iCs/>
          <w:color w:val="000000"/>
          <w:szCs w:val="24"/>
          <w:lang w:eastAsia="lv-LV"/>
        </w:rPr>
        <w:t xml:space="preserve"> nostiprināto kriminālprocesa pamatprincipu </w:t>
      </w:r>
      <w:r w:rsidR="000230E0" w:rsidRPr="00111B13">
        <w:rPr>
          <w:rFonts w:eastAsia="Times New Roman" w:cs="Times New Roman"/>
          <w:iCs/>
          <w:color w:val="000000"/>
          <w:szCs w:val="24"/>
          <w:lang w:eastAsia="lv-LV"/>
        </w:rPr>
        <w:t>–</w:t>
      </w:r>
      <w:r w:rsidR="00CD2565">
        <w:rPr>
          <w:rFonts w:eastAsia="Times New Roman" w:cs="Times New Roman"/>
          <w:iCs/>
          <w:color w:val="000000"/>
          <w:szCs w:val="24"/>
          <w:lang w:eastAsia="lv-LV"/>
        </w:rPr>
        <w:t xml:space="preserve"> </w:t>
      </w:r>
      <w:r w:rsidR="00B035B5" w:rsidRPr="00111B13">
        <w:rPr>
          <w:rFonts w:eastAsia="Times New Roman" w:cs="Times New Roman"/>
          <w:iCs/>
          <w:color w:val="000000"/>
          <w:szCs w:val="24"/>
          <w:lang w:eastAsia="lv-LV"/>
        </w:rPr>
        <w:t>tiesībām uz aizstāvību.</w:t>
      </w:r>
      <w:r w:rsidR="00A4574D" w:rsidRPr="00111B13">
        <w:rPr>
          <w:rFonts w:eastAsia="Times New Roman" w:cs="Times New Roman"/>
          <w:iCs/>
          <w:color w:val="000000"/>
          <w:szCs w:val="24"/>
          <w:lang w:eastAsia="lv-LV"/>
        </w:rPr>
        <w:t xml:space="preserve"> Liedzot </w:t>
      </w:r>
      <w:r w:rsidR="00E87704" w:rsidRPr="00111B13">
        <w:rPr>
          <w:rFonts w:eastAsia="Times New Roman" w:cs="Times New Roman"/>
          <w:iCs/>
          <w:color w:val="000000"/>
          <w:szCs w:val="24"/>
          <w:lang w:eastAsia="lv-LV"/>
        </w:rPr>
        <w:t>apsūdzētajam vai viņa aizstāvim</w:t>
      </w:r>
      <w:r w:rsidR="00C25556" w:rsidRPr="00111B13">
        <w:rPr>
          <w:rFonts w:eastAsia="Times New Roman" w:cs="Times New Roman"/>
          <w:iCs/>
          <w:color w:val="000000"/>
          <w:szCs w:val="24"/>
          <w:lang w:eastAsia="lv-LV"/>
        </w:rPr>
        <w:t xml:space="preserve"> </w:t>
      </w:r>
      <w:r w:rsidR="000230E0" w:rsidRPr="00111B13">
        <w:rPr>
          <w:rFonts w:eastAsia="Times New Roman" w:cs="Times New Roman"/>
          <w:iCs/>
          <w:color w:val="000000"/>
          <w:szCs w:val="24"/>
          <w:lang w:eastAsia="lv-LV"/>
        </w:rPr>
        <w:t>īstenot</w:t>
      </w:r>
      <w:r w:rsidR="00A4574D" w:rsidRPr="00111B13">
        <w:rPr>
          <w:rFonts w:eastAsia="Times New Roman" w:cs="Times New Roman"/>
          <w:iCs/>
          <w:color w:val="000000"/>
          <w:szCs w:val="24"/>
          <w:lang w:eastAsia="lv-LV"/>
        </w:rPr>
        <w:t xml:space="preserve"> tiesības uzstāties tiesas debatēs, kā arī izteikt repliku, ja apsūdzētais vai aizstāvis izteicis šādu vēlmi, tiek ierobežotas tiesības uz aizstāvību</w:t>
      </w:r>
      <w:r w:rsidR="00F22AF5" w:rsidRPr="00111B13">
        <w:rPr>
          <w:rFonts w:eastAsia="Times New Roman" w:cs="Times New Roman"/>
          <w:iCs/>
          <w:color w:val="000000"/>
          <w:szCs w:val="24"/>
          <w:lang w:eastAsia="lv-LV"/>
        </w:rPr>
        <w:t>, kā arī tiesības uz taisnīgu tiesu</w:t>
      </w:r>
      <w:r w:rsidR="000230E0" w:rsidRPr="00111B13">
        <w:rPr>
          <w:rFonts w:eastAsia="Times New Roman" w:cs="Times New Roman"/>
          <w:iCs/>
          <w:color w:val="000000"/>
          <w:szCs w:val="24"/>
          <w:lang w:eastAsia="lv-LV"/>
        </w:rPr>
        <w:t xml:space="preserve"> kopumā</w:t>
      </w:r>
      <w:r w:rsidR="00A4574D" w:rsidRPr="00111B13">
        <w:rPr>
          <w:rFonts w:eastAsia="Times New Roman" w:cs="Times New Roman"/>
          <w:iCs/>
          <w:color w:val="000000"/>
          <w:szCs w:val="24"/>
          <w:lang w:eastAsia="lv-LV"/>
        </w:rPr>
        <w:t>.</w:t>
      </w:r>
      <w:r w:rsidR="00C373DE">
        <w:rPr>
          <w:rFonts w:eastAsia="Times New Roman" w:cs="Times New Roman"/>
          <w:iCs/>
          <w:color w:val="000000"/>
          <w:szCs w:val="24"/>
          <w:lang w:eastAsia="lv-LV"/>
        </w:rPr>
        <w:t xml:space="preserve"> </w:t>
      </w:r>
    </w:p>
    <w:p w14:paraId="0F24666C" w14:textId="6E19832F" w:rsidR="00D66346" w:rsidRPr="007B73C0" w:rsidRDefault="00472BF1" w:rsidP="00D66346">
      <w:pPr>
        <w:autoSpaceDE w:val="0"/>
        <w:autoSpaceDN w:val="0"/>
        <w:adjustRightInd w:val="0"/>
        <w:spacing w:after="0" w:line="276" w:lineRule="auto"/>
        <w:ind w:firstLine="720"/>
        <w:jc w:val="both"/>
        <w:rPr>
          <w:rFonts w:cs="Times New Roman"/>
        </w:rPr>
      </w:pPr>
      <w:r w:rsidRPr="00111B13">
        <w:rPr>
          <w:rFonts w:cs="Times New Roman"/>
        </w:rPr>
        <w:t xml:space="preserve">Eiropas Cilvēktiesību tiesa </w:t>
      </w:r>
      <w:proofErr w:type="gramStart"/>
      <w:r w:rsidRPr="00111B13">
        <w:rPr>
          <w:rFonts w:cs="Times New Roman"/>
        </w:rPr>
        <w:t>2013.gada</w:t>
      </w:r>
      <w:proofErr w:type="gramEnd"/>
      <w:r w:rsidRPr="00111B13">
        <w:rPr>
          <w:rFonts w:cs="Times New Roman"/>
        </w:rPr>
        <w:t xml:space="preserve"> 25.aprīļa spriedumā lietā </w:t>
      </w:r>
      <w:proofErr w:type="spellStart"/>
      <w:r w:rsidRPr="00111B13">
        <w:rPr>
          <w:rFonts w:cs="Times New Roman"/>
          <w:i/>
          <w:iCs/>
        </w:rPr>
        <w:t>Zahirović</w:t>
      </w:r>
      <w:proofErr w:type="spellEnd"/>
      <w:r w:rsidRPr="00111B13">
        <w:rPr>
          <w:rFonts w:cs="Times New Roman"/>
        </w:rPr>
        <w:t xml:space="preserve"> </w:t>
      </w:r>
      <w:r w:rsidRPr="00111B13">
        <w:rPr>
          <w:rFonts w:cs="Times New Roman"/>
          <w:i/>
          <w:iCs/>
        </w:rPr>
        <w:t>pret Horvātiju</w:t>
      </w:r>
      <w:r w:rsidRPr="00111B13">
        <w:rPr>
          <w:rFonts w:cs="Times New Roman"/>
        </w:rPr>
        <w:t xml:space="preserve"> norādīja, ka p</w:t>
      </w:r>
      <w:r w:rsidR="00643F42" w:rsidRPr="00111B13">
        <w:rPr>
          <w:rFonts w:cs="Times New Roman"/>
        </w:rPr>
        <w:t>ušu līdztiesības princips ir viens no taisnīgas tiesas konceptā ietilpstošajiem elementiem, kas sevī ietver arī fundamentālu tiesību, ka kriminālprocesam būtu</w:t>
      </w:r>
      <w:r w:rsidR="00DC7205">
        <w:rPr>
          <w:rFonts w:cs="Times New Roman"/>
        </w:rPr>
        <w:t xml:space="preserve"> jānotiek kā sacīkstes procesam (</w:t>
      </w:r>
      <w:r w:rsidR="007B73C0" w:rsidRPr="007B73C0">
        <w:rPr>
          <w:rFonts w:eastAsia="Calibri" w:cs="Times New Roman"/>
          <w:i/>
          <w:szCs w:val="24"/>
        </w:rPr>
        <w:t xml:space="preserve">Eiropas Cilvēktiesību tiesas </w:t>
      </w:r>
      <w:r w:rsidR="007B73C0">
        <w:rPr>
          <w:rFonts w:eastAsia="Calibri" w:cs="Times New Roman"/>
          <w:i/>
          <w:szCs w:val="24"/>
        </w:rPr>
        <w:t>2013</w:t>
      </w:r>
      <w:r w:rsidR="007B73C0" w:rsidRPr="007B73C0">
        <w:rPr>
          <w:rFonts w:eastAsia="Calibri" w:cs="Times New Roman"/>
          <w:i/>
          <w:szCs w:val="24"/>
        </w:rPr>
        <w:t xml:space="preserve">.gada </w:t>
      </w:r>
      <w:r w:rsidR="007B73C0">
        <w:rPr>
          <w:rFonts w:eastAsia="Calibri" w:cs="Times New Roman"/>
          <w:i/>
          <w:szCs w:val="24"/>
        </w:rPr>
        <w:t>25</w:t>
      </w:r>
      <w:r w:rsidR="007B73C0" w:rsidRPr="007B73C0">
        <w:rPr>
          <w:rFonts w:eastAsia="Calibri" w:cs="Times New Roman"/>
          <w:i/>
          <w:szCs w:val="24"/>
        </w:rPr>
        <w:t>.</w:t>
      </w:r>
      <w:r w:rsidR="007B73C0">
        <w:rPr>
          <w:rFonts w:eastAsia="Calibri" w:cs="Times New Roman"/>
          <w:i/>
          <w:szCs w:val="24"/>
        </w:rPr>
        <w:t>aprīļa</w:t>
      </w:r>
      <w:r w:rsidR="007B73C0" w:rsidRPr="007B73C0">
        <w:rPr>
          <w:rFonts w:eastAsia="Calibri" w:cs="Times New Roman"/>
          <w:i/>
          <w:szCs w:val="24"/>
        </w:rPr>
        <w:t xml:space="preserve"> sprieduma lietā </w:t>
      </w:r>
      <w:proofErr w:type="spellStart"/>
      <w:r w:rsidR="007B73C0" w:rsidRPr="007B73C0">
        <w:rPr>
          <w:rFonts w:eastAsia="Calibri" w:cs="Times New Roman"/>
          <w:i/>
          <w:iCs/>
          <w:szCs w:val="24"/>
        </w:rPr>
        <w:t>Zahirović</w:t>
      </w:r>
      <w:proofErr w:type="spellEnd"/>
      <w:r w:rsidR="007B73C0" w:rsidRPr="007B73C0">
        <w:rPr>
          <w:rFonts w:eastAsia="Calibri" w:cs="Times New Roman"/>
          <w:i/>
          <w:szCs w:val="24"/>
        </w:rPr>
        <w:t xml:space="preserve"> </w:t>
      </w:r>
      <w:r w:rsidR="007B73C0" w:rsidRPr="007B73C0">
        <w:rPr>
          <w:rFonts w:eastAsia="Calibri" w:cs="Times New Roman"/>
          <w:i/>
          <w:iCs/>
          <w:szCs w:val="24"/>
        </w:rPr>
        <w:t>pret Horvātiju</w:t>
      </w:r>
      <w:r w:rsidR="007B73C0" w:rsidRPr="007B73C0">
        <w:rPr>
          <w:rFonts w:eastAsia="Calibri" w:cs="Times New Roman"/>
          <w:i/>
          <w:szCs w:val="24"/>
        </w:rPr>
        <w:t>, iesnieguma Nr. 58590/11</w:t>
      </w:r>
      <w:r w:rsidR="007B73C0">
        <w:rPr>
          <w:rFonts w:eastAsia="Calibri" w:cs="Times New Roman"/>
          <w:i/>
          <w:szCs w:val="24"/>
        </w:rPr>
        <w:t>, 42</w:t>
      </w:r>
      <w:r w:rsidR="007B73C0" w:rsidRPr="007B73C0">
        <w:rPr>
          <w:rFonts w:eastAsia="Calibri" w:cs="Times New Roman"/>
          <w:i/>
          <w:szCs w:val="24"/>
        </w:rPr>
        <w:t>.punkts</w:t>
      </w:r>
      <w:r w:rsidR="007B73C0">
        <w:rPr>
          <w:rFonts w:eastAsia="Calibri" w:cs="Times New Roman"/>
          <w:szCs w:val="24"/>
        </w:rPr>
        <w:t>).</w:t>
      </w:r>
      <w:r w:rsidR="00C25556" w:rsidRPr="00111B13">
        <w:rPr>
          <w:rFonts w:cs="Times New Roman"/>
        </w:rPr>
        <w:t xml:space="preserve"> </w:t>
      </w:r>
      <w:r w:rsidR="00C25556" w:rsidRPr="00111B13">
        <w:rPr>
          <w:rFonts w:eastAsia="Times New Roman" w:cs="Times New Roman"/>
          <w:iCs/>
          <w:color w:val="000000"/>
          <w:szCs w:val="24"/>
          <w:lang w:eastAsia="lv-LV"/>
        </w:rPr>
        <w:t>Savukārt n</w:t>
      </w:r>
      <w:r w:rsidR="00AA3591" w:rsidRPr="00111B13">
        <w:rPr>
          <w:rFonts w:eastAsia="Times New Roman" w:cs="Times New Roman"/>
          <w:iCs/>
          <w:color w:val="000000"/>
          <w:szCs w:val="24"/>
          <w:lang w:eastAsia="lv-LV"/>
        </w:rPr>
        <w:t>o Eiropas Cilvēktiesību tiesas 2018.gada 18.decembra sprieduma lietā</w:t>
      </w:r>
      <w:r w:rsidR="00AA3591" w:rsidRPr="00111B13">
        <w:rPr>
          <w:rFonts w:cs="Times New Roman"/>
          <w:sz w:val="20"/>
          <w:szCs w:val="20"/>
        </w:rPr>
        <w:t xml:space="preserve"> </w:t>
      </w:r>
      <w:proofErr w:type="spellStart"/>
      <w:r w:rsidR="00AA3591" w:rsidRPr="00111B13">
        <w:rPr>
          <w:rFonts w:cs="Times New Roman"/>
          <w:i/>
          <w:iCs/>
          <w:szCs w:val="24"/>
        </w:rPr>
        <w:t>Murtazaliyeva</w:t>
      </w:r>
      <w:proofErr w:type="spellEnd"/>
      <w:r w:rsidR="00AA3591" w:rsidRPr="00111B13">
        <w:rPr>
          <w:rFonts w:cs="Times New Roman"/>
          <w:i/>
          <w:iCs/>
          <w:szCs w:val="24"/>
        </w:rPr>
        <w:t xml:space="preserve"> pret Krieviju </w:t>
      </w:r>
      <w:r w:rsidR="00AA3591" w:rsidRPr="00111B13">
        <w:rPr>
          <w:rFonts w:eastAsia="Times New Roman" w:cs="Times New Roman"/>
          <w:iCs/>
          <w:color w:val="000000"/>
          <w:szCs w:val="24"/>
          <w:lang w:eastAsia="lv-LV"/>
        </w:rPr>
        <w:t xml:space="preserve">izriet, ka </w:t>
      </w:r>
      <w:r w:rsidRPr="00111B13">
        <w:rPr>
          <w:rFonts w:cs="Times New Roman"/>
        </w:rPr>
        <w:t>Eiropas Cilvēk</w:t>
      </w:r>
      <w:r w:rsidR="00C25556" w:rsidRPr="00111B13">
        <w:rPr>
          <w:rFonts w:cs="Times New Roman"/>
        </w:rPr>
        <w:t>a tiesību un pamatbrīvību aizsardzības</w:t>
      </w:r>
      <w:r w:rsidRPr="00111B13">
        <w:rPr>
          <w:rFonts w:cs="Times New Roman"/>
        </w:rPr>
        <w:t xml:space="preserve"> konvencijas</w:t>
      </w:r>
      <w:r w:rsidR="0086054A" w:rsidRPr="00111B13">
        <w:rPr>
          <w:rFonts w:cs="Times New Roman"/>
        </w:rPr>
        <w:t xml:space="preserve"> (turpmāk – Konvencija)</w:t>
      </w:r>
      <w:r w:rsidRPr="00111B13">
        <w:rPr>
          <w:rFonts w:cs="Times New Roman"/>
        </w:rPr>
        <w:t xml:space="preserve"> 6.pants savā būtībā garantē apsūdzētā tiesības efektīvi piedalīties lietas iztiesāšanā krimināllietā, kas sevī ietver ne tikai viņa tiesības atrasties klāt lietas iztiesāšanā, bet arī tiesības dzirdēt un sekot līdzi procesa norisei. T</w:t>
      </w:r>
      <w:r w:rsidR="00AA3591" w:rsidRPr="00111B13">
        <w:rPr>
          <w:rFonts w:cs="Times New Roman"/>
        </w:rPr>
        <w:t>iesības uz sacīkstes procesu nozīmē, ka krimināllietā apsūdzības uzturētājam un apsūdzētajam ir jābūt nodrošinātai iespējai uzzināt un izteikties par otras puses secinājumiem</w:t>
      </w:r>
      <w:r w:rsidR="007B73C0">
        <w:rPr>
          <w:rFonts w:cs="Times New Roman"/>
        </w:rPr>
        <w:t xml:space="preserve"> un iesniegtajiem pierādījumiem (</w:t>
      </w:r>
      <w:r w:rsidR="007B73C0" w:rsidRPr="007B73C0">
        <w:rPr>
          <w:rFonts w:cs="Times New Roman"/>
          <w:i/>
        </w:rPr>
        <w:t>Eiropas Cilvēktiesību tiesas 2</w:t>
      </w:r>
      <w:r w:rsidR="007B73C0">
        <w:rPr>
          <w:rFonts w:cs="Times New Roman"/>
          <w:i/>
        </w:rPr>
        <w:t>018</w:t>
      </w:r>
      <w:r w:rsidR="007B73C0" w:rsidRPr="007B73C0">
        <w:rPr>
          <w:rFonts w:cs="Times New Roman"/>
          <w:i/>
        </w:rPr>
        <w:t xml:space="preserve">.gada </w:t>
      </w:r>
      <w:r w:rsidR="007B73C0">
        <w:rPr>
          <w:rFonts w:cs="Times New Roman"/>
          <w:i/>
        </w:rPr>
        <w:t>18</w:t>
      </w:r>
      <w:r w:rsidR="007B73C0" w:rsidRPr="007B73C0">
        <w:rPr>
          <w:rFonts w:cs="Times New Roman"/>
          <w:i/>
        </w:rPr>
        <w:t>.</w:t>
      </w:r>
      <w:r w:rsidR="007B73C0">
        <w:rPr>
          <w:rFonts w:cs="Times New Roman"/>
          <w:i/>
        </w:rPr>
        <w:t>decembra</w:t>
      </w:r>
      <w:r w:rsidR="007B73C0" w:rsidRPr="007B73C0">
        <w:rPr>
          <w:rFonts w:cs="Times New Roman"/>
          <w:i/>
        </w:rPr>
        <w:t xml:space="preserve"> sprieduma lietā </w:t>
      </w:r>
      <w:proofErr w:type="spellStart"/>
      <w:r w:rsidR="007B73C0" w:rsidRPr="007B73C0">
        <w:rPr>
          <w:rFonts w:cs="Times New Roman"/>
          <w:i/>
          <w:iCs/>
        </w:rPr>
        <w:t>Murtazaliyeva</w:t>
      </w:r>
      <w:proofErr w:type="spellEnd"/>
      <w:r w:rsidR="007B73C0" w:rsidRPr="007B73C0">
        <w:rPr>
          <w:rFonts w:cs="Times New Roman"/>
          <w:i/>
          <w:iCs/>
        </w:rPr>
        <w:t xml:space="preserve"> pret Krieviju</w:t>
      </w:r>
      <w:r w:rsidR="007B73C0" w:rsidRPr="007B73C0">
        <w:rPr>
          <w:rFonts w:cs="Times New Roman"/>
          <w:i/>
        </w:rPr>
        <w:t>, iesnieguma Nr. 36658/05, 91.punkts</w:t>
      </w:r>
      <w:r w:rsidR="007B73C0">
        <w:rPr>
          <w:rFonts w:cs="Times New Roman"/>
        </w:rPr>
        <w:t>).</w:t>
      </w:r>
    </w:p>
    <w:p w14:paraId="0EE6A53E" w14:textId="389ED63F" w:rsidR="00FC183B" w:rsidRDefault="007011D8" w:rsidP="00FC183B">
      <w:pPr>
        <w:autoSpaceDE w:val="0"/>
        <w:autoSpaceDN w:val="0"/>
        <w:adjustRightInd w:val="0"/>
        <w:spacing w:after="0" w:line="276" w:lineRule="auto"/>
        <w:ind w:firstLine="720"/>
        <w:jc w:val="both"/>
        <w:rPr>
          <w:rFonts w:cs="Times New Roman"/>
        </w:rPr>
      </w:pPr>
      <w:r w:rsidRPr="00111B13">
        <w:rPr>
          <w:rFonts w:cs="Times New Roman"/>
        </w:rPr>
        <w:t xml:space="preserve">Ne </w:t>
      </w:r>
      <w:r w:rsidR="0086054A" w:rsidRPr="00111B13">
        <w:rPr>
          <w:rFonts w:cs="Times New Roman"/>
        </w:rPr>
        <w:t>K</w:t>
      </w:r>
      <w:r w:rsidR="0061361E">
        <w:rPr>
          <w:rFonts w:cs="Times New Roman"/>
        </w:rPr>
        <w:t xml:space="preserve">onvencijas </w:t>
      </w:r>
      <w:proofErr w:type="gramStart"/>
      <w:r w:rsidR="0061361E">
        <w:rPr>
          <w:rFonts w:cs="Times New Roman"/>
        </w:rPr>
        <w:t>6.</w:t>
      </w:r>
      <w:r w:rsidRPr="00111B13">
        <w:rPr>
          <w:rFonts w:cs="Times New Roman"/>
        </w:rPr>
        <w:t>panta</w:t>
      </w:r>
      <w:proofErr w:type="gramEnd"/>
      <w:r w:rsidRPr="00111B13">
        <w:rPr>
          <w:rFonts w:cs="Times New Roman"/>
        </w:rPr>
        <w:t xml:space="preserve"> burts, ne gars neliedz personai tieši vai klusējot pēc savas gribas atteikties no garantijām, ko sniedz tiesības uz taisnīgu tiesu. Tas attiecas arī uz tiesībām uz juridisko palīdzību. Tomēr, lai atteikšanās būtu efektīva un atbilstoša Konvencijas mērķiem, tā jāizsaka viennozīmīgi un uz to jāattiecina minimāli aizsardzības pasākumi, kas ir proporcionāli tās nozīmīgumam. Šādam atteikumam nav jābūt skaidri izteiktam, bet tam jābūt brīvprātīgam un jāveido apzināta un saprātīga atteikšanās no tiesībām. Lai varētu apgalvot, ka apsūdzētais ar savu rīcību netieši ir atteicies</w:t>
      </w:r>
      <w:r w:rsidR="00EF7F44">
        <w:rPr>
          <w:rFonts w:cs="Times New Roman"/>
        </w:rPr>
        <w:t xml:space="preserve"> no nozīmīgām ar Konvencijas </w:t>
      </w:r>
      <w:proofErr w:type="gramStart"/>
      <w:r w:rsidR="00EF7F44">
        <w:rPr>
          <w:rFonts w:cs="Times New Roman"/>
        </w:rPr>
        <w:t>6.</w:t>
      </w:r>
      <w:r w:rsidRPr="00111B13">
        <w:rPr>
          <w:rFonts w:cs="Times New Roman"/>
        </w:rPr>
        <w:t>pantu</w:t>
      </w:r>
      <w:proofErr w:type="gramEnd"/>
      <w:r w:rsidRPr="00111B13">
        <w:rPr>
          <w:rFonts w:cs="Times New Roman"/>
        </w:rPr>
        <w:t xml:space="preserve"> garantētajām tiesībām, ir jāpierāda, ka viņš varēja pamatoti paredzēt, kādas būs viņa rīcības sekas. Turklāt atteikšanās nedrīkst būt pretrunā ar svarīgām sabiedrības interesēm</w:t>
      </w:r>
      <w:r w:rsidR="00C57E01">
        <w:rPr>
          <w:rFonts w:cs="Times New Roman"/>
        </w:rPr>
        <w:t xml:space="preserve"> (</w:t>
      </w:r>
      <w:r w:rsidR="00704E7A" w:rsidRPr="00111B13">
        <w:rPr>
          <w:rFonts w:cs="Times New Roman"/>
          <w:i/>
          <w:iCs/>
        </w:rPr>
        <w:t>E</w:t>
      </w:r>
      <w:r w:rsidR="00E27709" w:rsidRPr="00111B13">
        <w:rPr>
          <w:rFonts w:cs="Times New Roman"/>
          <w:i/>
          <w:iCs/>
        </w:rPr>
        <w:t xml:space="preserve">iropas Cilvēktiesību tiesas </w:t>
      </w:r>
      <w:proofErr w:type="gramStart"/>
      <w:r w:rsidR="00E27709" w:rsidRPr="00111B13">
        <w:rPr>
          <w:rFonts w:cs="Times New Roman"/>
          <w:i/>
          <w:iCs/>
        </w:rPr>
        <w:t>2019.gada</w:t>
      </w:r>
      <w:proofErr w:type="gramEnd"/>
      <w:r w:rsidR="00E27709" w:rsidRPr="00111B13">
        <w:rPr>
          <w:rFonts w:cs="Times New Roman"/>
          <w:i/>
          <w:iCs/>
        </w:rPr>
        <w:t xml:space="preserve"> 30.jūlija</w:t>
      </w:r>
      <w:r w:rsidR="00C57E01">
        <w:rPr>
          <w:rFonts w:cs="Times New Roman"/>
          <w:i/>
          <w:iCs/>
        </w:rPr>
        <w:t xml:space="preserve"> sprieduma</w:t>
      </w:r>
      <w:r w:rsidR="00704E7A" w:rsidRPr="00111B13">
        <w:rPr>
          <w:rFonts w:cs="Times New Roman"/>
          <w:i/>
          <w:iCs/>
        </w:rPr>
        <w:t xml:space="preserve"> lietā </w:t>
      </w:r>
      <w:proofErr w:type="spellStart"/>
      <w:r w:rsidR="00704E7A" w:rsidRPr="00111B13">
        <w:rPr>
          <w:rFonts w:cs="Times New Roman"/>
          <w:i/>
          <w:iCs/>
        </w:rPr>
        <w:t>Harun</w:t>
      </w:r>
      <w:proofErr w:type="spellEnd"/>
      <w:r w:rsidR="00704E7A" w:rsidRPr="00111B13">
        <w:rPr>
          <w:rFonts w:cs="Times New Roman"/>
          <w:i/>
          <w:iCs/>
        </w:rPr>
        <w:t xml:space="preserve"> </w:t>
      </w:r>
      <w:proofErr w:type="spellStart"/>
      <w:r w:rsidR="00704E7A" w:rsidRPr="00111B13">
        <w:rPr>
          <w:rFonts w:cs="Times New Roman"/>
          <w:i/>
          <w:iCs/>
        </w:rPr>
        <w:t>Grübüz</w:t>
      </w:r>
      <w:proofErr w:type="spellEnd"/>
      <w:r w:rsidR="00704E7A" w:rsidRPr="00111B13">
        <w:rPr>
          <w:rFonts w:cs="Times New Roman"/>
          <w:i/>
          <w:iCs/>
        </w:rPr>
        <w:t xml:space="preserve"> </w:t>
      </w:r>
      <w:r w:rsidR="00E27709" w:rsidRPr="00111B13">
        <w:rPr>
          <w:rFonts w:cs="Times New Roman"/>
          <w:i/>
          <w:iCs/>
        </w:rPr>
        <w:t>pret Turciju</w:t>
      </w:r>
      <w:r w:rsidR="00C57E01">
        <w:rPr>
          <w:rFonts w:cs="Times New Roman"/>
          <w:i/>
          <w:iCs/>
        </w:rPr>
        <w:t xml:space="preserve">, </w:t>
      </w:r>
      <w:r w:rsidR="00704E7A" w:rsidRPr="00111B13">
        <w:rPr>
          <w:rFonts w:cs="Times New Roman"/>
          <w:i/>
          <w:iCs/>
        </w:rPr>
        <w:t>iesnieguma Nr.</w:t>
      </w:r>
      <w:r w:rsidR="008D7FB6" w:rsidRPr="00111B13">
        <w:rPr>
          <w:rFonts w:cs="Times New Roman"/>
          <w:i/>
          <w:iCs/>
        </w:rPr>
        <w:t> </w:t>
      </w:r>
      <w:r w:rsidR="00C57E01">
        <w:rPr>
          <w:rFonts w:cs="Times New Roman"/>
          <w:i/>
          <w:iCs/>
        </w:rPr>
        <w:t>68556/10, 59.punkts;</w:t>
      </w:r>
      <w:r w:rsidR="00704E7A" w:rsidRPr="00111B13">
        <w:rPr>
          <w:rFonts w:cs="Times New Roman"/>
          <w:i/>
          <w:iCs/>
        </w:rPr>
        <w:t xml:space="preserve"> </w:t>
      </w:r>
      <w:r w:rsidR="00E27709" w:rsidRPr="00111B13">
        <w:rPr>
          <w:rFonts w:cs="Times New Roman"/>
          <w:i/>
          <w:iCs/>
        </w:rPr>
        <w:t>Eiropas Cilvēktiesību tiesas 2018.gada 12.aprīļa</w:t>
      </w:r>
      <w:r w:rsidR="00C57E01">
        <w:rPr>
          <w:rFonts w:cs="Times New Roman"/>
          <w:i/>
          <w:iCs/>
        </w:rPr>
        <w:t xml:space="preserve"> sprieduma</w:t>
      </w:r>
      <w:r w:rsidR="00704E7A" w:rsidRPr="00111B13">
        <w:rPr>
          <w:rFonts w:cs="Times New Roman"/>
          <w:i/>
          <w:iCs/>
        </w:rPr>
        <w:t xml:space="preserve"> lietā Goran </w:t>
      </w:r>
      <w:proofErr w:type="spellStart"/>
      <w:r w:rsidR="00704E7A" w:rsidRPr="00111B13">
        <w:rPr>
          <w:rFonts w:cs="Times New Roman"/>
          <w:i/>
          <w:iCs/>
        </w:rPr>
        <w:t>Kovačevič</w:t>
      </w:r>
      <w:proofErr w:type="spellEnd"/>
      <w:r w:rsidR="00704E7A" w:rsidRPr="00111B13">
        <w:rPr>
          <w:rFonts w:cs="Times New Roman"/>
          <w:i/>
          <w:iCs/>
        </w:rPr>
        <w:t xml:space="preserve"> </w:t>
      </w:r>
      <w:r w:rsidR="00E27709" w:rsidRPr="00111B13">
        <w:rPr>
          <w:rFonts w:cs="Times New Roman"/>
          <w:i/>
          <w:iCs/>
        </w:rPr>
        <w:t>pret Horvātiju</w:t>
      </w:r>
      <w:r w:rsidR="00C57E01">
        <w:rPr>
          <w:rFonts w:cs="Times New Roman"/>
          <w:i/>
          <w:iCs/>
        </w:rPr>
        <w:t xml:space="preserve">, </w:t>
      </w:r>
      <w:r w:rsidR="00704E7A" w:rsidRPr="00111B13">
        <w:rPr>
          <w:rFonts w:cs="Times New Roman"/>
          <w:i/>
          <w:iCs/>
        </w:rPr>
        <w:t>iesnieguma Nr.</w:t>
      </w:r>
      <w:r w:rsidR="008D7FB6" w:rsidRPr="00111B13">
        <w:rPr>
          <w:rFonts w:cs="Times New Roman"/>
          <w:i/>
          <w:iCs/>
        </w:rPr>
        <w:t> </w:t>
      </w:r>
      <w:r w:rsidR="00C57E01">
        <w:rPr>
          <w:rFonts w:cs="Times New Roman"/>
          <w:i/>
          <w:iCs/>
        </w:rPr>
        <w:t>34804/14, 70.punkts;</w:t>
      </w:r>
      <w:r w:rsidR="00704E7A" w:rsidRPr="00111B13">
        <w:rPr>
          <w:rFonts w:cs="Times New Roman"/>
          <w:i/>
          <w:iCs/>
        </w:rPr>
        <w:t xml:space="preserve"> </w:t>
      </w:r>
      <w:r w:rsidR="00E27709" w:rsidRPr="00111B13">
        <w:rPr>
          <w:rFonts w:cs="Times New Roman"/>
          <w:i/>
          <w:iCs/>
        </w:rPr>
        <w:t>Eiropas Cilvēktiesību tiesas 2017.gada 12.maija</w:t>
      </w:r>
      <w:r w:rsidR="00C57E01">
        <w:rPr>
          <w:rFonts w:cs="Times New Roman"/>
          <w:i/>
          <w:iCs/>
        </w:rPr>
        <w:t xml:space="preserve"> sprieduma</w:t>
      </w:r>
      <w:r w:rsidR="00704E7A" w:rsidRPr="00111B13">
        <w:rPr>
          <w:rFonts w:cs="Times New Roman"/>
          <w:i/>
          <w:iCs/>
        </w:rPr>
        <w:t xml:space="preserve"> lietā </w:t>
      </w:r>
      <w:proofErr w:type="spellStart"/>
      <w:r w:rsidR="00704E7A" w:rsidRPr="00111B13">
        <w:rPr>
          <w:rFonts w:cs="Times New Roman"/>
          <w:i/>
          <w:iCs/>
        </w:rPr>
        <w:t>Simeonovi</w:t>
      </w:r>
      <w:proofErr w:type="spellEnd"/>
      <w:r w:rsidR="00704E7A" w:rsidRPr="00111B13">
        <w:rPr>
          <w:rFonts w:cs="Times New Roman"/>
          <w:i/>
          <w:iCs/>
        </w:rPr>
        <w:t xml:space="preserve"> </w:t>
      </w:r>
      <w:r w:rsidR="00E27709" w:rsidRPr="00111B13">
        <w:rPr>
          <w:rFonts w:cs="Times New Roman"/>
          <w:i/>
          <w:iCs/>
        </w:rPr>
        <w:t>pret Bulgāriju</w:t>
      </w:r>
      <w:r w:rsidR="00C57E01">
        <w:rPr>
          <w:rFonts w:cs="Times New Roman"/>
          <w:i/>
          <w:iCs/>
        </w:rPr>
        <w:t xml:space="preserve">, </w:t>
      </w:r>
      <w:r w:rsidR="00704E7A" w:rsidRPr="00111B13">
        <w:rPr>
          <w:rFonts w:cs="Times New Roman"/>
          <w:i/>
          <w:iCs/>
        </w:rPr>
        <w:t>iesnieguma Nr.</w:t>
      </w:r>
      <w:r w:rsidR="008D7FB6" w:rsidRPr="00111B13">
        <w:rPr>
          <w:rFonts w:cs="Times New Roman"/>
          <w:i/>
          <w:iCs/>
        </w:rPr>
        <w:t> </w:t>
      </w:r>
      <w:r w:rsidR="00C57E01">
        <w:rPr>
          <w:rFonts w:cs="Times New Roman"/>
          <w:i/>
          <w:iCs/>
        </w:rPr>
        <w:t>21980/04, 115.punkts;</w:t>
      </w:r>
      <w:r w:rsidR="00704E7A" w:rsidRPr="00111B13">
        <w:rPr>
          <w:rFonts w:cs="Times New Roman"/>
          <w:i/>
          <w:iCs/>
        </w:rPr>
        <w:t xml:space="preserve"> Eiropas Cilvēktiesību ti</w:t>
      </w:r>
      <w:r w:rsidR="00C57E01">
        <w:rPr>
          <w:rFonts w:cs="Times New Roman"/>
          <w:i/>
          <w:iCs/>
        </w:rPr>
        <w:t>esas 2006.gada 1.marta sprieduma</w:t>
      </w:r>
      <w:r w:rsidR="00704E7A" w:rsidRPr="00111B13">
        <w:rPr>
          <w:rFonts w:cs="Times New Roman"/>
          <w:i/>
          <w:iCs/>
        </w:rPr>
        <w:t xml:space="preserve"> lietā </w:t>
      </w:r>
      <w:proofErr w:type="spellStart"/>
      <w:r w:rsidR="00704E7A" w:rsidRPr="00111B13">
        <w:rPr>
          <w:rFonts w:cs="Times New Roman"/>
          <w:i/>
          <w:iCs/>
        </w:rPr>
        <w:t>Sejdovic</w:t>
      </w:r>
      <w:proofErr w:type="spellEnd"/>
      <w:r w:rsidR="00C57E01">
        <w:rPr>
          <w:rFonts w:cs="Times New Roman"/>
          <w:i/>
          <w:iCs/>
        </w:rPr>
        <w:t xml:space="preserve"> pret Itāliju, </w:t>
      </w:r>
      <w:r w:rsidR="00704E7A" w:rsidRPr="00111B13">
        <w:rPr>
          <w:rFonts w:cs="Times New Roman"/>
          <w:i/>
          <w:iCs/>
        </w:rPr>
        <w:t xml:space="preserve">iesnieguma </w:t>
      </w:r>
      <w:r w:rsidR="008D7FB6" w:rsidRPr="00111B13">
        <w:rPr>
          <w:rFonts w:cs="Times New Roman"/>
          <w:i/>
          <w:iCs/>
        </w:rPr>
        <w:t>N</w:t>
      </w:r>
      <w:r w:rsidR="00704E7A" w:rsidRPr="00111B13">
        <w:rPr>
          <w:rFonts w:cs="Times New Roman"/>
          <w:i/>
          <w:iCs/>
        </w:rPr>
        <w:t>r.</w:t>
      </w:r>
      <w:r w:rsidR="008D7FB6" w:rsidRPr="00111B13">
        <w:rPr>
          <w:rFonts w:cs="Times New Roman"/>
          <w:i/>
          <w:iCs/>
        </w:rPr>
        <w:t> </w:t>
      </w:r>
      <w:r w:rsidR="00704E7A" w:rsidRPr="00111B13">
        <w:rPr>
          <w:rFonts w:cs="Times New Roman"/>
          <w:i/>
          <w:iCs/>
        </w:rPr>
        <w:t>56581/00, 86.punkts</w:t>
      </w:r>
      <w:r w:rsidR="00704E7A" w:rsidRPr="00111B13">
        <w:rPr>
          <w:rFonts w:cs="Times New Roman"/>
        </w:rPr>
        <w:t>)</w:t>
      </w:r>
      <w:r w:rsidRPr="00111B13">
        <w:rPr>
          <w:rFonts w:cs="Times New Roman"/>
        </w:rPr>
        <w:t>.</w:t>
      </w:r>
      <w:r w:rsidR="00FC183B">
        <w:rPr>
          <w:rFonts w:cs="Times New Roman"/>
        </w:rPr>
        <w:t xml:space="preserve"> </w:t>
      </w:r>
    </w:p>
    <w:p w14:paraId="2ABC10C7" w14:textId="77777777" w:rsidR="00FC183B" w:rsidRDefault="00CD7BD7" w:rsidP="00FC183B">
      <w:pPr>
        <w:autoSpaceDE w:val="0"/>
        <w:autoSpaceDN w:val="0"/>
        <w:adjustRightInd w:val="0"/>
        <w:spacing w:after="0" w:line="276" w:lineRule="auto"/>
        <w:ind w:firstLine="720"/>
        <w:jc w:val="both"/>
        <w:rPr>
          <w:rFonts w:cs="Times New Roman"/>
        </w:rPr>
      </w:pPr>
      <w:r w:rsidRPr="00111B13">
        <w:rPr>
          <w:rFonts w:cs="Times New Roman"/>
        </w:rPr>
        <w:t xml:space="preserve">Senāts norāda, ka tiesības uzstāties tiesas debatēs un tiesības uz repliku aizstāvis vai apsūdzētais </w:t>
      </w:r>
      <w:r w:rsidR="0086054A" w:rsidRPr="00111B13">
        <w:rPr>
          <w:rFonts w:cs="Times New Roman"/>
        </w:rPr>
        <w:t>īsteno</w:t>
      </w:r>
      <w:r w:rsidRPr="00111B13">
        <w:rPr>
          <w:rFonts w:cs="Times New Roman"/>
        </w:rPr>
        <w:t xml:space="preserve"> atkarībā no savas gribas, proti, gan apsūdzētais, gan aizstāvis var atteikties izmantot kādas no savām tiesībām</w:t>
      </w:r>
      <w:r w:rsidR="0086054A" w:rsidRPr="00111B13">
        <w:rPr>
          <w:rFonts w:cs="Times New Roman"/>
        </w:rPr>
        <w:t>, un</w:t>
      </w:r>
      <w:r w:rsidRPr="00111B13">
        <w:rPr>
          <w:rFonts w:cs="Times New Roman"/>
        </w:rPr>
        <w:t xml:space="preserve"> šāda atteikšanās neveidos tiesību aizskārumu. Vienlaikus šādu tiesību </w:t>
      </w:r>
      <w:r w:rsidR="00634B5E" w:rsidRPr="00111B13">
        <w:rPr>
          <w:rFonts w:cs="Times New Roman"/>
        </w:rPr>
        <w:t xml:space="preserve">nepamatota </w:t>
      </w:r>
      <w:r w:rsidRPr="00111B13">
        <w:rPr>
          <w:rFonts w:cs="Times New Roman"/>
        </w:rPr>
        <w:t xml:space="preserve">ierobežošana vai liegšana pēc būtības neapšaubāmi skar tiesību uz aizstāvību </w:t>
      </w:r>
      <w:r w:rsidR="0086054A" w:rsidRPr="00111B13">
        <w:rPr>
          <w:rFonts w:cs="Times New Roman"/>
        </w:rPr>
        <w:t>īstenošanu un</w:t>
      </w:r>
      <w:r w:rsidRPr="00111B13">
        <w:rPr>
          <w:rFonts w:cs="Times New Roman"/>
        </w:rPr>
        <w:t xml:space="preserve"> ierobežo tiesības uz taisnīgu tiesu.</w:t>
      </w:r>
      <w:r w:rsidR="00FC183B">
        <w:rPr>
          <w:rFonts w:cs="Times New Roman"/>
        </w:rPr>
        <w:t xml:space="preserve"> </w:t>
      </w:r>
    </w:p>
    <w:p w14:paraId="3C9FAD85" w14:textId="77777777" w:rsidR="00212E40" w:rsidRDefault="00071FB1" w:rsidP="00212E40">
      <w:pPr>
        <w:autoSpaceDE w:val="0"/>
        <w:autoSpaceDN w:val="0"/>
        <w:adjustRightInd w:val="0"/>
        <w:spacing w:after="0" w:line="276" w:lineRule="auto"/>
        <w:ind w:firstLine="720"/>
        <w:jc w:val="both"/>
        <w:rPr>
          <w:rFonts w:cs="Times New Roman"/>
        </w:rPr>
      </w:pPr>
      <w:r w:rsidRPr="00111B13">
        <w:rPr>
          <w:rFonts w:cs="Times New Roman"/>
        </w:rPr>
        <w:t xml:space="preserve">Ievērojot minēto, Senāts atzīst par pamatotu apelācijas instances tiesas atzinumu, ka </w:t>
      </w:r>
      <w:r w:rsidR="006126E6" w:rsidRPr="00111B13">
        <w:rPr>
          <w:rFonts w:cs="Times New Roman"/>
        </w:rPr>
        <w:t>izskatāmajā</w:t>
      </w:r>
      <w:r w:rsidRPr="00111B13">
        <w:rPr>
          <w:rFonts w:cs="Times New Roman"/>
        </w:rPr>
        <w:t xml:space="preserve"> lietā, </w:t>
      </w:r>
      <w:proofErr w:type="gramStart"/>
      <w:r w:rsidRPr="00111B13">
        <w:rPr>
          <w:rFonts w:cs="Times New Roman"/>
        </w:rPr>
        <w:t>liedzot aizstāvei</w:t>
      </w:r>
      <w:proofErr w:type="gramEnd"/>
      <w:r w:rsidRPr="00111B13">
        <w:rPr>
          <w:rFonts w:cs="Times New Roman"/>
        </w:rPr>
        <w:t xml:space="preserve"> tiesības uz repliku, pirmās instances tiesa nepamatoti ierobežojusi tiesības uz aizstāvību</w:t>
      </w:r>
      <w:r w:rsidR="000A3BAA" w:rsidRPr="00111B13">
        <w:rPr>
          <w:rFonts w:cs="Times New Roman"/>
        </w:rPr>
        <w:t>,</w:t>
      </w:r>
      <w:r w:rsidRPr="00111B13">
        <w:rPr>
          <w:rFonts w:cs="Times New Roman"/>
        </w:rPr>
        <w:t xml:space="preserve"> un šāds pārkāpums nav novēršams apelācijas instances tiesā.</w:t>
      </w:r>
      <w:r w:rsidR="00212E40">
        <w:rPr>
          <w:rFonts w:cs="Times New Roman"/>
        </w:rPr>
        <w:t xml:space="preserve"> </w:t>
      </w:r>
    </w:p>
    <w:p w14:paraId="62C06D55" w14:textId="77777777" w:rsidR="00212E40" w:rsidRDefault="00212E40" w:rsidP="00212E40">
      <w:pPr>
        <w:autoSpaceDE w:val="0"/>
        <w:autoSpaceDN w:val="0"/>
        <w:adjustRightInd w:val="0"/>
        <w:spacing w:after="0" w:line="276" w:lineRule="auto"/>
        <w:ind w:firstLine="720"/>
        <w:jc w:val="both"/>
        <w:rPr>
          <w:rFonts w:cs="Times New Roman"/>
        </w:rPr>
      </w:pPr>
    </w:p>
    <w:p w14:paraId="7A0F2C04" w14:textId="12F6A3D9" w:rsidR="00965327" w:rsidRDefault="00212E40" w:rsidP="00965327">
      <w:pPr>
        <w:autoSpaceDE w:val="0"/>
        <w:autoSpaceDN w:val="0"/>
        <w:adjustRightInd w:val="0"/>
        <w:spacing w:after="0" w:line="276" w:lineRule="auto"/>
        <w:ind w:firstLine="720"/>
        <w:jc w:val="both"/>
        <w:rPr>
          <w:rFonts w:cs="Times New Roman"/>
        </w:rPr>
      </w:pPr>
      <w:r>
        <w:rPr>
          <w:rFonts w:cs="Times New Roman"/>
          <w:szCs w:val="24"/>
        </w:rPr>
        <w:t>[7</w:t>
      </w:r>
      <w:r w:rsidR="00DD01A4">
        <w:rPr>
          <w:rFonts w:cs="Times New Roman"/>
          <w:szCs w:val="24"/>
        </w:rPr>
        <w:t>] </w:t>
      </w:r>
      <w:r w:rsidR="00CC7A33" w:rsidRPr="00111B13">
        <w:rPr>
          <w:rFonts w:cs="Times New Roman"/>
          <w:szCs w:val="24"/>
        </w:rPr>
        <w:t xml:space="preserve">Senāts </w:t>
      </w:r>
      <w:r w:rsidR="00A51A4E" w:rsidRPr="00111B13">
        <w:rPr>
          <w:rFonts w:cs="Times New Roman"/>
          <w:szCs w:val="24"/>
        </w:rPr>
        <w:t>atzīst</w:t>
      </w:r>
      <w:r w:rsidR="00B7440D" w:rsidRPr="00111B13">
        <w:rPr>
          <w:rFonts w:cs="Times New Roman"/>
          <w:szCs w:val="24"/>
        </w:rPr>
        <w:t xml:space="preserve"> par nepamatotām </w:t>
      </w:r>
      <w:r w:rsidR="00DA2439" w:rsidRPr="00111B13">
        <w:rPr>
          <w:rFonts w:cs="Times New Roman"/>
          <w:szCs w:val="24"/>
        </w:rPr>
        <w:t>virs</w:t>
      </w:r>
      <w:r w:rsidR="00B7440D" w:rsidRPr="00111B13">
        <w:rPr>
          <w:rFonts w:cs="Times New Roman"/>
          <w:szCs w:val="24"/>
        </w:rPr>
        <w:t xml:space="preserve">prokurora </w:t>
      </w:r>
      <w:r w:rsidR="00CC7A33" w:rsidRPr="00111B13">
        <w:rPr>
          <w:rFonts w:cs="Times New Roman"/>
          <w:szCs w:val="24"/>
        </w:rPr>
        <w:t xml:space="preserve">kasācijas protestā </w:t>
      </w:r>
      <w:r w:rsidR="00DA2439" w:rsidRPr="00111B13">
        <w:rPr>
          <w:rFonts w:cs="Times New Roman"/>
          <w:szCs w:val="24"/>
        </w:rPr>
        <w:t>ietvertās norādes par to,</w:t>
      </w:r>
      <w:r w:rsidR="00CC7A33" w:rsidRPr="00111B13">
        <w:rPr>
          <w:rFonts w:cs="Times New Roman"/>
          <w:szCs w:val="24"/>
        </w:rPr>
        <w:t xml:space="preserve"> ka apelācijas instances tiesas lēmums neatbilst </w:t>
      </w:r>
      <w:r w:rsidR="00CC7A33" w:rsidRPr="00111B13">
        <w:rPr>
          <w:rFonts w:eastAsia="Calibri" w:cs="Times New Roman"/>
          <w:szCs w:val="24"/>
        </w:rPr>
        <w:t xml:space="preserve">Kriminālprocesa likuma 511., </w:t>
      </w:r>
      <w:proofErr w:type="gramStart"/>
      <w:r w:rsidR="00CC7A33" w:rsidRPr="00111B13">
        <w:rPr>
          <w:rFonts w:eastAsia="Calibri" w:cs="Times New Roman"/>
          <w:szCs w:val="24"/>
        </w:rPr>
        <w:t>512.</w:t>
      </w:r>
      <w:r w:rsidR="00304537">
        <w:rPr>
          <w:rFonts w:eastAsia="Calibri" w:cs="Times New Roman"/>
          <w:szCs w:val="24"/>
        </w:rPr>
        <w:t>panta</w:t>
      </w:r>
      <w:proofErr w:type="gramEnd"/>
      <w:r w:rsidR="00CC7A33" w:rsidRPr="00111B13">
        <w:rPr>
          <w:rFonts w:eastAsia="Calibri" w:cs="Times New Roman"/>
          <w:szCs w:val="24"/>
        </w:rPr>
        <w:t xml:space="preserve"> un 564.panta ceturtās daļas prasībām, jo apelācijas instances tiesa nav pamatojusi, kāpēc tā vērtē tikai daļu no apelācijas protesta un </w:t>
      </w:r>
      <w:r w:rsidR="00DA2439" w:rsidRPr="00111B13">
        <w:rPr>
          <w:rFonts w:eastAsia="Calibri" w:cs="Times New Roman"/>
          <w:szCs w:val="24"/>
        </w:rPr>
        <w:t xml:space="preserve">apelācijas </w:t>
      </w:r>
      <w:r w:rsidR="00CC7A33" w:rsidRPr="00111B13">
        <w:rPr>
          <w:rFonts w:eastAsia="Calibri" w:cs="Times New Roman"/>
          <w:szCs w:val="24"/>
        </w:rPr>
        <w:t>sūdzību satura</w:t>
      </w:r>
      <w:r w:rsidR="00DA2439" w:rsidRPr="00111B13">
        <w:rPr>
          <w:rFonts w:eastAsia="Calibri" w:cs="Times New Roman"/>
          <w:szCs w:val="24"/>
        </w:rPr>
        <w:t>,</w:t>
      </w:r>
      <w:r w:rsidR="00CC7A33" w:rsidRPr="00111B13">
        <w:rPr>
          <w:rFonts w:eastAsia="Calibri" w:cs="Times New Roman"/>
          <w:szCs w:val="24"/>
        </w:rPr>
        <w:t xml:space="preserve"> un kāpēc netiek izvērtēti pārējie argumenti.</w:t>
      </w:r>
      <w:r w:rsidR="00965327">
        <w:rPr>
          <w:rFonts w:cs="Times New Roman"/>
        </w:rPr>
        <w:t xml:space="preserve"> </w:t>
      </w:r>
    </w:p>
    <w:p w14:paraId="7AB420C1" w14:textId="294EC99E" w:rsidR="00811CB6" w:rsidRDefault="00CC7A33" w:rsidP="00811CB6">
      <w:pPr>
        <w:autoSpaceDE w:val="0"/>
        <w:autoSpaceDN w:val="0"/>
        <w:adjustRightInd w:val="0"/>
        <w:spacing w:after="0" w:line="276" w:lineRule="auto"/>
        <w:ind w:firstLine="720"/>
        <w:jc w:val="both"/>
        <w:rPr>
          <w:rFonts w:eastAsia="Calibri" w:cs="Times New Roman"/>
          <w:szCs w:val="24"/>
        </w:rPr>
      </w:pPr>
      <w:r w:rsidRPr="00111B13">
        <w:rPr>
          <w:rFonts w:eastAsia="Calibri" w:cs="Times New Roman"/>
          <w:szCs w:val="24"/>
        </w:rPr>
        <w:t xml:space="preserve">No apelācijas instances tiesas lēmuma </w:t>
      </w:r>
      <w:r w:rsidR="00D31521" w:rsidRPr="00111B13">
        <w:rPr>
          <w:rFonts w:eastAsia="Calibri" w:cs="Times New Roman"/>
          <w:szCs w:val="24"/>
        </w:rPr>
        <w:t xml:space="preserve">izriet, ka tiesa konstatējusi Kriminālprocesa likuma </w:t>
      </w:r>
      <w:r w:rsidR="00DA2439" w:rsidRPr="00111B13">
        <w:rPr>
          <w:rFonts w:eastAsia="Calibri" w:cs="Times New Roman"/>
          <w:szCs w:val="24"/>
        </w:rPr>
        <w:t xml:space="preserve">būtisku </w:t>
      </w:r>
      <w:r w:rsidR="00D31521" w:rsidRPr="00111B13">
        <w:rPr>
          <w:rFonts w:eastAsia="Calibri" w:cs="Times New Roman"/>
          <w:szCs w:val="24"/>
        </w:rPr>
        <w:t>pārkāpumu, kas katrā ziņā izraisa sprieduma atcelšanu</w:t>
      </w:r>
      <w:r w:rsidR="00573FC8" w:rsidRPr="00111B13">
        <w:rPr>
          <w:rFonts w:eastAsia="Calibri" w:cs="Times New Roman"/>
          <w:szCs w:val="24"/>
        </w:rPr>
        <w:t xml:space="preserve"> un nevar tikt novērsts apelācijas instances tiesā</w:t>
      </w:r>
      <w:r w:rsidR="005D2B32" w:rsidRPr="00111B13">
        <w:rPr>
          <w:rFonts w:eastAsia="Calibri" w:cs="Times New Roman"/>
          <w:szCs w:val="24"/>
        </w:rPr>
        <w:t xml:space="preserve">, </w:t>
      </w:r>
      <w:r w:rsidR="00D31521" w:rsidRPr="00111B13">
        <w:rPr>
          <w:rFonts w:eastAsia="Calibri" w:cs="Times New Roman"/>
          <w:szCs w:val="24"/>
        </w:rPr>
        <w:t>tādēļ</w:t>
      </w:r>
      <w:r w:rsidR="00573FC8" w:rsidRPr="00111B13">
        <w:rPr>
          <w:rFonts w:eastAsia="Calibri" w:cs="Times New Roman"/>
          <w:szCs w:val="24"/>
        </w:rPr>
        <w:t xml:space="preserve"> nosūtījusi lietu jaunai izskatīšanai pirmās instances tiesā. Ievērojot </w:t>
      </w:r>
      <w:r w:rsidR="00765A6E" w:rsidRPr="00111B13">
        <w:rPr>
          <w:rFonts w:eastAsia="Calibri" w:cs="Times New Roman"/>
          <w:szCs w:val="24"/>
        </w:rPr>
        <w:t xml:space="preserve">apelācijas instances tiesas atzinumu par to, ka pirmās instances tiesas spriedums nav tiesisks, jo lietas iztiesāšanas gaitā pārkāptas apsūdzētā tiesības uz aizstāvību, kā arī </w:t>
      </w:r>
      <w:r w:rsidR="00573FC8" w:rsidRPr="00111B13">
        <w:rPr>
          <w:rFonts w:eastAsia="Calibri" w:cs="Times New Roman"/>
          <w:szCs w:val="24"/>
        </w:rPr>
        <w:t>to, ka pirmās instances tiesā lieta jāiztiesā no jauna</w:t>
      </w:r>
      <w:r w:rsidR="005D2B32" w:rsidRPr="00111B13">
        <w:rPr>
          <w:rFonts w:eastAsia="Calibri" w:cs="Times New Roman"/>
          <w:szCs w:val="24"/>
        </w:rPr>
        <w:t xml:space="preserve"> atbilstoši Kriminālprocesa likuma </w:t>
      </w:r>
      <w:r w:rsidR="00965327">
        <w:rPr>
          <w:rFonts w:eastAsia="Calibri" w:cs="Times New Roman"/>
          <w:szCs w:val="24"/>
        </w:rPr>
        <w:t>8.</w:t>
      </w:r>
      <w:r w:rsidR="005D2B32" w:rsidRPr="00111B13">
        <w:rPr>
          <w:rFonts w:eastAsia="Calibri" w:cs="Times New Roman"/>
          <w:szCs w:val="24"/>
        </w:rPr>
        <w:t xml:space="preserve"> un </w:t>
      </w:r>
      <w:r w:rsidR="00965327">
        <w:rPr>
          <w:rFonts w:eastAsia="Calibri" w:cs="Times New Roman"/>
          <w:szCs w:val="24"/>
        </w:rPr>
        <w:t>9.</w:t>
      </w:r>
      <w:r w:rsidR="005D2B32" w:rsidRPr="00111B13">
        <w:rPr>
          <w:rFonts w:eastAsia="Calibri" w:cs="Times New Roman"/>
          <w:szCs w:val="24"/>
        </w:rPr>
        <w:t xml:space="preserve">sadaļas nosacījumiem, apelācijas instances tiesa pamatoti nav lēmusi par prokurora </w:t>
      </w:r>
      <w:r w:rsidR="00D31521" w:rsidRPr="00111B13">
        <w:rPr>
          <w:rFonts w:eastAsia="Calibri" w:cs="Times New Roman"/>
          <w:szCs w:val="24"/>
        </w:rPr>
        <w:t>apelācijas protestā</w:t>
      </w:r>
      <w:r w:rsidR="002E10F3" w:rsidRPr="00111B13">
        <w:rPr>
          <w:rFonts w:eastAsia="Calibri" w:cs="Times New Roman"/>
          <w:szCs w:val="24"/>
        </w:rPr>
        <w:t xml:space="preserve">, kā arī cietušā un </w:t>
      </w:r>
      <w:r w:rsidR="00D31521" w:rsidRPr="00111B13">
        <w:rPr>
          <w:rFonts w:eastAsia="Calibri" w:cs="Times New Roman"/>
          <w:szCs w:val="24"/>
        </w:rPr>
        <w:t>aizstāves apelācijas sūdzībā</w:t>
      </w:r>
      <w:r w:rsidR="008466D8" w:rsidRPr="00111B13">
        <w:rPr>
          <w:rFonts w:eastAsia="Calibri" w:cs="Times New Roman"/>
          <w:szCs w:val="24"/>
        </w:rPr>
        <w:t>s</w:t>
      </w:r>
      <w:r w:rsidR="00D31521" w:rsidRPr="00111B13">
        <w:rPr>
          <w:rFonts w:eastAsia="Calibri" w:cs="Times New Roman"/>
          <w:szCs w:val="24"/>
        </w:rPr>
        <w:t xml:space="preserve"> </w:t>
      </w:r>
      <w:r w:rsidR="008466D8" w:rsidRPr="00111B13">
        <w:rPr>
          <w:rFonts w:eastAsia="Calibri" w:cs="Times New Roman"/>
          <w:szCs w:val="24"/>
        </w:rPr>
        <w:t>norādītajiem</w:t>
      </w:r>
      <w:r w:rsidR="00D31521" w:rsidRPr="00111B13">
        <w:rPr>
          <w:rFonts w:eastAsia="Calibri" w:cs="Times New Roman"/>
          <w:szCs w:val="24"/>
        </w:rPr>
        <w:t xml:space="preserve"> argumentiem</w:t>
      </w:r>
      <w:r w:rsidR="00B534FA" w:rsidRPr="00111B13">
        <w:rPr>
          <w:rFonts w:eastAsia="Calibri" w:cs="Times New Roman"/>
          <w:szCs w:val="24"/>
        </w:rPr>
        <w:t xml:space="preserve">, kas saistīti </w:t>
      </w:r>
      <w:r w:rsidR="000A36E3">
        <w:rPr>
          <w:rFonts w:eastAsia="Calibri" w:cs="Times New Roman"/>
          <w:szCs w:val="24"/>
        </w:rPr>
        <w:t xml:space="preserve">ar </w:t>
      </w:r>
      <w:r w:rsidR="00D31521" w:rsidRPr="00111B13">
        <w:rPr>
          <w:rFonts w:eastAsia="Calibri" w:cs="Times New Roman"/>
          <w:szCs w:val="24"/>
        </w:rPr>
        <w:t xml:space="preserve">apsūdzētās </w:t>
      </w:r>
      <w:r w:rsidR="002A729A">
        <w:rPr>
          <w:rFonts w:eastAsia="Calibri" w:cs="Times New Roman"/>
          <w:szCs w:val="24"/>
        </w:rPr>
        <w:t>[pers. B]</w:t>
      </w:r>
      <w:r w:rsidR="00D31521" w:rsidRPr="00111B13">
        <w:rPr>
          <w:rFonts w:eastAsia="Calibri" w:cs="Times New Roman"/>
          <w:szCs w:val="24"/>
        </w:rPr>
        <w:t xml:space="preserve"> </w:t>
      </w:r>
      <w:r w:rsidR="002E10F3" w:rsidRPr="00111B13">
        <w:rPr>
          <w:rFonts w:eastAsia="Calibri" w:cs="Times New Roman"/>
          <w:szCs w:val="24"/>
        </w:rPr>
        <w:t xml:space="preserve">atzīšanu par vainīgu inkriminētajos noziedzīgajos nodarījumos, viņas darbību juridisko kvalifikāciju, </w:t>
      </w:r>
      <w:r w:rsidR="002A729A">
        <w:rPr>
          <w:rFonts w:eastAsia="Calibri" w:cs="Times New Roman"/>
          <w:szCs w:val="24"/>
        </w:rPr>
        <w:t>[pers. B]</w:t>
      </w:r>
      <w:r w:rsidR="002E10F3" w:rsidRPr="00111B13">
        <w:rPr>
          <w:rFonts w:eastAsia="Calibri" w:cs="Times New Roman"/>
          <w:szCs w:val="24"/>
        </w:rPr>
        <w:t xml:space="preserve"> noteikto sodu</w:t>
      </w:r>
      <w:r w:rsidR="008466D8" w:rsidRPr="00111B13">
        <w:rPr>
          <w:rFonts w:eastAsia="Calibri" w:cs="Times New Roman"/>
          <w:szCs w:val="24"/>
        </w:rPr>
        <w:t xml:space="preserve">, kaitējuma kompensācijas piedziņu un rīcību </w:t>
      </w:r>
      <w:r w:rsidR="000A36E3">
        <w:rPr>
          <w:rFonts w:eastAsia="Calibri" w:cs="Times New Roman"/>
          <w:szCs w:val="24"/>
        </w:rPr>
        <w:t>ar mantu, kurai uzlikts arests</w:t>
      </w:r>
      <w:r w:rsidR="00B534FA" w:rsidRPr="00111B13">
        <w:rPr>
          <w:rFonts w:eastAsia="Calibri" w:cs="Times New Roman"/>
          <w:szCs w:val="24"/>
        </w:rPr>
        <w:t>.</w:t>
      </w:r>
      <w:r w:rsidR="00811CB6">
        <w:rPr>
          <w:rFonts w:eastAsia="Calibri" w:cs="Times New Roman"/>
          <w:szCs w:val="24"/>
        </w:rPr>
        <w:t xml:space="preserve"> </w:t>
      </w:r>
    </w:p>
    <w:p w14:paraId="626F1384" w14:textId="77777777" w:rsidR="00811CB6" w:rsidRDefault="00811CB6" w:rsidP="00811CB6">
      <w:pPr>
        <w:autoSpaceDE w:val="0"/>
        <w:autoSpaceDN w:val="0"/>
        <w:adjustRightInd w:val="0"/>
        <w:spacing w:after="0" w:line="276" w:lineRule="auto"/>
        <w:ind w:firstLine="720"/>
        <w:jc w:val="both"/>
        <w:rPr>
          <w:rFonts w:eastAsia="Calibri" w:cs="Times New Roman"/>
          <w:szCs w:val="24"/>
        </w:rPr>
      </w:pPr>
    </w:p>
    <w:p w14:paraId="7E66FCA1" w14:textId="2A075C32" w:rsidR="00353FA5" w:rsidRDefault="0095539C" w:rsidP="00353FA5">
      <w:pPr>
        <w:autoSpaceDE w:val="0"/>
        <w:autoSpaceDN w:val="0"/>
        <w:adjustRightInd w:val="0"/>
        <w:spacing w:after="0" w:line="276" w:lineRule="auto"/>
        <w:ind w:firstLine="720"/>
        <w:jc w:val="both"/>
        <w:rPr>
          <w:rFonts w:eastAsia="Calibri" w:cs="Times New Roman"/>
          <w:szCs w:val="24"/>
        </w:rPr>
      </w:pPr>
      <w:r w:rsidRPr="00111B13">
        <w:rPr>
          <w:rFonts w:eastAsia="Calibri" w:cs="Times New Roman"/>
          <w:szCs w:val="24"/>
        </w:rPr>
        <w:t>[</w:t>
      </w:r>
      <w:r w:rsidR="006F33E2" w:rsidRPr="00111B13">
        <w:rPr>
          <w:rFonts w:eastAsia="Calibri" w:cs="Times New Roman"/>
          <w:szCs w:val="24"/>
        </w:rPr>
        <w:t>8</w:t>
      </w:r>
      <w:r w:rsidR="00811CB6">
        <w:rPr>
          <w:rFonts w:eastAsia="Calibri" w:cs="Times New Roman"/>
          <w:szCs w:val="24"/>
        </w:rPr>
        <w:t>] </w:t>
      </w:r>
      <w:r w:rsidRPr="00111B13">
        <w:rPr>
          <w:rFonts w:eastAsia="Calibri" w:cs="Times New Roman"/>
          <w:szCs w:val="24"/>
        </w:rPr>
        <w:t xml:space="preserve">Cietušais </w:t>
      </w:r>
      <w:r w:rsidR="002A729A">
        <w:rPr>
          <w:rFonts w:eastAsia="Calibri" w:cs="Times New Roman"/>
          <w:szCs w:val="24"/>
        </w:rPr>
        <w:t>[pers. A]</w:t>
      </w:r>
      <w:r w:rsidRPr="00111B13">
        <w:rPr>
          <w:rFonts w:eastAsia="Calibri" w:cs="Times New Roman"/>
          <w:szCs w:val="24"/>
        </w:rPr>
        <w:t xml:space="preserve"> kasācijas sūdzībā lūdzis atstāt viņa glabāšanā mākslinieces A.</w:t>
      </w:r>
      <w:r w:rsidR="00F26EA4">
        <w:rPr>
          <w:rFonts w:eastAsia="Calibri" w:cs="Times New Roman"/>
          <w:szCs w:val="24"/>
        </w:rPr>
        <w:t> </w:t>
      </w:r>
      <w:r w:rsidRPr="00111B13">
        <w:rPr>
          <w:rFonts w:eastAsia="Calibri" w:cs="Times New Roman"/>
          <w:szCs w:val="24"/>
        </w:rPr>
        <w:t>B</w:t>
      </w:r>
      <w:r w:rsidR="00AC19F9">
        <w:rPr>
          <w:rFonts w:eastAsia="Calibri" w:cs="Times New Roman"/>
          <w:szCs w:val="24"/>
        </w:rPr>
        <w:t>eļcovas porcelāna sienas šķīvi „</w:t>
      </w:r>
      <w:r w:rsidRPr="00111B13">
        <w:rPr>
          <w:rFonts w:eastAsia="Calibri" w:cs="Times New Roman"/>
          <w:szCs w:val="24"/>
        </w:rPr>
        <w:t>Brīnumputns”</w:t>
      </w:r>
      <w:r w:rsidR="00F03C85" w:rsidRPr="00111B13">
        <w:rPr>
          <w:rFonts w:eastAsia="Calibri" w:cs="Times New Roman"/>
          <w:szCs w:val="24"/>
        </w:rPr>
        <w:t xml:space="preserve"> </w:t>
      </w:r>
      <w:r w:rsidR="00AC19F9">
        <w:rPr>
          <w:rFonts w:cs="Times New Roman"/>
        </w:rPr>
        <w:t>(ar citu nosaukumu</w:t>
      </w:r>
      <w:r w:rsidR="00353FA5">
        <w:rPr>
          <w:rFonts w:cs="Times New Roman"/>
        </w:rPr>
        <w:t xml:space="preserve"> „</w:t>
      </w:r>
      <w:r w:rsidR="00F03C85" w:rsidRPr="00111B13">
        <w:rPr>
          <w:rFonts w:cs="Times New Roman"/>
        </w:rPr>
        <w:t>Meitene ar pāvu”)</w:t>
      </w:r>
      <w:r w:rsidRPr="00111B13">
        <w:rPr>
          <w:rFonts w:eastAsia="Calibri" w:cs="Times New Roman"/>
          <w:szCs w:val="24"/>
        </w:rPr>
        <w:t>, nevis nodot to Jelgav</w:t>
      </w:r>
      <w:r w:rsidR="00353FA5">
        <w:rPr>
          <w:rFonts w:eastAsia="Calibri" w:cs="Times New Roman"/>
          <w:szCs w:val="24"/>
        </w:rPr>
        <w:t xml:space="preserve">as Vēstures un mākslas muzejam. </w:t>
      </w:r>
    </w:p>
    <w:p w14:paraId="62B62509" w14:textId="2B144EC7" w:rsidR="005D1EE8" w:rsidRDefault="0095539C" w:rsidP="005D1EE8">
      <w:pPr>
        <w:autoSpaceDE w:val="0"/>
        <w:autoSpaceDN w:val="0"/>
        <w:adjustRightInd w:val="0"/>
        <w:spacing w:after="0" w:line="276" w:lineRule="auto"/>
        <w:ind w:firstLine="720"/>
        <w:jc w:val="both"/>
        <w:rPr>
          <w:rFonts w:cs="Times New Roman"/>
        </w:rPr>
      </w:pPr>
      <w:r w:rsidRPr="00111B13">
        <w:rPr>
          <w:rFonts w:eastAsia="Calibri" w:cs="Times New Roman"/>
          <w:szCs w:val="24"/>
        </w:rPr>
        <w:t xml:space="preserve">Senāts konstatē, ka ar apelācijas instances tiesas </w:t>
      </w:r>
      <w:proofErr w:type="gramStart"/>
      <w:r w:rsidRPr="00111B13">
        <w:rPr>
          <w:rFonts w:eastAsia="Calibri" w:cs="Times New Roman"/>
          <w:szCs w:val="24"/>
        </w:rPr>
        <w:t>2020.gada</w:t>
      </w:r>
      <w:proofErr w:type="gramEnd"/>
      <w:r w:rsidRPr="00111B13">
        <w:rPr>
          <w:rFonts w:eastAsia="Calibri" w:cs="Times New Roman"/>
          <w:szCs w:val="24"/>
        </w:rPr>
        <w:t xml:space="preserve"> 2.novembra lēmumu nav mainīt</w:t>
      </w:r>
      <w:r w:rsidR="00616A7E" w:rsidRPr="00111B13">
        <w:rPr>
          <w:rFonts w:eastAsia="Calibri" w:cs="Times New Roman"/>
          <w:szCs w:val="24"/>
        </w:rPr>
        <w:t>a</w:t>
      </w:r>
      <w:r w:rsidRPr="00111B13">
        <w:rPr>
          <w:rFonts w:eastAsia="Calibri" w:cs="Times New Roman"/>
          <w:szCs w:val="24"/>
        </w:rPr>
        <w:t xml:space="preserve"> minētā </w:t>
      </w:r>
      <w:r w:rsidR="00616A7E" w:rsidRPr="00111B13">
        <w:rPr>
          <w:rFonts w:eastAsia="Calibri" w:cs="Times New Roman"/>
          <w:szCs w:val="24"/>
        </w:rPr>
        <w:t xml:space="preserve">sienas </w:t>
      </w:r>
      <w:r w:rsidRPr="00111B13">
        <w:rPr>
          <w:rFonts w:eastAsia="Calibri" w:cs="Times New Roman"/>
          <w:szCs w:val="24"/>
        </w:rPr>
        <w:t>šķīvja atrašanās viet</w:t>
      </w:r>
      <w:r w:rsidR="00616A7E" w:rsidRPr="00111B13">
        <w:rPr>
          <w:rFonts w:eastAsia="Calibri" w:cs="Times New Roman"/>
          <w:szCs w:val="24"/>
        </w:rPr>
        <w:t>a</w:t>
      </w:r>
      <w:r w:rsidRPr="00111B13">
        <w:rPr>
          <w:rFonts w:eastAsia="Calibri" w:cs="Times New Roman"/>
          <w:szCs w:val="24"/>
        </w:rPr>
        <w:t xml:space="preserve"> vai </w:t>
      </w:r>
      <w:r w:rsidR="00616A7E" w:rsidRPr="00111B13">
        <w:rPr>
          <w:rFonts w:eastAsia="Calibri" w:cs="Times New Roman"/>
          <w:szCs w:val="24"/>
        </w:rPr>
        <w:t xml:space="preserve">noteikts cits </w:t>
      </w:r>
      <w:r w:rsidRPr="00111B13">
        <w:rPr>
          <w:rFonts w:eastAsia="Calibri" w:cs="Times New Roman"/>
          <w:szCs w:val="24"/>
        </w:rPr>
        <w:t>glabātāj</w:t>
      </w:r>
      <w:r w:rsidR="00616A7E" w:rsidRPr="00111B13">
        <w:rPr>
          <w:rFonts w:eastAsia="Calibri" w:cs="Times New Roman"/>
          <w:szCs w:val="24"/>
        </w:rPr>
        <w:t>s</w:t>
      </w:r>
      <w:r w:rsidRPr="00111B13">
        <w:rPr>
          <w:rFonts w:eastAsia="Calibri" w:cs="Times New Roman"/>
          <w:szCs w:val="24"/>
        </w:rPr>
        <w:t>, bet izlemts jautājums par arest</w:t>
      </w:r>
      <w:r w:rsidR="00F03C85" w:rsidRPr="00111B13">
        <w:rPr>
          <w:rFonts w:eastAsia="Calibri" w:cs="Times New Roman"/>
          <w:szCs w:val="24"/>
        </w:rPr>
        <w:t>a saglabāšanu</w:t>
      </w:r>
      <w:r w:rsidRPr="00111B13">
        <w:rPr>
          <w:rFonts w:eastAsia="Calibri" w:cs="Times New Roman"/>
          <w:szCs w:val="24"/>
        </w:rPr>
        <w:t xml:space="preserve"> mantai. </w:t>
      </w:r>
      <w:r w:rsidR="00F03C85" w:rsidRPr="00111B13">
        <w:rPr>
          <w:rFonts w:eastAsia="Calibri" w:cs="Times New Roman"/>
          <w:szCs w:val="24"/>
        </w:rPr>
        <w:t>I</w:t>
      </w:r>
      <w:r w:rsidRPr="00111B13">
        <w:rPr>
          <w:rFonts w:eastAsia="Calibri" w:cs="Times New Roman"/>
          <w:szCs w:val="24"/>
        </w:rPr>
        <w:t>evērojot</w:t>
      </w:r>
      <w:r w:rsidR="00247BB5">
        <w:rPr>
          <w:rFonts w:eastAsia="Calibri" w:cs="Times New Roman"/>
          <w:szCs w:val="24"/>
        </w:rPr>
        <w:t xml:space="preserve"> to</w:t>
      </w:r>
      <w:r w:rsidRPr="00111B13">
        <w:rPr>
          <w:rFonts w:eastAsia="Calibri" w:cs="Times New Roman"/>
          <w:szCs w:val="24"/>
        </w:rPr>
        <w:t>, ka pirmās instances tiesas spriedums tiek atcelts pilnībā un lieta nosūt</w:t>
      </w:r>
      <w:r w:rsidR="00616A7E" w:rsidRPr="00111B13">
        <w:rPr>
          <w:rFonts w:eastAsia="Calibri" w:cs="Times New Roman"/>
          <w:szCs w:val="24"/>
        </w:rPr>
        <w:t>īta</w:t>
      </w:r>
      <w:r w:rsidRPr="00111B13">
        <w:rPr>
          <w:rFonts w:eastAsia="Calibri" w:cs="Times New Roman"/>
          <w:szCs w:val="24"/>
        </w:rPr>
        <w:t xml:space="preserve"> jaunai izskatīšanai pirmās instances tiesā, </w:t>
      </w:r>
      <w:r w:rsidR="00F03C85" w:rsidRPr="00111B13">
        <w:rPr>
          <w:rFonts w:eastAsia="Calibri" w:cs="Times New Roman"/>
          <w:szCs w:val="24"/>
        </w:rPr>
        <w:t>apelācijas instances tiesa nolēmusi</w:t>
      </w:r>
      <w:r w:rsidR="00616A7E" w:rsidRPr="00111B13">
        <w:rPr>
          <w:rFonts w:eastAsia="Calibri" w:cs="Times New Roman"/>
          <w:szCs w:val="24"/>
        </w:rPr>
        <w:t>, ka</w:t>
      </w:r>
      <w:r w:rsidR="00F03C85" w:rsidRPr="00111B13">
        <w:rPr>
          <w:rFonts w:eastAsia="Calibri" w:cs="Times New Roman"/>
          <w:szCs w:val="24"/>
        </w:rPr>
        <w:t xml:space="preserve"> </w:t>
      </w:r>
      <w:r w:rsidRPr="00111B13">
        <w:rPr>
          <w:rFonts w:eastAsia="Calibri" w:cs="Times New Roman"/>
          <w:szCs w:val="24"/>
        </w:rPr>
        <w:t>ir atstājams mantai – mākslinieces Aleksandras Beļcovas porcelāna sienas šķī</w:t>
      </w:r>
      <w:r w:rsidR="00C848AA">
        <w:rPr>
          <w:rFonts w:eastAsia="Calibri" w:cs="Times New Roman"/>
          <w:szCs w:val="24"/>
        </w:rPr>
        <w:t>vim „</w:t>
      </w:r>
      <w:r w:rsidRPr="00111B13">
        <w:rPr>
          <w:rFonts w:eastAsia="Calibri" w:cs="Times New Roman"/>
          <w:szCs w:val="24"/>
        </w:rPr>
        <w:t>Brīnumputns”</w:t>
      </w:r>
      <w:r w:rsidR="00616A7E" w:rsidRPr="00111B13">
        <w:rPr>
          <w:rFonts w:eastAsia="Calibri" w:cs="Times New Roman"/>
          <w:szCs w:val="24"/>
        </w:rPr>
        <w:t xml:space="preserve"> </w:t>
      </w:r>
      <w:r w:rsidR="00C848AA">
        <w:rPr>
          <w:rFonts w:cs="Times New Roman"/>
        </w:rPr>
        <w:t>(ar citu nosaukumu „</w:t>
      </w:r>
      <w:r w:rsidR="00616A7E" w:rsidRPr="00111B13">
        <w:rPr>
          <w:rFonts w:cs="Times New Roman"/>
        </w:rPr>
        <w:t>Meitene ar pāvu”) – uzliktais arests</w:t>
      </w:r>
      <w:r w:rsidRPr="00111B13">
        <w:rPr>
          <w:rFonts w:eastAsia="Calibri" w:cs="Times New Roman"/>
          <w:szCs w:val="24"/>
        </w:rPr>
        <w:t xml:space="preserve">. Lai arī </w:t>
      </w:r>
      <w:r w:rsidR="00DE671E" w:rsidRPr="00111B13">
        <w:rPr>
          <w:rFonts w:eastAsia="Calibri" w:cs="Times New Roman"/>
          <w:szCs w:val="24"/>
        </w:rPr>
        <w:t>lēmuma</w:t>
      </w:r>
      <w:r w:rsidRPr="00111B13">
        <w:rPr>
          <w:rFonts w:eastAsia="Calibri" w:cs="Times New Roman"/>
          <w:szCs w:val="24"/>
        </w:rPr>
        <w:t xml:space="preserve"> rezolutīvajā daļā ir iekļauta </w:t>
      </w:r>
      <w:r w:rsidR="005C77FD" w:rsidRPr="00111B13">
        <w:rPr>
          <w:rFonts w:eastAsia="Calibri" w:cs="Times New Roman"/>
          <w:szCs w:val="24"/>
        </w:rPr>
        <w:t>kļūdaina</w:t>
      </w:r>
      <w:r w:rsidRPr="00111B13">
        <w:rPr>
          <w:rFonts w:eastAsia="Calibri" w:cs="Times New Roman"/>
          <w:szCs w:val="24"/>
        </w:rPr>
        <w:t xml:space="preserve"> norāde</w:t>
      </w:r>
      <w:r w:rsidR="00616A7E" w:rsidRPr="00111B13">
        <w:rPr>
          <w:rFonts w:eastAsia="Calibri" w:cs="Times New Roman"/>
          <w:szCs w:val="24"/>
        </w:rPr>
        <w:t xml:space="preserve"> par to, ka sienas </w:t>
      </w:r>
      <w:r w:rsidRPr="00111B13">
        <w:rPr>
          <w:rFonts w:eastAsia="Calibri" w:cs="Times New Roman"/>
          <w:szCs w:val="24"/>
        </w:rPr>
        <w:t xml:space="preserve">šķīvis atrodas Jelgavas Vēstures un mākslas muzejā, ar šo norādi netiek mainīta </w:t>
      </w:r>
      <w:r w:rsidR="00616A7E" w:rsidRPr="00111B13">
        <w:rPr>
          <w:rFonts w:eastAsia="Calibri" w:cs="Times New Roman"/>
          <w:szCs w:val="24"/>
        </w:rPr>
        <w:t xml:space="preserve">sienas </w:t>
      </w:r>
      <w:r w:rsidRPr="00111B13">
        <w:rPr>
          <w:rFonts w:eastAsia="Calibri" w:cs="Times New Roman"/>
          <w:szCs w:val="24"/>
        </w:rPr>
        <w:t xml:space="preserve">šķīvja atrašanās vieta vai glabātājs. Arī apelācijas instances tiesas </w:t>
      </w:r>
      <w:r w:rsidR="003706AC" w:rsidRPr="00111B13">
        <w:rPr>
          <w:rFonts w:eastAsia="Calibri" w:cs="Times New Roman"/>
          <w:szCs w:val="24"/>
        </w:rPr>
        <w:t xml:space="preserve">lēmuma </w:t>
      </w:r>
      <w:r w:rsidRPr="00111B13">
        <w:rPr>
          <w:rFonts w:eastAsia="Calibri" w:cs="Times New Roman"/>
          <w:szCs w:val="24"/>
        </w:rPr>
        <w:t>motīv</w:t>
      </w:r>
      <w:r w:rsidR="003706AC" w:rsidRPr="00111B13">
        <w:rPr>
          <w:rFonts w:eastAsia="Calibri" w:cs="Times New Roman"/>
          <w:szCs w:val="24"/>
        </w:rPr>
        <w:t xml:space="preserve">u daļā norādīts, ka aresta uzlikšanas laikā minētais sienas šķīvis ir atradies muzejā, bet turpmākai glabāšanai nodots </w:t>
      </w:r>
      <w:r w:rsidR="002A729A">
        <w:rPr>
          <w:rFonts w:eastAsia="Calibri" w:cs="Times New Roman"/>
          <w:szCs w:val="24"/>
        </w:rPr>
        <w:t>[pers. A]</w:t>
      </w:r>
      <w:r w:rsidR="003706AC" w:rsidRPr="00111B13">
        <w:rPr>
          <w:rFonts w:eastAsia="Calibri" w:cs="Times New Roman"/>
          <w:szCs w:val="24"/>
        </w:rPr>
        <w:t xml:space="preserve">.  </w:t>
      </w:r>
    </w:p>
    <w:p w14:paraId="3B179E61" w14:textId="77777777" w:rsidR="005D1EE8" w:rsidRDefault="0095539C" w:rsidP="005D1EE8">
      <w:pPr>
        <w:autoSpaceDE w:val="0"/>
        <w:autoSpaceDN w:val="0"/>
        <w:adjustRightInd w:val="0"/>
        <w:spacing w:after="0" w:line="276" w:lineRule="auto"/>
        <w:ind w:firstLine="720"/>
        <w:jc w:val="both"/>
        <w:rPr>
          <w:rFonts w:cs="Times New Roman"/>
        </w:rPr>
      </w:pPr>
      <w:r w:rsidRPr="00111B13">
        <w:rPr>
          <w:rFonts w:eastAsia="Calibri" w:cs="Times New Roman"/>
          <w:szCs w:val="24"/>
        </w:rPr>
        <w:t>Ievērojot minēto, Senāts atzīst, k</w:t>
      </w:r>
      <w:r w:rsidR="00D94666" w:rsidRPr="00111B13">
        <w:rPr>
          <w:rFonts w:eastAsia="Calibri" w:cs="Times New Roman"/>
          <w:szCs w:val="24"/>
        </w:rPr>
        <w:t xml:space="preserve">a </w:t>
      </w:r>
      <w:r w:rsidRPr="00111B13">
        <w:rPr>
          <w:rFonts w:eastAsia="Calibri" w:cs="Times New Roman"/>
          <w:szCs w:val="24"/>
        </w:rPr>
        <w:t xml:space="preserve">apelācijas instances tiesas </w:t>
      </w:r>
      <w:r w:rsidR="00A538BB" w:rsidRPr="00111B13">
        <w:rPr>
          <w:rFonts w:eastAsia="Calibri" w:cs="Times New Roman"/>
          <w:szCs w:val="24"/>
        </w:rPr>
        <w:t>lēmum</w:t>
      </w:r>
      <w:r w:rsidR="00D94666" w:rsidRPr="00111B13">
        <w:rPr>
          <w:rFonts w:eastAsia="Calibri" w:cs="Times New Roman"/>
          <w:szCs w:val="24"/>
        </w:rPr>
        <w:t>a atcelšanai vai grozīšanai</w:t>
      </w:r>
      <w:r w:rsidRPr="00111B13">
        <w:rPr>
          <w:rFonts w:eastAsia="Calibri" w:cs="Times New Roman"/>
          <w:szCs w:val="24"/>
        </w:rPr>
        <w:t xml:space="preserve"> daļā par mantu, kurai uzlikts arests,</w:t>
      </w:r>
      <w:r w:rsidR="00D94666" w:rsidRPr="00111B13">
        <w:rPr>
          <w:rFonts w:eastAsia="Calibri" w:cs="Times New Roman"/>
          <w:szCs w:val="24"/>
        </w:rPr>
        <w:t xml:space="preserve"> nav pamata</w:t>
      </w:r>
      <w:r w:rsidR="00573FC8" w:rsidRPr="00111B13">
        <w:rPr>
          <w:rFonts w:eastAsia="Calibri" w:cs="Times New Roman"/>
          <w:szCs w:val="24"/>
        </w:rPr>
        <w:t>.</w:t>
      </w:r>
      <w:r w:rsidR="005D1EE8">
        <w:rPr>
          <w:rFonts w:cs="Times New Roman"/>
        </w:rPr>
        <w:t xml:space="preserve"> </w:t>
      </w:r>
    </w:p>
    <w:p w14:paraId="3A159AC9" w14:textId="77777777" w:rsidR="005D1EE8" w:rsidRDefault="005D1EE8" w:rsidP="005D1EE8">
      <w:pPr>
        <w:autoSpaceDE w:val="0"/>
        <w:autoSpaceDN w:val="0"/>
        <w:adjustRightInd w:val="0"/>
        <w:spacing w:after="0" w:line="276" w:lineRule="auto"/>
        <w:ind w:firstLine="720"/>
        <w:jc w:val="both"/>
        <w:rPr>
          <w:rFonts w:cs="Times New Roman"/>
        </w:rPr>
      </w:pPr>
    </w:p>
    <w:p w14:paraId="694A90EF" w14:textId="3F644A66" w:rsidR="00480517" w:rsidRPr="005D1EE8" w:rsidRDefault="005D1EE8" w:rsidP="005D1EE8">
      <w:pPr>
        <w:autoSpaceDE w:val="0"/>
        <w:autoSpaceDN w:val="0"/>
        <w:adjustRightInd w:val="0"/>
        <w:spacing w:after="0" w:line="276" w:lineRule="auto"/>
        <w:ind w:firstLine="720"/>
        <w:jc w:val="both"/>
        <w:rPr>
          <w:rFonts w:cs="Times New Roman"/>
        </w:rPr>
      </w:pPr>
      <w:r>
        <w:rPr>
          <w:rFonts w:eastAsia="Calibri" w:cs="Times New Roman"/>
          <w:szCs w:val="24"/>
        </w:rPr>
        <w:t>[9] </w:t>
      </w:r>
      <w:r w:rsidR="00A51A4E" w:rsidRPr="00111B13">
        <w:rPr>
          <w:rFonts w:cs="Times New Roman"/>
        </w:rPr>
        <w:t xml:space="preserve">Ievērojot minēto, Senāts atzīst, ka prokurora kasācijas protestā un cietušā </w:t>
      </w:r>
      <w:r w:rsidR="002A729A">
        <w:rPr>
          <w:rFonts w:cs="Times New Roman"/>
        </w:rPr>
        <w:t>[pers. A]</w:t>
      </w:r>
      <w:r w:rsidR="00A51A4E" w:rsidRPr="00111B13">
        <w:rPr>
          <w:rFonts w:cs="Times New Roman"/>
        </w:rPr>
        <w:t xml:space="preserve"> kasācijas sūdzībā norādītie motīvi apelācijas instances tiesas lēmuma atcelšanai nav guvuši apstiprinājumu. Iztiesājot lietu, apelācijas instances tiesa nav pieļāvusi Krimināllikuma pārkāpumus vai Kriminālprocesa likuma būtiskus pārkāpumus, kas būtu par pamatu apelācijas instances tiesas lēmuma atcelšanai vai grozīšanai, tādēļ apelācijas instances tiesas nolēmums atstājams negrozīts.</w:t>
      </w:r>
    </w:p>
    <w:p w14:paraId="71979B8C" w14:textId="77777777" w:rsidR="00913E8F" w:rsidRPr="00111B13" w:rsidRDefault="00913E8F" w:rsidP="005738CD">
      <w:pPr>
        <w:spacing w:line="276" w:lineRule="auto"/>
        <w:contextualSpacing/>
        <w:jc w:val="both"/>
        <w:rPr>
          <w:rFonts w:cs="Times New Roman"/>
          <w:szCs w:val="24"/>
        </w:rPr>
      </w:pPr>
    </w:p>
    <w:p w14:paraId="09B0F3DC" w14:textId="1D533D86" w:rsidR="00424471" w:rsidRPr="00111B13" w:rsidRDefault="00424471" w:rsidP="00D3649E">
      <w:pPr>
        <w:spacing w:line="276" w:lineRule="auto"/>
        <w:contextualSpacing/>
        <w:jc w:val="center"/>
        <w:rPr>
          <w:rFonts w:eastAsia="Calibri" w:cs="Times New Roman"/>
          <w:b/>
          <w:szCs w:val="24"/>
          <w:lang w:eastAsia="lv-LV"/>
        </w:rPr>
      </w:pPr>
      <w:r w:rsidRPr="00111B13">
        <w:rPr>
          <w:rFonts w:eastAsia="Calibri" w:cs="Times New Roman"/>
          <w:b/>
          <w:szCs w:val="24"/>
          <w:lang w:eastAsia="lv-LV"/>
        </w:rPr>
        <w:t>Rezolutīvā daļa</w:t>
      </w:r>
    </w:p>
    <w:p w14:paraId="6487EDC0" w14:textId="77777777" w:rsidR="00D05B59" w:rsidRPr="00111B13" w:rsidRDefault="00D05B59" w:rsidP="00D3649E">
      <w:pPr>
        <w:spacing w:line="276" w:lineRule="auto"/>
        <w:contextualSpacing/>
        <w:jc w:val="center"/>
        <w:rPr>
          <w:rFonts w:eastAsia="Calibri" w:cs="Times New Roman"/>
          <w:b/>
          <w:szCs w:val="24"/>
          <w:lang w:eastAsia="lv-LV"/>
        </w:rPr>
      </w:pPr>
    </w:p>
    <w:p w14:paraId="5A040AA1" w14:textId="34169673" w:rsidR="000B0BDA" w:rsidRPr="003E20CF" w:rsidRDefault="00424471" w:rsidP="003E20CF">
      <w:pPr>
        <w:spacing w:after="0"/>
        <w:ind w:firstLine="720"/>
      </w:pPr>
      <w:r w:rsidRPr="003E20CF">
        <w:t xml:space="preserve">Pamatojoties uz Kriminālprocesa likuma 585., </w:t>
      </w:r>
      <w:proofErr w:type="gramStart"/>
      <w:r w:rsidRPr="003E20CF">
        <w:t>587.pantu</w:t>
      </w:r>
      <w:proofErr w:type="gramEnd"/>
      <w:r w:rsidRPr="003E20CF">
        <w:t xml:space="preserve">, tiesa </w:t>
      </w:r>
    </w:p>
    <w:p w14:paraId="2AD34D13" w14:textId="77777777" w:rsidR="00D124D3" w:rsidRPr="003E20CF" w:rsidRDefault="00D124D3" w:rsidP="003E20CF">
      <w:pPr>
        <w:spacing w:after="0"/>
      </w:pPr>
    </w:p>
    <w:p w14:paraId="7612E942" w14:textId="77777777" w:rsidR="003E20CF" w:rsidRDefault="00424471" w:rsidP="003E20CF">
      <w:pPr>
        <w:spacing w:after="0"/>
        <w:jc w:val="center"/>
        <w:rPr>
          <w:b/>
        </w:rPr>
      </w:pPr>
      <w:r w:rsidRPr="003E20CF">
        <w:rPr>
          <w:b/>
        </w:rPr>
        <w:t>nolēma:</w:t>
      </w:r>
      <w:r w:rsidR="003E20CF">
        <w:rPr>
          <w:b/>
        </w:rPr>
        <w:t xml:space="preserve"> </w:t>
      </w:r>
    </w:p>
    <w:p w14:paraId="57ECD48C" w14:textId="77777777" w:rsidR="003E20CF" w:rsidRDefault="003E20CF" w:rsidP="003E20CF">
      <w:pPr>
        <w:spacing w:after="0"/>
        <w:jc w:val="center"/>
        <w:rPr>
          <w:b/>
        </w:rPr>
      </w:pPr>
    </w:p>
    <w:p w14:paraId="405CCAB3" w14:textId="3E8FF237" w:rsidR="003E20CF" w:rsidRDefault="000E0B03" w:rsidP="003E20CF">
      <w:pPr>
        <w:spacing w:after="0" w:line="276" w:lineRule="auto"/>
        <w:ind w:firstLine="709"/>
        <w:jc w:val="both"/>
        <w:rPr>
          <w:b/>
        </w:rPr>
      </w:pPr>
      <w:r w:rsidRPr="00111B13">
        <w:rPr>
          <w:rFonts w:eastAsia="Calibri" w:cs="Times New Roman"/>
          <w:szCs w:val="24"/>
        </w:rPr>
        <w:t>at</w:t>
      </w:r>
      <w:r w:rsidR="00A405E4" w:rsidRPr="00111B13">
        <w:rPr>
          <w:rFonts w:eastAsia="Calibri" w:cs="Times New Roman"/>
          <w:szCs w:val="24"/>
        </w:rPr>
        <w:t>stāt negrozītu</w:t>
      </w:r>
      <w:r w:rsidRPr="00111B13">
        <w:rPr>
          <w:rFonts w:eastAsia="Calibri" w:cs="Times New Roman"/>
          <w:szCs w:val="24"/>
        </w:rPr>
        <w:t xml:space="preserve"> </w:t>
      </w:r>
      <w:r w:rsidR="007A2E51" w:rsidRPr="00111B13">
        <w:rPr>
          <w:rFonts w:eastAsia="Calibri" w:cs="Times New Roman"/>
          <w:szCs w:val="24"/>
        </w:rPr>
        <w:t>Rīgas</w:t>
      </w:r>
      <w:r w:rsidR="005738CD" w:rsidRPr="00111B13">
        <w:rPr>
          <w:rFonts w:eastAsia="Calibri" w:cs="Times New Roman"/>
          <w:szCs w:val="24"/>
        </w:rPr>
        <w:t xml:space="preserve"> apgabaltiesas </w:t>
      </w:r>
      <w:proofErr w:type="gramStart"/>
      <w:r w:rsidR="005738CD" w:rsidRPr="00111B13">
        <w:rPr>
          <w:rFonts w:eastAsia="Calibri" w:cs="Times New Roman"/>
          <w:szCs w:val="24"/>
        </w:rPr>
        <w:t>202</w:t>
      </w:r>
      <w:r w:rsidR="007A2E51" w:rsidRPr="00111B13">
        <w:rPr>
          <w:rFonts w:eastAsia="Calibri" w:cs="Times New Roman"/>
          <w:szCs w:val="24"/>
        </w:rPr>
        <w:t>0</w:t>
      </w:r>
      <w:r w:rsidR="005738CD" w:rsidRPr="00111B13">
        <w:rPr>
          <w:rFonts w:eastAsia="Calibri" w:cs="Times New Roman"/>
          <w:szCs w:val="24"/>
        </w:rPr>
        <w:t>.gada</w:t>
      </w:r>
      <w:proofErr w:type="gramEnd"/>
      <w:r w:rsidR="005738CD" w:rsidRPr="00111B13">
        <w:rPr>
          <w:rFonts w:eastAsia="Calibri" w:cs="Times New Roman"/>
          <w:szCs w:val="24"/>
        </w:rPr>
        <w:t xml:space="preserve"> </w:t>
      </w:r>
      <w:r w:rsidR="007A2E51" w:rsidRPr="00111B13">
        <w:rPr>
          <w:rFonts w:eastAsia="Calibri" w:cs="Times New Roman"/>
          <w:szCs w:val="24"/>
        </w:rPr>
        <w:t>2</w:t>
      </w:r>
      <w:r w:rsidR="005738CD" w:rsidRPr="00111B13">
        <w:rPr>
          <w:rFonts w:eastAsia="Calibri" w:cs="Times New Roman"/>
          <w:szCs w:val="24"/>
        </w:rPr>
        <w:t>.</w:t>
      </w:r>
      <w:r w:rsidR="007A2E51" w:rsidRPr="00111B13">
        <w:rPr>
          <w:rFonts w:eastAsia="Calibri" w:cs="Times New Roman"/>
          <w:szCs w:val="24"/>
        </w:rPr>
        <w:t>novembra</w:t>
      </w:r>
      <w:r w:rsidR="005738CD" w:rsidRPr="00111B13">
        <w:rPr>
          <w:rFonts w:eastAsia="Calibri" w:cs="Times New Roman"/>
          <w:szCs w:val="24"/>
        </w:rPr>
        <w:t xml:space="preserve"> lēmumu</w:t>
      </w:r>
      <w:r w:rsidR="002A4723" w:rsidRPr="00111B13">
        <w:rPr>
          <w:rFonts w:eastAsia="Calibri" w:cs="Times New Roman"/>
          <w:szCs w:val="24"/>
        </w:rPr>
        <w:t xml:space="preserve">, bet </w:t>
      </w:r>
      <w:r w:rsidR="007A2E51" w:rsidRPr="00111B13">
        <w:rPr>
          <w:rFonts w:cs="Times New Roman"/>
          <w:szCs w:val="24"/>
        </w:rPr>
        <w:t>Rīgas</w:t>
      </w:r>
      <w:r w:rsidR="002A4723" w:rsidRPr="00111B13">
        <w:rPr>
          <w:rFonts w:cs="Times New Roman"/>
          <w:szCs w:val="24"/>
        </w:rPr>
        <w:t xml:space="preserve"> tiesas apgabala prokuratūras </w:t>
      </w:r>
      <w:r w:rsidR="005C77FD" w:rsidRPr="00111B13">
        <w:rPr>
          <w:rFonts w:cs="Times New Roman"/>
          <w:szCs w:val="24"/>
        </w:rPr>
        <w:t>virs</w:t>
      </w:r>
      <w:r w:rsidR="002A4723" w:rsidRPr="00111B13">
        <w:rPr>
          <w:rFonts w:cs="Times New Roman"/>
          <w:szCs w:val="24"/>
        </w:rPr>
        <w:t xml:space="preserve">prokurora </w:t>
      </w:r>
      <w:r w:rsidR="007A2E51" w:rsidRPr="00111B13">
        <w:rPr>
          <w:rFonts w:cs="Times New Roman"/>
          <w:szCs w:val="24"/>
        </w:rPr>
        <w:t>A</w:t>
      </w:r>
      <w:r w:rsidR="005C77FD" w:rsidRPr="00111B13">
        <w:rPr>
          <w:rFonts w:cs="Times New Roman"/>
          <w:szCs w:val="24"/>
        </w:rPr>
        <w:t>.</w:t>
      </w:r>
      <w:r w:rsidR="00620138">
        <w:rPr>
          <w:rFonts w:cs="Times New Roman"/>
          <w:szCs w:val="24"/>
        </w:rPr>
        <w:t> </w:t>
      </w:r>
      <w:proofErr w:type="spellStart"/>
      <w:r w:rsidR="007A2E51" w:rsidRPr="00111B13">
        <w:rPr>
          <w:rFonts w:cs="Times New Roman"/>
          <w:szCs w:val="24"/>
        </w:rPr>
        <w:t>Meistera</w:t>
      </w:r>
      <w:proofErr w:type="spellEnd"/>
      <w:r w:rsidR="00620138">
        <w:rPr>
          <w:rFonts w:cs="Times New Roman"/>
          <w:szCs w:val="24"/>
        </w:rPr>
        <w:t xml:space="preserve"> kasācijas protestu</w:t>
      </w:r>
      <w:r w:rsidR="007A2E51" w:rsidRPr="00111B13">
        <w:rPr>
          <w:rFonts w:cs="Times New Roman"/>
          <w:szCs w:val="24"/>
        </w:rPr>
        <w:t xml:space="preserve"> un cietušā </w:t>
      </w:r>
      <w:r w:rsidR="002A729A">
        <w:rPr>
          <w:rFonts w:cs="Times New Roman"/>
          <w:szCs w:val="24"/>
        </w:rPr>
        <w:t>[pers. A]</w:t>
      </w:r>
      <w:r w:rsidR="007A2E51" w:rsidRPr="00111B13">
        <w:rPr>
          <w:rFonts w:cs="Times New Roman"/>
          <w:szCs w:val="24"/>
        </w:rPr>
        <w:t xml:space="preserve"> kasācijas sūdzību </w:t>
      </w:r>
      <w:r w:rsidR="002A4723" w:rsidRPr="00111B13">
        <w:rPr>
          <w:rFonts w:cs="Times New Roman"/>
          <w:szCs w:val="24"/>
        </w:rPr>
        <w:t>noraidīt.</w:t>
      </w:r>
      <w:r w:rsidR="003E20CF">
        <w:rPr>
          <w:b/>
        </w:rPr>
        <w:t xml:space="preserve"> </w:t>
      </w:r>
    </w:p>
    <w:p w14:paraId="4B68F66E" w14:textId="6792CEFC" w:rsidR="00F52DF8" w:rsidRPr="006F43C5" w:rsidRDefault="005738CD" w:rsidP="006F43C5">
      <w:pPr>
        <w:spacing w:after="0" w:line="276" w:lineRule="auto"/>
        <w:ind w:firstLine="709"/>
        <w:jc w:val="both"/>
        <w:rPr>
          <w:b/>
        </w:rPr>
      </w:pPr>
      <w:r w:rsidRPr="00111B13">
        <w:rPr>
          <w:rFonts w:eastAsia="Calibri" w:cs="Times New Roman"/>
          <w:szCs w:val="24"/>
        </w:rPr>
        <w:t>Lēmums nav pārsūdzams.</w:t>
      </w:r>
    </w:p>
    <w:sectPr w:rsidR="00F52DF8" w:rsidRPr="006F43C5" w:rsidSect="003B28DA">
      <w:footerReference w:type="default" r:id="rId9"/>
      <w:pgSz w:w="11906" w:h="16838"/>
      <w:pgMar w:top="1134" w:right="1134" w:bottom="1134" w:left="170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FA51B" w14:textId="77777777" w:rsidR="00F56DBF" w:rsidRDefault="00F56DBF" w:rsidP="00325ACB">
      <w:pPr>
        <w:spacing w:after="0" w:line="240" w:lineRule="auto"/>
      </w:pPr>
      <w:r>
        <w:separator/>
      </w:r>
    </w:p>
  </w:endnote>
  <w:endnote w:type="continuationSeparator" w:id="0">
    <w:p w14:paraId="7184F07E" w14:textId="77777777" w:rsidR="00F56DBF" w:rsidRDefault="00F56DBF" w:rsidP="00325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2339093"/>
      <w:docPartObj>
        <w:docPartGallery w:val="Page Numbers (Bottom of Page)"/>
        <w:docPartUnique/>
      </w:docPartObj>
    </w:sdtPr>
    <w:sdtEndPr/>
    <w:sdtContent>
      <w:sdt>
        <w:sdtPr>
          <w:id w:val="1134291447"/>
          <w:docPartObj>
            <w:docPartGallery w:val="Page Numbers (Top of Page)"/>
            <w:docPartUnique/>
          </w:docPartObj>
        </w:sdtPr>
        <w:sdtEndPr/>
        <w:sdtContent>
          <w:p w14:paraId="40EE9FD5" w14:textId="287481E8" w:rsidR="006B311B" w:rsidRDefault="006B311B">
            <w:pPr>
              <w:pStyle w:val="Footer"/>
              <w:jc w:val="center"/>
            </w:pPr>
            <w:r w:rsidRPr="00350C0B">
              <w:rPr>
                <w:bCs/>
                <w:szCs w:val="24"/>
              </w:rPr>
              <w:fldChar w:fldCharType="begin"/>
            </w:r>
            <w:r w:rsidRPr="00350C0B">
              <w:rPr>
                <w:bCs/>
              </w:rPr>
              <w:instrText xml:space="preserve"> PAGE </w:instrText>
            </w:r>
            <w:r w:rsidRPr="00350C0B">
              <w:rPr>
                <w:bCs/>
                <w:szCs w:val="24"/>
              </w:rPr>
              <w:fldChar w:fldCharType="separate"/>
            </w:r>
            <w:r w:rsidR="00B41329">
              <w:rPr>
                <w:bCs/>
                <w:noProof/>
              </w:rPr>
              <w:t>8</w:t>
            </w:r>
            <w:r w:rsidRPr="00350C0B">
              <w:rPr>
                <w:bCs/>
                <w:szCs w:val="24"/>
              </w:rPr>
              <w:fldChar w:fldCharType="end"/>
            </w:r>
            <w:r w:rsidRPr="00350C0B">
              <w:t xml:space="preserve"> no </w:t>
            </w:r>
            <w:r w:rsidR="00FD7DA3">
              <w:rPr>
                <w:bCs/>
                <w:szCs w:val="24"/>
              </w:rPr>
              <w:t>8</w:t>
            </w:r>
          </w:p>
        </w:sdtContent>
      </w:sdt>
    </w:sdtContent>
  </w:sdt>
  <w:p w14:paraId="1D767543" w14:textId="77777777" w:rsidR="006B311B" w:rsidRDefault="006B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1E1D" w14:textId="77777777" w:rsidR="00F56DBF" w:rsidRDefault="00F56DBF" w:rsidP="00325ACB">
      <w:pPr>
        <w:spacing w:after="0" w:line="240" w:lineRule="auto"/>
      </w:pPr>
      <w:r>
        <w:separator/>
      </w:r>
    </w:p>
  </w:footnote>
  <w:footnote w:type="continuationSeparator" w:id="0">
    <w:p w14:paraId="3A2B48A1" w14:textId="77777777" w:rsidR="00F56DBF" w:rsidRDefault="00F56DBF" w:rsidP="00325A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7258"/>
    <w:multiLevelType w:val="hybridMultilevel"/>
    <w:tmpl w:val="B7DC0CE2"/>
    <w:lvl w:ilvl="0" w:tplc="4C167944">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52146AB"/>
    <w:multiLevelType w:val="hybridMultilevel"/>
    <w:tmpl w:val="6EFA0810"/>
    <w:lvl w:ilvl="0" w:tplc="8B1C59B2">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 w15:restartNumberingAfterBreak="0">
    <w:nsid w:val="6CD62AD0"/>
    <w:multiLevelType w:val="hybridMultilevel"/>
    <w:tmpl w:val="226855A4"/>
    <w:lvl w:ilvl="0" w:tplc="B6EC30A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71"/>
    <w:rsid w:val="000003C8"/>
    <w:rsid w:val="0000184E"/>
    <w:rsid w:val="00007E3D"/>
    <w:rsid w:val="000145A0"/>
    <w:rsid w:val="0001710A"/>
    <w:rsid w:val="000230E0"/>
    <w:rsid w:val="00032947"/>
    <w:rsid w:val="00033A1D"/>
    <w:rsid w:val="00035CC7"/>
    <w:rsid w:val="00036071"/>
    <w:rsid w:val="00040A04"/>
    <w:rsid w:val="00044914"/>
    <w:rsid w:val="00050711"/>
    <w:rsid w:val="00051E3D"/>
    <w:rsid w:val="000527CA"/>
    <w:rsid w:val="00053E7E"/>
    <w:rsid w:val="00054F41"/>
    <w:rsid w:val="00057E63"/>
    <w:rsid w:val="00065018"/>
    <w:rsid w:val="0007024F"/>
    <w:rsid w:val="00071FB1"/>
    <w:rsid w:val="00074EBF"/>
    <w:rsid w:val="00076A64"/>
    <w:rsid w:val="000772BC"/>
    <w:rsid w:val="00077576"/>
    <w:rsid w:val="00081774"/>
    <w:rsid w:val="000859F9"/>
    <w:rsid w:val="00090432"/>
    <w:rsid w:val="0009052C"/>
    <w:rsid w:val="0009552C"/>
    <w:rsid w:val="000A2A8B"/>
    <w:rsid w:val="000A36E3"/>
    <w:rsid w:val="000A3BAA"/>
    <w:rsid w:val="000B0A2A"/>
    <w:rsid w:val="000B0BDA"/>
    <w:rsid w:val="000B1C44"/>
    <w:rsid w:val="000B312B"/>
    <w:rsid w:val="000B4EA0"/>
    <w:rsid w:val="000C5C28"/>
    <w:rsid w:val="000C7A85"/>
    <w:rsid w:val="000E0B03"/>
    <w:rsid w:val="000E13A0"/>
    <w:rsid w:val="000E63B6"/>
    <w:rsid w:val="000F32F9"/>
    <w:rsid w:val="000F4A20"/>
    <w:rsid w:val="000F4DA2"/>
    <w:rsid w:val="000F6868"/>
    <w:rsid w:val="001048C5"/>
    <w:rsid w:val="00111B13"/>
    <w:rsid w:val="00113C5C"/>
    <w:rsid w:val="00116574"/>
    <w:rsid w:val="001229AE"/>
    <w:rsid w:val="001325E1"/>
    <w:rsid w:val="0013787A"/>
    <w:rsid w:val="00140272"/>
    <w:rsid w:val="00144C10"/>
    <w:rsid w:val="00145909"/>
    <w:rsid w:val="00151760"/>
    <w:rsid w:val="00152DE5"/>
    <w:rsid w:val="00160C02"/>
    <w:rsid w:val="00162029"/>
    <w:rsid w:val="0016353C"/>
    <w:rsid w:val="00164068"/>
    <w:rsid w:val="001651D2"/>
    <w:rsid w:val="00166A82"/>
    <w:rsid w:val="001748B7"/>
    <w:rsid w:val="00177432"/>
    <w:rsid w:val="00177E0E"/>
    <w:rsid w:val="00183986"/>
    <w:rsid w:val="00185948"/>
    <w:rsid w:val="00186355"/>
    <w:rsid w:val="001A0231"/>
    <w:rsid w:val="001A31B5"/>
    <w:rsid w:val="001A5479"/>
    <w:rsid w:val="001B1089"/>
    <w:rsid w:val="001B1748"/>
    <w:rsid w:val="001B4F2C"/>
    <w:rsid w:val="001B5E36"/>
    <w:rsid w:val="001B6715"/>
    <w:rsid w:val="001B6E05"/>
    <w:rsid w:val="001C2966"/>
    <w:rsid w:val="001D327F"/>
    <w:rsid w:val="001D3943"/>
    <w:rsid w:val="001D3CB7"/>
    <w:rsid w:val="001E4358"/>
    <w:rsid w:val="001F0AEB"/>
    <w:rsid w:val="001F1CF6"/>
    <w:rsid w:val="001F314D"/>
    <w:rsid w:val="001F7A3A"/>
    <w:rsid w:val="002039E8"/>
    <w:rsid w:val="002073E5"/>
    <w:rsid w:val="00212E40"/>
    <w:rsid w:val="00213738"/>
    <w:rsid w:val="002139D9"/>
    <w:rsid w:val="00216EDB"/>
    <w:rsid w:val="00220A6A"/>
    <w:rsid w:val="00225695"/>
    <w:rsid w:val="002279FD"/>
    <w:rsid w:val="00247BB5"/>
    <w:rsid w:val="002540CA"/>
    <w:rsid w:val="00256405"/>
    <w:rsid w:val="00265B8E"/>
    <w:rsid w:val="0026750F"/>
    <w:rsid w:val="00271B26"/>
    <w:rsid w:val="00273A68"/>
    <w:rsid w:val="002758C6"/>
    <w:rsid w:val="002826C9"/>
    <w:rsid w:val="002876A1"/>
    <w:rsid w:val="0029103A"/>
    <w:rsid w:val="00294050"/>
    <w:rsid w:val="00295668"/>
    <w:rsid w:val="002A061B"/>
    <w:rsid w:val="002A241A"/>
    <w:rsid w:val="002A249E"/>
    <w:rsid w:val="002A3AB9"/>
    <w:rsid w:val="002A4723"/>
    <w:rsid w:val="002A729A"/>
    <w:rsid w:val="002B1442"/>
    <w:rsid w:val="002B14FE"/>
    <w:rsid w:val="002B1E3E"/>
    <w:rsid w:val="002C03F6"/>
    <w:rsid w:val="002C09B6"/>
    <w:rsid w:val="002C2C67"/>
    <w:rsid w:val="002C2F26"/>
    <w:rsid w:val="002C450B"/>
    <w:rsid w:val="002C4F24"/>
    <w:rsid w:val="002C68A8"/>
    <w:rsid w:val="002D7090"/>
    <w:rsid w:val="002E10F3"/>
    <w:rsid w:val="002E1BC9"/>
    <w:rsid w:val="002F02BF"/>
    <w:rsid w:val="002F7511"/>
    <w:rsid w:val="00304537"/>
    <w:rsid w:val="00313787"/>
    <w:rsid w:val="003231B1"/>
    <w:rsid w:val="003253B0"/>
    <w:rsid w:val="00325ACB"/>
    <w:rsid w:val="003262FB"/>
    <w:rsid w:val="003326E0"/>
    <w:rsid w:val="003359B3"/>
    <w:rsid w:val="003375E7"/>
    <w:rsid w:val="00342BE6"/>
    <w:rsid w:val="003433D3"/>
    <w:rsid w:val="00344E23"/>
    <w:rsid w:val="003464C0"/>
    <w:rsid w:val="00350C0B"/>
    <w:rsid w:val="00351635"/>
    <w:rsid w:val="00353FA5"/>
    <w:rsid w:val="003616E0"/>
    <w:rsid w:val="003668EC"/>
    <w:rsid w:val="0036773C"/>
    <w:rsid w:val="003706AC"/>
    <w:rsid w:val="00371E8B"/>
    <w:rsid w:val="003750E1"/>
    <w:rsid w:val="00375E5C"/>
    <w:rsid w:val="0038352C"/>
    <w:rsid w:val="00383D9C"/>
    <w:rsid w:val="00387DA9"/>
    <w:rsid w:val="00390770"/>
    <w:rsid w:val="003969E6"/>
    <w:rsid w:val="00396E9E"/>
    <w:rsid w:val="003B28DA"/>
    <w:rsid w:val="003C1989"/>
    <w:rsid w:val="003C2FF7"/>
    <w:rsid w:val="003C3ED0"/>
    <w:rsid w:val="003D5E1E"/>
    <w:rsid w:val="003E20CF"/>
    <w:rsid w:val="003E2DA6"/>
    <w:rsid w:val="003E3F09"/>
    <w:rsid w:val="003E60D2"/>
    <w:rsid w:val="003F1F54"/>
    <w:rsid w:val="003F3877"/>
    <w:rsid w:val="003F38CB"/>
    <w:rsid w:val="003F598C"/>
    <w:rsid w:val="00401C6E"/>
    <w:rsid w:val="004039EF"/>
    <w:rsid w:val="00407026"/>
    <w:rsid w:val="00410D36"/>
    <w:rsid w:val="004122B6"/>
    <w:rsid w:val="0041524C"/>
    <w:rsid w:val="00415964"/>
    <w:rsid w:val="00417931"/>
    <w:rsid w:val="00424471"/>
    <w:rsid w:val="00425CE9"/>
    <w:rsid w:val="0042743D"/>
    <w:rsid w:val="00432C8C"/>
    <w:rsid w:val="004358A7"/>
    <w:rsid w:val="0044247C"/>
    <w:rsid w:val="00443A5C"/>
    <w:rsid w:val="00444F77"/>
    <w:rsid w:val="00451C4B"/>
    <w:rsid w:val="0045747F"/>
    <w:rsid w:val="004606AB"/>
    <w:rsid w:val="00462C02"/>
    <w:rsid w:val="004647D1"/>
    <w:rsid w:val="00465EDF"/>
    <w:rsid w:val="00465F49"/>
    <w:rsid w:val="004715AE"/>
    <w:rsid w:val="004721F4"/>
    <w:rsid w:val="00472BF1"/>
    <w:rsid w:val="0047349C"/>
    <w:rsid w:val="00473BFD"/>
    <w:rsid w:val="00475D3D"/>
    <w:rsid w:val="00476641"/>
    <w:rsid w:val="0048007A"/>
    <w:rsid w:val="00480517"/>
    <w:rsid w:val="004805FE"/>
    <w:rsid w:val="0048171B"/>
    <w:rsid w:val="004844CF"/>
    <w:rsid w:val="0048624B"/>
    <w:rsid w:val="0048628A"/>
    <w:rsid w:val="004915F1"/>
    <w:rsid w:val="004B1DB0"/>
    <w:rsid w:val="004B28F8"/>
    <w:rsid w:val="004B38F8"/>
    <w:rsid w:val="004B6963"/>
    <w:rsid w:val="004C0860"/>
    <w:rsid w:val="004C49EB"/>
    <w:rsid w:val="004C708D"/>
    <w:rsid w:val="004D1C9D"/>
    <w:rsid w:val="004D225D"/>
    <w:rsid w:val="004D3A83"/>
    <w:rsid w:val="004D60E3"/>
    <w:rsid w:val="004E52F9"/>
    <w:rsid w:val="004E695C"/>
    <w:rsid w:val="004E7B69"/>
    <w:rsid w:val="004E7D2D"/>
    <w:rsid w:val="004F1E5D"/>
    <w:rsid w:val="00505271"/>
    <w:rsid w:val="0050552D"/>
    <w:rsid w:val="00506CF4"/>
    <w:rsid w:val="0051101B"/>
    <w:rsid w:val="005116B6"/>
    <w:rsid w:val="00512C71"/>
    <w:rsid w:val="00514546"/>
    <w:rsid w:val="00514CE5"/>
    <w:rsid w:val="0051521E"/>
    <w:rsid w:val="00522357"/>
    <w:rsid w:val="00525C62"/>
    <w:rsid w:val="00534F57"/>
    <w:rsid w:val="0053521F"/>
    <w:rsid w:val="00544671"/>
    <w:rsid w:val="00546222"/>
    <w:rsid w:val="005469B7"/>
    <w:rsid w:val="00546F4E"/>
    <w:rsid w:val="00547217"/>
    <w:rsid w:val="00552AD1"/>
    <w:rsid w:val="00556FF8"/>
    <w:rsid w:val="005571AD"/>
    <w:rsid w:val="005613DE"/>
    <w:rsid w:val="00562E39"/>
    <w:rsid w:val="005651EE"/>
    <w:rsid w:val="005738CD"/>
    <w:rsid w:val="00573FC8"/>
    <w:rsid w:val="005A36D7"/>
    <w:rsid w:val="005A6370"/>
    <w:rsid w:val="005B0E3B"/>
    <w:rsid w:val="005B1E76"/>
    <w:rsid w:val="005B36FF"/>
    <w:rsid w:val="005B44E5"/>
    <w:rsid w:val="005B683C"/>
    <w:rsid w:val="005B7870"/>
    <w:rsid w:val="005C0618"/>
    <w:rsid w:val="005C0D9E"/>
    <w:rsid w:val="005C77FD"/>
    <w:rsid w:val="005D093A"/>
    <w:rsid w:val="005D1EE8"/>
    <w:rsid w:val="005D1FF1"/>
    <w:rsid w:val="005D2310"/>
    <w:rsid w:val="005D2B32"/>
    <w:rsid w:val="005E0857"/>
    <w:rsid w:val="005E3732"/>
    <w:rsid w:val="005E3CDA"/>
    <w:rsid w:val="005E5F71"/>
    <w:rsid w:val="005E680C"/>
    <w:rsid w:val="005E7411"/>
    <w:rsid w:val="005F0A9D"/>
    <w:rsid w:val="005F0D9F"/>
    <w:rsid w:val="005F1079"/>
    <w:rsid w:val="005F40AD"/>
    <w:rsid w:val="006051E8"/>
    <w:rsid w:val="00606CCF"/>
    <w:rsid w:val="006078E0"/>
    <w:rsid w:val="006126E6"/>
    <w:rsid w:val="0061361E"/>
    <w:rsid w:val="0061490E"/>
    <w:rsid w:val="006150A5"/>
    <w:rsid w:val="00616A7E"/>
    <w:rsid w:val="00620138"/>
    <w:rsid w:val="006218E9"/>
    <w:rsid w:val="0062409F"/>
    <w:rsid w:val="00634B5E"/>
    <w:rsid w:val="00637E4C"/>
    <w:rsid w:val="00643543"/>
    <w:rsid w:val="00643F42"/>
    <w:rsid w:val="00645840"/>
    <w:rsid w:val="00651369"/>
    <w:rsid w:val="00651758"/>
    <w:rsid w:val="00660034"/>
    <w:rsid w:val="006604B8"/>
    <w:rsid w:val="0066166E"/>
    <w:rsid w:val="00665352"/>
    <w:rsid w:val="00665DDC"/>
    <w:rsid w:val="0067299D"/>
    <w:rsid w:val="00675CFD"/>
    <w:rsid w:val="00681F72"/>
    <w:rsid w:val="0068271D"/>
    <w:rsid w:val="00684C27"/>
    <w:rsid w:val="006864C4"/>
    <w:rsid w:val="006875FF"/>
    <w:rsid w:val="00690FE5"/>
    <w:rsid w:val="0069561A"/>
    <w:rsid w:val="00695678"/>
    <w:rsid w:val="006A0205"/>
    <w:rsid w:val="006A04AD"/>
    <w:rsid w:val="006A6B50"/>
    <w:rsid w:val="006B25D0"/>
    <w:rsid w:val="006B311B"/>
    <w:rsid w:val="006C6363"/>
    <w:rsid w:val="006C6F12"/>
    <w:rsid w:val="006D2ADB"/>
    <w:rsid w:val="006D301B"/>
    <w:rsid w:val="006D30E8"/>
    <w:rsid w:val="006D4E7A"/>
    <w:rsid w:val="006D5B75"/>
    <w:rsid w:val="006E24C5"/>
    <w:rsid w:val="006E61D9"/>
    <w:rsid w:val="006F0EE6"/>
    <w:rsid w:val="006F33E2"/>
    <w:rsid w:val="006F43C5"/>
    <w:rsid w:val="006F632E"/>
    <w:rsid w:val="007011D8"/>
    <w:rsid w:val="00703327"/>
    <w:rsid w:val="00704E7A"/>
    <w:rsid w:val="007060A6"/>
    <w:rsid w:val="007114A4"/>
    <w:rsid w:val="0071219B"/>
    <w:rsid w:val="00712885"/>
    <w:rsid w:val="007137FF"/>
    <w:rsid w:val="007173BE"/>
    <w:rsid w:val="007201E6"/>
    <w:rsid w:val="0072510D"/>
    <w:rsid w:val="00725D9C"/>
    <w:rsid w:val="007272B3"/>
    <w:rsid w:val="00735A17"/>
    <w:rsid w:val="00736498"/>
    <w:rsid w:val="00744FC9"/>
    <w:rsid w:val="007477C4"/>
    <w:rsid w:val="00747C06"/>
    <w:rsid w:val="007540EC"/>
    <w:rsid w:val="00760578"/>
    <w:rsid w:val="007631F9"/>
    <w:rsid w:val="00765A6E"/>
    <w:rsid w:val="00766487"/>
    <w:rsid w:val="007715B4"/>
    <w:rsid w:val="00772C8F"/>
    <w:rsid w:val="00775E4C"/>
    <w:rsid w:val="0078523C"/>
    <w:rsid w:val="00785A60"/>
    <w:rsid w:val="00786C02"/>
    <w:rsid w:val="00790EE4"/>
    <w:rsid w:val="00791526"/>
    <w:rsid w:val="007A2E51"/>
    <w:rsid w:val="007A40C9"/>
    <w:rsid w:val="007A5423"/>
    <w:rsid w:val="007A5651"/>
    <w:rsid w:val="007B0D8C"/>
    <w:rsid w:val="007B15F5"/>
    <w:rsid w:val="007B69B9"/>
    <w:rsid w:val="007B73C0"/>
    <w:rsid w:val="007B75E1"/>
    <w:rsid w:val="007B7851"/>
    <w:rsid w:val="007C4BA0"/>
    <w:rsid w:val="007C61F6"/>
    <w:rsid w:val="007D4708"/>
    <w:rsid w:val="007D584A"/>
    <w:rsid w:val="007D6988"/>
    <w:rsid w:val="007E6EEA"/>
    <w:rsid w:val="007F1CB6"/>
    <w:rsid w:val="00800645"/>
    <w:rsid w:val="008034E0"/>
    <w:rsid w:val="00803996"/>
    <w:rsid w:val="008060C4"/>
    <w:rsid w:val="00807481"/>
    <w:rsid w:val="0081150E"/>
    <w:rsid w:val="00811CB6"/>
    <w:rsid w:val="00815726"/>
    <w:rsid w:val="00817CE2"/>
    <w:rsid w:val="00824A15"/>
    <w:rsid w:val="008257AD"/>
    <w:rsid w:val="0082604A"/>
    <w:rsid w:val="00827AD9"/>
    <w:rsid w:val="008308EA"/>
    <w:rsid w:val="00833D97"/>
    <w:rsid w:val="00834CE2"/>
    <w:rsid w:val="0083567C"/>
    <w:rsid w:val="008367FF"/>
    <w:rsid w:val="00837E88"/>
    <w:rsid w:val="00842DFD"/>
    <w:rsid w:val="00843467"/>
    <w:rsid w:val="00844517"/>
    <w:rsid w:val="0084616C"/>
    <w:rsid w:val="008466D8"/>
    <w:rsid w:val="008501CC"/>
    <w:rsid w:val="008510FC"/>
    <w:rsid w:val="0085196D"/>
    <w:rsid w:val="00852452"/>
    <w:rsid w:val="00852ACF"/>
    <w:rsid w:val="0086054A"/>
    <w:rsid w:val="00861F5E"/>
    <w:rsid w:val="008676CF"/>
    <w:rsid w:val="00867C24"/>
    <w:rsid w:val="00882642"/>
    <w:rsid w:val="008835CF"/>
    <w:rsid w:val="00884B26"/>
    <w:rsid w:val="00886668"/>
    <w:rsid w:val="008908A1"/>
    <w:rsid w:val="00897BD8"/>
    <w:rsid w:val="008A5132"/>
    <w:rsid w:val="008B240C"/>
    <w:rsid w:val="008B2E0A"/>
    <w:rsid w:val="008B3CC7"/>
    <w:rsid w:val="008B6CD4"/>
    <w:rsid w:val="008C06D6"/>
    <w:rsid w:val="008C30F3"/>
    <w:rsid w:val="008D0321"/>
    <w:rsid w:val="008D6F59"/>
    <w:rsid w:val="008D7FB6"/>
    <w:rsid w:val="008E138A"/>
    <w:rsid w:val="008F49D6"/>
    <w:rsid w:val="008F705B"/>
    <w:rsid w:val="00905F41"/>
    <w:rsid w:val="009071F1"/>
    <w:rsid w:val="00913E8F"/>
    <w:rsid w:val="009143E4"/>
    <w:rsid w:val="00915EB2"/>
    <w:rsid w:val="0092073C"/>
    <w:rsid w:val="00923CC3"/>
    <w:rsid w:val="00934F4B"/>
    <w:rsid w:val="00941E2D"/>
    <w:rsid w:val="009425BE"/>
    <w:rsid w:val="00946B5B"/>
    <w:rsid w:val="009540B0"/>
    <w:rsid w:val="0095539C"/>
    <w:rsid w:val="00955E84"/>
    <w:rsid w:val="00956873"/>
    <w:rsid w:val="00961015"/>
    <w:rsid w:val="00961DFC"/>
    <w:rsid w:val="00963C40"/>
    <w:rsid w:val="0096466D"/>
    <w:rsid w:val="00965327"/>
    <w:rsid w:val="009743B5"/>
    <w:rsid w:val="009809F5"/>
    <w:rsid w:val="0098265C"/>
    <w:rsid w:val="00983ACE"/>
    <w:rsid w:val="00985FC3"/>
    <w:rsid w:val="00994CDC"/>
    <w:rsid w:val="009A095F"/>
    <w:rsid w:val="009A1CE0"/>
    <w:rsid w:val="009A2346"/>
    <w:rsid w:val="009A2991"/>
    <w:rsid w:val="009B0ADF"/>
    <w:rsid w:val="009B4AF2"/>
    <w:rsid w:val="009B5AE8"/>
    <w:rsid w:val="009C2587"/>
    <w:rsid w:val="009C75D5"/>
    <w:rsid w:val="009D5840"/>
    <w:rsid w:val="009E62DA"/>
    <w:rsid w:val="009E697A"/>
    <w:rsid w:val="009F177A"/>
    <w:rsid w:val="00A06C20"/>
    <w:rsid w:val="00A1139A"/>
    <w:rsid w:val="00A15E97"/>
    <w:rsid w:val="00A174CB"/>
    <w:rsid w:val="00A179F2"/>
    <w:rsid w:val="00A219BA"/>
    <w:rsid w:val="00A26BAE"/>
    <w:rsid w:val="00A34156"/>
    <w:rsid w:val="00A3418D"/>
    <w:rsid w:val="00A405E4"/>
    <w:rsid w:val="00A41F1F"/>
    <w:rsid w:val="00A4574D"/>
    <w:rsid w:val="00A473C5"/>
    <w:rsid w:val="00A47B08"/>
    <w:rsid w:val="00A502B9"/>
    <w:rsid w:val="00A512AD"/>
    <w:rsid w:val="00A51A4E"/>
    <w:rsid w:val="00A525C2"/>
    <w:rsid w:val="00A538BB"/>
    <w:rsid w:val="00A54670"/>
    <w:rsid w:val="00A54B25"/>
    <w:rsid w:val="00A55476"/>
    <w:rsid w:val="00A57117"/>
    <w:rsid w:val="00A62BA8"/>
    <w:rsid w:val="00A64171"/>
    <w:rsid w:val="00A64460"/>
    <w:rsid w:val="00A65FBF"/>
    <w:rsid w:val="00A67F6B"/>
    <w:rsid w:val="00A708D4"/>
    <w:rsid w:val="00A7091E"/>
    <w:rsid w:val="00A7293E"/>
    <w:rsid w:val="00A74BEE"/>
    <w:rsid w:val="00A83B67"/>
    <w:rsid w:val="00A866B5"/>
    <w:rsid w:val="00A871E1"/>
    <w:rsid w:val="00A87F84"/>
    <w:rsid w:val="00A93D59"/>
    <w:rsid w:val="00A96954"/>
    <w:rsid w:val="00A97797"/>
    <w:rsid w:val="00AA3591"/>
    <w:rsid w:val="00AA6070"/>
    <w:rsid w:val="00AB1798"/>
    <w:rsid w:val="00AB2D3D"/>
    <w:rsid w:val="00AB332D"/>
    <w:rsid w:val="00AB74C3"/>
    <w:rsid w:val="00AC19F9"/>
    <w:rsid w:val="00AD627B"/>
    <w:rsid w:val="00AE0672"/>
    <w:rsid w:val="00AF0BC5"/>
    <w:rsid w:val="00AF3590"/>
    <w:rsid w:val="00B035B5"/>
    <w:rsid w:val="00B04B77"/>
    <w:rsid w:val="00B07827"/>
    <w:rsid w:val="00B11944"/>
    <w:rsid w:val="00B21864"/>
    <w:rsid w:val="00B32828"/>
    <w:rsid w:val="00B3740D"/>
    <w:rsid w:val="00B41329"/>
    <w:rsid w:val="00B42302"/>
    <w:rsid w:val="00B534FA"/>
    <w:rsid w:val="00B54537"/>
    <w:rsid w:val="00B5460D"/>
    <w:rsid w:val="00B57888"/>
    <w:rsid w:val="00B60B9E"/>
    <w:rsid w:val="00B633B4"/>
    <w:rsid w:val="00B641A4"/>
    <w:rsid w:val="00B67E1F"/>
    <w:rsid w:val="00B716A5"/>
    <w:rsid w:val="00B7440D"/>
    <w:rsid w:val="00B85C0D"/>
    <w:rsid w:val="00B87A03"/>
    <w:rsid w:val="00B87B1E"/>
    <w:rsid w:val="00B9190E"/>
    <w:rsid w:val="00B91BE0"/>
    <w:rsid w:val="00B935D0"/>
    <w:rsid w:val="00B9620F"/>
    <w:rsid w:val="00BA30E3"/>
    <w:rsid w:val="00BA63B0"/>
    <w:rsid w:val="00BB14D1"/>
    <w:rsid w:val="00BB17C6"/>
    <w:rsid w:val="00BB6B6E"/>
    <w:rsid w:val="00BB7B00"/>
    <w:rsid w:val="00BC3C1B"/>
    <w:rsid w:val="00BD2A37"/>
    <w:rsid w:val="00BD30C8"/>
    <w:rsid w:val="00BD3EE7"/>
    <w:rsid w:val="00BD5C6C"/>
    <w:rsid w:val="00BD634A"/>
    <w:rsid w:val="00BE0F1B"/>
    <w:rsid w:val="00BE2B7C"/>
    <w:rsid w:val="00BE4FC8"/>
    <w:rsid w:val="00BE551A"/>
    <w:rsid w:val="00BE7F79"/>
    <w:rsid w:val="00BF473D"/>
    <w:rsid w:val="00C00546"/>
    <w:rsid w:val="00C10540"/>
    <w:rsid w:val="00C21FEA"/>
    <w:rsid w:val="00C2476B"/>
    <w:rsid w:val="00C25556"/>
    <w:rsid w:val="00C26346"/>
    <w:rsid w:val="00C33D35"/>
    <w:rsid w:val="00C373DE"/>
    <w:rsid w:val="00C37BD1"/>
    <w:rsid w:val="00C4018F"/>
    <w:rsid w:val="00C4401C"/>
    <w:rsid w:val="00C47E66"/>
    <w:rsid w:val="00C519EF"/>
    <w:rsid w:val="00C57E01"/>
    <w:rsid w:val="00C65375"/>
    <w:rsid w:val="00C6565F"/>
    <w:rsid w:val="00C65DB3"/>
    <w:rsid w:val="00C704D6"/>
    <w:rsid w:val="00C7573B"/>
    <w:rsid w:val="00C76877"/>
    <w:rsid w:val="00C76C57"/>
    <w:rsid w:val="00C80940"/>
    <w:rsid w:val="00C811B8"/>
    <w:rsid w:val="00C835B0"/>
    <w:rsid w:val="00C848AA"/>
    <w:rsid w:val="00C84FB4"/>
    <w:rsid w:val="00CA30D2"/>
    <w:rsid w:val="00CA735A"/>
    <w:rsid w:val="00CB1C90"/>
    <w:rsid w:val="00CB38CE"/>
    <w:rsid w:val="00CC3519"/>
    <w:rsid w:val="00CC6D01"/>
    <w:rsid w:val="00CC7A33"/>
    <w:rsid w:val="00CD1E16"/>
    <w:rsid w:val="00CD20FE"/>
    <w:rsid w:val="00CD2565"/>
    <w:rsid w:val="00CD3258"/>
    <w:rsid w:val="00CD3267"/>
    <w:rsid w:val="00CD5E32"/>
    <w:rsid w:val="00CD7BD7"/>
    <w:rsid w:val="00CE0CF4"/>
    <w:rsid w:val="00CE187A"/>
    <w:rsid w:val="00CE4074"/>
    <w:rsid w:val="00CF306E"/>
    <w:rsid w:val="00CF7476"/>
    <w:rsid w:val="00D00558"/>
    <w:rsid w:val="00D03804"/>
    <w:rsid w:val="00D05B59"/>
    <w:rsid w:val="00D124D3"/>
    <w:rsid w:val="00D204B8"/>
    <w:rsid w:val="00D21DE5"/>
    <w:rsid w:val="00D236E0"/>
    <w:rsid w:val="00D30069"/>
    <w:rsid w:val="00D31521"/>
    <w:rsid w:val="00D3649E"/>
    <w:rsid w:val="00D474F7"/>
    <w:rsid w:val="00D5283B"/>
    <w:rsid w:val="00D55F9D"/>
    <w:rsid w:val="00D5788E"/>
    <w:rsid w:val="00D57C5A"/>
    <w:rsid w:val="00D66346"/>
    <w:rsid w:val="00D7508B"/>
    <w:rsid w:val="00D76644"/>
    <w:rsid w:val="00D8107E"/>
    <w:rsid w:val="00D84442"/>
    <w:rsid w:val="00D864DC"/>
    <w:rsid w:val="00D901A7"/>
    <w:rsid w:val="00D94666"/>
    <w:rsid w:val="00DA0599"/>
    <w:rsid w:val="00DA204A"/>
    <w:rsid w:val="00DA2439"/>
    <w:rsid w:val="00DA5BF4"/>
    <w:rsid w:val="00DA5CC4"/>
    <w:rsid w:val="00DA693F"/>
    <w:rsid w:val="00DB2B1B"/>
    <w:rsid w:val="00DB2B97"/>
    <w:rsid w:val="00DC1020"/>
    <w:rsid w:val="00DC18FE"/>
    <w:rsid w:val="00DC3D6F"/>
    <w:rsid w:val="00DC4947"/>
    <w:rsid w:val="00DC7205"/>
    <w:rsid w:val="00DD01A4"/>
    <w:rsid w:val="00DD1C24"/>
    <w:rsid w:val="00DE2421"/>
    <w:rsid w:val="00DE4DC8"/>
    <w:rsid w:val="00DE671E"/>
    <w:rsid w:val="00DF368E"/>
    <w:rsid w:val="00E050E0"/>
    <w:rsid w:val="00E052F0"/>
    <w:rsid w:val="00E0760B"/>
    <w:rsid w:val="00E141CA"/>
    <w:rsid w:val="00E206A8"/>
    <w:rsid w:val="00E23286"/>
    <w:rsid w:val="00E2355F"/>
    <w:rsid w:val="00E259BC"/>
    <w:rsid w:val="00E27709"/>
    <w:rsid w:val="00E3015D"/>
    <w:rsid w:val="00E31587"/>
    <w:rsid w:val="00E32C80"/>
    <w:rsid w:val="00E32E46"/>
    <w:rsid w:val="00E41C0A"/>
    <w:rsid w:val="00E430A5"/>
    <w:rsid w:val="00E434D5"/>
    <w:rsid w:val="00E520DF"/>
    <w:rsid w:val="00E53405"/>
    <w:rsid w:val="00E539F4"/>
    <w:rsid w:val="00E5508B"/>
    <w:rsid w:val="00E66D1F"/>
    <w:rsid w:val="00E70202"/>
    <w:rsid w:val="00E75258"/>
    <w:rsid w:val="00E7629B"/>
    <w:rsid w:val="00E77D3E"/>
    <w:rsid w:val="00E81B93"/>
    <w:rsid w:val="00E847D4"/>
    <w:rsid w:val="00E87704"/>
    <w:rsid w:val="00EA375B"/>
    <w:rsid w:val="00EB0DFE"/>
    <w:rsid w:val="00ED03A1"/>
    <w:rsid w:val="00ED30CA"/>
    <w:rsid w:val="00ED477C"/>
    <w:rsid w:val="00ED67EB"/>
    <w:rsid w:val="00ED682D"/>
    <w:rsid w:val="00EE12A7"/>
    <w:rsid w:val="00EE3B3A"/>
    <w:rsid w:val="00EE5CA8"/>
    <w:rsid w:val="00EF0199"/>
    <w:rsid w:val="00EF2137"/>
    <w:rsid w:val="00EF2AE5"/>
    <w:rsid w:val="00EF4798"/>
    <w:rsid w:val="00EF584F"/>
    <w:rsid w:val="00EF7F44"/>
    <w:rsid w:val="00F0095C"/>
    <w:rsid w:val="00F00DCB"/>
    <w:rsid w:val="00F033B8"/>
    <w:rsid w:val="00F03C85"/>
    <w:rsid w:val="00F06B2A"/>
    <w:rsid w:val="00F10638"/>
    <w:rsid w:val="00F13580"/>
    <w:rsid w:val="00F22AF5"/>
    <w:rsid w:val="00F26EA4"/>
    <w:rsid w:val="00F31CBB"/>
    <w:rsid w:val="00F33A32"/>
    <w:rsid w:val="00F345A0"/>
    <w:rsid w:val="00F420B7"/>
    <w:rsid w:val="00F4744C"/>
    <w:rsid w:val="00F52DF8"/>
    <w:rsid w:val="00F536E1"/>
    <w:rsid w:val="00F54687"/>
    <w:rsid w:val="00F56DBF"/>
    <w:rsid w:val="00F57790"/>
    <w:rsid w:val="00F60769"/>
    <w:rsid w:val="00F65A9D"/>
    <w:rsid w:val="00F66C32"/>
    <w:rsid w:val="00F72FE8"/>
    <w:rsid w:val="00F7538F"/>
    <w:rsid w:val="00F773D0"/>
    <w:rsid w:val="00F836A5"/>
    <w:rsid w:val="00F86D33"/>
    <w:rsid w:val="00F8765D"/>
    <w:rsid w:val="00F90884"/>
    <w:rsid w:val="00F93412"/>
    <w:rsid w:val="00F93A8A"/>
    <w:rsid w:val="00F96D52"/>
    <w:rsid w:val="00FA170D"/>
    <w:rsid w:val="00FA1A77"/>
    <w:rsid w:val="00FB3D84"/>
    <w:rsid w:val="00FC085E"/>
    <w:rsid w:val="00FC183B"/>
    <w:rsid w:val="00FC2BCB"/>
    <w:rsid w:val="00FC4261"/>
    <w:rsid w:val="00FC5FF8"/>
    <w:rsid w:val="00FC7927"/>
    <w:rsid w:val="00FD3D23"/>
    <w:rsid w:val="00FD7DA3"/>
    <w:rsid w:val="00FE521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471"/>
  </w:style>
  <w:style w:type="paragraph" w:styleId="Heading2">
    <w:name w:val="heading 2"/>
    <w:basedOn w:val="Normal"/>
    <w:next w:val="Normal"/>
    <w:link w:val="Heading2Char"/>
    <w:qFormat/>
    <w:rsid w:val="00424471"/>
    <w:pPr>
      <w:keepNext/>
      <w:spacing w:before="240" w:after="60" w:line="240" w:lineRule="auto"/>
      <w:outlineLvl w:val="1"/>
    </w:pPr>
    <w:rPr>
      <w:rFonts w:ascii="Arial" w:eastAsia="Calibri"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24471"/>
    <w:rPr>
      <w:rFonts w:ascii="Arial" w:eastAsia="Calibri" w:hAnsi="Arial" w:cs="Arial"/>
      <w:b/>
      <w:bCs/>
      <w:i/>
      <w:iCs/>
      <w:sz w:val="28"/>
      <w:szCs w:val="28"/>
    </w:rPr>
  </w:style>
  <w:style w:type="character" w:customStyle="1" w:styleId="BodyText2Char">
    <w:name w:val="Body Text 2 Char"/>
    <w:link w:val="BodyText2"/>
    <w:semiHidden/>
    <w:locked/>
    <w:rsid w:val="00424471"/>
    <w:rPr>
      <w:rFonts w:ascii="Garamond" w:eastAsia="Calibri" w:hAnsi="Garamond"/>
      <w:sz w:val="28"/>
      <w:szCs w:val="28"/>
    </w:rPr>
  </w:style>
  <w:style w:type="paragraph" w:styleId="BodyText2">
    <w:name w:val="Body Text 2"/>
    <w:basedOn w:val="Normal"/>
    <w:link w:val="BodyText2Char"/>
    <w:semiHidden/>
    <w:rsid w:val="00424471"/>
    <w:pPr>
      <w:spacing w:after="0" w:line="240" w:lineRule="auto"/>
      <w:jc w:val="right"/>
    </w:pPr>
    <w:rPr>
      <w:rFonts w:ascii="Garamond" w:eastAsia="Calibri" w:hAnsi="Garamond"/>
      <w:sz w:val="28"/>
      <w:szCs w:val="28"/>
    </w:rPr>
  </w:style>
  <w:style w:type="character" w:customStyle="1" w:styleId="BodyText2Char1">
    <w:name w:val="Body Text 2 Char1"/>
    <w:basedOn w:val="DefaultParagraphFont"/>
    <w:uiPriority w:val="99"/>
    <w:semiHidden/>
    <w:rsid w:val="00424471"/>
  </w:style>
  <w:style w:type="table" w:styleId="TableGrid">
    <w:name w:val="Table Grid"/>
    <w:basedOn w:val="TableNormal"/>
    <w:uiPriority w:val="39"/>
    <w:rsid w:val="0042447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F6"/>
    <w:rPr>
      <w:color w:val="0000FF"/>
      <w:u w:val="single"/>
    </w:rPr>
  </w:style>
  <w:style w:type="paragraph" w:styleId="Header">
    <w:name w:val="header"/>
    <w:basedOn w:val="Normal"/>
    <w:link w:val="HeaderChar"/>
    <w:uiPriority w:val="99"/>
    <w:unhideWhenUsed/>
    <w:rsid w:val="00325AC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25ACB"/>
  </w:style>
  <w:style w:type="paragraph" w:styleId="Footer">
    <w:name w:val="footer"/>
    <w:basedOn w:val="Normal"/>
    <w:link w:val="FooterChar"/>
    <w:uiPriority w:val="99"/>
    <w:unhideWhenUsed/>
    <w:rsid w:val="00325AC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5ACB"/>
  </w:style>
  <w:style w:type="paragraph" w:styleId="BalloonText">
    <w:name w:val="Balloon Text"/>
    <w:basedOn w:val="Normal"/>
    <w:link w:val="BalloonTextChar"/>
    <w:uiPriority w:val="99"/>
    <w:semiHidden/>
    <w:unhideWhenUsed/>
    <w:rsid w:val="00465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EDF"/>
    <w:rPr>
      <w:rFonts w:ascii="Segoe UI" w:hAnsi="Segoe UI" w:cs="Segoe UI"/>
      <w:sz w:val="18"/>
      <w:szCs w:val="18"/>
    </w:rPr>
  </w:style>
  <w:style w:type="paragraph" w:styleId="NoSpacing">
    <w:name w:val="No Spacing"/>
    <w:uiPriority w:val="1"/>
    <w:qFormat/>
    <w:rsid w:val="002A249E"/>
    <w:pPr>
      <w:spacing w:after="0" w:line="240" w:lineRule="auto"/>
    </w:pPr>
  </w:style>
  <w:style w:type="character" w:styleId="CommentReference">
    <w:name w:val="annotation reference"/>
    <w:basedOn w:val="DefaultParagraphFont"/>
    <w:uiPriority w:val="99"/>
    <w:semiHidden/>
    <w:unhideWhenUsed/>
    <w:rsid w:val="001B6715"/>
    <w:rPr>
      <w:sz w:val="16"/>
      <w:szCs w:val="16"/>
    </w:rPr>
  </w:style>
  <w:style w:type="paragraph" w:styleId="CommentText">
    <w:name w:val="annotation text"/>
    <w:basedOn w:val="Normal"/>
    <w:link w:val="CommentTextChar"/>
    <w:uiPriority w:val="99"/>
    <w:semiHidden/>
    <w:unhideWhenUsed/>
    <w:rsid w:val="001B6715"/>
    <w:pPr>
      <w:spacing w:line="240" w:lineRule="auto"/>
    </w:pPr>
    <w:rPr>
      <w:sz w:val="20"/>
      <w:szCs w:val="20"/>
    </w:rPr>
  </w:style>
  <w:style w:type="character" w:customStyle="1" w:styleId="CommentTextChar">
    <w:name w:val="Comment Text Char"/>
    <w:basedOn w:val="DefaultParagraphFont"/>
    <w:link w:val="CommentText"/>
    <w:uiPriority w:val="99"/>
    <w:semiHidden/>
    <w:rsid w:val="001B6715"/>
    <w:rPr>
      <w:sz w:val="20"/>
      <w:szCs w:val="20"/>
    </w:rPr>
  </w:style>
  <w:style w:type="paragraph" w:styleId="CommentSubject">
    <w:name w:val="annotation subject"/>
    <w:basedOn w:val="CommentText"/>
    <w:next w:val="CommentText"/>
    <w:link w:val="CommentSubjectChar"/>
    <w:uiPriority w:val="99"/>
    <w:semiHidden/>
    <w:unhideWhenUsed/>
    <w:rsid w:val="001B6715"/>
    <w:rPr>
      <w:b/>
      <w:bCs/>
    </w:rPr>
  </w:style>
  <w:style w:type="character" w:customStyle="1" w:styleId="CommentSubjectChar">
    <w:name w:val="Comment Subject Char"/>
    <w:basedOn w:val="CommentTextChar"/>
    <w:link w:val="CommentSubject"/>
    <w:uiPriority w:val="99"/>
    <w:semiHidden/>
    <w:rsid w:val="001B6715"/>
    <w:rPr>
      <w:b/>
      <w:bCs/>
      <w:sz w:val="20"/>
      <w:szCs w:val="20"/>
    </w:rPr>
  </w:style>
  <w:style w:type="paragraph" w:styleId="ListParagraph">
    <w:name w:val="List Paragraph"/>
    <w:basedOn w:val="Normal"/>
    <w:uiPriority w:val="34"/>
    <w:qFormat/>
    <w:rsid w:val="005D1FF1"/>
    <w:pPr>
      <w:ind w:left="720"/>
      <w:contextualSpacing/>
    </w:pPr>
  </w:style>
  <w:style w:type="character" w:styleId="FootnoteReference">
    <w:name w:val="footnote reference"/>
    <w:basedOn w:val="DefaultParagraphFont"/>
    <w:uiPriority w:val="99"/>
    <w:semiHidden/>
    <w:unhideWhenUsed/>
    <w:rsid w:val="00643F42"/>
    <w:rPr>
      <w:vertAlign w:val="superscript"/>
    </w:rPr>
  </w:style>
  <w:style w:type="table" w:customStyle="1" w:styleId="TableGrid1">
    <w:name w:val="Table Grid1"/>
    <w:basedOn w:val="TableNormal"/>
    <w:next w:val="TableGrid"/>
    <w:uiPriority w:val="39"/>
    <w:rsid w:val="003E20CF"/>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E0CF4"/>
    <w:rPr>
      <w:color w:val="605E5C"/>
      <w:shd w:val="clear" w:color="auto" w:fill="E1DFDD"/>
    </w:rPr>
  </w:style>
  <w:style w:type="character" w:styleId="FollowedHyperlink">
    <w:name w:val="FollowedHyperlink"/>
    <w:basedOn w:val="DefaultParagraphFont"/>
    <w:uiPriority w:val="99"/>
    <w:semiHidden/>
    <w:unhideWhenUsed/>
    <w:rsid w:val="006F43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00645">
      <w:bodyDiv w:val="1"/>
      <w:marLeft w:val="0"/>
      <w:marRight w:val="0"/>
      <w:marTop w:val="0"/>
      <w:marBottom w:val="0"/>
      <w:divBdr>
        <w:top w:val="none" w:sz="0" w:space="0" w:color="auto"/>
        <w:left w:val="none" w:sz="0" w:space="0" w:color="auto"/>
        <w:bottom w:val="none" w:sz="0" w:space="0" w:color="auto"/>
        <w:right w:val="none" w:sz="0" w:space="0" w:color="auto"/>
      </w:divBdr>
    </w:div>
    <w:div w:id="18537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8146.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9CA9-8127-4C51-8226-0EB152A03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16767</Words>
  <Characters>9558</Characters>
  <Application>Microsoft Office Word</Application>
  <DocSecurity>0</DocSecurity>
  <Lines>79</Lines>
  <Paragraphs>52</Paragraphs>
  <ScaleCrop>false</ScaleCrop>
  <Company/>
  <LinksUpToDate>false</LinksUpToDate>
  <CharactersWithSpaces>26273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2022-01-17T13:19:00Z</dcterms:created>
  <dcterms:modified xsi:type="dcterms:W3CDTF">2022-01-17T13:19:00Z</dcterms:modified>
</cp:coreProperties>
</file>