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63C3" w14:textId="45F95536" w:rsidR="00960A13" w:rsidRPr="00673280" w:rsidRDefault="00673280" w:rsidP="00673280">
      <w:pPr>
        <w:suppressAutoHyphens/>
        <w:autoSpaceDN w:val="0"/>
        <w:spacing w:after="0"/>
        <w:jc w:val="both"/>
        <w:textAlignment w:val="baseline"/>
        <w:rPr>
          <w:rFonts w:ascii="Times New Roman" w:hAnsi="Times New Roman" w:cs="Times New Roman"/>
          <w:b/>
          <w:bCs/>
          <w:sz w:val="24"/>
          <w:szCs w:val="24"/>
        </w:rPr>
      </w:pPr>
      <w:r w:rsidRPr="00673280">
        <w:rPr>
          <w:rFonts w:ascii="Times New Roman" w:hAnsi="Times New Roman" w:cs="Times New Roman"/>
          <w:b/>
          <w:bCs/>
          <w:sz w:val="24"/>
          <w:szCs w:val="24"/>
        </w:rPr>
        <w:t xml:space="preserve">Apsūdzības pēc Krimināllikuma </w:t>
      </w:r>
      <w:proofErr w:type="gramStart"/>
      <w:r w:rsidRPr="00673280">
        <w:rPr>
          <w:rFonts w:ascii="Times New Roman" w:hAnsi="Times New Roman" w:cs="Times New Roman"/>
          <w:b/>
          <w:bCs/>
          <w:sz w:val="24"/>
          <w:szCs w:val="24"/>
        </w:rPr>
        <w:t>218.panta</w:t>
      </w:r>
      <w:proofErr w:type="gramEnd"/>
      <w:r w:rsidRPr="00673280">
        <w:rPr>
          <w:rFonts w:ascii="Times New Roman" w:hAnsi="Times New Roman" w:cs="Times New Roman"/>
          <w:b/>
          <w:bCs/>
          <w:sz w:val="24"/>
          <w:szCs w:val="24"/>
        </w:rPr>
        <w:t xml:space="preserve"> otrās daļas saturs, ja izvairīšanās no nodokļu nomaksas notikusi bezdarbības veidā</w:t>
      </w:r>
    </w:p>
    <w:p w14:paraId="0946DE73" w14:textId="285644BA" w:rsidR="00673280" w:rsidRPr="00673280" w:rsidRDefault="00673280" w:rsidP="00673280">
      <w:pPr>
        <w:suppressAutoHyphens/>
        <w:autoSpaceDN w:val="0"/>
        <w:spacing w:after="0"/>
        <w:jc w:val="both"/>
        <w:textAlignment w:val="baseline"/>
        <w:rPr>
          <w:rFonts w:ascii="Times New Roman" w:eastAsia="Calibri" w:hAnsi="Times New Roman" w:cs="Times New Roman"/>
          <w:sz w:val="24"/>
          <w:szCs w:val="24"/>
        </w:rPr>
      </w:pPr>
      <w:r w:rsidRPr="00673280">
        <w:rPr>
          <w:rFonts w:ascii="Times New Roman" w:hAnsi="Times New Roman" w:cs="Times New Roman"/>
          <w:sz w:val="24"/>
          <w:szCs w:val="24"/>
        </w:rPr>
        <w:t xml:space="preserve">Apsūdzībā, kas celta par izvairīšanos no nodokļu nomaksas bezdarbības veidā, nodokļu deklarācijas nav obligāti jānorāda. Atšķirībā no citiem izvairīšanās no nodokļu nomaksas veidiem, kad noziedzīgā nodarījuma sastāvu veido noteiktas informācijas sniegšana vai nesniegšana nodokļu deklarācijās, gadījumā, kad izvairīšanās no nodokļu nomaksas notikusi bezdarbības veidā, noziedzīgā nodarījuma sastāvu veido likuma „Par nodokļiem un nodevām” </w:t>
      </w:r>
      <w:proofErr w:type="gramStart"/>
      <w:r w:rsidRPr="00673280">
        <w:rPr>
          <w:rFonts w:ascii="Times New Roman" w:hAnsi="Times New Roman" w:cs="Times New Roman"/>
          <w:sz w:val="24"/>
          <w:szCs w:val="24"/>
        </w:rPr>
        <w:t>15.panta</w:t>
      </w:r>
      <w:proofErr w:type="gramEnd"/>
      <w:r w:rsidRPr="00673280">
        <w:rPr>
          <w:rFonts w:ascii="Times New Roman" w:hAnsi="Times New Roman" w:cs="Times New Roman"/>
          <w:sz w:val="24"/>
          <w:szCs w:val="24"/>
        </w:rPr>
        <w:t xml:space="preserve"> pirmās daļas 2.punktā noteiktā nodokļu maksāšanas pienākuma nepildīšana. Šādā gadījumā apsūdzība pietiekami pilda savu informatīvo funkciju arī tad, ja no tās identificējams laika posms, kad veidojies nodokļu parāds, brīdis, kad noziedzīgais nodarījums pabeigts, un tā rezultātā radīto zaudējumu apmērs, bet konkrētās katrā taksācijas periodā deklarētās un nesamaksātās nodokļu summas ir noskaidrojamas no krimināllietas materiāliem.</w:t>
      </w:r>
    </w:p>
    <w:p w14:paraId="10294576" w14:textId="60ACEC52" w:rsidR="0001496A" w:rsidRPr="00082431" w:rsidRDefault="0001496A" w:rsidP="00673280">
      <w:pPr>
        <w:suppressAutoHyphens/>
        <w:autoSpaceDN w:val="0"/>
        <w:spacing w:after="0"/>
        <w:textAlignment w:val="baseline"/>
        <w:rPr>
          <w:rFonts w:ascii="Times New Roman" w:eastAsia="Calibri" w:hAnsi="Times New Roman" w:cs="Times New Roman"/>
          <w:sz w:val="24"/>
          <w:szCs w:val="24"/>
        </w:rPr>
      </w:pPr>
    </w:p>
    <w:p w14:paraId="51736246" w14:textId="77777777" w:rsidR="00673280" w:rsidRPr="00673280" w:rsidRDefault="0001496A" w:rsidP="0001496A">
      <w:pPr>
        <w:suppressAutoHyphens/>
        <w:autoSpaceDN w:val="0"/>
        <w:spacing w:after="0"/>
        <w:jc w:val="center"/>
        <w:textAlignment w:val="baseline"/>
        <w:rPr>
          <w:rFonts w:ascii="Times New Roman" w:eastAsia="Calibri" w:hAnsi="Times New Roman" w:cs="Times New Roman"/>
          <w:b/>
          <w:sz w:val="24"/>
          <w:szCs w:val="24"/>
        </w:rPr>
      </w:pPr>
      <w:r w:rsidRPr="00673280">
        <w:rPr>
          <w:rFonts w:ascii="Times New Roman" w:eastAsia="Calibri" w:hAnsi="Times New Roman" w:cs="Times New Roman"/>
          <w:b/>
          <w:sz w:val="24"/>
          <w:szCs w:val="24"/>
        </w:rPr>
        <w:t>Latvijas Republikas Senāt</w:t>
      </w:r>
      <w:r w:rsidR="00673280" w:rsidRPr="00673280">
        <w:rPr>
          <w:rFonts w:ascii="Times New Roman" w:eastAsia="Calibri" w:hAnsi="Times New Roman" w:cs="Times New Roman"/>
          <w:b/>
          <w:sz w:val="24"/>
          <w:szCs w:val="24"/>
        </w:rPr>
        <w:t xml:space="preserve">a </w:t>
      </w:r>
    </w:p>
    <w:p w14:paraId="232A7BA4" w14:textId="77777777" w:rsidR="00673280" w:rsidRPr="00673280" w:rsidRDefault="00673280" w:rsidP="0001496A">
      <w:pPr>
        <w:suppressAutoHyphens/>
        <w:autoSpaceDN w:val="0"/>
        <w:spacing w:after="0"/>
        <w:jc w:val="center"/>
        <w:textAlignment w:val="baseline"/>
        <w:rPr>
          <w:rFonts w:ascii="Times New Roman" w:eastAsia="Calibri" w:hAnsi="Times New Roman" w:cs="Times New Roman"/>
          <w:b/>
          <w:sz w:val="24"/>
          <w:szCs w:val="24"/>
        </w:rPr>
      </w:pPr>
      <w:r w:rsidRPr="00673280">
        <w:rPr>
          <w:rFonts w:ascii="Times New Roman" w:eastAsia="Calibri" w:hAnsi="Times New Roman" w:cs="Times New Roman"/>
          <w:b/>
          <w:sz w:val="24"/>
          <w:szCs w:val="24"/>
        </w:rPr>
        <w:t>Krimināllietu departamenta</w:t>
      </w:r>
    </w:p>
    <w:p w14:paraId="1A5A71C6" w14:textId="11DE95EE" w:rsidR="0001496A" w:rsidRPr="00673280" w:rsidRDefault="00673280" w:rsidP="0001496A">
      <w:pPr>
        <w:suppressAutoHyphens/>
        <w:autoSpaceDN w:val="0"/>
        <w:spacing w:after="0"/>
        <w:jc w:val="center"/>
        <w:textAlignment w:val="baseline"/>
        <w:rPr>
          <w:rFonts w:ascii="Times New Roman" w:eastAsia="Calibri" w:hAnsi="Times New Roman" w:cs="Times New Roman"/>
          <w:b/>
          <w:sz w:val="24"/>
          <w:szCs w:val="24"/>
        </w:rPr>
      </w:pPr>
      <w:proofErr w:type="gramStart"/>
      <w:r w:rsidRPr="00673280">
        <w:rPr>
          <w:rFonts w:ascii="Times New Roman" w:eastAsia="Calibri" w:hAnsi="Times New Roman" w:cs="Times New Roman"/>
          <w:b/>
          <w:sz w:val="24"/>
          <w:szCs w:val="24"/>
        </w:rPr>
        <w:t>2021.gada</w:t>
      </w:r>
      <w:proofErr w:type="gramEnd"/>
      <w:r w:rsidRPr="00673280">
        <w:rPr>
          <w:rFonts w:ascii="Times New Roman" w:eastAsia="Calibri" w:hAnsi="Times New Roman" w:cs="Times New Roman"/>
          <w:b/>
          <w:sz w:val="24"/>
          <w:szCs w:val="24"/>
        </w:rPr>
        <w:t xml:space="preserve"> 17.decembra</w:t>
      </w:r>
    </w:p>
    <w:p w14:paraId="1ACB6B5C" w14:textId="77777777" w:rsidR="0001496A" w:rsidRPr="00673280" w:rsidRDefault="0001496A" w:rsidP="0001496A">
      <w:pPr>
        <w:suppressAutoHyphens/>
        <w:autoSpaceDN w:val="0"/>
        <w:spacing w:after="0"/>
        <w:jc w:val="center"/>
        <w:textAlignment w:val="baseline"/>
        <w:rPr>
          <w:rFonts w:ascii="Times New Roman" w:eastAsia="Calibri" w:hAnsi="Times New Roman" w:cs="Times New Roman"/>
          <w:b/>
          <w:sz w:val="24"/>
          <w:szCs w:val="24"/>
        </w:rPr>
      </w:pPr>
      <w:r w:rsidRPr="00673280">
        <w:rPr>
          <w:rFonts w:ascii="Times New Roman" w:eastAsia="Calibri" w:hAnsi="Times New Roman" w:cs="Times New Roman"/>
          <w:b/>
          <w:sz w:val="24"/>
          <w:szCs w:val="24"/>
        </w:rPr>
        <w:t>LĒMUMS</w:t>
      </w:r>
    </w:p>
    <w:p w14:paraId="08E26544" w14:textId="3794440A" w:rsidR="0001496A" w:rsidRPr="00673280" w:rsidRDefault="00673280" w:rsidP="0001496A">
      <w:pPr>
        <w:suppressAutoHyphens/>
        <w:autoSpaceDN w:val="0"/>
        <w:spacing w:after="0"/>
        <w:jc w:val="center"/>
        <w:textAlignment w:val="baseline"/>
        <w:rPr>
          <w:rFonts w:ascii="Times New Roman" w:eastAsia="Calibri" w:hAnsi="Times New Roman" w:cs="Times New Roman"/>
          <w:b/>
          <w:sz w:val="24"/>
          <w:szCs w:val="24"/>
        </w:rPr>
      </w:pPr>
      <w:r w:rsidRPr="00673280">
        <w:rPr>
          <w:rFonts w:ascii="Times New Roman" w:eastAsia="Calibri" w:hAnsi="Times New Roman" w:cs="Times New Roman"/>
          <w:b/>
          <w:sz w:val="24"/>
          <w:szCs w:val="24"/>
        </w:rPr>
        <w:t>Lieta Nr. 15830006716, SKK-91/2021</w:t>
      </w:r>
    </w:p>
    <w:p w14:paraId="4E0305D4" w14:textId="4D92656F" w:rsidR="00673280" w:rsidRPr="00673280" w:rsidRDefault="004800B9" w:rsidP="0001496A">
      <w:pPr>
        <w:suppressAutoHyphens/>
        <w:autoSpaceDN w:val="0"/>
        <w:spacing w:after="0"/>
        <w:jc w:val="center"/>
        <w:textAlignment w:val="baseline"/>
        <w:rPr>
          <w:rFonts w:ascii="Times New Roman" w:eastAsia="Calibri" w:hAnsi="Times New Roman" w:cs="Times New Roman"/>
          <w:sz w:val="24"/>
          <w:szCs w:val="24"/>
        </w:rPr>
      </w:pPr>
      <w:hyperlink r:id="rId8" w:history="1">
        <w:r w:rsidR="00673280" w:rsidRPr="00673280">
          <w:rPr>
            <w:rStyle w:val="Hyperlink"/>
            <w:rFonts w:ascii="Times New Roman" w:hAnsi="Times New Roman" w:cs="Times New Roman"/>
            <w:sz w:val="24"/>
            <w:szCs w:val="24"/>
            <w:shd w:val="clear" w:color="auto" w:fill="FFFFFF"/>
          </w:rPr>
          <w:t>ECLI:LV:AT:2021:1217.15830006716.9.L</w:t>
        </w:r>
      </w:hyperlink>
    </w:p>
    <w:p w14:paraId="7053A80F" w14:textId="77777777" w:rsidR="0001496A" w:rsidRPr="00082431" w:rsidRDefault="0001496A" w:rsidP="0001496A">
      <w:pPr>
        <w:suppressAutoHyphens/>
        <w:autoSpaceDN w:val="0"/>
        <w:spacing w:after="0"/>
        <w:textAlignment w:val="baseline"/>
        <w:rPr>
          <w:rFonts w:ascii="Times New Roman" w:eastAsia="Calibri" w:hAnsi="Times New Roman" w:cs="Times New Roman"/>
          <w:sz w:val="24"/>
          <w:szCs w:val="24"/>
        </w:rPr>
      </w:pPr>
    </w:p>
    <w:p w14:paraId="546336CB" w14:textId="53F48AC2" w:rsidR="0001496A" w:rsidRPr="00082431" w:rsidRDefault="0001496A" w:rsidP="0001496A">
      <w:pPr>
        <w:suppressAutoHyphens/>
        <w:autoSpaceDN w:val="0"/>
        <w:spacing w:after="0"/>
        <w:ind w:firstLine="709"/>
        <w:jc w:val="both"/>
        <w:textAlignment w:val="baseline"/>
        <w:rPr>
          <w:rFonts w:ascii="Times New Roman" w:eastAsia="Calibri" w:hAnsi="Times New Roman" w:cs="Times New Roman"/>
          <w:sz w:val="24"/>
        </w:rPr>
      </w:pPr>
      <w:r w:rsidRPr="00082431">
        <w:rPr>
          <w:rFonts w:ascii="Times New Roman" w:eastAsia="Calibri" w:hAnsi="Times New Roman" w:cs="Times New Roman"/>
          <w:sz w:val="24"/>
          <w:szCs w:val="24"/>
        </w:rPr>
        <w:t>Tiesa šādā sastāvā:</w:t>
      </w:r>
      <w:r w:rsidR="00686DB1" w:rsidRPr="00082431">
        <w:rPr>
          <w:rFonts w:ascii="Times New Roman" w:eastAsia="Calibri" w:hAnsi="Times New Roman" w:cs="Times New Roman"/>
          <w:sz w:val="24"/>
          <w:szCs w:val="24"/>
        </w:rPr>
        <w:t xml:space="preserve"> </w:t>
      </w:r>
      <w:r w:rsidRPr="00082431">
        <w:rPr>
          <w:rFonts w:ascii="Times New Roman" w:eastAsia="Calibri" w:hAnsi="Times New Roman" w:cs="Times New Roman"/>
          <w:sz w:val="24"/>
          <w:szCs w:val="24"/>
        </w:rPr>
        <w:t>senator</w:t>
      </w:r>
      <w:r w:rsidR="00DD555D" w:rsidRPr="00082431">
        <w:rPr>
          <w:rFonts w:ascii="Times New Roman" w:eastAsia="Calibri" w:hAnsi="Times New Roman" w:cs="Times New Roman"/>
          <w:sz w:val="24"/>
          <w:szCs w:val="24"/>
        </w:rPr>
        <w:t>es</w:t>
      </w:r>
      <w:r w:rsidRPr="00082431">
        <w:rPr>
          <w:rFonts w:ascii="Times New Roman" w:eastAsia="Calibri" w:hAnsi="Times New Roman" w:cs="Times New Roman"/>
          <w:sz w:val="24"/>
          <w:szCs w:val="24"/>
        </w:rPr>
        <w:t xml:space="preserve"> Inguna Radzeviča,</w:t>
      </w:r>
      <w:r w:rsidR="00E9626A" w:rsidRPr="00082431">
        <w:rPr>
          <w:rFonts w:ascii="Times New Roman" w:eastAsia="Calibri" w:hAnsi="Times New Roman" w:cs="Times New Roman"/>
          <w:sz w:val="24"/>
          <w:szCs w:val="24"/>
        </w:rPr>
        <w:t xml:space="preserve"> </w:t>
      </w:r>
      <w:r w:rsidR="001B6752" w:rsidRPr="00082431">
        <w:rPr>
          <w:rFonts w:ascii="Times New Roman" w:eastAsia="Calibri" w:hAnsi="Times New Roman" w:cs="Times New Roman"/>
          <w:sz w:val="24"/>
          <w:szCs w:val="24"/>
        </w:rPr>
        <w:t>A</w:t>
      </w:r>
      <w:r w:rsidR="00DD555D" w:rsidRPr="00082431">
        <w:rPr>
          <w:rFonts w:ascii="Times New Roman" w:eastAsia="Calibri" w:hAnsi="Times New Roman" w:cs="Times New Roman"/>
          <w:sz w:val="24"/>
          <w:szCs w:val="24"/>
        </w:rPr>
        <w:t>ija Branta</w:t>
      </w:r>
      <w:r w:rsidR="001B6752" w:rsidRPr="00082431">
        <w:rPr>
          <w:rFonts w:ascii="Times New Roman" w:eastAsia="Calibri" w:hAnsi="Times New Roman" w:cs="Times New Roman"/>
          <w:sz w:val="24"/>
          <w:szCs w:val="24"/>
        </w:rPr>
        <w:t xml:space="preserve">, </w:t>
      </w:r>
      <w:r w:rsidR="00DD555D" w:rsidRPr="00082431">
        <w:rPr>
          <w:rFonts w:ascii="Times New Roman" w:eastAsia="Calibri" w:hAnsi="Times New Roman" w:cs="Times New Roman"/>
          <w:sz w:val="24"/>
          <w:szCs w:val="24"/>
        </w:rPr>
        <w:t>Sandra Kaija</w:t>
      </w:r>
      <w:r w:rsidRPr="00082431">
        <w:rPr>
          <w:rFonts w:ascii="Times New Roman" w:eastAsia="Calibri" w:hAnsi="Times New Roman" w:cs="Times New Roman"/>
          <w:sz w:val="24"/>
          <w:szCs w:val="24"/>
        </w:rPr>
        <w:t xml:space="preserve"> </w:t>
      </w:r>
    </w:p>
    <w:p w14:paraId="02AC2252" w14:textId="77777777" w:rsidR="00960A13" w:rsidRPr="00082431" w:rsidRDefault="00960A13" w:rsidP="0001496A">
      <w:pPr>
        <w:suppressAutoHyphens/>
        <w:autoSpaceDN w:val="0"/>
        <w:spacing w:after="0"/>
        <w:ind w:firstLine="709"/>
        <w:jc w:val="both"/>
        <w:textAlignment w:val="baseline"/>
        <w:rPr>
          <w:rFonts w:ascii="Times New Roman" w:eastAsia="Calibri" w:hAnsi="Times New Roman" w:cs="Times New Roman"/>
          <w:sz w:val="24"/>
          <w:szCs w:val="24"/>
        </w:rPr>
      </w:pPr>
    </w:p>
    <w:p w14:paraId="7D39E096" w14:textId="78A0DA88" w:rsidR="0001496A" w:rsidRPr="00082431" w:rsidRDefault="0001496A" w:rsidP="00DD555D">
      <w:pPr>
        <w:suppressAutoHyphens/>
        <w:autoSpaceDN w:val="0"/>
        <w:spacing w:after="0"/>
        <w:ind w:firstLine="709"/>
        <w:jc w:val="both"/>
        <w:textAlignment w:val="baseline"/>
        <w:rPr>
          <w:rFonts w:ascii="Times New Roman" w:eastAsia="Calibri" w:hAnsi="Times New Roman" w:cs="Times New Roman"/>
          <w:sz w:val="24"/>
        </w:rPr>
      </w:pPr>
      <w:r w:rsidRPr="00082431">
        <w:rPr>
          <w:rFonts w:ascii="Times New Roman" w:eastAsia="Calibri" w:hAnsi="Times New Roman" w:cs="Times New Roman"/>
          <w:sz w:val="24"/>
        </w:rPr>
        <w:t xml:space="preserve">izskatīja rakstveida procesā krimināllietu sakarā ar </w:t>
      </w:r>
      <w:r w:rsidR="00DD555D" w:rsidRPr="00082431">
        <w:rPr>
          <w:rFonts w:ascii="Times New Roman" w:eastAsia="Calibri" w:hAnsi="Times New Roman" w:cs="Times New Roman"/>
          <w:sz w:val="24"/>
        </w:rPr>
        <w:t xml:space="preserve">Liepājas prokuratūras prokurores Lienes </w:t>
      </w:r>
      <w:proofErr w:type="spellStart"/>
      <w:r w:rsidR="00DD555D" w:rsidRPr="00082431">
        <w:rPr>
          <w:rFonts w:ascii="Times New Roman" w:eastAsia="Calibri" w:hAnsi="Times New Roman" w:cs="Times New Roman"/>
          <w:sz w:val="24"/>
        </w:rPr>
        <w:t>Eglājas</w:t>
      </w:r>
      <w:proofErr w:type="spellEnd"/>
      <w:r w:rsidR="00DD555D" w:rsidRPr="00082431">
        <w:rPr>
          <w:rFonts w:ascii="Times New Roman" w:eastAsia="Calibri" w:hAnsi="Times New Roman" w:cs="Times New Roman"/>
          <w:sz w:val="24"/>
        </w:rPr>
        <w:t xml:space="preserve"> kasācijas protestu un Valsts ieņēmumu dienesta (turpmāk – VID) </w:t>
      </w:r>
      <w:r w:rsidRPr="00082431">
        <w:rPr>
          <w:rFonts w:ascii="Times New Roman" w:eastAsia="Calibri" w:hAnsi="Times New Roman" w:cs="Times New Roman"/>
          <w:sz w:val="24"/>
        </w:rPr>
        <w:t>kasācijas sūdzīb</w:t>
      </w:r>
      <w:r w:rsidR="0022657D" w:rsidRPr="00082431">
        <w:rPr>
          <w:rFonts w:ascii="Times New Roman" w:eastAsia="Calibri" w:hAnsi="Times New Roman" w:cs="Times New Roman"/>
          <w:sz w:val="24"/>
        </w:rPr>
        <w:t>u</w:t>
      </w:r>
      <w:r w:rsidRPr="00082431">
        <w:rPr>
          <w:rFonts w:ascii="Times New Roman" w:eastAsia="Calibri" w:hAnsi="Times New Roman" w:cs="Times New Roman"/>
          <w:sz w:val="24"/>
        </w:rPr>
        <w:t xml:space="preserve"> par </w:t>
      </w:r>
      <w:r w:rsidR="004D799D" w:rsidRPr="00082431">
        <w:rPr>
          <w:rFonts w:ascii="Times New Roman" w:eastAsia="Calibri" w:hAnsi="Times New Roman" w:cs="Times New Roman"/>
          <w:sz w:val="24"/>
        </w:rPr>
        <w:t>Kurzemes</w:t>
      </w:r>
      <w:r w:rsidRPr="00082431">
        <w:rPr>
          <w:rFonts w:ascii="Times New Roman" w:eastAsia="Calibri" w:hAnsi="Times New Roman" w:cs="Times New Roman"/>
          <w:sz w:val="24"/>
        </w:rPr>
        <w:t xml:space="preserve"> apgabaltiesas </w:t>
      </w:r>
      <w:proofErr w:type="gramStart"/>
      <w:r w:rsidRPr="00082431">
        <w:rPr>
          <w:rFonts w:ascii="Times New Roman" w:eastAsia="Calibri" w:hAnsi="Times New Roman" w:cs="Times New Roman"/>
          <w:sz w:val="24"/>
        </w:rPr>
        <w:t>2020.gada</w:t>
      </w:r>
      <w:proofErr w:type="gramEnd"/>
      <w:r w:rsidRPr="00082431">
        <w:rPr>
          <w:rFonts w:ascii="Times New Roman" w:eastAsia="Calibri" w:hAnsi="Times New Roman" w:cs="Times New Roman"/>
          <w:sz w:val="24"/>
        </w:rPr>
        <w:t xml:space="preserve"> </w:t>
      </w:r>
      <w:r w:rsidR="00DD555D" w:rsidRPr="00082431">
        <w:rPr>
          <w:rFonts w:ascii="Times New Roman" w:eastAsia="Calibri" w:hAnsi="Times New Roman" w:cs="Times New Roman"/>
          <w:sz w:val="24"/>
        </w:rPr>
        <w:t>10</w:t>
      </w:r>
      <w:r w:rsidR="004D799D" w:rsidRPr="00082431">
        <w:rPr>
          <w:rFonts w:ascii="Times New Roman" w:eastAsia="Calibri" w:hAnsi="Times New Roman" w:cs="Times New Roman"/>
          <w:sz w:val="24"/>
        </w:rPr>
        <w:t>.septembra</w:t>
      </w:r>
      <w:r w:rsidR="0022657D" w:rsidRPr="00082431">
        <w:rPr>
          <w:rFonts w:ascii="Times New Roman" w:eastAsia="Calibri" w:hAnsi="Times New Roman" w:cs="Times New Roman"/>
          <w:sz w:val="24"/>
        </w:rPr>
        <w:t xml:space="preserve"> </w:t>
      </w:r>
      <w:r w:rsidR="00FF34D2" w:rsidRPr="00082431">
        <w:rPr>
          <w:rFonts w:ascii="Times New Roman" w:eastAsia="Calibri" w:hAnsi="Times New Roman" w:cs="Times New Roman"/>
          <w:sz w:val="24"/>
        </w:rPr>
        <w:t>lēmumu</w:t>
      </w:r>
      <w:r w:rsidRPr="00082431">
        <w:rPr>
          <w:rFonts w:ascii="Times New Roman" w:eastAsia="Calibri" w:hAnsi="Times New Roman" w:cs="Times New Roman"/>
          <w:sz w:val="24"/>
        </w:rPr>
        <w:t>.</w:t>
      </w:r>
    </w:p>
    <w:p w14:paraId="20AD64E7" w14:textId="77777777" w:rsidR="00960A13" w:rsidRPr="00082431" w:rsidRDefault="00960A13" w:rsidP="0001496A">
      <w:pPr>
        <w:suppressAutoHyphens/>
        <w:autoSpaceDN w:val="0"/>
        <w:spacing w:after="0"/>
        <w:ind w:firstLine="709"/>
        <w:jc w:val="both"/>
        <w:textAlignment w:val="baseline"/>
        <w:rPr>
          <w:rFonts w:ascii="Times New Roman" w:eastAsia="Calibri" w:hAnsi="Times New Roman" w:cs="Times New Roman"/>
          <w:sz w:val="24"/>
        </w:rPr>
      </w:pPr>
    </w:p>
    <w:p w14:paraId="3069C857" w14:textId="77777777" w:rsidR="0001496A" w:rsidRPr="00082431" w:rsidRDefault="0001496A" w:rsidP="00960A13">
      <w:pPr>
        <w:suppressAutoHyphens/>
        <w:autoSpaceDN w:val="0"/>
        <w:spacing w:after="0"/>
        <w:jc w:val="center"/>
        <w:textAlignment w:val="baseline"/>
        <w:rPr>
          <w:rFonts w:ascii="Times New Roman" w:eastAsia="Calibri" w:hAnsi="Times New Roman" w:cs="Times New Roman"/>
          <w:b/>
          <w:sz w:val="24"/>
        </w:rPr>
      </w:pPr>
      <w:r w:rsidRPr="00082431">
        <w:rPr>
          <w:rFonts w:ascii="Times New Roman" w:eastAsia="Calibri" w:hAnsi="Times New Roman" w:cs="Times New Roman"/>
          <w:b/>
          <w:sz w:val="24"/>
        </w:rPr>
        <w:t>Aprakstošā daļa</w:t>
      </w:r>
    </w:p>
    <w:p w14:paraId="3704C5D7" w14:textId="77777777" w:rsidR="00960A13" w:rsidRPr="00082431" w:rsidRDefault="00960A13" w:rsidP="008A16F6">
      <w:pPr>
        <w:suppressAutoHyphens/>
        <w:autoSpaceDN w:val="0"/>
        <w:spacing w:after="0"/>
        <w:textAlignment w:val="baseline"/>
        <w:rPr>
          <w:rFonts w:ascii="Times New Roman" w:eastAsia="Calibri" w:hAnsi="Times New Roman" w:cs="Times New Roman"/>
          <w:b/>
          <w:sz w:val="24"/>
        </w:rPr>
      </w:pPr>
    </w:p>
    <w:p w14:paraId="6537702B" w14:textId="67C242BB" w:rsidR="00864B77" w:rsidRPr="00082431" w:rsidRDefault="00D6556C" w:rsidP="00C907C2">
      <w:pPr>
        <w:spacing w:after="0"/>
        <w:ind w:firstLine="709"/>
        <w:jc w:val="both"/>
        <w:rPr>
          <w:rFonts w:ascii="Times New Roman" w:hAnsi="Times New Roman" w:cs="Times New Roman"/>
          <w:sz w:val="24"/>
        </w:rPr>
      </w:pPr>
      <w:r w:rsidRPr="00082431">
        <w:rPr>
          <w:rFonts w:ascii="Times New Roman" w:hAnsi="Times New Roman" w:cs="Times New Roman"/>
          <w:sz w:val="24"/>
        </w:rPr>
        <w:t>[1] </w:t>
      </w:r>
      <w:r w:rsidR="00C26C4D" w:rsidRPr="00082431">
        <w:rPr>
          <w:rFonts w:ascii="Times New Roman" w:hAnsi="Times New Roman" w:cs="Times New Roman"/>
          <w:sz w:val="24"/>
        </w:rPr>
        <w:t xml:space="preserve">Ar </w:t>
      </w:r>
      <w:r w:rsidR="004D799D" w:rsidRPr="00082431">
        <w:rPr>
          <w:rFonts w:ascii="Times New Roman" w:hAnsi="Times New Roman" w:cs="Times New Roman"/>
          <w:sz w:val="24"/>
        </w:rPr>
        <w:t>Kurzemes</w:t>
      </w:r>
      <w:r w:rsidR="00C26C4D" w:rsidRPr="00082431">
        <w:rPr>
          <w:rFonts w:ascii="Times New Roman" w:hAnsi="Times New Roman" w:cs="Times New Roman"/>
          <w:sz w:val="24"/>
        </w:rPr>
        <w:t xml:space="preserve"> rajona tiesas </w:t>
      </w:r>
      <w:proofErr w:type="gramStart"/>
      <w:r w:rsidR="00C26C4D" w:rsidRPr="00082431">
        <w:rPr>
          <w:rFonts w:ascii="Times New Roman" w:hAnsi="Times New Roman" w:cs="Times New Roman"/>
          <w:sz w:val="24"/>
        </w:rPr>
        <w:t>20</w:t>
      </w:r>
      <w:r w:rsidR="00F129EC" w:rsidRPr="00082431">
        <w:rPr>
          <w:rFonts w:ascii="Times New Roman" w:hAnsi="Times New Roman" w:cs="Times New Roman"/>
          <w:sz w:val="24"/>
        </w:rPr>
        <w:t>1</w:t>
      </w:r>
      <w:r w:rsidR="00734C41" w:rsidRPr="00082431">
        <w:rPr>
          <w:rFonts w:ascii="Times New Roman" w:hAnsi="Times New Roman" w:cs="Times New Roman"/>
          <w:sz w:val="24"/>
        </w:rPr>
        <w:t>9</w:t>
      </w:r>
      <w:r w:rsidR="00C26C4D" w:rsidRPr="00082431">
        <w:rPr>
          <w:rFonts w:ascii="Times New Roman" w:hAnsi="Times New Roman" w:cs="Times New Roman"/>
          <w:sz w:val="24"/>
        </w:rPr>
        <w:t>.gada</w:t>
      </w:r>
      <w:proofErr w:type="gramEnd"/>
      <w:r w:rsidR="00C26C4D" w:rsidRPr="00082431">
        <w:rPr>
          <w:rFonts w:ascii="Times New Roman" w:hAnsi="Times New Roman" w:cs="Times New Roman"/>
          <w:sz w:val="24"/>
        </w:rPr>
        <w:t xml:space="preserve"> </w:t>
      </w:r>
      <w:r w:rsidR="00734C41" w:rsidRPr="00082431">
        <w:rPr>
          <w:rFonts w:ascii="Times New Roman" w:hAnsi="Times New Roman" w:cs="Times New Roman"/>
          <w:sz w:val="24"/>
        </w:rPr>
        <w:t>14.novembra</w:t>
      </w:r>
      <w:r w:rsidR="00C26C4D" w:rsidRPr="00082431">
        <w:rPr>
          <w:rFonts w:ascii="Times New Roman" w:hAnsi="Times New Roman" w:cs="Times New Roman"/>
          <w:sz w:val="24"/>
        </w:rPr>
        <w:t xml:space="preserve"> spriedumu </w:t>
      </w:r>
    </w:p>
    <w:p w14:paraId="1AD7152A" w14:textId="7BCB43D8" w:rsidR="00864B77" w:rsidRPr="00082431" w:rsidRDefault="003E32A5" w:rsidP="00C907C2">
      <w:pPr>
        <w:spacing w:after="0"/>
        <w:ind w:firstLine="709"/>
        <w:jc w:val="both"/>
        <w:rPr>
          <w:rFonts w:ascii="Times New Roman" w:hAnsi="Times New Roman" w:cs="Times New Roman"/>
          <w:sz w:val="24"/>
        </w:rPr>
      </w:pPr>
      <w:r>
        <w:rPr>
          <w:rFonts w:ascii="Times New Roman" w:hAnsi="Times New Roman" w:cs="Times New Roman"/>
          <w:sz w:val="24"/>
        </w:rPr>
        <w:t>[pers. A]</w:t>
      </w:r>
      <w:r w:rsidR="00DF298A" w:rsidRPr="00082431">
        <w:rPr>
          <w:rFonts w:ascii="Times New Roman" w:hAnsi="Times New Roman" w:cs="Times New Roman"/>
          <w:sz w:val="24"/>
        </w:rPr>
        <w:t xml:space="preserve">, personas kods </w:t>
      </w:r>
      <w:r>
        <w:rPr>
          <w:rFonts w:ascii="Times New Roman" w:hAnsi="Times New Roman" w:cs="Times New Roman"/>
          <w:sz w:val="24"/>
        </w:rPr>
        <w:t>[..]</w:t>
      </w:r>
      <w:r w:rsidR="003161BB" w:rsidRPr="00082431">
        <w:rPr>
          <w:rFonts w:ascii="Times New Roman" w:hAnsi="Times New Roman" w:cs="Times New Roman"/>
          <w:sz w:val="24"/>
        </w:rPr>
        <w:t>,</w:t>
      </w:r>
    </w:p>
    <w:p w14:paraId="1A7FABAD" w14:textId="77777777" w:rsidR="00D6556C" w:rsidRPr="00082431" w:rsidRDefault="00C26C4D" w:rsidP="00D6556C">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atzīts par </w:t>
      </w:r>
      <w:r w:rsidR="00734C41" w:rsidRPr="00082431">
        <w:rPr>
          <w:rFonts w:ascii="Times New Roman" w:hAnsi="Times New Roman" w:cs="Times New Roman"/>
          <w:sz w:val="24"/>
        </w:rPr>
        <w:t>ne</w:t>
      </w:r>
      <w:r w:rsidRPr="00082431">
        <w:rPr>
          <w:rFonts w:ascii="Times New Roman" w:hAnsi="Times New Roman" w:cs="Times New Roman"/>
          <w:sz w:val="24"/>
        </w:rPr>
        <w:t xml:space="preserve">vainīgu </w:t>
      </w:r>
      <w:r w:rsidR="00734C41" w:rsidRPr="00082431">
        <w:rPr>
          <w:rFonts w:ascii="Times New Roman" w:hAnsi="Times New Roman" w:cs="Times New Roman"/>
          <w:sz w:val="24"/>
        </w:rPr>
        <w:t xml:space="preserve">pret viņu celtajā apsūdzībā pēc </w:t>
      </w:r>
      <w:r w:rsidRPr="00082431">
        <w:rPr>
          <w:rFonts w:ascii="Times New Roman" w:hAnsi="Times New Roman" w:cs="Times New Roman"/>
          <w:sz w:val="24"/>
        </w:rPr>
        <w:t xml:space="preserve">Krimināllikuma </w:t>
      </w:r>
      <w:proofErr w:type="gramStart"/>
      <w:r w:rsidRPr="00082431">
        <w:rPr>
          <w:rFonts w:ascii="Times New Roman" w:hAnsi="Times New Roman" w:cs="Times New Roman"/>
          <w:sz w:val="24"/>
        </w:rPr>
        <w:t>2</w:t>
      </w:r>
      <w:r w:rsidR="00F129EC" w:rsidRPr="00082431">
        <w:rPr>
          <w:rFonts w:ascii="Times New Roman" w:hAnsi="Times New Roman" w:cs="Times New Roman"/>
          <w:sz w:val="24"/>
        </w:rPr>
        <w:t>18</w:t>
      </w:r>
      <w:r w:rsidR="004D799D" w:rsidRPr="00082431">
        <w:rPr>
          <w:rFonts w:ascii="Times New Roman" w:hAnsi="Times New Roman" w:cs="Times New Roman"/>
          <w:sz w:val="24"/>
        </w:rPr>
        <w:t>.</w:t>
      </w:r>
      <w:r w:rsidR="0022657D" w:rsidRPr="00082431">
        <w:rPr>
          <w:rFonts w:ascii="Times New Roman" w:hAnsi="Times New Roman" w:cs="Times New Roman"/>
          <w:sz w:val="24"/>
        </w:rPr>
        <w:t>panta</w:t>
      </w:r>
      <w:proofErr w:type="gramEnd"/>
      <w:r w:rsidR="00734C41" w:rsidRPr="00082431">
        <w:rPr>
          <w:rFonts w:ascii="Times New Roman" w:hAnsi="Times New Roman" w:cs="Times New Roman"/>
          <w:sz w:val="24"/>
        </w:rPr>
        <w:t xml:space="preserve"> otrās</w:t>
      </w:r>
      <w:r w:rsidRPr="00082431">
        <w:rPr>
          <w:rFonts w:ascii="Times New Roman" w:hAnsi="Times New Roman" w:cs="Times New Roman"/>
          <w:sz w:val="24"/>
        </w:rPr>
        <w:t xml:space="preserve"> daļ</w:t>
      </w:r>
      <w:r w:rsidR="00734C41" w:rsidRPr="00082431">
        <w:rPr>
          <w:rFonts w:ascii="Times New Roman" w:hAnsi="Times New Roman" w:cs="Times New Roman"/>
          <w:sz w:val="24"/>
        </w:rPr>
        <w:t>as</w:t>
      </w:r>
      <w:r w:rsidR="009E5794" w:rsidRPr="00082431">
        <w:rPr>
          <w:rFonts w:ascii="Times New Roman" w:hAnsi="Times New Roman" w:cs="Times New Roman"/>
          <w:sz w:val="24"/>
        </w:rPr>
        <w:t xml:space="preserve"> </w:t>
      </w:r>
      <w:r w:rsidR="00734C41" w:rsidRPr="00082431">
        <w:rPr>
          <w:rFonts w:ascii="Times New Roman" w:hAnsi="Times New Roman" w:cs="Times New Roman"/>
          <w:sz w:val="24"/>
        </w:rPr>
        <w:t>un attaisnots.</w:t>
      </w:r>
      <w:r w:rsidR="00D6556C" w:rsidRPr="00082431">
        <w:rPr>
          <w:rFonts w:ascii="Times New Roman" w:hAnsi="Times New Roman" w:cs="Times New Roman"/>
          <w:sz w:val="24"/>
        </w:rPr>
        <w:t xml:space="preserve"> </w:t>
      </w:r>
    </w:p>
    <w:p w14:paraId="161B31C4" w14:textId="77777777" w:rsidR="00D6556C" w:rsidRPr="00082431" w:rsidRDefault="00F129EC" w:rsidP="00D6556C">
      <w:pPr>
        <w:spacing w:after="0"/>
        <w:ind w:firstLine="709"/>
        <w:jc w:val="both"/>
        <w:rPr>
          <w:rFonts w:ascii="Times New Roman" w:hAnsi="Times New Roman" w:cs="Times New Roman"/>
          <w:sz w:val="24"/>
        </w:rPr>
      </w:pPr>
      <w:r w:rsidRPr="00082431">
        <w:rPr>
          <w:rFonts w:ascii="Times New Roman" w:hAnsi="Times New Roman" w:cs="Times New Roman"/>
          <w:sz w:val="24"/>
        </w:rPr>
        <w:t>V</w:t>
      </w:r>
      <w:r w:rsidR="00734C41" w:rsidRPr="00082431">
        <w:rPr>
          <w:rFonts w:ascii="Times New Roman" w:hAnsi="Times New Roman" w:cs="Times New Roman"/>
          <w:sz w:val="24"/>
        </w:rPr>
        <w:t xml:space="preserve">ID kaitējuma </w:t>
      </w:r>
      <w:r w:rsidR="00A52C1C" w:rsidRPr="00082431">
        <w:rPr>
          <w:rFonts w:ascii="Times New Roman" w:hAnsi="Times New Roman" w:cs="Times New Roman"/>
          <w:sz w:val="24"/>
        </w:rPr>
        <w:t>kompensācij</w:t>
      </w:r>
      <w:r w:rsidR="00734C41" w:rsidRPr="00082431">
        <w:rPr>
          <w:rFonts w:ascii="Times New Roman" w:hAnsi="Times New Roman" w:cs="Times New Roman"/>
          <w:sz w:val="24"/>
        </w:rPr>
        <w:t>as pieteikums</w:t>
      </w:r>
      <w:r w:rsidR="00A52C1C" w:rsidRPr="00082431">
        <w:rPr>
          <w:rFonts w:ascii="Times New Roman" w:hAnsi="Times New Roman" w:cs="Times New Roman"/>
          <w:sz w:val="24"/>
        </w:rPr>
        <w:t xml:space="preserve"> par mantisko zaudējumu </w:t>
      </w:r>
      <w:r w:rsidR="00D6556C" w:rsidRPr="00082431">
        <w:rPr>
          <w:rFonts w:ascii="Times New Roman" w:hAnsi="Times New Roman" w:cs="Times New Roman"/>
          <w:sz w:val="24"/>
        </w:rPr>
        <w:t>58 </w:t>
      </w:r>
      <w:r w:rsidR="00734C41" w:rsidRPr="00082431">
        <w:rPr>
          <w:rFonts w:ascii="Times New Roman" w:hAnsi="Times New Roman" w:cs="Times New Roman"/>
          <w:sz w:val="24"/>
        </w:rPr>
        <w:t>708,85</w:t>
      </w:r>
      <w:r w:rsidR="00A52C1C" w:rsidRPr="00082431">
        <w:rPr>
          <w:rFonts w:ascii="Times New Roman" w:hAnsi="Times New Roman" w:cs="Times New Roman"/>
          <w:sz w:val="24"/>
        </w:rPr>
        <w:t> </w:t>
      </w:r>
      <w:r w:rsidR="00A52C1C" w:rsidRPr="00082431">
        <w:rPr>
          <w:rFonts w:ascii="Times New Roman" w:hAnsi="Times New Roman" w:cs="Times New Roman"/>
          <w:i/>
          <w:iCs/>
          <w:sz w:val="24"/>
        </w:rPr>
        <w:t xml:space="preserve">euro </w:t>
      </w:r>
      <w:r w:rsidR="00734C41" w:rsidRPr="00082431">
        <w:rPr>
          <w:rFonts w:ascii="Times New Roman" w:hAnsi="Times New Roman" w:cs="Times New Roman"/>
          <w:sz w:val="24"/>
        </w:rPr>
        <w:t>atstāts bez izskatīšanas.</w:t>
      </w:r>
      <w:r w:rsidR="00D6556C" w:rsidRPr="00082431">
        <w:rPr>
          <w:rFonts w:ascii="Times New Roman" w:hAnsi="Times New Roman" w:cs="Times New Roman"/>
          <w:sz w:val="24"/>
        </w:rPr>
        <w:t xml:space="preserve"> </w:t>
      </w:r>
    </w:p>
    <w:p w14:paraId="3781F249" w14:textId="77777777" w:rsidR="00D6556C" w:rsidRPr="00082431" w:rsidRDefault="00D6556C" w:rsidP="00D6556C">
      <w:pPr>
        <w:spacing w:after="0"/>
        <w:ind w:firstLine="709"/>
        <w:jc w:val="both"/>
        <w:rPr>
          <w:rFonts w:ascii="Times New Roman" w:hAnsi="Times New Roman" w:cs="Times New Roman"/>
          <w:sz w:val="24"/>
        </w:rPr>
      </w:pPr>
    </w:p>
    <w:p w14:paraId="57C74007" w14:textId="030327D7" w:rsidR="00D6556C" w:rsidRPr="00082431" w:rsidRDefault="00D6556C" w:rsidP="00D6556C">
      <w:pPr>
        <w:spacing w:after="0"/>
        <w:ind w:firstLine="709"/>
        <w:jc w:val="both"/>
        <w:rPr>
          <w:rFonts w:ascii="Times New Roman" w:hAnsi="Times New Roman" w:cs="Times New Roman"/>
          <w:sz w:val="24"/>
        </w:rPr>
      </w:pPr>
      <w:r w:rsidRPr="00082431">
        <w:rPr>
          <w:rFonts w:ascii="Times New Roman" w:hAnsi="Times New Roman" w:cs="Times New Roman"/>
          <w:sz w:val="24"/>
        </w:rPr>
        <w:t>[2] </w:t>
      </w:r>
      <w:r w:rsidR="0056380B" w:rsidRPr="00082431">
        <w:rPr>
          <w:rFonts w:ascii="Times New Roman" w:hAnsi="Times New Roman" w:cs="Times New Roman"/>
          <w:sz w:val="24"/>
        </w:rPr>
        <w:t xml:space="preserve">Pirmstiesas kriminālprocesa laikā </w:t>
      </w:r>
      <w:r w:rsidR="003E32A5">
        <w:rPr>
          <w:rFonts w:ascii="Times New Roman" w:hAnsi="Times New Roman" w:cs="Times New Roman"/>
          <w:sz w:val="24"/>
        </w:rPr>
        <w:t>[pers. A]</w:t>
      </w:r>
      <w:r w:rsidR="0056380B" w:rsidRPr="00082431">
        <w:rPr>
          <w:rFonts w:ascii="Times New Roman" w:hAnsi="Times New Roman" w:cs="Times New Roman"/>
          <w:sz w:val="24"/>
        </w:rPr>
        <w:t xml:space="preserve"> saukts pie kriminālatbildības pēc</w:t>
      </w:r>
      <w:r w:rsidR="00FB0B98" w:rsidRPr="00082431">
        <w:rPr>
          <w:rFonts w:ascii="Times New Roman" w:hAnsi="Times New Roman" w:cs="Times New Roman"/>
          <w:sz w:val="24"/>
        </w:rPr>
        <w:t xml:space="preserve"> Krimināllikuma </w:t>
      </w:r>
      <w:proofErr w:type="gramStart"/>
      <w:r w:rsidR="00FB0B98" w:rsidRPr="00082431">
        <w:rPr>
          <w:rFonts w:ascii="Times New Roman" w:hAnsi="Times New Roman" w:cs="Times New Roman"/>
          <w:sz w:val="24"/>
        </w:rPr>
        <w:t>2</w:t>
      </w:r>
      <w:r w:rsidR="00064AA7" w:rsidRPr="00082431">
        <w:rPr>
          <w:rFonts w:ascii="Times New Roman" w:hAnsi="Times New Roman" w:cs="Times New Roman"/>
          <w:sz w:val="24"/>
        </w:rPr>
        <w:t>18</w:t>
      </w:r>
      <w:r w:rsidR="0016059F" w:rsidRPr="00082431">
        <w:rPr>
          <w:rFonts w:ascii="Times New Roman" w:hAnsi="Times New Roman" w:cs="Times New Roman"/>
          <w:sz w:val="24"/>
        </w:rPr>
        <w:t>.</w:t>
      </w:r>
      <w:r w:rsidR="00FB0B98" w:rsidRPr="00082431">
        <w:rPr>
          <w:rFonts w:ascii="Times New Roman" w:hAnsi="Times New Roman" w:cs="Times New Roman"/>
          <w:sz w:val="24"/>
        </w:rPr>
        <w:t>panta</w:t>
      </w:r>
      <w:proofErr w:type="gramEnd"/>
      <w:r w:rsidR="00FB0B98" w:rsidRPr="00082431">
        <w:rPr>
          <w:rFonts w:ascii="Times New Roman" w:hAnsi="Times New Roman" w:cs="Times New Roman"/>
          <w:sz w:val="24"/>
        </w:rPr>
        <w:t xml:space="preserve"> </w:t>
      </w:r>
      <w:r w:rsidR="00064AA7" w:rsidRPr="00082431">
        <w:rPr>
          <w:rFonts w:ascii="Times New Roman" w:hAnsi="Times New Roman" w:cs="Times New Roman"/>
          <w:sz w:val="24"/>
        </w:rPr>
        <w:t>otrās daļas</w:t>
      </w:r>
      <w:r w:rsidR="004677EE" w:rsidRPr="00082431">
        <w:rPr>
          <w:rFonts w:ascii="Times New Roman" w:hAnsi="Times New Roman" w:cs="Times New Roman"/>
          <w:sz w:val="24"/>
        </w:rPr>
        <w:t xml:space="preserve"> </w:t>
      </w:r>
      <w:r w:rsidR="00FB0B98" w:rsidRPr="00082431">
        <w:rPr>
          <w:rFonts w:ascii="Times New Roman" w:hAnsi="Times New Roman" w:cs="Times New Roman"/>
          <w:sz w:val="24"/>
        </w:rPr>
        <w:t>par</w:t>
      </w:r>
      <w:r w:rsidR="00064AA7" w:rsidRPr="00082431">
        <w:rPr>
          <w:rFonts w:ascii="Times New Roman" w:hAnsi="Times New Roman" w:cs="Times New Roman"/>
          <w:sz w:val="24"/>
        </w:rPr>
        <w:t xml:space="preserve"> izvairīšanos no nodokļu un</w:t>
      </w:r>
      <w:r w:rsidR="00E73BB5" w:rsidRPr="00082431">
        <w:rPr>
          <w:rFonts w:ascii="Times New Roman" w:hAnsi="Times New Roman" w:cs="Times New Roman"/>
          <w:sz w:val="24"/>
        </w:rPr>
        <w:t xml:space="preserve"> tiem pielīdzināto maksājumu </w:t>
      </w:r>
      <w:r w:rsidR="00064AA7" w:rsidRPr="00082431">
        <w:rPr>
          <w:rFonts w:ascii="Times New Roman" w:hAnsi="Times New Roman" w:cs="Times New Roman"/>
          <w:sz w:val="24"/>
        </w:rPr>
        <w:t>nomaksas, ar to nodarot valstij zaudējumus lielā apmērā.</w:t>
      </w:r>
      <w:r w:rsidRPr="00082431">
        <w:rPr>
          <w:rFonts w:ascii="Times New Roman" w:hAnsi="Times New Roman" w:cs="Times New Roman"/>
          <w:sz w:val="24"/>
        </w:rPr>
        <w:t xml:space="preserve"> </w:t>
      </w:r>
    </w:p>
    <w:p w14:paraId="68158FA3" w14:textId="19596CD5" w:rsidR="00D6556C" w:rsidRPr="00082431" w:rsidRDefault="0056380B" w:rsidP="00D6556C">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Apsūdzībā norādīts, ka </w:t>
      </w:r>
      <w:r w:rsidR="007226B8">
        <w:rPr>
          <w:rFonts w:ascii="Times New Roman" w:hAnsi="Times New Roman" w:cs="Times New Roman"/>
          <w:sz w:val="24"/>
        </w:rPr>
        <w:t>[pers. A]</w:t>
      </w:r>
      <w:r w:rsidR="00D6556C" w:rsidRPr="00082431">
        <w:rPr>
          <w:rFonts w:ascii="Times New Roman" w:hAnsi="Times New Roman" w:cs="Times New Roman"/>
          <w:sz w:val="24"/>
        </w:rPr>
        <w:t>, būdams SIA ,,</w:t>
      </w:r>
      <w:r w:rsidR="003E32A5">
        <w:rPr>
          <w:rFonts w:ascii="Times New Roman" w:hAnsi="Times New Roman" w:cs="Times New Roman"/>
          <w:sz w:val="24"/>
        </w:rPr>
        <w:t>[Nosaukums A]</w:t>
      </w:r>
      <w:r w:rsidRPr="00082431">
        <w:rPr>
          <w:rFonts w:ascii="Times New Roman" w:hAnsi="Times New Roman" w:cs="Times New Roman"/>
          <w:sz w:val="24"/>
        </w:rPr>
        <w:t xml:space="preserve">”, reģistrācijas numurs </w:t>
      </w:r>
      <w:r w:rsidR="003E32A5">
        <w:rPr>
          <w:rFonts w:ascii="Times New Roman" w:hAnsi="Times New Roman" w:cs="Times New Roman"/>
          <w:sz w:val="24"/>
        </w:rPr>
        <w:t>[..]</w:t>
      </w:r>
      <w:r w:rsidR="0001444E" w:rsidRPr="00082431">
        <w:rPr>
          <w:rFonts w:ascii="Times New Roman" w:hAnsi="Times New Roman" w:cs="Times New Roman"/>
          <w:sz w:val="24"/>
        </w:rPr>
        <w:t>, juridiskā adre</w:t>
      </w:r>
      <w:r w:rsidR="00D6556C" w:rsidRPr="00082431">
        <w:rPr>
          <w:rFonts w:ascii="Times New Roman" w:hAnsi="Times New Roman" w:cs="Times New Roman"/>
          <w:sz w:val="24"/>
        </w:rPr>
        <w:t xml:space="preserve">se </w:t>
      </w:r>
      <w:r w:rsidR="003E32A5">
        <w:rPr>
          <w:rFonts w:ascii="Times New Roman" w:hAnsi="Times New Roman" w:cs="Times New Roman"/>
          <w:sz w:val="24"/>
        </w:rPr>
        <w:t>[adrese]</w:t>
      </w:r>
      <w:r w:rsidR="0001444E" w:rsidRPr="00082431">
        <w:rPr>
          <w:rFonts w:ascii="Times New Roman" w:hAnsi="Times New Roman" w:cs="Times New Roman"/>
          <w:sz w:val="24"/>
        </w:rPr>
        <w:t>, reģistrēta VID nodokļu maksātāju reģistrā un VID PVN maksātāju reģistrā, vienīgā amatpersona – valdes loceklis ar tiesībām pārstāvēt kapitālsabiedrību atsevišķi –, kurš atbildīgs par kapitālsabiedrības grāmatvedības dokumentu kārtošanu, maksājamo nodokļu aprēķinu un nodokļu nomaksu, likumā noteiktajā kārtībā iesnied</w:t>
      </w:r>
      <w:r w:rsidR="00D6556C" w:rsidRPr="00082431">
        <w:rPr>
          <w:rFonts w:ascii="Times New Roman" w:hAnsi="Times New Roman" w:cs="Times New Roman"/>
          <w:sz w:val="24"/>
        </w:rPr>
        <w:t>za nodokļu administrācijai SIA ,,</w:t>
      </w:r>
      <w:r w:rsidR="003E32A5">
        <w:rPr>
          <w:rFonts w:ascii="Times New Roman" w:hAnsi="Times New Roman" w:cs="Times New Roman"/>
          <w:sz w:val="24"/>
        </w:rPr>
        <w:t>[Nosaukums A]</w:t>
      </w:r>
      <w:r w:rsidR="0001444E" w:rsidRPr="00082431">
        <w:rPr>
          <w:rFonts w:ascii="Times New Roman" w:hAnsi="Times New Roman" w:cs="Times New Roman"/>
          <w:sz w:val="24"/>
        </w:rPr>
        <w:t>” nodokļu deklarācijas</w:t>
      </w:r>
      <w:r w:rsidR="00F938A8" w:rsidRPr="00082431">
        <w:rPr>
          <w:rFonts w:ascii="Times New Roman" w:hAnsi="Times New Roman" w:cs="Times New Roman"/>
          <w:sz w:val="24"/>
        </w:rPr>
        <w:t xml:space="preserve">. Tomēr </w:t>
      </w:r>
      <w:r w:rsidR="003E32A5">
        <w:rPr>
          <w:rFonts w:ascii="Times New Roman" w:hAnsi="Times New Roman" w:cs="Times New Roman"/>
          <w:sz w:val="24"/>
        </w:rPr>
        <w:t>[pers. A]</w:t>
      </w:r>
      <w:r w:rsidR="00D6556C" w:rsidRPr="00082431">
        <w:rPr>
          <w:rFonts w:ascii="Times New Roman" w:hAnsi="Times New Roman" w:cs="Times New Roman"/>
          <w:sz w:val="24"/>
        </w:rPr>
        <w:t xml:space="preserve"> likuma ,,</w:t>
      </w:r>
      <w:r w:rsidR="00F938A8" w:rsidRPr="00082431">
        <w:rPr>
          <w:rFonts w:ascii="Times New Roman" w:hAnsi="Times New Roman" w:cs="Times New Roman"/>
          <w:sz w:val="24"/>
        </w:rPr>
        <w:t xml:space="preserve">Par nodokļiem un nodevām” 15.panta pirmās daļas 2.punktā noteikto </w:t>
      </w:r>
      <w:r w:rsidR="00F938A8" w:rsidRPr="00082431">
        <w:rPr>
          <w:rFonts w:ascii="Times New Roman" w:hAnsi="Times New Roman" w:cs="Times New Roman"/>
          <w:sz w:val="24"/>
        </w:rPr>
        <w:lastRenderedPageBreak/>
        <w:t>vispārīgo nodokļu maksātāja pienākumu nepildīja un aprēķinātās nodokļu summas likumā noteiktajā termiņā un pilnā apmērā valsts budžetā neiemaksāja.</w:t>
      </w:r>
      <w:r w:rsidR="00D6556C" w:rsidRPr="00082431">
        <w:rPr>
          <w:rFonts w:ascii="Times New Roman" w:hAnsi="Times New Roman" w:cs="Times New Roman"/>
          <w:sz w:val="24"/>
        </w:rPr>
        <w:t xml:space="preserve"> </w:t>
      </w:r>
    </w:p>
    <w:p w14:paraId="2C86799D" w14:textId="43290CE2" w:rsidR="00146678" w:rsidRPr="00082431" w:rsidRDefault="00F938A8"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Proti, </w:t>
      </w:r>
      <w:r w:rsidR="003E32A5">
        <w:rPr>
          <w:rFonts w:ascii="Times New Roman" w:hAnsi="Times New Roman" w:cs="Times New Roman"/>
          <w:sz w:val="24"/>
          <w:szCs w:val="24"/>
        </w:rPr>
        <w:t>[pers. A]</w:t>
      </w:r>
      <w:r w:rsidR="00D6556C" w:rsidRPr="00082431">
        <w:rPr>
          <w:rFonts w:ascii="Times New Roman" w:hAnsi="Times New Roman" w:cs="Times New Roman"/>
          <w:sz w:val="24"/>
          <w:szCs w:val="24"/>
        </w:rPr>
        <w:t xml:space="preserve"> iesniedza SIA ,,</w:t>
      </w:r>
      <w:r w:rsidR="003E32A5">
        <w:rPr>
          <w:rFonts w:ascii="Times New Roman" w:hAnsi="Times New Roman" w:cs="Times New Roman"/>
          <w:sz w:val="24"/>
          <w:szCs w:val="24"/>
        </w:rPr>
        <w:t>[Nosaukums A]</w:t>
      </w:r>
      <w:r w:rsidRPr="00082431">
        <w:rPr>
          <w:rFonts w:ascii="Times New Roman" w:hAnsi="Times New Roman" w:cs="Times New Roman"/>
          <w:sz w:val="24"/>
          <w:szCs w:val="24"/>
        </w:rPr>
        <w:t xml:space="preserve">” PVN deklarācijas par laika periodu no </w:t>
      </w:r>
      <w:proofErr w:type="gramStart"/>
      <w:r w:rsidRPr="00082431">
        <w:rPr>
          <w:rFonts w:ascii="Times New Roman" w:hAnsi="Times New Roman" w:cs="Times New Roman"/>
          <w:sz w:val="24"/>
          <w:szCs w:val="24"/>
        </w:rPr>
        <w:t>2013.gada</w:t>
      </w:r>
      <w:proofErr w:type="gramEnd"/>
      <w:r w:rsidRPr="00082431">
        <w:rPr>
          <w:rFonts w:ascii="Times New Roman" w:hAnsi="Times New Roman" w:cs="Times New Roman"/>
          <w:sz w:val="24"/>
          <w:szCs w:val="24"/>
        </w:rPr>
        <w:t xml:space="preserve"> jūlija līdz 2015.gada jūlijam, bet deklarācijās norādītās PVN summas</w:t>
      </w:r>
      <w:r w:rsidR="00493B04" w:rsidRPr="00082431">
        <w:rPr>
          <w:rFonts w:ascii="Times New Roman" w:hAnsi="Times New Roman" w:cs="Times New Roman"/>
          <w:sz w:val="24"/>
          <w:szCs w:val="24"/>
        </w:rPr>
        <w:t xml:space="preserve"> Pievienotās vērtības nodokļa likuma 119.panta pirmajā daļā noteiktajā termiņā pilnā apmērā valsts </w:t>
      </w:r>
      <w:r w:rsidR="00146678" w:rsidRPr="00082431">
        <w:rPr>
          <w:rFonts w:ascii="Times New Roman" w:hAnsi="Times New Roman" w:cs="Times New Roman"/>
          <w:sz w:val="24"/>
          <w:szCs w:val="24"/>
        </w:rPr>
        <w:t>budžetā neiemaksāja, tādēļ SIA ,,</w:t>
      </w:r>
      <w:r w:rsidR="003E32A5">
        <w:rPr>
          <w:rFonts w:ascii="Times New Roman" w:hAnsi="Times New Roman" w:cs="Times New Roman"/>
          <w:sz w:val="24"/>
          <w:szCs w:val="24"/>
        </w:rPr>
        <w:t>[Nosaukums A]</w:t>
      </w:r>
      <w:r w:rsidR="00493B04" w:rsidRPr="00082431">
        <w:rPr>
          <w:rFonts w:ascii="Times New Roman" w:hAnsi="Times New Roman" w:cs="Times New Roman"/>
          <w:sz w:val="24"/>
          <w:szCs w:val="24"/>
        </w:rPr>
        <w:t>” no 2013.gada 20.augusta sāka veidoties PVN parāds.</w:t>
      </w:r>
      <w:r w:rsidR="00146678" w:rsidRPr="00082431">
        <w:rPr>
          <w:rFonts w:ascii="Times New Roman" w:hAnsi="Times New Roman" w:cs="Times New Roman"/>
          <w:sz w:val="24"/>
          <w:szCs w:val="24"/>
        </w:rPr>
        <w:t xml:space="preserve"> </w:t>
      </w:r>
    </w:p>
    <w:p w14:paraId="5950DD5D" w14:textId="2A11A051" w:rsidR="00146678" w:rsidRPr="00082431" w:rsidRDefault="00493B04"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Turklāt </w:t>
      </w:r>
      <w:r w:rsidR="003E32A5">
        <w:rPr>
          <w:rFonts w:ascii="Times New Roman" w:hAnsi="Times New Roman" w:cs="Times New Roman"/>
          <w:sz w:val="24"/>
          <w:szCs w:val="24"/>
        </w:rPr>
        <w:t>[pers. A]</w:t>
      </w:r>
      <w:r w:rsidRPr="00082431">
        <w:rPr>
          <w:rFonts w:ascii="Times New Roman" w:hAnsi="Times New Roman" w:cs="Times New Roman"/>
          <w:sz w:val="24"/>
          <w:szCs w:val="24"/>
        </w:rPr>
        <w:t xml:space="preserve"> nolūkā samaksāt valsts budžetā maksājamā PVN apmēru </w:t>
      </w:r>
      <w:proofErr w:type="gramStart"/>
      <w:r w:rsidRPr="00082431">
        <w:rPr>
          <w:rFonts w:ascii="Times New Roman" w:hAnsi="Times New Roman" w:cs="Times New Roman"/>
          <w:sz w:val="24"/>
          <w:szCs w:val="24"/>
        </w:rPr>
        <w:t>2015.gada</w:t>
      </w:r>
      <w:proofErr w:type="gramEnd"/>
      <w:r w:rsidRPr="00082431">
        <w:rPr>
          <w:rFonts w:ascii="Times New Roman" w:hAnsi="Times New Roman" w:cs="Times New Roman"/>
          <w:sz w:val="24"/>
          <w:szCs w:val="24"/>
        </w:rPr>
        <w:t xml:space="preserve"> janvārī PVN deklarācijā par 2014.gada novembri apzināti sniedza nepatiesu informāciju, norādot attaisnojuma dokumentus par faktiski nenotikušie</w:t>
      </w:r>
      <w:r w:rsidR="00146678" w:rsidRPr="00082431">
        <w:rPr>
          <w:rFonts w:ascii="Times New Roman" w:hAnsi="Times New Roman" w:cs="Times New Roman"/>
          <w:sz w:val="24"/>
          <w:szCs w:val="24"/>
        </w:rPr>
        <w:t>m</w:t>
      </w:r>
      <w:r w:rsidRPr="00082431">
        <w:rPr>
          <w:rFonts w:ascii="Times New Roman" w:hAnsi="Times New Roman" w:cs="Times New Roman"/>
          <w:sz w:val="24"/>
          <w:szCs w:val="24"/>
        </w:rPr>
        <w:t xml:space="preserve"> darījumiem</w:t>
      </w:r>
      <w:r w:rsidR="00146678" w:rsidRPr="00082431">
        <w:rPr>
          <w:rFonts w:ascii="Times New Roman" w:hAnsi="Times New Roman" w:cs="Times New Roman"/>
          <w:sz w:val="24"/>
          <w:szCs w:val="24"/>
        </w:rPr>
        <w:t xml:space="preserve"> ar SIA ,,</w:t>
      </w:r>
      <w:r w:rsidR="005742D1" w:rsidRPr="00082431">
        <w:rPr>
          <w:rFonts w:ascii="Times New Roman" w:hAnsi="Times New Roman" w:cs="Times New Roman"/>
          <w:sz w:val="24"/>
          <w:szCs w:val="24"/>
        </w:rPr>
        <w:t>K.R.L.2”, reģistrācija</w:t>
      </w:r>
      <w:r w:rsidR="00146678" w:rsidRPr="00082431">
        <w:rPr>
          <w:rFonts w:ascii="Times New Roman" w:hAnsi="Times New Roman" w:cs="Times New Roman"/>
          <w:sz w:val="24"/>
          <w:szCs w:val="24"/>
        </w:rPr>
        <w:t xml:space="preserve">s numurs </w:t>
      </w:r>
      <w:r w:rsidR="003E32A5">
        <w:rPr>
          <w:rFonts w:ascii="Times New Roman" w:hAnsi="Times New Roman" w:cs="Times New Roman"/>
          <w:sz w:val="24"/>
          <w:szCs w:val="24"/>
        </w:rPr>
        <w:t>[..]</w:t>
      </w:r>
      <w:r w:rsidR="00146678" w:rsidRPr="00082431">
        <w:rPr>
          <w:rFonts w:ascii="Times New Roman" w:hAnsi="Times New Roman" w:cs="Times New Roman"/>
          <w:sz w:val="24"/>
          <w:szCs w:val="24"/>
        </w:rPr>
        <w:t xml:space="preserve">, un tieši: </w:t>
      </w:r>
    </w:p>
    <w:p w14:paraId="53CAA663" w14:textId="266BF2FC" w:rsidR="00146678" w:rsidRPr="00082431" w:rsidRDefault="008C7750"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146678" w:rsidRPr="00082431">
        <w:rPr>
          <w:rFonts w:ascii="Times New Roman" w:hAnsi="Times New Roman" w:cs="Times New Roman"/>
          <w:sz w:val="24"/>
          <w:szCs w:val="24"/>
        </w:rPr>
        <w:t> </w:t>
      </w:r>
      <w:proofErr w:type="gramStart"/>
      <w:r w:rsidR="005742D1" w:rsidRPr="00082431">
        <w:rPr>
          <w:rFonts w:ascii="Times New Roman" w:hAnsi="Times New Roman" w:cs="Times New Roman"/>
          <w:sz w:val="24"/>
          <w:szCs w:val="24"/>
        </w:rPr>
        <w:t>2014.gada</w:t>
      </w:r>
      <w:proofErr w:type="gramEnd"/>
      <w:r w:rsidR="005742D1" w:rsidRPr="00082431">
        <w:rPr>
          <w:rFonts w:ascii="Times New Roman" w:hAnsi="Times New Roman" w:cs="Times New Roman"/>
          <w:sz w:val="24"/>
          <w:szCs w:val="24"/>
        </w:rPr>
        <w:t xml:space="preserve"> 3.novembra nodokļ</w:t>
      </w:r>
      <w:r w:rsidRPr="00082431">
        <w:rPr>
          <w:rFonts w:ascii="Times New Roman" w:hAnsi="Times New Roman" w:cs="Times New Roman"/>
          <w:sz w:val="24"/>
          <w:szCs w:val="24"/>
        </w:rPr>
        <w:t>a</w:t>
      </w:r>
      <w:r w:rsidR="005742D1" w:rsidRPr="00082431">
        <w:rPr>
          <w:rFonts w:ascii="Times New Roman" w:hAnsi="Times New Roman" w:cs="Times New Roman"/>
          <w:sz w:val="24"/>
          <w:szCs w:val="24"/>
        </w:rPr>
        <w:t xml:space="preserve"> rēķinu</w:t>
      </w:r>
      <w:r w:rsidR="00146678" w:rsidRPr="00082431">
        <w:rPr>
          <w:rFonts w:ascii="Times New Roman" w:hAnsi="Times New Roman" w:cs="Times New Roman"/>
          <w:sz w:val="24"/>
          <w:szCs w:val="24"/>
        </w:rPr>
        <w:t xml:space="preserve"> Nr. KLR 14/27 par 11 900 </w:t>
      </w:r>
      <w:r w:rsidR="007372B3" w:rsidRPr="00082431">
        <w:rPr>
          <w:rFonts w:ascii="Times New Roman" w:hAnsi="Times New Roman" w:cs="Times New Roman"/>
          <w:i/>
          <w:iCs/>
          <w:sz w:val="24"/>
          <w:szCs w:val="24"/>
        </w:rPr>
        <w:t xml:space="preserve">euro </w:t>
      </w:r>
      <w:r w:rsidR="00146678" w:rsidRPr="00082431">
        <w:rPr>
          <w:rFonts w:ascii="Times New Roman" w:hAnsi="Times New Roman" w:cs="Times New Roman"/>
          <w:sz w:val="24"/>
          <w:szCs w:val="24"/>
        </w:rPr>
        <w:t>bez PVN un PVN 2499 </w:t>
      </w:r>
      <w:r w:rsidR="007372B3" w:rsidRPr="00082431">
        <w:rPr>
          <w:rFonts w:ascii="Times New Roman" w:hAnsi="Times New Roman" w:cs="Times New Roman"/>
          <w:i/>
          <w:iCs/>
          <w:sz w:val="24"/>
          <w:szCs w:val="24"/>
        </w:rPr>
        <w:t>euro</w:t>
      </w:r>
      <w:r w:rsidR="007372B3" w:rsidRPr="00082431">
        <w:rPr>
          <w:rFonts w:ascii="Times New Roman" w:hAnsi="Times New Roman" w:cs="Times New Roman"/>
          <w:sz w:val="24"/>
          <w:szCs w:val="24"/>
        </w:rPr>
        <w:t>;</w:t>
      </w:r>
      <w:r w:rsidR="00146678" w:rsidRPr="00082431">
        <w:rPr>
          <w:rFonts w:ascii="Times New Roman" w:hAnsi="Times New Roman" w:cs="Times New Roman"/>
          <w:sz w:val="24"/>
          <w:szCs w:val="24"/>
        </w:rPr>
        <w:t xml:space="preserve"> </w:t>
      </w:r>
    </w:p>
    <w:p w14:paraId="15296CEE" w14:textId="67A8501F" w:rsidR="00146678" w:rsidRPr="00082431" w:rsidRDefault="00146678"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w:t>
      </w:r>
      <w:proofErr w:type="gramStart"/>
      <w:r w:rsidR="008C7750" w:rsidRPr="00082431">
        <w:rPr>
          <w:rFonts w:ascii="Times New Roman" w:hAnsi="Times New Roman" w:cs="Times New Roman"/>
          <w:sz w:val="24"/>
          <w:szCs w:val="24"/>
        </w:rPr>
        <w:t>2014.gad</w:t>
      </w:r>
      <w:r w:rsidRPr="00082431">
        <w:rPr>
          <w:rFonts w:ascii="Times New Roman" w:hAnsi="Times New Roman" w:cs="Times New Roman"/>
          <w:sz w:val="24"/>
          <w:szCs w:val="24"/>
        </w:rPr>
        <w:t>a</w:t>
      </w:r>
      <w:proofErr w:type="gramEnd"/>
      <w:r w:rsidRPr="00082431">
        <w:rPr>
          <w:rFonts w:ascii="Times New Roman" w:hAnsi="Times New Roman" w:cs="Times New Roman"/>
          <w:sz w:val="24"/>
          <w:szCs w:val="24"/>
        </w:rPr>
        <w:t xml:space="preserve"> 4.novembra nodokļa rēķinu Nr. KLR 14/28 par 20 300 </w:t>
      </w:r>
      <w:r w:rsidR="008C7750" w:rsidRPr="00082431">
        <w:rPr>
          <w:rFonts w:ascii="Times New Roman" w:hAnsi="Times New Roman" w:cs="Times New Roman"/>
          <w:i/>
          <w:iCs/>
          <w:sz w:val="24"/>
          <w:szCs w:val="24"/>
        </w:rPr>
        <w:t xml:space="preserve">euro </w:t>
      </w:r>
      <w:r w:rsidRPr="00082431">
        <w:rPr>
          <w:rFonts w:ascii="Times New Roman" w:hAnsi="Times New Roman" w:cs="Times New Roman"/>
          <w:sz w:val="24"/>
          <w:szCs w:val="24"/>
        </w:rPr>
        <w:t>bez PVN un PVN 4263 </w:t>
      </w:r>
      <w:r w:rsidR="008C7750" w:rsidRPr="00082431">
        <w:rPr>
          <w:rFonts w:ascii="Times New Roman" w:hAnsi="Times New Roman" w:cs="Times New Roman"/>
          <w:i/>
          <w:iCs/>
          <w:sz w:val="24"/>
          <w:szCs w:val="24"/>
        </w:rPr>
        <w:t>euro</w:t>
      </w:r>
      <w:r w:rsidR="008C7750" w:rsidRPr="00082431">
        <w:rPr>
          <w:rFonts w:ascii="Times New Roman" w:hAnsi="Times New Roman" w:cs="Times New Roman"/>
          <w:sz w:val="24"/>
          <w:szCs w:val="24"/>
        </w:rPr>
        <w:t>;</w:t>
      </w:r>
      <w:r w:rsidRPr="00082431">
        <w:rPr>
          <w:rFonts w:ascii="Times New Roman" w:hAnsi="Times New Roman" w:cs="Times New Roman"/>
          <w:sz w:val="24"/>
          <w:szCs w:val="24"/>
        </w:rPr>
        <w:t xml:space="preserve"> </w:t>
      </w:r>
    </w:p>
    <w:p w14:paraId="2AB41F67" w14:textId="623FCA4D" w:rsidR="00146678" w:rsidRPr="00082431" w:rsidRDefault="00146678"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Pr="00082431">
        <w:rPr>
          <w:rFonts w:ascii="Times New Roman" w:hAnsi="Times New Roman" w:cs="Times New Roman"/>
          <w:sz w:val="24"/>
          <w:szCs w:val="24"/>
        </w:rPr>
        <w:t xml:space="preserve"> 4.novembra </w:t>
      </w:r>
      <w:r w:rsidR="008C7750" w:rsidRPr="00082431">
        <w:rPr>
          <w:rFonts w:ascii="Times New Roman" w:hAnsi="Times New Roman" w:cs="Times New Roman"/>
          <w:sz w:val="24"/>
          <w:szCs w:val="24"/>
        </w:rPr>
        <w:t>nodokļa rēķi</w:t>
      </w:r>
      <w:r w:rsidRPr="00082431">
        <w:rPr>
          <w:rFonts w:ascii="Times New Roman" w:hAnsi="Times New Roman" w:cs="Times New Roman"/>
          <w:sz w:val="24"/>
          <w:szCs w:val="24"/>
        </w:rPr>
        <w:t>nu Nr. KLR 14/29 par 10 080 </w:t>
      </w:r>
      <w:r w:rsidR="008C7750" w:rsidRPr="00082431">
        <w:rPr>
          <w:rFonts w:ascii="Times New Roman" w:hAnsi="Times New Roman" w:cs="Times New Roman"/>
          <w:i/>
          <w:iCs/>
          <w:sz w:val="24"/>
          <w:szCs w:val="24"/>
        </w:rPr>
        <w:t>euro</w:t>
      </w:r>
      <w:r w:rsidRPr="00082431">
        <w:rPr>
          <w:rFonts w:ascii="Times New Roman" w:hAnsi="Times New Roman" w:cs="Times New Roman"/>
          <w:sz w:val="24"/>
          <w:szCs w:val="24"/>
        </w:rPr>
        <w:t xml:space="preserve"> bez PVN un PVN 2116,80 </w:t>
      </w:r>
      <w:r w:rsidR="008C7750" w:rsidRPr="00082431">
        <w:rPr>
          <w:rFonts w:ascii="Times New Roman" w:hAnsi="Times New Roman" w:cs="Times New Roman"/>
          <w:i/>
          <w:iCs/>
          <w:sz w:val="24"/>
          <w:szCs w:val="24"/>
        </w:rPr>
        <w:t>euro</w:t>
      </w:r>
      <w:r w:rsidR="00A06028" w:rsidRPr="00082431">
        <w:rPr>
          <w:rFonts w:ascii="Times New Roman" w:hAnsi="Times New Roman" w:cs="Times New Roman"/>
          <w:sz w:val="24"/>
          <w:szCs w:val="24"/>
        </w:rPr>
        <w:t>;</w:t>
      </w:r>
      <w:r w:rsidRPr="00082431">
        <w:rPr>
          <w:rFonts w:ascii="Times New Roman" w:hAnsi="Times New Roman" w:cs="Times New Roman"/>
          <w:sz w:val="24"/>
          <w:szCs w:val="24"/>
        </w:rPr>
        <w:t xml:space="preserve"> </w:t>
      </w:r>
    </w:p>
    <w:p w14:paraId="09F15D97" w14:textId="072D68FE" w:rsidR="00146678" w:rsidRPr="00082431" w:rsidRDefault="00A06028"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146678"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w:t>
      </w:r>
      <w:r w:rsidR="00146678" w:rsidRPr="00082431">
        <w:rPr>
          <w:rFonts w:ascii="Times New Roman" w:hAnsi="Times New Roman" w:cs="Times New Roman"/>
          <w:sz w:val="24"/>
          <w:szCs w:val="24"/>
        </w:rPr>
        <w:t>a</w:t>
      </w:r>
      <w:proofErr w:type="gramEnd"/>
      <w:r w:rsidR="00146678" w:rsidRPr="00082431">
        <w:rPr>
          <w:rFonts w:ascii="Times New Roman" w:hAnsi="Times New Roman" w:cs="Times New Roman"/>
          <w:sz w:val="24"/>
          <w:szCs w:val="24"/>
        </w:rPr>
        <w:t xml:space="preserve"> 4.novembra nodokļa rēķinu Nr. KLR 14/30 par 8680 </w:t>
      </w:r>
      <w:r w:rsidRPr="00082431">
        <w:rPr>
          <w:rFonts w:ascii="Times New Roman" w:hAnsi="Times New Roman" w:cs="Times New Roman"/>
          <w:i/>
          <w:iCs/>
          <w:sz w:val="24"/>
          <w:szCs w:val="24"/>
        </w:rPr>
        <w:t>euro</w:t>
      </w:r>
      <w:r w:rsidR="00146678" w:rsidRPr="00082431">
        <w:rPr>
          <w:rFonts w:ascii="Times New Roman" w:hAnsi="Times New Roman" w:cs="Times New Roman"/>
          <w:sz w:val="24"/>
          <w:szCs w:val="24"/>
        </w:rPr>
        <w:t xml:space="preserve"> bez PVN un PVN 1822,80 </w:t>
      </w:r>
      <w:r w:rsidRPr="00082431">
        <w:rPr>
          <w:rFonts w:ascii="Times New Roman" w:hAnsi="Times New Roman" w:cs="Times New Roman"/>
          <w:i/>
          <w:iCs/>
          <w:sz w:val="24"/>
          <w:szCs w:val="24"/>
        </w:rPr>
        <w:t>euro</w:t>
      </w:r>
      <w:r w:rsidRPr="00082431">
        <w:rPr>
          <w:rFonts w:ascii="Times New Roman" w:hAnsi="Times New Roman" w:cs="Times New Roman"/>
          <w:sz w:val="24"/>
          <w:szCs w:val="24"/>
        </w:rPr>
        <w:t>;</w:t>
      </w:r>
      <w:r w:rsidR="00146678" w:rsidRPr="00082431">
        <w:rPr>
          <w:rFonts w:ascii="Times New Roman" w:hAnsi="Times New Roman" w:cs="Times New Roman"/>
          <w:sz w:val="24"/>
          <w:szCs w:val="24"/>
        </w:rPr>
        <w:t xml:space="preserve"> </w:t>
      </w:r>
    </w:p>
    <w:p w14:paraId="712D935E" w14:textId="4645D30F" w:rsidR="00146678" w:rsidRPr="00082431" w:rsidRDefault="00A06028" w:rsidP="00146678">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146678"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Pr="00082431">
        <w:rPr>
          <w:rFonts w:ascii="Times New Roman" w:hAnsi="Times New Roman" w:cs="Times New Roman"/>
          <w:sz w:val="24"/>
          <w:szCs w:val="24"/>
        </w:rPr>
        <w:t xml:space="preserve"> 4.novembra nodokļ</w:t>
      </w:r>
      <w:r w:rsidR="00146678" w:rsidRPr="00082431">
        <w:rPr>
          <w:rFonts w:ascii="Times New Roman" w:hAnsi="Times New Roman" w:cs="Times New Roman"/>
          <w:sz w:val="24"/>
          <w:szCs w:val="24"/>
        </w:rPr>
        <w:t>a rēķinu Nr. KLR 14/31 par 8750 </w:t>
      </w:r>
      <w:r w:rsidRPr="00082431">
        <w:rPr>
          <w:rFonts w:ascii="Times New Roman" w:hAnsi="Times New Roman" w:cs="Times New Roman"/>
          <w:i/>
          <w:iCs/>
          <w:sz w:val="24"/>
          <w:szCs w:val="24"/>
        </w:rPr>
        <w:t xml:space="preserve">euro </w:t>
      </w:r>
      <w:r w:rsidRPr="00082431">
        <w:rPr>
          <w:rFonts w:ascii="Times New Roman" w:hAnsi="Times New Roman" w:cs="Times New Roman"/>
          <w:sz w:val="24"/>
          <w:szCs w:val="24"/>
        </w:rPr>
        <w:t xml:space="preserve">bez PVN un </w:t>
      </w:r>
      <w:r w:rsidR="00146678" w:rsidRPr="00082431">
        <w:rPr>
          <w:rFonts w:ascii="Times New Roman" w:hAnsi="Times New Roman" w:cs="Times New Roman"/>
          <w:sz w:val="24"/>
          <w:szCs w:val="24"/>
        </w:rPr>
        <w:t>PVN 1837,50 </w:t>
      </w:r>
      <w:r w:rsidRPr="00082431">
        <w:rPr>
          <w:rFonts w:ascii="Times New Roman" w:hAnsi="Times New Roman" w:cs="Times New Roman"/>
          <w:i/>
          <w:iCs/>
          <w:sz w:val="24"/>
          <w:szCs w:val="24"/>
        </w:rPr>
        <w:t>euro</w:t>
      </w:r>
      <w:r w:rsidRPr="00082431">
        <w:rPr>
          <w:rFonts w:ascii="Times New Roman" w:hAnsi="Times New Roman" w:cs="Times New Roman"/>
          <w:sz w:val="24"/>
          <w:szCs w:val="24"/>
        </w:rPr>
        <w:t>;</w:t>
      </w:r>
      <w:r w:rsidR="00146678" w:rsidRPr="00082431">
        <w:rPr>
          <w:rFonts w:ascii="Times New Roman" w:hAnsi="Times New Roman" w:cs="Times New Roman"/>
          <w:sz w:val="24"/>
          <w:szCs w:val="24"/>
        </w:rPr>
        <w:t xml:space="preserve"> </w:t>
      </w:r>
    </w:p>
    <w:p w14:paraId="1725687D" w14:textId="77777777" w:rsidR="006743AD" w:rsidRPr="00082431" w:rsidRDefault="00A06028"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146678"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00146678" w:rsidRPr="00082431">
        <w:rPr>
          <w:rFonts w:ascii="Times New Roman" w:hAnsi="Times New Roman" w:cs="Times New Roman"/>
          <w:sz w:val="24"/>
          <w:szCs w:val="24"/>
        </w:rPr>
        <w:t xml:space="preserve"> 28.novembra nodokļa rēķinu Nr. KLR 14/35 par 11 610 </w:t>
      </w:r>
      <w:r w:rsidRPr="00082431">
        <w:rPr>
          <w:rFonts w:ascii="Times New Roman" w:hAnsi="Times New Roman" w:cs="Times New Roman"/>
          <w:i/>
          <w:iCs/>
          <w:sz w:val="24"/>
          <w:szCs w:val="24"/>
        </w:rPr>
        <w:t xml:space="preserve">euro </w:t>
      </w:r>
      <w:r w:rsidR="00146678" w:rsidRPr="00082431">
        <w:rPr>
          <w:rFonts w:ascii="Times New Roman" w:hAnsi="Times New Roman" w:cs="Times New Roman"/>
          <w:sz w:val="24"/>
          <w:szCs w:val="24"/>
        </w:rPr>
        <w:t>bez PVN un PVN 2438,10 </w:t>
      </w:r>
      <w:r w:rsidR="00C83182" w:rsidRPr="00082431">
        <w:rPr>
          <w:rFonts w:ascii="Times New Roman" w:hAnsi="Times New Roman" w:cs="Times New Roman"/>
          <w:i/>
          <w:iCs/>
          <w:sz w:val="24"/>
          <w:szCs w:val="24"/>
        </w:rPr>
        <w:t>euro</w:t>
      </w:r>
      <w:r w:rsidR="00C83182" w:rsidRPr="00082431">
        <w:rPr>
          <w:rFonts w:ascii="Times New Roman" w:hAnsi="Times New Roman" w:cs="Times New Roman"/>
          <w:sz w:val="24"/>
          <w:szCs w:val="24"/>
        </w:rPr>
        <w:t>;</w:t>
      </w:r>
      <w:r w:rsidR="006743AD" w:rsidRPr="00082431">
        <w:rPr>
          <w:rFonts w:ascii="Times New Roman" w:hAnsi="Times New Roman" w:cs="Times New Roman"/>
          <w:sz w:val="24"/>
          <w:szCs w:val="24"/>
        </w:rPr>
        <w:t xml:space="preserve"> </w:t>
      </w:r>
    </w:p>
    <w:p w14:paraId="1545907F" w14:textId="77777777" w:rsidR="006743AD" w:rsidRPr="00082431" w:rsidRDefault="00C83182"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6743AD"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006743AD" w:rsidRPr="00082431">
        <w:rPr>
          <w:rFonts w:ascii="Times New Roman" w:hAnsi="Times New Roman" w:cs="Times New Roman"/>
          <w:sz w:val="24"/>
          <w:szCs w:val="24"/>
        </w:rPr>
        <w:t xml:space="preserve"> 28.novembra nodokļa rēķinu Nr. KLR 14/36 par 5130 </w:t>
      </w:r>
      <w:r w:rsidRPr="00082431">
        <w:rPr>
          <w:rFonts w:ascii="Times New Roman" w:hAnsi="Times New Roman" w:cs="Times New Roman"/>
          <w:i/>
          <w:iCs/>
          <w:sz w:val="24"/>
          <w:szCs w:val="24"/>
        </w:rPr>
        <w:t xml:space="preserve">euro </w:t>
      </w:r>
      <w:r w:rsidR="006743AD" w:rsidRPr="00082431">
        <w:rPr>
          <w:rFonts w:ascii="Times New Roman" w:hAnsi="Times New Roman" w:cs="Times New Roman"/>
          <w:sz w:val="24"/>
          <w:szCs w:val="24"/>
        </w:rPr>
        <w:t>bez PVN un PVN 1077,30 </w:t>
      </w:r>
      <w:r w:rsidRPr="00082431">
        <w:rPr>
          <w:rFonts w:ascii="Times New Roman" w:hAnsi="Times New Roman" w:cs="Times New Roman"/>
          <w:i/>
          <w:iCs/>
          <w:sz w:val="24"/>
          <w:szCs w:val="24"/>
        </w:rPr>
        <w:t>euro</w:t>
      </w:r>
      <w:r w:rsidRPr="00082431">
        <w:rPr>
          <w:rFonts w:ascii="Times New Roman" w:hAnsi="Times New Roman" w:cs="Times New Roman"/>
          <w:sz w:val="24"/>
          <w:szCs w:val="24"/>
        </w:rPr>
        <w:t>.</w:t>
      </w:r>
      <w:r w:rsidR="006743AD" w:rsidRPr="00082431">
        <w:rPr>
          <w:rFonts w:ascii="Times New Roman" w:hAnsi="Times New Roman" w:cs="Times New Roman"/>
          <w:sz w:val="24"/>
          <w:szCs w:val="24"/>
        </w:rPr>
        <w:t xml:space="preserve"> </w:t>
      </w:r>
    </w:p>
    <w:p w14:paraId="3D41365A" w14:textId="1657E0AE" w:rsidR="006743AD" w:rsidRPr="00082431" w:rsidRDefault="00C83182"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Turklāt </w:t>
      </w:r>
      <w:r w:rsidR="007226B8">
        <w:rPr>
          <w:rFonts w:ascii="Times New Roman" w:hAnsi="Times New Roman" w:cs="Times New Roman"/>
          <w:sz w:val="24"/>
          <w:szCs w:val="24"/>
        </w:rPr>
        <w:t>[pers. A]</w:t>
      </w:r>
      <w:r w:rsidRPr="00082431">
        <w:rPr>
          <w:rFonts w:ascii="Times New Roman" w:hAnsi="Times New Roman" w:cs="Times New Roman"/>
          <w:sz w:val="24"/>
          <w:szCs w:val="24"/>
        </w:rPr>
        <w:t xml:space="preserve"> </w:t>
      </w:r>
      <w:proofErr w:type="gramStart"/>
      <w:r w:rsidRPr="00082431">
        <w:rPr>
          <w:rFonts w:ascii="Times New Roman" w:hAnsi="Times New Roman" w:cs="Times New Roman"/>
          <w:sz w:val="24"/>
          <w:szCs w:val="24"/>
        </w:rPr>
        <w:t>2015.gada</w:t>
      </w:r>
      <w:proofErr w:type="gramEnd"/>
      <w:r w:rsidRPr="00082431">
        <w:rPr>
          <w:rFonts w:ascii="Times New Roman" w:hAnsi="Times New Roman" w:cs="Times New Roman"/>
          <w:sz w:val="24"/>
          <w:szCs w:val="24"/>
        </w:rPr>
        <w:t xml:space="preserve"> februārī PVN deklarācijā par 2014.gada decembri apzināti sniedza nepatiesu informāciju</w:t>
      </w:r>
      <w:r w:rsidR="005033C9" w:rsidRPr="00082431">
        <w:rPr>
          <w:rFonts w:ascii="Times New Roman" w:hAnsi="Times New Roman" w:cs="Times New Roman"/>
          <w:sz w:val="24"/>
          <w:szCs w:val="24"/>
        </w:rPr>
        <w:t>, norādot attaisnojuma dokumentus par faktiski nenotikušiem darījumiem ar SIA</w:t>
      </w:r>
      <w:r w:rsidR="006743AD" w:rsidRPr="00082431">
        <w:rPr>
          <w:rFonts w:ascii="Times New Roman" w:hAnsi="Times New Roman" w:cs="Times New Roman"/>
          <w:sz w:val="24"/>
          <w:szCs w:val="24"/>
        </w:rPr>
        <w:t> ,,</w:t>
      </w:r>
      <w:r w:rsidR="001A143F" w:rsidRPr="00082431">
        <w:rPr>
          <w:rFonts w:ascii="Times New Roman" w:hAnsi="Times New Roman" w:cs="Times New Roman"/>
          <w:sz w:val="24"/>
          <w:szCs w:val="24"/>
        </w:rPr>
        <w:t xml:space="preserve">STORM DESIGN”, reģistrācijas numurs </w:t>
      </w:r>
      <w:r w:rsidR="003E32A5">
        <w:rPr>
          <w:rFonts w:ascii="Times New Roman" w:hAnsi="Times New Roman" w:cs="Times New Roman"/>
          <w:sz w:val="24"/>
          <w:szCs w:val="24"/>
        </w:rPr>
        <w:t>[..]</w:t>
      </w:r>
      <w:r w:rsidR="001A143F" w:rsidRPr="00082431">
        <w:rPr>
          <w:rFonts w:ascii="Times New Roman" w:hAnsi="Times New Roman" w:cs="Times New Roman"/>
          <w:sz w:val="24"/>
          <w:szCs w:val="24"/>
        </w:rPr>
        <w:t>, un tieši:</w:t>
      </w:r>
      <w:r w:rsidR="006743AD" w:rsidRPr="00082431">
        <w:rPr>
          <w:rFonts w:ascii="Times New Roman" w:hAnsi="Times New Roman" w:cs="Times New Roman"/>
          <w:sz w:val="24"/>
          <w:szCs w:val="24"/>
        </w:rPr>
        <w:t xml:space="preserve"> </w:t>
      </w:r>
    </w:p>
    <w:p w14:paraId="2FF322D5" w14:textId="77777777" w:rsidR="006743AD" w:rsidRPr="00082431" w:rsidRDefault="001A143F"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6743AD"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006743AD" w:rsidRPr="00082431">
        <w:rPr>
          <w:rFonts w:ascii="Times New Roman" w:hAnsi="Times New Roman" w:cs="Times New Roman"/>
          <w:sz w:val="24"/>
          <w:szCs w:val="24"/>
        </w:rPr>
        <w:t xml:space="preserve"> 15.decembra nodokļa rēķinu Nr. SD140001 par 7350 </w:t>
      </w:r>
      <w:r w:rsidRPr="00082431">
        <w:rPr>
          <w:rFonts w:ascii="Times New Roman" w:hAnsi="Times New Roman" w:cs="Times New Roman"/>
          <w:i/>
          <w:iCs/>
          <w:sz w:val="24"/>
          <w:szCs w:val="24"/>
        </w:rPr>
        <w:t>euro</w:t>
      </w:r>
      <w:r w:rsidR="006743AD" w:rsidRPr="00082431">
        <w:rPr>
          <w:rFonts w:ascii="Times New Roman" w:hAnsi="Times New Roman" w:cs="Times New Roman"/>
          <w:sz w:val="24"/>
          <w:szCs w:val="24"/>
        </w:rPr>
        <w:t xml:space="preserve"> bez PVN un PVN 1543,50 </w:t>
      </w:r>
      <w:r w:rsidRPr="00082431">
        <w:rPr>
          <w:rFonts w:ascii="Times New Roman" w:hAnsi="Times New Roman" w:cs="Times New Roman"/>
          <w:i/>
          <w:iCs/>
          <w:sz w:val="24"/>
          <w:szCs w:val="24"/>
        </w:rPr>
        <w:t>euro</w:t>
      </w:r>
      <w:r w:rsidR="006743AD" w:rsidRPr="00082431">
        <w:rPr>
          <w:rFonts w:ascii="Times New Roman" w:hAnsi="Times New Roman" w:cs="Times New Roman"/>
          <w:sz w:val="24"/>
          <w:szCs w:val="24"/>
        </w:rPr>
        <w:t xml:space="preserve">; </w:t>
      </w:r>
    </w:p>
    <w:p w14:paraId="13A074C8" w14:textId="77777777" w:rsidR="006743AD" w:rsidRPr="00082431" w:rsidRDefault="001A143F"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6743AD"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006743AD" w:rsidRPr="00082431">
        <w:rPr>
          <w:rFonts w:ascii="Times New Roman" w:hAnsi="Times New Roman" w:cs="Times New Roman"/>
          <w:sz w:val="24"/>
          <w:szCs w:val="24"/>
        </w:rPr>
        <w:t xml:space="preserve"> 16.decembra nodokļa rēķinu Nr. SD140002 par 12 322,50 </w:t>
      </w:r>
      <w:r w:rsidRPr="00082431">
        <w:rPr>
          <w:rFonts w:ascii="Times New Roman" w:hAnsi="Times New Roman" w:cs="Times New Roman"/>
          <w:i/>
          <w:iCs/>
          <w:sz w:val="24"/>
          <w:szCs w:val="24"/>
        </w:rPr>
        <w:t>euro</w:t>
      </w:r>
      <w:r w:rsidR="006743AD" w:rsidRPr="00082431">
        <w:rPr>
          <w:rFonts w:ascii="Times New Roman" w:hAnsi="Times New Roman" w:cs="Times New Roman"/>
          <w:sz w:val="24"/>
          <w:szCs w:val="24"/>
        </w:rPr>
        <w:t xml:space="preserve"> bez PVN un PVN 2587,73 </w:t>
      </w:r>
      <w:r w:rsidR="00721B02" w:rsidRPr="00082431">
        <w:rPr>
          <w:rFonts w:ascii="Times New Roman" w:hAnsi="Times New Roman" w:cs="Times New Roman"/>
          <w:i/>
          <w:iCs/>
          <w:sz w:val="24"/>
          <w:szCs w:val="24"/>
        </w:rPr>
        <w:t>euro</w:t>
      </w:r>
      <w:r w:rsidR="00721B02" w:rsidRPr="00082431">
        <w:rPr>
          <w:rFonts w:ascii="Times New Roman" w:hAnsi="Times New Roman" w:cs="Times New Roman"/>
          <w:sz w:val="24"/>
          <w:szCs w:val="24"/>
        </w:rPr>
        <w:t>;</w:t>
      </w:r>
      <w:r w:rsidR="006743AD" w:rsidRPr="00082431">
        <w:rPr>
          <w:rFonts w:ascii="Times New Roman" w:hAnsi="Times New Roman" w:cs="Times New Roman"/>
          <w:sz w:val="24"/>
          <w:szCs w:val="24"/>
        </w:rPr>
        <w:t xml:space="preserve"> </w:t>
      </w:r>
    </w:p>
    <w:p w14:paraId="67F50CE6" w14:textId="77777777" w:rsidR="006743AD" w:rsidRPr="00082431" w:rsidRDefault="00721B02"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w:t>
      </w:r>
      <w:r w:rsidR="006743AD" w:rsidRPr="00082431">
        <w:rPr>
          <w:rFonts w:ascii="Times New Roman" w:hAnsi="Times New Roman" w:cs="Times New Roman"/>
          <w:sz w:val="24"/>
          <w:szCs w:val="24"/>
        </w:rPr>
        <w:t> </w:t>
      </w:r>
      <w:proofErr w:type="gramStart"/>
      <w:r w:rsidRPr="00082431">
        <w:rPr>
          <w:rFonts w:ascii="Times New Roman" w:hAnsi="Times New Roman" w:cs="Times New Roman"/>
          <w:sz w:val="24"/>
          <w:szCs w:val="24"/>
        </w:rPr>
        <w:t>2014.gada</w:t>
      </w:r>
      <w:proofErr w:type="gramEnd"/>
      <w:r w:rsidR="006743AD" w:rsidRPr="00082431">
        <w:rPr>
          <w:rFonts w:ascii="Times New Roman" w:hAnsi="Times New Roman" w:cs="Times New Roman"/>
          <w:sz w:val="24"/>
          <w:szCs w:val="24"/>
        </w:rPr>
        <w:t xml:space="preserve"> 16.decembra nodokļa rēķinu Nr. SD140003 par 9780 </w:t>
      </w:r>
      <w:r w:rsidRPr="00082431">
        <w:rPr>
          <w:rFonts w:ascii="Times New Roman" w:hAnsi="Times New Roman" w:cs="Times New Roman"/>
          <w:i/>
          <w:iCs/>
          <w:sz w:val="24"/>
          <w:szCs w:val="24"/>
        </w:rPr>
        <w:t>euro</w:t>
      </w:r>
      <w:r w:rsidR="006743AD" w:rsidRPr="00082431">
        <w:rPr>
          <w:rFonts w:ascii="Times New Roman" w:hAnsi="Times New Roman" w:cs="Times New Roman"/>
          <w:sz w:val="24"/>
          <w:szCs w:val="24"/>
        </w:rPr>
        <w:t xml:space="preserve"> bez PVN un PVN 2953,80 </w:t>
      </w:r>
      <w:r w:rsidRPr="00082431">
        <w:rPr>
          <w:rFonts w:ascii="Times New Roman" w:hAnsi="Times New Roman" w:cs="Times New Roman"/>
          <w:i/>
          <w:iCs/>
          <w:sz w:val="24"/>
          <w:szCs w:val="24"/>
        </w:rPr>
        <w:t>euro</w:t>
      </w:r>
      <w:r w:rsidRPr="00082431">
        <w:rPr>
          <w:rFonts w:ascii="Times New Roman" w:hAnsi="Times New Roman" w:cs="Times New Roman"/>
          <w:sz w:val="24"/>
          <w:szCs w:val="24"/>
        </w:rPr>
        <w:t>.</w:t>
      </w:r>
      <w:r w:rsidR="006743AD" w:rsidRPr="00082431">
        <w:rPr>
          <w:rFonts w:ascii="Times New Roman" w:hAnsi="Times New Roman" w:cs="Times New Roman"/>
          <w:sz w:val="24"/>
          <w:szCs w:val="24"/>
        </w:rPr>
        <w:t xml:space="preserve"> </w:t>
      </w:r>
    </w:p>
    <w:p w14:paraId="24EBD1CC" w14:textId="29815431" w:rsidR="006743AD" w:rsidRPr="00082431" w:rsidRDefault="008F5872"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Vadoties no </w:t>
      </w:r>
      <w:r w:rsidR="00D74553" w:rsidRPr="00082431">
        <w:rPr>
          <w:rFonts w:ascii="Times New Roman" w:hAnsi="Times New Roman" w:cs="Times New Roman"/>
          <w:sz w:val="24"/>
          <w:szCs w:val="24"/>
        </w:rPr>
        <w:t>norādītajiem</w:t>
      </w:r>
      <w:r w:rsidR="006743AD" w:rsidRPr="00082431">
        <w:rPr>
          <w:rFonts w:ascii="Times New Roman" w:hAnsi="Times New Roman" w:cs="Times New Roman"/>
          <w:sz w:val="24"/>
          <w:szCs w:val="24"/>
        </w:rPr>
        <w:t xml:space="preserve"> fiktīvajiem darījumiem ar SIA ,,K.L.R.2” un SIA ,,</w:t>
      </w:r>
      <w:r w:rsidR="00D74553" w:rsidRPr="00082431">
        <w:rPr>
          <w:rFonts w:ascii="Times New Roman" w:hAnsi="Times New Roman" w:cs="Times New Roman"/>
          <w:sz w:val="24"/>
          <w:szCs w:val="24"/>
        </w:rPr>
        <w:t xml:space="preserve">STORM DESIGN”, </w:t>
      </w:r>
      <w:r w:rsidR="003E32A5">
        <w:rPr>
          <w:rFonts w:ascii="Times New Roman" w:hAnsi="Times New Roman" w:cs="Times New Roman"/>
          <w:sz w:val="24"/>
          <w:szCs w:val="24"/>
        </w:rPr>
        <w:t>[pers. A]</w:t>
      </w:r>
      <w:r w:rsidR="00D74553" w:rsidRPr="00082431">
        <w:rPr>
          <w:rFonts w:ascii="Times New Roman" w:hAnsi="Times New Roman" w:cs="Times New Roman"/>
          <w:sz w:val="24"/>
          <w:szCs w:val="24"/>
        </w:rPr>
        <w:t xml:space="preserve"> PVN deklarācijās nepamatoti norādīja priekšnodokli kop</w:t>
      </w:r>
      <w:r w:rsidR="00E340A5" w:rsidRPr="00082431">
        <w:rPr>
          <w:rFonts w:ascii="Times New Roman" w:hAnsi="Times New Roman" w:cs="Times New Roman"/>
          <w:sz w:val="24"/>
          <w:szCs w:val="24"/>
        </w:rPr>
        <w:t>umā</w:t>
      </w:r>
      <w:r w:rsidR="006743AD" w:rsidRPr="00082431">
        <w:rPr>
          <w:rFonts w:ascii="Times New Roman" w:hAnsi="Times New Roman" w:cs="Times New Roman"/>
          <w:sz w:val="24"/>
          <w:szCs w:val="24"/>
        </w:rPr>
        <w:t xml:space="preserve"> 22 239,53 </w:t>
      </w:r>
      <w:r w:rsidR="00D74553" w:rsidRPr="00082431">
        <w:rPr>
          <w:rFonts w:ascii="Times New Roman" w:hAnsi="Times New Roman" w:cs="Times New Roman"/>
          <w:i/>
          <w:iCs/>
          <w:sz w:val="24"/>
          <w:szCs w:val="24"/>
        </w:rPr>
        <w:t>euro</w:t>
      </w:r>
      <w:r w:rsidR="00D74553" w:rsidRPr="00082431">
        <w:rPr>
          <w:rFonts w:ascii="Times New Roman" w:hAnsi="Times New Roman" w:cs="Times New Roman"/>
          <w:sz w:val="24"/>
          <w:szCs w:val="24"/>
        </w:rPr>
        <w:t xml:space="preserve"> un tādējādi, apzinoties</w:t>
      </w:r>
      <w:r w:rsidR="00E340A5" w:rsidRPr="00082431">
        <w:rPr>
          <w:rFonts w:ascii="Times New Roman" w:hAnsi="Times New Roman" w:cs="Times New Roman"/>
          <w:sz w:val="24"/>
          <w:szCs w:val="24"/>
        </w:rPr>
        <w:t>,</w:t>
      </w:r>
      <w:r w:rsidR="00D74553" w:rsidRPr="00082431">
        <w:rPr>
          <w:rFonts w:ascii="Times New Roman" w:hAnsi="Times New Roman" w:cs="Times New Roman"/>
          <w:sz w:val="24"/>
          <w:szCs w:val="24"/>
        </w:rPr>
        <w:t xml:space="preserve"> ka</w:t>
      </w:r>
      <w:r w:rsidR="00E340A5" w:rsidRPr="00082431">
        <w:rPr>
          <w:rFonts w:ascii="Times New Roman" w:hAnsi="Times New Roman" w:cs="Times New Roman"/>
          <w:sz w:val="24"/>
          <w:szCs w:val="24"/>
        </w:rPr>
        <w:t xml:space="preserve"> darījumi faktiski nav notikuši, prettiesiski samazināja valsts budž</w:t>
      </w:r>
      <w:r w:rsidR="006743AD" w:rsidRPr="00082431">
        <w:rPr>
          <w:rFonts w:ascii="Times New Roman" w:hAnsi="Times New Roman" w:cs="Times New Roman"/>
          <w:sz w:val="24"/>
          <w:szCs w:val="24"/>
        </w:rPr>
        <w:t>etā maksājamo PVN par 22 239,53 </w:t>
      </w:r>
      <w:r w:rsidR="00E340A5" w:rsidRPr="00082431">
        <w:rPr>
          <w:rFonts w:ascii="Times New Roman" w:hAnsi="Times New Roman" w:cs="Times New Roman"/>
          <w:i/>
          <w:iCs/>
          <w:sz w:val="24"/>
          <w:szCs w:val="24"/>
        </w:rPr>
        <w:t>euro</w:t>
      </w:r>
      <w:r w:rsidR="00E340A5" w:rsidRPr="00082431">
        <w:rPr>
          <w:rFonts w:ascii="Times New Roman" w:hAnsi="Times New Roman" w:cs="Times New Roman"/>
          <w:sz w:val="24"/>
          <w:szCs w:val="24"/>
        </w:rPr>
        <w:t>.</w:t>
      </w:r>
      <w:r w:rsidR="006743AD" w:rsidRPr="00082431">
        <w:rPr>
          <w:rFonts w:ascii="Times New Roman" w:hAnsi="Times New Roman" w:cs="Times New Roman"/>
          <w:sz w:val="24"/>
          <w:szCs w:val="24"/>
        </w:rPr>
        <w:t xml:space="preserve"> </w:t>
      </w:r>
    </w:p>
    <w:p w14:paraId="1C1D0174" w14:textId="52E244E7" w:rsidR="006743AD" w:rsidRPr="00082431" w:rsidRDefault="00E340A5" w:rsidP="006743A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Ar šādu rīcību </w:t>
      </w:r>
      <w:r w:rsidR="003E32A5">
        <w:rPr>
          <w:rFonts w:ascii="Times New Roman" w:hAnsi="Times New Roman" w:cs="Times New Roman"/>
          <w:sz w:val="24"/>
          <w:szCs w:val="24"/>
        </w:rPr>
        <w:t>[pers. A]</w:t>
      </w:r>
      <w:r w:rsidRPr="00082431">
        <w:rPr>
          <w:rFonts w:ascii="Times New Roman" w:hAnsi="Times New Roman" w:cs="Times New Roman"/>
          <w:sz w:val="24"/>
          <w:szCs w:val="24"/>
        </w:rPr>
        <w:t xml:space="preserve"> laika periodā no </w:t>
      </w:r>
      <w:proofErr w:type="gramStart"/>
      <w:r w:rsidRPr="00082431">
        <w:rPr>
          <w:rFonts w:ascii="Times New Roman" w:hAnsi="Times New Roman" w:cs="Times New Roman"/>
          <w:sz w:val="24"/>
          <w:szCs w:val="24"/>
        </w:rPr>
        <w:t>2013.gada</w:t>
      </w:r>
      <w:proofErr w:type="gramEnd"/>
      <w:r w:rsidRPr="00082431">
        <w:rPr>
          <w:rFonts w:ascii="Times New Roman" w:hAnsi="Times New Roman" w:cs="Times New Roman"/>
          <w:sz w:val="24"/>
          <w:szCs w:val="24"/>
        </w:rPr>
        <w:t xml:space="preserve"> 20.augusta līdz 2016.gada 7.aprīli</w:t>
      </w:r>
      <w:r w:rsidR="006743AD" w:rsidRPr="00082431">
        <w:rPr>
          <w:rFonts w:ascii="Times New Roman" w:hAnsi="Times New Roman" w:cs="Times New Roman"/>
          <w:sz w:val="24"/>
          <w:szCs w:val="24"/>
        </w:rPr>
        <w:t>m izvairījās no PVN nomaksas 57 545,30 </w:t>
      </w:r>
      <w:r w:rsidRPr="00082431">
        <w:rPr>
          <w:rFonts w:ascii="Times New Roman" w:hAnsi="Times New Roman" w:cs="Times New Roman"/>
          <w:i/>
          <w:iCs/>
          <w:sz w:val="24"/>
          <w:szCs w:val="24"/>
        </w:rPr>
        <w:t>euro</w:t>
      </w:r>
      <w:r w:rsidRPr="00082431">
        <w:rPr>
          <w:rFonts w:ascii="Times New Roman" w:hAnsi="Times New Roman" w:cs="Times New Roman"/>
          <w:sz w:val="24"/>
          <w:szCs w:val="24"/>
        </w:rPr>
        <w:t xml:space="preserve"> apmērā.</w:t>
      </w:r>
      <w:r w:rsidR="006743AD" w:rsidRPr="00082431">
        <w:rPr>
          <w:rFonts w:ascii="Times New Roman" w:hAnsi="Times New Roman" w:cs="Times New Roman"/>
          <w:sz w:val="24"/>
          <w:szCs w:val="24"/>
        </w:rPr>
        <w:t xml:space="preserve"> </w:t>
      </w:r>
    </w:p>
    <w:p w14:paraId="3B5B76FA" w14:textId="7FA77E79" w:rsidR="00C40E00" w:rsidRPr="00082431" w:rsidRDefault="00E340A5" w:rsidP="00C40E00">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Turklāt </w:t>
      </w:r>
      <w:r w:rsidR="00590A59">
        <w:rPr>
          <w:rFonts w:ascii="Times New Roman" w:hAnsi="Times New Roman" w:cs="Times New Roman"/>
          <w:sz w:val="24"/>
          <w:szCs w:val="24"/>
        </w:rPr>
        <w:t>[pers. A]</w:t>
      </w:r>
      <w:r w:rsidR="006743AD" w:rsidRPr="00082431">
        <w:rPr>
          <w:rFonts w:ascii="Times New Roman" w:hAnsi="Times New Roman" w:cs="Times New Roman"/>
          <w:sz w:val="24"/>
          <w:szCs w:val="24"/>
        </w:rPr>
        <w:t xml:space="preserve"> iesniedza SIA ,,</w:t>
      </w:r>
      <w:r w:rsidR="00590A59">
        <w:rPr>
          <w:rFonts w:ascii="Times New Roman" w:hAnsi="Times New Roman" w:cs="Times New Roman"/>
          <w:sz w:val="24"/>
          <w:szCs w:val="24"/>
        </w:rPr>
        <w:t>[Nosaukums A]</w:t>
      </w:r>
      <w:r w:rsidRPr="00082431">
        <w:rPr>
          <w:rFonts w:ascii="Times New Roman" w:hAnsi="Times New Roman" w:cs="Times New Roman"/>
          <w:sz w:val="24"/>
          <w:szCs w:val="24"/>
        </w:rPr>
        <w:t xml:space="preserve">” ziņojumus par valsts sociālās apdrošināšanas obligātajām iemaksām </w:t>
      </w:r>
      <w:r w:rsidR="00526680" w:rsidRPr="00082431">
        <w:rPr>
          <w:rFonts w:ascii="Times New Roman" w:hAnsi="Times New Roman" w:cs="Times New Roman"/>
          <w:sz w:val="24"/>
          <w:szCs w:val="24"/>
        </w:rPr>
        <w:t xml:space="preserve">no darba ņēmēju darba ienākumiem, iedzīvotāju ienākuma nodokli un uzņēmējdarbības riska valsts nodevu pārskata mēnesī par laika periodu no </w:t>
      </w:r>
      <w:proofErr w:type="gramStart"/>
      <w:r w:rsidR="00526680" w:rsidRPr="00082431">
        <w:rPr>
          <w:rFonts w:ascii="Times New Roman" w:hAnsi="Times New Roman" w:cs="Times New Roman"/>
          <w:sz w:val="24"/>
          <w:szCs w:val="24"/>
        </w:rPr>
        <w:t>2015.gada</w:t>
      </w:r>
      <w:proofErr w:type="gramEnd"/>
      <w:r w:rsidR="00526680" w:rsidRPr="00082431">
        <w:rPr>
          <w:rFonts w:ascii="Times New Roman" w:hAnsi="Times New Roman" w:cs="Times New Roman"/>
          <w:sz w:val="24"/>
          <w:szCs w:val="24"/>
        </w:rPr>
        <w:t xml:space="preserve"> janvāra līdz decembrim, norādot valsts budžetā maksājamās iedzīvotāju ienākuma nodokļa, valsts sociālās apdrošināšanas obligāto iemaksu un uzņēmējdarbības riska valsts nodevas summas. Tomēr </w:t>
      </w:r>
      <w:r w:rsidR="00590A59">
        <w:rPr>
          <w:rFonts w:ascii="Times New Roman" w:hAnsi="Times New Roman" w:cs="Times New Roman"/>
          <w:sz w:val="24"/>
          <w:szCs w:val="24"/>
        </w:rPr>
        <w:t>[pers. A]</w:t>
      </w:r>
      <w:r w:rsidR="00526680" w:rsidRPr="00082431">
        <w:rPr>
          <w:rFonts w:ascii="Times New Roman" w:hAnsi="Times New Roman" w:cs="Times New Roman"/>
          <w:sz w:val="24"/>
          <w:szCs w:val="24"/>
        </w:rPr>
        <w:t xml:space="preserve"> ziņojumos norādītās nodokļu un tiem pielīdzināto </w:t>
      </w:r>
      <w:r w:rsidR="00526680" w:rsidRPr="00082431">
        <w:rPr>
          <w:rFonts w:ascii="Times New Roman" w:hAnsi="Times New Roman" w:cs="Times New Roman"/>
          <w:sz w:val="24"/>
          <w:szCs w:val="24"/>
        </w:rPr>
        <w:lastRenderedPageBreak/>
        <w:t xml:space="preserve">maksājumu summas </w:t>
      </w:r>
      <w:r w:rsidR="006743AD" w:rsidRPr="00082431">
        <w:rPr>
          <w:rFonts w:ascii="Times New Roman" w:hAnsi="Times New Roman" w:cs="Times New Roman"/>
          <w:sz w:val="24"/>
          <w:szCs w:val="24"/>
        </w:rPr>
        <w:t>likuma ,,</w:t>
      </w:r>
      <w:r w:rsidR="00AF3B0C" w:rsidRPr="00082431">
        <w:rPr>
          <w:rFonts w:ascii="Times New Roman" w:hAnsi="Times New Roman" w:cs="Times New Roman"/>
          <w:sz w:val="24"/>
          <w:szCs w:val="24"/>
        </w:rPr>
        <w:t xml:space="preserve">Par iedzīvotāju ienākuma nodokli” </w:t>
      </w:r>
      <w:r w:rsidR="006743AD" w:rsidRPr="00082431">
        <w:rPr>
          <w:rFonts w:ascii="Times New Roman" w:hAnsi="Times New Roman" w:cs="Times New Roman"/>
          <w:sz w:val="24"/>
          <w:szCs w:val="24"/>
        </w:rPr>
        <w:t>17.panta piektajā daļā, likuma ,,</w:t>
      </w:r>
      <w:r w:rsidR="00AF3B0C" w:rsidRPr="00082431">
        <w:rPr>
          <w:rFonts w:ascii="Times New Roman" w:hAnsi="Times New Roman" w:cs="Times New Roman"/>
          <w:sz w:val="24"/>
          <w:szCs w:val="24"/>
        </w:rPr>
        <w:t>Par valsts sociālo apdrošināšanu” 21.panta pirmajā daļā un Ministru kabineta 2014.gada 19.decembra noteikumu Nr.</w:t>
      </w:r>
      <w:r w:rsidR="006743AD" w:rsidRPr="00082431">
        <w:rPr>
          <w:rFonts w:ascii="Times New Roman" w:hAnsi="Times New Roman" w:cs="Times New Roman"/>
          <w:sz w:val="24"/>
          <w:szCs w:val="24"/>
        </w:rPr>
        <w:t> 751 ,,</w:t>
      </w:r>
      <w:r w:rsidR="00AF3B0C" w:rsidRPr="00082431">
        <w:rPr>
          <w:rFonts w:ascii="Times New Roman" w:hAnsi="Times New Roman" w:cs="Times New Roman"/>
          <w:sz w:val="24"/>
          <w:szCs w:val="24"/>
        </w:rPr>
        <w:t>Noteikumi par uzņēmējdarbības riska valsts nodevas apmēru un darbinieku prasījumu garantiju fondā ieskaitāmās nodevas daļu 2015.gadā” 3.punktā noteiktajā termiņā pilnā apmērā valsts budžetā neiemaksāja.</w:t>
      </w:r>
      <w:r w:rsidR="00C40E00" w:rsidRPr="00082431">
        <w:rPr>
          <w:rFonts w:ascii="Times New Roman" w:hAnsi="Times New Roman" w:cs="Times New Roman"/>
          <w:sz w:val="24"/>
          <w:szCs w:val="24"/>
        </w:rPr>
        <w:t xml:space="preserve"> </w:t>
      </w:r>
    </w:p>
    <w:p w14:paraId="22D8574E" w14:textId="00334C01" w:rsidR="00C40E00" w:rsidRPr="00082431" w:rsidRDefault="00590A59" w:rsidP="00C40E00">
      <w:pPr>
        <w:spacing w:after="0"/>
        <w:ind w:firstLine="709"/>
        <w:jc w:val="both"/>
        <w:rPr>
          <w:rFonts w:ascii="Times New Roman" w:hAnsi="Times New Roman" w:cs="Times New Roman"/>
          <w:sz w:val="24"/>
          <w:szCs w:val="24"/>
        </w:rPr>
      </w:pPr>
      <w:r>
        <w:rPr>
          <w:rFonts w:ascii="Times New Roman" w:hAnsi="Times New Roman" w:cs="Times New Roman"/>
          <w:sz w:val="24"/>
          <w:szCs w:val="24"/>
        </w:rPr>
        <w:t>[Pers. A]</w:t>
      </w:r>
      <w:r w:rsidR="00AF3B0C" w:rsidRPr="00082431">
        <w:rPr>
          <w:rFonts w:ascii="Times New Roman" w:hAnsi="Times New Roman" w:cs="Times New Roman"/>
          <w:sz w:val="24"/>
          <w:szCs w:val="24"/>
        </w:rPr>
        <w:t xml:space="preserve"> bezdarbības r</w:t>
      </w:r>
      <w:r w:rsidR="00C40E00" w:rsidRPr="00082431">
        <w:rPr>
          <w:rFonts w:ascii="Times New Roman" w:hAnsi="Times New Roman" w:cs="Times New Roman"/>
          <w:sz w:val="24"/>
          <w:szCs w:val="24"/>
        </w:rPr>
        <w:t>ezultātā SIA ,,</w:t>
      </w:r>
      <w:r>
        <w:rPr>
          <w:rFonts w:ascii="Times New Roman" w:hAnsi="Times New Roman" w:cs="Times New Roman"/>
          <w:sz w:val="24"/>
          <w:szCs w:val="24"/>
        </w:rPr>
        <w:t>[Nosaukums A]</w:t>
      </w:r>
      <w:r w:rsidR="00AF3B0C" w:rsidRPr="00082431">
        <w:rPr>
          <w:rFonts w:ascii="Times New Roman" w:hAnsi="Times New Roman" w:cs="Times New Roman"/>
          <w:sz w:val="24"/>
          <w:szCs w:val="24"/>
        </w:rPr>
        <w:t xml:space="preserve">” laika periodā no </w:t>
      </w:r>
      <w:proofErr w:type="gramStart"/>
      <w:r w:rsidR="00AF3B0C" w:rsidRPr="00082431">
        <w:rPr>
          <w:rFonts w:ascii="Times New Roman" w:hAnsi="Times New Roman" w:cs="Times New Roman"/>
          <w:sz w:val="24"/>
          <w:szCs w:val="24"/>
        </w:rPr>
        <w:t>2015.gada</w:t>
      </w:r>
      <w:proofErr w:type="gramEnd"/>
      <w:r w:rsidR="00AF3B0C" w:rsidRPr="00082431">
        <w:rPr>
          <w:rFonts w:ascii="Times New Roman" w:hAnsi="Times New Roman" w:cs="Times New Roman"/>
          <w:sz w:val="24"/>
          <w:szCs w:val="24"/>
        </w:rPr>
        <w:t xml:space="preserve"> 25.februāra līdz 2016.gada 7.aprīlim </w:t>
      </w:r>
      <w:r w:rsidR="004F5AC1" w:rsidRPr="00082431">
        <w:rPr>
          <w:rFonts w:ascii="Times New Roman" w:hAnsi="Times New Roman" w:cs="Times New Roman"/>
          <w:sz w:val="24"/>
          <w:szCs w:val="24"/>
        </w:rPr>
        <w:t>izveidojās iedzīvotāju ienā</w:t>
      </w:r>
      <w:r w:rsidR="00C40E00" w:rsidRPr="00082431">
        <w:rPr>
          <w:rFonts w:ascii="Times New Roman" w:hAnsi="Times New Roman" w:cs="Times New Roman"/>
          <w:sz w:val="24"/>
          <w:szCs w:val="24"/>
        </w:rPr>
        <w:t>kuma nodokļa pamatparāds 499,34 </w:t>
      </w:r>
      <w:r w:rsidR="004F5AC1" w:rsidRPr="00082431">
        <w:rPr>
          <w:rFonts w:ascii="Times New Roman" w:hAnsi="Times New Roman" w:cs="Times New Roman"/>
          <w:i/>
          <w:iCs/>
          <w:sz w:val="24"/>
          <w:szCs w:val="24"/>
        </w:rPr>
        <w:t>euro</w:t>
      </w:r>
      <w:r w:rsidR="004F5AC1" w:rsidRPr="00082431">
        <w:rPr>
          <w:rFonts w:ascii="Times New Roman" w:hAnsi="Times New Roman" w:cs="Times New Roman"/>
          <w:sz w:val="24"/>
          <w:szCs w:val="24"/>
        </w:rPr>
        <w:t>, no 2015.gada 15.jūnija līdz 2016.gada 7.aprīlim izveidojās valsts sociālās apdrošināšanas obligāto iemaks</w:t>
      </w:r>
      <w:r w:rsidR="00C40E00" w:rsidRPr="00082431">
        <w:rPr>
          <w:rFonts w:ascii="Times New Roman" w:hAnsi="Times New Roman" w:cs="Times New Roman"/>
          <w:sz w:val="24"/>
          <w:szCs w:val="24"/>
        </w:rPr>
        <w:t>u pamatparāds 658,59 </w:t>
      </w:r>
      <w:r w:rsidR="004F5AC1" w:rsidRPr="00082431">
        <w:rPr>
          <w:rFonts w:ascii="Times New Roman" w:hAnsi="Times New Roman" w:cs="Times New Roman"/>
          <w:i/>
          <w:iCs/>
          <w:sz w:val="24"/>
          <w:szCs w:val="24"/>
        </w:rPr>
        <w:t>euro</w:t>
      </w:r>
      <w:r w:rsidR="004F5AC1" w:rsidRPr="00082431">
        <w:rPr>
          <w:rFonts w:ascii="Times New Roman" w:hAnsi="Times New Roman" w:cs="Times New Roman"/>
          <w:sz w:val="24"/>
          <w:szCs w:val="24"/>
        </w:rPr>
        <w:t xml:space="preserve"> un no 2015.gada 15.maija līdz 2016.gada 7.aprīlim izveidojās uzņēmējdarbības riska </w:t>
      </w:r>
      <w:r w:rsidR="00C40E00" w:rsidRPr="00082431">
        <w:rPr>
          <w:rFonts w:ascii="Times New Roman" w:hAnsi="Times New Roman" w:cs="Times New Roman"/>
          <w:sz w:val="24"/>
          <w:szCs w:val="24"/>
        </w:rPr>
        <w:t>valsts nodevas pamatparāds 5,62 </w:t>
      </w:r>
      <w:r w:rsidR="004F5AC1" w:rsidRPr="00082431">
        <w:rPr>
          <w:rFonts w:ascii="Times New Roman" w:hAnsi="Times New Roman" w:cs="Times New Roman"/>
          <w:i/>
          <w:iCs/>
          <w:sz w:val="24"/>
          <w:szCs w:val="24"/>
        </w:rPr>
        <w:t>euro</w:t>
      </w:r>
      <w:r w:rsidR="004F5AC1" w:rsidRPr="00082431">
        <w:rPr>
          <w:rFonts w:ascii="Times New Roman" w:hAnsi="Times New Roman" w:cs="Times New Roman"/>
          <w:sz w:val="24"/>
          <w:szCs w:val="24"/>
        </w:rPr>
        <w:t>.</w:t>
      </w:r>
      <w:r w:rsidR="00C40E00" w:rsidRPr="00082431">
        <w:rPr>
          <w:rFonts w:ascii="Times New Roman" w:hAnsi="Times New Roman" w:cs="Times New Roman"/>
          <w:sz w:val="24"/>
          <w:szCs w:val="24"/>
        </w:rPr>
        <w:t xml:space="preserve"> </w:t>
      </w:r>
    </w:p>
    <w:p w14:paraId="7A4C898C" w14:textId="1C2769F9" w:rsidR="00EB1DB7" w:rsidRPr="00082431" w:rsidRDefault="004F5AC1" w:rsidP="00EB1DB7">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Zinot</w:t>
      </w:r>
      <w:r w:rsidR="009769A4" w:rsidRPr="00082431">
        <w:rPr>
          <w:rFonts w:ascii="Times New Roman" w:hAnsi="Times New Roman" w:cs="Times New Roman"/>
          <w:sz w:val="24"/>
          <w:szCs w:val="24"/>
        </w:rPr>
        <w:t xml:space="preserve"> to</w:t>
      </w:r>
      <w:r w:rsidR="00582D52" w:rsidRPr="00082431">
        <w:rPr>
          <w:rFonts w:ascii="Times New Roman" w:hAnsi="Times New Roman" w:cs="Times New Roman"/>
          <w:sz w:val="24"/>
          <w:szCs w:val="24"/>
        </w:rPr>
        <w:t>, ka SIA ,,</w:t>
      </w:r>
      <w:r w:rsidR="00590A59">
        <w:rPr>
          <w:rFonts w:ascii="Times New Roman" w:hAnsi="Times New Roman" w:cs="Times New Roman"/>
          <w:sz w:val="24"/>
          <w:szCs w:val="24"/>
        </w:rPr>
        <w:t>[Nosaukums A]</w:t>
      </w:r>
      <w:r w:rsidRPr="00082431">
        <w:rPr>
          <w:rFonts w:ascii="Times New Roman" w:hAnsi="Times New Roman" w:cs="Times New Roman"/>
          <w:sz w:val="24"/>
          <w:szCs w:val="24"/>
        </w:rPr>
        <w:t>” ir izveidojies nodokļu parāds</w:t>
      </w:r>
      <w:r w:rsidR="009769A4" w:rsidRPr="00082431">
        <w:rPr>
          <w:rFonts w:ascii="Times New Roman" w:hAnsi="Times New Roman" w:cs="Times New Roman"/>
          <w:sz w:val="24"/>
          <w:szCs w:val="24"/>
        </w:rPr>
        <w:t>,</w:t>
      </w:r>
      <w:r w:rsidRPr="00082431">
        <w:rPr>
          <w:rFonts w:ascii="Times New Roman" w:hAnsi="Times New Roman" w:cs="Times New Roman"/>
          <w:sz w:val="24"/>
          <w:szCs w:val="24"/>
        </w:rPr>
        <w:t xml:space="preserve"> un</w:t>
      </w:r>
      <w:r w:rsidR="009769A4" w:rsidRPr="00082431">
        <w:rPr>
          <w:rFonts w:ascii="Times New Roman" w:hAnsi="Times New Roman" w:cs="Times New Roman"/>
          <w:sz w:val="24"/>
          <w:szCs w:val="24"/>
        </w:rPr>
        <w:t xml:space="preserve"> to</w:t>
      </w:r>
      <w:r w:rsidR="00582D52" w:rsidRPr="00082431">
        <w:rPr>
          <w:rFonts w:ascii="Times New Roman" w:hAnsi="Times New Roman" w:cs="Times New Roman"/>
          <w:sz w:val="24"/>
          <w:szCs w:val="24"/>
        </w:rPr>
        <w:t>, ka SIA ,,</w:t>
      </w:r>
      <w:r w:rsidR="00590A59">
        <w:rPr>
          <w:rFonts w:ascii="Times New Roman" w:hAnsi="Times New Roman" w:cs="Times New Roman"/>
          <w:sz w:val="24"/>
          <w:szCs w:val="24"/>
        </w:rPr>
        <w:t>[Nosaukums A]</w:t>
      </w:r>
      <w:r w:rsidRPr="00082431">
        <w:rPr>
          <w:rFonts w:ascii="Times New Roman" w:hAnsi="Times New Roman" w:cs="Times New Roman"/>
          <w:sz w:val="24"/>
          <w:szCs w:val="24"/>
        </w:rPr>
        <w:t>” ir pietiekami naudas līdzekļu</w:t>
      </w:r>
      <w:r w:rsidR="009769A4" w:rsidRPr="00082431">
        <w:rPr>
          <w:rFonts w:ascii="Times New Roman" w:hAnsi="Times New Roman" w:cs="Times New Roman"/>
          <w:sz w:val="24"/>
          <w:szCs w:val="24"/>
        </w:rPr>
        <w:t xml:space="preserve">, lai nodokļus </w:t>
      </w:r>
      <w:r w:rsidR="00492A06" w:rsidRPr="00082431">
        <w:rPr>
          <w:rFonts w:ascii="Times New Roman" w:hAnsi="Times New Roman" w:cs="Times New Roman"/>
          <w:sz w:val="24"/>
          <w:szCs w:val="24"/>
        </w:rPr>
        <w:t>no</w:t>
      </w:r>
      <w:r w:rsidR="009769A4" w:rsidRPr="00082431">
        <w:rPr>
          <w:rFonts w:ascii="Times New Roman" w:hAnsi="Times New Roman" w:cs="Times New Roman"/>
          <w:sz w:val="24"/>
          <w:szCs w:val="24"/>
        </w:rPr>
        <w:t xml:space="preserve">maksātu pilnā apmērā, </w:t>
      </w:r>
      <w:r w:rsidR="00590A59">
        <w:rPr>
          <w:rFonts w:ascii="Times New Roman" w:hAnsi="Times New Roman" w:cs="Times New Roman"/>
          <w:sz w:val="24"/>
          <w:szCs w:val="24"/>
        </w:rPr>
        <w:t>[pers. A]</w:t>
      </w:r>
      <w:r w:rsidR="00582D52" w:rsidRPr="00082431">
        <w:rPr>
          <w:rFonts w:ascii="Times New Roman" w:hAnsi="Times New Roman" w:cs="Times New Roman"/>
          <w:sz w:val="24"/>
          <w:szCs w:val="24"/>
        </w:rPr>
        <w:t xml:space="preserve"> SIA ,,</w:t>
      </w:r>
      <w:r w:rsidR="00590A59">
        <w:rPr>
          <w:rFonts w:ascii="Times New Roman" w:hAnsi="Times New Roman" w:cs="Times New Roman"/>
          <w:sz w:val="24"/>
          <w:szCs w:val="24"/>
        </w:rPr>
        <w:t>[Nosaukums A]</w:t>
      </w:r>
      <w:r w:rsidR="009769A4" w:rsidRPr="00082431">
        <w:rPr>
          <w:rFonts w:ascii="Times New Roman" w:hAnsi="Times New Roman" w:cs="Times New Roman"/>
          <w:sz w:val="24"/>
          <w:szCs w:val="24"/>
        </w:rPr>
        <w:t xml:space="preserve">” naudas līdzekļus izmantoja citām vajadzībām, tajā skaitā 2014.gada 5. un 10.novembrī, kā  arī 18. </w:t>
      </w:r>
      <w:r w:rsidR="00582D52" w:rsidRPr="00082431">
        <w:rPr>
          <w:rFonts w:ascii="Times New Roman" w:hAnsi="Times New Roman" w:cs="Times New Roman"/>
          <w:sz w:val="24"/>
          <w:szCs w:val="24"/>
        </w:rPr>
        <w:t>un 28.decembrī pārskaitīja SIA ,,K.R.L.2” 38 962 </w:t>
      </w:r>
      <w:proofErr w:type="spellStart"/>
      <w:r w:rsidR="009769A4" w:rsidRPr="00082431">
        <w:rPr>
          <w:rFonts w:ascii="Times New Roman" w:hAnsi="Times New Roman" w:cs="Times New Roman"/>
          <w:i/>
          <w:iCs/>
          <w:sz w:val="24"/>
          <w:szCs w:val="24"/>
        </w:rPr>
        <w:t>euro</w:t>
      </w:r>
      <w:proofErr w:type="spellEnd"/>
      <w:r w:rsidR="00582D52" w:rsidRPr="00082431">
        <w:rPr>
          <w:rFonts w:ascii="Times New Roman" w:hAnsi="Times New Roman" w:cs="Times New Roman"/>
          <w:sz w:val="24"/>
          <w:szCs w:val="24"/>
        </w:rPr>
        <w:t>, 33 287,10 </w:t>
      </w:r>
      <w:proofErr w:type="spellStart"/>
      <w:r w:rsidR="009769A4" w:rsidRPr="00082431">
        <w:rPr>
          <w:rFonts w:ascii="Times New Roman" w:hAnsi="Times New Roman" w:cs="Times New Roman"/>
          <w:i/>
          <w:iCs/>
          <w:sz w:val="24"/>
          <w:szCs w:val="24"/>
        </w:rPr>
        <w:t>euro</w:t>
      </w:r>
      <w:proofErr w:type="spellEnd"/>
      <w:r w:rsidR="009769A4" w:rsidRPr="00082431">
        <w:rPr>
          <w:rFonts w:ascii="Times New Roman" w:hAnsi="Times New Roman" w:cs="Times New Roman"/>
          <w:sz w:val="24"/>
          <w:szCs w:val="24"/>
        </w:rPr>
        <w:t>, 14 048,10</w:t>
      </w:r>
      <w:r w:rsidR="00582D52" w:rsidRPr="00082431">
        <w:rPr>
          <w:rFonts w:ascii="Times New Roman" w:hAnsi="Times New Roman" w:cs="Times New Roman"/>
          <w:i/>
          <w:iCs/>
          <w:sz w:val="24"/>
          <w:szCs w:val="24"/>
        </w:rPr>
        <w:t> </w:t>
      </w:r>
      <w:proofErr w:type="spellStart"/>
      <w:r w:rsidR="009769A4" w:rsidRPr="00082431">
        <w:rPr>
          <w:rFonts w:ascii="Times New Roman" w:hAnsi="Times New Roman" w:cs="Times New Roman"/>
          <w:i/>
          <w:iCs/>
          <w:sz w:val="24"/>
          <w:szCs w:val="24"/>
        </w:rPr>
        <w:t>euro</w:t>
      </w:r>
      <w:proofErr w:type="spellEnd"/>
      <w:r w:rsidR="00EB1DB7" w:rsidRPr="00082431">
        <w:rPr>
          <w:rFonts w:ascii="Times New Roman" w:hAnsi="Times New Roman" w:cs="Times New Roman"/>
          <w:sz w:val="24"/>
          <w:szCs w:val="24"/>
        </w:rPr>
        <w:t xml:space="preserve"> un 6207,30 </w:t>
      </w:r>
      <w:proofErr w:type="spellStart"/>
      <w:r w:rsidR="009769A4" w:rsidRPr="00082431">
        <w:rPr>
          <w:rFonts w:ascii="Times New Roman" w:hAnsi="Times New Roman" w:cs="Times New Roman"/>
          <w:i/>
          <w:iCs/>
          <w:sz w:val="24"/>
          <w:szCs w:val="24"/>
        </w:rPr>
        <w:t>euro</w:t>
      </w:r>
      <w:proofErr w:type="spellEnd"/>
      <w:r w:rsidR="00216D23" w:rsidRPr="00082431">
        <w:rPr>
          <w:rFonts w:ascii="Times New Roman" w:hAnsi="Times New Roman" w:cs="Times New Roman"/>
          <w:sz w:val="24"/>
          <w:szCs w:val="24"/>
        </w:rPr>
        <w:t>, kopā 20 255,</w:t>
      </w:r>
      <w:r w:rsidR="006B04D2" w:rsidRPr="00082431">
        <w:rPr>
          <w:rFonts w:ascii="Times New Roman" w:hAnsi="Times New Roman" w:cs="Times New Roman"/>
          <w:sz w:val="24"/>
          <w:szCs w:val="24"/>
        </w:rPr>
        <w:t>40</w:t>
      </w:r>
      <w:r w:rsidR="00EB1DB7" w:rsidRPr="00082431">
        <w:rPr>
          <w:rFonts w:ascii="Times New Roman" w:hAnsi="Times New Roman" w:cs="Times New Roman"/>
          <w:i/>
          <w:iCs/>
          <w:sz w:val="24"/>
          <w:szCs w:val="24"/>
        </w:rPr>
        <w:t> </w:t>
      </w:r>
      <w:proofErr w:type="spellStart"/>
      <w:r w:rsidR="006B04D2" w:rsidRPr="00082431">
        <w:rPr>
          <w:rFonts w:ascii="Times New Roman" w:hAnsi="Times New Roman" w:cs="Times New Roman"/>
          <w:i/>
          <w:iCs/>
          <w:sz w:val="24"/>
          <w:szCs w:val="24"/>
        </w:rPr>
        <w:t>euro</w:t>
      </w:r>
      <w:proofErr w:type="spellEnd"/>
      <w:r w:rsidR="006B04D2" w:rsidRPr="00082431">
        <w:rPr>
          <w:rFonts w:ascii="Times New Roman" w:hAnsi="Times New Roman" w:cs="Times New Roman"/>
          <w:sz w:val="24"/>
          <w:szCs w:val="24"/>
        </w:rPr>
        <w:t>, bet 2014.gada 17., 21.</w:t>
      </w:r>
      <w:r w:rsidR="00EB1DB7" w:rsidRPr="00082431">
        <w:rPr>
          <w:rFonts w:ascii="Times New Roman" w:hAnsi="Times New Roman" w:cs="Times New Roman"/>
          <w:sz w:val="24"/>
          <w:szCs w:val="24"/>
        </w:rPr>
        <w:t xml:space="preserve"> un 28.decembrī pārskaitīja SIA ,,STORM DESIGN” 11 833,80 </w:t>
      </w:r>
      <w:r w:rsidR="006B04D2" w:rsidRPr="00082431">
        <w:rPr>
          <w:rFonts w:ascii="Times New Roman" w:hAnsi="Times New Roman" w:cs="Times New Roman"/>
          <w:i/>
          <w:iCs/>
          <w:sz w:val="24"/>
          <w:szCs w:val="24"/>
        </w:rPr>
        <w:t>euro</w:t>
      </w:r>
      <w:r w:rsidR="00EB1DB7" w:rsidRPr="00082431">
        <w:rPr>
          <w:rFonts w:ascii="Times New Roman" w:hAnsi="Times New Roman" w:cs="Times New Roman"/>
          <w:sz w:val="24"/>
          <w:szCs w:val="24"/>
        </w:rPr>
        <w:t>, 14 910,23 </w:t>
      </w:r>
      <w:r w:rsidR="006B04D2" w:rsidRPr="00082431">
        <w:rPr>
          <w:rFonts w:ascii="Times New Roman" w:hAnsi="Times New Roman" w:cs="Times New Roman"/>
          <w:i/>
          <w:iCs/>
          <w:sz w:val="24"/>
          <w:szCs w:val="24"/>
        </w:rPr>
        <w:t xml:space="preserve">euro </w:t>
      </w:r>
      <w:r w:rsidR="00EB1DB7" w:rsidRPr="00082431">
        <w:rPr>
          <w:rFonts w:ascii="Times New Roman" w:hAnsi="Times New Roman" w:cs="Times New Roman"/>
          <w:sz w:val="24"/>
          <w:szCs w:val="24"/>
        </w:rPr>
        <w:t>un 8893,50 </w:t>
      </w:r>
      <w:r w:rsidR="006B04D2" w:rsidRPr="00082431">
        <w:rPr>
          <w:rFonts w:ascii="Times New Roman" w:hAnsi="Times New Roman" w:cs="Times New Roman"/>
          <w:i/>
          <w:iCs/>
          <w:sz w:val="24"/>
          <w:szCs w:val="24"/>
        </w:rPr>
        <w:t>euro</w:t>
      </w:r>
      <w:r w:rsidR="00EB1DB7" w:rsidRPr="00082431">
        <w:rPr>
          <w:rFonts w:ascii="Times New Roman" w:hAnsi="Times New Roman" w:cs="Times New Roman"/>
          <w:sz w:val="24"/>
          <w:szCs w:val="24"/>
        </w:rPr>
        <w:t>, kopā 35 637,53 </w:t>
      </w:r>
      <w:r w:rsidR="006B04D2" w:rsidRPr="00082431">
        <w:rPr>
          <w:rFonts w:ascii="Times New Roman" w:hAnsi="Times New Roman" w:cs="Times New Roman"/>
          <w:i/>
          <w:iCs/>
          <w:sz w:val="24"/>
          <w:szCs w:val="24"/>
        </w:rPr>
        <w:t>euro</w:t>
      </w:r>
      <w:r w:rsidR="006B04D2" w:rsidRPr="00082431">
        <w:rPr>
          <w:rFonts w:ascii="Times New Roman" w:hAnsi="Times New Roman" w:cs="Times New Roman"/>
          <w:sz w:val="24"/>
          <w:szCs w:val="24"/>
        </w:rPr>
        <w:t xml:space="preserve"> par fiktīviem darījumiem, kā ar</w:t>
      </w:r>
      <w:r w:rsidR="00F17738" w:rsidRPr="00082431">
        <w:rPr>
          <w:rFonts w:ascii="Times New Roman" w:hAnsi="Times New Roman" w:cs="Times New Roman"/>
          <w:sz w:val="24"/>
          <w:szCs w:val="24"/>
        </w:rPr>
        <w:t>ī izņēma no kapitālsabiedrības bankas kontiem</w:t>
      </w:r>
      <w:r w:rsidR="00EB1DB7" w:rsidRPr="00082431">
        <w:rPr>
          <w:rFonts w:ascii="Times New Roman" w:hAnsi="Times New Roman" w:cs="Times New Roman"/>
          <w:sz w:val="24"/>
          <w:szCs w:val="24"/>
        </w:rPr>
        <w:t xml:space="preserve"> skaidru naudu vismaz 74 000 </w:t>
      </w:r>
      <w:r w:rsidR="00F17738" w:rsidRPr="00082431">
        <w:rPr>
          <w:rFonts w:ascii="Times New Roman" w:hAnsi="Times New Roman" w:cs="Times New Roman"/>
          <w:i/>
          <w:iCs/>
          <w:sz w:val="24"/>
          <w:szCs w:val="24"/>
        </w:rPr>
        <w:t>euro</w:t>
      </w:r>
      <w:r w:rsidR="00F17738" w:rsidRPr="00082431">
        <w:rPr>
          <w:rFonts w:ascii="Times New Roman" w:hAnsi="Times New Roman" w:cs="Times New Roman"/>
          <w:sz w:val="24"/>
          <w:szCs w:val="24"/>
        </w:rPr>
        <w:t xml:space="preserve"> apmērā.</w:t>
      </w:r>
      <w:r w:rsidR="00EB1DB7" w:rsidRPr="00082431">
        <w:rPr>
          <w:rFonts w:ascii="Times New Roman" w:hAnsi="Times New Roman" w:cs="Times New Roman"/>
          <w:sz w:val="24"/>
          <w:szCs w:val="24"/>
        </w:rPr>
        <w:t xml:space="preserve"> </w:t>
      </w:r>
    </w:p>
    <w:p w14:paraId="4B9E4349" w14:textId="33801970" w:rsidR="00FF3877" w:rsidRPr="00082431" w:rsidRDefault="00F17738" w:rsidP="00FF3877">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SIA</w:t>
      </w:r>
      <w:r w:rsidR="00EB1DB7" w:rsidRPr="00082431">
        <w:rPr>
          <w:rFonts w:ascii="Times New Roman" w:hAnsi="Times New Roman" w:cs="Times New Roman"/>
          <w:sz w:val="24"/>
          <w:szCs w:val="24"/>
        </w:rPr>
        <w:t> ,,</w:t>
      </w:r>
      <w:r w:rsidR="00590A59">
        <w:rPr>
          <w:rFonts w:ascii="Times New Roman" w:hAnsi="Times New Roman" w:cs="Times New Roman"/>
          <w:sz w:val="24"/>
          <w:szCs w:val="24"/>
        </w:rPr>
        <w:t>[Nosaukums A]</w:t>
      </w:r>
      <w:r w:rsidR="00EB1DB7" w:rsidRPr="00082431">
        <w:rPr>
          <w:rFonts w:ascii="Times New Roman" w:hAnsi="Times New Roman" w:cs="Times New Roman"/>
          <w:sz w:val="24"/>
          <w:szCs w:val="24"/>
        </w:rPr>
        <w:t>” nodokļu pamatparāds likuma „</w:t>
      </w:r>
      <w:r w:rsidRPr="00082431">
        <w:rPr>
          <w:rFonts w:ascii="Times New Roman" w:hAnsi="Times New Roman" w:cs="Times New Roman"/>
          <w:sz w:val="24"/>
          <w:szCs w:val="24"/>
        </w:rPr>
        <w:t xml:space="preserve">Par Krimināllikuma spēkā stāšanās un piemērošanas kārtību” </w:t>
      </w:r>
      <w:proofErr w:type="gramStart"/>
      <w:r w:rsidRPr="00082431">
        <w:rPr>
          <w:rFonts w:ascii="Times New Roman" w:hAnsi="Times New Roman" w:cs="Times New Roman"/>
          <w:sz w:val="24"/>
          <w:szCs w:val="24"/>
        </w:rPr>
        <w:t>20.pantā</w:t>
      </w:r>
      <w:proofErr w:type="gramEnd"/>
      <w:r w:rsidRPr="00082431">
        <w:rPr>
          <w:rFonts w:ascii="Times New Roman" w:hAnsi="Times New Roman" w:cs="Times New Roman"/>
          <w:sz w:val="24"/>
          <w:szCs w:val="24"/>
        </w:rPr>
        <w:t xml:space="preserve"> noteikto lielo apmēru sasniedza 2015.gada 20.martā.</w:t>
      </w:r>
      <w:r w:rsidR="00FF3877" w:rsidRPr="00082431">
        <w:rPr>
          <w:rFonts w:ascii="Times New Roman" w:hAnsi="Times New Roman" w:cs="Times New Roman"/>
          <w:sz w:val="24"/>
          <w:szCs w:val="24"/>
        </w:rPr>
        <w:t xml:space="preserve"> </w:t>
      </w:r>
    </w:p>
    <w:p w14:paraId="7D6CBD55" w14:textId="6E95B9F3" w:rsidR="00FF3877" w:rsidRPr="00082431" w:rsidRDefault="00F17738" w:rsidP="00FF3877">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Tādējādi </w:t>
      </w:r>
      <w:r w:rsidR="00266E84">
        <w:rPr>
          <w:rFonts w:ascii="Times New Roman" w:hAnsi="Times New Roman" w:cs="Times New Roman"/>
          <w:sz w:val="24"/>
          <w:szCs w:val="24"/>
        </w:rPr>
        <w:t>[pers. A]</w:t>
      </w:r>
      <w:r w:rsidRPr="00082431">
        <w:rPr>
          <w:rFonts w:ascii="Times New Roman" w:hAnsi="Times New Roman" w:cs="Times New Roman"/>
          <w:sz w:val="24"/>
          <w:szCs w:val="24"/>
        </w:rPr>
        <w:t xml:space="preserve"> laika periodā no </w:t>
      </w:r>
      <w:proofErr w:type="gramStart"/>
      <w:r w:rsidRPr="00082431">
        <w:rPr>
          <w:rFonts w:ascii="Times New Roman" w:hAnsi="Times New Roman" w:cs="Times New Roman"/>
          <w:sz w:val="24"/>
          <w:szCs w:val="24"/>
        </w:rPr>
        <w:t>2013.gada</w:t>
      </w:r>
      <w:proofErr w:type="gramEnd"/>
      <w:r w:rsidRPr="00082431">
        <w:rPr>
          <w:rFonts w:ascii="Times New Roman" w:hAnsi="Times New Roman" w:cs="Times New Roman"/>
          <w:sz w:val="24"/>
          <w:szCs w:val="24"/>
        </w:rPr>
        <w:t xml:space="preserve"> 20.augusta līdz 2016.gada 7.aprīlim ar vienotu nodomu izvairīties no nodokļu nomaksas, zinot par nodokļu parāda esību, </w:t>
      </w:r>
      <w:r w:rsidR="00492A06" w:rsidRPr="00082431">
        <w:rPr>
          <w:rFonts w:ascii="Times New Roman" w:hAnsi="Times New Roman" w:cs="Times New Roman"/>
          <w:sz w:val="24"/>
          <w:szCs w:val="24"/>
        </w:rPr>
        <w:t xml:space="preserve">apzināti pieļāva bezdarbību un neveica nodokļu maksājumus valsts budžetā pilnā apmērā, kā arī apzināti sniedza nepatiesu informāciju nodokļu deklarācijās un nepamatoti samazināja valsts budžetā maksājamā nodokļa apmēru. Ar savu rīcību </w:t>
      </w:r>
      <w:r w:rsidR="00266E84">
        <w:rPr>
          <w:rFonts w:ascii="Times New Roman" w:hAnsi="Times New Roman" w:cs="Times New Roman"/>
          <w:sz w:val="24"/>
          <w:szCs w:val="24"/>
        </w:rPr>
        <w:t>[pers. A]</w:t>
      </w:r>
      <w:r w:rsidR="00492A06" w:rsidRPr="00082431">
        <w:rPr>
          <w:rFonts w:ascii="Times New Roman" w:hAnsi="Times New Roman" w:cs="Times New Roman"/>
          <w:sz w:val="24"/>
          <w:szCs w:val="24"/>
        </w:rPr>
        <w:t xml:space="preserve"> izvairījās no nodokļu un tiem pielīdzināto maksājumu nomaksas</w:t>
      </w:r>
      <w:r w:rsidRPr="00082431">
        <w:rPr>
          <w:rFonts w:ascii="Times New Roman" w:hAnsi="Times New Roman" w:cs="Times New Roman"/>
          <w:sz w:val="24"/>
          <w:szCs w:val="24"/>
        </w:rPr>
        <w:t xml:space="preserve"> </w:t>
      </w:r>
      <w:r w:rsidR="00FF3877" w:rsidRPr="00082431">
        <w:rPr>
          <w:rFonts w:ascii="Times New Roman" w:hAnsi="Times New Roman" w:cs="Times New Roman"/>
          <w:sz w:val="24"/>
          <w:szCs w:val="24"/>
        </w:rPr>
        <w:t>58 708,85 </w:t>
      </w:r>
      <w:r w:rsidR="00492A06" w:rsidRPr="00082431">
        <w:rPr>
          <w:rFonts w:ascii="Times New Roman" w:hAnsi="Times New Roman" w:cs="Times New Roman"/>
          <w:i/>
          <w:iCs/>
          <w:sz w:val="24"/>
          <w:szCs w:val="24"/>
        </w:rPr>
        <w:t>euro</w:t>
      </w:r>
      <w:r w:rsidR="00FF3877" w:rsidRPr="00082431">
        <w:rPr>
          <w:rFonts w:ascii="Times New Roman" w:hAnsi="Times New Roman" w:cs="Times New Roman"/>
          <w:sz w:val="24"/>
          <w:szCs w:val="24"/>
        </w:rPr>
        <w:t xml:space="preserve"> apmērā. </w:t>
      </w:r>
    </w:p>
    <w:p w14:paraId="0969D080" w14:textId="77777777" w:rsidR="00FF3877" w:rsidRPr="00082431" w:rsidRDefault="00FF3877" w:rsidP="00FF3877">
      <w:pPr>
        <w:spacing w:after="0"/>
        <w:ind w:firstLine="709"/>
        <w:jc w:val="both"/>
        <w:rPr>
          <w:rFonts w:ascii="Times New Roman" w:hAnsi="Times New Roman" w:cs="Times New Roman"/>
          <w:sz w:val="24"/>
          <w:szCs w:val="24"/>
        </w:rPr>
      </w:pPr>
    </w:p>
    <w:p w14:paraId="501FFEF8" w14:textId="77777777" w:rsidR="00FF3877" w:rsidRPr="00082431" w:rsidRDefault="00FF3877" w:rsidP="00FF3877">
      <w:pPr>
        <w:spacing w:after="0"/>
        <w:ind w:firstLine="709"/>
        <w:jc w:val="both"/>
        <w:rPr>
          <w:rFonts w:ascii="Times New Roman" w:hAnsi="Times New Roman" w:cs="Times New Roman"/>
          <w:sz w:val="24"/>
        </w:rPr>
      </w:pPr>
      <w:r w:rsidRPr="00082431">
        <w:rPr>
          <w:rFonts w:ascii="Times New Roman" w:hAnsi="Times New Roman" w:cs="Times New Roman"/>
          <w:sz w:val="24"/>
        </w:rPr>
        <w:t>[3] </w:t>
      </w:r>
      <w:r w:rsidR="00C907C2" w:rsidRPr="00082431">
        <w:rPr>
          <w:rFonts w:ascii="Times New Roman" w:hAnsi="Times New Roman" w:cs="Times New Roman"/>
          <w:sz w:val="24"/>
        </w:rPr>
        <w:t>Ar</w:t>
      </w:r>
      <w:r w:rsidR="0016059F" w:rsidRPr="00082431">
        <w:rPr>
          <w:rFonts w:ascii="Times New Roman" w:hAnsi="Times New Roman" w:cs="Times New Roman"/>
          <w:sz w:val="24"/>
        </w:rPr>
        <w:t xml:space="preserve"> Kurzemes</w:t>
      </w:r>
      <w:r w:rsidR="00C907C2" w:rsidRPr="00082431">
        <w:rPr>
          <w:rFonts w:ascii="Times New Roman" w:hAnsi="Times New Roman" w:cs="Times New Roman"/>
          <w:sz w:val="24"/>
        </w:rPr>
        <w:t xml:space="preserve"> apgabaltiesas </w:t>
      </w:r>
      <w:proofErr w:type="gramStart"/>
      <w:r w:rsidR="00C907C2" w:rsidRPr="00082431">
        <w:rPr>
          <w:rFonts w:ascii="Times New Roman" w:hAnsi="Times New Roman" w:cs="Times New Roman"/>
          <w:sz w:val="24"/>
        </w:rPr>
        <w:t>20</w:t>
      </w:r>
      <w:r w:rsidR="00E73BB5" w:rsidRPr="00082431">
        <w:rPr>
          <w:rFonts w:ascii="Times New Roman" w:hAnsi="Times New Roman" w:cs="Times New Roman"/>
          <w:sz w:val="24"/>
        </w:rPr>
        <w:t>20</w:t>
      </w:r>
      <w:r w:rsidR="00C907C2" w:rsidRPr="00082431">
        <w:rPr>
          <w:rFonts w:ascii="Times New Roman" w:hAnsi="Times New Roman" w:cs="Times New Roman"/>
          <w:sz w:val="24"/>
        </w:rPr>
        <w:t>.gada</w:t>
      </w:r>
      <w:proofErr w:type="gramEnd"/>
      <w:r w:rsidR="00C907C2" w:rsidRPr="00082431">
        <w:rPr>
          <w:rFonts w:ascii="Times New Roman" w:hAnsi="Times New Roman" w:cs="Times New Roman"/>
          <w:sz w:val="24"/>
        </w:rPr>
        <w:t xml:space="preserve"> </w:t>
      </w:r>
      <w:r w:rsidR="00E73BB5" w:rsidRPr="00082431">
        <w:rPr>
          <w:rFonts w:ascii="Times New Roman" w:hAnsi="Times New Roman" w:cs="Times New Roman"/>
          <w:sz w:val="24"/>
        </w:rPr>
        <w:t>10.septembra lēmumu</w:t>
      </w:r>
      <w:r w:rsidR="00C907C2" w:rsidRPr="00082431">
        <w:rPr>
          <w:rFonts w:ascii="Times New Roman" w:hAnsi="Times New Roman" w:cs="Times New Roman"/>
          <w:sz w:val="24"/>
        </w:rPr>
        <w:t>, iztiesājot lietu apelācijas k</w:t>
      </w:r>
      <w:r w:rsidR="00716EE1" w:rsidRPr="00082431">
        <w:rPr>
          <w:rFonts w:ascii="Times New Roman" w:hAnsi="Times New Roman" w:cs="Times New Roman"/>
          <w:sz w:val="24"/>
        </w:rPr>
        <w:t>ārtībā sakarā</w:t>
      </w:r>
      <w:r w:rsidR="0016059F" w:rsidRPr="00082431">
        <w:rPr>
          <w:rFonts w:ascii="Times New Roman" w:hAnsi="Times New Roman" w:cs="Times New Roman"/>
          <w:sz w:val="24"/>
        </w:rPr>
        <w:t xml:space="preserve"> ar</w:t>
      </w:r>
      <w:r w:rsidR="00793588" w:rsidRPr="00082431">
        <w:rPr>
          <w:rFonts w:ascii="Times New Roman" w:hAnsi="Times New Roman" w:cs="Times New Roman"/>
          <w:sz w:val="24"/>
        </w:rPr>
        <w:t xml:space="preserve"> </w:t>
      </w:r>
      <w:r w:rsidR="00E73BB5" w:rsidRPr="00082431">
        <w:rPr>
          <w:rFonts w:ascii="Times New Roman" w:hAnsi="Times New Roman" w:cs="Times New Roman"/>
          <w:sz w:val="24"/>
        </w:rPr>
        <w:t>Liepājas</w:t>
      </w:r>
      <w:r w:rsidR="00793588" w:rsidRPr="00082431">
        <w:rPr>
          <w:rFonts w:ascii="Times New Roman" w:hAnsi="Times New Roman" w:cs="Times New Roman"/>
          <w:sz w:val="24"/>
        </w:rPr>
        <w:t xml:space="preserve"> rajona prokuratūras prokuror</w:t>
      </w:r>
      <w:r w:rsidR="00E73BB5" w:rsidRPr="00082431">
        <w:rPr>
          <w:rFonts w:ascii="Times New Roman" w:hAnsi="Times New Roman" w:cs="Times New Roman"/>
          <w:sz w:val="24"/>
        </w:rPr>
        <w:t>es</w:t>
      </w:r>
      <w:r w:rsidR="00793588" w:rsidRPr="00082431">
        <w:rPr>
          <w:rFonts w:ascii="Times New Roman" w:hAnsi="Times New Roman" w:cs="Times New Roman"/>
          <w:sz w:val="24"/>
        </w:rPr>
        <w:t xml:space="preserve"> </w:t>
      </w:r>
      <w:r w:rsidR="00E73BB5" w:rsidRPr="00082431">
        <w:rPr>
          <w:rFonts w:ascii="Times New Roman" w:hAnsi="Times New Roman" w:cs="Times New Roman"/>
          <w:sz w:val="24"/>
        </w:rPr>
        <w:t>L.</w:t>
      </w:r>
      <w:r w:rsidRPr="00082431">
        <w:rPr>
          <w:rFonts w:ascii="Times New Roman" w:hAnsi="Times New Roman" w:cs="Times New Roman"/>
          <w:sz w:val="24"/>
        </w:rPr>
        <w:t> </w:t>
      </w:r>
      <w:proofErr w:type="spellStart"/>
      <w:r w:rsidR="00E73BB5" w:rsidRPr="00082431">
        <w:rPr>
          <w:rFonts w:ascii="Times New Roman" w:hAnsi="Times New Roman" w:cs="Times New Roman"/>
          <w:sz w:val="24"/>
        </w:rPr>
        <w:t>Eglājas</w:t>
      </w:r>
      <w:proofErr w:type="spellEnd"/>
      <w:r w:rsidR="00793588" w:rsidRPr="00082431">
        <w:rPr>
          <w:rFonts w:ascii="Times New Roman" w:hAnsi="Times New Roman" w:cs="Times New Roman"/>
          <w:sz w:val="24"/>
        </w:rPr>
        <w:t xml:space="preserve"> apelācijas protestu un V</w:t>
      </w:r>
      <w:r w:rsidR="00E73BB5" w:rsidRPr="00082431">
        <w:rPr>
          <w:rFonts w:ascii="Times New Roman" w:hAnsi="Times New Roman" w:cs="Times New Roman"/>
          <w:sz w:val="24"/>
        </w:rPr>
        <w:t xml:space="preserve">ID </w:t>
      </w:r>
      <w:r w:rsidR="0016059F" w:rsidRPr="00082431">
        <w:rPr>
          <w:rFonts w:ascii="Times New Roman" w:hAnsi="Times New Roman" w:cs="Times New Roman"/>
          <w:sz w:val="24"/>
        </w:rPr>
        <w:t>apelācijas sūdzīb</w:t>
      </w:r>
      <w:r w:rsidR="00E73BB5" w:rsidRPr="00082431">
        <w:rPr>
          <w:rFonts w:ascii="Times New Roman" w:hAnsi="Times New Roman" w:cs="Times New Roman"/>
          <w:sz w:val="24"/>
        </w:rPr>
        <w:t>u</w:t>
      </w:r>
      <w:r w:rsidR="00C907C2" w:rsidRPr="00082431">
        <w:rPr>
          <w:rFonts w:ascii="Times New Roman" w:hAnsi="Times New Roman" w:cs="Times New Roman"/>
          <w:sz w:val="24"/>
        </w:rPr>
        <w:t xml:space="preserve">, </w:t>
      </w:r>
      <w:r w:rsidR="0016059F" w:rsidRPr="00082431">
        <w:rPr>
          <w:rFonts w:ascii="Times New Roman" w:hAnsi="Times New Roman" w:cs="Times New Roman"/>
          <w:sz w:val="24"/>
        </w:rPr>
        <w:t xml:space="preserve">Kurzemes </w:t>
      </w:r>
      <w:r w:rsidR="008E7A23" w:rsidRPr="00082431">
        <w:rPr>
          <w:rFonts w:ascii="Times New Roman" w:hAnsi="Times New Roman" w:cs="Times New Roman"/>
          <w:sz w:val="24"/>
        </w:rPr>
        <w:t xml:space="preserve"> </w:t>
      </w:r>
      <w:r w:rsidR="00C907C2" w:rsidRPr="00082431">
        <w:rPr>
          <w:rFonts w:ascii="Times New Roman" w:hAnsi="Times New Roman" w:cs="Times New Roman"/>
          <w:sz w:val="24"/>
        </w:rPr>
        <w:t>rajona tiesas 20</w:t>
      </w:r>
      <w:r w:rsidR="00BE104C" w:rsidRPr="00082431">
        <w:rPr>
          <w:rFonts w:ascii="Times New Roman" w:hAnsi="Times New Roman" w:cs="Times New Roman"/>
          <w:sz w:val="24"/>
        </w:rPr>
        <w:t>1</w:t>
      </w:r>
      <w:r w:rsidR="00E73BB5" w:rsidRPr="00082431">
        <w:rPr>
          <w:rFonts w:ascii="Times New Roman" w:hAnsi="Times New Roman" w:cs="Times New Roman"/>
          <w:sz w:val="24"/>
        </w:rPr>
        <w:t>9</w:t>
      </w:r>
      <w:r w:rsidR="00C907C2" w:rsidRPr="00082431">
        <w:rPr>
          <w:rFonts w:ascii="Times New Roman" w:hAnsi="Times New Roman" w:cs="Times New Roman"/>
          <w:sz w:val="24"/>
        </w:rPr>
        <w:t>.gada</w:t>
      </w:r>
      <w:r w:rsidR="008E7A23" w:rsidRPr="00082431">
        <w:rPr>
          <w:rFonts w:ascii="Times New Roman" w:hAnsi="Times New Roman" w:cs="Times New Roman"/>
          <w:sz w:val="24"/>
        </w:rPr>
        <w:t xml:space="preserve"> </w:t>
      </w:r>
      <w:r w:rsidR="0016059F" w:rsidRPr="00082431">
        <w:rPr>
          <w:rFonts w:ascii="Times New Roman" w:hAnsi="Times New Roman" w:cs="Times New Roman"/>
          <w:sz w:val="24"/>
        </w:rPr>
        <w:t>1</w:t>
      </w:r>
      <w:r w:rsidR="00E73BB5" w:rsidRPr="00082431">
        <w:rPr>
          <w:rFonts w:ascii="Times New Roman" w:hAnsi="Times New Roman" w:cs="Times New Roman"/>
          <w:sz w:val="24"/>
        </w:rPr>
        <w:t>4.novembra</w:t>
      </w:r>
      <w:r w:rsidR="0016059F" w:rsidRPr="00082431">
        <w:rPr>
          <w:rFonts w:ascii="Times New Roman" w:hAnsi="Times New Roman" w:cs="Times New Roman"/>
          <w:sz w:val="24"/>
        </w:rPr>
        <w:t xml:space="preserve"> </w:t>
      </w:r>
      <w:r w:rsidR="00C907C2" w:rsidRPr="00082431">
        <w:rPr>
          <w:rFonts w:ascii="Times New Roman" w:hAnsi="Times New Roman" w:cs="Times New Roman"/>
          <w:sz w:val="24"/>
        </w:rPr>
        <w:t>spriedums</w:t>
      </w:r>
      <w:r w:rsidR="007E77D6" w:rsidRPr="00082431">
        <w:rPr>
          <w:rFonts w:ascii="Times New Roman" w:hAnsi="Times New Roman" w:cs="Times New Roman"/>
          <w:sz w:val="24"/>
        </w:rPr>
        <w:t xml:space="preserve"> </w:t>
      </w:r>
      <w:r w:rsidR="006A4CBD" w:rsidRPr="00082431">
        <w:rPr>
          <w:rFonts w:ascii="Times New Roman" w:hAnsi="Times New Roman" w:cs="Times New Roman"/>
          <w:sz w:val="24"/>
        </w:rPr>
        <w:t>atstāts negrozīts.</w:t>
      </w:r>
      <w:r w:rsidRPr="00082431">
        <w:rPr>
          <w:rFonts w:ascii="Times New Roman" w:hAnsi="Times New Roman" w:cs="Times New Roman"/>
          <w:sz w:val="24"/>
        </w:rPr>
        <w:t xml:space="preserve"> </w:t>
      </w:r>
    </w:p>
    <w:p w14:paraId="75A562A3" w14:textId="77777777" w:rsidR="00FF3877" w:rsidRPr="00082431" w:rsidRDefault="00FF3877" w:rsidP="00FF3877">
      <w:pPr>
        <w:spacing w:after="0"/>
        <w:ind w:firstLine="709"/>
        <w:jc w:val="both"/>
        <w:rPr>
          <w:rFonts w:ascii="Times New Roman" w:hAnsi="Times New Roman" w:cs="Times New Roman"/>
          <w:sz w:val="24"/>
        </w:rPr>
      </w:pPr>
    </w:p>
    <w:p w14:paraId="36B47A79" w14:textId="77777777" w:rsidR="00670A3B" w:rsidRPr="00082431" w:rsidRDefault="00226ADE" w:rsidP="00670A3B">
      <w:pPr>
        <w:spacing w:after="0"/>
        <w:ind w:firstLine="709"/>
        <w:jc w:val="both"/>
        <w:rPr>
          <w:rFonts w:ascii="Times New Roman" w:hAnsi="Times New Roman" w:cs="Times New Roman"/>
          <w:sz w:val="24"/>
        </w:rPr>
      </w:pPr>
      <w:r w:rsidRPr="00082431">
        <w:rPr>
          <w:rFonts w:ascii="Times New Roman" w:hAnsi="Times New Roman" w:cs="Times New Roman"/>
          <w:sz w:val="24"/>
        </w:rPr>
        <w:t>[</w:t>
      </w:r>
      <w:r w:rsidR="007E77D6" w:rsidRPr="00082431">
        <w:rPr>
          <w:rFonts w:ascii="Times New Roman" w:hAnsi="Times New Roman" w:cs="Times New Roman"/>
          <w:sz w:val="24"/>
        </w:rPr>
        <w:t>4</w:t>
      </w:r>
      <w:r w:rsidR="00FF3877" w:rsidRPr="00082431">
        <w:rPr>
          <w:rFonts w:ascii="Times New Roman" w:hAnsi="Times New Roman" w:cs="Times New Roman"/>
          <w:sz w:val="24"/>
        </w:rPr>
        <w:t>] </w:t>
      </w:r>
      <w:r w:rsidR="00C907C2" w:rsidRPr="00082431">
        <w:rPr>
          <w:rFonts w:ascii="Times New Roman" w:hAnsi="Times New Roman" w:cs="Times New Roman"/>
          <w:sz w:val="24"/>
        </w:rPr>
        <w:t xml:space="preserve">Par </w:t>
      </w:r>
      <w:r w:rsidRPr="00082431">
        <w:rPr>
          <w:rFonts w:ascii="Times New Roman" w:hAnsi="Times New Roman" w:cs="Times New Roman"/>
          <w:sz w:val="24"/>
        </w:rPr>
        <w:t xml:space="preserve">Kurzemes apgabaltiesas </w:t>
      </w:r>
      <w:proofErr w:type="gramStart"/>
      <w:r w:rsidR="00C907C2" w:rsidRPr="00082431">
        <w:rPr>
          <w:rFonts w:ascii="Times New Roman" w:hAnsi="Times New Roman" w:cs="Times New Roman"/>
          <w:sz w:val="24"/>
        </w:rPr>
        <w:t>2020.gada</w:t>
      </w:r>
      <w:proofErr w:type="gramEnd"/>
      <w:r w:rsidR="001D6225" w:rsidRPr="00082431">
        <w:rPr>
          <w:rFonts w:ascii="Times New Roman" w:hAnsi="Times New Roman" w:cs="Times New Roman"/>
          <w:sz w:val="24"/>
        </w:rPr>
        <w:t xml:space="preserve"> </w:t>
      </w:r>
      <w:r w:rsidR="007E77D6" w:rsidRPr="00082431">
        <w:rPr>
          <w:rFonts w:ascii="Times New Roman" w:hAnsi="Times New Roman" w:cs="Times New Roman"/>
          <w:sz w:val="24"/>
        </w:rPr>
        <w:t>10</w:t>
      </w:r>
      <w:r w:rsidR="00244ECC" w:rsidRPr="00082431">
        <w:rPr>
          <w:rFonts w:ascii="Times New Roman" w:hAnsi="Times New Roman" w:cs="Times New Roman"/>
          <w:sz w:val="24"/>
        </w:rPr>
        <w:t>.septembra</w:t>
      </w:r>
      <w:r w:rsidR="008E7A23" w:rsidRPr="00082431">
        <w:rPr>
          <w:rFonts w:ascii="Times New Roman" w:hAnsi="Times New Roman" w:cs="Times New Roman"/>
          <w:sz w:val="24"/>
        </w:rPr>
        <w:t xml:space="preserve"> </w:t>
      </w:r>
      <w:r w:rsidR="007E77D6" w:rsidRPr="00082431">
        <w:rPr>
          <w:rFonts w:ascii="Times New Roman" w:hAnsi="Times New Roman" w:cs="Times New Roman"/>
          <w:sz w:val="24"/>
        </w:rPr>
        <w:t>lēmumu Liepājas prokuratūras prokurore L.</w:t>
      </w:r>
      <w:r w:rsidR="00670A3B" w:rsidRPr="00082431">
        <w:rPr>
          <w:rFonts w:ascii="Times New Roman" w:hAnsi="Times New Roman" w:cs="Times New Roman"/>
          <w:sz w:val="24"/>
        </w:rPr>
        <w:t> </w:t>
      </w:r>
      <w:r w:rsidR="007E77D6" w:rsidRPr="00082431">
        <w:rPr>
          <w:rFonts w:ascii="Times New Roman" w:hAnsi="Times New Roman" w:cs="Times New Roman"/>
          <w:sz w:val="24"/>
        </w:rPr>
        <w:t>Eglāja iesniegusi kasācijas protestu</w:t>
      </w:r>
      <w:r w:rsidR="001D6225" w:rsidRPr="00082431">
        <w:rPr>
          <w:rFonts w:ascii="Times New Roman" w:hAnsi="Times New Roman" w:cs="Times New Roman"/>
          <w:sz w:val="24"/>
        </w:rPr>
        <w:t xml:space="preserve">, kurā lūdz </w:t>
      </w:r>
      <w:r w:rsidR="00284C80" w:rsidRPr="00082431">
        <w:rPr>
          <w:rFonts w:ascii="Times New Roman" w:hAnsi="Times New Roman" w:cs="Times New Roman"/>
          <w:sz w:val="24"/>
        </w:rPr>
        <w:t xml:space="preserve">atcelt </w:t>
      </w:r>
      <w:r w:rsidR="008E7A23" w:rsidRPr="00082431">
        <w:rPr>
          <w:rFonts w:ascii="Times New Roman" w:hAnsi="Times New Roman" w:cs="Times New Roman"/>
          <w:sz w:val="24"/>
        </w:rPr>
        <w:t>tiesas</w:t>
      </w:r>
      <w:r w:rsidR="007E77D6" w:rsidRPr="00082431">
        <w:rPr>
          <w:rFonts w:ascii="Times New Roman" w:hAnsi="Times New Roman" w:cs="Times New Roman"/>
          <w:sz w:val="24"/>
        </w:rPr>
        <w:t xml:space="preserve"> lēmumu</w:t>
      </w:r>
      <w:r w:rsidR="00244ECC" w:rsidRPr="00082431">
        <w:rPr>
          <w:rFonts w:ascii="Times New Roman" w:hAnsi="Times New Roman" w:cs="Times New Roman"/>
          <w:sz w:val="24"/>
        </w:rPr>
        <w:t xml:space="preserve"> un </w:t>
      </w:r>
      <w:r w:rsidR="008E7A23" w:rsidRPr="00082431">
        <w:rPr>
          <w:rFonts w:ascii="Times New Roman" w:hAnsi="Times New Roman" w:cs="Times New Roman"/>
          <w:sz w:val="24"/>
        </w:rPr>
        <w:t>nosūtīt lietu jaunai izskatīšanai apelācijas instances tiesā.</w:t>
      </w:r>
      <w:r w:rsidR="001D6225" w:rsidRPr="00082431">
        <w:rPr>
          <w:rFonts w:ascii="Times New Roman" w:hAnsi="Times New Roman" w:cs="Times New Roman"/>
          <w:sz w:val="24"/>
        </w:rPr>
        <w:t xml:space="preserve"> </w:t>
      </w:r>
    </w:p>
    <w:p w14:paraId="7251F594" w14:textId="77777777" w:rsidR="00670A3B" w:rsidRPr="00082431" w:rsidRDefault="00F50FD1" w:rsidP="00670A3B">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Savu lūgumu </w:t>
      </w:r>
      <w:r w:rsidR="007E77D6" w:rsidRPr="00082431">
        <w:rPr>
          <w:rFonts w:ascii="Times New Roman" w:hAnsi="Times New Roman" w:cs="Times New Roman"/>
          <w:sz w:val="24"/>
        </w:rPr>
        <w:t>prokurore</w:t>
      </w:r>
      <w:r w:rsidRPr="00082431">
        <w:rPr>
          <w:rFonts w:ascii="Times New Roman" w:hAnsi="Times New Roman" w:cs="Times New Roman"/>
          <w:sz w:val="24"/>
        </w:rPr>
        <w:t xml:space="preserve"> pamatoj</w:t>
      </w:r>
      <w:r w:rsidR="007E77D6" w:rsidRPr="00082431">
        <w:rPr>
          <w:rFonts w:ascii="Times New Roman" w:hAnsi="Times New Roman" w:cs="Times New Roman"/>
          <w:sz w:val="24"/>
        </w:rPr>
        <w:t>usi</w:t>
      </w:r>
      <w:r w:rsidRPr="00082431">
        <w:rPr>
          <w:rFonts w:ascii="Times New Roman" w:hAnsi="Times New Roman" w:cs="Times New Roman"/>
          <w:sz w:val="24"/>
        </w:rPr>
        <w:t xml:space="preserve"> ar šādiem argumentiem.</w:t>
      </w:r>
      <w:r w:rsidR="00670A3B" w:rsidRPr="00082431">
        <w:rPr>
          <w:rFonts w:ascii="Times New Roman" w:hAnsi="Times New Roman" w:cs="Times New Roman"/>
          <w:sz w:val="24"/>
        </w:rPr>
        <w:t xml:space="preserve"> </w:t>
      </w:r>
    </w:p>
    <w:p w14:paraId="0CF4122C" w14:textId="67C74206" w:rsidR="007A015E" w:rsidRPr="00082431" w:rsidRDefault="00DF51E6" w:rsidP="007A015E">
      <w:pPr>
        <w:spacing w:after="0"/>
        <w:ind w:firstLine="709"/>
        <w:jc w:val="both"/>
        <w:rPr>
          <w:rFonts w:ascii="Times New Roman" w:hAnsi="Times New Roman" w:cs="Times New Roman"/>
          <w:sz w:val="24"/>
        </w:rPr>
      </w:pPr>
      <w:r w:rsidRPr="00082431">
        <w:rPr>
          <w:rFonts w:ascii="Times New Roman" w:hAnsi="Times New Roman" w:cs="Times New Roman"/>
          <w:sz w:val="24"/>
        </w:rPr>
        <w:t>[</w:t>
      </w:r>
      <w:r w:rsidR="007E77D6" w:rsidRPr="00082431">
        <w:rPr>
          <w:rFonts w:ascii="Times New Roman" w:hAnsi="Times New Roman" w:cs="Times New Roman"/>
          <w:sz w:val="24"/>
        </w:rPr>
        <w:t>4</w:t>
      </w:r>
      <w:r w:rsidR="00F50FD1" w:rsidRPr="00082431">
        <w:rPr>
          <w:rFonts w:ascii="Times New Roman" w:hAnsi="Times New Roman" w:cs="Times New Roman"/>
          <w:sz w:val="24"/>
        </w:rPr>
        <w:t>.1]</w:t>
      </w:r>
      <w:r w:rsidR="00670A3B" w:rsidRPr="00082431">
        <w:rPr>
          <w:rFonts w:ascii="Times New Roman" w:hAnsi="Times New Roman" w:cs="Times New Roman"/>
          <w:sz w:val="24"/>
        </w:rPr>
        <w:t> </w:t>
      </w:r>
      <w:r w:rsidR="00436B19" w:rsidRPr="00082431">
        <w:rPr>
          <w:rFonts w:ascii="Times New Roman" w:hAnsi="Times New Roman" w:cs="Times New Roman"/>
          <w:sz w:val="24"/>
        </w:rPr>
        <w:t xml:space="preserve">Apelācijas instances tiesa nepamatoti atzinusi, ka </w:t>
      </w:r>
      <w:r w:rsidR="00266E84">
        <w:rPr>
          <w:rFonts w:ascii="Times New Roman" w:hAnsi="Times New Roman" w:cs="Times New Roman"/>
          <w:sz w:val="24"/>
        </w:rPr>
        <w:t>[pers. A]</w:t>
      </w:r>
      <w:r w:rsidR="00436B19" w:rsidRPr="00082431">
        <w:rPr>
          <w:rFonts w:ascii="Times New Roman" w:hAnsi="Times New Roman" w:cs="Times New Roman"/>
          <w:sz w:val="24"/>
        </w:rPr>
        <w:t xml:space="preserve"> celtā apsūdzība neatklāj Krimināllikuma </w:t>
      </w:r>
      <w:proofErr w:type="gramStart"/>
      <w:r w:rsidR="00436B19" w:rsidRPr="00082431">
        <w:rPr>
          <w:rFonts w:ascii="Times New Roman" w:hAnsi="Times New Roman" w:cs="Times New Roman"/>
          <w:sz w:val="24"/>
        </w:rPr>
        <w:t>218.panta</w:t>
      </w:r>
      <w:proofErr w:type="gramEnd"/>
      <w:r w:rsidR="00436B19" w:rsidRPr="00082431">
        <w:rPr>
          <w:rFonts w:ascii="Times New Roman" w:hAnsi="Times New Roman" w:cs="Times New Roman"/>
          <w:sz w:val="24"/>
        </w:rPr>
        <w:t xml:space="preserve"> otrajā daļā paredzētā noziedzīgā nodarījuma objektīvās puses pazīmes. </w:t>
      </w:r>
    </w:p>
    <w:p w14:paraId="21C2629C" w14:textId="0A69E161" w:rsidR="000B1C1C" w:rsidRPr="00082431" w:rsidRDefault="00436B19" w:rsidP="007A015E">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Krimināllikuma </w:t>
      </w:r>
      <w:proofErr w:type="gramStart"/>
      <w:r w:rsidRPr="00082431">
        <w:rPr>
          <w:rFonts w:ascii="Times New Roman" w:hAnsi="Times New Roman" w:cs="Times New Roman"/>
          <w:sz w:val="24"/>
        </w:rPr>
        <w:t>218.panta</w:t>
      </w:r>
      <w:proofErr w:type="gramEnd"/>
      <w:r w:rsidRPr="00082431">
        <w:rPr>
          <w:rFonts w:ascii="Times New Roman" w:hAnsi="Times New Roman" w:cs="Times New Roman"/>
          <w:sz w:val="24"/>
        </w:rPr>
        <w:t xml:space="preserve"> otrajā daļā paredzētā noziedzīgā nodarījuma sastāva objektīvā puse ir īstenojama dažādos veidos, bet noziedzīgā nodarījuma apraksts ir cieši saistīts ar veidu, kādā izvairīšanās notikusi. </w:t>
      </w:r>
    </w:p>
    <w:p w14:paraId="2EC69148" w14:textId="5C5B40C1" w:rsidR="00CE51F8" w:rsidRPr="00082431" w:rsidRDefault="00436B19"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Izskatāmajā lietā </w:t>
      </w:r>
      <w:r w:rsidR="00266E84">
        <w:rPr>
          <w:rFonts w:ascii="Times New Roman" w:hAnsi="Times New Roman" w:cs="Times New Roman"/>
          <w:sz w:val="24"/>
        </w:rPr>
        <w:t>[pers. A]</w:t>
      </w:r>
      <w:r w:rsidRPr="00082431">
        <w:rPr>
          <w:rFonts w:ascii="Times New Roman" w:hAnsi="Times New Roman" w:cs="Times New Roman"/>
          <w:sz w:val="24"/>
        </w:rPr>
        <w:t xml:space="preserve"> saukts pie kriminālatbildības</w:t>
      </w:r>
      <w:r w:rsidR="007C33FB" w:rsidRPr="00082431">
        <w:rPr>
          <w:rFonts w:ascii="Times New Roman" w:hAnsi="Times New Roman" w:cs="Times New Roman"/>
          <w:sz w:val="24"/>
        </w:rPr>
        <w:t xml:space="preserve"> par to, ka viņš laika periodā no </w:t>
      </w:r>
      <w:proofErr w:type="gramStart"/>
      <w:r w:rsidR="007C33FB" w:rsidRPr="00082431">
        <w:rPr>
          <w:rFonts w:ascii="Times New Roman" w:hAnsi="Times New Roman" w:cs="Times New Roman"/>
          <w:sz w:val="24"/>
        </w:rPr>
        <w:t>2</w:t>
      </w:r>
      <w:r w:rsidR="008C7AC2" w:rsidRPr="00082431">
        <w:rPr>
          <w:rFonts w:ascii="Times New Roman" w:hAnsi="Times New Roman" w:cs="Times New Roman"/>
          <w:sz w:val="24"/>
        </w:rPr>
        <w:t>0</w:t>
      </w:r>
      <w:r w:rsidR="007C33FB" w:rsidRPr="00082431">
        <w:rPr>
          <w:rFonts w:ascii="Times New Roman" w:hAnsi="Times New Roman" w:cs="Times New Roman"/>
          <w:sz w:val="24"/>
        </w:rPr>
        <w:t>13.gada</w:t>
      </w:r>
      <w:proofErr w:type="gramEnd"/>
      <w:r w:rsidR="007C33FB" w:rsidRPr="00082431">
        <w:rPr>
          <w:rFonts w:ascii="Times New Roman" w:hAnsi="Times New Roman" w:cs="Times New Roman"/>
          <w:sz w:val="24"/>
        </w:rPr>
        <w:t xml:space="preserve"> 20.augusta līdz 2016.gada 7.aprīlim ar vienotu nodomu izvairīties no nodokļu </w:t>
      </w:r>
      <w:r w:rsidR="007C33FB" w:rsidRPr="00082431">
        <w:rPr>
          <w:rFonts w:ascii="Times New Roman" w:hAnsi="Times New Roman" w:cs="Times New Roman"/>
          <w:sz w:val="24"/>
        </w:rPr>
        <w:lastRenderedPageBreak/>
        <w:t>nomaksas, zinot par nodokļu parāda esību, apzināti pieļāva bezdarbību un neveica nodokļu maksājumus valsts budžetā pilnā apmērā, kā arī apzināti sniedza nepatiesu informāciju</w:t>
      </w:r>
      <w:r w:rsidR="000B1C1C" w:rsidRPr="00082431">
        <w:rPr>
          <w:rFonts w:ascii="Times New Roman" w:hAnsi="Times New Roman" w:cs="Times New Roman"/>
          <w:sz w:val="24"/>
        </w:rPr>
        <w:t xml:space="preserve"> nodokļu deklarācijās un nepamatoti samazināja valsts budžetā maksājamā nodokļa apmēru. </w:t>
      </w:r>
      <w:r w:rsidR="008E7A23" w:rsidRPr="00082431">
        <w:rPr>
          <w:rFonts w:ascii="Times New Roman" w:hAnsi="Times New Roman" w:cs="Times New Roman"/>
          <w:sz w:val="24"/>
        </w:rPr>
        <w:t xml:space="preserve"> </w:t>
      </w:r>
    </w:p>
    <w:p w14:paraId="33096EDD" w14:textId="77777777" w:rsidR="00C82E84" w:rsidRPr="00082431" w:rsidRDefault="000B1C1C"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Apsūdzībā ir norādīts noziedzīgā nodarījuma izdarīšanas laiks, vieta, veids, nodokļu deklarāciju</w:t>
      </w:r>
      <w:r w:rsidR="008C7AC2" w:rsidRPr="00082431">
        <w:rPr>
          <w:rFonts w:ascii="Times New Roman" w:hAnsi="Times New Roman" w:cs="Times New Roman"/>
          <w:sz w:val="24"/>
        </w:rPr>
        <w:t>, no kurām izriet nodokļu parāds,</w:t>
      </w:r>
      <w:r w:rsidRPr="00082431">
        <w:rPr>
          <w:rFonts w:ascii="Times New Roman" w:hAnsi="Times New Roman" w:cs="Times New Roman"/>
          <w:sz w:val="24"/>
        </w:rPr>
        <w:t xml:space="preserve"> iesniegšanas periodi</w:t>
      </w:r>
      <w:r w:rsidR="00F775D7" w:rsidRPr="00082431">
        <w:rPr>
          <w:rFonts w:ascii="Times New Roman" w:hAnsi="Times New Roman" w:cs="Times New Roman"/>
          <w:sz w:val="24"/>
        </w:rPr>
        <w:t>, nodokļa parāda apmērs katram nodokļu veidam un kopējais valstij nodarīto zaudējumu apmērs. Tāpat apsūdzībā norādīts katrs PVN deklarācijās norādītais faktiski nenotikušais darījums un tādējādi nepamatoti samazinātā PVN summa. Šāda apsūdzība pietiekami uzskatāmi raksturo inkrimin</w:t>
      </w:r>
      <w:r w:rsidR="00C82E84" w:rsidRPr="00082431">
        <w:rPr>
          <w:rFonts w:ascii="Times New Roman" w:hAnsi="Times New Roman" w:cs="Times New Roman"/>
          <w:sz w:val="24"/>
        </w:rPr>
        <w:t>ē</w:t>
      </w:r>
      <w:r w:rsidR="00F775D7" w:rsidRPr="00082431">
        <w:rPr>
          <w:rFonts w:ascii="Times New Roman" w:hAnsi="Times New Roman" w:cs="Times New Roman"/>
          <w:sz w:val="24"/>
        </w:rPr>
        <w:t xml:space="preserve">to noziedzīgo nodarījumu un nosaka </w:t>
      </w:r>
      <w:r w:rsidR="00C82E84" w:rsidRPr="00082431">
        <w:rPr>
          <w:rFonts w:ascii="Times New Roman" w:hAnsi="Times New Roman" w:cs="Times New Roman"/>
          <w:sz w:val="24"/>
        </w:rPr>
        <w:t>lietas iztiesāšanas robežas tiesā.</w:t>
      </w:r>
    </w:p>
    <w:p w14:paraId="3415D610" w14:textId="09C6774B" w:rsidR="00463CF8" w:rsidRPr="00082431" w:rsidRDefault="00C82E84"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Līdzīgs noziedzīgā nodarījuma objektīvās puses apraksts sniegts tiesu nolēmumos </w:t>
      </w:r>
      <w:r w:rsidR="00FF7595" w:rsidRPr="00082431">
        <w:rPr>
          <w:rFonts w:ascii="Times New Roman" w:hAnsi="Times New Roman" w:cs="Times New Roman"/>
          <w:sz w:val="24"/>
        </w:rPr>
        <w:t xml:space="preserve">arī </w:t>
      </w:r>
      <w:r w:rsidRPr="00082431">
        <w:rPr>
          <w:rFonts w:ascii="Times New Roman" w:hAnsi="Times New Roman" w:cs="Times New Roman"/>
          <w:sz w:val="24"/>
        </w:rPr>
        <w:t>citās lietās, kurās personas atzītas par vainīgām un sodītas pēc Kri</w:t>
      </w:r>
      <w:r w:rsidR="0025758D" w:rsidRPr="00082431">
        <w:rPr>
          <w:rFonts w:ascii="Times New Roman" w:hAnsi="Times New Roman" w:cs="Times New Roman"/>
          <w:sz w:val="24"/>
        </w:rPr>
        <w:t xml:space="preserve">mināllikuma </w:t>
      </w:r>
      <w:proofErr w:type="gramStart"/>
      <w:r w:rsidR="0025758D" w:rsidRPr="00082431">
        <w:rPr>
          <w:rFonts w:ascii="Times New Roman" w:hAnsi="Times New Roman" w:cs="Times New Roman"/>
          <w:sz w:val="24"/>
        </w:rPr>
        <w:t>218.panta</w:t>
      </w:r>
      <w:proofErr w:type="gramEnd"/>
      <w:r w:rsidR="0025758D" w:rsidRPr="00082431">
        <w:rPr>
          <w:rFonts w:ascii="Times New Roman" w:hAnsi="Times New Roman" w:cs="Times New Roman"/>
          <w:sz w:val="24"/>
        </w:rPr>
        <w:t xml:space="preserve"> otrās daļa</w:t>
      </w:r>
      <w:r w:rsidRPr="00082431">
        <w:rPr>
          <w:rFonts w:ascii="Times New Roman" w:hAnsi="Times New Roman" w:cs="Times New Roman"/>
          <w:sz w:val="24"/>
        </w:rPr>
        <w:t>s, un Senāts atteicies pārbaudīt apelācijas instances tiesas nolēmuma tiesiskumu. Piemēram, kriminālprocesā Nr.</w:t>
      </w:r>
      <w:r w:rsidR="0025758D" w:rsidRPr="00082431">
        <w:rPr>
          <w:rFonts w:ascii="Times New Roman" w:hAnsi="Times New Roman" w:cs="Times New Roman"/>
          <w:sz w:val="24"/>
        </w:rPr>
        <w:t> </w:t>
      </w:r>
      <w:r w:rsidRPr="00082431">
        <w:rPr>
          <w:rFonts w:ascii="Times New Roman" w:hAnsi="Times New Roman" w:cs="Times New Roman"/>
          <w:sz w:val="24"/>
        </w:rPr>
        <w:t xml:space="preserve">15830603310 Senāts ar </w:t>
      </w:r>
      <w:proofErr w:type="gramStart"/>
      <w:r w:rsidRPr="00082431">
        <w:rPr>
          <w:rFonts w:ascii="Times New Roman" w:hAnsi="Times New Roman" w:cs="Times New Roman"/>
          <w:sz w:val="24"/>
        </w:rPr>
        <w:t>2019.gada</w:t>
      </w:r>
      <w:proofErr w:type="gramEnd"/>
      <w:r w:rsidRPr="00082431">
        <w:rPr>
          <w:rFonts w:ascii="Times New Roman" w:hAnsi="Times New Roman" w:cs="Times New Roman"/>
          <w:sz w:val="24"/>
        </w:rPr>
        <w:t xml:space="preserve"> 6.maija lēmumu atteic</w:t>
      </w:r>
      <w:r w:rsidR="00463CF8" w:rsidRPr="00082431">
        <w:rPr>
          <w:rFonts w:ascii="Times New Roman" w:hAnsi="Times New Roman" w:cs="Times New Roman"/>
          <w:sz w:val="24"/>
        </w:rPr>
        <w:t>ā</w:t>
      </w:r>
      <w:r w:rsidRPr="00082431">
        <w:rPr>
          <w:rFonts w:ascii="Times New Roman" w:hAnsi="Times New Roman" w:cs="Times New Roman"/>
          <w:sz w:val="24"/>
        </w:rPr>
        <w:t xml:space="preserve">s pārbaudīt Latgales apgabaltiesas </w:t>
      </w:r>
      <w:r w:rsidR="008F0D73" w:rsidRPr="00082431">
        <w:rPr>
          <w:rFonts w:ascii="Times New Roman" w:hAnsi="Times New Roman" w:cs="Times New Roman"/>
          <w:sz w:val="24"/>
        </w:rPr>
        <w:t>2019.gada 30.janvāra spriedumu, ar kuru atstāts negrozīts Daugavpils rajona tiesas 2018.gada 21.marta spriedums par personas atzīšanu par vainīgu un sodīšanu pēc Krimināllikuma 218.panta otrās daļas. Arī kriminālprocesā Nr.</w:t>
      </w:r>
      <w:r w:rsidR="0025758D" w:rsidRPr="00082431">
        <w:rPr>
          <w:rFonts w:ascii="Times New Roman" w:hAnsi="Times New Roman" w:cs="Times New Roman"/>
          <w:sz w:val="24"/>
        </w:rPr>
        <w:t> </w:t>
      </w:r>
      <w:r w:rsidR="008F0D73" w:rsidRPr="00082431">
        <w:rPr>
          <w:rFonts w:ascii="Times New Roman" w:hAnsi="Times New Roman" w:cs="Times New Roman"/>
          <w:sz w:val="24"/>
        </w:rPr>
        <w:t xml:space="preserve">15830008416 Senāts ar 2018.gada 8.marta lēmumu atteicās pārbaudīt </w:t>
      </w:r>
      <w:r w:rsidR="00463CF8" w:rsidRPr="00082431">
        <w:rPr>
          <w:rFonts w:ascii="Times New Roman" w:hAnsi="Times New Roman" w:cs="Times New Roman"/>
          <w:sz w:val="24"/>
        </w:rPr>
        <w:t>Kurzemes apgabaltiesas 2017.gada 11.decembra spriedumu, ar kuru Saldus rajona tiesas 2017.gada 3.janvāra spriedums par personas atzīšanu par vainīgu un sodīšanu pēc Krimināllikuma 218.panta otrās daļas atcelts vienīgi daļā par sodu, bet pārējā daļā atstāts negrozīts.</w:t>
      </w:r>
    </w:p>
    <w:p w14:paraId="44C89ED1" w14:textId="78F62816" w:rsidR="003058DA" w:rsidRPr="00082431" w:rsidRDefault="001D41D2"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Ja apsūdzība celta par līdzīgā veidā izdarītu noziedzīgu nodarījumu, nav pamata noteikt atšķirīgas prasības noziedzīgā nodarījuma aprakstam, ja tas pietiekami atklāj noziedzīgā nodarījuma objektīvās puses pazīmes. Tas neliedz </w:t>
      </w:r>
      <w:r w:rsidR="00045947" w:rsidRPr="00082431">
        <w:rPr>
          <w:rFonts w:ascii="Times New Roman" w:hAnsi="Times New Roman" w:cs="Times New Roman"/>
          <w:sz w:val="24"/>
        </w:rPr>
        <w:t>attiecīgos apstākļus</w:t>
      </w:r>
      <w:r w:rsidR="008D0E61" w:rsidRPr="00082431">
        <w:rPr>
          <w:rFonts w:ascii="Times New Roman" w:hAnsi="Times New Roman" w:cs="Times New Roman"/>
          <w:sz w:val="24"/>
        </w:rPr>
        <w:t xml:space="preserve"> apsūdzībā</w:t>
      </w:r>
      <w:r w:rsidR="00045947" w:rsidRPr="00082431">
        <w:rPr>
          <w:rFonts w:ascii="Times New Roman" w:hAnsi="Times New Roman" w:cs="Times New Roman"/>
          <w:sz w:val="24"/>
        </w:rPr>
        <w:t xml:space="preserve"> norādīt detalizētāk</w:t>
      </w:r>
      <w:r w:rsidR="008D0E61" w:rsidRPr="00082431">
        <w:rPr>
          <w:rFonts w:ascii="Times New Roman" w:hAnsi="Times New Roman" w:cs="Times New Roman"/>
          <w:sz w:val="24"/>
        </w:rPr>
        <w:t>, vai arī norādīt papildu apstākļus, kas nav tieši saistīti ar nodarījuma kvalifikāciju, bet kuriem var būt nozīme apsūdzētā informēšanā</w:t>
      </w:r>
      <w:r w:rsidR="003058DA" w:rsidRPr="00082431">
        <w:rPr>
          <w:rFonts w:ascii="Times New Roman" w:hAnsi="Times New Roman" w:cs="Times New Roman"/>
          <w:sz w:val="24"/>
        </w:rPr>
        <w:t xml:space="preserve">, taču šādu apstākļu nenorādīšana nevar būt par pamatu apsūdzētā attaisnošanai noziedzīgā nodarījuma sastāva trūkuma dēļ. </w:t>
      </w:r>
    </w:p>
    <w:p w14:paraId="73C57CC7" w14:textId="7AF84416" w:rsidR="00CE51F8" w:rsidRPr="00082431" w:rsidRDefault="00891C74"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A</w:t>
      </w:r>
      <w:r w:rsidR="003058DA" w:rsidRPr="00082431">
        <w:rPr>
          <w:rFonts w:ascii="Times New Roman" w:hAnsi="Times New Roman" w:cs="Times New Roman"/>
          <w:sz w:val="24"/>
        </w:rPr>
        <w:t xml:space="preserve">pelācijas instances tiesa nepamatoti konstatējusi, ka apsūdzētajam </w:t>
      </w:r>
      <w:r w:rsidR="00266E84">
        <w:rPr>
          <w:rFonts w:ascii="Times New Roman" w:hAnsi="Times New Roman" w:cs="Times New Roman"/>
          <w:sz w:val="24"/>
        </w:rPr>
        <w:t>[pers. A]</w:t>
      </w:r>
      <w:r w:rsidR="003058DA" w:rsidRPr="00082431">
        <w:rPr>
          <w:rFonts w:ascii="Times New Roman" w:hAnsi="Times New Roman" w:cs="Times New Roman"/>
          <w:sz w:val="24"/>
        </w:rPr>
        <w:t xml:space="preserve"> celtajā apsūdzībā nav norādīta inkriminētā</w:t>
      </w:r>
      <w:r w:rsidR="001D41D2" w:rsidRPr="00082431">
        <w:rPr>
          <w:rFonts w:ascii="Times New Roman" w:hAnsi="Times New Roman" w:cs="Times New Roman"/>
          <w:sz w:val="24"/>
        </w:rPr>
        <w:t xml:space="preserve"> </w:t>
      </w:r>
      <w:r w:rsidR="003058DA" w:rsidRPr="00082431">
        <w:rPr>
          <w:rFonts w:ascii="Times New Roman" w:hAnsi="Times New Roman" w:cs="Times New Roman"/>
          <w:sz w:val="24"/>
        </w:rPr>
        <w:t>noziedzīgā nodarījuma objektīvā puse, jo jautājuma</w:t>
      </w:r>
      <w:r w:rsidR="00463CF8" w:rsidRPr="00082431">
        <w:rPr>
          <w:rFonts w:ascii="Times New Roman" w:hAnsi="Times New Roman" w:cs="Times New Roman"/>
          <w:sz w:val="24"/>
        </w:rPr>
        <w:t xml:space="preserve"> </w:t>
      </w:r>
      <w:r w:rsidR="003058DA" w:rsidRPr="00082431">
        <w:rPr>
          <w:rFonts w:ascii="Times New Roman" w:hAnsi="Times New Roman" w:cs="Times New Roman"/>
          <w:sz w:val="24"/>
        </w:rPr>
        <w:t>būtība</w:t>
      </w:r>
      <w:r w:rsidR="00423AE2" w:rsidRPr="00082431">
        <w:rPr>
          <w:rFonts w:ascii="Times New Roman" w:hAnsi="Times New Roman" w:cs="Times New Roman"/>
          <w:sz w:val="24"/>
        </w:rPr>
        <w:t xml:space="preserve"> ir par attiecīgo apstākļu</w:t>
      </w:r>
      <w:r w:rsidRPr="00082431">
        <w:rPr>
          <w:rFonts w:ascii="Times New Roman" w:hAnsi="Times New Roman" w:cs="Times New Roman"/>
          <w:sz w:val="24"/>
        </w:rPr>
        <w:t xml:space="preserve"> izklāsta detalizētību, kas jāvērtē tiesību uz aizstāvību kontekstā.</w:t>
      </w:r>
      <w:r w:rsidR="00C82E84" w:rsidRPr="00082431">
        <w:rPr>
          <w:rFonts w:ascii="Times New Roman" w:hAnsi="Times New Roman" w:cs="Times New Roman"/>
          <w:sz w:val="24"/>
        </w:rPr>
        <w:t xml:space="preserve"> </w:t>
      </w:r>
      <w:r w:rsidRPr="00082431">
        <w:rPr>
          <w:rFonts w:ascii="Times New Roman" w:hAnsi="Times New Roman" w:cs="Times New Roman"/>
          <w:sz w:val="24"/>
        </w:rPr>
        <w:t xml:space="preserve">Nepamatoti konstatējot, ka apsūdzībā nav norādītas </w:t>
      </w:r>
      <w:r w:rsidR="00266E84">
        <w:rPr>
          <w:rFonts w:ascii="Times New Roman" w:hAnsi="Times New Roman" w:cs="Times New Roman"/>
          <w:sz w:val="24"/>
        </w:rPr>
        <w:t>[pers. A]</w:t>
      </w:r>
      <w:r w:rsidRPr="00082431">
        <w:rPr>
          <w:rFonts w:ascii="Times New Roman" w:hAnsi="Times New Roman" w:cs="Times New Roman"/>
          <w:sz w:val="24"/>
        </w:rPr>
        <w:t xml:space="preserve"> inkriminētā noziedzīgā nodarījuma objektīvās puses pazīmes un tādēļ </w:t>
      </w:r>
      <w:r w:rsidR="00E51189" w:rsidRPr="00082431">
        <w:rPr>
          <w:rFonts w:ascii="Times New Roman" w:hAnsi="Times New Roman" w:cs="Times New Roman"/>
          <w:sz w:val="24"/>
        </w:rPr>
        <w:t>viņu attaisnojot, apelācijas instances tiesa pieļāv</w:t>
      </w:r>
      <w:r w:rsidR="00BB0269" w:rsidRPr="00082431">
        <w:rPr>
          <w:rFonts w:ascii="Times New Roman" w:hAnsi="Times New Roman" w:cs="Times New Roman"/>
          <w:sz w:val="24"/>
        </w:rPr>
        <w:t xml:space="preserve">usi Kriminālprocesa likuma </w:t>
      </w:r>
      <w:proofErr w:type="gramStart"/>
      <w:r w:rsidR="00BB0269" w:rsidRPr="00082431">
        <w:rPr>
          <w:rFonts w:ascii="Times New Roman" w:hAnsi="Times New Roman" w:cs="Times New Roman"/>
          <w:sz w:val="24"/>
        </w:rPr>
        <w:t>511.</w:t>
      </w:r>
      <w:r w:rsidR="00E51189" w:rsidRPr="00082431">
        <w:rPr>
          <w:rFonts w:ascii="Times New Roman" w:hAnsi="Times New Roman" w:cs="Times New Roman"/>
          <w:sz w:val="24"/>
        </w:rPr>
        <w:t>panta</w:t>
      </w:r>
      <w:proofErr w:type="gramEnd"/>
      <w:r w:rsidR="00E51189" w:rsidRPr="00082431">
        <w:rPr>
          <w:rFonts w:ascii="Times New Roman" w:hAnsi="Times New Roman" w:cs="Times New Roman"/>
          <w:sz w:val="24"/>
        </w:rPr>
        <w:t xml:space="preserve"> otrās daļas, 512.panta pirmās daļas un 564.panta ceturtās daļas pārkāpumus, kas uzskatāmi par Kriminālprocesa likuma būtiskiem pārkāpumiem šā likuma 575.panta trešās daļas izpratnē. </w:t>
      </w:r>
      <w:r w:rsidR="00C82E84" w:rsidRPr="00082431">
        <w:rPr>
          <w:rFonts w:ascii="Times New Roman" w:hAnsi="Times New Roman" w:cs="Times New Roman"/>
          <w:sz w:val="24"/>
        </w:rPr>
        <w:t xml:space="preserve"> </w:t>
      </w:r>
      <w:r w:rsidR="00F775D7" w:rsidRPr="00082431">
        <w:rPr>
          <w:rFonts w:ascii="Times New Roman" w:hAnsi="Times New Roman" w:cs="Times New Roman"/>
          <w:sz w:val="24"/>
        </w:rPr>
        <w:t xml:space="preserve"> </w:t>
      </w:r>
    </w:p>
    <w:p w14:paraId="0752AF7B" w14:textId="54646A5A" w:rsidR="00CE51F8" w:rsidRPr="00082431" w:rsidRDefault="00BB0269"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[4.2] </w:t>
      </w:r>
      <w:r w:rsidR="00E51189" w:rsidRPr="00082431">
        <w:rPr>
          <w:rFonts w:ascii="Times New Roman" w:hAnsi="Times New Roman" w:cs="Times New Roman"/>
          <w:sz w:val="24"/>
        </w:rPr>
        <w:t xml:space="preserve">Apelācijas instances tiesa nepamatoti secinājusi, ka </w:t>
      </w:r>
      <w:r w:rsidR="00317D4E" w:rsidRPr="00082431">
        <w:rPr>
          <w:rFonts w:ascii="Times New Roman" w:hAnsi="Times New Roman" w:cs="Times New Roman"/>
          <w:sz w:val="24"/>
        </w:rPr>
        <w:t>apsūdzībā atsevišķi jānorāda katra personas iesniegtā nodokļu deklarācija, tajā norādītā nodokļu summa un tās nomaksas termiņš.</w:t>
      </w:r>
    </w:p>
    <w:p w14:paraId="6F3AC746" w14:textId="005F8E67" w:rsidR="00317D4E" w:rsidRPr="00082431" w:rsidRDefault="00317D4E"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Eiropas Cilvēktiesību tiesa lietā </w:t>
      </w:r>
      <w:proofErr w:type="spellStart"/>
      <w:r w:rsidRPr="00082431">
        <w:rPr>
          <w:rFonts w:ascii="Times New Roman" w:hAnsi="Times New Roman" w:cs="Times New Roman"/>
          <w:i/>
          <w:iCs/>
          <w:sz w:val="24"/>
        </w:rPr>
        <w:t>Mattoccia</w:t>
      </w:r>
      <w:proofErr w:type="spellEnd"/>
      <w:r w:rsidRPr="00082431">
        <w:rPr>
          <w:rFonts w:ascii="Times New Roman" w:hAnsi="Times New Roman" w:cs="Times New Roman"/>
          <w:i/>
          <w:iCs/>
          <w:sz w:val="24"/>
        </w:rPr>
        <w:t xml:space="preserve"> </w:t>
      </w:r>
      <w:proofErr w:type="spellStart"/>
      <w:r w:rsidRPr="00082431">
        <w:rPr>
          <w:rFonts w:ascii="Times New Roman" w:hAnsi="Times New Roman" w:cs="Times New Roman"/>
          <w:i/>
          <w:iCs/>
          <w:sz w:val="24"/>
        </w:rPr>
        <w:t>v.Italy</w:t>
      </w:r>
      <w:proofErr w:type="spellEnd"/>
      <w:r w:rsidRPr="00082431">
        <w:rPr>
          <w:rFonts w:ascii="Times New Roman" w:hAnsi="Times New Roman" w:cs="Times New Roman"/>
          <w:i/>
          <w:iCs/>
          <w:sz w:val="24"/>
        </w:rPr>
        <w:t xml:space="preserve"> </w:t>
      </w:r>
      <w:r w:rsidRPr="00082431">
        <w:rPr>
          <w:rFonts w:ascii="Times New Roman" w:hAnsi="Times New Roman" w:cs="Times New Roman"/>
          <w:sz w:val="24"/>
        </w:rPr>
        <w:t>(iesniegums Nr.</w:t>
      </w:r>
      <w:r w:rsidR="00F10A27" w:rsidRPr="00082431">
        <w:rPr>
          <w:rFonts w:ascii="Times New Roman" w:hAnsi="Times New Roman" w:cs="Times New Roman"/>
          <w:sz w:val="24"/>
        </w:rPr>
        <w:t> </w:t>
      </w:r>
      <w:r w:rsidRPr="00082431">
        <w:rPr>
          <w:rFonts w:ascii="Times New Roman" w:hAnsi="Times New Roman" w:cs="Times New Roman"/>
          <w:sz w:val="24"/>
        </w:rPr>
        <w:t>23969/94</w:t>
      </w:r>
      <w:r w:rsidR="001F72CA" w:rsidRPr="00082431">
        <w:rPr>
          <w:rFonts w:ascii="Times New Roman" w:hAnsi="Times New Roman" w:cs="Times New Roman"/>
          <w:sz w:val="24"/>
        </w:rPr>
        <w:t>,</w:t>
      </w:r>
      <w:r w:rsidRPr="00082431">
        <w:rPr>
          <w:rFonts w:ascii="Times New Roman" w:hAnsi="Times New Roman" w:cs="Times New Roman"/>
          <w:sz w:val="24"/>
        </w:rPr>
        <w:t xml:space="preserve"> 60.punkts) </w:t>
      </w:r>
      <w:r w:rsidR="001F72CA" w:rsidRPr="00082431">
        <w:rPr>
          <w:rFonts w:ascii="Times New Roman" w:hAnsi="Times New Roman" w:cs="Times New Roman"/>
          <w:sz w:val="24"/>
        </w:rPr>
        <w:t xml:space="preserve">norādījusi, ka tas, cik detalizēti apsūdzībā norādāma informācija, atkarīgs no katras lietas apstākļiem. Lietā </w:t>
      </w:r>
      <w:r w:rsidR="001F72CA" w:rsidRPr="00082431">
        <w:rPr>
          <w:rFonts w:ascii="Times New Roman" w:hAnsi="Times New Roman" w:cs="Times New Roman"/>
          <w:i/>
          <w:iCs/>
          <w:sz w:val="24"/>
        </w:rPr>
        <w:t xml:space="preserve">Previti v. </w:t>
      </w:r>
      <w:proofErr w:type="spellStart"/>
      <w:r w:rsidR="001F72CA" w:rsidRPr="00082431">
        <w:rPr>
          <w:rFonts w:ascii="Times New Roman" w:hAnsi="Times New Roman" w:cs="Times New Roman"/>
          <w:i/>
          <w:iCs/>
          <w:sz w:val="24"/>
        </w:rPr>
        <w:t>Italy</w:t>
      </w:r>
      <w:proofErr w:type="spellEnd"/>
      <w:r w:rsidR="001F72CA" w:rsidRPr="00082431">
        <w:rPr>
          <w:rFonts w:ascii="Times New Roman" w:hAnsi="Times New Roman" w:cs="Times New Roman"/>
          <w:i/>
          <w:iCs/>
          <w:sz w:val="24"/>
        </w:rPr>
        <w:t xml:space="preserve"> </w:t>
      </w:r>
      <w:r w:rsidR="00885FD2" w:rsidRPr="00082431">
        <w:rPr>
          <w:rFonts w:ascii="Times New Roman" w:hAnsi="Times New Roman" w:cs="Times New Roman"/>
          <w:sz w:val="24"/>
        </w:rPr>
        <w:t>(</w:t>
      </w:r>
      <w:r w:rsidR="001F72CA" w:rsidRPr="00082431">
        <w:rPr>
          <w:rFonts w:ascii="Times New Roman" w:hAnsi="Times New Roman" w:cs="Times New Roman"/>
          <w:sz w:val="24"/>
        </w:rPr>
        <w:t>iesniegums Nr.</w:t>
      </w:r>
      <w:r w:rsidR="00F10A27" w:rsidRPr="00082431">
        <w:rPr>
          <w:rFonts w:ascii="Times New Roman" w:hAnsi="Times New Roman" w:cs="Times New Roman"/>
          <w:sz w:val="24"/>
        </w:rPr>
        <w:t> </w:t>
      </w:r>
      <w:r w:rsidR="001F72CA" w:rsidRPr="00082431">
        <w:rPr>
          <w:rFonts w:ascii="Times New Roman" w:hAnsi="Times New Roman" w:cs="Times New Roman"/>
          <w:sz w:val="24"/>
        </w:rPr>
        <w:t xml:space="preserve">45291/06, 208.punkts) Eiropas Cilvēktiesību tiesa, vērtējot apsūdzības detalizētību, atzina, ka apsūdzības pēc būtības tiek izteiktas kodolīgi un sīkāka informācija par nodarījumu parasti izriet no citiem lietas materiāliem, kas aizstāvībai bija pieejami. Minētajā lietā tiesa norādīja, ka jebkurā gadījumā iesniedzējs nav apgalvojis, ka viņš nevarēja zināt visu būtisko informāciju </w:t>
      </w:r>
      <w:r w:rsidR="001A5C76" w:rsidRPr="00082431">
        <w:rPr>
          <w:rFonts w:ascii="Times New Roman" w:hAnsi="Times New Roman" w:cs="Times New Roman"/>
          <w:sz w:val="24"/>
        </w:rPr>
        <w:t xml:space="preserve">un ka viņam nebija iespējas sagatavot aizstāvību, pamatojoties uz visiem pret viņu vērstajiem pierādījumiem. Arī lietā </w:t>
      </w:r>
      <w:proofErr w:type="spellStart"/>
      <w:r w:rsidR="001A5C76" w:rsidRPr="00082431">
        <w:rPr>
          <w:rFonts w:ascii="Times New Roman" w:hAnsi="Times New Roman" w:cs="Times New Roman"/>
          <w:i/>
          <w:iCs/>
          <w:sz w:val="24"/>
        </w:rPr>
        <w:t>Sampech</w:t>
      </w:r>
      <w:proofErr w:type="spellEnd"/>
      <w:r w:rsidR="001A5C76" w:rsidRPr="00082431">
        <w:rPr>
          <w:rFonts w:ascii="Times New Roman" w:hAnsi="Times New Roman" w:cs="Times New Roman"/>
          <w:i/>
          <w:iCs/>
          <w:sz w:val="24"/>
        </w:rPr>
        <w:t xml:space="preserve"> </w:t>
      </w:r>
      <w:proofErr w:type="spellStart"/>
      <w:r w:rsidR="001A5C76" w:rsidRPr="00082431">
        <w:rPr>
          <w:rFonts w:ascii="Times New Roman" w:hAnsi="Times New Roman" w:cs="Times New Roman"/>
          <w:i/>
          <w:iCs/>
          <w:sz w:val="24"/>
        </w:rPr>
        <w:t>v.Italy</w:t>
      </w:r>
      <w:proofErr w:type="spellEnd"/>
      <w:r w:rsidR="001A5C76" w:rsidRPr="00082431">
        <w:rPr>
          <w:rFonts w:ascii="Times New Roman" w:hAnsi="Times New Roman" w:cs="Times New Roman"/>
          <w:i/>
          <w:iCs/>
          <w:sz w:val="24"/>
        </w:rPr>
        <w:t xml:space="preserve"> </w:t>
      </w:r>
      <w:r w:rsidR="001A5C76" w:rsidRPr="00082431">
        <w:rPr>
          <w:rFonts w:ascii="Times New Roman" w:hAnsi="Times New Roman" w:cs="Times New Roman"/>
          <w:sz w:val="24"/>
        </w:rPr>
        <w:t>(iesniegums Nr.</w:t>
      </w:r>
      <w:r w:rsidR="00F10A27" w:rsidRPr="00082431">
        <w:rPr>
          <w:rFonts w:ascii="Times New Roman" w:hAnsi="Times New Roman" w:cs="Times New Roman"/>
          <w:sz w:val="24"/>
        </w:rPr>
        <w:t> </w:t>
      </w:r>
      <w:r w:rsidR="001A5C76" w:rsidRPr="00082431">
        <w:rPr>
          <w:rFonts w:ascii="Times New Roman" w:hAnsi="Times New Roman" w:cs="Times New Roman"/>
          <w:sz w:val="24"/>
        </w:rPr>
        <w:t>55546/09, 40. un 110.punkts) Eiropas Cilvēktiesību tiesa norādīja, ka apsūdzība jāuzrāda tā,</w:t>
      </w:r>
      <w:r w:rsidR="00FF7595" w:rsidRPr="00082431">
        <w:rPr>
          <w:rFonts w:ascii="Times New Roman" w:hAnsi="Times New Roman" w:cs="Times New Roman"/>
          <w:sz w:val="24"/>
        </w:rPr>
        <w:t xml:space="preserve"> </w:t>
      </w:r>
      <w:r w:rsidR="001A5C76" w:rsidRPr="00082431">
        <w:rPr>
          <w:rFonts w:ascii="Times New Roman" w:hAnsi="Times New Roman" w:cs="Times New Roman"/>
          <w:sz w:val="24"/>
        </w:rPr>
        <w:t>lai apsūdzētais varētu aizstāvēties pret visiem nodarījumiem, par kuriem viņam izvirzītas apsūdzības. Šo mērķi iespējams sasniegt arī tad, ja nav norādīta faktisko apstākļu vieta un datums, ar nosacījumu, ka minētā informācija, kas ir iztiesāšanas priekšmets, noskaidrojama citos lietas materiālos.</w:t>
      </w:r>
    </w:p>
    <w:p w14:paraId="3A11143B" w14:textId="463EC607" w:rsidR="00C50976" w:rsidRPr="00082431" w:rsidRDefault="00C96A39"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Katra atsevišķa nodokļu deklarācija un tajā norādītā nodokļu summa nav obligāti norādāma apsūdzībā, kas celta par izvairīšanos no nodokļu nomaksas bezdarbības veidā, nemaksājot pašas personas deklarētos nodokļus. Noziedzīgā nodarījuma sast</w:t>
      </w:r>
      <w:r w:rsidR="00F10A27" w:rsidRPr="00082431">
        <w:rPr>
          <w:rFonts w:ascii="Times New Roman" w:hAnsi="Times New Roman" w:cs="Times New Roman"/>
          <w:sz w:val="24"/>
        </w:rPr>
        <w:t>āvu šajā gadījumā veido likuma „</w:t>
      </w:r>
      <w:r w:rsidRPr="00082431">
        <w:rPr>
          <w:rFonts w:ascii="Times New Roman" w:hAnsi="Times New Roman" w:cs="Times New Roman"/>
          <w:sz w:val="24"/>
        </w:rPr>
        <w:t xml:space="preserve">Par nodokļiem un nodevām” </w:t>
      </w:r>
      <w:proofErr w:type="gramStart"/>
      <w:r w:rsidRPr="00082431">
        <w:rPr>
          <w:rFonts w:ascii="Times New Roman" w:hAnsi="Times New Roman" w:cs="Times New Roman"/>
          <w:sz w:val="24"/>
        </w:rPr>
        <w:t>15.panta</w:t>
      </w:r>
      <w:proofErr w:type="gramEnd"/>
      <w:r w:rsidRPr="00082431">
        <w:rPr>
          <w:rFonts w:ascii="Times New Roman" w:hAnsi="Times New Roman" w:cs="Times New Roman"/>
          <w:sz w:val="24"/>
        </w:rPr>
        <w:t xml:space="preserve"> pirmās daļas 2.punktā noteiktā nodokļu nomaksas pienākuma nepildīšana, atšķirībā no citiem izvairīšanās veidiem, kur noziedzīgā nodarījuma sastāvu veido noteiktas informācijas sniegšana vai nesniegšana nodokļu deklarācijās.</w:t>
      </w:r>
      <w:r w:rsidR="00B5125B" w:rsidRPr="00082431">
        <w:rPr>
          <w:rFonts w:ascii="Times New Roman" w:hAnsi="Times New Roman" w:cs="Times New Roman"/>
          <w:sz w:val="24"/>
        </w:rPr>
        <w:t xml:space="preserve"> Apsūdzība pietiekami pilda informatīvo funkciju arī tad, ja no tās identificējams nodokļu deklarāciju iesniegšanas periods un atbilstoši tam nenomaksātās nodokļu summas. Konkrētas katrā taksācijas periodā deklarētās un nesamaksātās nodokļu summas ir viegli noskaidrojamas no krimināllietas materiāliem, kuri apsūdzētajam ir izsniegti.</w:t>
      </w:r>
      <w:r w:rsidR="003E0A2B" w:rsidRPr="00082431">
        <w:rPr>
          <w:rFonts w:ascii="Times New Roman" w:hAnsi="Times New Roman" w:cs="Times New Roman"/>
          <w:sz w:val="24"/>
        </w:rPr>
        <w:t xml:space="preserve"> Līdzīgs secinājums izdarāms arī par katrā nodokļu deklarācijā norādīto nodokļu nomaksas termiņu, kas izriet jau no likuma. Šādā veidā formulēta apsūdzība ir gan pietiekami informatīva, lai attiecīgā amatpersona saprastu, par kuru tieši nodokļu nenomaksāšanu viņa tiek saukta pie kriminālatbildības, gan ļauj pietiekami nepārprotami norobežot </w:t>
      </w:r>
      <w:r w:rsidR="00295D96" w:rsidRPr="00082431">
        <w:rPr>
          <w:rFonts w:ascii="Times New Roman" w:hAnsi="Times New Roman" w:cs="Times New Roman"/>
          <w:sz w:val="24"/>
        </w:rPr>
        <w:t>personai inkriminēto rīcību no citām tās darbībām, lai persona otrreiz netiktu saukta pie kriminālatbildības par vienu un to pašu nodarījumu. Tiesas atsauce uz katras</w:t>
      </w:r>
      <w:r w:rsidR="00C50976" w:rsidRPr="00082431">
        <w:rPr>
          <w:rFonts w:ascii="Times New Roman" w:hAnsi="Times New Roman" w:cs="Times New Roman"/>
          <w:sz w:val="24"/>
        </w:rPr>
        <w:t xml:space="preserve"> nodokļu deklarācijas norādīšanas nepieciešamību apsūdzībā ir formāla un nav pamatota ar noziedzīgā nodarījuma sastāvu. Atsevišķu nodokļu deklarāciju nenorādīšana neietekmēja noziedzīgā nodarījuma objektīvās puses esību nodarījuma aprakstā, jo no apsūdzības skaidri un nepārprotami identificējams, par kurām deklarācijām ir runa. Turklāt šo deklarāciju pareizību apsūdzētais n</w:t>
      </w:r>
      <w:r w:rsidR="00737750" w:rsidRPr="00082431">
        <w:rPr>
          <w:rFonts w:ascii="Times New Roman" w:hAnsi="Times New Roman" w:cs="Times New Roman"/>
          <w:sz w:val="24"/>
        </w:rPr>
        <w:t>av apstrīdējis</w:t>
      </w:r>
      <w:r w:rsidR="00C50976" w:rsidRPr="00082431">
        <w:rPr>
          <w:rFonts w:ascii="Times New Roman" w:hAnsi="Times New Roman" w:cs="Times New Roman"/>
          <w:sz w:val="24"/>
        </w:rPr>
        <w:t>.</w:t>
      </w:r>
    </w:p>
    <w:p w14:paraId="57093CDF" w14:textId="4B11097E" w:rsidR="00737750" w:rsidRPr="00082431" w:rsidRDefault="00737750"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A</w:t>
      </w:r>
      <w:r w:rsidR="00C50976" w:rsidRPr="00082431">
        <w:rPr>
          <w:rFonts w:ascii="Times New Roman" w:hAnsi="Times New Roman" w:cs="Times New Roman"/>
          <w:sz w:val="24"/>
        </w:rPr>
        <w:t>pelācijas instances tiesa nepamatoti secinājusi, ka</w:t>
      </w:r>
      <w:r w:rsidRPr="00082431">
        <w:rPr>
          <w:rFonts w:ascii="Times New Roman" w:hAnsi="Times New Roman" w:cs="Times New Roman"/>
          <w:sz w:val="24"/>
        </w:rPr>
        <w:t xml:space="preserve">, lai izvērtētu objektīvās puses esību </w:t>
      </w:r>
      <w:r w:rsidR="00266E84">
        <w:rPr>
          <w:rFonts w:ascii="Times New Roman" w:hAnsi="Times New Roman" w:cs="Times New Roman"/>
          <w:sz w:val="24"/>
        </w:rPr>
        <w:t>[pers. A]</w:t>
      </w:r>
      <w:r w:rsidRPr="00082431">
        <w:rPr>
          <w:rFonts w:ascii="Times New Roman" w:hAnsi="Times New Roman" w:cs="Times New Roman"/>
          <w:sz w:val="24"/>
        </w:rPr>
        <w:t xml:space="preserve"> inkriminētajā noziedzīgajā nodarījumā, apsūdzībā bija jānorāda vēl kādi papildu apstākļi. Tādējādi tiesa pieļāvusi Kriminālprocesa likuma </w:t>
      </w:r>
      <w:proofErr w:type="gramStart"/>
      <w:r w:rsidRPr="00082431">
        <w:rPr>
          <w:rFonts w:ascii="Times New Roman" w:hAnsi="Times New Roman" w:cs="Times New Roman"/>
          <w:sz w:val="24"/>
        </w:rPr>
        <w:t>511.panta</w:t>
      </w:r>
      <w:proofErr w:type="gramEnd"/>
      <w:r w:rsidRPr="00082431">
        <w:rPr>
          <w:rFonts w:ascii="Times New Roman" w:hAnsi="Times New Roman" w:cs="Times New Roman"/>
          <w:sz w:val="24"/>
        </w:rPr>
        <w:t xml:space="preserve"> otrās daļas, 512.panta pirmās daļas un 564.panta ceturtās daļas pārkāpumus, kas uzskatāmi par Kriminālprocesa likuma būtiskiem pārkāpumiem šā likuma 575.panta trešās daļas izpratnē.</w:t>
      </w:r>
    </w:p>
    <w:p w14:paraId="13B1DEB9" w14:textId="4E9AEE18" w:rsidR="00B47569" w:rsidRPr="00082431" w:rsidRDefault="00A55A84" w:rsidP="00244ECC">
      <w:pPr>
        <w:spacing w:after="0"/>
        <w:ind w:firstLine="709"/>
        <w:jc w:val="both"/>
        <w:rPr>
          <w:rFonts w:ascii="Times New Roman" w:hAnsi="Times New Roman" w:cs="Times New Roman"/>
          <w:sz w:val="24"/>
        </w:rPr>
      </w:pPr>
      <w:r w:rsidRPr="00082431">
        <w:rPr>
          <w:rFonts w:ascii="Times New Roman" w:hAnsi="Times New Roman" w:cs="Times New Roman"/>
          <w:sz w:val="24"/>
        </w:rPr>
        <w:t>[4.3] </w:t>
      </w:r>
      <w:r w:rsidR="00B47569" w:rsidRPr="00082431">
        <w:rPr>
          <w:rFonts w:ascii="Times New Roman" w:hAnsi="Times New Roman" w:cs="Times New Roman"/>
          <w:sz w:val="24"/>
        </w:rPr>
        <w:t>Apelācijas instances tiesa nepamatoti konstatējusi, ka apsūdzībā nav norādīti normatīvie akti, kas nosaka nodokļu nomaksāšanas pienākumu.</w:t>
      </w:r>
    </w:p>
    <w:p w14:paraId="10984441" w14:textId="111DD902" w:rsidR="008E7F3B" w:rsidRPr="00082431" w:rsidRDefault="00B47569" w:rsidP="00B83999">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Apsūdzībā ir norādītas likuma normas, kas nosaka attiecīgā nodokļa nomaksas termiņu, kuru pārkāpjot, veidojas nodokļu parāds un valstij tiek nodarīts zaudējums. </w:t>
      </w:r>
      <w:r w:rsidR="008E7F3B" w:rsidRPr="00082431">
        <w:rPr>
          <w:rFonts w:ascii="Times New Roman" w:hAnsi="Times New Roman" w:cs="Times New Roman"/>
          <w:sz w:val="24"/>
        </w:rPr>
        <w:t>Par nepamatotu atzīstams tiesas</w:t>
      </w:r>
      <w:r w:rsidRPr="00082431">
        <w:rPr>
          <w:rFonts w:ascii="Times New Roman" w:hAnsi="Times New Roman" w:cs="Times New Roman"/>
          <w:sz w:val="24"/>
        </w:rPr>
        <w:t xml:space="preserve"> apgalvojums, ka apsūdzībā jānorāda kādas citas likuma </w:t>
      </w:r>
      <w:r w:rsidR="008E7F3B" w:rsidRPr="00082431">
        <w:rPr>
          <w:rFonts w:ascii="Times New Roman" w:hAnsi="Times New Roman" w:cs="Times New Roman"/>
          <w:sz w:val="24"/>
        </w:rPr>
        <w:t>normas saistībā ar nodokļu nomaksas pienākumu. Apsūdzības mērķis nav informēt apsūdzēto par nodokļu jomas tiesisko regulējumu, bet gan norādīt faktiskos apstākļus, kas veido inkriminētā noziedzīgā nodarījuma sastāvu. Lemjot par apsūdzībā norādīto apstākļu esību u</w:t>
      </w:r>
      <w:r w:rsidR="00FF7595" w:rsidRPr="00082431">
        <w:rPr>
          <w:rFonts w:ascii="Times New Roman" w:hAnsi="Times New Roman" w:cs="Times New Roman"/>
          <w:sz w:val="24"/>
        </w:rPr>
        <w:t>n</w:t>
      </w:r>
      <w:r w:rsidR="008E7F3B" w:rsidRPr="00082431">
        <w:rPr>
          <w:rFonts w:ascii="Times New Roman" w:hAnsi="Times New Roman" w:cs="Times New Roman"/>
          <w:sz w:val="24"/>
        </w:rPr>
        <w:t xml:space="preserve"> noziedzīgā nodarījuma kvalifikāciju, normatīvais regulējums tiesai ir jāpiemēro neatkarīgi no tā, vai uz to sniegta atsauce apsūdzībā.</w:t>
      </w:r>
      <w:r w:rsidR="00B83999" w:rsidRPr="00082431">
        <w:rPr>
          <w:rFonts w:ascii="Times New Roman" w:hAnsi="Times New Roman" w:cs="Times New Roman"/>
          <w:sz w:val="24"/>
        </w:rPr>
        <w:t xml:space="preserve"> Tas izriet no tiesas spriešanas funkcijas. Tas vien, ka apsūdzībā nav norādīta konkrēta likuma norma, kas uzliek nodokļu maksātājam pienākumu sniegt patiesu informāciju PVN deklarācijās, bet uzņēmuma amatpersonai – atbildību par nodokļu nomaksu, nevar būt par pamatu personas attaisnošanai. Krimināllikuma </w:t>
      </w:r>
      <w:proofErr w:type="gramStart"/>
      <w:r w:rsidR="00B83999" w:rsidRPr="00082431">
        <w:rPr>
          <w:rFonts w:ascii="Times New Roman" w:hAnsi="Times New Roman" w:cs="Times New Roman"/>
          <w:sz w:val="24"/>
        </w:rPr>
        <w:t>218.pantā</w:t>
      </w:r>
      <w:proofErr w:type="gramEnd"/>
      <w:r w:rsidR="00B83999" w:rsidRPr="00082431">
        <w:rPr>
          <w:rFonts w:ascii="Times New Roman" w:hAnsi="Times New Roman" w:cs="Times New Roman"/>
          <w:sz w:val="24"/>
        </w:rPr>
        <w:t xml:space="preserve"> ir paredzēta kriminālatbildība par izvairīšanos no nodokļu nomaksas</w:t>
      </w:r>
      <w:r w:rsidR="00264606" w:rsidRPr="00082431">
        <w:rPr>
          <w:rFonts w:ascii="Times New Roman" w:hAnsi="Times New Roman" w:cs="Times New Roman"/>
          <w:sz w:val="24"/>
        </w:rPr>
        <w:t>, ko izdarījusi uzņēmuma atbildīgā amatpersona, sniedzot nepatiesu informāciju nodokļu deklarācijās, līdz ar to apsūdzībā ir pietiekami norādīt, kura informācija ir nepatiesa un kura persona bija atbildīga par šīs informācija sniegšanu.</w:t>
      </w:r>
    </w:p>
    <w:p w14:paraId="5106C6ED" w14:textId="77777777" w:rsidR="009773B7" w:rsidRPr="00082431" w:rsidRDefault="00264606" w:rsidP="00B83999">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Nepamatoti secinot, ka apsūdzībā nav norādīti normatīvie akti, kas nosaka nodokļu nomaksas pienākumu, un tiesa nevar </w:t>
      </w:r>
      <w:r w:rsidR="009773B7" w:rsidRPr="00082431">
        <w:rPr>
          <w:rFonts w:ascii="Times New Roman" w:hAnsi="Times New Roman" w:cs="Times New Roman"/>
          <w:sz w:val="24"/>
        </w:rPr>
        <w:t xml:space="preserve">tos </w:t>
      </w:r>
      <w:r w:rsidRPr="00082431">
        <w:rPr>
          <w:rFonts w:ascii="Times New Roman" w:hAnsi="Times New Roman" w:cs="Times New Roman"/>
          <w:sz w:val="24"/>
        </w:rPr>
        <w:t>piemērot pēc savas</w:t>
      </w:r>
      <w:r w:rsidR="009773B7" w:rsidRPr="00082431">
        <w:rPr>
          <w:rFonts w:ascii="Times New Roman" w:hAnsi="Times New Roman" w:cs="Times New Roman"/>
          <w:sz w:val="24"/>
        </w:rPr>
        <w:t xml:space="preserve"> iniciatīvas, apelācijas instances tiesa pieļāvusi Kriminālprocesa likuma </w:t>
      </w:r>
      <w:proofErr w:type="gramStart"/>
      <w:r w:rsidR="009773B7" w:rsidRPr="00082431">
        <w:rPr>
          <w:rFonts w:ascii="Times New Roman" w:hAnsi="Times New Roman" w:cs="Times New Roman"/>
          <w:sz w:val="24"/>
        </w:rPr>
        <w:t>511.panta</w:t>
      </w:r>
      <w:proofErr w:type="gramEnd"/>
      <w:r w:rsidR="009773B7" w:rsidRPr="00082431">
        <w:rPr>
          <w:rFonts w:ascii="Times New Roman" w:hAnsi="Times New Roman" w:cs="Times New Roman"/>
          <w:sz w:val="24"/>
        </w:rPr>
        <w:t xml:space="preserve"> otrās daļas, 512.panta pirmās daļas un 564.panta ceturtās daļas pārkāpumus, kas uzskatāmi par Kriminālprocesa likuma būtiskiem pārkāpumiem šā likuma 575.panta trešās daļas izpratnē.</w:t>
      </w:r>
    </w:p>
    <w:p w14:paraId="0639FCEC" w14:textId="624978FF" w:rsidR="00BB5484" w:rsidRPr="00082431" w:rsidRDefault="00C118B1" w:rsidP="00B83999">
      <w:pPr>
        <w:spacing w:after="0"/>
        <w:ind w:firstLine="709"/>
        <w:jc w:val="both"/>
        <w:rPr>
          <w:rFonts w:ascii="Times New Roman" w:hAnsi="Times New Roman" w:cs="Times New Roman"/>
          <w:sz w:val="24"/>
        </w:rPr>
      </w:pPr>
      <w:r w:rsidRPr="00082431">
        <w:rPr>
          <w:rFonts w:ascii="Times New Roman" w:hAnsi="Times New Roman" w:cs="Times New Roman"/>
          <w:sz w:val="24"/>
        </w:rPr>
        <w:t>[4.4] </w:t>
      </w:r>
      <w:r w:rsidR="00BB5484" w:rsidRPr="00082431">
        <w:rPr>
          <w:rFonts w:ascii="Times New Roman" w:hAnsi="Times New Roman" w:cs="Times New Roman"/>
          <w:sz w:val="24"/>
        </w:rPr>
        <w:t>Apelācijas instances tiesa nepamatoti secinājusi, ka apsūdzībā nav norādīti visi apstākļi, lai noteiktu, vai noziedzīgais nodarījums ir pabeigts, proti, vai valstij nodarīti reāli zaudējumi.</w:t>
      </w:r>
    </w:p>
    <w:p w14:paraId="3CD5002E" w14:textId="77777777" w:rsidR="008F4971" w:rsidRPr="00082431" w:rsidRDefault="00BB5484" w:rsidP="00B83999">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Valsts budžetā maksājamais vai no valsts budžeta atmaksājamais PVN veidojas no starpības starp nodokļu maksātāja aprēķināto nodokli un priekšnodokli par PVN deklarācijās norādītajiem darījumiem. Ja priekšnodokļa aprēķinā ietverti arī faktiski nenotikuši darījumi, priekšnodoklis tiek nepamatoti palielināts, kā tas ir izskatāmajā lietā. Ja priekšnodoklis pārsniedz attiecīgajā taksācijas periodā </w:t>
      </w:r>
      <w:r w:rsidR="008F4971" w:rsidRPr="00082431">
        <w:rPr>
          <w:rFonts w:ascii="Times New Roman" w:hAnsi="Times New Roman" w:cs="Times New Roman"/>
          <w:sz w:val="24"/>
        </w:rPr>
        <w:t>aprēķināto nodokli, veidojas PVN pārmaksa. No PVN specifikas izriet, ka pārmaksa var veidoties tikai tad, ja pirms tam ar priekšnodokli pilnībā nosegts aprēķinātais nodoklis.</w:t>
      </w:r>
    </w:p>
    <w:p w14:paraId="0685A2DD" w14:textId="25A552C9" w:rsidR="00F023F0" w:rsidRPr="00082431" w:rsidRDefault="00C118B1" w:rsidP="008F4971">
      <w:pPr>
        <w:spacing w:after="0"/>
        <w:ind w:firstLine="709"/>
        <w:jc w:val="both"/>
        <w:rPr>
          <w:rFonts w:ascii="Times New Roman" w:hAnsi="Times New Roman" w:cs="Times New Roman"/>
          <w:sz w:val="24"/>
        </w:rPr>
      </w:pPr>
      <w:r w:rsidRPr="00082431">
        <w:rPr>
          <w:rFonts w:ascii="Times New Roman" w:hAnsi="Times New Roman" w:cs="Times New Roman"/>
          <w:sz w:val="24"/>
        </w:rPr>
        <w:t>Izskatāmajā lietā SIA ,,</w:t>
      </w:r>
      <w:r w:rsidR="00266E84">
        <w:rPr>
          <w:rFonts w:ascii="Times New Roman" w:hAnsi="Times New Roman" w:cs="Times New Roman"/>
          <w:sz w:val="24"/>
        </w:rPr>
        <w:t>[Nosaukums A]</w:t>
      </w:r>
      <w:r w:rsidR="008F4971" w:rsidRPr="00082431">
        <w:rPr>
          <w:rFonts w:ascii="Times New Roman" w:hAnsi="Times New Roman" w:cs="Times New Roman"/>
          <w:sz w:val="24"/>
        </w:rPr>
        <w:t xml:space="preserve">” par </w:t>
      </w:r>
      <w:proofErr w:type="gramStart"/>
      <w:r w:rsidR="008F4971" w:rsidRPr="00082431">
        <w:rPr>
          <w:rFonts w:ascii="Times New Roman" w:hAnsi="Times New Roman" w:cs="Times New Roman"/>
          <w:sz w:val="24"/>
        </w:rPr>
        <w:t>2014.gada</w:t>
      </w:r>
      <w:proofErr w:type="gramEnd"/>
      <w:r w:rsidR="008F4971" w:rsidRPr="00082431">
        <w:rPr>
          <w:rFonts w:ascii="Times New Roman" w:hAnsi="Times New Roman" w:cs="Times New Roman"/>
          <w:sz w:val="24"/>
        </w:rPr>
        <w:t xml:space="preserve"> novembri d</w:t>
      </w:r>
      <w:r w:rsidRPr="00082431">
        <w:rPr>
          <w:rFonts w:ascii="Times New Roman" w:hAnsi="Times New Roman" w:cs="Times New Roman"/>
          <w:sz w:val="24"/>
        </w:rPr>
        <w:t>eklarēja PVN pārmaksu 10 477,85 </w:t>
      </w:r>
      <w:r w:rsidR="008F4971" w:rsidRPr="00082431">
        <w:rPr>
          <w:rFonts w:ascii="Times New Roman" w:hAnsi="Times New Roman" w:cs="Times New Roman"/>
          <w:i/>
          <w:iCs/>
          <w:sz w:val="24"/>
        </w:rPr>
        <w:t>euro</w:t>
      </w:r>
      <w:r w:rsidR="008F4971" w:rsidRPr="00082431">
        <w:rPr>
          <w:rFonts w:ascii="Times New Roman" w:hAnsi="Times New Roman" w:cs="Times New Roman"/>
          <w:sz w:val="24"/>
        </w:rPr>
        <w:t>, bet</w:t>
      </w:r>
      <w:r w:rsidRPr="00082431">
        <w:rPr>
          <w:rFonts w:ascii="Times New Roman" w:hAnsi="Times New Roman" w:cs="Times New Roman"/>
          <w:sz w:val="24"/>
        </w:rPr>
        <w:t xml:space="preserve"> par 2014.gada decembri – 3907,47 </w:t>
      </w:r>
      <w:r w:rsidR="008F4971" w:rsidRPr="00082431">
        <w:rPr>
          <w:rFonts w:ascii="Times New Roman" w:hAnsi="Times New Roman" w:cs="Times New Roman"/>
          <w:i/>
          <w:iCs/>
          <w:sz w:val="24"/>
        </w:rPr>
        <w:t>euro</w:t>
      </w:r>
      <w:r w:rsidR="008F4971" w:rsidRPr="00082431">
        <w:rPr>
          <w:rFonts w:ascii="Times New Roman" w:hAnsi="Times New Roman" w:cs="Times New Roman"/>
          <w:sz w:val="24"/>
        </w:rPr>
        <w:t>. No VID Nodokļu informācijas sistēmas izdrukas redzams, ka minētās pārmaksas</w:t>
      </w:r>
      <w:r w:rsidRPr="00082431">
        <w:rPr>
          <w:rFonts w:ascii="Times New Roman" w:hAnsi="Times New Roman" w:cs="Times New Roman"/>
          <w:sz w:val="24"/>
        </w:rPr>
        <w:t xml:space="preserve"> summas pilnībā novirzītas SIA ,,</w:t>
      </w:r>
      <w:r w:rsidR="00266E84">
        <w:rPr>
          <w:rFonts w:ascii="Times New Roman" w:hAnsi="Times New Roman" w:cs="Times New Roman"/>
          <w:sz w:val="24"/>
        </w:rPr>
        <w:t>[Nosaukums A]</w:t>
      </w:r>
      <w:r w:rsidR="008F4971" w:rsidRPr="00082431">
        <w:rPr>
          <w:rFonts w:ascii="Times New Roman" w:hAnsi="Times New Roman" w:cs="Times New Roman"/>
          <w:sz w:val="24"/>
        </w:rPr>
        <w:t xml:space="preserve">” PVN parāda dzēšanai. Audita pārskatā norādīts, ka </w:t>
      </w:r>
      <w:r w:rsidRPr="00082431">
        <w:rPr>
          <w:rFonts w:ascii="Times New Roman" w:hAnsi="Times New Roman" w:cs="Times New Roman"/>
          <w:sz w:val="24"/>
        </w:rPr>
        <w:t>SIA ,,</w:t>
      </w:r>
      <w:r w:rsidR="00266E84">
        <w:rPr>
          <w:rFonts w:ascii="Times New Roman" w:hAnsi="Times New Roman" w:cs="Times New Roman"/>
          <w:sz w:val="24"/>
        </w:rPr>
        <w:t>[Nosaukums A]</w:t>
      </w:r>
      <w:r w:rsidR="009C744F" w:rsidRPr="00082431">
        <w:rPr>
          <w:rFonts w:ascii="Times New Roman" w:hAnsi="Times New Roman" w:cs="Times New Roman"/>
          <w:sz w:val="24"/>
        </w:rPr>
        <w:t xml:space="preserve">” nodokļu audita rezultātā par </w:t>
      </w:r>
      <w:proofErr w:type="gramStart"/>
      <w:r w:rsidR="009C744F" w:rsidRPr="00082431">
        <w:rPr>
          <w:rFonts w:ascii="Times New Roman" w:hAnsi="Times New Roman" w:cs="Times New Roman"/>
          <w:sz w:val="24"/>
        </w:rPr>
        <w:t>2014.gada</w:t>
      </w:r>
      <w:proofErr w:type="gramEnd"/>
      <w:r w:rsidR="009C744F" w:rsidRPr="00082431">
        <w:rPr>
          <w:rFonts w:ascii="Times New Roman" w:hAnsi="Times New Roman" w:cs="Times New Roman"/>
          <w:sz w:val="24"/>
        </w:rPr>
        <w:t xml:space="preserve"> novembri un decembri papildus aprēķināta valsts budž</w:t>
      </w:r>
      <w:r w:rsidRPr="00082431">
        <w:rPr>
          <w:rFonts w:ascii="Times New Roman" w:hAnsi="Times New Roman" w:cs="Times New Roman"/>
          <w:sz w:val="24"/>
        </w:rPr>
        <w:t>etā maksājamā PVN summa 7854,21 </w:t>
      </w:r>
      <w:r w:rsidR="009C744F" w:rsidRPr="00082431">
        <w:rPr>
          <w:rFonts w:ascii="Times New Roman" w:hAnsi="Times New Roman" w:cs="Times New Roman"/>
          <w:i/>
          <w:iCs/>
          <w:sz w:val="24"/>
        </w:rPr>
        <w:t>euro</w:t>
      </w:r>
      <w:r w:rsidR="009C744F" w:rsidRPr="00082431">
        <w:rPr>
          <w:rFonts w:ascii="Times New Roman" w:hAnsi="Times New Roman" w:cs="Times New Roman"/>
          <w:sz w:val="24"/>
        </w:rPr>
        <w:t xml:space="preserve"> un samazināta no valsts budžeta </w:t>
      </w:r>
      <w:r w:rsidRPr="00082431">
        <w:rPr>
          <w:rFonts w:ascii="Times New Roman" w:hAnsi="Times New Roman" w:cs="Times New Roman"/>
          <w:sz w:val="24"/>
        </w:rPr>
        <w:t>atmaksājamā PVN summa 14 385,32 </w:t>
      </w:r>
      <w:r w:rsidR="009C744F" w:rsidRPr="00082431">
        <w:rPr>
          <w:rFonts w:ascii="Times New Roman" w:hAnsi="Times New Roman" w:cs="Times New Roman"/>
          <w:i/>
          <w:iCs/>
          <w:sz w:val="24"/>
        </w:rPr>
        <w:t>euro</w:t>
      </w:r>
      <w:r w:rsidRPr="00082431">
        <w:rPr>
          <w:rFonts w:ascii="Times New Roman" w:hAnsi="Times New Roman" w:cs="Times New Roman"/>
          <w:sz w:val="24"/>
        </w:rPr>
        <w:t>. Ievērojot to, ka SIA ,,</w:t>
      </w:r>
      <w:r w:rsidR="00266E84">
        <w:rPr>
          <w:rFonts w:ascii="Times New Roman" w:hAnsi="Times New Roman" w:cs="Times New Roman"/>
          <w:sz w:val="24"/>
        </w:rPr>
        <w:t>[Nosaukums A]</w:t>
      </w:r>
      <w:r w:rsidR="009C744F" w:rsidRPr="00082431">
        <w:rPr>
          <w:rFonts w:ascii="Times New Roman" w:hAnsi="Times New Roman" w:cs="Times New Roman"/>
          <w:sz w:val="24"/>
        </w:rPr>
        <w:t>” nodokļu auditā konstatētie fiktīvie darījumi sakrīt ar apsūdzībā norādītajiem, seci</w:t>
      </w:r>
      <w:r w:rsidRPr="00082431">
        <w:rPr>
          <w:rFonts w:ascii="Times New Roman" w:hAnsi="Times New Roman" w:cs="Times New Roman"/>
          <w:sz w:val="24"/>
        </w:rPr>
        <w:t>nāms, ka priekšnodoklis 7854,21 </w:t>
      </w:r>
      <w:r w:rsidR="009C744F" w:rsidRPr="00082431">
        <w:rPr>
          <w:rFonts w:ascii="Times New Roman" w:hAnsi="Times New Roman" w:cs="Times New Roman"/>
          <w:i/>
          <w:iCs/>
          <w:sz w:val="24"/>
        </w:rPr>
        <w:t>euro</w:t>
      </w:r>
      <w:r w:rsidR="009C744F" w:rsidRPr="00082431">
        <w:rPr>
          <w:rFonts w:ascii="Times New Roman" w:hAnsi="Times New Roman" w:cs="Times New Roman"/>
          <w:sz w:val="24"/>
        </w:rPr>
        <w:t xml:space="preserve"> </w:t>
      </w:r>
      <w:r w:rsidR="008477CA" w:rsidRPr="00082431">
        <w:rPr>
          <w:rFonts w:ascii="Times New Roman" w:hAnsi="Times New Roman" w:cs="Times New Roman"/>
          <w:sz w:val="24"/>
        </w:rPr>
        <w:t xml:space="preserve">nepamatoti novirzīts aprēķinātā nodokļa samazināšanai par </w:t>
      </w:r>
      <w:proofErr w:type="gramStart"/>
      <w:r w:rsidR="008477CA" w:rsidRPr="00082431">
        <w:rPr>
          <w:rFonts w:ascii="Times New Roman" w:hAnsi="Times New Roman" w:cs="Times New Roman"/>
          <w:sz w:val="24"/>
        </w:rPr>
        <w:t>2014.gada</w:t>
      </w:r>
      <w:proofErr w:type="gramEnd"/>
      <w:r w:rsidR="008477CA" w:rsidRPr="00082431">
        <w:rPr>
          <w:rFonts w:ascii="Times New Roman" w:hAnsi="Times New Roman" w:cs="Times New Roman"/>
          <w:sz w:val="24"/>
        </w:rPr>
        <w:t xml:space="preserve"> novembri un decembri, </w:t>
      </w:r>
      <w:r w:rsidRPr="00082431">
        <w:rPr>
          <w:rFonts w:ascii="Times New Roman" w:hAnsi="Times New Roman" w:cs="Times New Roman"/>
          <w:sz w:val="24"/>
        </w:rPr>
        <w:t>savukārt PVN pārmaksa 14 385,32 </w:t>
      </w:r>
      <w:r w:rsidR="008477CA" w:rsidRPr="00082431">
        <w:rPr>
          <w:rFonts w:ascii="Times New Roman" w:hAnsi="Times New Roman" w:cs="Times New Roman"/>
          <w:i/>
          <w:iCs/>
          <w:sz w:val="24"/>
        </w:rPr>
        <w:t>euro</w:t>
      </w:r>
      <w:r w:rsidR="008477CA" w:rsidRPr="00082431">
        <w:rPr>
          <w:rFonts w:ascii="Times New Roman" w:hAnsi="Times New Roman" w:cs="Times New Roman"/>
          <w:sz w:val="24"/>
        </w:rPr>
        <w:t xml:space="preserve"> pilnībā novirzīta PVN parāda samazināšanai. Tādējādi lietā esošie pierādījumi pilnībā apstiprina apsūdzībā norādīto, ka </w:t>
      </w:r>
      <w:r w:rsidR="00266E84">
        <w:rPr>
          <w:rFonts w:ascii="Times New Roman" w:hAnsi="Times New Roman" w:cs="Times New Roman"/>
          <w:sz w:val="24"/>
        </w:rPr>
        <w:t>[pers. A]</w:t>
      </w:r>
      <w:r w:rsidR="008477CA" w:rsidRPr="00082431">
        <w:rPr>
          <w:rFonts w:ascii="Times New Roman" w:hAnsi="Times New Roman" w:cs="Times New Roman"/>
          <w:sz w:val="24"/>
        </w:rPr>
        <w:t>, norādot nepatiesu informāciju nodokļu deklarācijās, prettiesiski samazināja valsts budž</w:t>
      </w:r>
      <w:r w:rsidRPr="00082431">
        <w:rPr>
          <w:rFonts w:ascii="Times New Roman" w:hAnsi="Times New Roman" w:cs="Times New Roman"/>
          <w:sz w:val="24"/>
        </w:rPr>
        <w:t>etā maksājamo PVN par 22 239,53 </w:t>
      </w:r>
      <w:r w:rsidR="008477CA" w:rsidRPr="00082431">
        <w:rPr>
          <w:rFonts w:ascii="Times New Roman" w:hAnsi="Times New Roman" w:cs="Times New Roman"/>
          <w:i/>
          <w:iCs/>
          <w:sz w:val="24"/>
        </w:rPr>
        <w:t xml:space="preserve">euro. </w:t>
      </w:r>
      <w:r w:rsidR="008477CA" w:rsidRPr="00082431">
        <w:rPr>
          <w:rFonts w:ascii="Times New Roman" w:hAnsi="Times New Roman" w:cs="Times New Roman"/>
          <w:sz w:val="24"/>
        </w:rPr>
        <w:t xml:space="preserve">Šie apstākļi tiesas izmeklēšanā detalizēti pārbaudīti. Tāpat tiesas izmeklēšanā pārbaudīts apstāklis, kad </w:t>
      </w:r>
      <w:r w:rsidR="00073BE3" w:rsidRPr="00082431">
        <w:rPr>
          <w:rFonts w:ascii="Times New Roman" w:hAnsi="Times New Roman" w:cs="Times New Roman"/>
          <w:sz w:val="24"/>
        </w:rPr>
        <w:t xml:space="preserve">tieši </w:t>
      </w:r>
      <w:r w:rsidR="008477CA" w:rsidRPr="00082431">
        <w:rPr>
          <w:rFonts w:ascii="Times New Roman" w:hAnsi="Times New Roman" w:cs="Times New Roman"/>
          <w:sz w:val="24"/>
        </w:rPr>
        <w:t>PVN pārmaksa</w:t>
      </w:r>
      <w:r w:rsidR="00073BE3" w:rsidRPr="00082431">
        <w:rPr>
          <w:rFonts w:ascii="Times New Roman" w:hAnsi="Times New Roman" w:cs="Times New Roman"/>
          <w:sz w:val="24"/>
        </w:rPr>
        <w:t xml:space="preserve"> izmantota. No VID Nodokļu informācijas sistēmas izdrukas par nodokļu maksātāja atlikumu vēsturi </w:t>
      </w:r>
      <w:r w:rsidR="001E2AE0" w:rsidRPr="00082431">
        <w:rPr>
          <w:rFonts w:ascii="Times New Roman" w:hAnsi="Times New Roman" w:cs="Times New Roman"/>
          <w:sz w:val="24"/>
        </w:rPr>
        <w:t>konstatējams</w:t>
      </w:r>
      <w:r w:rsidR="00E35C04" w:rsidRPr="00082431">
        <w:rPr>
          <w:rFonts w:ascii="Times New Roman" w:hAnsi="Times New Roman" w:cs="Times New Roman"/>
          <w:sz w:val="24"/>
        </w:rPr>
        <w:t>,</w:t>
      </w:r>
      <w:r w:rsidR="001E2AE0" w:rsidRPr="00082431">
        <w:rPr>
          <w:rFonts w:ascii="Times New Roman" w:hAnsi="Times New Roman" w:cs="Times New Roman"/>
          <w:sz w:val="24"/>
        </w:rPr>
        <w:t xml:space="preserve"> ka PVN pārmaksa 2014.gada 19.decembrī un 2015.gada 21.janvārī novirzīta PVN parāda dzēšanai. Par šiem apstākļiem apelācijas instances tiesā liecināja arī VID pārstāve. Līdz ar to nav pamata uzskatīt, ka noziedzīgais nodarījums nebūtu pabeigts. Tā kā VID nav apturējis deklarācijās norādīto no valsts budžeta atmaksājamo nodokļu summu izmantošanu, nav pamata šo faktu īpaši atspoguļot apsūdzībā. Faktiskie apstākļi apsūdzībā ir atspoguļoti pietiekami, ja ir norādīts, ka attiecīgajā apmērā nepamatoti samazināts valsts budžetā maksājamais PVN.</w:t>
      </w:r>
    </w:p>
    <w:p w14:paraId="72F11A6C" w14:textId="77777777" w:rsidR="00F023F0" w:rsidRPr="00082431" w:rsidRDefault="00F023F0" w:rsidP="008F4971">
      <w:pPr>
        <w:spacing w:after="0"/>
        <w:ind w:firstLine="709"/>
        <w:jc w:val="both"/>
        <w:rPr>
          <w:rFonts w:ascii="Times New Roman" w:hAnsi="Times New Roman" w:cs="Times New Roman"/>
          <w:sz w:val="24"/>
        </w:rPr>
      </w:pPr>
      <w:r w:rsidRPr="00082431">
        <w:rPr>
          <w:rFonts w:ascii="Times New Roman" w:hAnsi="Times New Roman" w:cs="Times New Roman"/>
          <w:sz w:val="24"/>
        </w:rPr>
        <w:t>Lietās, uz kurām apelācijas instances tiesa atsaukusies nolēmumā, ir konstatējami atšķirīgi faktiskie apstākļi, jo tajās PVN pārmaksa kādā daļā netika apstiprināta, tika novirzīta citiem nodokļu maksājumiem vai par to samazināts nākamajos taksācijas periodos maksājamais nodoklis, kas nav konstatējams izskatāmajā lietā.</w:t>
      </w:r>
    </w:p>
    <w:p w14:paraId="6B31F084" w14:textId="5CACFEA2" w:rsidR="00CA3089" w:rsidRPr="00082431" w:rsidRDefault="00F023F0" w:rsidP="008F4971">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Tādējādi apsūdzībā norādītais noziedzīgā nodarījuma apraksts atbilst </w:t>
      </w:r>
      <w:r w:rsidR="00377E08" w:rsidRPr="00082431">
        <w:rPr>
          <w:rFonts w:ascii="Times New Roman" w:hAnsi="Times New Roman" w:cs="Times New Roman"/>
          <w:sz w:val="24"/>
        </w:rPr>
        <w:t>lietā iegūtajiem pierādījumiem, kas apstiprina, ka zaudējumi no nepamatoti palielinātā priekšnodokļa ir reāli nodarīti vispārēj</w:t>
      </w:r>
      <w:r w:rsidR="00913D17" w:rsidRPr="00082431">
        <w:rPr>
          <w:rFonts w:ascii="Times New Roman" w:hAnsi="Times New Roman" w:cs="Times New Roman"/>
          <w:sz w:val="24"/>
        </w:rPr>
        <w:t>ā</w:t>
      </w:r>
      <w:r w:rsidR="00377E08" w:rsidRPr="00082431">
        <w:rPr>
          <w:rFonts w:ascii="Times New Roman" w:hAnsi="Times New Roman" w:cs="Times New Roman"/>
          <w:sz w:val="24"/>
        </w:rPr>
        <w:t xml:space="preserve"> PVN nomaksas termiņā. Līdz ar to lietā nepastāv šaubas par noziedzīgā nodarījuma pabeigtību. Izdarot secinājumus par apsūdzībā nenorādītiem apstākļiem attiecībā uz pārmaksātā nodokļa reālu izmantošanu, apelācijas instances tiesa pieļāvusi Kriminālprocesa likuma </w:t>
      </w:r>
      <w:proofErr w:type="gramStart"/>
      <w:r w:rsidR="00377E08" w:rsidRPr="00082431">
        <w:rPr>
          <w:rFonts w:ascii="Times New Roman" w:hAnsi="Times New Roman" w:cs="Times New Roman"/>
          <w:sz w:val="24"/>
        </w:rPr>
        <w:t>511.panta</w:t>
      </w:r>
      <w:proofErr w:type="gramEnd"/>
      <w:r w:rsidR="00377E08" w:rsidRPr="00082431">
        <w:rPr>
          <w:rFonts w:ascii="Times New Roman" w:hAnsi="Times New Roman" w:cs="Times New Roman"/>
          <w:sz w:val="24"/>
        </w:rPr>
        <w:t xml:space="preserve"> otrās daļas, 512.panta pirmās daļas un 564.panta ceturtās daļas pārkāpumus, kas uzskatāmi par Kriminālprocesa likuma būtiskiem pārkāpumiem šā likuma 575.panta trešās daļas izpratnē.</w:t>
      </w:r>
    </w:p>
    <w:p w14:paraId="460D506E" w14:textId="2E7910EE" w:rsidR="00CA3089" w:rsidRPr="00082431" w:rsidRDefault="009E10EB" w:rsidP="008F4971">
      <w:pPr>
        <w:spacing w:after="0"/>
        <w:ind w:firstLine="709"/>
        <w:jc w:val="both"/>
        <w:rPr>
          <w:rFonts w:ascii="Times New Roman" w:hAnsi="Times New Roman" w:cs="Times New Roman"/>
          <w:sz w:val="24"/>
        </w:rPr>
      </w:pPr>
      <w:r w:rsidRPr="00082431">
        <w:rPr>
          <w:rFonts w:ascii="Times New Roman" w:hAnsi="Times New Roman" w:cs="Times New Roman"/>
          <w:sz w:val="24"/>
        </w:rPr>
        <w:t>[4.5] </w:t>
      </w:r>
      <w:r w:rsidR="00CA3089" w:rsidRPr="00082431">
        <w:rPr>
          <w:rFonts w:ascii="Times New Roman" w:hAnsi="Times New Roman" w:cs="Times New Roman"/>
          <w:sz w:val="24"/>
        </w:rPr>
        <w:t>Apelācijas instances tiesa nepamatoti konstatējusi, ka ar apsūdzībā norādīto noziedzīgā nodarījuma aprakstu tika ierobežotas apsūdzētā tiesības uz aizstāvību.</w:t>
      </w:r>
    </w:p>
    <w:p w14:paraId="300DF642" w14:textId="4C815815" w:rsidR="00377E08" w:rsidRPr="00082431" w:rsidRDefault="00CA3089"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No apelācijas instances tiesas nolēmuma izriet, ka tiesa nolēmumā vienīgi vispārīgi atsaukusies uz judikatūras atziņām par apsūdzības saturu, </w:t>
      </w:r>
      <w:r w:rsidR="00866E51" w:rsidRPr="00082431">
        <w:rPr>
          <w:rFonts w:ascii="Times New Roman" w:hAnsi="Times New Roman" w:cs="Times New Roman"/>
          <w:sz w:val="24"/>
        </w:rPr>
        <w:t xml:space="preserve">bet nav norādījusi, kāda informācija vēl bija norādāma apsūdzībā, </w:t>
      </w:r>
      <w:r w:rsidR="00C314B5" w:rsidRPr="00082431">
        <w:rPr>
          <w:rFonts w:ascii="Times New Roman" w:hAnsi="Times New Roman" w:cs="Times New Roman"/>
          <w:sz w:val="24"/>
        </w:rPr>
        <w:t xml:space="preserve">kā arī </w:t>
      </w:r>
      <w:r w:rsidR="00866E51" w:rsidRPr="00082431">
        <w:rPr>
          <w:rFonts w:ascii="Times New Roman" w:hAnsi="Times New Roman" w:cs="Times New Roman"/>
          <w:sz w:val="24"/>
        </w:rPr>
        <w:t xml:space="preserve">nav izvērtējusi, kā šī informācija saistāma ar </w:t>
      </w:r>
      <w:r w:rsidR="00266E84">
        <w:rPr>
          <w:rFonts w:ascii="Times New Roman" w:hAnsi="Times New Roman" w:cs="Times New Roman"/>
          <w:sz w:val="24"/>
        </w:rPr>
        <w:t>[pers. A]</w:t>
      </w:r>
      <w:r w:rsidR="00866E51" w:rsidRPr="00082431">
        <w:rPr>
          <w:rFonts w:ascii="Times New Roman" w:hAnsi="Times New Roman" w:cs="Times New Roman"/>
          <w:sz w:val="24"/>
        </w:rPr>
        <w:t xml:space="preserve"> tiesībām zināt, kāda </w:t>
      </w:r>
      <w:r w:rsidR="00C314B5" w:rsidRPr="00082431">
        <w:rPr>
          <w:rFonts w:ascii="Times New Roman" w:hAnsi="Times New Roman" w:cs="Times New Roman"/>
          <w:sz w:val="24"/>
        </w:rPr>
        <w:t xml:space="preserve">noziedzīgā </w:t>
      </w:r>
      <w:r w:rsidR="00866E51" w:rsidRPr="00082431">
        <w:rPr>
          <w:rFonts w:ascii="Times New Roman" w:hAnsi="Times New Roman" w:cs="Times New Roman"/>
          <w:sz w:val="24"/>
        </w:rPr>
        <w:t>nodarījuma izdarīšanā viņu apsūdz, un ko tā būtu papildus devusi aizstāvības pozīcijas nostiprināšanai. Tāpat tiesa nav izvērtējusi aizstāvības viedokli par apsūdzību, bet vadījusies no sava ieskata par to, kas apsūdzētajam varētu būt nesaprotams. Šādā veidā izteiktu tiesas secinājumu pamatotību nav iespējams pārbaudīt. Tiesa nav ņēmusi vē</w:t>
      </w:r>
      <w:r w:rsidR="00F324F2" w:rsidRPr="00082431">
        <w:rPr>
          <w:rFonts w:ascii="Times New Roman" w:hAnsi="Times New Roman" w:cs="Times New Roman"/>
          <w:sz w:val="24"/>
        </w:rPr>
        <w:t xml:space="preserve">rā, ka pirmstiesas kriminālprocesā </w:t>
      </w:r>
      <w:r w:rsidR="00266E84">
        <w:rPr>
          <w:rFonts w:ascii="Times New Roman" w:hAnsi="Times New Roman" w:cs="Times New Roman"/>
          <w:sz w:val="24"/>
        </w:rPr>
        <w:t>[pers. A]</w:t>
      </w:r>
      <w:r w:rsidR="00F324F2" w:rsidRPr="00082431">
        <w:rPr>
          <w:rFonts w:ascii="Times New Roman" w:hAnsi="Times New Roman" w:cs="Times New Roman"/>
          <w:sz w:val="24"/>
        </w:rPr>
        <w:t xml:space="preserve"> norādīja, ka apsūdzības būtība viņam ir saprotama. Arī 2019.gada 24.aprīlī pirmās instances tiesas sēdē </w:t>
      </w:r>
      <w:r w:rsidR="00266E84">
        <w:rPr>
          <w:rFonts w:ascii="Times New Roman" w:hAnsi="Times New Roman" w:cs="Times New Roman"/>
          <w:sz w:val="24"/>
        </w:rPr>
        <w:t>[pers. A]</w:t>
      </w:r>
      <w:r w:rsidR="00F324F2" w:rsidRPr="00082431">
        <w:rPr>
          <w:rFonts w:ascii="Times New Roman" w:hAnsi="Times New Roman" w:cs="Times New Roman"/>
          <w:sz w:val="24"/>
        </w:rPr>
        <w:t xml:space="preserve"> uz tiesas jautājumu atbildēja, ka apsūdzības būtība viņam ir saprotama, bet 2019.gada 13.novembrī uz prokurores jautājumu, vai viņam ir saprotams, par ko viņš tiek apsūdzēts, norādīja, ka apsūdzībā tas ir minēts. Apsūdzētais tiesības uz aizstāvību īsteno</w:t>
      </w:r>
      <w:r w:rsidR="006001DB" w:rsidRPr="00082431">
        <w:rPr>
          <w:rFonts w:ascii="Times New Roman" w:hAnsi="Times New Roman" w:cs="Times New Roman"/>
          <w:sz w:val="24"/>
        </w:rPr>
        <w:t>ja</w:t>
      </w:r>
      <w:r w:rsidR="00F324F2" w:rsidRPr="00082431">
        <w:rPr>
          <w:rFonts w:ascii="Times New Roman" w:hAnsi="Times New Roman" w:cs="Times New Roman"/>
          <w:sz w:val="24"/>
        </w:rPr>
        <w:t xml:space="preserve"> ar aizstāvja palīdzību</w:t>
      </w:r>
      <w:r w:rsidR="006001DB" w:rsidRPr="00082431">
        <w:rPr>
          <w:rFonts w:ascii="Times New Roman" w:hAnsi="Times New Roman" w:cs="Times New Roman"/>
          <w:sz w:val="24"/>
        </w:rPr>
        <w:t>, savukārt aizstāvis iztiesāšanas laikā nekādas šaubas par apsūdzības k</w:t>
      </w:r>
      <w:r w:rsidR="000C2F2F" w:rsidRPr="00082431">
        <w:rPr>
          <w:rFonts w:ascii="Times New Roman" w:hAnsi="Times New Roman" w:cs="Times New Roman"/>
          <w:sz w:val="24"/>
        </w:rPr>
        <w:t>v</w:t>
      </w:r>
      <w:r w:rsidR="006001DB" w:rsidRPr="00082431">
        <w:rPr>
          <w:rFonts w:ascii="Times New Roman" w:hAnsi="Times New Roman" w:cs="Times New Roman"/>
          <w:sz w:val="24"/>
        </w:rPr>
        <w:t>alitāti neizteica un tikai tiesas debatēs pauda viedokli par apsūdzības nekonkrētību.</w:t>
      </w:r>
      <w:r w:rsidR="00F324F2" w:rsidRPr="00082431">
        <w:rPr>
          <w:rFonts w:ascii="Times New Roman" w:hAnsi="Times New Roman" w:cs="Times New Roman"/>
          <w:sz w:val="24"/>
        </w:rPr>
        <w:t xml:space="preserve"> </w:t>
      </w:r>
      <w:r w:rsidR="006001DB" w:rsidRPr="00082431">
        <w:rPr>
          <w:rFonts w:ascii="Times New Roman" w:hAnsi="Times New Roman" w:cs="Times New Roman"/>
          <w:sz w:val="24"/>
        </w:rPr>
        <w:t>Vienlaikus aizstāvis analizēja lietā iegūtos pierādījumus pēc būtības</w:t>
      </w:r>
      <w:r w:rsidR="00B1707F" w:rsidRPr="00082431">
        <w:rPr>
          <w:rFonts w:ascii="Times New Roman" w:hAnsi="Times New Roman" w:cs="Times New Roman"/>
          <w:sz w:val="24"/>
        </w:rPr>
        <w:t> </w:t>
      </w:r>
      <w:r w:rsidR="000C2F2F" w:rsidRPr="00082431">
        <w:rPr>
          <w:rFonts w:ascii="Times New Roman" w:hAnsi="Times New Roman" w:cs="Times New Roman"/>
          <w:sz w:val="24"/>
        </w:rPr>
        <w:t>– gan saistībā ar apgalvojumu par nodokļu nemaksāšanu, gan saistībā ar faktiski nenotikušajiem darījumiem.</w:t>
      </w:r>
      <w:r w:rsidR="006001DB" w:rsidRPr="00082431">
        <w:rPr>
          <w:rFonts w:ascii="Times New Roman" w:hAnsi="Times New Roman" w:cs="Times New Roman"/>
          <w:sz w:val="24"/>
        </w:rPr>
        <w:t xml:space="preserve"> </w:t>
      </w:r>
      <w:r w:rsidRPr="00082431">
        <w:rPr>
          <w:rFonts w:ascii="Times New Roman" w:hAnsi="Times New Roman" w:cs="Times New Roman"/>
          <w:sz w:val="24"/>
        </w:rPr>
        <w:t xml:space="preserve"> </w:t>
      </w:r>
      <w:r w:rsidR="00377E08" w:rsidRPr="00082431">
        <w:rPr>
          <w:rFonts w:ascii="Times New Roman" w:hAnsi="Times New Roman" w:cs="Times New Roman"/>
          <w:sz w:val="24"/>
        </w:rPr>
        <w:t xml:space="preserve"> </w:t>
      </w:r>
    </w:p>
    <w:p w14:paraId="662AEEEE" w14:textId="222325BE" w:rsidR="000C2F2F" w:rsidRPr="00082431" w:rsidRDefault="00EE1DEB"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Likuma „</w:t>
      </w:r>
      <w:r w:rsidR="000C2F2F" w:rsidRPr="00082431">
        <w:rPr>
          <w:rFonts w:ascii="Times New Roman" w:hAnsi="Times New Roman" w:cs="Times New Roman"/>
          <w:sz w:val="24"/>
        </w:rPr>
        <w:t>Par tiesu varu</w:t>
      </w:r>
      <w:r w:rsidR="00323D1B" w:rsidRPr="00082431">
        <w:rPr>
          <w:rFonts w:ascii="Times New Roman" w:hAnsi="Times New Roman" w:cs="Times New Roman"/>
          <w:sz w:val="24"/>
        </w:rPr>
        <w:t xml:space="preserve">” </w:t>
      </w:r>
      <w:proofErr w:type="gramStart"/>
      <w:r w:rsidR="000C2F2F" w:rsidRPr="00082431">
        <w:rPr>
          <w:rFonts w:ascii="Times New Roman" w:hAnsi="Times New Roman" w:cs="Times New Roman"/>
          <w:sz w:val="24"/>
        </w:rPr>
        <w:t>25.pants</w:t>
      </w:r>
      <w:proofErr w:type="gramEnd"/>
      <w:r w:rsidR="000C2F2F" w:rsidRPr="00082431">
        <w:rPr>
          <w:rFonts w:ascii="Times New Roman" w:hAnsi="Times New Roman" w:cs="Times New Roman"/>
          <w:sz w:val="24"/>
        </w:rPr>
        <w:t xml:space="preserve"> noteic, ka puses lietas izskatīšanas gaitā realizē savas procesuālās tiesības sacīkstes formā. Sacīkste izpaužas, pusēm iesniedzot pierādījumus un tiesai adresētus pieteikumus, piedaloties nopratināšanā, citu pierādījumu pārbaudē un novērtēšanā, </w:t>
      </w:r>
      <w:r w:rsidR="003217F6" w:rsidRPr="00082431">
        <w:rPr>
          <w:rFonts w:ascii="Times New Roman" w:hAnsi="Times New Roman" w:cs="Times New Roman"/>
          <w:sz w:val="24"/>
        </w:rPr>
        <w:t>uzstājoties</w:t>
      </w:r>
      <w:r w:rsidR="00323D1B" w:rsidRPr="00082431">
        <w:rPr>
          <w:rFonts w:ascii="Times New Roman" w:hAnsi="Times New Roman" w:cs="Times New Roman"/>
          <w:sz w:val="24"/>
        </w:rPr>
        <w:t xml:space="preserve"> tiesas debatēs, kā arī</w:t>
      </w:r>
      <w:r w:rsidR="000C2F2F" w:rsidRPr="00082431">
        <w:rPr>
          <w:rFonts w:ascii="Times New Roman" w:hAnsi="Times New Roman" w:cs="Times New Roman"/>
          <w:sz w:val="24"/>
        </w:rPr>
        <w:t xml:space="preserve"> veicot cit</w:t>
      </w:r>
      <w:r w:rsidR="00323D1B" w:rsidRPr="00082431">
        <w:rPr>
          <w:rFonts w:ascii="Times New Roman" w:hAnsi="Times New Roman" w:cs="Times New Roman"/>
          <w:sz w:val="24"/>
        </w:rPr>
        <w:t>as procesuālās darbības.</w:t>
      </w:r>
      <w:r w:rsidR="000C2F2F" w:rsidRPr="00082431">
        <w:rPr>
          <w:rFonts w:ascii="Times New Roman" w:hAnsi="Times New Roman" w:cs="Times New Roman"/>
          <w:sz w:val="24"/>
        </w:rPr>
        <w:t xml:space="preserve"> </w:t>
      </w:r>
      <w:r w:rsidRPr="00082431">
        <w:rPr>
          <w:rFonts w:ascii="Times New Roman" w:hAnsi="Times New Roman" w:cs="Times New Roman"/>
          <w:sz w:val="24"/>
        </w:rPr>
        <w:t>Savukārt kriminālprocesa</w:t>
      </w:r>
      <w:r w:rsidR="005F71C6" w:rsidRPr="00082431">
        <w:rPr>
          <w:rFonts w:ascii="Times New Roman" w:hAnsi="Times New Roman" w:cs="Times New Roman"/>
          <w:sz w:val="24"/>
        </w:rPr>
        <w:t xml:space="preserve"> likuma </w:t>
      </w:r>
      <w:proofErr w:type="gramStart"/>
      <w:r w:rsidR="005F71C6" w:rsidRPr="00082431">
        <w:rPr>
          <w:rFonts w:ascii="Times New Roman" w:hAnsi="Times New Roman" w:cs="Times New Roman"/>
          <w:sz w:val="24"/>
        </w:rPr>
        <w:t>18.pants</w:t>
      </w:r>
      <w:proofErr w:type="gramEnd"/>
      <w:r w:rsidR="005F71C6" w:rsidRPr="00082431">
        <w:rPr>
          <w:rFonts w:ascii="Times New Roman" w:hAnsi="Times New Roman" w:cs="Times New Roman"/>
          <w:sz w:val="24"/>
        </w:rPr>
        <w:t xml:space="preserve"> noteic procesuālo pilnvaru līdzvērtības principu. Atbilstoši šim principam procesā iesaistītajām personām ir tiesības un pienākumi, kas nodrošina tām normatīvajos aktos noteikto uzdevumu un garantēto tiesību līdzvērtīgu īstenošanu.</w:t>
      </w:r>
    </w:p>
    <w:p w14:paraId="484D9372" w14:textId="7339ED68" w:rsidR="00142E59" w:rsidRPr="00082431" w:rsidRDefault="005F71C6"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No šī tiesiskā regulējuma izriet aizstāvības pienākums gadījumā, ja aizstāvība noziedzīgā nodarījuma izklāstu apsūdzībā uzskata par nepietiekami detalizētu, proti, par tādu, kas liedz apsūdzētajam zināt, kāda</w:t>
      </w:r>
      <w:r w:rsidR="00566FC8" w:rsidRPr="00082431">
        <w:rPr>
          <w:rFonts w:ascii="Times New Roman" w:hAnsi="Times New Roman" w:cs="Times New Roman"/>
          <w:sz w:val="24"/>
        </w:rPr>
        <w:t xml:space="preserve"> </w:t>
      </w:r>
      <w:r w:rsidR="00085DB1" w:rsidRPr="00082431">
        <w:rPr>
          <w:rFonts w:ascii="Times New Roman" w:hAnsi="Times New Roman" w:cs="Times New Roman"/>
          <w:sz w:val="24"/>
        </w:rPr>
        <w:t xml:space="preserve">noziedzīga </w:t>
      </w:r>
      <w:r w:rsidR="00566FC8" w:rsidRPr="00082431">
        <w:rPr>
          <w:rFonts w:ascii="Times New Roman" w:hAnsi="Times New Roman" w:cs="Times New Roman"/>
          <w:sz w:val="24"/>
        </w:rPr>
        <w:t xml:space="preserve">nodarījuma izdarīšanā viņš apsūdzēts, vai izvēlēties aizstāvības pozīciju, uz to laikus norādīt un savu pozīciju pamatot. Jautājums par to, vai apsūdzības būtība ir saprotama, apsūdzētajam tiek uzdots gan pirmstiesas procesa laikā, izsniedzot apsūdzību, gan tiesas izmeklēšanas sākumā. Ja aizstāvība laikus neizmanto savas tiesības izteikties par apsūdzības saprotamību, vēlāk izteiktais viedoklis, </w:t>
      </w:r>
      <w:r w:rsidR="00085DB1" w:rsidRPr="00082431">
        <w:rPr>
          <w:rFonts w:ascii="Times New Roman" w:hAnsi="Times New Roman" w:cs="Times New Roman"/>
          <w:sz w:val="24"/>
        </w:rPr>
        <w:t xml:space="preserve">jo </w:t>
      </w:r>
      <w:r w:rsidR="00566FC8" w:rsidRPr="00082431">
        <w:rPr>
          <w:rFonts w:ascii="Times New Roman" w:hAnsi="Times New Roman" w:cs="Times New Roman"/>
          <w:sz w:val="24"/>
        </w:rPr>
        <w:t>īpaši, ja tas izteikts tikai tiesas debatēs, kad iespēja</w:t>
      </w:r>
      <w:r w:rsidR="004D7916" w:rsidRPr="00082431">
        <w:rPr>
          <w:rFonts w:ascii="Times New Roman" w:hAnsi="Times New Roman" w:cs="Times New Roman"/>
          <w:sz w:val="24"/>
        </w:rPr>
        <w:t>s</w:t>
      </w:r>
      <w:r w:rsidR="00566FC8" w:rsidRPr="00082431">
        <w:rPr>
          <w:rFonts w:ascii="Times New Roman" w:hAnsi="Times New Roman" w:cs="Times New Roman"/>
          <w:sz w:val="24"/>
        </w:rPr>
        <w:t xml:space="preserve"> papildināt apsūdzību ar </w:t>
      </w:r>
      <w:r w:rsidR="004D7916" w:rsidRPr="00082431">
        <w:rPr>
          <w:rFonts w:ascii="Times New Roman" w:hAnsi="Times New Roman" w:cs="Times New Roman"/>
          <w:sz w:val="24"/>
        </w:rPr>
        <w:t>detalizētākiem apstākļiem ir ierobežotas, liek apšaubīt šāda viedokļa pamatotību un var norādīt uz tiesību negodprātīgu izmantošanu.</w:t>
      </w:r>
      <w:r w:rsidR="00142E59" w:rsidRPr="00082431">
        <w:rPr>
          <w:rFonts w:ascii="Times New Roman" w:hAnsi="Times New Roman" w:cs="Times New Roman"/>
          <w:sz w:val="24"/>
        </w:rPr>
        <w:t xml:space="preserve"> Aizstāvības pienākums pamatot savu viedokli par neskaidru apsūdzību nav saistāms ar noziedzīgā nodarījuma sastāva un personas vainīguma pierādīšanas pienākuma pārnešanu.</w:t>
      </w:r>
    </w:p>
    <w:p w14:paraId="0A667B5B" w14:textId="77777777" w:rsidR="00C314B5" w:rsidRPr="00082431" w:rsidRDefault="00142E59"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Izskatāmajā lietā nodokļu deklarācijās norādīto summu pareizība netika apstrīdēta. Turklāt apsūdz</w:t>
      </w:r>
      <w:r w:rsidR="00830D96" w:rsidRPr="00082431">
        <w:rPr>
          <w:rFonts w:ascii="Times New Roman" w:hAnsi="Times New Roman" w:cs="Times New Roman"/>
          <w:sz w:val="24"/>
        </w:rPr>
        <w:t>ē</w:t>
      </w:r>
      <w:r w:rsidRPr="00082431">
        <w:rPr>
          <w:rFonts w:ascii="Times New Roman" w:hAnsi="Times New Roman" w:cs="Times New Roman"/>
          <w:sz w:val="24"/>
        </w:rPr>
        <w:t>tajam tika izsniegti lietas materiāli, kur šīs summas ir atspoguļotas</w:t>
      </w:r>
      <w:r w:rsidR="00830D96" w:rsidRPr="00082431">
        <w:rPr>
          <w:rFonts w:ascii="Times New Roman" w:hAnsi="Times New Roman" w:cs="Times New Roman"/>
          <w:sz w:val="24"/>
        </w:rPr>
        <w:t>, kā arī bija pieejams nodokļu audita ziņojums, kur norādīts nodokļu parāda veidošanās aprēķins. Kompetentās iestādes atzinumā norādīts katras nodokļu deklarācijas iesniegšanas termiņš, nodokļu samaksas termiņš, personas veiktie nodokļu maksājumi, piemērotie pasākumi nodokļu piedziņai piespiedu kārtā un citi apstākļi. No šiem apstākļiem apsūdzībā norādāmi tikai tie, kas skaidri un nepārprotami ļauj identificēt noziedzīgā nodarījuma sastāvu.</w:t>
      </w:r>
    </w:p>
    <w:p w14:paraId="78BD3DB5" w14:textId="2C71EEA3" w:rsidR="00085DB1" w:rsidRPr="00082431" w:rsidRDefault="00C314B5"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Neizvērtējot tiesību uz aizstāvību iespējamo pārkāpumu pēc būtības, apelācijas instances tiesa pieļāvusi Kriminālprocesa likuma </w:t>
      </w:r>
      <w:proofErr w:type="gramStart"/>
      <w:r w:rsidRPr="00082431">
        <w:rPr>
          <w:rFonts w:ascii="Times New Roman" w:hAnsi="Times New Roman" w:cs="Times New Roman"/>
          <w:sz w:val="24"/>
        </w:rPr>
        <w:t>511.panta</w:t>
      </w:r>
      <w:proofErr w:type="gramEnd"/>
      <w:r w:rsidR="00085DB1" w:rsidRPr="00082431">
        <w:rPr>
          <w:rFonts w:ascii="Times New Roman" w:hAnsi="Times New Roman" w:cs="Times New Roman"/>
          <w:sz w:val="24"/>
        </w:rPr>
        <w:t xml:space="preserve"> otrās daļas, 512.panta pirmās daļa un 564.panta ceturtās daļas pārkāpumus, kas uzskatāmi par Kriminālprocesa</w:t>
      </w:r>
      <w:r w:rsidR="0017083D" w:rsidRPr="00082431">
        <w:rPr>
          <w:rFonts w:ascii="Times New Roman" w:hAnsi="Times New Roman" w:cs="Times New Roman"/>
          <w:sz w:val="24"/>
        </w:rPr>
        <w:t xml:space="preserve"> likuma</w:t>
      </w:r>
      <w:r w:rsidR="00085DB1" w:rsidRPr="00082431">
        <w:rPr>
          <w:rFonts w:ascii="Times New Roman" w:hAnsi="Times New Roman" w:cs="Times New Roman"/>
          <w:sz w:val="24"/>
        </w:rPr>
        <w:t xml:space="preserve"> būtiskiem pārkāpumiem šā likuma 575.panta trešās daļas izpratnē.</w:t>
      </w:r>
    </w:p>
    <w:p w14:paraId="0967A3ED" w14:textId="10C41C80" w:rsidR="00085DB1" w:rsidRPr="00082431" w:rsidRDefault="0017083D"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[4.6] </w:t>
      </w:r>
      <w:r w:rsidR="00085DB1" w:rsidRPr="00082431">
        <w:rPr>
          <w:rFonts w:ascii="Times New Roman" w:hAnsi="Times New Roman" w:cs="Times New Roman"/>
          <w:sz w:val="24"/>
        </w:rPr>
        <w:t xml:space="preserve">Apelācijas instances tiesa nepamatoti šauri interpretējusi Kriminālprocesa likuma </w:t>
      </w:r>
      <w:proofErr w:type="gramStart"/>
      <w:r w:rsidR="00085DB1" w:rsidRPr="00082431">
        <w:rPr>
          <w:rFonts w:ascii="Times New Roman" w:hAnsi="Times New Roman" w:cs="Times New Roman"/>
          <w:sz w:val="24"/>
        </w:rPr>
        <w:t>455.panta</w:t>
      </w:r>
      <w:proofErr w:type="gramEnd"/>
      <w:r w:rsidR="00085DB1" w:rsidRPr="00082431">
        <w:rPr>
          <w:rFonts w:ascii="Times New Roman" w:hAnsi="Times New Roman" w:cs="Times New Roman"/>
          <w:sz w:val="24"/>
        </w:rPr>
        <w:t xml:space="preserve"> trešajā daļā noteiktās tiesības sašaurināt apsūdzību.</w:t>
      </w:r>
    </w:p>
    <w:p w14:paraId="200FB51B" w14:textId="77777777" w:rsidR="00C2301A" w:rsidRPr="00082431" w:rsidRDefault="00C2301A"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No Kriminālprocesa likuma </w:t>
      </w:r>
      <w:proofErr w:type="gramStart"/>
      <w:r w:rsidRPr="00082431">
        <w:rPr>
          <w:rFonts w:ascii="Times New Roman" w:hAnsi="Times New Roman" w:cs="Times New Roman"/>
          <w:sz w:val="24"/>
        </w:rPr>
        <w:t>455.panta</w:t>
      </w:r>
      <w:proofErr w:type="gramEnd"/>
      <w:r w:rsidRPr="00082431">
        <w:rPr>
          <w:rFonts w:ascii="Times New Roman" w:hAnsi="Times New Roman" w:cs="Times New Roman"/>
          <w:sz w:val="24"/>
        </w:rPr>
        <w:t xml:space="preserve"> trešās daļas, aplūkojot to kopsakarā ar Kriminālprocesa likuma 564.panta piekto daļu, izriet, ka tiesai ir tiesības sniegt jaunu pierādītā noziedzīgā nodarījuma aprakstu, ja ar to nepasliktinās apsūdzētā stāvoklis lietā un netiek pārkāptas viņa tiesības uz aizstāvību.</w:t>
      </w:r>
    </w:p>
    <w:p w14:paraId="7BC62DD1" w14:textId="14B3EFFD" w:rsidR="00884D1C" w:rsidRPr="00082431" w:rsidRDefault="00C2301A" w:rsidP="008A1030">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Senāts </w:t>
      </w:r>
      <w:proofErr w:type="gramStart"/>
      <w:r w:rsidRPr="00082431">
        <w:rPr>
          <w:rFonts w:ascii="Times New Roman" w:hAnsi="Times New Roman" w:cs="Times New Roman"/>
          <w:sz w:val="24"/>
        </w:rPr>
        <w:t>2019.g</w:t>
      </w:r>
      <w:r w:rsidR="001E2275" w:rsidRPr="00082431">
        <w:rPr>
          <w:rFonts w:ascii="Times New Roman" w:hAnsi="Times New Roman" w:cs="Times New Roman"/>
          <w:sz w:val="24"/>
        </w:rPr>
        <w:t>ada</w:t>
      </w:r>
      <w:proofErr w:type="gramEnd"/>
      <w:r w:rsidR="001E2275" w:rsidRPr="00082431">
        <w:rPr>
          <w:rFonts w:ascii="Times New Roman" w:hAnsi="Times New Roman" w:cs="Times New Roman"/>
          <w:sz w:val="24"/>
        </w:rPr>
        <w:t xml:space="preserve"> 31.oktobra lēmumā lietā Nr. </w:t>
      </w:r>
      <w:r w:rsidRPr="00082431">
        <w:rPr>
          <w:rFonts w:ascii="Times New Roman" w:hAnsi="Times New Roman" w:cs="Times New Roman"/>
          <w:sz w:val="24"/>
        </w:rPr>
        <w:t xml:space="preserve">SKK-373/2019 norādījis, ka tiesai, konstatējot, ka apsūdzības apjoms ir samazināms, jāsniedz jauns noziedzīgā nodarījuma apraksts. </w:t>
      </w:r>
      <w:r w:rsidR="008D1F6A" w:rsidRPr="00082431">
        <w:rPr>
          <w:rFonts w:ascii="Times New Roman" w:hAnsi="Times New Roman" w:cs="Times New Roman"/>
          <w:sz w:val="24"/>
        </w:rPr>
        <w:t xml:space="preserve">Tas nozīmē, ka gadījumā, ja kādā daļā ir konstatējamas noziedzīgā nodarījuma sastāva pazīmes, tiesa nedrīkst personu atzīt par nevainīgu un attaisnot visā pēc Krimināllikuma </w:t>
      </w:r>
      <w:proofErr w:type="gramStart"/>
      <w:r w:rsidR="008D1F6A" w:rsidRPr="00082431">
        <w:rPr>
          <w:rFonts w:ascii="Times New Roman" w:hAnsi="Times New Roman" w:cs="Times New Roman"/>
          <w:sz w:val="24"/>
        </w:rPr>
        <w:t>218.panta</w:t>
      </w:r>
      <w:proofErr w:type="gramEnd"/>
      <w:r w:rsidR="008D1F6A" w:rsidRPr="00082431">
        <w:rPr>
          <w:rFonts w:ascii="Times New Roman" w:hAnsi="Times New Roman" w:cs="Times New Roman"/>
          <w:sz w:val="24"/>
        </w:rPr>
        <w:t xml:space="preserve"> otrās daļas celtajā apsūdzībā. </w:t>
      </w:r>
      <w:r w:rsidR="00760D9F" w:rsidRPr="00082431">
        <w:rPr>
          <w:rFonts w:ascii="Times New Roman" w:hAnsi="Times New Roman" w:cs="Times New Roman"/>
          <w:sz w:val="24"/>
        </w:rPr>
        <w:t xml:space="preserve">Ievērojot </w:t>
      </w:r>
      <w:r w:rsidR="008A1030" w:rsidRPr="00082431">
        <w:rPr>
          <w:rFonts w:ascii="Times New Roman" w:hAnsi="Times New Roman" w:cs="Times New Roman"/>
          <w:sz w:val="24"/>
        </w:rPr>
        <w:t xml:space="preserve">apelācijas instances tiesas atzinumu par to, ka apsūdzībā nav noziedzīgā nodarījuma sastāva saistībā ar konkrētu nodokļu deklarāciju nenorādīšanu, tiesai bija jāizvērtē, vai nav konstatējams noziedzīga nodarījuma sastāvs pārējā apsūdzības daļā, proti, attiecībā uz nepatiesas informācijas sniegšanu. </w:t>
      </w:r>
      <w:r w:rsidR="008D1F6A" w:rsidRPr="00082431">
        <w:rPr>
          <w:rFonts w:ascii="Times New Roman" w:hAnsi="Times New Roman" w:cs="Times New Roman"/>
          <w:sz w:val="24"/>
        </w:rPr>
        <w:t xml:space="preserve">Samazinot pierādītā noziedzīgā nodarījuma aprakstā norādīto apsūdzības apjomu, tiesa nepasliktina apsūdzētā stāvokli un nepārkāpj viņa tiesības uz aizstāvību. </w:t>
      </w:r>
    </w:p>
    <w:p w14:paraId="338513D0" w14:textId="4B3163C8" w:rsidR="008A1030" w:rsidRPr="00082431" w:rsidRDefault="008A1030" w:rsidP="008A1030">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Arī valstij nodarītā zaudējuma rašanās brīdis </w:t>
      </w:r>
      <w:r w:rsidR="00DC47E4" w:rsidRPr="00082431">
        <w:rPr>
          <w:rFonts w:ascii="Times New Roman" w:hAnsi="Times New Roman" w:cs="Times New Roman"/>
          <w:sz w:val="24"/>
        </w:rPr>
        <w:t>iztiesāšanā ir pārbaudī</w:t>
      </w:r>
      <w:r w:rsidR="005C733B" w:rsidRPr="00082431">
        <w:rPr>
          <w:rFonts w:ascii="Times New Roman" w:hAnsi="Times New Roman" w:cs="Times New Roman"/>
          <w:sz w:val="24"/>
        </w:rPr>
        <w:t>ts, līdz ar to aizstāvībai tas b</w:t>
      </w:r>
      <w:r w:rsidR="00DC47E4" w:rsidRPr="00082431">
        <w:rPr>
          <w:rFonts w:ascii="Times New Roman" w:hAnsi="Times New Roman" w:cs="Times New Roman"/>
          <w:sz w:val="24"/>
        </w:rPr>
        <w:t>ija zināms un bija iespēja pret to aizstāvēties. Turklāt precīzam zaudējumu rašanās brīdim pretstatā zaudējumu esībai kā tādai ir nozīme kriminālatbildības noilguma konstatēšanā, par ko izskatāmajā lietā nav strīda, nevis noziedzīga nodarījuma sastāva esības vai neesības izvērtējumā. Arī noziedzīgā nodarījuma izdarīšana</w:t>
      </w:r>
      <w:r w:rsidR="005C733B" w:rsidRPr="00082431">
        <w:rPr>
          <w:rFonts w:ascii="Times New Roman" w:hAnsi="Times New Roman" w:cs="Times New Roman"/>
          <w:sz w:val="24"/>
        </w:rPr>
        <w:t xml:space="preserve">s perioda sašaurināšana uzlabo </w:t>
      </w:r>
      <w:r w:rsidR="00DC47E4" w:rsidRPr="00082431">
        <w:rPr>
          <w:rFonts w:ascii="Times New Roman" w:hAnsi="Times New Roman" w:cs="Times New Roman"/>
          <w:sz w:val="24"/>
        </w:rPr>
        <w:t xml:space="preserve">apsūdzētā stāvokli lietā.  </w:t>
      </w:r>
    </w:p>
    <w:p w14:paraId="25C25B07" w14:textId="2A694639" w:rsidR="00C74BD6" w:rsidRPr="00082431" w:rsidRDefault="008D1F6A"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Senāts </w:t>
      </w:r>
      <w:proofErr w:type="gramStart"/>
      <w:r w:rsidRPr="00082431">
        <w:rPr>
          <w:rFonts w:ascii="Times New Roman" w:hAnsi="Times New Roman" w:cs="Times New Roman"/>
          <w:sz w:val="24"/>
        </w:rPr>
        <w:t>2020</w:t>
      </w:r>
      <w:r w:rsidR="008F0433" w:rsidRPr="00082431">
        <w:rPr>
          <w:rFonts w:ascii="Times New Roman" w:hAnsi="Times New Roman" w:cs="Times New Roman"/>
          <w:sz w:val="24"/>
        </w:rPr>
        <w:t>.gada</w:t>
      </w:r>
      <w:proofErr w:type="gramEnd"/>
      <w:r w:rsidR="008F0433" w:rsidRPr="00082431">
        <w:rPr>
          <w:rFonts w:ascii="Times New Roman" w:hAnsi="Times New Roman" w:cs="Times New Roman"/>
          <w:sz w:val="24"/>
        </w:rPr>
        <w:t xml:space="preserve"> 2.jūnija lēmumā lietā Nr. </w:t>
      </w:r>
      <w:r w:rsidRPr="00082431">
        <w:rPr>
          <w:rFonts w:ascii="Times New Roman" w:hAnsi="Times New Roman" w:cs="Times New Roman"/>
          <w:sz w:val="24"/>
        </w:rPr>
        <w:t>SKK-</w:t>
      </w:r>
      <w:r w:rsidR="00884D1C" w:rsidRPr="00082431">
        <w:rPr>
          <w:rFonts w:ascii="Times New Roman" w:hAnsi="Times New Roman" w:cs="Times New Roman"/>
          <w:sz w:val="24"/>
        </w:rPr>
        <w:t>272/2020, kas līdzīga izskatāmajai lietai, norādījis, ka apelācijas instances tiesa, iztiesājot lietu, nav vērtējusi, vai grozītajā apsūdzībā norādītie faktiskie apstākļi apsūdzētajam bija zināmi pirms apsūdzības grozīšanas. Apelācijas instances tiesa tikai vispārīgi norādījusi, bet nav argumentējusi, kāpēc grozītajā apsūdzībā norādītie faktiskie apstākļi</w:t>
      </w:r>
      <w:r w:rsidR="00A44A29" w:rsidRPr="00082431">
        <w:rPr>
          <w:rFonts w:ascii="Times New Roman" w:hAnsi="Times New Roman" w:cs="Times New Roman"/>
          <w:sz w:val="24"/>
        </w:rPr>
        <w:t xml:space="preserve"> pasliktina apsūdzētā stāvokli</w:t>
      </w:r>
      <w:r w:rsidR="00C74BD6" w:rsidRPr="00082431">
        <w:rPr>
          <w:rFonts w:ascii="Times New Roman" w:hAnsi="Times New Roman" w:cs="Times New Roman"/>
          <w:sz w:val="24"/>
        </w:rPr>
        <w:t xml:space="preserve"> un ir uzskatāmi par smagākiem, nekā iepriekš apsūdzībā norādītie. </w:t>
      </w:r>
    </w:p>
    <w:p w14:paraId="44789B66" w14:textId="6E518339" w:rsidR="00C74BD6" w:rsidRPr="00082431" w:rsidRDefault="00CD491D"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Šie </w:t>
      </w:r>
      <w:r w:rsidR="00C74BD6" w:rsidRPr="00082431">
        <w:rPr>
          <w:rFonts w:ascii="Times New Roman" w:hAnsi="Times New Roman" w:cs="Times New Roman"/>
          <w:sz w:val="24"/>
        </w:rPr>
        <w:t>Senāta argumenti attiecināmi arī uz pašas tiesas iespēju atzīt par pierādītiem no apsūdzības atšķirīgus noziedzīgā nodarījuma faktiskos apstākļus.</w:t>
      </w:r>
    </w:p>
    <w:p w14:paraId="69410339" w14:textId="67EA97AA" w:rsidR="00760D9F" w:rsidRPr="00082431" w:rsidRDefault="00C74BD6" w:rsidP="00214A42">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Eiropas Cilvēktiesību tiesa lietā </w:t>
      </w:r>
      <w:r w:rsidRPr="00082431">
        <w:rPr>
          <w:rFonts w:ascii="Times New Roman" w:hAnsi="Times New Roman" w:cs="Times New Roman"/>
          <w:i/>
          <w:iCs/>
          <w:sz w:val="24"/>
        </w:rPr>
        <w:t xml:space="preserve">Sampech v. </w:t>
      </w:r>
      <w:proofErr w:type="spellStart"/>
      <w:r w:rsidRPr="00082431">
        <w:rPr>
          <w:rFonts w:ascii="Times New Roman" w:hAnsi="Times New Roman" w:cs="Times New Roman"/>
          <w:i/>
          <w:iCs/>
          <w:sz w:val="24"/>
        </w:rPr>
        <w:t>Italy</w:t>
      </w:r>
      <w:proofErr w:type="spellEnd"/>
      <w:r w:rsidRPr="00082431">
        <w:rPr>
          <w:rFonts w:ascii="Times New Roman" w:hAnsi="Times New Roman" w:cs="Times New Roman"/>
          <w:i/>
          <w:iCs/>
          <w:sz w:val="24"/>
        </w:rPr>
        <w:t xml:space="preserve"> </w:t>
      </w:r>
      <w:r w:rsidRPr="00082431">
        <w:rPr>
          <w:rFonts w:ascii="Times New Roman" w:hAnsi="Times New Roman" w:cs="Times New Roman"/>
          <w:sz w:val="24"/>
        </w:rPr>
        <w:t>(iesniegums Nr.</w:t>
      </w:r>
      <w:r w:rsidR="008F0433" w:rsidRPr="00082431">
        <w:rPr>
          <w:rFonts w:ascii="Times New Roman" w:hAnsi="Times New Roman" w:cs="Times New Roman"/>
          <w:sz w:val="24"/>
        </w:rPr>
        <w:t> </w:t>
      </w:r>
      <w:r w:rsidRPr="00082431">
        <w:rPr>
          <w:rFonts w:ascii="Times New Roman" w:hAnsi="Times New Roman" w:cs="Times New Roman"/>
          <w:sz w:val="24"/>
        </w:rPr>
        <w:t>55546/09, 110.punkts) norādījusi, ka noziedzīgā nodarījuma faktiskie apstākļi</w:t>
      </w:r>
      <w:r w:rsidR="005D5497" w:rsidRPr="00082431">
        <w:rPr>
          <w:rFonts w:ascii="Times New Roman" w:hAnsi="Times New Roman" w:cs="Times New Roman"/>
          <w:sz w:val="24"/>
        </w:rPr>
        <w:t xml:space="preserve"> var tikt precizēti</w:t>
      </w:r>
      <w:r w:rsidR="00CD491D" w:rsidRPr="00082431">
        <w:rPr>
          <w:rFonts w:ascii="Times New Roman" w:hAnsi="Times New Roman" w:cs="Times New Roman"/>
          <w:sz w:val="24"/>
        </w:rPr>
        <w:t xml:space="preserve"> un detalizētāk norādīti iztiesāšanas laikā un Eiropas Cilvēka tiesību un pamatbrīvību aizsardzības konvencija </w:t>
      </w:r>
      <w:r w:rsidR="00685D7E" w:rsidRPr="00082431">
        <w:rPr>
          <w:rFonts w:ascii="Times New Roman" w:hAnsi="Times New Roman" w:cs="Times New Roman"/>
          <w:sz w:val="24"/>
        </w:rPr>
        <w:t>neaizliedz nacionālajām tiesām</w:t>
      </w:r>
      <w:r w:rsidR="00CD491D" w:rsidRPr="00082431">
        <w:rPr>
          <w:rFonts w:ascii="Times New Roman" w:hAnsi="Times New Roman" w:cs="Times New Roman"/>
          <w:sz w:val="24"/>
        </w:rPr>
        <w:t>, pamatojoties uz materiāliem, kas iegūti tiesas izmeklēšanas laikā un uz kuriem vērsta apsūdzētā uzmanība, precizēt inkriminēto nodarījumu izdarīšanas veid</w:t>
      </w:r>
      <w:r w:rsidR="00214A42" w:rsidRPr="00082431">
        <w:rPr>
          <w:rFonts w:ascii="Times New Roman" w:hAnsi="Times New Roman" w:cs="Times New Roman"/>
          <w:sz w:val="24"/>
        </w:rPr>
        <w:t>u.</w:t>
      </w:r>
    </w:p>
    <w:p w14:paraId="0DB31B1F" w14:textId="77777777" w:rsidR="00160ADD" w:rsidRPr="00082431" w:rsidRDefault="00DC47E4" w:rsidP="00160ADD">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Apelācijas instances tiesa </w:t>
      </w:r>
      <w:r w:rsidR="00214A42" w:rsidRPr="00082431">
        <w:rPr>
          <w:rFonts w:ascii="Times New Roman" w:hAnsi="Times New Roman" w:cs="Times New Roman"/>
          <w:sz w:val="24"/>
        </w:rPr>
        <w:t xml:space="preserve">iepriekš minētos apstākļus nav vērtējusi un līdz ar to nonākusi pie nepareiza secinājuma, ka izskatāmajā lietā nav iespējams sašaurināt apsūdzības apjomu. Šāda tiesas rīcība neatbilst Kriminālprocesa likuma </w:t>
      </w:r>
      <w:proofErr w:type="gramStart"/>
      <w:r w:rsidR="00214A42" w:rsidRPr="00082431">
        <w:rPr>
          <w:rFonts w:ascii="Times New Roman" w:hAnsi="Times New Roman" w:cs="Times New Roman"/>
          <w:sz w:val="24"/>
        </w:rPr>
        <w:t>1.pantā</w:t>
      </w:r>
      <w:proofErr w:type="gramEnd"/>
      <w:r w:rsidR="00214A42" w:rsidRPr="00082431">
        <w:rPr>
          <w:rFonts w:ascii="Times New Roman" w:hAnsi="Times New Roman" w:cs="Times New Roman"/>
          <w:sz w:val="24"/>
        </w:rPr>
        <w:t xml:space="preserve"> ietvertajam taisnīgas krimināltiesisko attiecību noregulēšanas principam. Tādējādi tiesa pieļāvusi Kriminālprocesa likuma </w:t>
      </w:r>
      <w:proofErr w:type="gramStart"/>
      <w:r w:rsidR="00214A42" w:rsidRPr="00082431">
        <w:rPr>
          <w:rFonts w:ascii="Times New Roman" w:hAnsi="Times New Roman" w:cs="Times New Roman"/>
          <w:sz w:val="24"/>
        </w:rPr>
        <w:t>511.panta</w:t>
      </w:r>
      <w:proofErr w:type="gramEnd"/>
      <w:r w:rsidR="00214A42" w:rsidRPr="00082431">
        <w:rPr>
          <w:rFonts w:ascii="Times New Roman" w:hAnsi="Times New Roman" w:cs="Times New Roman"/>
          <w:sz w:val="24"/>
        </w:rPr>
        <w:t xml:space="preserve"> otrās daļas 512.panta pirmās daļas un 564.panta ceturtās daļas pārkāpumus, kas uzskatāmi par Kriminālprocesa likuma būtiskiem pārkāpumiem šā likuma 575.panta trešās daļas izpratnē.</w:t>
      </w:r>
      <w:r w:rsidR="00160ADD" w:rsidRPr="00082431">
        <w:rPr>
          <w:rFonts w:ascii="Times New Roman" w:hAnsi="Times New Roman" w:cs="Times New Roman"/>
          <w:sz w:val="24"/>
        </w:rPr>
        <w:t xml:space="preserve"> </w:t>
      </w:r>
    </w:p>
    <w:p w14:paraId="26939E22" w14:textId="77777777" w:rsidR="00160ADD" w:rsidRPr="00082431" w:rsidRDefault="00160ADD" w:rsidP="00160ADD">
      <w:pPr>
        <w:spacing w:after="0"/>
        <w:ind w:firstLine="709"/>
        <w:jc w:val="both"/>
        <w:rPr>
          <w:rFonts w:ascii="Times New Roman" w:hAnsi="Times New Roman" w:cs="Times New Roman"/>
          <w:sz w:val="24"/>
        </w:rPr>
      </w:pPr>
    </w:p>
    <w:p w14:paraId="592E5087" w14:textId="405A5543" w:rsidR="00FF34D2" w:rsidRPr="00082431" w:rsidRDefault="00160ADD" w:rsidP="00160ADD">
      <w:pPr>
        <w:spacing w:after="0"/>
        <w:ind w:firstLine="709"/>
        <w:jc w:val="both"/>
        <w:rPr>
          <w:rFonts w:ascii="Times New Roman" w:hAnsi="Times New Roman" w:cs="Times New Roman"/>
          <w:sz w:val="24"/>
        </w:rPr>
      </w:pPr>
      <w:r w:rsidRPr="00082431">
        <w:rPr>
          <w:rFonts w:ascii="Times New Roman" w:hAnsi="Times New Roman" w:cs="Times New Roman"/>
          <w:sz w:val="24"/>
        </w:rPr>
        <w:t>[5] </w:t>
      </w:r>
      <w:r w:rsidR="00FF34D2" w:rsidRPr="00082431">
        <w:rPr>
          <w:rFonts w:ascii="Times New Roman" w:hAnsi="Times New Roman" w:cs="Times New Roman"/>
          <w:sz w:val="24"/>
        </w:rPr>
        <w:t xml:space="preserve">Par Kurzemes apgabaltiesas </w:t>
      </w:r>
      <w:proofErr w:type="gramStart"/>
      <w:r w:rsidR="00FF34D2" w:rsidRPr="00082431">
        <w:rPr>
          <w:rFonts w:ascii="Times New Roman" w:hAnsi="Times New Roman" w:cs="Times New Roman"/>
          <w:sz w:val="24"/>
        </w:rPr>
        <w:t>2020.gada</w:t>
      </w:r>
      <w:proofErr w:type="gramEnd"/>
      <w:r w:rsidR="00FF34D2" w:rsidRPr="00082431">
        <w:rPr>
          <w:rFonts w:ascii="Times New Roman" w:hAnsi="Times New Roman" w:cs="Times New Roman"/>
          <w:sz w:val="24"/>
        </w:rPr>
        <w:t xml:space="preserve"> 10.septembra lēmumu VID iesniedzis kasācijas sūdzību, kurā lūdz atcelt tiesas lēmumu pilnībā un nosūtīt lietu jaunai izskatīšanai apelācijas instances tiesā.</w:t>
      </w:r>
    </w:p>
    <w:p w14:paraId="6F37DBA4" w14:textId="77777777" w:rsidR="00FF34D2" w:rsidRPr="00082431" w:rsidRDefault="00FF34D2" w:rsidP="000C2F2F">
      <w:pPr>
        <w:spacing w:after="0"/>
        <w:ind w:firstLine="709"/>
        <w:jc w:val="both"/>
        <w:rPr>
          <w:rFonts w:ascii="Times New Roman" w:hAnsi="Times New Roman" w:cs="Times New Roman"/>
          <w:sz w:val="24"/>
        </w:rPr>
      </w:pPr>
      <w:r w:rsidRPr="00082431">
        <w:rPr>
          <w:rFonts w:ascii="Times New Roman" w:hAnsi="Times New Roman" w:cs="Times New Roman"/>
          <w:sz w:val="24"/>
        </w:rPr>
        <w:t>Savu lūgumu VID pamatojis ar šādiem argumentiem.</w:t>
      </w:r>
    </w:p>
    <w:p w14:paraId="34E71DFB" w14:textId="19D97C05" w:rsidR="00A63B21" w:rsidRPr="00082431" w:rsidRDefault="0059648C" w:rsidP="00FF34D2">
      <w:pPr>
        <w:spacing w:after="0"/>
        <w:ind w:firstLine="709"/>
        <w:jc w:val="both"/>
        <w:rPr>
          <w:rFonts w:ascii="Times New Roman" w:hAnsi="Times New Roman" w:cs="Times New Roman"/>
          <w:sz w:val="24"/>
        </w:rPr>
      </w:pPr>
      <w:r w:rsidRPr="00082431">
        <w:rPr>
          <w:rFonts w:ascii="Times New Roman" w:hAnsi="Times New Roman" w:cs="Times New Roman"/>
          <w:sz w:val="24"/>
        </w:rPr>
        <w:t>[5.1] </w:t>
      </w:r>
      <w:r w:rsidR="00A63B21" w:rsidRPr="00082431">
        <w:rPr>
          <w:rFonts w:ascii="Times New Roman" w:hAnsi="Times New Roman" w:cs="Times New Roman"/>
          <w:sz w:val="24"/>
        </w:rPr>
        <w:t>Apelācijas instances tiesa</w:t>
      </w:r>
      <w:r w:rsidR="00ED3410" w:rsidRPr="00082431">
        <w:rPr>
          <w:rFonts w:ascii="Times New Roman" w:hAnsi="Times New Roman" w:cs="Times New Roman"/>
          <w:sz w:val="24"/>
        </w:rPr>
        <w:t xml:space="preserve">s </w:t>
      </w:r>
      <w:r w:rsidR="00A63B21" w:rsidRPr="00082431">
        <w:rPr>
          <w:rFonts w:ascii="Times New Roman" w:hAnsi="Times New Roman" w:cs="Times New Roman"/>
          <w:sz w:val="24"/>
        </w:rPr>
        <w:t>lēmumā nav norādīts tiesas atzinums par apelācijas sūdzības pamatotību vai nepamatotību</w:t>
      </w:r>
      <w:proofErr w:type="gramStart"/>
      <w:r w:rsidR="00A63B21" w:rsidRPr="00082431">
        <w:rPr>
          <w:rFonts w:ascii="Times New Roman" w:hAnsi="Times New Roman" w:cs="Times New Roman"/>
          <w:sz w:val="24"/>
        </w:rPr>
        <w:t xml:space="preserve"> un</w:t>
      </w:r>
      <w:proofErr w:type="gramEnd"/>
      <w:r w:rsidR="00A63B21" w:rsidRPr="00082431">
        <w:rPr>
          <w:rFonts w:ascii="Times New Roman" w:hAnsi="Times New Roman" w:cs="Times New Roman"/>
          <w:sz w:val="24"/>
        </w:rPr>
        <w:t xml:space="preserve"> nav norādīti motīvi, kāpēc tiesa noraida VID sniegtos argumentus.</w:t>
      </w:r>
    </w:p>
    <w:p w14:paraId="0BE83E90" w14:textId="77777777" w:rsidR="0056220B" w:rsidRPr="00082431" w:rsidRDefault="00A63B21" w:rsidP="00FF34D2">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VID apelācijas sūdzībā norādīja, ka pirmās instances tiesas spriedumā nav izlemts jautājums par to, vai </w:t>
      </w:r>
      <w:r w:rsidR="00573E21" w:rsidRPr="00082431">
        <w:rPr>
          <w:rFonts w:ascii="Times New Roman" w:hAnsi="Times New Roman" w:cs="Times New Roman"/>
          <w:sz w:val="24"/>
        </w:rPr>
        <w:t xml:space="preserve">vispār ir noticis apsūdzētajam inkriminētais noziedzīgais nodarījums. Atbildi uz šo jautājumu nav sniegusi arī apelācijas instances tiesa. No sprieduma taisīšanas vispārīgajām prasībām izriet, ka tiesai sprieduma motīvu daļā jāsniedz celtās apsūdzības pamatotības, pierādījumu un lietā noskaidrojamo apstākļu </w:t>
      </w:r>
      <w:r w:rsidR="000E55C6" w:rsidRPr="00082431">
        <w:rPr>
          <w:rFonts w:ascii="Times New Roman" w:hAnsi="Times New Roman" w:cs="Times New Roman"/>
          <w:sz w:val="24"/>
        </w:rPr>
        <w:t xml:space="preserve">vērtējums un ar atbilstošiem argumentiem jāpamato, kāpēc tā Kriminālprocesa likuma </w:t>
      </w:r>
      <w:proofErr w:type="gramStart"/>
      <w:r w:rsidR="000E55C6" w:rsidRPr="00082431">
        <w:rPr>
          <w:rFonts w:ascii="Times New Roman" w:hAnsi="Times New Roman" w:cs="Times New Roman"/>
          <w:sz w:val="24"/>
        </w:rPr>
        <w:t>514.panta</w:t>
      </w:r>
      <w:proofErr w:type="gramEnd"/>
      <w:r w:rsidR="000E55C6" w:rsidRPr="00082431">
        <w:rPr>
          <w:rFonts w:ascii="Times New Roman" w:hAnsi="Times New Roman" w:cs="Times New Roman"/>
          <w:sz w:val="24"/>
        </w:rPr>
        <w:t xml:space="preserve"> pirmajā daļā norādītos tiesas apspriedē izlemjamos jautājumus ir izlēmusi tieši tā.</w:t>
      </w:r>
      <w:r w:rsidR="002C5019" w:rsidRPr="00082431">
        <w:rPr>
          <w:rFonts w:ascii="Times New Roman" w:hAnsi="Times New Roman" w:cs="Times New Roman"/>
          <w:sz w:val="24"/>
        </w:rPr>
        <w:t xml:space="preserve"> </w:t>
      </w:r>
    </w:p>
    <w:p w14:paraId="1532AED4" w14:textId="77777777" w:rsidR="00845835" w:rsidRPr="00082431" w:rsidRDefault="002C5019" w:rsidP="00845835">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Atbilstoši Kriminālprocesa likuma </w:t>
      </w:r>
      <w:proofErr w:type="gramStart"/>
      <w:r w:rsidR="00845835" w:rsidRPr="00082431">
        <w:rPr>
          <w:rFonts w:ascii="Times New Roman" w:hAnsi="Times New Roman" w:cs="Times New Roman"/>
          <w:sz w:val="24"/>
        </w:rPr>
        <w:t>514.panta</w:t>
      </w:r>
      <w:proofErr w:type="gramEnd"/>
      <w:r w:rsidR="00845835" w:rsidRPr="00082431">
        <w:rPr>
          <w:rFonts w:ascii="Times New Roman" w:hAnsi="Times New Roman" w:cs="Times New Roman"/>
          <w:sz w:val="24"/>
        </w:rPr>
        <w:t xml:space="preserve"> pirmās daļas 1. un 2.</w:t>
      </w:r>
      <w:r w:rsidRPr="00082431">
        <w:rPr>
          <w:rFonts w:ascii="Times New Roman" w:hAnsi="Times New Roman" w:cs="Times New Roman"/>
          <w:sz w:val="24"/>
        </w:rPr>
        <w:t>punktam apspriedes laikā tiesa apspriežu istabā izlemj, vai noticis apsūdzētajam inkriminētais noziedzīgais nodarījums, vai šajā  nodarījumā ir noziedzīgā nodarījuma sastāvs, un kurā Krimināllikuma pantā</w:t>
      </w:r>
      <w:r w:rsidR="000C6E8E" w:rsidRPr="00082431">
        <w:rPr>
          <w:rFonts w:ascii="Times New Roman" w:hAnsi="Times New Roman" w:cs="Times New Roman"/>
          <w:sz w:val="24"/>
        </w:rPr>
        <w:t xml:space="preserve">, tā daļā, punktā tas paredzēts. Savukārt Senāta </w:t>
      </w:r>
      <w:proofErr w:type="gramStart"/>
      <w:r w:rsidR="000C6E8E" w:rsidRPr="00082431">
        <w:rPr>
          <w:rFonts w:ascii="Times New Roman" w:hAnsi="Times New Roman" w:cs="Times New Roman"/>
          <w:sz w:val="24"/>
        </w:rPr>
        <w:t>2018.</w:t>
      </w:r>
      <w:r w:rsidR="00845835" w:rsidRPr="00082431">
        <w:rPr>
          <w:rFonts w:ascii="Times New Roman" w:hAnsi="Times New Roman" w:cs="Times New Roman"/>
          <w:sz w:val="24"/>
        </w:rPr>
        <w:t>gada</w:t>
      </w:r>
      <w:proofErr w:type="gramEnd"/>
      <w:r w:rsidR="00845835" w:rsidRPr="00082431">
        <w:rPr>
          <w:rFonts w:ascii="Times New Roman" w:hAnsi="Times New Roman" w:cs="Times New Roman"/>
          <w:sz w:val="24"/>
        </w:rPr>
        <w:t xml:space="preserve"> 27.jūnija lēmumā lietā Nr. </w:t>
      </w:r>
      <w:r w:rsidR="000C6E8E" w:rsidRPr="00082431">
        <w:rPr>
          <w:rFonts w:ascii="Times New Roman" w:hAnsi="Times New Roman" w:cs="Times New Roman"/>
          <w:sz w:val="24"/>
        </w:rPr>
        <w:t>SKK-387/2018</w:t>
      </w:r>
      <w:r w:rsidRPr="00082431">
        <w:rPr>
          <w:rFonts w:ascii="Times New Roman" w:hAnsi="Times New Roman" w:cs="Times New Roman"/>
          <w:sz w:val="24"/>
        </w:rPr>
        <w:t xml:space="preserve"> </w:t>
      </w:r>
      <w:r w:rsidR="000C6E8E" w:rsidRPr="00082431">
        <w:rPr>
          <w:rFonts w:ascii="Times New Roman" w:hAnsi="Times New Roman" w:cs="Times New Roman"/>
          <w:sz w:val="24"/>
        </w:rPr>
        <w:t>norādīts, ka gadījumā, ja tiek konstatēts pamats attaisnojoša sprieduma taisīšanai, jānorāda pierādījumi, kas to apstiprina</w:t>
      </w:r>
      <w:r w:rsidR="0056220B" w:rsidRPr="00082431">
        <w:rPr>
          <w:rFonts w:ascii="Times New Roman" w:hAnsi="Times New Roman" w:cs="Times New Roman"/>
          <w:sz w:val="24"/>
        </w:rPr>
        <w:t>, un motīvi, kāpēc tiesa noraida pierādījumus, ar kuriem pamatota apsūdzība.</w:t>
      </w:r>
      <w:r w:rsidR="00845835" w:rsidRPr="00082431">
        <w:rPr>
          <w:rFonts w:ascii="Times New Roman" w:hAnsi="Times New Roman" w:cs="Times New Roman"/>
          <w:sz w:val="24"/>
        </w:rPr>
        <w:t xml:space="preserve"> </w:t>
      </w:r>
    </w:p>
    <w:p w14:paraId="081C1421" w14:textId="14435DA0" w:rsidR="002C5019" w:rsidRPr="00082431" w:rsidRDefault="000E55C6" w:rsidP="00845835">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Apelācijas instances tiesa, atzīstot, ka </w:t>
      </w:r>
      <w:r w:rsidR="00266E84">
        <w:rPr>
          <w:rFonts w:ascii="Times New Roman" w:hAnsi="Times New Roman" w:cs="Times New Roman"/>
          <w:sz w:val="24"/>
        </w:rPr>
        <w:t>[pers. A]</w:t>
      </w:r>
      <w:r w:rsidRPr="00082431">
        <w:rPr>
          <w:rFonts w:ascii="Times New Roman" w:hAnsi="Times New Roman" w:cs="Times New Roman"/>
          <w:sz w:val="24"/>
        </w:rPr>
        <w:t xml:space="preserve"> celtā apsūdzība ir nekonkrēta un neatbilst likumam, nav vērtējusi pierādījumus un līdz ar to nav izlēmusi visus jautājumus, kas tai atbilstoši Kriminālpr</w:t>
      </w:r>
      <w:r w:rsidR="00845835" w:rsidRPr="00082431">
        <w:rPr>
          <w:rFonts w:ascii="Times New Roman" w:hAnsi="Times New Roman" w:cs="Times New Roman"/>
          <w:sz w:val="24"/>
        </w:rPr>
        <w:t xml:space="preserve">ocesa likuma </w:t>
      </w:r>
      <w:proofErr w:type="gramStart"/>
      <w:r w:rsidR="00845835" w:rsidRPr="00082431">
        <w:rPr>
          <w:rFonts w:ascii="Times New Roman" w:hAnsi="Times New Roman" w:cs="Times New Roman"/>
          <w:sz w:val="24"/>
        </w:rPr>
        <w:t>514.panta</w:t>
      </w:r>
      <w:proofErr w:type="gramEnd"/>
      <w:r w:rsidR="00845835" w:rsidRPr="00082431">
        <w:rPr>
          <w:rFonts w:ascii="Times New Roman" w:hAnsi="Times New Roman" w:cs="Times New Roman"/>
          <w:sz w:val="24"/>
        </w:rPr>
        <w:t xml:space="preserve"> pirmajai</w:t>
      </w:r>
      <w:r w:rsidRPr="00082431">
        <w:rPr>
          <w:rFonts w:ascii="Times New Roman" w:hAnsi="Times New Roman" w:cs="Times New Roman"/>
          <w:sz w:val="24"/>
        </w:rPr>
        <w:t xml:space="preserve"> daļai </w:t>
      </w:r>
      <w:r w:rsidR="0056220B" w:rsidRPr="00082431">
        <w:rPr>
          <w:rFonts w:ascii="Times New Roman" w:hAnsi="Times New Roman" w:cs="Times New Roman"/>
          <w:sz w:val="24"/>
        </w:rPr>
        <w:t>bija</w:t>
      </w:r>
      <w:r w:rsidRPr="00082431">
        <w:rPr>
          <w:rFonts w:ascii="Times New Roman" w:hAnsi="Times New Roman" w:cs="Times New Roman"/>
          <w:sz w:val="24"/>
        </w:rPr>
        <w:t xml:space="preserve"> jāizlemj.</w:t>
      </w:r>
      <w:r w:rsidR="0056220B" w:rsidRPr="00082431">
        <w:rPr>
          <w:rFonts w:ascii="Times New Roman" w:hAnsi="Times New Roman" w:cs="Times New Roman"/>
          <w:sz w:val="24"/>
        </w:rPr>
        <w:t xml:space="preserve"> Tikai pēc Kriminālprocesa likuma </w:t>
      </w:r>
      <w:proofErr w:type="gramStart"/>
      <w:r w:rsidR="002162D4" w:rsidRPr="00082431">
        <w:rPr>
          <w:rFonts w:ascii="Times New Roman" w:hAnsi="Times New Roman" w:cs="Times New Roman"/>
          <w:sz w:val="24"/>
        </w:rPr>
        <w:t>514.panta</w:t>
      </w:r>
      <w:proofErr w:type="gramEnd"/>
      <w:r w:rsidR="002162D4" w:rsidRPr="00082431">
        <w:rPr>
          <w:rFonts w:ascii="Times New Roman" w:hAnsi="Times New Roman" w:cs="Times New Roman"/>
          <w:sz w:val="24"/>
        </w:rPr>
        <w:t xml:space="preserve"> pirmās daļas 1. un 2.punktā norādīto jautājumu noskaidrošanas ir iespējams sniegt atzinumu par apsūdzētā vainīgumu inkriminētā noziedzīgā nodarījuma izdarīšanā un taisīt notiesājošu vai attaisnojošu spriedumu, to attiecīgi motivējot un argumentus norādot spriedumā.</w:t>
      </w:r>
    </w:p>
    <w:p w14:paraId="3390BF3C" w14:textId="3304741A" w:rsidR="00BC265A" w:rsidRPr="00082431" w:rsidRDefault="002162D4" w:rsidP="00BC265A">
      <w:pPr>
        <w:spacing w:after="0"/>
        <w:ind w:firstLine="709"/>
        <w:jc w:val="both"/>
        <w:rPr>
          <w:rFonts w:ascii="Times New Roman" w:hAnsi="Times New Roman" w:cs="Times New Roman"/>
          <w:sz w:val="24"/>
        </w:rPr>
      </w:pPr>
      <w:r w:rsidRPr="00082431">
        <w:rPr>
          <w:rFonts w:ascii="Times New Roman" w:hAnsi="Times New Roman" w:cs="Times New Roman"/>
          <w:sz w:val="24"/>
        </w:rPr>
        <w:t>[5.2]</w:t>
      </w:r>
      <w:r w:rsidR="00845835" w:rsidRPr="00082431">
        <w:rPr>
          <w:rFonts w:ascii="Times New Roman" w:hAnsi="Times New Roman" w:cs="Times New Roman"/>
          <w:sz w:val="24"/>
        </w:rPr>
        <w:t> </w:t>
      </w:r>
      <w:r w:rsidR="002C6F79" w:rsidRPr="00082431">
        <w:rPr>
          <w:rFonts w:ascii="Times New Roman" w:hAnsi="Times New Roman" w:cs="Times New Roman"/>
          <w:sz w:val="24"/>
        </w:rPr>
        <w:t xml:space="preserve">Apelācijas instances tiesa nepamatoti secinājusi, ka </w:t>
      </w:r>
      <w:r w:rsidR="008F5872" w:rsidRPr="00082431">
        <w:rPr>
          <w:rFonts w:ascii="Times New Roman" w:hAnsi="Times New Roman" w:cs="Times New Roman"/>
          <w:sz w:val="24"/>
        </w:rPr>
        <w:t xml:space="preserve">apsūdzībā nav norādes, ka </w:t>
      </w:r>
      <w:r w:rsidR="00266E84">
        <w:rPr>
          <w:rFonts w:ascii="Times New Roman" w:hAnsi="Times New Roman" w:cs="Times New Roman"/>
          <w:sz w:val="24"/>
        </w:rPr>
        <w:t>[pers. A]</w:t>
      </w:r>
      <w:r w:rsidR="008F5872" w:rsidRPr="00082431">
        <w:rPr>
          <w:rFonts w:ascii="Times New Roman" w:hAnsi="Times New Roman" w:cs="Times New Roman"/>
          <w:sz w:val="24"/>
        </w:rPr>
        <w:t xml:space="preserve"> ir prettiesiski samazinājis budž</w:t>
      </w:r>
      <w:r w:rsidR="00845835" w:rsidRPr="00082431">
        <w:rPr>
          <w:rFonts w:ascii="Times New Roman" w:hAnsi="Times New Roman" w:cs="Times New Roman"/>
          <w:sz w:val="24"/>
        </w:rPr>
        <w:t>etā maksājamo PVN par 22 239,53 </w:t>
      </w:r>
      <w:r w:rsidR="008F5872" w:rsidRPr="00082431">
        <w:rPr>
          <w:rFonts w:ascii="Times New Roman" w:hAnsi="Times New Roman" w:cs="Times New Roman"/>
          <w:i/>
          <w:iCs/>
          <w:sz w:val="24"/>
        </w:rPr>
        <w:t>euro</w:t>
      </w:r>
      <w:r w:rsidR="008F5872" w:rsidRPr="00082431">
        <w:rPr>
          <w:rFonts w:ascii="Times New Roman" w:hAnsi="Times New Roman" w:cs="Times New Roman"/>
          <w:sz w:val="24"/>
        </w:rPr>
        <w:t>.</w:t>
      </w:r>
      <w:r w:rsidR="00BC265A" w:rsidRPr="00082431">
        <w:rPr>
          <w:rFonts w:ascii="Times New Roman" w:hAnsi="Times New Roman" w:cs="Times New Roman"/>
          <w:sz w:val="24"/>
        </w:rPr>
        <w:t xml:space="preserve"> </w:t>
      </w:r>
    </w:p>
    <w:p w14:paraId="6DDE1ACE" w14:textId="18498982" w:rsidR="00C0168D" w:rsidRPr="00082431" w:rsidRDefault="00266E84" w:rsidP="00C0168D">
      <w:pPr>
        <w:spacing w:after="0"/>
        <w:ind w:firstLine="709"/>
        <w:jc w:val="both"/>
        <w:rPr>
          <w:rFonts w:ascii="Times New Roman" w:hAnsi="Times New Roman" w:cs="Times New Roman"/>
          <w:sz w:val="24"/>
          <w:szCs w:val="24"/>
        </w:rPr>
      </w:pPr>
      <w:r>
        <w:rPr>
          <w:rFonts w:ascii="Times New Roman" w:hAnsi="Times New Roman" w:cs="Times New Roman"/>
          <w:sz w:val="24"/>
        </w:rPr>
        <w:t>[Pers. A]</w:t>
      </w:r>
      <w:r w:rsidR="008F5872" w:rsidRPr="00082431">
        <w:rPr>
          <w:rFonts w:ascii="Times New Roman" w:hAnsi="Times New Roman" w:cs="Times New Roman"/>
          <w:sz w:val="24"/>
        </w:rPr>
        <w:t xml:space="preserve"> </w:t>
      </w:r>
      <w:r w:rsidR="008D3C37" w:rsidRPr="00082431">
        <w:rPr>
          <w:rFonts w:ascii="Times New Roman" w:hAnsi="Times New Roman" w:cs="Times New Roman"/>
          <w:sz w:val="24"/>
        </w:rPr>
        <w:t>celtajā apsūdzībā ir norādīts:</w:t>
      </w:r>
      <w:r w:rsidR="00C0168D" w:rsidRPr="00082431">
        <w:rPr>
          <w:rFonts w:ascii="Times New Roman" w:hAnsi="Times New Roman" w:cs="Times New Roman"/>
          <w:sz w:val="24"/>
        </w:rPr>
        <w:t xml:space="preserve"> „</w:t>
      </w:r>
      <w:r w:rsidR="008F5872" w:rsidRPr="00082431">
        <w:rPr>
          <w:rFonts w:ascii="Times New Roman" w:hAnsi="Times New Roman" w:cs="Times New Roman"/>
          <w:sz w:val="24"/>
          <w:szCs w:val="24"/>
        </w:rPr>
        <w:t>Vadoties no norādītajiem fiktīvajiem darī</w:t>
      </w:r>
      <w:r w:rsidR="00C30EDF" w:rsidRPr="00082431">
        <w:rPr>
          <w:rFonts w:ascii="Times New Roman" w:hAnsi="Times New Roman" w:cs="Times New Roman"/>
          <w:sz w:val="24"/>
          <w:szCs w:val="24"/>
        </w:rPr>
        <w:t>jumiem ar SIA „K.L.R.2” un SIA </w:t>
      </w:r>
      <w:r w:rsidR="00C0168D" w:rsidRPr="00082431">
        <w:rPr>
          <w:rFonts w:ascii="Times New Roman" w:hAnsi="Times New Roman" w:cs="Times New Roman"/>
          <w:sz w:val="24"/>
          <w:szCs w:val="24"/>
        </w:rPr>
        <w:t>„</w:t>
      </w:r>
      <w:r w:rsidR="008F5872" w:rsidRPr="00082431">
        <w:rPr>
          <w:rFonts w:ascii="Times New Roman" w:hAnsi="Times New Roman" w:cs="Times New Roman"/>
          <w:sz w:val="24"/>
          <w:szCs w:val="24"/>
        </w:rPr>
        <w:t xml:space="preserve">STORM DESIGN”, </w:t>
      </w:r>
      <w:r>
        <w:rPr>
          <w:rFonts w:ascii="Times New Roman" w:hAnsi="Times New Roman" w:cs="Times New Roman"/>
          <w:sz w:val="24"/>
          <w:szCs w:val="24"/>
        </w:rPr>
        <w:t>[pers. A]</w:t>
      </w:r>
      <w:r w:rsidR="008F5872" w:rsidRPr="00082431">
        <w:rPr>
          <w:rFonts w:ascii="Times New Roman" w:hAnsi="Times New Roman" w:cs="Times New Roman"/>
          <w:sz w:val="24"/>
          <w:szCs w:val="24"/>
        </w:rPr>
        <w:t xml:space="preserve"> PVN deklarācijās nepamatoti norādīja</w:t>
      </w:r>
      <w:r w:rsidR="00C0168D" w:rsidRPr="00082431">
        <w:rPr>
          <w:rFonts w:ascii="Times New Roman" w:hAnsi="Times New Roman" w:cs="Times New Roman"/>
          <w:sz w:val="24"/>
          <w:szCs w:val="24"/>
        </w:rPr>
        <w:t xml:space="preserve"> priekšnodokli kopumā 22 239,53 </w:t>
      </w:r>
      <w:r w:rsidR="008F5872" w:rsidRPr="00082431">
        <w:rPr>
          <w:rFonts w:ascii="Times New Roman" w:hAnsi="Times New Roman" w:cs="Times New Roman"/>
          <w:i/>
          <w:iCs/>
          <w:sz w:val="24"/>
          <w:szCs w:val="24"/>
        </w:rPr>
        <w:t>euro</w:t>
      </w:r>
      <w:r w:rsidR="008F5872" w:rsidRPr="00082431">
        <w:rPr>
          <w:rFonts w:ascii="Times New Roman" w:hAnsi="Times New Roman" w:cs="Times New Roman"/>
          <w:sz w:val="24"/>
          <w:szCs w:val="24"/>
        </w:rPr>
        <w:t xml:space="preserve"> un tādējādi, apzinoties, ka darījumi faktiski nav notikuši, prettiesiski samazināja valsts budžetā maksājamo PVN par 22 239,53</w:t>
      </w:r>
      <w:r w:rsidR="00C0168D" w:rsidRPr="00082431">
        <w:rPr>
          <w:rFonts w:ascii="Times New Roman" w:hAnsi="Times New Roman" w:cs="Times New Roman"/>
          <w:sz w:val="24"/>
          <w:szCs w:val="24"/>
        </w:rPr>
        <w:t> </w:t>
      </w:r>
      <w:r w:rsidR="008F5872" w:rsidRPr="00082431">
        <w:rPr>
          <w:rFonts w:ascii="Times New Roman" w:hAnsi="Times New Roman" w:cs="Times New Roman"/>
          <w:i/>
          <w:iCs/>
          <w:sz w:val="24"/>
          <w:szCs w:val="24"/>
        </w:rPr>
        <w:t>euro</w:t>
      </w:r>
      <w:r w:rsidR="00E72BEF" w:rsidRPr="00082431">
        <w:rPr>
          <w:rFonts w:ascii="Times New Roman" w:hAnsi="Times New Roman" w:cs="Times New Roman"/>
          <w:sz w:val="24"/>
          <w:szCs w:val="24"/>
        </w:rPr>
        <w:t>”.</w:t>
      </w:r>
      <w:r w:rsidR="00C0168D" w:rsidRPr="00082431">
        <w:rPr>
          <w:rFonts w:ascii="Times New Roman" w:hAnsi="Times New Roman" w:cs="Times New Roman"/>
          <w:sz w:val="24"/>
          <w:szCs w:val="24"/>
        </w:rPr>
        <w:t xml:space="preserve"> </w:t>
      </w:r>
    </w:p>
    <w:p w14:paraId="711F4162" w14:textId="5F32E008" w:rsidR="00C0168D" w:rsidRPr="00082431" w:rsidRDefault="00E72BEF" w:rsidP="00C0168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Turklāt no VID </w:t>
      </w:r>
      <w:proofErr w:type="gramStart"/>
      <w:r w:rsidRPr="00082431">
        <w:rPr>
          <w:rFonts w:ascii="Times New Roman" w:hAnsi="Times New Roman" w:cs="Times New Roman"/>
          <w:sz w:val="24"/>
          <w:szCs w:val="24"/>
        </w:rPr>
        <w:t>2018.gada</w:t>
      </w:r>
      <w:proofErr w:type="gramEnd"/>
      <w:r w:rsidRPr="00082431">
        <w:rPr>
          <w:rFonts w:ascii="Times New Roman" w:hAnsi="Times New Roman" w:cs="Times New Roman"/>
          <w:sz w:val="24"/>
          <w:szCs w:val="24"/>
        </w:rPr>
        <w:t xml:space="preserve"> 24.maija pieteikuma Nr.</w:t>
      </w:r>
      <w:r w:rsidR="00C0168D" w:rsidRPr="00082431">
        <w:rPr>
          <w:rFonts w:ascii="Times New Roman" w:hAnsi="Times New Roman" w:cs="Times New Roman"/>
          <w:sz w:val="24"/>
          <w:szCs w:val="24"/>
        </w:rPr>
        <w:t> </w:t>
      </w:r>
      <w:r w:rsidRPr="00082431">
        <w:rPr>
          <w:rFonts w:ascii="Times New Roman" w:hAnsi="Times New Roman" w:cs="Times New Roman"/>
          <w:sz w:val="24"/>
          <w:szCs w:val="24"/>
        </w:rPr>
        <w:t>22.12.3-4/2331 pielikumā pievienotās VID Nodokļu informācijas sistēmas izdruka</w:t>
      </w:r>
      <w:r w:rsidR="00767AB7" w:rsidRPr="00082431">
        <w:rPr>
          <w:rFonts w:ascii="Times New Roman" w:hAnsi="Times New Roman" w:cs="Times New Roman"/>
          <w:sz w:val="24"/>
          <w:szCs w:val="24"/>
        </w:rPr>
        <w:t>s</w:t>
      </w:r>
      <w:r w:rsidRPr="00082431">
        <w:rPr>
          <w:rFonts w:ascii="Times New Roman" w:hAnsi="Times New Roman" w:cs="Times New Roman"/>
          <w:sz w:val="24"/>
          <w:szCs w:val="24"/>
        </w:rPr>
        <w:t xml:space="preserve"> un </w:t>
      </w:r>
      <w:r w:rsidR="00C30EDF" w:rsidRPr="00082431">
        <w:rPr>
          <w:rFonts w:ascii="Times New Roman" w:hAnsi="Times New Roman" w:cs="Times New Roman"/>
          <w:sz w:val="24"/>
          <w:szCs w:val="24"/>
        </w:rPr>
        <w:t>lietas materiālos esošajām SIA </w:t>
      </w:r>
      <w:r w:rsidR="00C0168D" w:rsidRPr="00082431">
        <w:rPr>
          <w:rFonts w:ascii="Times New Roman" w:hAnsi="Times New Roman" w:cs="Times New Roman"/>
          <w:sz w:val="24"/>
          <w:szCs w:val="24"/>
        </w:rPr>
        <w:t>,,</w:t>
      </w:r>
      <w:r w:rsidR="00266E84">
        <w:rPr>
          <w:rFonts w:ascii="Times New Roman" w:hAnsi="Times New Roman" w:cs="Times New Roman"/>
          <w:sz w:val="24"/>
          <w:szCs w:val="24"/>
        </w:rPr>
        <w:t>[Nosaukums A]</w:t>
      </w:r>
      <w:r w:rsidRPr="00082431">
        <w:rPr>
          <w:rFonts w:ascii="Times New Roman" w:hAnsi="Times New Roman" w:cs="Times New Roman"/>
          <w:sz w:val="24"/>
          <w:szCs w:val="24"/>
        </w:rPr>
        <w:t>” PVN deklarācijām par 2014.gada novembri un decembri nepārprotami izriet, ka:</w:t>
      </w:r>
      <w:r w:rsidR="00C0168D" w:rsidRPr="00082431">
        <w:rPr>
          <w:rFonts w:ascii="Times New Roman" w:hAnsi="Times New Roman" w:cs="Times New Roman"/>
          <w:sz w:val="24"/>
          <w:szCs w:val="24"/>
        </w:rPr>
        <w:t xml:space="preserve"> </w:t>
      </w:r>
    </w:p>
    <w:p w14:paraId="44AF01A8" w14:textId="18AF4EC9" w:rsidR="00D20852" w:rsidRPr="00082431" w:rsidRDefault="00E72BEF" w:rsidP="00D20852">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1)</w:t>
      </w:r>
      <w:r w:rsidR="00C0168D" w:rsidRPr="00082431">
        <w:rPr>
          <w:rFonts w:ascii="Times New Roman" w:hAnsi="Times New Roman" w:cs="Times New Roman"/>
          <w:sz w:val="24"/>
          <w:szCs w:val="24"/>
        </w:rPr>
        <w:t> SIA ,,</w:t>
      </w:r>
      <w:r w:rsidR="00266E84">
        <w:rPr>
          <w:rFonts w:ascii="Times New Roman" w:hAnsi="Times New Roman" w:cs="Times New Roman"/>
          <w:sz w:val="24"/>
          <w:szCs w:val="24"/>
        </w:rPr>
        <w:t>[Nosaukums A]</w:t>
      </w:r>
      <w:r w:rsidR="00840B72" w:rsidRPr="00082431">
        <w:rPr>
          <w:rFonts w:ascii="Times New Roman" w:hAnsi="Times New Roman" w:cs="Times New Roman"/>
          <w:sz w:val="24"/>
          <w:szCs w:val="24"/>
        </w:rPr>
        <w:t xml:space="preserve">” </w:t>
      </w:r>
      <w:proofErr w:type="gramStart"/>
      <w:r w:rsidR="00840B72" w:rsidRPr="00082431">
        <w:rPr>
          <w:rFonts w:ascii="Times New Roman" w:hAnsi="Times New Roman" w:cs="Times New Roman"/>
          <w:sz w:val="24"/>
          <w:szCs w:val="24"/>
        </w:rPr>
        <w:t>2015.gada</w:t>
      </w:r>
      <w:proofErr w:type="gramEnd"/>
      <w:r w:rsidR="00840B72" w:rsidRPr="00082431">
        <w:rPr>
          <w:rFonts w:ascii="Times New Roman" w:hAnsi="Times New Roman" w:cs="Times New Roman"/>
          <w:sz w:val="24"/>
          <w:szCs w:val="24"/>
        </w:rPr>
        <w:t xml:space="preserve"> 19.janvārī iesniedza PVN deklarāciju par 2014.gada novembri, deklarējot </w:t>
      </w:r>
      <w:r w:rsidR="008460FE" w:rsidRPr="00082431">
        <w:rPr>
          <w:rFonts w:ascii="Times New Roman" w:hAnsi="Times New Roman" w:cs="Times New Roman"/>
          <w:sz w:val="24"/>
          <w:szCs w:val="24"/>
        </w:rPr>
        <w:t xml:space="preserve">valsts </w:t>
      </w:r>
      <w:r w:rsidR="00840B72" w:rsidRPr="00082431">
        <w:rPr>
          <w:rFonts w:ascii="Times New Roman" w:hAnsi="Times New Roman" w:cs="Times New Roman"/>
          <w:sz w:val="24"/>
          <w:szCs w:val="24"/>
        </w:rPr>
        <w:t>budžetā maksājamo PVN</w:t>
      </w:r>
      <w:r w:rsidR="00054585" w:rsidRPr="00082431">
        <w:rPr>
          <w:rFonts w:ascii="Times New Roman" w:hAnsi="Times New Roman" w:cs="Times New Roman"/>
          <w:sz w:val="24"/>
          <w:szCs w:val="24"/>
        </w:rPr>
        <w:t xml:space="preserve"> </w:t>
      </w:r>
      <w:r w:rsidR="008561DC" w:rsidRPr="00082431">
        <w:rPr>
          <w:rFonts w:ascii="Times New Roman" w:hAnsi="Times New Roman" w:cs="Times New Roman"/>
          <w:sz w:val="24"/>
          <w:szCs w:val="24"/>
        </w:rPr>
        <w:t>9767,</w:t>
      </w:r>
      <w:r w:rsidR="00C0168D" w:rsidRPr="00082431">
        <w:rPr>
          <w:rFonts w:ascii="Times New Roman" w:hAnsi="Times New Roman" w:cs="Times New Roman"/>
          <w:sz w:val="24"/>
          <w:szCs w:val="24"/>
        </w:rPr>
        <w:t>35 </w:t>
      </w:r>
      <w:r w:rsidR="00840B72" w:rsidRPr="00082431">
        <w:rPr>
          <w:rFonts w:ascii="Times New Roman" w:hAnsi="Times New Roman" w:cs="Times New Roman"/>
          <w:i/>
          <w:iCs/>
          <w:sz w:val="24"/>
          <w:szCs w:val="24"/>
        </w:rPr>
        <w:t xml:space="preserve">euro </w:t>
      </w:r>
      <w:r w:rsidR="00C0168D" w:rsidRPr="00082431">
        <w:rPr>
          <w:rFonts w:ascii="Times New Roman" w:hAnsi="Times New Roman" w:cs="Times New Roman"/>
          <w:sz w:val="24"/>
          <w:szCs w:val="24"/>
        </w:rPr>
        <w:t>un priekšnodokli 20 245,20 </w:t>
      </w:r>
      <w:r w:rsidR="00840B72" w:rsidRPr="00082431">
        <w:rPr>
          <w:rFonts w:ascii="Times New Roman" w:hAnsi="Times New Roman" w:cs="Times New Roman"/>
          <w:i/>
          <w:iCs/>
          <w:sz w:val="24"/>
          <w:szCs w:val="24"/>
        </w:rPr>
        <w:t>euro</w:t>
      </w:r>
      <w:r w:rsidR="00054585" w:rsidRPr="00082431">
        <w:rPr>
          <w:rFonts w:ascii="Times New Roman" w:hAnsi="Times New Roman" w:cs="Times New Roman"/>
          <w:sz w:val="24"/>
          <w:szCs w:val="24"/>
        </w:rPr>
        <w:t>, tajā skaitā priekšnodokli par faktiski nenotikušiem darīj</w:t>
      </w:r>
      <w:r w:rsidR="00C30EDF" w:rsidRPr="00082431">
        <w:rPr>
          <w:rFonts w:ascii="Times New Roman" w:hAnsi="Times New Roman" w:cs="Times New Roman"/>
          <w:sz w:val="24"/>
          <w:szCs w:val="24"/>
        </w:rPr>
        <w:t>umiem ar SIA </w:t>
      </w:r>
      <w:r w:rsidR="008561DC" w:rsidRPr="00082431">
        <w:rPr>
          <w:rFonts w:ascii="Times New Roman" w:hAnsi="Times New Roman" w:cs="Times New Roman"/>
          <w:sz w:val="24"/>
          <w:szCs w:val="24"/>
        </w:rPr>
        <w:t>,,K.L.R.2” 16 054,50 </w:t>
      </w:r>
      <w:proofErr w:type="spellStart"/>
      <w:r w:rsidR="00054585" w:rsidRPr="00082431">
        <w:rPr>
          <w:rFonts w:ascii="Times New Roman" w:hAnsi="Times New Roman" w:cs="Times New Roman"/>
          <w:i/>
          <w:iCs/>
          <w:sz w:val="24"/>
          <w:szCs w:val="24"/>
        </w:rPr>
        <w:t>euro</w:t>
      </w:r>
      <w:proofErr w:type="spellEnd"/>
      <w:r w:rsidR="00054585" w:rsidRPr="00082431">
        <w:rPr>
          <w:rFonts w:ascii="Times New Roman" w:hAnsi="Times New Roman" w:cs="Times New Roman"/>
          <w:sz w:val="24"/>
          <w:szCs w:val="24"/>
        </w:rPr>
        <w:t>, tādējādi izveidojot no valsts bu</w:t>
      </w:r>
      <w:r w:rsidR="008561DC" w:rsidRPr="00082431">
        <w:rPr>
          <w:rFonts w:ascii="Times New Roman" w:hAnsi="Times New Roman" w:cs="Times New Roman"/>
          <w:sz w:val="24"/>
          <w:szCs w:val="24"/>
        </w:rPr>
        <w:t>džeta atmaksājamo PVN 10 477,85 </w:t>
      </w:r>
      <w:r w:rsidR="00054585" w:rsidRPr="00082431">
        <w:rPr>
          <w:rFonts w:ascii="Times New Roman" w:hAnsi="Times New Roman" w:cs="Times New Roman"/>
          <w:i/>
          <w:iCs/>
          <w:sz w:val="24"/>
          <w:szCs w:val="24"/>
        </w:rPr>
        <w:t>euro</w:t>
      </w:r>
      <w:r w:rsidR="00054585" w:rsidRPr="00082431">
        <w:rPr>
          <w:rFonts w:ascii="Times New Roman" w:hAnsi="Times New Roman" w:cs="Times New Roman"/>
          <w:sz w:val="24"/>
          <w:szCs w:val="24"/>
        </w:rPr>
        <w:t>. Ievērojot to, ka uz 2014.gada 19.decembri (PVN samaksas termi</w:t>
      </w:r>
      <w:r w:rsidR="00C30EDF" w:rsidRPr="00082431">
        <w:rPr>
          <w:rFonts w:ascii="Times New Roman" w:hAnsi="Times New Roman" w:cs="Times New Roman"/>
          <w:sz w:val="24"/>
          <w:szCs w:val="24"/>
        </w:rPr>
        <w:t>ņš par 2014.gada novembri) SIA </w:t>
      </w:r>
      <w:r w:rsidR="00D20852" w:rsidRPr="00082431">
        <w:rPr>
          <w:rFonts w:ascii="Times New Roman" w:hAnsi="Times New Roman" w:cs="Times New Roman"/>
          <w:sz w:val="24"/>
          <w:szCs w:val="24"/>
        </w:rPr>
        <w:t>,,</w:t>
      </w:r>
      <w:r w:rsidR="00266E84">
        <w:rPr>
          <w:rFonts w:ascii="Times New Roman" w:hAnsi="Times New Roman" w:cs="Times New Roman"/>
          <w:sz w:val="24"/>
          <w:szCs w:val="24"/>
        </w:rPr>
        <w:t>[Nosaukums A]</w:t>
      </w:r>
      <w:r w:rsidR="00054585" w:rsidRPr="00082431">
        <w:rPr>
          <w:rFonts w:ascii="Times New Roman" w:hAnsi="Times New Roman" w:cs="Times New Roman"/>
          <w:sz w:val="24"/>
          <w:szCs w:val="24"/>
        </w:rPr>
        <w:t>”</w:t>
      </w:r>
      <w:r w:rsidR="008460FE" w:rsidRPr="00082431">
        <w:rPr>
          <w:rFonts w:ascii="Times New Roman" w:hAnsi="Times New Roman" w:cs="Times New Roman"/>
          <w:sz w:val="24"/>
          <w:szCs w:val="24"/>
        </w:rPr>
        <w:t xml:space="preserve"> bija uzskait</w:t>
      </w:r>
      <w:r w:rsidR="00D20852" w:rsidRPr="00082431">
        <w:rPr>
          <w:rFonts w:ascii="Times New Roman" w:hAnsi="Times New Roman" w:cs="Times New Roman"/>
          <w:sz w:val="24"/>
          <w:szCs w:val="24"/>
        </w:rPr>
        <w:t>īts PVN parāds vismaz 19 572,28 </w:t>
      </w:r>
      <w:r w:rsidR="008460FE" w:rsidRPr="00082431">
        <w:rPr>
          <w:rFonts w:ascii="Times New Roman" w:hAnsi="Times New Roman" w:cs="Times New Roman"/>
          <w:i/>
          <w:iCs/>
          <w:sz w:val="24"/>
          <w:szCs w:val="24"/>
        </w:rPr>
        <w:t>euro</w:t>
      </w:r>
      <w:r w:rsidR="008460FE" w:rsidRPr="00082431">
        <w:rPr>
          <w:rFonts w:ascii="Times New Roman" w:hAnsi="Times New Roman" w:cs="Times New Roman"/>
          <w:sz w:val="24"/>
          <w:szCs w:val="24"/>
        </w:rPr>
        <w:t>, tad ar d</w:t>
      </w:r>
      <w:r w:rsidR="00D20852" w:rsidRPr="00082431">
        <w:rPr>
          <w:rFonts w:ascii="Times New Roman" w:hAnsi="Times New Roman" w:cs="Times New Roman"/>
          <w:sz w:val="24"/>
          <w:szCs w:val="24"/>
        </w:rPr>
        <w:t>eklarēto PVN pārmaksu 10 477,85 </w:t>
      </w:r>
      <w:proofErr w:type="spellStart"/>
      <w:r w:rsidR="008460FE" w:rsidRPr="00082431">
        <w:rPr>
          <w:rFonts w:ascii="Times New Roman" w:hAnsi="Times New Roman" w:cs="Times New Roman"/>
          <w:i/>
          <w:iCs/>
          <w:sz w:val="24"/>
          <w:szCs w:val="24"/>
        </w:rPr>
        <w:t>euro</w:t>
      </w:r>
      <w:proofErr w:type="spellEnd"/>
      <w:r w:rsidR="008460FE" w:rsidRPr="00082431">
        <w:rPr>
          <w:rFonts w:ascii="Times New Roman" w:hAnsi="Times New Roman" w:cs="Times New Roman"/>
          <w:i/>
          <w:iCs/>
          <w:sz w:val="24"/>
          <w:szCs w:val="24"/>
        </w:rPr>
        <w:t xml:space="preserve"> </w:t>
      </w:r>
      <w:r w:rsidR="00C30EDF" w:rsidRPr="00082431">
        <w:rPr>
          <w:rFonts w:ascii="Times New Roman" w:hAnsi="Times New Roman" w:cs="Times New Roman"/>
          <w:sz w:val="24"/>
          <w:szCs w:val="24"/>
        </w:rPr>
        <w:t>tika segts SIA </w:t>
      </w:r>
      <w:r w:rsidR="00D20852" w:rsidRPr="00082431">
        <w:rPr>
          <w:rFonts w:ascii="Times New Roman" w:hAnsi="Times New Roman" w:cs="Times New Roman"/>
          <w:sz w:val="24"/>
          <w:szCs w:val="24"/>
        </w:rPr>
        <w:t>,,</w:t>
      </w:r>
      <w:r w:rsidR="00266E84">
        <w:rPr>
          <w:rFonts w:ascii="Times New Roman" w:hAnsi="Times New Roman" w:cs="Times New Roman"/>
          <w:sz w:val="24"/>
          <w:szCs w:val="24"/>
        </w:rPr>
        <w:t>[Nosaukums A]</w:t>
      </w:r>
      <w:r w:rsidR="008460FE" w:rsidRPr="00082431">
        <w:rPr>
          <w:rFonts w:ascii="Times New Roman" w:hAnsi="Times New Roman" w:cs="Times New Roman"/>
          <w:sz w:val="24"/>
          <w:szCs w:val="24"/>
        </w:rPr>
        <w:t>” iepriekš izveidojies PVN parāds;</w:t>
      </w:r>
      <w:r w:rsidR="00D20852" w:rsidRPr="00082431">
        <w:rPr>
          <w:rFonts w:ascii="Times New Roman" w:hAnsi="Times New Roman" w:cs="Times New Roman"/>
          <w:sz w:val="24"/>
          <w:szCs w:val="24"/>
        </w:rPr>
        <w:t xml:space="preserve"> </w:t>
      </w:r>
    </w:p>
    <w:p w14:paraId="1CE0BA24" w14:textId="0200112C" w:rsidR="009E2C56" w:rsidRPr="00082431" w:rsidRDefault="008460FE" w:rsidP="009E2C56">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2)</w:t>
      </w:r>
      <w:r w:rsidR="00D20852" w:rsidRPr="00082431">
        <w:rPr>
          <w:rFonts w:ascii="Times New Roman" w:hAnsi="Times New Roman" w:cs="Times New Roman"/>
          <w:sz w:val="24"/>
          <w:szCs w:val="24"/>
        </w:rPr>
        <w:t> SIA „</w:t>
      </w:r>
      <w:r w:rsidR="00266E84">
        <w:rPr>
          <w:rFonts w:ascii="Times New Roman" w:hAnsi="Times New Roman" w:cs="Times New Roman"/>
          <w:sz w:val="24"/>
          <w:szCs w:val="24"/>
        </w:rPr>
        <w:t>[Nosaukums A]</w:t>
      </w:r>
      <w:r w:rsidRPr="00082431">
        <w:rPr>
          <w:rFonts w:ascii="Times New Roman" w:hAnsi="Times New Roman" w:cs="Times New Roman"/>
          <w:sz w:val="24"/>
          <w:szCs w:val="24"/>
        </w:rPr>
        <w:t xml:space="preserve">” </w:t>
      </w:r>
      <w:proofErr w:type="gramStart"/>
      <w:r w:rsidRPr="00082431">
        <w:rPr>
          <w:rFonts w:ascii="Times New Roman" w:hAnsi="Times New Roman" w:cs="Times New Roman"/>
          <w:sz w:val="24"/>
          <w:szCs w:val="24"/>
        </w:rPr>
        <w:t>2015.gada</w:t>
      </w:r>
      <w:proofErr w:type="gramEnd"/>
      <w:r w:rsidRPr="00082431">
        <w:rPr>
          <w:rFonts w:ascii="Times New Roman" w:hAnsi="Times New Roman" w:cs="Times New Roman"/>
          <w:sz w:val="24"/>
          <w:szCs w:val="24"/>
        </w:rPr>
        <w:t xml:space="preserve"> 5.februārī iesniedza precizēto PVN deklarāciju par 2014.gada decembri, deklarējot valsts budžetā maksājamo PVN </w:t>
      </w:r>
      <w:r w:rsidR="002B0AFF" w:rsidRPr="00082431">
        <w:rPr>
          <w:rFonts w:ascii="Times New Roman" w:hAnsi="Times New Roman" w:cs="Times New Roman"/>
          <w:sz w:val="24"/>
          <w:szCs w:val="24"/>
        </w:rPr>
        <w:t>3504,14 </w:t>
      </w:r>
      <w:r w:rsidR="00337FCF" w:rsidRPr="00082431">
        <w:rPr>
          <w:rFonts w:ascii="Times New Roman" w:hAnsi="Times New Roman" w:cs="Times New Roman"/>
          <w:i/>
          <w:iCs/>
          <w:sz w:val="24"/>
          <w:szCs w:val="24"/>
        </w:rPr>
        <w:t>euro</w:t>
      </w:r>
      <w:r w:rsidRPr="00082431">
        <w:rPr>
          <w:rFonts w:ascii="Times New Roman" w:hAnsi="Times New Roman" w:cs="Times New Roman"/>
          <w:sz w:val="24"/>
          <w:szCs w:val="24"/>
        </w:rPr>
        <w:t xml:space="preserve"> </w:t>
      </w:r>
      <w:r w:rsidR="00337FCF" w:rsidRPr="00082431">
        <w:rPr>
          <w:rFonts w:ascii="Times New Roman" w:hAnsi="Times New Roman" w:cs="Times New Roman"/>
          <w:sz w:val="24"/>
          <w:szCs w:val="24"/>
        </w:rPr>
        <w:t xml:space="preserve">un priekšnodokli </w:t>
      </w:r>
      <w:r w:rsidR="002B0AFF" w:rsidRPr="00082431">
        <w:rPr>
          <w:rFonts w:ascii="Times New Roman" w:hAnsi="Times New Roman" w:cs="Times New Roman"/>
          <w:sz w:val="24"/>
          <w:szCs w:val="24"/>
        </w:rPr>
        <w:t>7411,61 </w:t>
      </w:r>
      <w:r w:rsidR="00337FCF" w:rsidRPr="00082431">
        <w:rPr>
          <w:rFonts w:ascii="Times New Roman" w:hAnsi="Times New Roman" w:cs="Times New Roman"/>
          <w:i/>
          <w:iCs/>
          <w:sz w:val="24"/>
          <w:szCs w:val="24"/>
        </w:rPr>
        <w:t xml:space="preserve">euro, </w:t>
      </w:r>
      <w:r w:rsidR="00337FCF" w:rsidRPr="00082431">
        <w:rPr>
          <w:rFonts w:ascii="Times New Roman" w:hAnsi="Times New Roman" w:cs="Times New Roman"/>
          <w:sz w:val="24"/>
          <w:szCs w:val="24"/>
        </w:rPr>
        <w:t xml:space="preserve">tajā skaitā priekšnodokli par faktiski </w:t>
      </w:r>
      <w:r w:rsidR="002B0AFF" w:rsidRPr="00082431">
        <w:rPr>
          <w:rFonts w:ascii="Times New Roman" w:hAnsi="Times New Roman" w:cs="Times New Roman"/>
          <w:sz w:val="24"/>
          <w:szCs w:val="24"/>
        </w:rPr>
        <w:t xml:space="preserve">nenotikušiem </w:t>
      </w:r>
      <w:r w:rsidR="00C30EDF" w:rsidRPr="00082431">
        <w:rPr>
          <w:rFonts w:ascii="Times New Roman" w:hAnsi="Times New Roman" w:cs="Times New Roman"/>
          <w:sz w:val="24"/>
          <w:szCs w:val="24"/>
        </w:rPr>
        <w:t>darījumiem ar SIA  </w:t>
      </w:r>
      <w:r w:rsidR="002B0AFF" w:rsidRPr="00082431">
        <w:rPr>
          <w:rFonts w:ascii="Times New Roman" w:hAnsi="Times New Roman" w:cs="Times New Roman"/>
          <w:sz w:val="24"/>
          <w:szCs w:val="24"/>
        </w:rPr>
        <w:t>,STORM DESIGN” 6185,03 </w:t>
      </w:r>
      <w:proofErr w:type="spellStart"/>
      <w:r w:rsidR="00337FCF" w:rsidRPr="00082431">
        <w:rPr>
          <w:rFonts w:ascii="Times New Roman" w:hAnsi="Times New Roman" w:cs="Times New Roman"/>
          <w:i/>
          <w:iCs/>
          <w:sz w:val="24"/>
          <w:szCs w:val="24"/>
        </w:rPr>
        <w:t>euro</w:t>
      </w:r>
      <w:proofErr w:type="spellEnd"/>
      <w:r w:rsidR="00337FCF" w:rsidRPr="00082431">
        <w:rPr>
          <w:rFonts w:ascii="Times New Roman" w:hAnsi="Times New Roman" w:cs="Times New Roman"/>
          <w:sz w:val="24"/>
          <w:szCs w:val="24"/>
        </w:rPr>
        <w:t xml:space="preserve">, tādējādi izveidojot no valsts </w:t>
      </w:r>
      <w:r w:rsidR="002B0AFF" w:rsidRPr="00082431">
        <w:rPr>
          <w:rFonts w:ascii="Times New Roman" w:hAnsi="Times New Roman" w:cs="Times New Roman"/>
          <w:sz w:val="24"/>
          <w:szCs w:val="24"/>
        </w:rPr>
        <w:t>budžeta atmaksājamo PVN 3907,47 </w:t>
      </w:r>
      <w:r w:rsidR="00337FCF" w:rsidRPr="00082431">
        <w:rPr>
          <w:rFonts w:ascii="Times New Roman" w:hAnsi="Times New Roman" w:cs="Times New Roman"/>
          <w:i/>
          <w:iCs/>
          <w:sz w:val="24"/>
          <w:szCs w:val="24"/>
        </w:rPr>
        <w:t>euro</w:t>
      </w:r>
      <w:r w:rsidR="00337FCF" w:rsidRPr="00082431">
        <w:rPr>
          <w:rFonts w:ascii="Times New Roman" w:hAnsi="Times New Roman" w:cs="Times New Roman"/>
          <w:sz w:val="24"/>
          <w:szCs w:val="24"/>
        </w:rPr>
        <w:t xml:space="preserve">. Ievērojot to, ka uz 2015.gada 20.janvāri (PVN samaksas termiņš par </w:t>
      </w:r>
      <w:r w:rsidR="002B0AFF" w:rsidRPr="00082431">
        <w:rPr>
          <w:rFonts w:ascii="Times New Roman" w:hAnsi="Times New Roman" w:cs="Times New Roman"/>
          <w:sz w:val="24"/>
          <w:szCs w:val="24"/>
        </w:rPr>
        <w:t>2014.gada decembri) SIA ,,</w:t>
      </w:r>
      <w:r w:rsidR="00EF4A16">
        <w:rPr>
          <w:rFonts w:ascii="Times New Roman" w:hAnsi="Times New Roman" w:cs="Times New Roman"/>
          <w:sz w:val="24"/>
          <w:szCs w:val="24"/>
        </w:rPr>
        <w:t>[Nosaukums A]</w:t>
      </w:r>
      <w:r w:rsidR="009D3CE3" w:rsidRPr="00082431">
        <w:rPr>
          <w:rFonts w:ascii="Times New Roman" w:hAnsi="Times New Roman" w:cs="Times New Roman"/>
          <w:sz w:val="24"/>
          <w:szCs w:val="24"/>
        </w:rPr>
        <w:t>” bija uzska</w:t>
      </w:r>
      <w:r w:rsidR="009E2C56" w:rsidRPr="00082431">
        <w:rPr>
          <w:rFonts w:ascii="Times New Roman" w:hAnsi="Times New Roman" w:cs="Times New Roman"/>
          <w:sz w:val="24"/>
          <w:szCs w:val="24"/>
        </w:rPr>
        <w:t>itīts PVN parāds vismaz 9221,12 </w:t>
      </w:r>
      <w:r w:rsidR="009D3CE3" w:rsidRPr="00082431">
        <w:rPr>
          <w:rFonts w:ascii="Times New Roman" w:hAnsi="Times New Roman" w:cs="Times New Roman"/>
          <w:i/>
          <w:iCs/>
          <w:sz w:val="24"/>
          <w:szCs w:val="24"/>
        </w:rPr>
        <w:t>euro</w:t>
      </w:r>
      <w:r w:rsidR="009D3CE3" w:rsidRPr="00082431">
        <w:rPr>
          <w:rFonts w:ascii="Times New Roman" w:hAnsi="Times New Roman" w:cs="Times New Roman"/>
          <w:sz w:val="24"/>
          <w:szCs w:val="24"/>
        </w:rPr>
        <w:t>, tad ar</w:t>
      </w:r>
      <w:r w:rsidR="009E2C56" w:rsidRPr="00082431">
        <w:rPr>
          <w:rFonts w:ascii="Times New Roman" w:hAnsi="Times New Roman" w:cs="Times New Roman"/>
          <w:sz w:val="24"/>
          <w:szCs w:val="24"/>
        </w:rPr>
        <w:t xml:space="preserve"> deklarēto PVN pārmaksu 3907,47 </w:t>
      </w:r>
      <w:proofErr w:type="spellStart"/>
      <w:r w:rsidR="009D3CE3" w:rsidRPr="00082431">
        <w:rPr>
          <w:rFonts w:ascii="Times New Roman" w:hAnsi="Times New Roman" w:cs="Times New Roman"/>
          <w:i/>
          <w:iCs/>
          <w:sz w:val="24"/>
          <w:szCs w:val="24"/>
        </w:rPr>
        <w:t>euro</w:t>
      </w:r>
      <w:proofErr w:type="spellEnd"/>
      <w:r w:rsidR="00C30EDF" w:rsidRPr="00082431">
        <w:rPr>
          <w:rFonts w:ascii="Times New Roman" w:hAnsi="Times New Roman" w:cs="Times New Roman"/>
          <w:sz w:val="24"/>
          <w:szCs w:val="24"/>
        </w:rPr>
        <w:t xml:space="preserve"> tika segts SIA </w:t>
      </w:r>
      <w:r w:rsidR="009E2C56" w:rsidRPr="00082431">
        <w:rPr>
          <w:rFonts w:ascii="Times New Roman" w:hAnsi="Times New Roman" w:cs="Times New Roman"/>
          <w:sz w:val="24"/>
          <w:szCs w:val="24"/>
        </w:rPr>
        <w:t>,,</w:t>
      </w:r>
      <w:r w:rsidR="00C8711D">
        <w:rPr>
          <w:rFonts w:ascii="Times New Roman" w:hAnsi="Times New Roman" w:cs="Times New Roman"/>
          <w:sz w:val="24"/>
          <w:szCs w:val="24"/>
        </w:rPr>
        <w:t>[Nosaukums A]</w:t>
      </w:r>
      <w:r w:rsidR="009D3CE3" w:rsidRPr="00082431">
        <w:rPr>
          <w:rFonts w:ascii="Times New Roman" w:hAnsi="Times New Roman" w:cs="Times New Roman"/>
          <w:sz w:val="24"/>
          <w:szCs w:val="24"/>
        </w:rPr>
        <w:t>”</w:t>
      </w:r>
      <w:r w:rsidR="003D11C0" w:rsidRPr="00082431">
        <w:rPr>
          <w:rFonts w:ascii="Times New Roman" w:hAnsi="Times New Roman" w:cs="Times New Roman"/>
          <w:sz w:val="24"/>
          <w:szCs w:val="24"/>
        </w:rPr>
        <w:t xml:space="preserve"> </w:t>
      </w:r>
      <w:r w:rsidR="009D3CE3" w:rsidRPr="00082431">
        <w:rPr>
          <w:rFonts w:ascii="Times New Roman" w:hAnsi="Times New Roman" w:cs="Times New Roman"/>
          <w:sz w:val="24"/>
          <w:szCs w:val="24"/>
        </w:rPr>
        <w:t>iepriekš izveidojies PVN parāds.</w:t>
      </w:r>
      <w:r w:rsidR="009E2C56" w:rsidRPr="00082431">
        <w:rPr>
          <w:rFonts w:ascii="Times New Roman" w:hAnsi="Times New Roman" w:cs="Times New Roman"/>
          <w:sz w:val="24"/>
          <w:szCs w:val="24"/>
        </w:rPr>
        <w:t xml:space="preserve"> </w:t>
      </w:r>
    </w:p>
    <w:p w14:paraId="3CA212F2" w14:textId="6F0DE568" w:rsidR="002E52DD" w:rsidRPr="00082431" w:rsidRDefault="009D3CE3" w:rsidP="002E52D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No minē</w:t>
      </w:r>
      <w:r w:rsidR="00C30EDF" w:rsidRPr="00082431">
        <w:rPr>
          <w:rFonts w:ascii="Times New Roman" w:hAnsi="Times New Roman" w:cs="Times New Roman"/>
          <w:sz w:val="24"/>
          <w:szCs w:val="24"/>
        </w:rPr>
        <w:t>tā nepārprotami izriet, ka SIA </w:t>
      </w:r>
      <w:r w:rsidR="001C55F8" w:rsidRPr="00082431">
        <w:rPr>
          <w:rFonts w:ascii="Times New Roman" w:hAnsi="Times New Roman" w:cs="Times New Roman"/>
          <w:sz w:val="24"/>
          <w:szCs w:val="24"/>
        </w:rPr>
        <w:t>„</w:t>
      </w:r>
      <w:r w:rsidR="00EF4A16">
        <w:rPr>
          <w:rFonts w:ascii="Times New Roman" w:hAnsi="Times New Roman" w:cs="Times New Roman"/>
          <w:sz w:val="24"/>
          <w:szCs w:val="24"/>
        </w:rPr>
        <w:t>[Nosaukums A]</w:t>
      </w:r>
      <w:r w:rsidRPr="00082431">
        <w:rPr>
          <w:rFonts w:ascii="Times New Roman" w:hAnsi="Times New Roman" w:cs="Times New Roman"/>
          <w:sz w:val="24"/>
          <w:szCs w:val="24"/>
        </w:rPr>
        <w:t xml:space="preserve">” deklarētais priekšnodoklis par faktiski </w:t>
      </w:r>
      <w:r w:rsidR="001C55F8" w:rsidRPr="00082431">
        <w:rPr>
          <w:rFonts w:ascii="Times New Roman" w:hAnsi="Times New Roman" w:cs="Times New Roman"/>
          <w:sz w:val="24"/>
          <w:szCs w:val="24"/>
        </w:rPr>
        <w:t>nenotikuš</w:t>
      </w:r>
      <w:r w:rsidR="00AB69D3" w:rsidRPr="00082431">
        <w:rPr>
          <w:rFonts w:ascii="Times New Roman" w:hAnsi="Times New Roman" w:cs="Times New Roman"/>
          <w:sz w:val="24"/>
          <w:szCs w:val="24"/>
        </w:rPr>
        <w:t>aj</w:t>
      </w:r>
      <w:r w:rsidR="00C30EDF" w:rsidRPr="00082431">
        <w:rPr>
          <w:rFonts w:ascii="Times New Roman" w:hAnsi="Times New Roman" w:cs="Times New Roman"/>
          <w:sz w:val="24"/>
          <w:szCs w:val="24"/>
        </w:rPr>
        <w:t>iem darījumiem ar SIA </w:t>
      </w:r>
      <w:r w:rsidR="001C55F8" w:rsidRPr="00082431">
        <w:rPr>
          <w:rFonts w:ascii="Times New Roman" w:hAnsi="Times New Roman" w:cs="Times New Roman"/>
          <w:sz w:val="24"/>
          <w:szCs w:val="24"/>
        </w:rPr>
        <w:t>„K.L.</w:t>
      </w:r>
      <w:r w:rsidR="00AB69D3" w:rsidRPr="00082431">
        <w:rPr>
          <w:rFonts w:ascii="Times New Roman" w:hAnsi="Times New Roman" w:cs="Times New Roman"/>
          <w:sz w:val="24"/>
          <w:szCs w:val="24"/>
        </w:rPr>
        <w:t>R.2” 16 054,</w:t>
      </w:r>
      <w:r w:rsidR="001C55F8" w:rsidRPr="00082431">
        <w:rPr>
          <w:rFonts w:ascii="Times New Roman" w:hAnsi="Times New Roman" w:cs="Times New Roman"/>
          <w:sz w:val="24"/>
          <w:szCs w:val="24"/>
        </w:rPr>
        <w:t>50 </w:t>
      </w:r>
      <w:proofErr w:type="spellStart"/>
      <w:r w:rsidRPr="00082431">
        <w:rPr>
          <w:rFonts w:ascii="Times New Roman" w:hAnsi="Times New Roman" w:cs="Times New Roman"/>
          <w:i/>
          <w:iCs/>
          <w:sz w:val="24"/>
          <w:szCs w:val="24"/>
        </w:rPr>
        <w:t>euro</w:t>
      </w:r>
      <w:proofErr w:type="spellEnd"/>
      <w:r w:rsidRPr="00082431">
        <w:rPr>
          <w:rFonts w:ascii="Times New Roman" w:hAnsi="Times New Roman" w:cs="Times New Roman"/>
          <w:i/>
          <w:iCs/>
          <w:sz w:val="24"/>
          <w:szCs w:val="24"/>
        </w:rPr>
        <w:t xml:space="preserve"> </w:t>
      </w:r>
      <w:r w:rsidR="00C30EDF" w:rsidRPr="00082431">
        <w:rPr>
          <w:rFonts w:ascii="Times New Roman" w:hAnsi="Times New Roman" w:cs="Times New Roman"/>
          <w:sz w:val="24"/>
          <w:szCs w:val="24"/>
        </w:rPr>
        <w:t>apmērā un SIA </w:t>
      </w:r>
      <w:r w:rsidR="001C55F8" w:rsidRPr="00082431">
        <w:rPr>
          <w:rFonts w:ascii="Times New Roman" w:hAnsi="Times New Roman" w:cs="Times New Roman"/>
          <w:sz w:val="24"/>
          <w:szCs w:val="24"/>
        </w:rPr>
        <w:t>„</w:t>
      </w:r>
      <w:r w:rsidRPr="00082431">
        <w:rPr>
          <w:rFonts w:ascii="Times New Roman" w:hAnsi="Times New Roman" w:cs="Times New Roman"/>
          <w:sz w:val="24"/>
          <w:szCs w:val="24"/>
        </w:rPr>
        <w:t>STORM DESIGN”</w:t>
      </w:r>
      <w:r w:rsidR="001C55F8" w:rsidRPr="00082431">
        <w:rPr>
          <w:rFonts w:ascii="Times New Roman" w:hAnsi="Times New Roman" w:cs="Times New Roman"/>
          <w:sz w:val="24"/>
          <w:szCs w:val="24"/>
        </w:rPr>
        <w:t xml:space="preserve"> 6185,03 </w:t>
      </w:r>
      <w:proofErr w:type="spellStart"/>
      <w:r w:rsidR="0050025B" w:rsidRPr="00082431">
        <w:rPr>
          <w:rFonts w:ascii="Times New Roman" w:hAnsi="Times New Roman" w:cs="Times New Roman"/>
          <w:i/>
          <w:iCs/>
          <w:sz w:val="24"/>
          <w:szCs w:val="24"/>
        </w:rPr>
        <w:t>euro</w:t>
      </w:r>
      <w:proofErr w:type="spellEnd"/>
      <w:r w:rsidR="0050025B" w:rsidRPr="00082431">
        <w:rPr>
          <w:rFonts w:ascii="Times New Roman" w:hAnsi="Times New Roman" w:cs="Times New Roman"/>
          <w:sz w:val="24"/>
          <w:szCs w:val="24"/>
        </w:rPr>
        <w:t xml:space="preserve"> a</w:t>
      </w:r>
      <w:r w:rsidR="001C55F8" w:rsidRPr="00082431">
        <w:rPr>
          <w:rFonts w:ascii="Times New Roman" w:hAnsi="Times New Roman" w:cs="Times New Roman"/>
          <w:sz w:val="24"/>
          <w:szCs w:val="24"/>
        </w:rPr>
        <w:t>pmērā, kas kopā veido 22 239,53 </w:t>
      </w:r>
      <w:r w:rsidR="0050025B" w:rsidRPr="00082431">
        <w:rPr>
          <w:rFonts w:ascii="Times New Roman" w:hAnsi="Times New Roman" w:cs="Times New Roman"/>
          <w:i/>
          <w:iCs/>
          <w:sz w:val="24"/>
          <w:szCs w:val="24"/>
        </w:rPr>
        <w:t>euro</w:t>
      </w:r>
      <w:r w:rsidR="0050025B" w:rsidRPr="00082431">
        <w:rPr>
          <w:rFonts w:ascii="Times New Roman" w:hAnsi="Times New Roman" w:cs="Times New Roman"/>
          <w:sz w:val="24"/>
          <w:szCs w:val="24"/>
        </w:rPr>
        <w:t>, ir izmantots pilnā apmērā, daļēji sedzot valsts budžetā maksājamo PVN attiecīga</w:t>
      </w:r>
      <w:r w:rsidR="00C30EDF" w:rsidRPr="00082431">
        <w:rPr>
          <w:rFonts w:ascii="Times New Roman" w:hAnsi="Times New Roman" w:cs="Times New Roman"/>
          <w:sz w:val="24"/>
          <w:szCs w:val="24"/>
        </w:rPr>
        <w:t>jā mēnesī un daļēji sedzot SIA </w:t>
      </w:r>
      <w:r w:rsidR="002E52DD" w:rsidRPr="00082431">
        <w:rPr>
          <w:rFonts w:ascii="Times New Roman" w:hAnsi="Times New Roman" w:cs="Times New Roman"/>
          <w:sz w:val="24"/>
          <w:szCs w:val="24"/>
        </w:rPr>
        <w:t>,,</w:t>
      </w:r>
      <w:r w:rsidR="00EF4A16">
        <w:rPr>
          <w:rFonts w:ascii="Times New Roman" w:hAnsi="Times New Roman" w:cs="Times New Roman"/>
          <w:sz w:val="24"/>
          <w:szCs w:val="24"/>
        </w:rPr>
        <w:t>[Nosaukums A]</w:t>
      </w:r>
      <w:r w:rsidR="0050025B" w:rsidRPr="00082431">
        <w:rPr>
          <w:rFonts w:ascii="Times New Roman" w:hAnsi="Times New Roman" w:cs="Times New Roman"/>
          <w:sz w:val="24"/>
          <w:szCs w:val="24"/>
        </w:rPr>
        <w:t>” i</w:t>
      </w:r>
      <w:r w:rsidR="002E52DD" w:rsidRPr="00082431">
        <w:rPr>
          <w:rFonts w:ascii="Times New Roman" w:hAnsi="Times New Roman" w:cs="Times New Roman"/>
          <w:sz w:val="24"/>
          <w:szCs w:val="24"/>
        </w:rPr>
        <w:t>epriekš izveidojušos PVN parādu</w:t>
      </w:r>
      <w:r w:rsidR="0050025B" w:rsidRPr="00082431">
        <w:rPr>
          <w:rFonts w:ascii="Times New Roman" w:hAnsi="Times New Roman" w:cs="Times New Roman"/>
          <w:sz w:val="24"/>
          <w:szCs w:val="24"/>
        </w:rPr>
        <w:t>.</w:t>
      </w:r>
      <w:r w:rsidR="002E52DD" w:rsidRPr="00082431">
        <w:rPr>
          <w:rFonts w:ascii="Times New Roman" w:hAnsi="Times New Roman" w:cs="Times New Roman"/>
          <w:sz w:val="24"/>
          <w:szCs w:val="24"/>
        </w:rPr>
        <w:t xml:space="preserve"> </w:t>
      </w:r>
    </w:p>
    <w:p w14:paraId="47D52EEA" w14:textId="693C8DA9" w:rsidR="00DF2E2D" w:rsidRPr="00082431" w:rsidRDefault="0050025B" w:rsidP="00DF2E2D">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Apelācijas in</w:t>
      </w:r>
      <w:r w:rsidR="002E52DD" w:rsidRPr="00082431">
        <w:rPr>
          <w:rFonts w:ascii="Times New Roman" w:hAnsi="Times New Roman" w:cs="Times New Roman"/>
          <w:sz w:val="24"/>
          <w:szCs w:val="24"/>
        </w:rPr>
        <w:t>stances</w:t>
      </w:r>
      <w:r w:rsidR="00C30EDF" w:rsidRPr="00082431">
        <w:rPr>
          <w:rFonts w:ascii="Times New Roman" w:hAnsi="Times New Roman" w:cs="Times New Roman"/>
          <w:sz w:val="24"/>
          <w:szCs w:val="24"/>
        </w:rPr>
        <w:t xml:space="preserve"> tiesa, secinot, ka SIA </w:t>
      </w:r>
      <w:r w:rsidR="002E52DD" w:rsidRPr="00082431">
        <w:rPr>
          <w:rFonts w:ascii="Times New Roman" w:hAnsi="Times New Roman" w:cs="Times New Roman"/>
          <w:sz w:val="24"/>
          <w:szCs w:val="24"/>
        </w:rPr>
        <w:t>„</w:t>
      </w:r>
      <w:r w:rsidR="00EF4A16">
        <w:rPr>
          <w:rFonts w:ascii="Times New Roman" w:hAnsi="Times New Roman" w:cs="Times New Roman"/>
          <w:sz w:val="24"/>
          <w:szCs w:val="24"/>
        </w:rPr>
        <w:t>[Nosaukums A]</w:t>
      </w:r>
      <w:r w:rsidRPr="00082431">
        <w:rPr>
          <w:rFonts w:ascii="Times New Roman" w:hAnsi="Times New Roman" w:cs="Times New Roman"/>
          <w:sz w:val="24"/>
          <w:szCs w:val="24"/>
        </w:rPr>
        <w:t>” deklarētais priekšnodoklis par faktiski nenotikušajiem darījumiem ar SIA</w:t>
      </w:r>
      <w:r w:rsidR="00C30EDF" w:rsidRPr="00082431">
        <w:rPr>
          <w:rFonts w:ascii="Times New Roman" w:hAnsi="Times New Roman" w:cs="Times New Roman"/>
          <w:sz w:val="24"/>
          <w:szCs w:val="24"/>
        </w:rPr>
        <w:t> „K.L.R.2” un SIA </w:t>
      </w:r>
      <w:r w:rsidR="002E52DD" w:rsidRPr="00082431">
        <w:rPr>
          <w:rFonts w:ascii="Times New Roman" w:hAnsi="Times New Roman" w:cs="Times New Roman"/>
          <w:sz w:val="24"/>
          <w:szCs w:val="24"/>
        </w:rPr>
        <w:t>„</w:t>
      </w:r>
      <w:r w:rsidR="00767AB7" w:rsidRPr="00082431">
        <w:rPr>
          <w:rFonts w:ascii="Times New Roman" w:hAnsi="Times New Roman" w:cs="Times New Roman"/>
          <w:sz w:val="24"/>
          <w:szCs w:val="24"/>
        </w:rPr>
        <w:t>STORM DESIGN” nav ticis izmantots, nav ņēmusi vērā lietā iegūtos pierādījumus – VID Nodokļu inform</w:t>
      </w:r>
      <w:r w:rsidR="00C30EDF" w:rsidRPr="00082431">
        <w:rPr>
          <w:rFonts w:ascii="Times New Roman" w:hAnsi="Times New Roman" w:cs="Times New Roman"/>
          <w:sz w:val="24"/>
          <w:szCs w:val="24"/>
        </w:rPr>
        <w:t>ācijas sistēmas izdruku un SIA </w:t>
      </w:r>
      <w:r w:rsidR="00DF2E2D" w:rsidRPr="00082431">
        <w:rPr>
          <w:rFonts w:ascii="Times New Roman" w:hAnsi="Times New Roman" w:cs="Times New Roman"/>
          <w:sz w:val="24"/>
          <w:szCs w:val="24"/>
        </w:rPr>
        <w:t>„</w:t>
      </w:r>
      <w:r w:rsidR="00EF4A16">
        <w:rPr>
          <w:rFonts w:ascii="Times New Roman" w:hAnsi="Times New Roman" w:cs="Times New Roman"/>
          <w:sz w:val="24"/>
          <w:szCs w:val="24"/>
        </w:rPr>
        <w:t>[Nosaukums A]</w:t>
      </w:r>
      <w:r w:rsidR="00767AB7" w:rsidRPr="00082431">
        <w:rPr>
          <w:rFonts w:ascii="Times New Roman" w:hAnsi="Times New Roman" w:cs="Times New Roman"/>
          <w:sz w:val="24"/>
          <w:szCs w:val="24"/>
        </w:rPr>
        <w:t>” PVN deklarācijas par 2014.gada novembri un decembri –, kā arī nav norādījusi motīvus, kāpēc tā šos pierādījumus noraida.</w:t>
      </w:r>
      <w:r w:rsidR="00DF2E2D" w:rsidRPr="00082431">
        <w:rPr>
          <w:rFonts w:ascii="Times New Roman" w:hAnsi="Times New Roman" w:cs="Times New Roman"/>
          <w:sz w:val="24"/>
          <w:szCs w:val="24"/>
        </w:rPr>
        <w:t xml:space="preserve"> </w:t>
      </w:r>
    </w:p>
    <w:p w14:paraId="4B1C7E78" w14:textId="77777777" w:rsidR="009B6B63" w:rsidRPr="00082431" w:rsidRDefault="00E43237" w:rsidP="009B6B63">
      <w:pPr>
        <w:spacing w:after="0"/>
        <w:ind w:firstLine="709"/>
        <w:jc w:val="both"/>
        <w:rPr>
          <w:rFonts w:ascii="Times New Roman" w:hAnsi="Times New Roman" w:cs="Times New Roman"/>
          <w:sz w:val="24"/>
        </w:rPr>
      </w:pPr>
      <w:r w:rsidRPr="00082431">
        <w:rPr>
          <w:rFonts w:ascii="Times New Roman" w:hAnsi="Times New Roman" w:cs="Times New Roman"/>
          <w:sz w:val="24"/>
        </w:rPr>
        <w:t>[5.</w:t>
      </w:r>
      <w:r w:rsidR="002F0BE9" w:rsidRPr="00082431">
        <w:rPr>
          <w:rFonts w:ascii="Times New Roman" w:hAnsi="Times New Roman" w:cs="Times New Roman"/>
          <w:sz w:val="24"/>
        </w:rPr>
        <w:t>3</w:t>
      </w:r>
      <w:r w:rsidR="00DF2E2D" w:rsidRPr="00082431">
        <w:rPr>
          <w:rFonts w:ascii="Times New Roman" w:hAnsi="Times New Roman" w:cs="Times New Roman"/>
          <w:sz w:val="24"/>
        </w:rPr>
        <w:t>] </w:t>
      </w:r>
      <w:r w:rsidRPr="00082431">
        <w:rPr>
          <w:rFonts w:ascii="Times New Roman" w:hAnsi="Times New Roman" w:cs="Times New Roman"/>
          <w:sz w:val="24"/>
        </w:rPr>
        <w:t xml:space="preserve">VID apelācijas sūdzībā, pamatojot savus </w:t>
      </w:r>
      <w:r w:rsidR="00BA0872" w:rsidRPr="00082431">
        <w:rPr>
          <w:rFonts w:ascii="Times New Roman" w:hAnsi="Times New Roman" w:cs="Times New Roman"/>
          <w:sz w:val="24"/>
        </w:rPr>
        <w:t xml:space="preserve">argumentus, bija norādījis uz Senāta </w:t>
      </w:r>
      <w:proofErr w:type="gramStart"/>
      <w:r w:rsidR="00BA0872" w:rsidRPr="00082431">
        <w:rPr>
          <w:rFonts w:ascii="Times New Roman" w:hAnsi="Times New Roman" w:cs="Times New Roman"/>
          <w:sz w:val="24"/>
        </w:rPr>
        <w:t>2018.</w:t>
      </w:r>
      <w:r w:rsidR="009B6B63" w:rsidRPr="00082431">
        <w:rPr>
          <w:rFonts w:ascii="Times New Roman" w:hAnsi="Times New Roman" w:cs="Times New Roman"/>
          <w:sz w:val="24"/>
        </w:rPr>
        <w:t>gada</w:t>
      </w:r>
      <w:proofErr w:type="gramEnd"/>
      <w:r w:rsidR="009B6B63" w:rsidRPr="00082431">
        <w:rPr>
          <w:rFonts w:ascii="Times New Roman" w:hAnsi="Times New Roman" w:cs="Times New Roman"/>
          <w:sz w:val="24"/>
        </w:rPr>
        <w:t xml:space="preserve"> 27.jūnija lēmumā lietā Nr. </w:t>
      </w:r>
      <w:r w:rsidR="00BA0872" w:rsidRPr="00082431">
        <w:rPr>
          <w:rFonts w:ascii="Times New Roman" w:hAnsi="Times New Roman" w:cs="Times New Roman"/>
          <w:sz w:val="24"/>
        </w:rPr>
        <w:t>SKK-387/2018 paustajām atziņām, ka: 1) par apsūdzētā attaisnošanas pamatu nevar būt tiesas atzinums par apsūdzības nekonkrētību un neatbilstību Kriminālprocesa likuma 405.panta prasībām; 2) tiesas secinājums, ka apsūdzības nekonkrētības dēļ tiesa lietā var nevērtēt pierādījumus, nav pamatots ar likuma normām.</w:t>
      </w:r>
      <w:r w:rsidR="009B6B63" w:rsidRPr="00082431">
        <w:rPr>
          <w:rFonts w:ascii="Times New Roman" w:hAnsi="Times New Roman" w:cs="Times New Roman"/>
          <w:sz w:val="24"/>
        </w:rPr>
        <w:t xml:space="preserve"> </w:t>
      </w:r>
    </w:p>
    <w:p w14:paraId="67CD4C5E" w14:textId="4B36D2FD" w:rsidR="0020366E" w:rsidRPr="00082431" w:rsidRDefault="003D76A8" w:rsidP="0020366E">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Apelācijas instances tiesa norādījusi, ka šajā Senāta lēmumā paustās atziņas nav attiecināmas uz izskatāmo lietu. Šāda norāde atzīstama par nepamatotu, jo arī izskatāmajā lietā apelācijas instances tiesa faktiski </w:t>
      </w:r>
      <w:r w:rsidR="00EF4A16">
        <w:rPr>
          <w:rFonts w:ascii="Times New Roman" w:hAnsi="Times New Roman" w:cs="Times New Roman"/>
          <w:sz w:val="24"/>
        </w:rPr>
        <w:t>[pers. A]</w:t>
      </w:r>
      <w:r w:rsidRPr="00082431">
        <w:rPr>
          <w:rFonts w:ascii="Times New Roman" w:hAnsi="Times New Roman" w:cs="Times New Roman"/>
          <w:sz w:val="24"/>
        </w:rPr>
        <w:t xml:space="preserve"> attaisnojusi </w:t>
      </w:r>
      <w:r w:rsidR="00F66AE7" w:rsidRPr="00082431">
        <w:rPr>
          <w:rFonts w:ascii="Times New Roman" w:hAnsi="Times New Roman" w:cs="Times New Roman"/>
          <w:sz w:val="24"/>
        </w:rPr>
        <w:t>apsūdzības trūkumu dēļ.</w:t>
      </w:r>
      <w:r w:rsidR="0020366E" w:rsidRPr="00082431">
        <w:rPr>
          <w:rFonts w:ascii="Times New Roman" w:hAnsi="Times New Roman" w:cs="Times New Roman"/>
          <w:sz w:val="24"/>
        </w:rPr>
        <w:t xml:space="preserve"> </w:t>
      </w:r>
    </w:p>
    <w:p w14:paraId="3DE9118A" w14:textId="0B2A9089" w:rsidR="009D4E42" w:rsidRPr="00082431" w:rsidRDefault="00F66AE7" w:rsidP="009D4E42">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Aprakstot lietas faktiskos apstākļus, apsūdzībā ir jānorāda konkrētas objektīvās puses pazīmes par kādas darbības izdarīšanu vai neizdarīšanu. No apsūdzības izskatāmajā lietā izriet detalizēts Krimināllikuma </w:t>
      </w:r>
      <w:proofErr w:type="gramStart"/>
      <w:r w:rsidRPr="00082431">
        <w:rPr>
          <w:rFonts w:ascii="Times New Roman" w:hAnsi="Times New Roman" w:cs="Times New Roman"/>
          <w:sz w:val="24"/>
        </w:rPr>
        <w:t>218.panta</w:t>
      </w:r>
      <w:proofErr w:type="gramEnd"/>
      <w:r w:rsidRPr="00082431">
        <w:rPr>
          <w:rFonts w:ascii="Times New Roman" w:hAnsi="Times New Roman" w:cs="Times New Roman"/>
          <w:sz w:val="24"/>
        </w:rPr>
        <w:t xml:space="preserve"> otrajā daļā paredzētā noziedzīgā nodarījuma objektīvās puses pamatojums. Apsūdzībā ir norādīts, ka </w:t>
      </w:r>
      <w:r w:rsidR="00EF4A16">
        <w:rPr>
          <w:rFonts w:ascii="Times New Roman" w:hAnsi="Times New Roman" w:cs="Times New Roman"/>
          <w:sz w:val="24"/>
        </w:rPr>
        <w:t>[pers. A]</w:t>
      </w:r>
      <w:r w:rsidRPr="00082431">
        <w:rPr>
          <w:rFonts w:ascii="Times New Roman" w:hAnsi="Times New Roman" w:cs="Times New Roman"/>
          <w:sz w:val="24"/>
        </w:rPr>
        <w:t xml:space="preserve"> rīcības rezultātā valsts budžetam ir nodarīts zaudējums lielā apmērā</w:t>
      </w:r>
      <w:r w:rsidR="006D3B27" w:rsidRPr="00082431">
        <w:rPr>
          <w:rFonts w:ascii="Times New Roman" w:hAnsi="Times New Roman" w:cs="Times New Roman"/>
          <w:sz w:val="24"/>
        </w:rPr>
        <w:t>, ne</w:t>
      </w:r>
      <w:r w:rsidR="00C802F5" w:rsidRPr="00082431">
        <w:rPr>
          <w:rFonts w:ascii="Times New Roman" w:hAnsi="Times New Roman" w:cs="Times New Roman"/>
          <w:sz w:val="24"/>
        </w:rPr>
        <w:t>veicot</w:t>
      </w:r>
      <w:r w:rsidR="00465F10" w:rsidRPr="00082431">
        <w:rPr>
          <w:rFonts w:ascii="Times New Roman" w:hAnsi="Times New Roman" w:cs="Times New Roman"/>
          <w:sz w:val="24"/>
        </w:rPr>
        <w:t xml:space="preserve"> pašas SIA ,,</w:t>
      </w:r>
      <w:r w:rsidR="00EF4A16">
        <w:rPr>
          <w:rFonts w:ascii="Times New Roman" w:hAnsi="Times New Roman" w:cs="Times New Roman"/>
          <w:sz w:val="24"/>
        </w:rPr>
        <w:t>[Nosaukums A]</w:t>
      </w:r>
      <w:r w:rsidR="00C802F5" w:rsidRPr="00082431">
        <w:rPr>
          <w:rFonts w:ascii="Times New Roman" w:hAnsi="Times New Roman" w:cs="Times New Roman"/>
          <w:sz w:val="24"/>
        </w:rPr>
        <w:t>” deklarētos nodokļu maksājumus, norādīti nodokļu veidi, nodokļu pamatparādu izveidošanās periodi un summas, kā arī to normatīvo aktu uzskaitījums, saskaņā ar kuriem apsūdzētajam bija pienākums maksāt nodokļus un tiem pi</w:t>
      </w:r>
      <w:r w:rsidR="00465F10" w:rsidRPr="00082431">
        <w:rPr>
          <w:rFonts w:ascii="Times New Roman" w:hAnsi="Times New Roman" w:cs="Times New Roman"/>
          <w:sz w:val="24"/>
        </w:rPr>
        <w:t>elīdzinātos maksājumus. Papildu</w:t>
      </w:r>
      <w:r w:rsidR="00C802F5" w:rsidRPr="00082431">
        <w:rPr>
          <w:rFonts w:ascii="Times New Roman" w:hAnsi="Times New Roman" w:cs="Times New Roman"/>
          <w:sz w:val="24"/>
        </w:rPr>
        <w:t xml:space="preserve"> apsūdzībā ir minēts, ka deklarētajā un nenomaksātajā PVN summā ietilpst arī deklarētais PVN par fiktīvajiem darījumiem </w:t>
      </w:r>
      <w:r w:rsidR="00465F10" w:rsidRPr="00082431">
        <w:rPr>
          <w:rFonts w:ascii="Times New Roman" w:hAnsi="Times New Roman" w:cs="Times New Roman"/>
          <w:sz w:val="24"/>
        </w:rPr>
        <w:t>ar SIA ,,</w:t>
      </w:r>
      <w:r w:rsidR="001210B0" w:rsidRPr="00082431">
        <w:rPr>
          <w:rFonts w:ascii="Times New Roman" w:hAnsi="Times New Roman" w:cs="Times New Roman"/>
          <w:sz w:val="24"/>
        </w:rPr>
        <w:t>K.L.R.1”</w:t>
      </w:r>
      <w:r w:rsidR="00C30EDF" w:rsidRPr="00082431">
        <w:rPr>
          <w:rFonts w:ascii="Times New Roman" w:hAnsi="Times New Roman" w:cs="Times New Roman"/>
          <w:sz w:val="24"/>
        </w:rPr>
        <w:t xml:space="preserve"> un SIA </w:t>
      </w:r>
      <w:r w:rsidR="00465F10" w:rsidRPr="00082431">
        <w:rPr>
          <w:rFonts w:ascii="Times New Roman" w:hAnsi="Times New Roman" w:cs="Times New Roman"/>
          <w:sz w:val="24"/>
        </w:rPr>
        <w:t>,,STORM DESIGN” 22 239,53 </w:t>
      </w:r>
      <w:proofErr w:type="spellStart"/>
      <w:r w:rsidR="001210B0" w:rsidRPr="00082431">
        <w:rPr>
          <w:rFonts w:ascii="Times New Roman" w:hAnsi="Times New Roman" w:cs="Times New Roman"/>
          <w:i/>
          <w:iCs/>
          <w:sz w:val="24"/>
        </w:rPr>
        <w:t>euro</w:t>
      </w:r>
      <w:proofErr w:type="spellEnd"/>
      <w:r w:rsidR="001210B0" w:rsidRPr="00082431">
        <w:rPr>
          <w:rFonts w:ascii="Times New Roman" w:hAnsi="Times New Roman" w:cs="Times New Roman"/>
          <w:sz w:val="24"/>
        </w:rPr>
        <w:t xml:space="preserve"> apmērā.</w:t>
      </w:r>
      <w:r w:rsidR="009D4E42" w:rsidRPr="00082431">
        <w:rPr>
          <w:rFonts w:ascii="Times New Roman" w:hAnsi="Times New Roman" w:cs="Times New Roman"/>
          <w:sz w:val="24"/>
        </w:rPr>
        <w:t xml:space="preserve"> </w:t>
      </w:r>
    </w:p>
    <w:p w14:paraId="11DF4E4E" w14:textId="5ECACFCF" w:rsidR="009D4E42" w:rsidRPr="00082431" w:rsidRDefault="001210B0" w:rsidP="009D4E42">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Ievērojot minēto, atzīstams, ka </w:t>
      </w:r>
      <w:r w:rsidR="00EF4A16">
        <w:rPr>
          <w:rFonts w:ascii="Times New Roman" w:hAnsi="Times New Roman" w:cs="Times New Roman"/>
          <w:sz w:val="24"/>
        </w:rPr>
        <w:t>[pers. A]</w:t>
      </w:r>
      <w:r w:rsidRPr="00082431">
        <w:rPr>
          <w:rFonts w:ascii="Times New Roman" w:hAnsi="Times New Roman" w:cs="Times New Roman"/>
          <w:sz w:val="24"/>
        </w:rPr>
        <w:t xml:space="preserve"> celtā apsūdzība ir konkrēta</w:t>
      </w:r>
      <w:proofErr w:type="gramStart"/>
      <w:r w:rsidRPr="00082431">
        <w:rPr>
          <w:rFonts w:ascii="Times New Roman" w:hAnsi="Times New Roman" w:cs="Times New Roman"/>
          <w:sz w:val="24"/>
        </w:rPr>
        <w:t xml:space="preserve"> un</w:t>
      </w:r>
      <w:proofErr w:type="gramEnd"/>
      <w:r w:rsidRPr="00082431">
        <w:rPr>
          <w:rFonts w:ascii="Times New Roman" w:hAnsi="Times New Roman" w:cs="Times New Roman"/>
          <w:sz w:val="24"/>
        </w:rPr>
        <w:t xml:space="preserve"> no tās satura ir iespējams izsecināt, kādas darbības apsūdzētajam tiek inkriminētas.</w:t>
      </w:r>
      <w:r w:rsidR="009D4E42" w:rsidRPr="00082431">
        <w:rPr>
          <w:rFonts w:ascii="Times New Roman" w:hAnsi="Times New Roman" w:cs="Times New Roman"/>
          <w:sz w:val="24"/>
        </w:rPr>
        <w:t xml:space="preserve"> </w:t>
      </w:r>
    </w:p>
    <w:p w14:paraId="2DD37A32" w14:textId="77777777" w:rsidR="001423F5" w:rsidRPr="00082431" w:rsidRDefault="001210B0" w:rsidP="001423F5">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Senāta </w:t>
      </w:r>
      <w:proofErr w:type="gramStart"/>
      <w:r w:rsidRPr="00082431">
        <w:rPr>
          <w:rFonts w:ascii="Times New Roman" w:hAnsi="Times New Roman" w:cs="Times New Roman"/>
          <w:sz w:val="24"/>
        </w:rPr>
        <w:t>2009.gada</w:t>
      </w:r>
      <w:proofErr w:type="gramEnd"/>
      <w:r w:rsidR="001423F5" w:rsidRPr="00082431">
        <w:rPr>
          <w:rFonts w:ascii="Times New Roman" w:hAnsi="Times New Roman" w:cs="Times New Roman"/>
          <w:sz w:val="24"/>
        </w:rPr>
        <w:t xml:space="preserve"> 21.oktobra lēmumā lietā Nr. </w:t>
      </w:r>
      <w:r w:rsidR="007401D8" w:rsidRPr="00082431">
        <w:rPr>
          <w:rFonts w:ascii="Times New Roman" w:hAnsi="Times New Roman" w:cs="Times New Roman"/>
          <w:sz w:val="24"/>
        </w:rPr>
        <w:t>SKK-520/2009 pausta atziņa, ka lēmumā par personas saukšanu pie kriminālatbildības noziedzīgā nodarījuma apstākļi, tajā skaitā apsūdzētā faktiskās darbības, ir jānorāda tādā apmērā, lai apsūdzētā persona būtu spējīga īstenot aizstāvību pret tai uzrādīto apsūdzību.</w:t>
      </w:r>
      <w:r w:rsidR="001423F5" w:rsidRPr="00082431">
        <w:rPr>
          <w:rFonts w:ascii="Times New Roman" w:hAnsi="Times New Roman" w:cs="Times New Roman"/>
          <w:sz w:val="24"/>
        </w:rPr>
        <w:t xml:space="preserve"> </w:t>
      </w:r>
    </w:p>
    <w:p w14:paraId="758F52CE" w14:textId="09441E69" w:rsidR="001423F5" w:rsidRPr="00082431" w:rsidRDefault="007401D8" w:rsidP="001423F5">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Apsūdzētais </w:t>
      </w:r>
      <w:r w:rsidR="00EF4A16">
        <w:rPr>
          <w:rFonts w:ascii="Times New Roman" w:hAnsi="Times New Roman" w:cs="Times New Roman"/>
          <w:sz w:val="24"/>
        </w:rPr>
        <w:t>[pers. A]</w:t>
      </w:r>
      <w:r w:rsidRPr="00082431">
        <w:rPr>
          <w:rFonts w:ascii="Times New Roman" w:hAnsi="Times New Roman" w:cs="Times New Roman"/>
          <w:sz w:val="24"/>
        </w:rPr>
        <w:t xml:space="preserve"> tiesas izmeklēšanas laikā norādīja, ka apsūdzības būtība viņam ir skaidra un saprotama</w:t>
      </w:r>
      <w:r w:rsidR="00446651" w:rsidRPr="00082431">
        <w:rPr>
          <w:rFonts w:ascii="Times New Roman" w:hAnsi="Times New Roman" w:cs="Times New Roman"/>
          <w:sz w:val="24"/>
        </w:rPr>
        <w:t>, savu vainīgumu inkriminētajā noziedzīgajā nodarījumā neatzīst.</w:t>
      </w:r>
      <w:r w:rsidR="001423F5" w:rsidRPr="00082431">
        <w:rPr>
          <w:rFonts w:ascii="Times New Roman" w:hAnsi="Times New Roman" w:cs="Times New Roman"/>
          <w:sz w:val="24"/>
        </w:rPr>
        <w:t xml:space="preserve"> </w:t>
      </w:r>
    </w:p>
    <w:p w14:paraId="411DB054" w14:textId="77777777" w:rsidR="004E4C48" w:rsidRPr="00082431" w:rsidRDefault="00446651" w:rsidP="004E4C48">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Tādējādi lietā nav pārkāptas Kriminālprocesa likuma </w:t>
      </w:r>
      <w:proofErr w:type="gramStart"/>
      <w:r w:rsidRPr="00082431">
        <w:rPr>
          <w:rFonts w:ascii="Times New Roman" w:hAnsi="Times New Roman" w:cs="Times New Roman"/>
          <w:sz w:val="24"/>
        </w:rPr>
        <w:t>20.pantā</w:t>
      </w:r>
      <w:proofErr w:type="gramEnd"/>
      <w:r w:rsidRPr="00082431">
        <w:rPr>
          <w:rFonts w:ascii="Times New Roman" w:hAnsi="Times New Roman" w:cs="Times New Roman"/>
          <w:sz w:val="24"/>
        </w:rPr>
        <w:t xml:space="preserve"> noteiktās tiesības uz aizstāvību. Apsūdzētajam bija zināmi lietas faktiskie apstākļi un lietā iegūtie pierādījumi, ar kuriem prokurors tiesas debašu runā pamatoja apsūdzētā vainīgumu </w:t>
      </w:r>
      <w:r w:rsidR="002F0BE9" w:rsidRPr="00082431">
        <w:rPr>
          <w:rFonts w:ascii="Times New Roman" w:hAnsi="Times New Roman" w:cs="Times New Roman"/>
          <w:sz w:val="24"/>
        </w:rPr>
        <w:t xml:space="preserve">inkriminētajā noziedzīgajā </w:t>
      </w:r>
      <w:r w:rsidR="004E4C48" w:rsidRPr="00082431">
        <w:rPr>
          <w:rFonts w:ascii="Times New Roman" w:hAnsi="Times New Roman" w:cs="Times New Roman"/>
          <w:sz w:val="24"/>
        </w:rPr>
        <w:t xml:space="preserve">nodarījumā. </w:t>
      </w:r>
      <w:r w:rsidR="002F0BE9" w:rsidRPr="00082431">
        <w:rPr>
          <w:rFonts w:ascii="Times New Roman" w:hAnsi="Times New Roman" w:cs="Times New Roman"/>
          <w:sz w:val="24"/>
        </w:rPr>
        <w:t>Savukārt apelācijas instances tiesa izdarījusi nepamatotus secinājumus par apsūdzības nekonkrētību un līdz ar to nepamatoti taisījusi lietā attaisnojošu spriedumu.</w:t>
      </w:r>
      <w:r w:rsidR="004E4C48" w:rsidRPr="00082431">
        <w:rPr>
          <w:rFonts w:ascii="Times New Roman" w:hAnsi="Times New Roman" w:cs="Times New Roman"/>
          <w:sz w:val="24"/>
        </w:rPr>
        <w:t xml:space="preserve"> </w:t>
      </w:r>
    </w:p>
    <w:p w14:paraId="1D6FB628" w14:textId="7D37EF00" w:rsidR="007401D8" w:rsidRPr="00082431" w:rsidRDefault="004E4C48" w:rsidP="004E4C48">
      <w:pPr>
        <w:spacing w:after="0"/>
        <w:ind w:firstLine="709"/>
        <w:jc w:val="both"/>
        <w:rPr>
          <w:rFonts w:ascii="Times New Roman" w:hAnsi="Times New Roman" w:cs="Times New Roman"/>
          <w:sz w:val="24"/>
        </w:rPr>
      </w:pPr>
      <w:r w:rsidRPr="00082431">
        <w:rPr>
          <w:rFonts w:ascii="Times New Roman" w:hAnsi="Times New Roman" w:cs="Times New Roman"/>
          <w:sz w:val="24"/>
        </w:rPr>
        <w:t>[5.4] </w:t>
      </w:r>
      <w:r w:rsidR="002F0BE9" w:rsidRPr="00082431">
        <w:rPr>
          <w:rFonts w:ascii="Times New Roman" w:hAnsi="Times New Roman" w:cs="Times New Roman"/>
          <w:sz w:val="24"/>
        </w:rPr>
        <w:t xml:space="preserve">Tādējādi apelācijas instances tiesa pārkāpusi Kriminālprocesa likuma </w:t>
      </w:r>
      <w:proofErr w:type="gramStart"/>
      <w:r w:rsidR="002F0BE9" w:rsidRPr="00082431">
        <w:rPr>
          <w:rFonts w:ascii="Times New Roman" w:hAnsi="Times New Roman" w:cs="Times New Roman"/>
          <w:sz w:val="24"/>
        </w:rPr>
        <w:t>1.pantu</w:t>
      </w:r>
      <w:proofErr w:type="gramEnd"/>
      <w:r w:rsidR="002F0BE9" w:rsidRPr="00082431">
        <w:rPr>
          <w:rFonts w:ascii="Times New Roman" w:hAnsi="Times New Roman" w:cs="Times New Roman"/>
          <w:sz w:val="24"/>
        </w:rPr>
        <w:t xml:space="preserve">, 128.panta otro daļu, 344.panta ceturto daļu, 564.panta ceturto daļu. Pieļautie pārkāpumi atzīstami par Kriminālprocesa likuma būtiskiem pārkāpumiem šā likuma </w:t>
      </w:r>
      <w:proofErr w:type="gramStart"/>
      <w:r w:rsidR="002F0BE9" w:rsidRPr="00082431">
        <w:rPr>
          <w:rFonts w:ascii="Times New Roman" w:hAnsi="Times New Roman" w:cs="Times New Roman"/>
          <w:sz w:val="24"/>
        </w:rPr>
        <w:t>575.panta</w:t>
      </w:r>
      <w:proofErr w:type="gramEnd"/>
      <w:r w:rsidR="002F0BE9" w:rsidRPr="00082431">
        <w:rPr>
          <w:rFonts w:ascii="Times New Roman" w:hAnsi="Times New Roman" w:cs="Times New Roman"/>
          <w:sz w:val="24"/>
        </w:rPr>
        <w:t xml:space="preserve"> trešās daļas izpratnē</w:t>
      </w:r>
      <w:r w:rsidR="00ED3410" w:rsidRPr="00082431">
        <w:rPr>
          <w:rFonts w:ascii="Times New Roman" w:hAnsi="Times New Roman" w:cs="Times New Roman"/>
          <w:sz w:val="24"/>
        </w:rPr>
        <w:t>.</w:t>
      </w:r>
      <w:r w:rsidR="002F0BE9" w:rsidRPr="00082431">
        <w:rPr>
          <w:rFonts w:ascii="Times New Roman" w:hAnsi="Times New Roman" w:cs="Times New Roman"/>
          <w:sz w:val="24"/>
        </w:rPr>
        <w:t xml:space="preserve"> </w:t>
      </w:r>
      <w:r w:rsidR="00446651" w:rsidRPr="00082431">
        <w:rPr>
          <w:rFonts w:ascii="Times New Roman" w:hAnsi="Times New Roman" w:cs="Times New Roman"/>
          <w:sz w:val="24"/>
        </w:rPr>
        <w:t xml:space="preserve"> </w:t>
      </w:r>
      <w:r w:rsidR="007401D8" w:rsidRPr="00082431">
        <w:rPr>
          <w:rFonts w:ascii="Times New Roman" w:hAnsi="Times New Roman" w:cs="Times New Roman"/>
          <w:sz w:val="24"/>
        </w:rPr>
        <w:t xml:space="preserve"> </w:t>
      </w:r>
    </w:p>
    <w:p w14:paraId="171EAC46" w14:textId="64676517" w:rsidR="004145C0" w:rsidRPr="00082431" w:rsidRDefault="001210B0" w:rsidP="004145C0">
      <w:pPr>
        <w:spacing w:after="0"/>
        <w:jc w:val="both"/>
        <w:rPr>
          <w:rFonts w:ascii="Times New Roman" w:hAnsi="Times New Roman" w:cs="Times New Roman"/>
          <w:sz w:val="24"/>
        </w:rPr>
      </w:pPr>
      <w:r w:rsidRPr="00082431">
        <w:rPr>
          <w:rFonts w:ascii="Times New Roman" w:hAnsi="Times New Roman" w:cs="Times New Roman"/>
          <w:sz w:val="24"/>
        </w:rPr>
        <w:t xml:space="preserve">            </w:t>
      </w:r>
      <w:r w:rsidR="00F66AE7" w:rsidRPr="00082431">
        <w:rPr>
          <w:rFonts w:ascii="Times New Roman" w:hAnsi="Times New Roman" w:cs="Times New Roman"/>
          <w:sz w:val="24"/>
        </w:rPr>
        <w:t xml:space="preserve"> </w:t>
      </w:r>
      <w:r w:rsidR="003D76A8" w:rsidRPr="00082431">
        <w:rPr>
          <w:rFonts w:ascii="Times New Roman" w:hAnsi="Times New Roman" w:cs="Times New Roman"/>
          <w:sz w:val="24"/>
        </w:rPr>
        <w:t xml:space="preserve">  </w:t>
      </w:r>
    </w:p>
    <w:p w14:paraId="4C48C5AA" w14:textId="05BF9102" w:rsidR="007D2B5A" w:rsidRPr="00082431" w:rsidRDefault="007D2B5A" w:rsidP="00DB0561">
      <w:pPr>
        <w:spacing w:after="0"/>
        <w:jc w:val="center"/>
        <w:rPr>
          <w:rFonts w:ascii="Times New Roman" w:hAnsi="Times New Roman" w:cs="Times New Roman"/>
          <w:sz w:val="24"/>
        </w:rPr>
      </w:pPr>
      <w:r w:rsidRPr="00082431">
        <w:rPr>
          <w:rFonts w:ascii="Times New Roman" w:hAnsi="Times New Roman" w:cs="Times New Roman"/>
          <w:b/>
          <w:sz w:val="24"/>
        </w:rPr>
        <w:t>Motīvu daļa</w:t>
      </w:r>
    </w:p>
    <w:p w14:paraId="20007D35" w14:textId="77777777" w:rsidR="00EE1278" w:rsidRPr="00082431" w:rsidRDefault="005975B5" w:rsidP="005975B5">
      <w:pPr>
        <w:pStyle w:val="NoSpacing"/>
        <w:spacing w:line="276" w:lineRule="auto"/>
        <w:jc w:val="both"/>
        <w:rPr>
          <w:rFonts w:ascii="Times New Roman" w:hAnsi="Times New Roman" w:cs="Times New Roman"/>
          <w:sz w:val="24"/>
          <w:szCs w:val="24"/>
        </w:rPr>
      </w:pPr>
      <w:r w:rsidRPr="00082431">
        <w:rPr>
          <w:rFonts w:ascii="Times New Roman" w:hAnsi="Times New Roman" w:cs="Times New Roman"/>
          <w:sz w:val="24"/>
          <w:szCs w:val="24"/>
        </w:rPr>
        <w:t xml:space="preserve">            </w:t>
      </w:r>
    </w:p>
    <w:p w14:paraId="755A5B9B" w14:textId="61FE6DC0" w:rsidR="00DF7F33" w:rsidRPr="00082431" w:rsidRDefault="00DF7F33" w:rsidP="00DF7F33">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[6] Senāts atzīst, ka Kurzemes apgabaltiesas </w:t>
      </w:r>
      <w:proofErr w:type="gramStart"/>
      <w:r w:rsidRPr="00082431">
        <w:rPr>
          <w:rFonts w:ascii="Times New Roman" w:hAnsi="Times New Roman" w:cs="Times New Roman"/>
          <w:sz w:val="24"/>
          <w:szCs w:val="24"/>
        </w:rPr>
        <w:t>2020.gada</w:t>
      </w:r>
      <w:proofErr w:type="gramEnd"/>
      <w:r w:rsidRPr="00082431">
        <w:rPr>
          <w:rFonts w:ascii="Times New Roman" w:hAnsi="Times New Roman" w:cs="Times New Roman"/>
          <w:sz w:val="24"/>
          <w:szCs w:val="24"/>
        </w:rPr>
        <w:t xml:space="preserve"> 10.septembra lēmums atceļams un lieta nosūtāma jaunai izskatīšanai apelācijas instances tiesā. </w:t>
      </w:r>
    </w:p>
    <w:p w14:paraId="267950C8" w14:textId="6AD78F3C" w:rsidR="00DF7F33" w:rsidRPr="00082431" w:rsidRDefault="00DF7F33" w:rsidP="00DF7F33">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[6.1] Apelācijas instances tiesa, pamatojoties uz Kriminālprocesa likuma </w:t>
      </w:r>
      <w:proofErr w:type="gramStart"/>
      <w:r w:rsidRPr="00082431">
        <w:rPr>
          <w:rFonts w:ascii="Times New Roman" w:hAnsi="Times New Roman" w:cs="Times New Roman"/>
          <w:sz w:val="24"/>
          <w:szCs w:val="24"/>
        </w:rPr>
        <w:t>519.panta</w:t>
      </w:r>
      <w:proofErr w:type="gramEnd"/>
      <w:r w:rsidRPr="00082431">
        <w:rPr>
          <w:rFonts w:ascii="Times New Roman" w:hAnsi="Times New Roman" w:cs="Times New Roman"/>
          <w:sz w:val="24"/>
          <w:szCs w:val="24"/>
        </w:rPr>
        <w:t xml:space="preserve"> 1.punktu, taisījusi lietā attaisnojošu spriedumu, norādot, ka </w:t>
      </w:r>
      <w:r w:rsidR="00EF4A16">
        <w:rPr>
          <w:rFonts w:ascii="Times New Roman" w:hAnsi="Times New Roman" w:cs="Times New Roman"/>
          <w:sz w:val="24"/>
          <w:szCs w:val="24"/>
        </w:rPr>
        <w:t>[pers. A]</w:t>
      </w:r>
      <w:r w:rsidRPr="00082431">
        <w:rPr>
          <w:rFonts w:ascii="Times New Roman" w:hAnsi="Times New Roman" w:cs="Times New Roman"/>
          <w:sz w:val="24"/>
          <w:szCs w:val="24"/>
        </w:rPr>
        <w:t xml:space="preserve"> celtajā un izsniegtajā apsūdzībā nav sniegts inkriminētā noziedzīgā nodarījuma objektīvās puses apraksts.</w:t>
      </w:r>
    </w:p>
    <w:p w14:paraId="171CCBB8" w14:textId="4488B705" w:rsidR="00DF7F33" w:rsidRPr="00082431" w:rsidRDefault="00DF7F33" w:rsidP="00DF7F33">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[6.1.1] Apsūdzībā nav norādītas ziņas, kad pārmaksātais PVN nodoklis reāli izmantots, lai segtu nākamajos taksācijas periodos valsts budžetā maksājamo PVN un citus nodokļus vai segtu nodokļu un nodevu parādu, tādējādi nodarot zaudējumus valsts budžetā. </w:t>
      </w:r>
    </w:p>
    <w:p w14:paraId="3E0872EB" w14:textId="77777777" w:rsidR="00BB58F1" w:rsidRPr="00082431" w:rsidRDefault="00DF7F33"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Pamatojot šādu atzinumu, tiesa, atsaucoties uz Senāta </w:t>
      </w:r>
      <w:proofErr w:type="gramStart"/>
      <w:r w:rsidRPr="00082431">
        <w:rPr>
          <w:rFonts w:ascii="Times New Roman" w:hAnsi="Times New Roman" w:cs="Times New Roman"/>
          <w:sz w:val="24"/>
          <w:szCs w:val="24"/>
        </w:rPr>
        <w:t>2013.gada</w:t>
      </w:r>
      <w:proofErr w:type="gramEnd"/>
      <w:r w:rsidRPr="00082431">
        <w:rPr>
          <w:rFonts w:ascii="Times New Roman" w:hAnsi="Times New Roman" w:cs="Times New Roman"/>
          <w:sz w:val="24"/>
          <w:szCs w:val="24"/>
        </w:rPr>
        <w:t xml:space="preserve"> 26.marta lēmumā</w:t>
      </w:r>
      <w:r w:rsidR="00BB58F1" w:rsidRPr="00082431">
        <w:rPr>
          <w:rFonts w:ascii="Times New Roman" w:hAnsi="Times New Roman" w:cs="Times New Roman"/>
          <w:sz w:val="24"/>
          <w:szCs w:val="24"/>
        </w:rPr>
        <w:t xml:space="preserve"> lietā Nr. </w:t>
      </w:r>
      <w:r w:rsidRPr="00082431">
        <w:rPr>
          <w:rFonts w:ascii="Times New Roman" w:hAnsi="Times New Roman" w:cs="Times New Roman"/>
          <w:sz w:val="24"/>
          <w:szCs w:val="24"/>
        </w:rPr>
        <w:t>SKK-3</w:t>
      </w:r>
      <w:r w:rsidR="00BB58F1" w:rsidRPr="00082431">
        <w:rPr>
          <w:rFonts w:ascii="Times New Roman" w:hAnsi="Times New Roman" w:cs="Times New Roman"/>
          <w:sz w:val="24"/>
          <w:szCs w:val="24"/>
        </w:rPr>
        <w:t>/2013</w:t>
      </w:r>
      <w:r w:rsidRPr="00082431">
        <w:rPr>
          <w:rFonts w:ascii="Times New Roman" w:hAnsi="Times New Roman" w:cs="Times New Roman"/>
          <w:sz w:val="24"/>
          <w:szCs w:val="24"/>
        </w:rPr>
        <w:t xml:space="preserve"> paustajām atziņām, norādījusi, ka izvairīšanās no nodokļu nomaksas aktīvu darbību veidā, sniedzot nepatiesas ziņas un uzrādot fiktīvus darījumus, ir pabeigts noziegums ar brīdi, kad nepamatoti aprēķinātais priekšnodoklis tiek izmantots. Kamēr nav konstatēta pārmaksātā nodokļa reāla izmantošana, nodarījums kvalificējams kā nepabeigts Krimināllikuma 218.panta otrajā daļā paredzētais noziedzīgais nodarījums.</w:t>
      </w:r>
      <w:r w:rsidR="00BB58F1" w:rsidRPr="00082431">
        <w:rPr>
          <w:rFonts w:ascii="Times New Roman" w:hAnsi="Times New Roman" w:cs="Times New Roman"/>
          <w:sz w:val="24"/>
          <w:szCs w:val="24"/>
        </w:rPr>
        <w:t xml:space="preserve"> </w:t>
      </w:r>
    </w:p>
    <w:p w14:paraId="5551C8E8" w14:textId="77777777" w:rsidR="00BB58F1" w:rsidRPr="00082431" w:rsidRDefault="00BB58F1"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[6.1.2] </w:t>
      </w:r>
      <w:r w:rsidR="00DF7F33" w:rsidRPr="00082431">
        <w:rPr>
          <w:rFonts w:ascii="Times New Roman" w:hAnsi="Times New Roman" w:cs="Times New Roman"/>
          <w:sz w:val="24"/>
          <w:szCs w:val="24"/>
        </w:rPr>
        <w:t>Apsūdzības daļā par izvairīšanos no valsts sociālās apdrošināšanas obligātajām iemaksām no darba ņēmēju ienākumiem, iedzīvotāju ienākuma nodokļa un uzņēmējdarbības riska valsts nodevas nomaksas nav norādīts, kā veidojās parāds katrā no nodokļu veidiem un kādā veidā, ar kādu mērķi izvairīšanās notikusi.</w:t>
      </w:r>
      <w:r w:rsidRPr="00082431">
        <w:rPr>
          <w:rFonts w:ascii="Times New Roman" w:hAnsi="Times New Roman" w:cs="Times New Roman"/>
          <w:sz w:val="24"/>
          <w:szCs w:val="24"/>
        </w:rPr>
        <w:t xml:space="preserve"> </w:t>
      </w:r>
    </w:p>
    <w:p w14:paraId="6E618BC0" w14:textId="77777777" w:rsidR="00BB58F1" w:rsidRPr="00082431" w:rsidRDefault="00BB58F1"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[6.1.3] </w:t>
      </w:r>
      <w:r w:rsidR="00DF7F33" w:rsidRPr="00082431">
        <w:rPr>
          <w:rFonts w:ascii="Times New Roman" w:hAnsi="Times New Roman" w:cs="Times New Roman"/>
          <w:sz w:val="24"/>
          <w:szCs w:val="24"/>
        </w:rPr>
        <w:t>Apsūdzībā nav norādīti speciālajos likumos noteiktie nodokļu nomaksas termiņi.</w:t>
      </w:r>
      <w:r w:rsidRPr="00082431">
        <w:rPr>
          <w:rFonts w:ascii="Times New Roman" w:hAnsi="Times New Roman" w:cs="Times New Roman"/>
          <w:sz w:val="24"/>
          <w:szCs w:val="24"/>
        </w:rPr>
        <w:t xml:space="preserve"> </w:t>
      </w:r>
    </w:p>
    <w:p w14:paraId="1AC5B20A" w14:textId="77777777" w:rsidR="00BB58F1" w:rsidRPr="00082431" w:rsidRDefault="00DF7F33"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Apelācijas instances tiesa norādījusi, ka saskaņā ar Krimināllikuma </w:t>
      </w:r>
      <w:proofErr w:type="gramStart"/>
      <w:r w:rsidRPr="00082431">
        <w:rPr>
          <w:rFonts w:ascii="Times New Roman" w:hAnsi="Times New Roman" w:cs="Times New Roman"/>
          <w:sz w:val="24"/>
          <w:szCs w:val="24"/>
        </w:rPr>
        <w:t>15.panta</w:t>
      </w:r>
      <w:proofErr w:type="gramEnd"/>
      <w:r w:rsidRPr="00082431">
        <w:rPr>
          <w:rFonts w:ascii="Times New Roman" w:hAnsi="Times New Roman" w:cs="Times New Roman"/>
          <w:sz w:val="24"/>
          <w:szCs w:val="24"/>
        </w:rPr>
        <w:t xml:space="preserve"> pirmo daļu noziedzīga nodarījuma pabeigšanas brīdis ir brīdis, kad darbības iegūst krimināli sodāmu raksturu, līdz ar to inkriminētā noziedzīgā nodarījuma pabeigšanas brīdis nevar ilgt līdz 2016.gada 7.aprīlim, kā tas norādīts apsūdzībā. Vienlaikus prokurores apelācijas protestā norādīts, ka no VID informācijas sistēmas izdrukas redzamais PVN samaksas termiņš bija </w:t>
      </w:r>
      <w:proofErr w:type="gramStart"/>
      <w:r w:rsidRPr="00082431">
        <w:rPr>
          <w:rFonts w:ascii="Times New Roman" w:hAnsi="Times New Roman" w:cs="Times New Roman"/>
          <w:sz w:val="24"/>
          <w:szCs w:val="24"/>
        </w:rPr>
        <w:t>2016.gada</w:t>
      </w:r>
      <w:proofErr w:type="gramEnd"/>
      <w:r w:rsidRPr="00082431">
        <w:rPr>
          <w:rFonts w:ascii="Times New Roman" w:hAnsi="Times New Roman" w:cs="Times New Roman"/>
          <w:sz w:val="24"/>
          <w:szCs w:val="24"/>
        </w:rPr>
        <w:t xml:space="preserve"> 19.februāris.</w:t>
      </w:r>
      <w:r w:rsidR="00BB58F1" w:rsidRPr="00082431">
        <w:rPr>
          <w:rFonts w:ascii="Times New Roman" w:hAnsi="Times New Roman" w:cs="Times New Roman"/>
          <w:sz w:val="24"/>
          <w:szCs w:val="24"/>
        </w:rPr>
        <w:t xml:space="preserve"> </w:t>
      </w:r>
    </w:p>
    <w:p w14:paraId="0D3D7409" w14:textId="77777777" w:rsidR="00BB58F1" w:rsidRPr="00082431" w:rsidRDefault="00BB58F1"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[6.1.4] </w:t>
      </w:r>
      <w:r w:rsidR="00DF7F33" w:rsidRPr="00082431">
        <w:rPr>
          <w:rFonts w:ascii="Times New Roman" w:hAnsi="Times New Roman" w:cs="Times New Roman"/>
          <w:sz w:val="24"/>
          <w:szCs w:val="24"/>
        </w:rPr>
        <w:t>Apsūdzībā nav norādītas deklarācijas, no kurām izprotams maksājamo nodokļu veidošanās periods un apmērs.</w:t>
      </w:r>
      <w:r w:rsidRPr="00082431">
        <w:rPr>
          <w:rFonts w:ascii="Times New Roman" w:hAnsi="Times New Roman" w:cs="Times New Roman"/>
          <w:sz w:val="24"/>
          <w:szCs w:val="24"/>
        </w:rPr>
        <w:t xml:space="preserve"> </w:t>
      </w:r>
    </w:p>
    <w:p w14:paraId="47F761BE" w14:textId="10B8D4CF" w:rsidR="00BB58F1" w:rsidRPr="00082431" w:rsidRDefault="00BB58F1"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[6.1.5] </w:t>
      </w:r>
      <w:r w:rsidR="00DF7F33" w:rsidRPr="00082431">
        <w:rPr>
          <w:rFonts w:ascii="Times New Roman" w:hAnsi="Times New Roman" w:cs="Times New Roman"/>
          <w:sz w:val="24"/>
          <w:szCs w:val="24"/>
        </w:rPr>
        <w:t xml:space="preserve">Apsūdzībā nav norādītas likuma normas, no kurām izriet </w:t>
      </w:r>
      <w:r w:rsidRPr="00082431">
        <w:rPr>
          <w:rFonts w:ascii="Times New Roman" w:hAnsi="Times New Roman" w:cs="Times New Roman"/>
          <w:sz w:val="24"/>
          <w:szCs w:val="24"/>
        </w:rPr>
        <w:t>apsūdzētā pienākums maksāt SIA ,,</w:t>
      </w:r>
      <w:r w:rsidR="00EF4A16">
        <w:rPr>
          <w:rFonts w:ascii="Times New Roman" w:hAnsi="Times New Roman" w:cs="Times New Roman"/>
          <w:sz w:val="24"/>
          <w:szCs w:val="24"/>
        </w:rPr>
        <w:t>[Nosaukums A]</w:t>
      </w:r>
      <w:r w:rsidR="00DF7F33" w:rsidRPr="00082431">
        <w:rPr>
          <w:rFonts w:ascii="Times New Roman" w:hAnsi="Times New Roman" w:cs="Times New Roman"/>
          <w:sz w:val="24"/>
          <w:szCs w:val="24"/>
        </w:rPr>
        <w:t>” nodokļus, kā arī likuma normas, kuras apsūdzētais pārkāpis, uzrādot fiktīvus darījumus.</w:t>
      </w:r>
      <w:r w:rsidRPr="00082431">
        <w:rPr>
          <w:rFonts w:ascii="Times New Roman" w:hAnsi="Times New Roman" w:cs="Times New Roman"/>
          <w:sz w:val="24"/>
          <w:szCs w:val="24"/>
        </w:rPr>
        <w:t xml:space="preserve"> </w:t>
      </w:r>
    </w:p>
    <w:p w14:paraId="1D169A34" w14:textId="2D1F558B" w:rsidR="00DF7F33" w:rsidRPr="00082431" w:rsidRDefault="00BB58F1" w:rsidP="00BB58F1">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[6.2] </w:t>
      </w:r>
      <w:r w:rsidR="00DF7F33" w:rsidRPr="00082431">
        <w:rPr>
          <w:rFonts w:ascii="Times New Roman" w:hAnsi="Times New Roman" w:cs="Times New Roman"/>
          <w:sz w:val="24"/>
          <w:szCs w:val="24"/>
        </w:rPr>
        <w:t xml:space="preserve">Krimināllikuma </w:t>
      </w:r>
      <w:proofErr w:type="gramStart"/>
      <w:r w:rsidR="00DF7F33" w:rsidRPr="00082431">
        <w:rPr>
          <w:rFonts w:ascii="Times New Roman" w:hAnsi="Times New Roman" w:cs="Times New Roman"/>
          <w:sz w:val="24"/>
          <w:szCs w:val="24"/>
        </w:rPr>
        <w:t>1.panta</w:t>
      </w:r>
      <w:proofErr w:type="gramEnd"/>
      <w:r w:rsidR="00DF7F33" w:rsidRPr="00082431">
        <w:rPr>
          <w:rFonts w:ascii="Times New Roman" w:hAnsi="Times New Roman" w:cs="Times New Roman"/>
          <w:sz w:val="24"/>
          <w:szCs w:val="24"/>
        </w:rPr>
        <w:t xml:space="preserve"> pirmajā daļā noteikts, ka pie kriminālatbildības saucama un sodāma tikai tāda persona, kura ir vainīga noziedzīga nodarījuma izdarīšanā, tas ir, kura ar nodomu (tīši) vai aiz neuzmanības izdarījusi šajā likumā paredzētu nodarījumu, kuram ir visas noziedzīga nodarījuma sastāva pazīmes.</w:t>
      </w:r>
    </w:p>
    <w:p w14:paraId="07267BC2" w14:textId="517EBF46" w:rsidR="00DF7F33" w:rsidRPr="00082431" w:rsidRDefault="00DF7F33" w:rsidP="00DF7F33">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Noziedzīga nodarījuma kvalifikācija ir pilnīgas atbilstības konstatēšana starp nodarījuma faktiskajām pazīmēm un Krimināllikuma normā paredzētā </w:t>
      </w:r>
      <w:r w:rsidR="00F17A8E">
        <w:rPr>
          <w:rFonts w:ascii="Times New Roman" w:hAnsi="Times New Roman" w:cs="Times New Roman"/>
          <w:sz w:val="24"/>
          <w:szCs w:val="24"/>
        </w:rPr>
        <w:t xml:space="preserve">konkrētā </w:t>
      </w:r>
      <w:r w:rsidRPr="00082431">
        <w:rPr>
          <w:rFonts w:ascii="Times New Roman" w:hAnsi="Times New Roman" w:cs="Times New Roman"/>
          <w:sz w:val="24"/>
          <w:szCs w:val="24"/>
        </w:rPr>
        <w:t>noziedzīgā nodarījuma sastāva pazīmēm</w:t>
      </w:r>
      <w:r w:rsidR="00F17A8E">
        <w:rPr>
          <w:rFonts w:ascii="Times New Roman" w:hAnsi="Times New Roman" w:cs="Times New Roman"/>
          <w:sz w:val="24"/>
          <w:szCs w:val="24"/>
        </w:rPr>
        <w:t>. Tikai tādā gadījumā, kad</w:t>
      </w:r>
      <w:r w:rsidRPr="00082431">
        <w:rPr>
          <w:rFonts w:ascii="Times New Roman" w:hAnsi="Times New Roman" w:cs="Times New Roman"/>
          <w:sz w:val="24"/>
          <w:szCs w:val="24"/>
        </w:rPr>
        <w:t xml:space="preserve"> noziedzīgā nodarījuma faktiskās pazīmes sakrīt ar konkrētā noziedzīgā nodarījuma sastāva pazīmēm, kas paredzētas Krimin</w:t>
      </w:r>
      <w:r w:rsidR="00F17A8E">
        <w:rPr>
          <w:rFonts w:ascii="Times New Roman" w:hAnsi="Times New Roman" w:cs="Times New Roman"/>
          <w:sz w:val="24"/>
          <w:szCs w:val="24"/>
        </w:rPr>
        <w:t>āllikumā, ir pamats atzīt, ka</w:t>
      </w:r>
      <w:r w:rsidRPr="00082431">
        <w:rPr>
          <w:rFonts w:ascii="Times New Roman" w:hAnsi="Times New Roman" w:cs="Times New Roman"/>
          <w:sz w:val="24"/>
          <w:szCs w:val="24"/>
        </w:rPr>
        <w:t xml:space="preserve"> izdarīts noziedzīgs nodarījums, un to pare</w:t>
      </w:r>
      <w:r w:rsidR="00F17A8E">
        <w:rPr>
          <w:rFonts w:ascii="Times New Roman" w:hAnsi="Times New Roman" w:cs="Times New Roman"/>
          <w:sz w:val="24"/>
          <w:szCs w:val="24"/>
        </w:rPr>
        <w:t xml:space="preserve">izi kvalificēt </w:t>
      </w:r>
      <w:proofErr w:type="gramStart"/>
      <w:r w:rsidR="00F17A8E" w:rsidRPr="00F17A8E">
        <w:rPr>
          <w:rFonts w:ascii="Times New Roman" w:hAnsi="Times New Roman" w:cs="Times New Roman"/>
          <w:sz w:val="24"/>
          <w:szCs w:val="24"/>
        </w:rPr>
        <w:t>(</w:t>
      </w:r>
      <w:proofErr w:type="gramEnd"/>
      <w:r w:rsidR="00F17A8E" w:rsidRPr="00F17A8E">
        <w:rPr>
          <w:rFonts w:ascii="Times New Roman" w:hAnsi="Times New Roman" w:cs="Times New Roman"/>
          <w:i/>
          <w:iCs/>
          <w:sz w:val="24"/>
          <w:szCs w:val="24"/>
        </w:rPr>
        <w:t xml:space="preserve">Krastiņš U., </w:t>
      </w:r>
      <w:proofErr w:type="spellStart"/>
      <w:r w:rsidR="00F17A8E" w:rsidRPr="00F17A8E">
        <w:rPr>
          <w:rFonts w:ascii="Times New Roman" w:hAnsi="Times New Roman" w:cs="Times New Roman"/>
          <w:i/>
          <w:iCs/>
          <w:sz w:val="24"/>
          <w:szCs w:val="24"/>
        </w:rPr>
        <w:t>Liholaja</w:t>
      </w:r>
      <w:proofErr w:type="spellEnd"/>
      <w:r w:rsidR="00F17A8E" w:rsidRPr="00F17A8E">
        <w:rPr>
          <w:rFonts w:ascii="Times New Roman" w:hAnsi="Times New Roman" w:cs="Times New Roman"/>
          <w:i/>
          <w:iCs/>
          <w:sz w:val="24"/>
          <w:szCs w:val="24"/>
        </w:rPr>
        <w:t xml:space="preserve"> V., </w:t>
      </w:r>
      <w:r w:rsidR="00F17A8E">
        <w:rPr>
          <w:rFonts w:ascii="Times New Roman" w:hAnsi="Times New Roman" w:cs="Times New Roman"/>
          <w:i/>
          <w:iCs/>
          <w:sz w:val="24"/>
          <w:szCs w:val="24"/>
        </w:rPr>
        <w:t>Niedre A</w:t>
      </w:r>
      <w:r w:rsidR="00F17A8E" w:rsidRPr="00F17A8E">
        <w:rPr>
          <w:rFonts w:ascii="Times New Roman" w:hAnsi="Times New Roman" w:cs="Times New Roman"/>
          <w:i/>
          <w:iCs/>
          <w:sz w:val="24"/>
          <w:szCs w:val="24"/>
        </w:rPr>
        <w:t>. Krimināl</w:t>
      </w:r>
      <w:r w:rsidR="00F17A8E">
        <w:rPr>
          <w:rFonts w:ascii="Times New Roman" w:hAnsi="Times New Roman" w:cs="Times New Roman"/>
          <w:i/>
          <w:iCs/>
          <w:sz w:val="24"/>
          <w:szCs w:val="24"/>
        </w:rPr>
        <w:t>tiesības</w:t>
      </w:r>
      <w:r w:rsidR="00F17A8E" w:rsidRPr="00F17A8E">
        <w:rPr>
          <w:rFonts w:ascii="Times New Roman" w:hAnsi="Times New Roman" w:cs="Times New Roman"/>
          <w:i/>
          <w:iCs/>
          <w:sz w:val="24"/>
          <w:szCs w:val="24"/>
        </w:rPr>
        <w:t xml:space="preserve">. </w:t>
      </w:r>
      <w:r w:rsidR="00F17A8E">
        <w:rPr>
          <w:rFonts w:ascii="Times New Roman" w:hAnsi="Times New Roman" w:cs="Times New Roman"/>
          <w:i/>
          <w:iCs/>
          <w:sz w:val="24"/>
          <w:szCs w:val="24"/>
        </w:rPr>
        <w:t>Vispārīgā</w:t>
      </w:r>
      <w:r w:rsidR="00F17A8E" w:rsidRPr="00F17A8E">
        <w:rPr>
          <w:rFonts w:ascii="Times New Roman" w:hAnsi="Times New Roman" w:cs="Times New Roman"/>
          <w:i/>
          <w:iCs/>
          <w:sz w:val="24"/>
          <w:szCs w:val="24"/>
        </w:rPr>
        <w:t xml:space="preserve"> daļa. </w:t>
      </w:r>
      <w:r w:rsidR="00F17A8E">
        <w:rPr>
          <w:rFonts w:ascii="Times New Roman" w:hAnsi="Times New Roman" w:cs="Times New Roman"/>
          <w:i/>
          <w:iCs/>
          <w:sz w:val="24"/>
          <w:szCs w:val="24"/>
        </w:rPr>
        <w:t>Trešais</w:t>
      </w:r>
      <w:r w:rsidR="00F17A8E" w:rsidRPr="00F17A8E">
        <w:rPr>
          <w:rFonts w:ascii="Times New Roman" w:hAnsi="Times New Roman" w:cs="Times New Roman"/>
          <w:i/>
          <w:iCs/>
          <w:sz w:val="24"/>
          <w:szCs w:val="24"/>
        </w:rPr>
        <w:t xml:space="preserve"> papildinātais izdevums. Rīga: Tiesu namu aģentūra, 20</w:t>
      </w:r>
      <w:r w:rsidR="00F17A8E">
        <w:rPr>
          <w:rFonts w:ascii="Times New Roman" w:hAnsi="Times New Roman" w:cs="Times New Roman"/>
          <w:i/>
          <w:iCs/>
          <w:sz w:val="24"/>
          <w:szCs w:val="24"/>
        </w:rPr>
        <w:t>08</w:t>
      </w:r>
      <w:r w:rsidR="00F17A8E" w:rsidRPr="00F17A8E">
        <w:rPr>
          <w:rFonts w:ascii="Times New Roman" w:hAnsi="Times New Roman" w:cs="Times New Roman"/>
          <w:i/>
          <w:iCs/>
          <w:sz w:val="24"/>
          <w:szCs w:val="24"/>
        </w:rPr>
        <w:t xml:space="preserve">, </w:t>
      </w:r>
      <w:r w:rsidR="00F17A8E">
        <w:rPr>
          <w:rFonts w:ascii="Times New Roman" w:hAnsi="Times New Roman" w:cs="Times New Roman"/>
          <w:i/>
          <w:iCs/>
          <w:sz w:val="24"/>
          <w:szCs w:val="24"/>
        </w:rPr>
        <w:t>85</w:t>
      </w:r>
      <w:r w:rsidR="00F17A8E" w:rsidRPr="00F17A8E">
        <w:rPr>
          <w:rFonts w:ascii="Times New Roman" w:hAnsi="Times New Roman" w:cs="Times New Roman"/>
          <w:i/>
          <w:iCs/>
          <w:sz w:val="24"/>
          <w:szCs w:val="24"/>
        </w:rPr>
        <w:t>.lpp.</w:t>
      </w:r>
      <w:r w:rsidR="00F17A8E" w:rsidRPr="00F17A8E">
        <w:rPr>
          <w:rFonts w:ascii="Times New Roman" w:hAnsi="Times New Roman" w:cs="Times New Roman"/>
          <w:sz w:val="24"/>
          <w:szCs w:val="24"/>
        </w:rPr>
        <w:t>)</w:t>
      </w:r>
      <w:r w:rsidR="00223121">
        <w:rPr>
          <w:rFonts w:ascii="Times New Roman" w:hAnsi="Times New Roman" w:cs="Times New Roman"/>
          <w:sz w:val="24"/>
          <w:szCs w:val="24"/>
        </w:rPr>
        <w:t>.</w:t>
      </w:r>
    </w:p>
    <w:p w14:paraId="6A668429" w14:textId="77777777" w:rsidR="00DF7F33" w:rsidRPr="00082431" w:rsidRDefault="00DF7F33" w:rsidP="00DF7F33">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Tādējādi, lai pareizi kvalificētu konkrēto nodarījumu, vispirms ir jānoskaidro šī noziedzīgā nodarījuma faktiskie apstākļi, jo īpaši tie, kuriem ir nozīme noziedzīgā nodarījuma kvalificēšanā. Tās ir pazīmes, kas raksturo noziedzīgā nodarījuma obligātos četrus elementus –</w:t>
      </w:r>
    </w:p>
    <w:p w14:paraId="3AF55105" w14:textId="77777777" w:rsidR="00AF2A7C" w:rsidRPr="00082431" w:rsidRDefault="00AF2A7C" w:rsidP="00DF7F33">
      <w:pPr>
        <w:pStyle w:val="NoSpacing"/>
        <w:spacing w:line="276" w:lineRule="auto"/>
        <w:jc w:val="both"/>
        <w:rPr>
          <w:rFonts w:ascii="Times New Roman" w:hAnsi="Times New Roman" w:cs="Times New Roman"/>
          <w:sz w:val="24"/>
          <w:szCs w:val="24"/>
        </w:rPr>
      </w:pPr>
      <w:r w:rsidRPr="00082431">
        <w:rPr>
          <w:rFonts w:ascii="Times New Roman" w:hAnsi="Times New Roman" w:cs="Times New Roman"/>
          <w:sz w:val="24"/>
          <w:szCs w:val="24"/>
        </w:rPr>
        <w:t>n</w:t>
      </w:r>
      <w:r w:rsidR="00DF7F33" w:rsidRPr="00082431">
        <w:rPr>
          <w:rFonts w:ascii="Times New Roman" w:hAnsi="Times New Roman" w:cs="Times New Roman"/>
          <w:sz w:val="24"/>
          <w:szCs w:val="24"/>
        </w:rPr>
        <w:t>oziedzīgā nodarījuma objektu, objektīvo pusi, subjektu un subjektīvo pusi.</w:t>
      </w:r>
      <w:r w:rsidRPr="00082431">
        <w:rPr>
          <w:rFonts w:ascii="Times New Roman" w:hAnsi="Times New Roman" w:cs="Times New Roman"/>
          <w:sz w:val="24"/>
          <w:szCs w:val="24"/>
        </w:rPr>
        <w:t xml:space="preserve"> </w:t>
      </w:r>
    </w:p>
    <w:p w14:paraId="7C807C41" w14:textId="5A0FB91C" w:rsidR="00DF7F33" w:rsidRPr="00082431" w:rsidRDefault="00DF7F33" w:rsidP="00AF2A7C">
      <w:pPr>
        <w:pStyle w:val="NoSpacing"/>
        <w:spacing w:line="276" w:lineRule="auto"/>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Krimināllikuma </w:t>
      </w:r>
      <w:proofErr w:type="gramStart"/>
      <w:r w:rsidRPr="00082431">
        <w:rPr>
          <w:rFonts w:ascii="Times New Roman" w:hAnsi="Times New Roman" w:cs="Times New Roman"/>
          <w:sz w:val="24"/>
          <w:szCs w:val="24"/>
        </w:rPr>
        <w:t>218.panta</w:t>
      </w:r>
      <w:proofErr w:type="gramEnd"/>
      <w:r w:rsidRPr="00082431">
        <w:rPr>
          <w:rFonts w:ascii="Times New Roman" w:hAnsi="Times New Roman" w:cs="Times New Roman"/>
          <w:sz w:val="24"/>
          <w:szCs w:val="24"/>
        </w:rPr>
        <w:t xml:space="preserve"> otrajā daļā paredzēta kriminālatbildība par izvairīšanos </w:t>
      </w:r>
      <w:r w:rsidR="00AF2A7C" w:rsidRPr="00082431">
        <w:rPr>
          <w:rFonts w:ascii="Times New Roman" w:hAnsi="Times New Roman" w:cs="Times New Roman"/>
          <w:sz w:val="24"/>
          <w:szCs w:val="24"/>
        </w:rPr>
        <w:t>no nodokļu vai tiem pielīdzināto</w:t>
      </w:r>
      <w:r w:rsidRPr="00082431">
        <w:rPr>
          <w:rFonts w:ascii="Times New Roman" w:hAnsi="Times New Roman" w:cs="Times New Roman"/>
          <w:sz w:val="24"/>
          <w:szCs w:val="24"/>
        </w:rPr>
        <w:t xml:space="preserve"> maksājumu nomaksas vai par ienākumu, peļņas vai citu ar nodokli apliekamo objektu slēpšanu vai samazināšanu, ja ar to nodarīti zaudējumi valstij vai pašvaldībai lielā apmērā. </w:t>
      </w:r>
    </w:p>
    <w:p w14:paraId="242967AB" w14:textId="77777777" w:rsidR="00EC75F2" w:rsidRPr="00082431" w:rsidRDefault="00DF7F33" w:rsidP="00EC75F2">
      <w:pPr>
        <w:spacing w:after="0"/>
        <w:ind w:firstLine="709"/>
        <w:jc w:val="both"/>
        <w:rPr>
          <w:rFonts w:ascii="Times New Roman" w:hAnsi="Times New Roman" w:cs="Times New Roman"/>
          <w:sz w:val="24"/>
        </w:rPr>
      </w:pPr>
      <w:r w:rsidRPr="00082431">
        <w:rPr>
          <w:rFonts w:ascii="Times New Roman" w:hAnsi="Times New Roman" w:cs="Times New Roman"/>
          <w:sz w:val="24"/>
          <w:szCs w:val="24"/>
        </w:rPr>
        <w:t xml:space="preserve">Krimināllikuma </w:t>
      </w:r>
      <w:proofErr w:type="gramStart"/>
      <w:r w:rsidRPr="00082431">
        <w:rPr>
          <w:rFonts w:ascii="Times New Roman" w:hAnsi="Times New Roman" w:cs="Times New Roman"/>
          <w:sz w:val="24"/>
          <w:szCs w:val="24"/>
        </w:rPr>
        <w:t>218.panta</w:t>
      </w:r>
      <w:proofErr w:type="gramEnd"/>
      <w:r w:rsidRPr="00082431">
        <w:rPr>
          <w:rFonts w:ascii="Times New Roman" w:hAnsi="Times New Roman" w:cs="Times New Roman"/>
          <w:sz w:val="24"/>
          <w:szCs w:val="24"/>
        </w:rPr>
        <w:t xml:space="preserve"> objekts ir tautsaimniecības intereses valsts ieņēmumu sfērā. Nozieguma priekšmets – likumā noteiktie nodokļi, ar tiem apliekamie ienākumi, peļņa un citi ar nodokli apliekamie objekti, citi tiem pielīdzināmie maksājumi (valsts vai pašvaldību nodevas). No objektīvās puses nodarījums var izpausties bezdarbībā – kā izvairīšanās no nodokļu vai tiem pielīdzināto maksājumus nomaksas –, vai darbībā – ienākumu, peļņas vai citu ar nodokli apliekamo objektu slēpšanā vai samazināšanā </w:t>
      </w:r>
      <w:proofErr w:type="gramStart"/>
      <w:r w:rsidRPr="00082431">
        <w:rPr>
          <w:rFonts w:ascii="Times New Roman" w:hAnsi="Times New Roman" w:cs="Times New Roman"/>
          <w:sz w:val="24"/>
          <w:szCs w:val="24"/>
        </w:rPr>
        <w:t>(</w:t>
      </w:r>
      <w:proofErr w:type="gramEnd"/>
      <w:r w:rsidRPr="00082431">
        <w:rPr>
          <w:rFonts w:ascii="Times New Roman" w:hAnsi="Times New Roman" w:cs="Times New Roman"/>
          <w:i/>
          <w:iCs/>
          <w:sz w:val="24"/>
          <w:szCs w:val="24"/>
        </w:rPr>
        <w:t xml:space="preserve">Krastiņš U., </w:t>
      </w:r>
      <w:proofErr w:type="spellStart"/>
      <w:r w:rsidRPr="00082431">
        <w:rPr>
          <w:rFonts w:ascii="Times New Roman" w:hAnsi="Times New Roman" w:cs="Times New Roman"/>
          <w:i/>
          <w:iCs/>
          <w:sz w:val="24"/>
          <w:szCs w:val="24"/>
        </w:rPr>
        <w:t>Liholaja</w:t>
      </w:r>
      <w:proofErr w:type="spellEnd"/>
      <w:r w:rsidRPr="00082431">
        <w:rPr>
          <w:rFonts w:ascii="Times New Roman" w:hAnsi="Times New Roman" w:cs="Times New Roman"/>
          <w:i/>
          <w:iCs/>
          <w:sz w:val="24"/>
          <w:szCs w:val="24"/>
        </w:rPr>
        <w:t xml:space="preserve"> V., </w:t>
      </w:r>
      <w:proofErr w:type="spellStart"/>
      <w:r w:rsidRPr="00082431">
        <w:rPr>
          <w:rFonts w:ascii="Times New Roman" w:hAnsi="Times New Roman" w:cs="Times New Roman"/>
          <w:i/>
          <w:iCs/>
          <w:sz w:val="24"/>
          <w:szCs w:val="24"/>
        </w:rPr>
        <w:t>Hamkova</w:t>
      </w:r>
      <w:proofErr w:type="spellEnd"/>
      <w:r w:rsidRPr="00082431">
        <w:rPr>
          <w:rFonts w:ascii="Times New Roman" w:hAnsi="Times New Roman" w:cs="Times New Roman"/>
          <w:i/>
          <w:iCs/>
          <w:sz w:val="24"/>
          <w:szCs w:val="24"/>
        </w:rPr>
        <w:t xml:space="preserve"> D. Krimināllikuma</w:t>
      </w:r>
      <w:r w:rsidRPr="00082431">
        <w:rPr>
          <w:rFonts w:ascii="Times New Roman" w:hAnsi="Times New Roman" w:cs="Times New Roman"/>
          <w:sz w:val="24"/>
          <w:szCs w:val="24"/>
        </w:rPr>
        <w:t xml:space="preserve"> </w:t>
      </w:r>
      <w:r w:rsidRPr="00082431">
        <w:rPr>
          <w:rFonts w:ascii="Times New Roman" w:hAnsi="Times New Roman" w:cs="Times New Roman"/>
          <w:i/>
          <w:iCs/>
          <w:sz w:val="24"/>
          <w:szCs w:val="24"/>
        </w:rPr>
        <w:t>komentāri. Trešā daļa (XVIII–XXV nodaļa). Otrais papildinātais izdevums. Rīga: Tiesu namu aģentūra, 2019, 219.–220.lpp.</w:t>
      </w:r>
      <w:r w:rsidRPr="00082431">
        <w:rPr>
          <w:rFonts w:ascii="Times New Roman" w:hAnsi="Times New Roman" w:cs="Times New Roman"/>
          <w:sz w:val="24"/>
          <w:szCs w:val="24"/>
        </w:rPr>
        <w:t>).</w:t>
      </w:r>
      <w:r w:rsidR="00EC75F2" w:rsidRPr="00082431">
        <w:rPr>
          <w:rFonts w:ascii="Times New Roman" w:hAnsi="Times New Roman" w:cs="Times New Roman"/>
          <w:sz w:val="24"/>
        </w:rPr>
        <w:t xml:space="preserve"> </w:t>
      </w:r>
    </w:p>
    <w:p w14:paraId="7112BDE1" w14:textId="637ABE25" w:rsidR="00DF7F33" w:rsidRPr="00082431" w:rsidRDefault="00DF7F33" w:rsidP="00EC75F2">
      <w:pPr>
        <w:spacing w:after="0"/>
        <w:ind w:firstLine="709"/>
        <w:jc w:val="both"/>
        <w:rPr>
          <w:rFonts w:ascii="Times New Roman" w:hAnsi="Times New Roman" w:cs="Times New Roman"/>
          <w:sz w:val="24"/>
        </w:rPr>
      </w:pPr>
      <w:r w:rsidRPr="00082431">
        <w:rPr>
          <w:rFonts w:ascii="Times New Roman" w:hAnsi="Times New Roman" w:cs="Times New Roman"/>
          <w:sz w:val="24"/>
          <w:szCs w:val="24"/>
        </w:rPr>
        <w:t xml:space="preserve">Krimināllikuma </w:t>
      </w:r>
      <w:proofErr w:type="gramStart"/>
      <w:r w:rsidRPr="00082431">
        <w:rPr>
          <w:rFonts w:ascii="Times New Roman" w:hAnsi="Times New Roman" w:cs="Times New Roman"/>
          <w:sz w:val="24"/>
          <w:szCs w:val="24"/>
        </w:rPr>
        <w:t>218.pantā</w:t>
      </w:r>
      <w:proofErr w:type="gramEnd"/>
      <w:r w:rsidRPr="00082431">
        <w:rPr>
          <w:rFonts w:ascii="Times New Roman" w:hAnsi="Times New Roman" w:cs="Times New Roman"/>
          <w:sz w:val="24"/>
          <w:szCs w:val="24"/>
        </w:rPr>
        <w:t xml:space="preserve"> paredzētais noziedzīgais nodarījums ir ar materiālu sastāvu, jo panta dispozīcijā ietverta norāde ne tikai uz darbību vai bezdarbību, bet arī uz kaitīgajām sekām – valstij nodarīto zaudējumu lielā apmērā. Saskaņā ar likuma „Par Krimināllikuma spēkā stāšanās un piemērošanas kārtību” </w:t>
      </w:r>
      <w:proofErr w:type="gramStart"/>
      <w:r w:rsidRPr="00082431">
        <w:rPr>
          <w:rFonts w:ascii="Times New Roman" w:hAnsi="Times New Roman" w:cs="Times New Roman"/>
          <w:sz w:val="24"/>
          <w:szCs w:val="24"/>
        </w:rPr>
        <w:t>20.pantu</w:t>
      </w:r>
      <w:proofErr w:type="gramEnd"/>
      <w:r w:rsidRPr="00082431">
        <w:rPr>
          <w:rFonts w:ascii="Times New Roman" w:hAnsi="Times New Roman" w:cs="Times New Roman"/>
          <w:sz w:val="24"/>
          <w:szCs w:val="24"/>
        </w:rPr>
        <w:t xml:space="preserve"> atbildība par Krimināllikumā paredzēto noziegumu, kas izdarīts lielā apmērā, iestājas, ja nozieguma priekšmeta kopējā vērtība nodarījuma izdarīšanas brīdī nav bijusi mazāka par piecdesmit tai laikā Latvijas Republikā noteikto minimālo mēnešalgu summu.</w:t>
      </w:r>
    </w:p>
    <w:p w14:paraId="5A5631D5" w14:textId="77777777" w:rsidR="00EC75F2" w:rsidRPr="00082431" w:rsidRDefault="00DF7F33" w:rsidP="00EC75F2">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No subjektīvās puses Krimināllikuma </w:t>
      </w:r>
      <w:proofErr w:type="gramStart"/>
      <w:r w:rsidRPr="00082431">
        <w:rPr>
          <w:rFonts w:ascii="Times New Roman" w:hAnsi="Times New Roman" w:cs="Times New Roman"/>
          <w:sz w:val="24"/>
          <w:szCs w:val="24"/>
        </w:rPr>
        <w:t>218.pantā</w:t>
      </w:r>
      <w:proofErr w:type="gramEnd"/>
      <w:r w:rsidRPr="00082431">
        <w:rPr>
          <w:rFonts w:ascii="Times New Roman" w:hAnsi="Times New Roman" w:cs="Times New Roman"/>
          <w:sz w:val="24"/>
          <w:szCs w:val="24"/>
        </w:rPr>
        <w:t xml:space="preserve"> paredzētais noziedzīgais nodarījums ir tīšs noziegums, ko raksturo tiešs nodoms. Personas uzvedība raksturojas ar konkrētu mērķi – izvairīties no nodokļu vai tiem pielīdzināto maksājumu nomaksas </w:t>
      </w:r>
      <w:proofErr w:type="gramStart"/>
      <w:r w:rsidRPr="00082431">
        <w:rPr>
          <w:rFonts w:ascii="Times New Roman" w:hAnsi="Times New Roman" w:cs="Times New Roman"/>
          <w:sz w:val="24"/>
          <w:szCs w:val="24"/>
        </w:rPr>
        <w:t>(</w:t>
      </w:r>
      <w:proofErr w:type="gramEnd"/>
      <w:r w:rsidRPr="00082431">
        <w:rPr>
          <w:rFonts w:ascii="Times New Roman" w:hAnsi="Times New Roman" w:cs="Times New Roman"/>
          <w:i/>
          <w:sz w:val="24"/>
          <w:szCs w:val="24"/>
        </w:rPr>
        <w:t xml:space="preserve">Krastiņš U., </w:t>
      </w:r>
      <w:proofErr w:type="spellStart"/>
      <w:r w:rsidRPr="00082431">
        <w:rPr>
          <w:rFonts w:ascii="Times New Roman" w:hAnsi="Times New Roman" w:cs="Times New Roman"/>
          <w:i/>
          <w:sz w:val="24"/>
          <w:szCs w:val="24"/>
        </w:rPr>
        <w:t>Liholaja</w:t>
      </w:r>
      <w:proofErr w:type="spellEnd"/>
      <w:r w:rsidRPr="00082431">
        <w:rPr>
          <w:rFonts w:ascii="Times New Roman" w:hAnsi="Times New Roman" w:cs="Times New Roman"/>
          <w:i/>
          <w:sz w:val="24"/>
          <w:szCs w:val="24"/>
        </w:rPr>
        <w:t xml:space="preserve"> V., </w:t>
      </w:r>
      <w:proofErr w:type="spellStart"/>
      <w:r w:rsidRPr="00082431">
        <w:rPr>
          <w:rFonts w:ascii="Times New Roman" w:hAnsi="Times New Roman" w:cs="Times New Roman"/>
          <w:i/>
          <w:sz w:val="24"/>
          <w:szCs w:val="24"/>
        </w:rPr>
        <w:t>Hamkova</w:t>
      </w:r>
      <w:proofErr w:type="spellEnd"/>
      <w:r w:rsidRPr="00082431">
        <w:rPr>
          <w:rFonts w:ascii="Times New Roman" w:hAnsi="Times New Roman" w:cs="Times New Roman"/>
          <w:i/>
          <w:sz w:val="24"/>
          <w:szCs w:val="24"/>
        </w:rPr>
        <w:t xml:space="preserve"> D. Krimināllikuma komentāri. Trešā daļa (XVIII–XXV nodaļa). Rīga: Tiesu namu aģentūra, 2016, 212.lpp.</w:t>
      </w:r>
      <w:r w:rsidRPr="00082431">
        <w:rPr>
          <w:rFonts w:ascii="Times New Roman" w:hAnsi="Times New Roman" w:cs="Times New Roman"/>
          <w:sz w:val="24"/>
          <w:szCs w:val="24"/>
        </w:rPr>
        <w:t xml:space="preserve">). </w:t>
      </w:r>
    </w:p>
    <w:p w14:paraId="348385AF" w14:textId="7AFB0B8C" w:rsidR="00EC75F2" w:rsidRPr="00082431" w:rsidRDefault="00EC75F2" w:rsidP="00EC75F2">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[6.3] </w:t>
      </w:r>
      <w:r w:rsidR="00DF7F33" w:rsidRPr="00082431">
        <w:rPr>
          <w:rFonts w:ascii="Times New Roman" w:hAnsi="Times New Roman" w:cs="Times New Roman"/>
          <w:sz w:val="24"/>
          <w:szCs w:val="24"/>
        </w:rPr>
        <w:t xml:space="preserve">Izskatāmajā lietā no apsūdzībā ietvertā noziedzīgā nodarījuma apraksta redzams, ka apsūdzētajam </w:t>
      </w:r>
      <w:r w:rsidR="00EF4A16">
        <w:rPr>
          <w:rFonts w:ascii="Times New Roman" w:hAnsi="Times New Roman" w:cs="Times New Roman"/>
          <w:sz w:val="24"/>
          <w:szCs w:val="24"/>
        </w:rPr>
        <w:t>[pers. A]</w:t>
      </w:r>
      <w:r w:rsidR="00DF7F33" w:rsidRPr="00082431">
        <w:rPr>
          <w:rFonts w:ascii="Times New Roman" w:hAnsi="Times New Roman" w:cs="Times New Roman"/>
          <w:sz w:val="24"/>
          <w:szCs w:val="24"/>
        </w:rPr>
        <w:t xml:space="preserve"> pēc Krimināllikuma </w:t>
      </w:r>
      <w:proofErr w:type="gramStart"/>
      <w:r w:rsidR="00DF7F33" w:rsidRPr="00082431">
        <w:rPr>
          <w:rFonts w:ascii="Times New Roman" w:hAnsi="Times New Roman" w:cs="Times New Roman"/>
          <w:sz w:val="24"/>
          <w:szCs w:val="24"/>
        </w:rPr>
        <w:t>218.panta</w:t>
      </w:r>
      <w:proofErr w:type="gramEnd"/>
      <w:r w:rsidR="00DF7F33" w:rsidRPr="00082431">
        <w:rPr>
          <w:rFonts w:ascii="Times New Roman" w:hAnsi="Times New Roman" w:cs="Times New Roman"/>
          <w:sz w:val="24"/>
          <w:szCs w:val="24"/>
        </w:rPr>
        <w:t xml:space="preserve"> otrās daļas tiek inkriminēta gan izvairīšanās no nodokļu nomaksas (bezdarbība), gan arī ar nodokli apliekamo objektu samazināšana (darbība).</w:t>
      </w:r>
      <w:r w:rsidRPr="00082431">
        <w:rPr>
          <w:rFonts w:ascii="Times New Roman" w:hAnsi="Times New Roman" w:cs="Times New Roman"/>
          <w:sz w:val="24"/>
          <w:szCs w:val="24"/>
        </w:rPr>
        <w:t xml:space="preserve"> </w:t>
      </w:r>
    </w:p>
    <w:p w14:paraId="69FE39D8" w14:textId="77777777" w:rsidR="00866611" w:rsidRPr="00082431" w:rsidRDefault="00DF7F33" w:rsidP="00866611">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Senāts uztur spēkā </w:t>
      </w:r>
      <w:proofErr w:type="gramStart"/>
      <w:r w:rsidRPr="00082431">
        <w:rPr>
          <w:rFonts w:ascii="Times New Roman" w:hAnsi="Times New Roman" w:cs="Times New Roman"/>
          <w:sz w:val="24"/>
          <w:szCs w:val="24"/>
        </w:rPr>
        <w:t>2013</w:t>
      </w:r>
      <w:r w:rsidR="00EC75F2" w:rsidRPr="00082431">
        <w:rPr>
          <w:rFonts w:ascii="Times New Roman" w:hAnsi="Times New Roman" w:cs="Times New Roman"/>
          <w:sz w:val="24"/>
          <w:szCs w:val="24"/>
        </w:rPr>
        <w:t>.gada</w:t>
      </w:r>
      <w:proofErr w:type="gramEnd"/>
      <w:r w:rsidR="00EC75F2" w:rsidRPr="00082431">
        <w:rPr>
          <w:rFonts w:ascii="Times New Roman" w:hAnsi="Times New Roman" w:cs="Times New Roman"/>
          <w:sz w:val="24"/>
          <w:szCs w:val="24"/>
        </w:rPr>
        <w:t xml:space="preserve"> 26.marta lēmumā lietā Nr. </w:t>
      </w:r>
      <w:r w:rsidRPr="00082431">
        <w:rPr>
          <w:rFonts w:ascii="Times New Roman" w:hAnsi="Times New Roman" w:cs="Times New Roman"/>
          <w:sz w:val="24"/>
          <w:szCs w:val="24"/>
        </w:rPr>
        <w:t>SKK-3</w:t>
      </w:r>
      <w:r w:rsidR="00EC75F2" w:rsidRPr="00082431">
        <w:rPr>
          <w:rFonts w:ascii="Times New Roman" w:hAnsi="Times New Roman" w:cs="Times New Roman"/>
          <w:sz w:val="24"/>
          <w:szCs w:val="24"/>
        </w:rPr>
        <w:t>/2013</w:t>
      </w:r>
      <w:r w:rsidRPr="00082431">
        <w:rPr>
          <w:rFonts w:ascii="Times New Roman" w:hAnsi="Times New Roman" w:cs="Times New Roman"/>
          <w:sz w:val="24"/>
          <w:szCs w:val="24"/>
        </w:rPr>
        <w:t xml:space="preserve"> pausto atziņu par izvairīšanās no nodokļu nomaksas, kas izpaudusies ar nodokli apliekamo objektu samazināšanā, pabeigšanas brīdi, tomēr norāda, ka attiecīgo ziņu neiekļaušana apsūdzībā pati par sevi nevar būt par pamatu attaisnojoša sprieduma taisīšanai. Pati apelācijas instances tiesa atzinusi, ka līdz brīdim, kamēr nav konstatēta pārmaksātā nodokļa reāla izmantošana, nodarījums kvalificējams kā nepabeigts Krimināllikuma </w:t>
      </w:r>
      <w:proofErr w:type="gramStart"/>
      <w:r w:rsidRPr="00082431">
        <w:rPr>
          <w:rFonts w:ascii="Times New Roman" w:hAnsi="Times New Roman" w:cs="Times New Roman"/>
          <w:sz w:val="24"/>
          <w:szCs w:val="24"/>
        </w:rPr>
        <w:t>218.panta</w:t>
      </w:r>
      <w:proofErr w:type="gramEnd"/>
      <w:r w:rsidRPr="00082431">
        <w:rPr>
          <w:rFonts w:ascii="Times New Roman" w:hAnsi="Times New Roman" w:cs="Times New Roman"/>
          <w:sz w:val="24"/>
          <w:szCs w:val="24"/>
        </w:rPr>
        <w:t xml:space="preserve"> otrajā daļā paredzētais noziedzīgais nodarījums. Vienlaikus apelācijas instances tiesa nav izvērtējusi, vai apsūdzībā nav konstatējamas nepabeigta noziedzīga nodarījuma sastāva pazīmes.</w:t>
      </w:r>
      <w:r w:rsidR="00866611" w:rsidRPr="00082431">
        <w:rPr>
          <w:rFonts w:ascii="Times New Roman" w:hAnsi="Times New Roman" w:cs="Times New Roman"/>
          <w:sz w:val="24"/>
          <w:szCs w:val="24"/>
        </w:rPr>
        <w:t xml:space="preserve"> </w:t>
      </w:r>
    </w:p>
    <w:p w14:paraId="7F630589" w14:textId="77777777" w:rsidR="00866611" w:rsidRPr="00082431" w:rsidRDefault="00DF7F33" w:rsidP="00866611">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Atbilstoši Krimināllikuma </w:t>
      </w:r>
      <w:proofErr w:type="gramStart"/>
      <w:r w:rsidRPr="00082431">
        <w:rPr>
          <w:rFonts w:ascii="Times New Roman" w:hAnsi="Times New Roman" w:cs="Times New Roman"/>
          <w:sz w:val="24"/>
          <w:szCs w:val="24"/>
        </w:rPr>
        <w:t>15.pantam</w:t>
      </w:r>
      <w:proofErr w:type="gramEnd"/>
      <w:r w:rsidRPr="00082431">
        <w:rPr>
          <w:rFonts w:ascii="Times New Roman" w:hAnsi="Times New Roman" w:cs="Times New Roman"/>
          <w:sz w:val="24"/>
          <w:szCs w:val="24"/>
        </w:rPr>
        <w:t xml:space="preserve"> par pabeigtu atzīstams noziedzīgs nodarījums, ja tam ir visas Krimināllikumā paredzētās noziedzīgā nodarījuma sastāva pazīmes. Sagatavošanās noziegumam un nozieguma mēģinājums ir nepabeigts noziedzīgs nodarījums. Par sagatavošanos noziegumam atzīstama līdzekļu vai rīku sameklēšana vai pielāgošana</w:t>
      </w:r>
      <w:r w:rsidR="00866611" w:rsidRPr="00082431">
        <w:rPr>
          <w:rFonts w:ascii="Times New Roman" w:hAnsi="Times New Roman" w:cs="Times New Roman"/>
          <w:sz w:val="24"/>
          <w:szCs w:val="24"/>
        </w:rPr>
        <w:t>,</w:t>
      </w:r>
      <w:r w:rsidRPr="00082431">
        <w:rPr>
          <w:rFonts w:ascii="Times New Roman" w:hAnsi="Times New Roman" w:cs="Times New Roman"/>
          <w:sz w:val="24"/>
          <w:szCs w:val="24"/>
        </w:rPr>
        <w:t xml:space="preserve"> vai citāda tīša labvēlīgu apstākļu radīšana tīša nozieguma izdarīšanai, ja turklāt tas nav turpināts no vainīgā gribas neatkarīgu iemeslu dēļ. Savukārt par nozieguma mēģinājumu atzīstama apzināta darbība (bezdarbība), kas tieši vērsta uz tīšu tā izdarīšanu, ja noziegums nav izdarīts līdz galam no vainīgā gribas neatkarīgu iemeslu dēļ.</w:t>
      </w:r>
      <w:r w:rsidR="00866611" w:rsidRPr="00082431">
        <w:rPr>
          <w:rFonts w:ascii="Times New Roman" w:hAnsi="Times New Roman" w:cs="Times New Roman"/>
          <w:sz w:val="24"/>
          <w:szCs w:val="24"/>
        </w:rPr>
        <w:t xml:space="preserve"> </w:t>
      </w:r>
    </w:p>
    <w:p w14:paraId="0A070239" w14:textId="77777777" w:rsidR="009B70DA" w:rsidRPr="00082431" w:rsidRDefault="00DF7F33" w:rsidP="009B70DA">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Senāts norāda, ka gadījumā, ja kādā apsūdzības daļā ir konstatējamas noziedzīgā nodarījuma sastāva pazīmes, tiesa nedrīkst personu atzīt par nevainīgu un attaisnot visā pēc Krimināllikuma </w:t>
      </w:r>
      <w:proofErr w:type="gramStart"/>
      <w:r w:rsidRPr="00082431">
        <w:rPr>
          <w:rFonts w:ascii="Times New Roman" w:hAnsi="Times New Roman" w:cs="Times New Roman"/>
          <w:sz w:val="24"/>
          <w:szCs w:val="24"/>
        </w:rPr>
        <w:t>218.panta</w:t>
      </w:r>
      <w:proofErr w:type="gramEnd"/>
      <w:r w:rsidRPr="00082431">
        <w:rPr>
          <w:rFonts w:ascii="Times New Roman" w:hAnsi="Times New Roman" w:cs="Times New Roman"/>
          <w:sz w:val="24"/>
          <w:szCs w:val="24"/>
        </w:rPr>
        <w:t xml:space="preserve"> otrās daļas celtajā apsūdzībā.</w:t>
      </w:r>
      <w:r w:rsidR="009B70DA" w:rsidRPr="00082431">
        <w:rPr>
          <w:rFonts w:ascii="Times New Roman" w:hAnsi="Times New Roman" w:cs="Times New Roman"/>
          <w:sz w:val="24"/>
          <w:szCs w:val="24"/>
        </w:rPr>
        <w:t xml:space="preserve"> </w:t>
      </w:r>
    </w:p>
    <w:p w14:paraId="070BF9C8" w14:textId="77777777" w:rsidR="009B70DA" w:rsidRPr="00082431" w:rsidRDefault="00DF7F33" w:rsidP="009B70DA">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Savukārt gadījumā, ja izvairīšanās no nodokļu nomaksas notikusi bezdarbības veidā, tā uzskatāma par pabeigtu ar nodokļa vai tam pielīdzinātā maksājuma faktiskās nenomaksāšanas brīdi, proti, ar nodokļa iemaksāšanas termiņa par noteiktu taksācijas periodu iestāšanos, kad, vai nu vispār nenomaksājot nodokli vai tam pielīdzināto maksājumu, vai arī nomaksājot to daļēji, valstij vai pašvaldībai tiek nodarīts zaudējums lielā apmērā nesaņemto vai daļēji saņemto nodokļu maksājumu veidā.</w:t>
      </w:r>
      <w:r w:rsidR="009B70DA" w:rsidRPr="00082431">
        <w:rPr>
          <w:rFonts w:ascii="Times New Roman" w:hAnsi="Times New Roman" w:cs="Times New Roman"/>
          <w:sz w:val="24"/>
          <w:szCs w:val="24"/>
        </w:rPr>
        <w:t xml:space="preserve"> </w:t>
      </w:r>
    </w:p>
    <w:p w14:paraId="390C4DB7" w14:textId="77777777" w:rsidR="0024156A" w:rsidRPr="00082431" w:rsidRDefault="00DF7F33" w:rsidP="0024156A">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[6.4]</w:t>
      </w:r>
      <w:r w:rsidR="009B70DA" w:rsidRPr="00082431">
        <w:rPr>
          <w:rFonts w:ascii="Times New Roman" w:hAnsi="Times New Roman" w:cs="Times New Roman"/>
          <w:sz w:val="24"/>
          <w:szCs w:val="24"/>
        </w:rPr>
        <w:t> </w:t>
      </w:r>
      <w:r w:rsidRPr="00082431">
        <w:rPr>
          <w:rFonts w:ascii="Times New Roman" w:hAnsi="Times New Roman" w:cs="Times New Roman"/>
          <w:sz w:val="24"/>
          <w:szCs w:val="24"/>
        </w:rPr>
        <w:t>Senāts atzīst par nepamatotu apelācijas instances tiesas viedokli par to, ka apsūdzībā jānorāda katra personas iesniegtā nodokļu deklarācija, tajā norādītā nodokļu summa un tās nomaksas ter</w:t>
      </w:r>
      <w:r w:rsidR="009B70DA" w:rsidRPr="00082431">
        <w:rPr>
          <w:rFonts w:ascii="Times New Roman" w:hAnsi="Times New Roman" w:cs="Times New Roman"/>
          <w:sz w:val="24"/>
          <w:szCs w:val="24"/>
        </w:rPr>
        <w:t xml:space="preserve">miņš. Šādu viedokli apelācijas </w:t>
      </w:r>
      <w:r w:rsidRPr="00082431">
        <w:rPr>
          <w:rFonts w:ascii="Times New Roman" w:hAnsi="Times New Roman" w:cs="Times New Roman"/>
          <w:sz w:val="24"/>
          <w:szCs w:val="24"/>
        </w:rPr>
        <w:t>i</w:t>
      </w:r>
      <w:r w:rsidR="009B70DA" w:rsidRPr="00082431">
        <w:rPr>
          <w:rFonts w:ascii="Times New Roman" w:hAnsi="Times New Roman" w:cs="Times New Roman"/>
          <w:sz w:val="24"/>
          <w:szCs w:val="24"/>
        </w:rPr>
        <w:t>n</w:t>
      </w:r>
      <w:r w:rsidRPr="00082431">
        <w:rPr>
          <w:rFonts w:ascii="Times New Roman" w:hAnsi="Times New Roman" w:cs="Times New Roman"/>
          <w:sz w:val="24"/>
          <w:szCs w:val="24"/>
        </w:rPr>
        <w:t>stances tiesa ir izteikusi apgalvojuma formā bez pamatojuma. Senāts atzīst, ka apsūdzībā, kas celta par izvairīšanos no nodokļu nomaksas bezdarbības veidā, nodokļu deklarācijas nav obligāti jānorāda. Atšķirībā no citiem izvairīšanās no nodokļu nomaksas veidiem, kad noziedzīgā nodarījuma sastāvu veido noteiktas informācijas sniegšana vai nesniegšana nodokļu deklarācijās, gadījumā, kad izvairīšanās no nodokļu nomaksas notikusi bezdarbības veidā, noziedzīgā n</w:t>
      </w:r>
      <w:r w:rsidR="0024156A" w:rsidRPr="00082431">
        <w:rPr>
          <w:rFonts w:ascii="Times New Roman" w:hAnsi="Times New Roman" w:cs="Times New Roman"/>
          <w:sz w:val="24"/>
          <w:szCs w:val="24"/>
        </w:rPr>
        <w:t>odarījuma sastāvu veido likuma „</w:t>
      </w:r>
      <w:r w:rsidRPr="00082431">
        <w:rPr>
          <w:rFonts w:ascii="Times New Roman" w:hAnsi="Times New Roman" w:cs="Times New Roman"/>
          <w:sz w:val="24"/>
          <w:szCs w:val="24"/>
        </w:rPr>
        <w:t xml:space="preserve">Par nodokļiem un nodevām” </w:t>
      </w:r>
      <w:proofErr w:type="gramStart"/>
      <w:r w:rsidRPr="00082431">
        <w:rPr>
          <w:rFonts w:ascii="Times New Roman" w:hAnsi="Times New Roman" w:cs="Times New Roman"/>
          <w:sz w:val="24"/>
          <w:szCs w:val="24"/>
        </w:rPr>
        <w:t>15.panta</w:t>
      </w:r>
      <w:proofErr w:type="gramEnd"/>
      <w:r w:rsidRPr="00082431">
        <w:rPr>
          <w:rFonts w:ascii="Times New Roman" w:hAnsi="Times New Roman" w:cs="Times New Roman"/>
          <w:sz w:val="24"/>
          <w:szCs w:val="24"/>
        </w:rPr>
        <w:t xml:space="preserve"> pirmās daļas 2.punktā noteiktā nodokļu maksāšanas pienākuma nepildīšana. Šādā gadījumā apsūdzība pietiekami pilda savu informatīvo funkciju arī tad, ja no tās identificējams laika posms, kad veidojies nodokļu parāds, brīdis, kad noziedzīgais nodarījums pabeigts, un tā rezultātā radīto zaudējumu apmērs, bet konkrētās katrā taksācijas periodā deklarētās un nesamaksātās nodokļu summas ir noskaidrojamas no krimināllietas materiāliem.</w:t>
      </w:r>
      <w:r w:rsidR="0024156A" w:rsidRPr="00082431">
        <w:rPr>
          <w:rFonts w:ascii="Times New Roman" w:hAnsi="Times New Roman" w:cs="Times New Roman"/>
          <w:sz w:val="24"/>
          <w:szCs w:val="24"/>
        </w:rPr>
        <w:t xml:space="preserve"> </w:t>
      </w:r>
    </w:p>
    <w:p w14:paraId="0E5C21A1" w14:textId="77777777" w:rsidR="0024156A" w:rsidRPr="00082431" w:rsidRDefault="00DF7F33" w:rsidP="0024156A">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Savukārt gadījumā, ja Krimināllikuma </w:t>
      </w:r>
      <w:proofErr w:type="gramStart"/>
      <w:r w:rsidRPr="00082431">
        <w:rPr>
          <w:rFonts w:ascii="Times New Roman" w:hAnsi="Times New Roman" w:cs="Times New Roman"/>
          <w:sz w:val="24"/>
          <w:szCs w:val="24"/>
        </w:rPr>
        <w:t>218.panta</w:t>
      </w:r>
      <w:proofErr w:type="gramEnd"/>
      <w:r w:rsidRPr="00082431">
        <w:rPr>
          <w:rFonts w:ascii="Times New Roman" w:hAnsi="Times New Roman" w:cs="Times New Roman"/>
          <w:sz w:val="24"/>
          <w:szCs w:val="24"/>
        </w:rPr>
        <w:t xml:space="preserve"> otrajā daļā paredzētais noziedzīgais nodarījums izdarīts ar darbību, piemēram, slēdzot un deklarējot gan fiktīvus, gan reālus darījumus, apsūdzībā ir jāietver norāde par darījumiem, jo tie raksturo noziedzīgā nodarījuma objektīvās </w:t>
      </w:r>
      <w:r w:rsidR="0024156A" w:rsidRPr="00082431">
        <w:rPr>
          <w:rFonts w:ascii="Times New Roman" w:hAnsi="Times New Roman" w:cs="Times New Roman"/>
          <w:sz w:val="24"/>
          <w:szCs w:val="24"/>
        </w:rPr>
        <w:t xml:space="preserve">puses </w:t>
      </w:r>
      <w:r w:rsidRPr="00082431">
        <w:rPr>
          <w:rFonts w:ascii="Times New Roman" w:hAnsi="Times New Roman" w:cs="Times New Roman"/>
          <w:sz w:val="24"/>
          <w:szCs w:val="24"/>
        </w:rPr>
        <w:t>pazīmes.</w:t>
      </w:r>
      <w:r w:rsidR="0024156A" w:rsidRPr="00082431">
        <w:rPr>
          <w:rFonts w:ascii="Times New Roman" w:hAnsi="Times New Roman" w:cs="Times New Roman"/>
          <w:sz w:val="24"/>
          <w:szCs w:val="24"/>
        </w:rPr>
        <w:t xml:space="preserve"> </w:t>
      </w:r>
    </w:p>
    <w:p w14:paraId="2979F01A" w14:textId="4BDE0C81" w:rsidR="00E342DC" w:rsidRPr="00082431" w:rsidRDefault="00EF4A16" w:rsidP="00E342DC">
      <w:pPr>
        <w:spacing w:after="0"/>
        <w:ind w:firstLine="709"/>
        <w:jc w:val="both"/>
        <w:rPr>
          <w:rFonts w:ascii="Times New Roman" w:hAnsi="Times New Roman" w:cs="Times New Roman"/>
          <w:sz w:val="24"/>
          <w:szCs w:val="24"/>
        </w:rPr>
      </w:pPr>
      <w:r>
        <w:rPr>
          <w:rFonts w:ascii="Times New Roman" w:hAnsi="Times New Roman" w:cs="Times New Roman"/>
          <w:sz w:val="24"/>
          <w:szCs w:val="24"/>
        </w:rPr>
        <w:t>[Pers. A]</w:t>
      </w:r>
      <w:r w:rsidR="00DF7F33" w:rsidRPr="00082431">
        <w:rPr>
          <w:rFonts w:ascii="Times New Roman" w:hAnsi="Times New Roman" w:cs="Times New Roman"/>
          <w:sz w:val="24"/>
          <w:szCs w:val="24"/>
        </w:rPr>
        <w:t xml:space="preserve"> celtajā apsūdzībā ir norādīts noziedzīgā nodarījuma izdarīšanas laiks, vieta, veids, nodokļu deklarāciju, no kurām izriet nodokļu parāds, iesniegšanas periodi, nodokļu parāda apmērs, katram nodokļu veidam un kopējais valstij nodarīto zaudējumu apmērs</w:t>
      </w:r>
      <w:r w:rsidR="0092011A" w:rsidRPr="00082431">
        <w:rPr>
          <w:rFonts w:ascii="Times New Roman" w:hAnsi="Times New Roman" w:cs="Times New Roman"/>
          <w:sz w:val="24"/>
          <w:szCs w:val="24"/>
        </w:rPr>
        <w:t>, kā arī diena, kad SIA ,,</w:t>
      </w:r>
      <w:r>
        <w:rPr>
          <w:rFonts w:ascii="Times New Roman" w:hAnsi="Times New Roman" w:cs="Times New Roman"/>
          <w:sz w:val="24"/>
          <w:szCs w:val="24"/>
        </w:rPr>
        <w:t>[Nosaukums A]</w:t>
      </w:r>
      <w:r w:rsidR="00DF7F33" w:rsidRPr="00082431">
        <w:rPr>
          <w:rFonts w:ascii="Times New Roman" w:hAnsi="Times New Roman" w:cs="Times New Roman"/>
          <w:sz w:val="24"/>
          <w:szCs w:val="24"/>
        </w:rPr>
        <w:t>” nodokļ</w:t>
      </w:r>
      <w:r w:rsidR="0092011A" w:rsidRPr="00082431">
        <w:rPr>
          <w:rFonts w:ascii="Times New Roman" w:hAnsi="Times New Roman" w:cs="Times New Roman"/>
          <w:sz w:val="24"/>
          <w:szCs w:val="24"/>
        </w:rPr>
        <w:t>u pamatparāds sasniedza likuma ,,</w:t>
      </w:r>
      <w:r w:rsidR="00DF7F33" w:rsidRPr="00082431">
        <w:rPr>
          <w:rFonts w:ascii="Times New Roman" w:hAnsi="Times New Roman" w:cs="Times New Roman"/>
          <w:sz w:val="24"/>
          <w:szCs w:val="24"/>
        </w:rPr>
        <w:t xml:space="preserve">Par Krimināllikuma spēkā stāšanās un piemērošanas kārtību” 20.pantā noteikto lielo apmēru. Tāpat apsūdzībā norādīts katrs PVN deklarācijās norādītais faktiski nenotikušais darījums un tādējādi nepamatoti samazinātā PVN summa. Apsūdzībā ir norādīti arī normatīvie akti, kas noteic apsūdzētā </w:t>
      </w:r>
      <w:r>
        <w:rPr>
          <w:rFonts w:ascii="Times New Roman" w:hAnsi="Times New Roman" w:cs="Times New Roman"/>
          <w:sz w:val="24"/>
          <w:szCs w:val="24"/>
        </w:rPr>
        <w:t>[pers. A]</w:t>
      </w:r>
      <w:r w:rsidR="00E342DC" w:rsidRPr="00082431">
        <w:rPr>
          <w:rFonts w:ascii="Times New Roman" w:hAnsi="Times New Roman" w:cs="Times New Roman"/>
          <w:sz w:val="24"/>
          <w:szCs w:val="24"/>
        </w:rPr>
        <w:t xml:space="preserve"> kā SIA ,,</w:t>
      </w:r>
      <w:r>
        <w:rPr>
          <w:rFonts w:ascii="Times New Roman" w:hAnsi="Times New Roman" w:cs="Times New Roman"/>
          <w:sz w:val="24"/>
          <w:szCs w:val="24"/>
        </w:rPr>
        <w:t>[Nosaukums A]</w:t>
      </w:r>
      <w:r w:rsidR="00DF7F33" w:rsidRPr="00082431">
        <w:rPr>
          <w:rFonts w:ascii="Times New Roman" w:hAnsi="Times New Roman" w:cs="Times New Roman"/>
          <w:sz w:val="24"/>
          <w:szCs w:val="24"/>
        </w:rPr>
        <w:t>” vienīgās amatpersonas pienākumu maksāt nodokļus un tiem pielīdzinātos maksājumus, kā arī speciālajos likumos – Pie</w:t>
      </w:r>
      <w:r w:rsidR="00E342DC" w:rsidRPr="00082431">
        <w:rPr>
          <w:rFonts w:ascii="Times New Roman" w:hAnsi="Times New Roman" w:cs="Times New Roman"/>
          <w:sz w:val="24"/>
          <w:szCs w:val="24"/>
        </w:rPr>
        <w:t>vienotās vērtības nodokļa likumā, likumā ,,</w:t>
      </w:r>
      <w:r w:rsidR="00DF7F33" w:rsidRPr="00082431">
        <w:rPr>
          <w:rFonts w:ascii="Times New Roman" w:hAnsi="Times New Roman" w:cs="Times New Roman"/>
          <w:sz w:val="24"/>
          <w:szCs w:val="24"/>
        </w:rPr>
        <w:t>Par iedzīvo</w:t>
      </w:r>
      <w:r w:rsidR="00E342DC" w:rsidRPr="00082431">
        <w:rPr>
          <w:rFonts w:ascii="Times New Roman" w:hAnsi="Times New Roman" w:cs="Times New Roman"/>
          <w:sz w:val="24"/>
          <w:szCs w:val="24"/>
        </w:rPr>
        <w:t>tāju ienākuma nodokli” un likumā ,,</w:t>
      </w:r>
      <w:r w:rsidR="00DF7F33" w:rsidRPr="00082431">
        <w:rPr>
          <w:rFonts w:ascii="Times New Roman" w:hAnsi="Times New Roman" w:cs="Times New Roman"/>
          <w:sz w:val="24"/>
          <w:szCs w:val="24"/>
        </w:rPr>
        <w:t>Par valsts sociālo apdrošināšanu” –, kā arī Ministru kabineta 2014.gada 9.decembra noteikumos Nr.</w:t>
      </w:r>
      <w:r w:rsidR="00E342DC" w:rsidRPr="00082431">
        <w:rPr>
          <w:rFonts w:ascii="Times New Roman" w:hAnsi="Times New Roman" w:cs="Times New Roman"/>
          <w:sz w:val="24"/>
          <w:szCs w:val="24"/>
        </w:rPr>
        <w:t> 751 ,,</w:t>
      </w:r>
      <w:r w:rsidR="00DF7F33" w:rsidRPr="00082431">
        <w:rPr>
          <w:rFonts w:ascii="Times New Roman" w:hAnsi="Times New Roman" w:cs="Times New Roman"/>
          <w:sz w:val="24"/>
          <w:szCs w:val="24"/>
        </w:rPr>
        <w:t>Noteikumi par uzņēmējdarbības riska valsts nodevas apmēru un darbinieku prasījumu garantiju fondā ieskaitāmās nodevas daļu 2015.gadā” ietvertās normas, kas noteic attiecīgā nodokļa nomaksas termiņu</w:t>
      </w:r>
      <w:r w:rsidR="00E342DC" w:rsidRPr="00082431">
        <w:rPr>
          <w:rFonts w:ascii="Times New Roman" w:hAnsi="Times New Roman" w:cs="Times New Roman"/>
          <w:sz w:val="24"/>
          <w:szCs w:val="24"/>
        </w:rPr>
        <w:t>, kuru pārkāpjot,</w:t>
      </w:r>
      <w:r w:rsidR="00DF7F33" w:rsidRPr="00082431">
        <w:rPr>
          <w:rFonts w:ascii="Times New Roman" w:hAnsi="Times New Roman" w:cs="Times New Roman"/>
          <w:sz w:val="24"/>
          <w:szCs w:val="24"/>
        </w:rPr>
        <w:t xml:space="preserve"> veidojas nodokļu parāds un valstij tiek nodarīts zaudējums.</w:t>
      </w:r>
      <w:r w:rsidR="00E342DC" w:rsidRPr="00082431">
        <w:rPr>
          <w:rFonts w:ascii="Times New Roman" w:hAnsi="Times New Roman" w:cs="Times New Roman"/>
          <w:sz w:val="24"/>
          <w:szCs w:val="24"/>
        </w:rPr>
        <w:t xml:space="preserve"> </w:t>
      </w:r>
    </w:p>
    <w:p w14:paraId="4F8A2B20" w14:textId="12F16C57" w:rsidR="00DF7F33" w:rsidRPr="00082431" w:rsidRDefault="00DF7F33" w:rsidP="00E342DC">
      <w:pPr>
        <w:spacing w:after="0"/>
        <w:ind w:firstLine="709"/>
        <w:jc w:val="both"/>
        <w:rPr>
          <w:rFonts w:ascii="Times New Roman" w:hAnsi="Times New Roman" w:cs="Times New Roman"/>
          <w:sz w:val="24"/>
          <w:szCs w:val="24"/>
        </w:rPr>
      </w:pPr>
      <w:r w:rsidRPr="00082431">
        <w:rPr>
          <w:rFonts w:ascii="Times New Roman" w:hAnsi="Times New Roman" w:cs="Times New Roman"/>
          <w:color w:val="000000"/>
          <w:sz w:val="24"/>
          <w:szCs w:val="24"/>
        </w:rPr>
        <w:t xml:space="preserve">Senāts atzīst, ka pretēji apelācijas instances tiesas lēmumā norādītajam </w:t>
      </w:r>
      <w:r w:rsidRPr="00082431">
        <w:rPr>
          <w:rFonts w:ascii="Times New Roman" w:hAnsi="Times New Roman" w:cs="Times New Roman"/>
          <w:sz w:val="24"/>
          <w:szCs w:val="24"/>
        </w:rPr>
        <w:t xml:space="preserve">apsūdzībā daļā par izvairīšanos no valsts sociālās apdrošināšanas obligātajām iemaksām no darba ņēmēju ienākumiem, iedzīvotāju ienākuma nodokļa un uzņēmējdarbības riska nodevas ir atklāts veids, kādā notikusi izvairīšanās no nodokļu un tiem pielīdzināto maksājumu nomaksas, proti, </w:t>
      </w:r>
      <w:r w:rsidR="00EF4A16">
        <w:rPr>
          <w:rFonts w:ascii="Times New Roman" w:hAnsi="Times New Roman" w:cs="Times New Roman"/>
          <w:sz w:val="24"/>
          <w:szCs w:val="24"/>
        </w:rPr>
        <w:t>[pers. A]</w:t>
      </w:r>
      <w:r w:rsidRPr="00082431">
        <w:rPr>
          <w:rFonts w:ascii="Times New Roman" w:hAnsi="Times New Roman" w:cs="Times New Roman"/>
          <w:sz w:val="24"/>
          <w:szCs w:val="24"/>
        </w:rPr>
        <w:t xml:space="preserve"> apsūdzībā norādītā konkrētā laika posmā ar vienotu nodomu izvairīties no nodokļu un tiem pielīdzināto maksājumu nomaksas, zinot par nodokļu parāda esību, apzināti pieļāva bezdarbību un neveica nodokļu un tiem pielīdzināto maksājumu nomaksu valsts budžetā pilnā apmērā, lai gan viņam bija reāla iespēja šos nodokļus un tiem pielīdzinātos maksājumus nomaksāt, ar to nodarot valstij zaudējumus apsūdzībā norādītā konkrētā apmērā. Savukārt apelācijas instances tiesas atzinums par nepieciešamību norādīt apsūdzībā mērķi, ar kādu izvairīšanās no šo nodokļu nomaksas notikusi, nav pamatots ar likumu, jo šāds mērķis neietilpst Krimināllikuma 218.pantā paredzētā noziedzīgā nodarījuma sastāvā. </w:t>
      </w:r>
    </w:p>
    <w:p w14:paraId="26BAE562" w14:textId="77777777" w:rsidR="002A11FD" w:rsidRPr="00082431" w:rsidRDefault="00DF7F33" w:rsidP="002A11FD">
      <w:pPr>
        <w:spacing w:after="0"/>
        <w:ind w:firstLine="709"/>
        <w:jc w:val="both"/>
        <w:rPr>
          <w:rFonts w:ascii="Times New Roman" w:hAnsi="Times New Roman" w:cs="Times New Roman"/>
          <w:sz w:val="24"/>
        </w:rPr>
      </w:pPr>
      <w:r w:rsidRPr="00082431">
        <w:rPr>
          <w:rFonts w:ascii="Times New Roman" w:hAnsi="Times New Roman" w:cs="Times New Roman"/>
          <w:sz w:val="24"/>
        </w:rPr>
        <w:t xml:space="preserve">Eiropas Cilvēktiesību tiesa lietā </w:t>
      </w:r>
      <w:r w:rsidRPr="00082431">
        <w:rPr>
          <w:rFonts w:ascii="Times New Roman" w:hAnsi="Times New Roman" w:cs="Times New Roman"/>
          <w:i/>
          <w:iCs/>
          <w:sz w:val="24"/>
        </w:rPr>
        <w:t>Mattoccia v.</w:t>
      </w:r>
      <w:r w:rsidR="0021064F" w:rsidRPr="00082431">
        <w:rPr>
          <w:rFonts w:ascii="Times New Roman" w:hAnsi="Times New Roman" w:cs="Times New Roman"/>
          <w:i/>
          <w:iCs/>
          <w:sz w:val="24"/>
        </w:rPr>
        <w:t xml:space="preserve"> </w:t>
      </w:r>
      <w:proofErr w:type="spellStart"/>
      <w:r w:rsidR="0021064F" w:rsidRPr="00082431">
        <w:rPr>
          <w:rFonts w:ascii="Times New Roman" w:hAnsi="Times New Roman" w:cs="Times New Roman"/>
          <w:i/>
          <w:iCs/>
          <w:sz w:val="24"/>
        </w:rPr>
        <w:t>Italy</w:t>
      </w:r>
      <w:proofErr w:type="spellEnd"/>
      <w:r w:rsidRPr="00082431">
        <w:rPr>
          <w:rFonts w:ascii="Times New Roman" w:hAnsi="Times New Roman" w:cs="Times New Roman"/>
          <w:sz w:val="24"/>
        </w:rPr>
        <w:t xml:space="preserve"> norādījusi, ka tas, cik detalizēti apsūdzībā norādāma informācija, atkarīgs no katras lietas apstākļiem</w:t>
      </w:r>
      <w:r w:rsidR="0021064F" w:rsidRPr="00082431">
        <w:rPr>
          <w:rFonts w:ascii="Times New Roman" w:hAnsi="Times New Roman" w:cs="Times New Roman"/>
          <w:sz w:val="24"/>
        </w:rPr>
        <w:t xml:space="preserve"> </w:t>
      </w:r>
      <w:r w:rsidR="0021064F" w:rsidRPr="00082431">
        <w:rPr>
          <w:rFonts w:ascii="Times New Roman" w:eastAsia="Calibri" w:hAnsi="Times New Roman" w:cs="Times New Roman"/>
          <w:sz w:val="24"/>
        </w:rPr>
        <w:t>(</w:t>
      </w:r>
      <w:bookmarkStart w:id="0" w:name="_Hlk93386692"/>
      <w:r w:rsidR="0021064F" w:rsidRPr="00082431">
        <w:rPr>
          <w:rFonts w:ascii="Times New Roman" w:eastAsia="Calibri" w:hAnsi="Times New Roman" w:cs="Times New Roman"/>
          <w:i/>
          <w:sz w:val="24"/>
          <w:szCs w:val="24"/>
        </w:rPr>
        <w:t xml:space="preserve">Eiropas Cilvēktiesību tiesas </w:t>
      </w:r>
      <w:proofErr w:type="gramStart"/>
      <w:r w:rsidR="0021064F" w:rsidRPr="00082431">
        <w:rPr>
          <w:rFonts w:ascii="Times New Roman" w:eastAsia="Calibri" w:hAnsi="Times New Roman" w:cs="Times New Roman"/>
          <w:i/>
          <w:sz w:val="24"/>
          <w:szCs w:val="24"/>
        </w:rPr>
        <w:t>2000.gada</w:t>
      </w:r>
      <w:proofErr w:type="gramEnd"/>
      <w:r w:rsidR="0021064F" w:rsidRPr="00082431">
        <w:rPr>
          <w:rFonts w:ascii="Times New Roman" w:eastAsia="Calibri" w:hAnsi="Times New Roman" w:cs="Times New Roman"/>
          <w:i/>
          <w:sz w:val="24"/>
          <w:szCs w:val="24"/>
        </w:rPr>
        <w:t xml:space="preserve"> 25.jūlija sprieduma lietā </w:t>
      </w:r>
      <w:r w:rsidR="0021064F" w:rsidRPr="00082431">
        <w:rPr>
          <w:rFonts w:ascii="Times New Roman" w:hAnsi="Times New Roman" w:cs="Times New Roman"/>
          <w:i/>
          <w:iCs/>
          <w:sz w:val="24"/>
        </w:rPr>
        <w:t>Mattoccia</w:t>
      </w:r>
      <w:r w:rsidR="0021064F" w:rsidRPr="00082431">
        <w:rPr>
          <w:rFonts w:ascii="Times New Roman" w:eastAsia="Calibri" w:hAnsi="Times New Roman" w:cs="Times New Roman"/>
          <w:i/>
          <w:sz w:val="24"/>
          <w:szCs w:val="24"/>
        </w:rPr>
        <w:t xml:space="preserve"> </w:t>
      </w:r>
      <w:r w:rsidR="0021064F" w:rsidRPr="00082431">
        <w:rPr>
          <w:rFonts w:ascii="Times New Roman" w:eastAsia="Calibri" w:hAnsi="Times New Roman" w:cs="Times New Roman"/>
          <w:i/>
          <w:iCs/>
          <w:sz w:val="24"/>
          <w:szCs w:val="24"/>
        </w:rPr>
        <w:t>pret Itāliju</w:t>
      </w:r>
      <w:r w:rsidR="0021064F" w:rsidRPr="00082431">
        <w:rPr>
          <w:rFonts w:ascii="Times New Roman" w:eastAsia="Calibri" w:hAnsi="Times New Roman" w:cs="Times New Roman"/>
          <w:i/>
          <w:sz w:val="24"/>
          <w:szCs w:val="24"/>
        </w:rPr>
        <w:t>, iesnieguma Nr. 23969/94</w:t>
      </w:r>
      <w:bookmarkEnd w:id="0"/>
      <w:r w:rsidR="0021064F" w:rsidRPr="00082431">
        <w:rPr>
          <w:rFonts w:ascii="Times New Roman" w:eastAsia="Calibri" w:hAnsi="Times New Roman" w:cs="Times New Roman"/>
          <w:i/>
          <w:sz w:val="24"/>
          <w:szCs w:val="24"/>
        </w:rPr>
        <w:t>, 60.punkts</w:t>
      </w:r>
      <w:r w:rsidR="0021064F" w:rsidRPr="00082431">
        <w:rPr>
          <w:rFonts w:ascii="Times New Roman" w:eastAsia="Calibri" w:hAnsi="Times New Roman" w:cs="Times New Roman"/>
          <w:sz w:val="24"/>
          <w:szCs w:val="24"/>
        </w:rPr>
        <w:t>)</w:t>
      </w:r>
      <w:r w:rsidR="0021064F" w:rsidRPr="00082431">
        <w:rPr>
          <w:rFonts w:ascii="Times New Roman" w:hAnsi="Times New Roman" w:cs="Times New Roman"/>
          <w:sz w:val="24"/>
        </w:rPr>
        <w:t>.</w:t>
      </w:r>
      <w:r w:rsidRPr="00082431">
        <w:rPr>
          <w:rFonts w:ascii="Times New Roman" w:hAnsi="Times New Roman" w:cs="Times New Roman"/>
          <w:sz w:val="24"/>
        </w:rPr>
        <w:t xml:space="preserve"> Lietā </w:t>
      </w:r>
      <w:r w:rsidRPr="00082431">
        <w:rPr>
          <w:rFonts w:ascii="Times New Roman" w:hAnsi="Times New Roman" w:cs="Times New Roman"/>
          <w:i/>
          <w:iCs/>
          <w:sz w:val="24"/>
        </w:rPr>
        <w:t xml:space="preserve">Previti v. </w:t>
      </w:r>
      <w:proofErr w:type="spellStart"/>
      <w:r w:rsidRPr="00082431">
        <w:rPr>
          <w:rFonts w:ascii="Times New Roman" w:hAnsi="Times New Roman" w:cs="Times New Roman"/>
          <w:i/>
          <w:iCs/>
          <w:sz w:val="24"/>
        </w:rPr>
        <w:t>Italy</w:t>
      </w:r>
      <w:proofErr w:type="spellEnd"/>
      <w:r w:rsidRPr="00082431">
        <w:rPr>
          <w:rFonts w:ascii="Times New Roman" w:hAnsi="Times New Roman" w:cs="Times New Roman"/>
          <w:i/>
          <w:iCs/>
          <w:sz w:val="24"/>
        </w:rPr>
        <w:t xml:space="preserve"> </w:t>
      </w:r>
      <w:r w:rsidRPr="00082431">
        <w:rPr>
          <w:rFonts w:ascii="Times New Roman" w:hAnsi="Times New Roman" w:cs="Times New Roman"/>
          <w:sz w:val="24"/>
        </w:rPr>
        <w:t>Eiropas Cilvēktiesību tiesa, vērtējot apsūdzības detalizētību, atzina, ka apsūdzības pēc būtības tiek izteiktas kodolīgi un sīkāka informācija par nodarījumu parasti izriet no citiem lietas materiāliem, kas aizstāvībai bija pieejami. Minētajā lietā tiesa norādīja, ka jebkurā gadījumā iesniedzējs nav apgalvojis, ka viņš nevarēja zināt visu būtisko informāciju un ka viņam nebija iespējas sagatavot aizstāvību, pamatojoties uz visiem pret viņu vērstajiem pierādījumiem</w:t>
      </w:r>
      <w:r w:rsidR="001037BB" w:rsidRPr="00082431">
        <w:rPr>
          <w:rFonts w:ascii="Times New Roman" w:hAnsi="Times New Roman" w:cs="Times New Roman"/>
          <w:sz w:val="24"/>
        </w:rPr>
        <w:t xml:space="preserve"> (</w:t>
      </w:r>
      <w:bookmarkStart w:id="1" w:name="_Hlk93386714"/>
      <w:r w:rsidR="001037BB" w:rsidRPr="00082431">
        <w:rPr>
          <w:rFonts w:ascii="Times New Roman" w:hAnsi="Times New Roman" w:cs="Times New Roman"/>
          <w:i/>
          <w:sz w:val="24"/>
        </w:rPr>
        <w:t xml:space="preserve">Eiropas Cilvēktiesību tiesas </w:t>
      </w:r>
      <w:proofErr w:type="gramStart"/>
      <w:r w:rsidR="001037BB" w:rsidRPr="00082431">
        <w:rPr>
          <w:rFonts w:ascii="Times New Roman" w:hAnsi="Times New Roman" w:cs="Times New Roman"/>
          <w:i/>
          <w:sz w:val="24"/>
        </w:rPr>
        <w:t>2009.gada</w:t>
      </w:r>
      <w:proofErr w:type="gramEnd"/>
      <w:r w:rsidR="001037BB" w:rsidRPr="00082431">
        <w:rPr>
          <w:rFonts w:ascii="Times New Roman" w:hAnsi="Times New Roman" w:cs="Times New Roman"/>
          <w:i/>
          <w:sz w:val="24"/>
        </w:rPr>
        <w:t xml:space="preserve"> 8.decembra lēmuma lietā </w:t>
      </w:r>
      <w:r w:rsidR="001037BB" w:rsidRPr="00082431">
        <w:rPr>
          <w:rFonts w:ascii="Times New Roman" w:hAnsi="Times New Roman" w:cs="Times New Roman"/>
          <w:i/>
          <w:iCs/>
          <w:sz w:val="24"/>
        </w:rPr>
        <w:t>Previti</w:t>
      </w:r>
      <w:r w:rsidR="001037BB" w:rsidRPr="00082431">
        <w:rPr>
          <w:rFonts w:ascii="Times New Roman" w:hAnsi="Times New Roman" w:cs="Times New Roman"/>
          <w:i/>
          <w:sz w:val="24"/>
        </w:rPr>
        <w:t xml:space="preserve"> </w:t>
      </w:r>
      <w:r w:rsidR="001037BB" w:rsidRPr="00082431">
        <w:rPr>
          <w:rFonts w:ascii="Times New Roman" w:hAnsi="Times New Roman" w:cs="Times New Roman"/>
          <w:i/>
          <w:iCs/>
          <w:sz w:val="24"/>
        </w:rPr>
        <w:t>pret Itāliju</w:t>
      </w:r>
      <w:r w:rsidR="001037BB" w:rsidRPr="00082431">
        <w:rPr>
          <w:rFonts w:ascii="Times New Roman" w:hAnsi="Times New Roman" w:cs="Times New Roman"/>
          <w:i/>
          <w:sz w:val="24"/>
        </w:rPr>
        <w:t>, iesnieguma Nr. 45291/06</w:t>
      </w:r>
      <w:bookmarkEnd w:id="1"/>
      <w:r w:rsidR="001037BB" w:rsidRPr="00082431">
        <w:rPr>
          <w:rFonts w:ascii="Times New Roman" w:hAnsi="Times New Roman" w:cs="Times New Roman"/>
          <w:i/>
          <w:sz w:val="24"/>
        </w:rPr>
        <w:t>, 208.punkts</w:t>
      </w:r>
      <w:r w:rsidR="001037BB" w:rsidRPr="00082431">
        <w:rPr>
          <w:rFonts w:ascii="Times New Roman" w:hAnsi="Times New Roman" w:cs="Times New Roman"/>
          <w:sz w:val="24"/>
        </w:rPr>
        <w:t>).</w:t>
      </w:r>
      <w:r w:rsidRPr="00082431">
        <w:rPr>
          <w:rFonts w:ascii="Times New Roman" w:hAnsi="Times New Roman" w:cs="Times New Roman"/>
          <w:sz w:val="24"/>
        </w:rPr>
        <w:t xml:space="preserve"> Arī lietā </w:t>
      </w:r>
      <w:r w:rsidRPr="00082431">
        <w:rPr>
          <w:rFonts w:ascii="Times New Roman" w:hAnsi="Times New Roman" w:cs="Times New Roman"/>
          <w:i/>
          <w:iCs/>
          <w:sz w:val="24"/>
        </w:rPr>
        <w:t>Sampech v.</w:t>
      </w:r>
      <w:r w:rsidR="002A11FD" w:rsidRPr="00082431">
        <w:rPr>
          <w:rFonts w:ascii="Times New Roman" w:hAnsi="Times New Roman" w:cs="Times New Roman"/>
          <w:i/>
          <w:iCs/>
          <w:sz w:val="24"/>
        </w:rPr>
        <w:t xml:space="preserve"> </w:t>
      </w:r>
      <w:proofErr w:type="spellStart"/>
      <w:r w:rsidRPr="00082431">
        <w:rPr>
          <w:rFonts w:ascii="Times New Roman" w:hAnsi="Times New Roman" w:cs="Times New Roman"/>
          <w:i/>
          <w:iCs/>
          <w:sz w:val="24"/>
        </w:rPr>
        <w:t>Italy</w:t>
      </w:r>
      <w:proofErr w:type="spellEnd"/>
      <w:r w:rsidRPr="00082431">
        <w:rPr>
          <w:rFonts w:ascii="Times New Roman" w:hAnsi="Times New Roman" w:cs="Times New Roman"/>
          <w:i/>
          <w:iCs/>
          <w:sz w:val="24"/>
        </w:rPr>
        <w:t xml:space="preserve"> </w:t>
      </w:r>
      <w:r w:rsidRPr="00082431">
        <w:rPr>
          <w:rFonts w:ascii="Times New Roman" w:hAnsi="Times New Roman" w:cs="Times New Roman"/>
          <w:sz w:val="24"/>
        </w:rPr>
        <w:t>Eiropas Cilvēktiesību tiesa norādīja, ka apsūdzība jāuzrāda tā, lai apsūdzētais varētu aizstāvēties pret visiem nodarījumiem, par kuriem viņam izvirzītas apsūdzības. Šo mērķi iespējams sasniegt arī tad, ja nav norādīta faktisko apstākļu vieta un datums, ar nosacījumu, ka minētā informācija, kas ir iztiesāšanas priekšmets, noskaidrojama citos lietas materiālos</w:t>
      </w:r>
      <w:r w:rsidR="002A11FD" w:rsidRPr="00082431">
        <w:rPr>
          <w:rFonts w:ascii="Times New Roman" w:hAnsi="Times New Roman" w:cs="Times New Roman"/>
          <w:sz w:val="24"/>
        </w:rPr>
        <w:t xml:space="preserve"> (</w:t>
      </w:r>
      <w:bookmarkStart w:id="2" w:name="_Hlk93386738"/>
      <w:r w:rsidR="002A11FD" w:rsidRPr="00082431">
        <w:rPr>
          <w:rFonts w:ascii="Times New Roman" w:hAnsi="Times New Roman" w:cs="Times New Roman"/>
          <w:i/>
          <w:sz w:val="24"/>
        </w:rPr>
        <w:t xml:space="preserve">Eiropas Cilvēktiesību tiesas 2015.gada 19.maija lēmuma lietā </w:t>
      </w:r>
      <w:r w:rsidR="002A11FD" w:rsidRPr="00082431">
        <w:rPr>
          <w:rFonts w:ascii="Times New Roman" w:hAnsi="Times New Roman" w:cs="Times New Roman"/>
          <w:i/>
          <w:iCs/>
          <w:sz w:val="24"/>
        </w:rPr>
        <w:t>Sampech</w:t>
      </w:r>
      <w:r w:rsidR="002A11FD" w:rsidRPr="00082431">
        <w:rPr>
          <w:rFonts w:ascii="Times New Roman" w:hAnsi="Times New Roman" w:cs="Times New Roman"/>
          <w:i/>
          <w:sz w:val="24"/>
        </w:rPr>
        <w:t xml:space="preserve"> </w:t>
      </w:r>
      <w:r w:rsidR="002A11FD" w:rsidRPr="00082431">
        <w:rPr>
          <w:rFonts w:ascii="Times New Roman" w:hAnsi="Times New Roman" w:cs="Times New Roman"/>
          <w:i/>
          <w:iCs/>
          <w:sz w:val="24"/>
        </w:rPr>
        <w:t>pret Itāliju</w:t>
      </w:r>
      <w:r w:rsidR="002A11FD" w:rsidRPr="00082431">
        <w:rPr>
          <w:rFonts w:ascii="Times New Roman" w:hAnsi="Times New Roman" w:cs="Times New Roman"/>
          <w:i/>
          <w:sz w:val="24"/>
        </w:rPr>
        <w:t>, iesnieguma Nr. 55546/09</w:t>
      </w:r>
      <w:bookmarkEnd w:id="2"/>
      <w:r w:rsidR="002A11FD" w:rsidRPr="00082431">
        <w:rPr>
          <w:rFonts w:ascii="Times New Roman" w:hAnsi="Times New Roman" w:cs="Times New Roman"/>
          <w:i/>
          <w:sz w:val="24"/>
        </w:rPr>
        <w:t>, 40. un 110.punkts</w:t>
      </w:r>
      <w:r w:rsidR="002A11FD" w:rsidRPr="00082431">
        <w:rPr>
          <w:rFonts w:ascii="Times New Roman" w:hAnsi="Times New Roman" w:cs="Times New Roman"/>
          <w:sz w:val="24"/>
        </w:rPr>
        <w:t>)</w:t>
      </w:r>
      <w:r w:rsidRPr="00082431">
        <w:rPr>
          <w:rFonts w:ascii="Times New Roman" w:hAnsi="Times New Roman" w:cs="Times New Roman"/>
          <w:sz w:val="24"/>
        </w:rPr>
        <w:t>.</w:t>
      </w:r>
      <w:r w:rsidR="002A11FD" w:rsidRPr="00082431">
        <w:rPr>
          <w:rFonts w:ascii="Times New Roman" w:hAnsi="Times New Roman" w:cs="Times New Roman"/>
          <w:sz w:val="24"/>
        </w:rPr>
        <w:t xml:space="preserve"> </w:t>
      </w:r>
    </w:p>
    <w:p w14:paraId="57AF1327" w14:textId="77777777" w:rsidR="001D00FE" w:rsidRPr="00082431" w:rsidRDefault="00DF7F33" w:rsidP="001D00FE">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Turklāt Senāts atgādina, ka arī apelācijas instances tiesa var atzīt par pierādītiem no apsūdzības atšķirīgus noziedzīgā nodarījuma faktiskos apstākļus, </w:t>
      </w:r>
      <w:proofErr w:type="gramStart"/>
      <w:r w:rsidRPr="00082431">
        <w:rPr>
          <w:rFonts w:ascii="Times New Roman" w:hAnsi="Times New Roman" w:cs="Times New Roman"/>
          <w:sz w:val="24"/>
          <w:szCs w:val="24"/>
        </w:rPr>
        <w:t>ja ar to nepasliktinās apsūdzētā stāvoklis un netiek</w:t>
      </w:r>
      <w:proofErr w:type="gramEnd"/>
      <w:r w:rsidRPr="00082431">
        <w:rPr>
          <w:rFonts w:ascii="Times New Roman" w:hAnsi="Times New Roman" w:cs="Times New Roman"/>
          <w:sz w:val="24"/>
          <w:szCs w:val="24"/>
        </w:rPr>
        <w:t xml:space="preserve"> pārkāptas viņa tiesības uz aizstāvību.</w:t>
      </w:r>
      <w:r w:rsidR="001D00FE" w:rsidRPr="00082431">
        <w:rPr>
          <w:rFonts w:ascii="Times New Roman" w:hAnsi="Times New Roman" w:cs="Times New Roman"/>
          <w:sz w:val="24"/>
          <w:szCs w:val="24"/>
        </w:rPr>
        <w:t xml:space="preserve"> </w:t>
      </w:r>
    </w:p>
    <w:p w14:paraId="15A03FAC" w14:textId="1A0000E4" w:rsidR="001D00FE" w:rsidRPr="00082431" w:rsidRDefault="00DF7F33" w:rsidP="001D00FE">
      <w:pPr>
        <w:spacing w:after="0"/>
        <w:ind w:firstLine="709"/>
        <w:jc w:val="both"/>
        <w:rPr>
          <w:rFonts w:ascii="Times New Roman" w:hAnsi="Times New Roman" w:cs="Times New Roman"/>
          <w:color w:val="000000"/>
          <w:sz w:val="24"/>
          <w:szCs w:val="24"/>
        </w:rPr>
      </w:pPr>
      <w:r w:rsidRPr="00082431">
        <w:rPr>
          <w:rFonts w:ascii="Times New Roman" w:hAnsi="Times New Roman" w:cs="Times New Roman"/>
          <w:color w:val="000000"/>
          <w:sz w:val="24"/>
          <w:szCs w:val="24"/>
        </w:rPr>
        <w:t xml:space="preserve">Savukārt,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082431">
        <w:rPr>
          <w:rFonts w:ascii="Times New Roman" w:hAnsi="Times New Roman" w:cs="Times New Roman"/>
          <w:i/>
          <w:iCs/>
          <w:color w:val="000000"/>
          <w:sz w:val="24"/>
          <w:szCs w:val="24"/>
        </w:rPr>
        <w:t xml:space="preserve"> </w:t>
      </w:r>
      <w:r w:rsidRPr="00082431">
        <w:rPr>
          <w:rFonts w:ascii="Times New Roman" w:hAnsi="Times New Roman" w:cs="Times New Roman"/>
          <w:color w:val="000000"/>
          <w:sz w:val="24"/>
          <w:szCs w:val="24"/>
        </w:rPr>
        <w:t>(</w:t>
      </w:r>
      <w:bookmarkStart w:id="3" w:name="_Hlk93386761"/>
      <w:r w:rsidRPr="00082431">
        <w:rPr>
          <w:rFonts w:ascii="Times New Roman" w:hAnsi="Times New Roman" w:cs="Times New Roman"/>
          <w:i/>
          <w:iCs/>
          <w:color w:val="000000"/>
          <w:sz w:val="24"/>
          <w:szCs w:val="24"/>
        </w:rPr>
        <w:t>Augstākās tiesas 2018.</w:t>
      </w:r>
      <w:r w:rsidR="001D00FE" w:rsidRPr="00082431">
        <w:rPr>
          <w:rFonts w:ascii="Times New Roman" w:hAnsi="Times New Roman" w:cs="Times New Roman"/>
          <w:i/>
          <w:iCs/>
          <w:color w:val="000000"/>
          <w:sz w:val="24"/>
          <w:szCs w:val="24"/>
        </w:rPr>
        <w:t>gada 27.aprīļa lēmums lietā Nr. </w:t>
      </w:r>
      <w:r w:rsidRPr="00082431">
        <w:rPr>
          <w:rFonts w:ascii="Times New Roman" w:hAnsi="Times New Roman" w:cs="Times New Roman"/>
          <w:i/>
          <w:iCs/>
          <w:color w:val="000000"/>
          <w:sz w:val="24"/>
          <w:szCs w:val="24"/>
        </w:rPr>
        <w:t xml:space="preserve">SKK-21/2018 </w:t>
      </w:r>
      <w:r w:rsidRPr="00082431">
        <w:rPr>
          <w:rFonts w:ascii="Times New Roman" w:hAnsi="Times New Roman" w:cs="Times New Roman"/>
          <w:i/>
          <w:iCs/>
          <w:color w:val="000000" w:themeColor="text1"/>
          <w:sz w:val="24"/>
          <w:szCs w:val="24"/>
        </w:rPr>
        <w:t>(ECLI:LV:AT:2018:0427.15830105308.1.L)</w:t>
      </w:r>
      <w:r w:rsidRPr="00082431">
        <w:rPr>
          <w:rFonts w:ascii="Times New Roman" w:hAnsi="Times New Roman" w:cs="Times New Roman"/>
          <w:color w:val="000000" w:themeColor="text1"/>
          <w:sz w:val="24"/>
          <w:szCs w:val="24"/>
        </w:rPr>
        <w:t xml:space="preserve"> </w:t>
      </w:r>
      <w:r w:rsidRPr="00082431">
        <w:rPr>
          <w:rFonts w:ascii="Times New Roman" w:hAnsi="Times New Roman" w:cs="Times New Roman"/>
          <w:i/>
          <w:iCs/>
          <w:color w:val="000000"/>
          <w:sz w:val="24"/>
          <w:szCs w:val="24"/>
        </w:rPr>
        <w:t>un Augstākās tiesas 2021.ga</w:t>
      </w:r>
      <w:r w:rsidR="001D00FE" w:rsidRPr="00082431">
        <w:rPr>
          <w:rFonts w:ascii="Times New Roman" w:hAnsi="Times New Roman" w:cs="Times New Roman"/>
          <w:i/>
          <w:iCs/>
          <w:color w:val="000000"/>
          <w:sz w:val="24"/>
          <w:szCs w:val="24"/>
        </w:rPr>
        <w:t>da 16.februāra lēmums lietā Nr. </w:t>
      </w:r>
      <w:r w:rsidRPr="00082431">
        <w:rPr>
          <w:rFonts w:ascii="Times New Roman" w:hAnsi="Times New Roman" w:cs="Times New Roman"/>
          <w:i/>
          <w:iCs/>
          <w:color w:val="000000"/>
          <w:sz w:val="24"/>
          <w:szCs w:val="24"/>
        </w:rPr>
        <w:t>SKK-15/2021(ECLI:LV:AT:2021:0216.15830022112.7.L)</w:t>
      </w:r>
      <w:r w:rsidRPr="00082431">
        <w:rPr>
          <w:rFonts w:ascii="Times New Roman" w:hAnsi="Times New Roman" w:cs="Times New Roman"/>
          <w:color w:val="000000"/>
          <w:sz w:val="24"/>
          <w:szCs w:val="24"/>
        </w:rPr>
        <w:t>).</w:t>
      </w:r>
      <w:r w:rsidR="001D00FE" w:rsidRPr="00082431">
        <w:rPr>
          <w:rFonts w:ascii="Times New Roman" w:hAnsi="Times New Roman" w:cs="Times New Roman"/>
          <w:color w:val="000000"/>
          <w:sz w:val="24"/>
          <w:szCs w:val="24"/>
        </w:rPr>
        <w:t xml:space="preserve"> </w:t>
      </w:r>
    </w:p>
    <w:bookmarkEnd w:id="3"/>
    <w:p w14:paraId="2ABAA86E" w14:textId="77777777" w:rsidR="006A45DC" w:rsidRPr="00082431" w:rsidRDefault="001D00FE" w:rsidP="006A45DC">
      <w:pPr>
        <w:spacing w:after="0"/>
        <w:ind w:firstLine="709"/>
        <w:jc w:val="both"/>
        <w:rPr>
          <w:rFonts w:ascii="Times New Roman" w:hAnsi="Times New Roman" w:cs="Times New Roman"/>
          <w:color w:val="000000"/>
          <w:sz w:val="24"/>
          <w:szCs w:val="24"/>
        </w:rPr>
      </w:pPr>
      <w:r w:rsidRPr="00082431">
        <w:rPr>
          <w:rFonts w:ascii="Times New Roman" w:hAnsi="Times New Roman" w:cs="Times New Roman"/>
          <w:color w:val="000000"/>
          <w:sz w:val="24"/>
          <w:szCs w:val="24"/>
        </w:rPr>
        <w:t>[6.5] </w:t>
      </w:r>
      <w:r w:rsidR="00DF7F33" w:rsidRPr="00082431">
        <w:rPr>
          <w:rFonts w:ascii="Times New Roman" w:hAnsi="Times New Roman" w:cs="Times New Roman"/>
          <w:color w:val="000000"/>
          <w:sz w:val="24"/>
          <w:szCs w:val="24"/>
        </w:rPr>
        <w:t xml:space="preserve">Ievērojot minēto, Senāts atzīst, ka apelācijas instances tiesa nepareizi interpretējusi un piemērojusi Krimināllikuma </w:t>
      </w:r>
      <w:proofErr w:type="gramStart"/>
      <w:r w:rsidR="00DF7F33" w:rsidRPr="00082431">
        <w:rPr>
          <w:rFonts w:ascii="Times New Roman" w:hAnsi="Times New Roman" w:cs="Times New Roman"/>
          <w:color w:val="000000"/>
          <w:sz w:val="24"/>
          <w:szCs w:val="24"/>
        </w:rPr>
        <w:t>218.panta</w:t>
      </w:r>
      <w:proofErr w:type="gramEnd"/>
      <w:r w:rsidR="00DF7F33" w:rsidRPr="00082431">
        <w:rPr>
          <w:rFonts w:ascii="Times New Roman" w:hAnsi="Times New Roman" w:cs="Times New Roman"/>
          <w:color w:val="000000"/>
          <w:sz w:val="24"/>
          <w:szCs w:val="24"/>
        </w:rPr>
        <w:t xml:space="preserve"> otro daļu, kas novedis pie nelikumīga nolēmuma. Šī iemesla dēļ apelācijas instances tiesas lēmums atceļams un lieta nosūtāma jaunai izskatīšanai apelācijas instances tiesā.</w:t>
      </w:r>
      <w:r w:rsidR="006A45DC" w:rsidRPr="00082431">
        <w:rPr>
          <w:rFonts w:ascii="Times New Roman" w:hAnsi="Times New Roman" w:cs="Times New Roman"/>
          <w:color w:val="000000"/>
          <w:sz w:val="24"/>
          <w:szCs w:val="24"/>
        </w:rPr>
        <w:t xml:space="preserve"> </w:t>
      </w:r>
    </w:p>
    <w:p w14:paraId="0035A819" w14:textId="77777777" w:rsidR="006A45DC" w:rsidRPr="00082431" w:rsidRDefault="006A45DC" w:rsidP="006A45DC">
      <w:pPr>
        <w:spacing w:after="0"/>
        <w:ind w:firstLine="709"/>
        <w:jc w:val="both"/>
        <w:rPr>
          <w:rFonts w:ascii="Times New Roman" w:hAnsi="Times New Roman" w:cs="Times New Roman"/>
          <w:color w:val="000000"/>
          <w:sz w:val="24"/>
          <w:szCs w:val="24"/>
        </w:rPr>
      </w:pPr>
    </w:p>
    <w:p w14:paraId="34BB7AA3" w14:textId="77777777" w:rsidR="00F46C10" w:rsidRPr="00082431" w:rsidRDefault="00DF7F33" w:rsidP="00F46C10">
      <w:pPr>
        <w:spacing w:after="0"/>
        <w:ind w:firstLine="709"/>
        <w:jc w:val="both"/>
        <w:rPr>
          <w:rFonts w:ascii="Times New Roman" w:hAnsi="Times New Roman" w:cs="Times New Roman"/>
          <w:sz w:val="24"/>
          <w:szCs w:val="24"/>
        </w:rPr>
      </w:pPr>
      <w:r w:rsidRPr="00082431">
        <w:rPr>
          <w:rFonts w:ascii="Times New Roman" w:eastAsia="Calibri" w:hAnsi="Times New Roman" w:cs="Times New Roman"/>
          <w:bCs/>
          <w:sz w:val="24"/>
        </w:rPr>
        <w:t>[7</w:t>
      </w:r>
      <w:r w:rsidR="006A45DC" w:rsidRPr="00082431">
        <w:rPr>
          <w:rFonts w:ascii="Times New Roman" w:eastAsia="Calibri" w:hAnsi="Times New Roman" w:cs="Times New Roman"/>
          <w:bCs/>
          <w:sz w:val="24"/>
        </w:rPr>
        <w:t>] </w:t>
      </w:r>
      <w:r w:rsidRPr="00082431">
        <w:rPr>
          <w:rFonts w:ascii="Times New Roman" w:hAnsi="Times New Roman" w:cs="Times New Roman"/>
          <w:sz w:val="24"/>
          <w:szCs w:val="24"/>
        </w:rPr>
        <w:t xml:space="preserve">Kriminālprocesa likuma </w:t>
      </w:r>
      <w:proofErr w:type="gramStart"/>
      <w:r w:rsidRPr="00082431">
        <w:rPr>
          <w:rFonts w:ascii="Times New Roman" w:hAnsi="Times New Roman" w:cs="Times New Roman"/>
          <w:sz w:val="24"/>
          <w:szCs w:val="24"/>
        </w:rPr>
        <w:t>588.panta</w:t>
      </w:r>
      <w:proofErr w:type="gramEnd"/>
      <w:r w:rsidRPr="00082431">
        <w:rPr>
          <w:rFonts w:ascii="Times New Roman" w:hAnsi="Times New Roman" w:cs="Times New Roman"/>
          <w:sz w:val="24"/>
          <w:szCs w:val="24"/>
        </w:rPr>
        <w:t xml:space="preserve"> 3</w:t>
      </w:r>
      <w:r w:rsidRPr="00082431">
        <w:rPr>
          <w:rFonts w:ascii="Times New Roman" w:hAnsi="Times New Roman" w:cs="Times New Roman"/>
          <w:sz w:val="24"/>
          <w:szCs w:val="24"/>
          <w:vertAlign w:val="superscript"/>
        </w:rPr>
        <w:t>1</w:t>
      </w:r>
      <w:r w:rsidRPr="00082431">
        <w:rPr>
          <w:rFonts w:ascii="Times New Roman" w:hAnsi="Times New Roman" w:cs="Times New Roman"/>
          <w:sz w:val="24"/>
          <w:szCs w:val="24"/>
        </w:rPr>
        <w:t>.daļa noteic: ja kasācijas instances tiesa pieņem šā likuma 587.panta pirmās daļas 2.punktā paredzēto lēmumu, tā izlemj jautājumu arī par drošības līdzekli.</w:t>
      </w:r>
      <w:r w:rsidR="00F46C10" w:rsidRPr="00082431">
        <w:rPr>
          <w:rFonts w:ascii="Times New Roman" w:hAnsi="Times New Roman" w:cs="Times New Roman"/>
          <w:sz w:val="24"/>
          <w:szCs w:val="24"/>
        </w:rPr>
        <w:t xml:space="preserve"> </w:t>
      </w:r>
    </w:p>
    <w:p w14:paraId="78EFE2ED" w14:textId="28E49FDC" w:rsidR="00DF7F33" w:rsidRPr="00082431" w:rsidRDefault="00DF7F33" w:rsidP="00F46C10">
      <w:pPr>
        <w:spacing w:after="0"/>
        <w:ind w:firstLine="709"/>
        <w:jc w:val="both"/>
        <w:rPr>
          <w:rFonts w:ascii="Times New Roman" w:hAnsi="Times New Roman" w:cs="Times New Roman"/>
          <w:sz w:val="24"/>
        </w:rPr>
      </w:pPr>
      <w:r w:rsidRPr="00082431">
        <w:rPr>
          <w:rFonts w:ascii="Times New Roman" w:eastAsia="Calibri" w:hAnsi="Times New Roman" w:cs="Times New Roman"/>
          <w:bCs/>
          <w:sz w:val="24"/>
        </w:rPr>
        <w:t xml:space="preserve">Apsūdzētajam </w:t>
      </w:r>
      <w:r w:rsidR="007226B8">
        <w:rPr>
          <w:rFonts w:ascii="Times New Roman" w:eastAsia="Calibri" w:hAnsi="Times New Roman" w:cs="Times New Roman"/>
          <w:bCs/>
          <w:sz w:val="24"/>
        </w:rPr>
        <w:t>[pers. A]</w:t>
      </w:r>
      <w:r w:rsidRPr="00082431">
        <w:rPr>
          <w:rFonts w:ascii="Times New Roman" w:eastAsia="Calibri" w:hAnsi="Times New Roman" w:cs="Times New Roman"/>
          <w:bCs/>
          <w:sz w:val="24"/>
        </w:rPr>
        <w:t xml:space="preserve"> lietā drošības līdzeklis nav piemērots. Senāts atzīst, ka drošības līdzekļa piemērošanai apsūdzētajam šajā krimināl</w:t>
      </w:r>
      <w:r w:rsidRPr="00082431">
        <w:rPr>
          <w:rFonts w:ascii="Times New Roman" w:eastAsia="Times New Roman" w:hAnsi="Times New Roman" w:cs="Times New Roman"/>
          <w:sz w:val="24"/>
        </w:rPr>
        <w:t>procesa stadijā nav tiesiska pamata.</w:t>
      </w:r>
    </w:p>
    <w:p w14:paraId="25E18AD2" w14:textId="77777777" w:rsidR="00DF7F33" w:rsidRPr="00082431" w:rsidRDefault="00DF7F33" w:rsidP="00DF7F33">
      <w:pPr>
        <w:spacing w:after="0"/>
        <w:rPr>
          <w:rFonts w:ascii="Times New Roman" w:hAnsi="Times New Roman" w:cs="Times New Roman"/>
          <w:b/>
          <w:sz w:val="24"/>
          <w:szCs w:val="24"/>
        </w:rPr>
      </w:pPr>
    </w:p>
    <w:p w14:paraId="58976358" w14:textId="77777777" w:rsidR="00DF7F33" w:rsidRPr="00082431" w:rsidRDefault="00DF7F33" w:rsidP="00DF7F33">
      <w:pPr>
        <w:spacing w:after="0"/>
        <w:jc w:val="center"/>
        <w:rPr>
          <w:rFonts w:ascii="Times New Roman" w:hAnsi="Times New Roman" w:cs="Times New Roman"/>
          <w:b/>
          <w:sz w:val="24"/>
          <w:szCs w:val="24"/>
        </w:rPr>
      </w:pPr>
      <w:r w:rsidRPr="00082431">
        <w:rPr>
          <w:rFonts w:ascii="Times New Roman" w:hAnsi="Times New Roman" w:cs="Times New Roman"/>
          <w:b/>
          <w:sz w:val="24"/>
          <w:szCs w:val="24"/>
        </w:rPr>
        <w:t>Rezolutīvā daļa</w:t>
      </w:r>
    </w:p>
    <w:p w14:paraId="42CB04A1" w14:textId="77777777" w:rsidR="00DF7F33" w:rsidRPr="00082431" w:rsidRDefault="00DF7F33" w:rsidP="00DF7F33">
      <w:pPr>
        <w:spacing w:after="0"/>
        <w:rPr>
          <w:rFonts w:ascii="Times New Roman" w:hAnsi="Times New Roman" w:cs="Times New Roman"/>
          <w:sz w:val="24"/>
          <w:szCs w:val="24"/>
        </w:rPr>
      </w:pPr>
    </w:p>
    <w:p w14:paraId="017D7048" w14:textId="77777777" w:rsidR="00DF7F33" w:rsidRPr="00082431" w:rsidRDefault="00DF7F33" w:rsidP="00DF7F33">
      <w:pPr>
        <w:spacing w:after="0"/>
        <w:ind w:firstLine="709"/>
        <w:jc w:val="both"/>
        <w:rPr>
          <w:rFonts w:ascii="Times New Roman" w:hAnsi="Times New Roman" w:cs="Times New Roman"/>
          <w:b/>
          <w:sz w:val="24"/>
          <w:szCs w:val="24"/>
        </w:rPr>
      </w:pPr>
      <w:r w:rsidRPr="00082431">
        <w:rPr>
          <w:rFonts w:ascii="Times New Roman" w:hAnsi="Times New Roman" w:cs="Times New Roman"/>
          <w:sz w:val="24"/>
          <w:szCs w:val="24"/>
        </w:rPr>
        <w:t>P</w:t>
      </w:r>
      <w:r w:rsidRPr="00082431">
        <w:rPr>
          <w:rFonts w:ascii="Times New Roman" w:hAnsi="Times New Roman" w:cs="Times New Roman"/>
          <w:bCs/>
          <w:sz w:val="24"/>
          <w:szCs w:val="24"/>
        </w:rPr>
        <w:t xml:space="preserve">amatojoties uz Kriminālprocesa likuma 585. un </w:t>
      </w:r>
      <w:proofErr w:type="gramStart"/>
      <w:r w:rsidRPr="00082431">
        <w:rPr>
          <w:rFonts w:ascii="Times New Roman" w:hAnsi="Times New Roman" w:cs="Times New Roman"/>
          <w:bCs/>
          <w:sz w:val="24"/>
          <w:szCs w:val="24"/>
        </w:rPr>
        <w:t>587.pantu</w:t>
      </w:r>
      <w:proofErr w:type="gramEnd"/>
      <w:r w:rsidRPr="00082431">
        <w:rPr>
          <w:rFonts w:ascii="Times New Roman" w:hAnsi="Times New Roman" w:cs="Times New Roman"/>
          <w:bCs/>
          <w:sz w:val="24"/>
          <w:szCs w:val="24"/>
        </w:rPr>
        <w:t>, tiesa</w:t>
      </w:r>
    </w:p>
    <w:p w14:paraId="44491AD3" w14:textId="77777777" w:rsidR="00DF7F33" w:rsidRPr="00082431" w:rsidRDefault="00DF7F33" w:rsidP="00DF7F33">
      <w:pPr>
        <w:spacing w:after="0"/>
        <w:rPr>
          <w:rFonts w:ascii="Times New Roman" w:hAnsi="Times New Roman" w:cs="Times New Roman"/>
          <w:sz w:val="24"/>
          <w:szCs w:val="24"/>
        </w:rPr>
      </w:pPr>
    </w:p>
    <w:p w14:paraId="4396F1FC" w14:textId="77777777" w:rsidR="00DF7F33" w:rsidRPr="00082431" w:rsidRDefault="00DF7F33" w:rsidP="00DF7F33">
      <w:pPr>
        <w:spacing w:after="0"/>
        <w:jc w:val="center"/>
        <w:rPr>
          <w:rFonts w:ascii="Times New Roman" w:hAnsi="Times New Roman" w:cs="Times New Roman"/>
          <w:b/>
          <w:sz w:val="24"/>
          <w:szCs w:val="24"/>
        </w:rPr>
      </w:pPr>
      <w:r w:rsidRPr="00082431">
        <w:rPr>
          <w:rFonts w:ascii="Times New Roman" w:hAnsi="Times New Roman" w:cs="Times New Roman"/>
          <w:b/>
          <w:sz w:val="24"/>
          <w:szCs w:val="24"/>
        </w:rPr>
        <w:t>nolēma:</w:t>
      </w:r>
    </w:p>
    <w:p w14:paraId="10CE33FB" w14:textId="77777777" w:rsidR="00DF7F33" w:rsidRPr="00082431" w:rsidRDefault="00DF7F33" w:rsidP="00DF7F33">
      <w:pPr>
        <w:spacing w:after="0"/>
        <w:rPr>
          <w:rFonts w:ascii="Times New Roman" w:hAnsi="Times New Roman" w:cs="Times New Roman"/>
          <w:sz w:val="24"/>
          <w:szCs w:val="24"/>
        </w:rPr>
      </w:pPr>
    </w:p>
    <w:p w14:paraId="566DC43A" w14:textId="77777777" w:rsidR="00F46C10" w:rsidRPr="00082431" w:rsidRDefault="00DF7F33" w:rsidP="00F46C10">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 xml:space="preserve">atcelt pilnībā Kurzemes apgabaltiesas </w:t>
      </w:r>
      <w:proofErr w:type="gramStart"/>
      <w:r w:rsidRPr="00082431">
        <w:rPr>
          <w:rFonts w:ascii="Times New Roman" w:hAnsi="Times New Roman" w:cs="Times New Roman"/>
          <w:sz w:val="24"/>
        </w:rPr>
        <w:t>2020.gada</w:t>
      </w:r>
      <w:proofErr w:type="gramEnd"/>
      <w:r w:rsidRPr="00082431">
        <w:rPr>
          <w:rFonts w:ascii="Times New Roman" w:hAnsi="Times New Roman" w:cs="Times New Roman"/>
          <w:sz w:val="24"/>
        </w:rPr>
        <w:t xml:space="preserve"> 10.septembra lēmumu </w:t>
      </w:r>
      <w:r w:rsidRPr="00082431">
        <w:rPr>
          <w:rFonts w:ascii="Times New Roman" w:eastAsia="Times New Roman" w:hAnsi="Times New Roman" w:cs="Times New Roman"/>
          <w:sz w:val="24"/>
        </w:rPr>
        <w:t>un nosūtīt lietu jaunai izskatīšanai Kurzemes apgabaltiesā.</w:t>
      </w:r>
      <w:r w:rsidR="00F46C10" w:rsidRPr="00082431">
        <w:rPr>
          <w:rFonts w:ascii="Times New Roman" w:hAnsi="Times New Roman" w:cs="Times New Roman"/>
          <w:sz w:val="24"/>
          <w:szCs w:val="24"/>
        </w:rPr>
        <w:t xml:space="preserve"> </w:t>
      </w:r>
    </w:p>
    <w:p w14:paraId="0CF13DE3" w14:textId="117CE879" w:rsidR="008862D6" w:rsidRPr="00082431" w:rsidRDefault="00DF7F33" w:rsidP="00F46C10">
      <w:pPr>
        <w:spacing w:after="0"/>
        <w:ind w:firstLine="709"/>
        <w:jc w:val="both"/>
        <w:rPr>
          <w:rFonts w:ascii="Times New Roman" w:hAnsi="Times New Roman" w:cs="Times New Roman"/>
          <w:sz w:val="24"/>
          <w:szCs w:val="24"/>
        </w:rPr>
      </w:pPr>
      <w:r w:rsidRPr="00082431">
        <w:rPr>
          <w:rFonts w:ascii="Times New Roman" w:hAnsi="Times New Roman" w:cs="Times New Roman"/>
          <w:sz w:val="24"/>
          <w:szCs w:val="24"/>
        </w:rPr>
        <w:t>Lēmums nav pārsūdzams.</w:t>
      </w:r>
    </w:p>
    <w:sectPr w:rsidR="008862D6" w:rsidRPr="00082431" w:rsidSect="00A773BB">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F1B1" w14:textId="77777777" w:rsidR="00662EA7" w:rsidRDefault="00662EA7" w:rsidP="00290ADC">
      <w:pPr>
        <w:spacing w:after="0" w:line="240" w:lineRule="auto"/>
      </w:pPr>
      <w:r>
        <w:separator/>
      </w:r>
    </w:p>
  </w:endnote>
  <w:endnote w:type="continuationSeparator" w:id="0">
    <w:p w14:paraId="0A3E5808" w14:textId="77777777" w:rsidR="00662EA7" w:rsidRDefault="00662EA7" w:rsidP="0029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21425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rPr>
            <w:rFonts w:asciiTheme="minorHAnsi" w:hAnsiTheme="minorHAnsi" w:cstheme="minorBidi"/>
            <w:sz w:val="22"/>
            <w:szCs w:val="22"/>
          </w:rPr>
        </w:sdtEndPr>
        <w:sdtContent>
          <w:p w14:paraId="0206FEF5" w14:textId="4B74F742" w:rsidR="008862D6" w:rsidRDefault="008862D6" w:rsidP="008862D6">
            <w:pPr>
              <w:pStyle w:val="Footer"/>
              <w:jc w:val="center"/>
            </w:pPr>
            <w:r w:rsidRPr="008862D6">
              <w:rPr>
                <w:rFonts w:ascii="Times New Roman" w:hAnsi="Times New Roman" w:cs="Times New Roman"/>
                <w:sz w:val="24"/>
                <w:szCs w:val="24"/>
              </w:rPr>
              <w:t xml:space="preserve"> </w:t>
            </w:r>
            <w:r w:rsidRPr="008862D6">
              <w:rPr>
                <w:rFonts w:ascii="Times New Roman" w:hAnsi="Times New Roman" w:cs="Times New Roman"/>
                <w:bCs/>
                <w:sz w:val="24"/>
                <w:szCs w:val="24"/>
              </w:rPr>
              <w:fldChar w:fldCharType="begin"/>
            </w:r>
            <w:r w:rsidRPr="008862D6">
              <w:rPr>
                <w:rFonts w:ascii="Times New Roman" w:hAnsi="Times New Roman" w:cs="Times New Roman"/>
                <w:bCs/>
                <w:sz w:val="24"/>
                <w:szCs w:val="24"/>
              </w:rPr>
              <w:instrText xml:space="preserve"> PAGE </w:instrText>
            </w:r>
            <w:r w:rsidRPr="008862D6">
              <w:rPr>
                <w:rFonts w:ascii="Times New Roman" w:hAnsi="Times New Roman" w:cs="Times New Roman"/>
                <w:bCs/>
                <w:sz w:val="24"/>
                <w:szCs w:val="24"/>
              </w:rPr>
              <w:fldChar w:fldCharType="separate"/>
            </w:r>
            <w:r w:rsidR="00AB2D82">
              <w:rPr>
                <w:rFonts w:ascii="Times New Roman" w:hAnsi="Times New Roman" w:cs="Times New Roman"/>
                <w:bCs/>
                <w:noProof/>
                <w:sz w:val="24"/>
                <w:szCs w:val="24"/>
              </w:rPr>
              <w:t>15</w:t>
            </w:r>
            <w:r w:rsidRPr="008862D6">
              <w:rPr>
                <w:rFonts w:ascii="Times New Roman" w:hAnsi="Times New Roman" w:cs="Times New Roman"/>
                <w:bCs/>
                <w:sz w:val="24"/>
                <w:szCs w:val="24"/>
              </w:rPr>
              <w:fldChar w:fldCharType="end"/>
            </w:r>
            <w:r>
              <w:rPr>
                <w:rFonts w:ascii="Times New Roman" w:hAnsi="Times New Roman" w:cs="Times New Roman"/>
                <w:sz w:val="24"/>
                <w:szCs w:val="24"/>
              </w:rPr>
              <w:t xml:space="preserve"> no</w:t>
            </w:r>
            <w:r w:rsidRPr="008862D6">
              <w:rPr>
                <w:rFonts w:ascii="Times New Roman" w:hAnsi="Times New Roman" w:cs="Times New Roman"/>
                <w:sz w:val="24"/>
                <w:szCs w:val="24"/>
              </w:rPr>
              <w:t xml:space="preserve"> </w:t>
            </w:r>
            <w:r w:rsidRPr="008862D6">
              <w:rPr>
                <w:rFonts w:ascii="Times New Roman" w:hAnsi="Times New Roman" w:cs="Times New Roman"/>
                <w:bCs/>
                <w:sz w:val="24"/>
                <w:szCs w:val="24"/>
              </w:rPr>
              <w:fldChar w:fldCharType="begin"/>
            </w:r>
            <w:r w:rsidRPr="008862D6">
              <w:rPr>
                <w:rFonts w:ascii="Times New Roman" w:hAnsi="Times New Roman" w:cs="Times New Roman"/>
                <w:bCs/>
                <w:sz w:val="24"/>
                <w:szCs w:val="24"/>
              </w:rPr>
              <w:instrText xml:space="preserve"> NUMPAGES  </w:instrText>
            </w:r>
            <w:r w:rsidRPr="008862D6">
              <w:rPr>
                <w:rFonts w:ascii="Times New Roman" w:hAnsi="Times New Roman" w:cs="Times New Roman"/>
                <w:bCs/>
                <w:sz w:val="24"/>
                <w:szCs w:val="24"/>
              </w:rPr>
              <w:fldChar w:fldCharType="separate"/>
            </w:r>
            <w:r w:rsidR="00AB2D82">
              <w:rPr>
                <w:rFonts w:ascii="Times New Roman" w:hAnsi="Times New Roman" w:cs="Times New Roman"/>
                <w:bCs/>
                <w:noProof/>
                <w:sz w:val="24"/>
                <w:szCs w:val="24"/>
              </w:rPr>
              <w:t>15</w:t>
            </w:r>
            <w:r w:rsidRPr="008862D6">
              <w:rPr>
                <w:rFonts w:ascii="Times New Roman" w:hAnsi="Times New Roman" w:cs="Times New Roman"/>
                <w:bCs/>
                <w:sz w:val="24"/>
                <w:szCs w:val="24"/>
              </w:rPr>
              <w:fldChar w:fldCharType="end"/>
            </w:r>
          </w:p>
        </w:sdtContent>
      </w:sdt>
    </w:sdtContent>
  </w:sdt>
  <w:p w14:paraId="4FBDBFB8" w14:textId="77777777" w:rsidR="00290ADC" w:rsidRDefault="0029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D5FC" w14:textId="77777777" w:rsidR="00662EA7" w:rsidRDefault="00662EA7" w:rsidP="00290ADC">
      <w:pPr>
        <w:spacing w:after="0" w:line="240" w:lineRule="auto"/>
      </w:pPr>
      <w:r>
        <w:separator/>
      </w:r>
    </w:p>
  </w:footnote>
  <w:footnote w:type="continuationSeparator" w:id="0">
    <w:p w14:paraId="4FAE80E4" w14:textId="77777777" w:rsidR="00662EA7" w:rsidRDefault="00662EA7" w:rsidP="00290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505E5"/>
    <w:multiLevelType w:val="hybridMultilevel"/>
    <w:tmpl w:val="D0E2EC2A"/>
    <w:lvl w:ilvl="0" w:tplc="573C0D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A147125"/>
    <w:multiLevelType w:val="hybridMultilevel"/>
    <w:tmpl w:val="AC12C0EE"/>
    <w:lvl w:ilvl="0" w:tplc="20723E9E">
      <w:start w:val="1"/>
      <w:numFmt w:val="decimal"/>
      <w:lvlText w:val="%1)"/>
      <w:lvlJc w:val="left"/>
      <w:pPr>
        <w:ind w:left="1110" w:hanging="360"/>
      </w:pPr>
      <w:rPr>
        <w:rFonts w:hint="default"/>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2" w15:restartNumberingAfterBreak="0">
    <w:nsid w:val="4FEF3BDF"/>
    <w:multiLevelType w:val="hybridMultilevel"/>
    <w:tmpl w:val="6EDC8B9C"/>
    <w:lvl w:ilvl="0" w:tplc="09BCE9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 w15:restartNumberingAfterBreak="0">
    <w:nsid w:val="53762FDC"/>
    <w:multiLevelType w:val="hybridMultilevel"/>
    <w:tmpl w:val="013801D8"/>
    <w:lvl w:ilvl="0" w:tplc="7E7E330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5" w15:restartNumberingAfterBreak="0">
    <w:nsid w:val="57755BF8"/>
    <w:multiLevelType w:val="hybridMultilevel"/>
    <w:tmpl w:val="55CE1642"/>
    <w:lvl w:ilvl="0" w:tplc="677EBAC2">
      <w:start w:val="1"/>
      <w:numFmt w:val="decimal"/>
      <w:lvlText w:val="%1)"/>
      <w:lvlJc w:val="left"/>
      <w:pPr>
        <w:ind w:left="1020" w:hanging="360"/>
      </w:pPr>
      <w:rPr>
        <w:rFonts w:hint="default"/>
        <w:sz w:val="22"/>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6" w15:restartNumberingAfterBreak="0">
    <w:nsid w:val="70FB25CF"/>
    <w:multiLevelType w:val="hybridMultilevel"/>
    <w:tmpl w:val="87E00A12"/>
    <w:lvl w:ilvl="0" w:tplc="8BD26686">
      <w:start w:val="201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4D"/>
    <w:rsid w:val="00000821"/>
    <w:rsid w:val="00000D2D"/>
    <w:rsid w:val="000020D7"/>
    <w:rsid w:val="00002231"/>
    <w:rsid w:val="0000309A"/>
    <w:rsid w:val="00004DBA"/>
    <w:rsid w:val="00005E0C"/>
    <w:rsid w:val="0000764B"/>
    <w:rsid w:val="00007DF1"/>
    <w:rsid w:val="0001444E"/>
    <w:rsid w:val="0001496A"/>
    <w:rsid w:val="00015D6D"/>
    <w:rsid w:val="000256E6"/>
    <w:rsid w:val="0003258E"/>
    <w:rsid w:val="000362CA"/>
    <w:rsid w:val="00036DE7"/>
    <w:rsid w:val="00045378"/>
    <w:rsid w:val="000458E6"/>
    <w:rsid w:val="00045947"/>
    <w:rsid w:val="00053A52"/>
    <w:rsid w:val="00054585"/>
    <w:rsid w:val="00054F6B"/>
    <w:rsid w:val="00056B2C"/>
    <w:rsid w:val="00056C67"/>
    <w:rsid w:val="00061BE6"/>
    <w:rsid w:val="00064AA7"/>
    <w:rsid w:val="000667B6"/>
    <w:rsid w:val="00067B9C"/>
    <w:rsid w:val="00072F72"/>
    <w:rsid w:val="000735FB"/>
    <w:rsid w:val="00073BE3"/>
    <w:rsid w:val="00082431"/>
    <w:rsid w:val="00082D93"/>
    <w:rsid w:val="00085DB1"/>
    <w:rsid w:val="000913E2"/>
    <w:rsid w:val="000A436B"/>
    <w:rsid w:val="000B1C1C"/>
    <w:rsid w:val="000B62FB"/>
    <w:rsid w:val="000B7FE4"/>
    <w:rsid w:val="000C1DAB"/>
    <w:rsid w:val="000C2510"/>
    <w:rsid w:val="000C2F2F"/>
    <w:rsid w:val="000C6E8E"/>
    <w:rsid w:val="000D1B2E"/>
    <w:rsid w:val="000D2294"/>
    <w:rsid w:val="000D5B0C"/>
    <w:rsid w:val="000D5DFF"/>
    <w:rsid w:val="000E12A0"/>
    <w:rsid w:val="000E2B44"/>
    <w:rsid w:val="000E55C6"/>
    <w:rsid w:val="000F1C69"/>
    <w:rsid w:val="000F3DB0"/>
    <w:rsid w:val="000F4312"/>
    <w:rsid w:val="000F5FB2"/>
    <w:rsid w:val="000F79E4"/>
    <w:rsid w:val="0010025A"/>
    <w:rsid w:val="00100451"/>
    <w:rsid w:val="00102876"/>
    <w:rsid w:val="001037BB"/>
    <w:rsid w:val="00106790"/>
    <w:rsid w:val="00110945"/>
    <w:rsid w:val="00111644"/>
    <w:rsid w:val="001154EE"/>
    <w:rsid w:val="001206AB"/>
    <w:rsid w:val="001210B0"/>
    <w:rsid w:val="0012340F"/>
    <w:rsid w:val="00126F1C"/>
    <w:rsid w:val="00127CF0"/>
    <w:rsid w:val="00131319"/>
    <w:rsid w:val="001341D7"/>
    <w:rsid w:val="00137198"/>
    <w:rsid w:val="00141082"/>
    <w:rsid w:val="001423F5"/>
    <w:rsid w:val="00142E59"/>
    <w:rsid w:val="00144B32"/>
    <w:rsid w:val="00146678"/>
    <w:rsid w:val="0014786C"/>
    <w:rsid w:val="00150693"/>
    <w:rsid w:val="00151D5D"/>
    <w:rsid w:val="00152D5E"/>
    <w:rsid w:val="00156467"/>
    <w:rsid w:val="001573FF"/>
    <w:rsid w:val="0016059F"/>
    <w:rsid w:val="00160ADD"/>
    <w:rsid w:val="00162CD1"/>
    <w:rsid w:val="0017083D"/>
    <w:rsid w:val="0017621A"/>
    <w:rsid w:val="0018047C"/>
    <w:rsid w:val="0018264B"/>
    <w:rsid w:val="00187675"/>
    <w:rsid w:val="00191063"/>
    <w:rsid w:val="00195833"/>
    <w:rsid w:val="00195A82"/>
    <w:rsid w:val="0019704C"/>
    <w:rsid w:val="001A143F"/>
    <w:rsid w:val="001A22EC"/>
    <w:rsid w:val="001A5C76"/>
    <w:rsid w:val="001B01AC"/>
    <w:rsid w:val="001B1C73"/>
    <w:rsid w:val="001B2431"/>
    <w:rsid w:val="001B6752"/>
    <w:rsid w:val="001C55F8"/>
    <w:rsid w:val="001D00FE"/>
    <w:rsid w:val="001D1F5A"/>
    <w:rsid w:val="001D41D2"/>
    <w:rsid w:val="001D497E"/>
    <w:rsid w:val="001D60D6"/>
    <w:rsid w:val="001D6225"/>
    <w:rsid w:val="001D71E2"/>
    <w:rsid w:val="001E2275"/>
    <w:rsid w:val="001E2AE0"/>
    <w:rsid w:val="001E43EE"/>
    <w:rsid w:val="001E4CD1"/>
    <w:rsid w:val="001F2CAE"/>
    <w:rsid w:val="001F72CA"/>
    <w:rsid w:val="0020190E"/>
    <w:rsid w:val="00201CF2"/>
    <w:rsid w:val="00201ECF"/>
    <w:rsid w:val="0020366E"/>
    <w:rsid w:val="0021064F"/>
    <w:rsid w:val="00210FEB"/>
    <w:rsid w:val="00211778"/>
    <w:rsid w:val="00211B0C"/>
    <w:rsid w:val="00212397"/>
    <w:rsid w:val="00214A42"/>
    <w:rsid w:val="002162D4"/>
    <w:rsid w:val="00216D23"/>
    <w:rsid w:val="00221D64"/>
    <w:rsid w:val="00223121"/>
    <w:rsid w:val="002234C5"/>
    <w:rsid w:val="002236DF"/>
    <w:rsid w:val="002250C5"/>
    <w:rsid w:val="0022657D"/>
    <w:rsid w:val="00226ADE"/>
    <w:rsid w:val="002312C6"/>
    <w:rsid w:val="002359A9"/>
    <w:rsid w:val="00236B98"/>
    <w:rsid w:val="0024156A"/>
    <w:rsid w:val="00242116"/>
    <w:rsid w:val="00242229"/>
    <w:rsid w:val="00243AA0"/>
    <w:rsid w:val="002443C6"/>
    <w:rsid w:val="00244ECC"/>
    <w:rsid w:val="00246653"/>
    <w:rsid w:val="00255210"/>
    <w:rsid w:val="0025758D"/>
    <w:rsid w:val="00260DFF"/>
    <w:rsid w:val="00261B6D"/>
    <w:rsid w:val="002630AE"/>
    <w:rsid w:val="00264606"/>
    <w:rsid w:val="00266E84"/>
    <w:rsid w:val="002700E8"/>
    <w:rsid w:val="00270513"/>
    <w:rsid w:val="002726B8"/>
    <w:rsid w:val="00272B89"/>
    <w:rsid w:val="00272FA0"/>
    <w:rsid w:val="00277345"/>
    <w:rsid w:val="002777DD"/>
    <w:rsid w:val="00280A1E"/>
    <w:rsid w:val="00281F5D"/>
    <w:rsid w:val="00283013"/>
    <w:rsid w:val="00284C80"/>
    <w:rsid w:val="0028654A"/>
    <w:rsid w:val="00290ADC"/>
    <w:rsid w:val="002925E0"/>
    <w:rsid w:val="00292A07"/>
    <w:rsid w:val="00294A21"/>
    <w:rsid w:val="00295D96"/>
    <w:rsid w:val="0029658C"/>
    <w:rsid w:val="002A11FD"/>
    <w:rsid w:val="002A4557"/>
    <w:rsid w:val="002A6838"/>
    <w:rsid w:val="002B0AFF"/>
    <w:rsid w:val="002B2B34"/>
    <w:rsid w:val="002B3E18"/>
    <w:rsid w:val="002B404D"/>
    <w:rsid w:val="002B7EFC"/>
    <w:rsid w:val="002C4D5A"/>
    <w:rsid w:val="002C5019"/>
    <w:rsid w:val="002C6248"/>
    <w:rsid w:val="002C629D"/>
    <w:rsid w:val="002C6F79"/>
    <w:rsid w:val="002C7688"/>
    <w:rsid w:val="002D28BA"/>
    <w:rsid w:val="002D374A"/>
    <w:rsid w:val="002E52DD"/>
    <w:rsid w:val="002E7D9E"/>
    <w:rsid w:val="002F0BE9"/>
    <w:rsid w:val="002F0D33"/>
    <w:rsid w:val="002F3E8E"/>
    <w:rsid w:val="002F5718"/>
    <w:rsid w:val="003058DA"/>
    <w:rsid w:val="003116DF"/>
    <w:rsid w:val="0031255E"/>
    <w:rsid w:val="00313B2D"/>
    <w:rsid w:val="00315B45"/>
    <w:rsid w:val="003161BB"/>
    <w:rsid w:val="00317D4E"/>
    <w:rsid w:val="003217F6"/>
    <w:rsid w:val="00323D1B"/>
    <w:rsid w:val="00323FB6"/>
    <w:rsid w:val="00325C12"/>
    <w:rsid w:val="00332E6F"/>
    <w:rsid w:val="00337D91"/>
    <w:rsid w:val="00337FCF"/>
    <w:rsid w:val="00343BEA"/>
    <w:rsid w:val="003471F7"/>
    <w:rsid w:val="00350378"/>
    <w:rsid w:val="003504C8"/>
    <w:rsid w:val="00351317"/>
    <w:rsid w:val="0035413B"/>
    <w:rsid w:val="00360D85"/>
    <w:rsid w:val="0036237D"/>
    <w:rsid w:val="00364AD0"/>
    <w:rsid w:val="003658AF"/>
    <w:rsid w:val="00366AAB"/>
    <w:rsid w:val="00370A31"/>
    <w:rsid w:val="00377E08"/>
    <w:rsid w:val="00384659"/>
    <w:rsid w:val="00385F09"/>
    <w:rsid w:val="00391E73"/>
    <w:rsid w:val="00393761"/>
    <w:rsid w:val="0039581A"/>
    <w:rsid w:val="003B0363"/>
    <w:rsid w:val="003B20E4"/>
    <w:rsid w:val="003B2333"/>
    <w:rsid w:val="003B532C"/>
    <w:rsid w:val="003C3709"/>
    <w:rsid w:val="003D11C0"/>
    <w:rsid w:val="003D18DE"/>
    <w:rsid w:val="003D1E69"/>
    <w:rsid w:val="003D405C"/>
    <w:rsid w:val="003D40BB"/>
    <w:rsid w:val="003D72DC"/>
    <w:rsid w:val="003D76A8"/>
    <w:rsid w:val="003E0A2B"/>
    <w:rsid w:val="003E26B0"/>
    <w:rsid w:val="003E32A5"/>
    <w:rsid w:val="003E41A6"/>
    <w:rsid w:val="003E4F9D"/>
    <w:rsid w:val="003E692C"/>
    <w:rsid w:val="003E6C7F"/>
    <w:rsid w:val="003F0226"/>
    <w:rsid w:val="003F28A7"/>
    <w:rsid w:val="003F2D78"/>
    <w:rsid w:val="003F3356"/>
    <w:rsid w:val="004012DC"/>
    <w:rsid w:val="00403A3E"/>
    <w:rsid w:val="00404467"/>
    <w:rsid w:val="00410359"/>
    <w:rsid w:val="00410DA4"/>
    <w:rsid w:val="00411CD1"/>
    <w:rsid w:val="004145C0"/>
    <w:rsid w:val="00414AFA"/>
    <w:rsid w:val="00415398"/>
    <w:rsid w:val="00423AE2"/>
    <w:rsid w:val="00423E5A"/>
    <w:rsid w:val="00423F1D"/>
    <w:rsid w:val="00427F6E"/>
    <w:rsid w:val="00432705"/>
    <w:rsid w:val="00436B19"/>
    <w:rsid w:val="00436C3E"/>
    <w:rsid w:val="0044091C"/>
    <w:rsid w:val="0044128E"/>
    <w:rsid w:val="00441D4F"/>
    <w:rsid w:val="00442588"/>
    <w:rsid w:val="004455C2"/>
    <w:rsid w:val="00446651"/>
    <w:rsid w:val="004467BB"/>
    <w:rsid w:val="00451FFC"/>
    <w:rsid w:val="00463CF8"/>
    <w:rsid w:val="00465F10"/>
    <w:rsid w:val="00466B50"/>
    <w:rsid w:val="004677EE"/>
    <w:rsid w:val="00470A5C"/>
    <w:rsid w:val="00472DAF"/>
    <w:rsid w:val="004774BB"/>
    <w:rsid w:val="004800B9"/>
    <w:rsid w:val="00483304"/>
    <w:rsid w:val="004868D4"/>
    <w:rsid w:val="00492A06"/>
    <w:rsid w:val="00493B04"/>
    <w:rsid w:val="0049446C"/>
    <w:rsid w:val="00496FE4"/>
    <w:rsid w:val="00497CAD"/>
    <w:rsid w:val="004A05CE"/>
    <w:rsid w:val="004A0D09"/>
    <w:rsid w:val="004A1E04"/>
    <w:rsid w:val="004A7677"/>
    <w:rsid w:val="004C52DD"/>
    <w:rsid w:val="004C63D6"/>
    <w:rsid w:val="004D183D"/>
    <w:rsid w:val="004D5504"/>
    <w:rsid w:val="004D7458"/>
    <w:rsid w:val="004D7916"/>
    <w:rsid w:val="004D799D"/>
    <w:rsid w:val="004E0653"/>
    <w:rsid w:val="004E1B2F"/>
    <w:rsid w:val="004E4C48"/>
    <w:rsid w:val="004E5BEA"/>
    <w:rsid w:val="004F26DB"/>
    <w:rsid w:val="004F3A85"/>
    <w:rsid w:val="004F3FCC"/>
    <w:rsid w:val="004F5AC1"/>
    <w:rsid w:val="004F6614"/>
    <w:rsid w:val="0050025B"/>
    <w:rsid w:val="005033C9"/>
    <w:rsid w:val="005037B4"/>
    <w:rsid w:val="00504F69"/>
    <w:rsid w:val="00507913"/>
    <w:rsid w:val="005263D1"/>
    <w:rsid w:val="00526680"/>
    <w:rsid w:val="00531B3B"/>
    <w:rsid w:val="00532191"/>
    <w:rsid w:val="00533F84"/>
    <w:rsid w:val="00541B28"/>
    <w:rsid w:val="0054642C"/>
    <w:rsid w:val="0054734C"/>
    <w:rsid w:val="00550D77"/>
    <w:rsid w:val="00552029"/>
    <w:rsid w:val="00553B00"/>
    <w:rsid w:val="005549A0"/>
    <w:rsid w:val="00554A70"/>
    <w:rsid w:val="005560C3"/>
    <w:rsid w:val="00556A54"/>
    <w:rsid w:val="00556A8A"/>
    <w:rsid w:val="005571D8"/>
    <w:rsid w:val="0056220B"/>
    <w:rsid w:val="005631CD"/>
    <w:rsid w:val="0056380B"/>
    <w:rsid w:val="00565D7A"/>
    <w:rsid w:val="00566839"/>
    <w:rsid w:val="00566FC8"/>
    <w:rsid w:val="0057094B"/>
    <w:rsid w:val="00571793"/>
    <w:rsid w:val="00573E21"/>
    <w:rsid w:val="005742D1"/>
    <w:rsid w:val="005778EF"/>
    <w:rsid w:val="00581E53"/>
    <w:rsid w:val="00582D52"/>
    <w:rsid w:val="0058694F"/>
    <w:rsid w:val="00587C71"/>
    <w:rsid w:val="00590A59"/>
    <w:rsid w:val="005931A6"/>
    <w:rsid w:val="00595CE6"/>
    <w:rsid w:val="0059648C"/>
    <w:rsid w:val="005975B5"/>
    <w:rsid w:val="005A1CCB"/>
    <w:rsid w:val="005A6178"/>
    <w:rsid w:val="005A6FFE"/>
    <w:rsid w:val="005B758E"/>
    <w:rsid w:val="005C0C25"/>
    <w:rsid w:val="005C15CE"/>
    <w:rsid w:val="005C733B"/>
    <w:rsid w:val="005C7F53"/>
    <w:rsid w:val="005D02F9"/>
    <w:rsid w:val="005D260D"/>
    <w:rsid w:val="005D3413"/>
    <w:rsid w:val="005D42C2"/>
    <w:rsid w:val="005D5497"/>
    <w:rsid w:val="005D5BF2"/>
    <w:rsid w:val="005E5C1A"/>
    <w:rsid w:val="005F0BB9"/>
    <w:rsid w:val="005F3C20"/>
    <w:rsid w:val="005F6DB2"/>
    <w:rsid w:val="005F71C6"/>
    <w:rsid w:val="006001DB"/>
    <w:rsid w:val="00600C06"/>
    <w:rsid w:val="00600EAA"/>
    <w:rsid w:val="006012CC"/>
    <w:rsid w:val="00602F3B"/>
    <w:rsid w:val="00604ED5"/>
    <w:rsid w:val="00607A20"/>
    <w:rsid w:val="00610756"/>
    <w:rsid w:val="00612511"/>
    <w:rsid w:val="00613001"/>
    <w:rsid w:val="0061424F"/>
    <w:rsid w:val="00620C72"/>
    <w:rsid w:val="00623AE0"/>
    <w:rsid w:val="00627F52"/>
    <w:rsid w:val="00630E33"/>
    <w:rsid w:val="00632884"/>
    <w:rsid w:val="00633098"/>
    <w:rsid w:val="00647C5C"/>
    <w:rsid w:val="006509C6"/>
    <w:rsid w:val="00650D7B"/>
    <w:rsid w:val="0065276F"/>
    <w:rsid w:val="00655424"/>
    <w:rsid w:val="0065606D"/>
    <w:rsid w:val="006577F3"/>
    <w:rsid w:val="00657A86"/>
    <w:rsid w:val="006606F2"/>
    <w:rsid w:val="006613C7"/>
    <w:rsid w:val="00662EA7"/>
    <w:rsid w:val="00665E83"/>
    <w:rsid w:val="006673BA"/>
    <w:rsid w:val="00670A3B"/>
    <w:rsid w:val="00670F17"/>
    <w:rsid w:val="0067259C"/>
    <w:rsid w:val="00673280"/>
    <w:rsid w:val="006743AD"/>
    <w:rsid w:val="00676FA2"/>
    <w:rsid w:val="00683B02"/>
    <w:rsid w:val="00685D7E"/>
    <w:rsid w:val="00686DB1"/>
    <w:rsid w:val="0069081C"/>
    <w:rsid w:val="006929CB"/>
    <w:rsid w:val="006947FD"/>
    <w:rsid w:val="00695106"/>
    <w:rsid w:val="006A3F44"/>
    <w:rsid w:val="006A45DC"/>
    <w:rsid w:val="006A4CBD"/>
    <w:rsid w:val="006A5BD4"/>
    <w:rsid w:val="006B00F7"/>
    <w:rsid w:val="006B04D2"/>
    <w:rsid w:val="006B14E2"/>
    <w:rsid w:val="006B3F18"/>
    <w:rsid w:val="006B55DC"/>
    <w:rsid w:val="006B578B"/>
    <w:rsid w:val="006C2FFF"/>
    <w:rsid w:val="006C3191"/>
    <w:rsid w:val="006C3FC8"/>
    <w:rsid w:val="006C4791"/>
    <w:rsid w:val="006C55F4"/>
    <w:rsid w:val="006D3B27"/>
    <w:rsid w:val="006D60CB"/>
    <w:rsid w:val="006E4601"/>
    <w:rsid w:val="006E5FFE"/>
    <w:rsid w:val="006E7CFA"/>
    <w:rsid w:val="006F4017"/>
    <w:rsid w:val="006F5933"/>
    <w:rsid w:val="006F649B"/>
    <w:rsid w:val="006F698B"/>
    <w:rsid w:val="00700E87"/>
    <w:rsid w:val="00702096"/>
    <w:rsid w:val="007065AB"/>
    <w:rsid w:val="007105EE"/>
    <w:rsid w:val="00712ECA"/>
    <w:rsid w:val="00716EE1"/>
    <w:rsid w:val="007177F4"/>
    <w:rsid w:val="00721B02"/>
    <w:rsid w:val="007226B8"/>
    <w:rsid w:val="007228E0"/>
    <w:rsid w:val="00722AA9"/>
    <w:rsid w:val="007306D7"/>
    <w:rsid w:val="00732D82"/>
    <w:rsid w:val="00734C41"/>
    <w:rsid w:val="007372B3"/>
    <w:rsid w:val="00737750"/>
    <w:rsid w:val="007401D8"/>
    <w:rsid w:val="00743A8C"/>
    <w:rsid w:val="00743B2C"/>
    <w:rsid w:val="00745854"/>
    <w:rsid w:val="00747131"/>
    <w:rsid w:val="00753192"/>
    <w:rsid w:val="007554A5"/>
    <w:rsid w:val="00760D9F"/>
    <w:rsid w:val="00764AEB"/>
    <w:rsid w:val="00765C88"/>
    <w:rsid w:val="00766B80"/>
    <w:rsid w:val="00767AB7"/>
    <w:rsid w:val="007701F0"/>
    <w:rsid w:val="00774C93"/>
    <w:rsid w:val="007753AD"/>
    <w:rsid w:val="00782071"/>
    <w:rsid w:val="00793588"/>
    <w:rsid w:val="00793F07"/>
    <w:rsid w:val="00796159"/>
    <w:rsid w:val="007A015E"/>
    <w:rsid w:val="007A3ECA"/>
    <w:rsid w:val="007A425D"/>
    <w:rsid w:val="007A6815"/>
    <w:rsid w:val="007A6850"/>
    <w:rsid w:val="007B0156"/>
    <w:rsid w:val="007B774C"/>
    <w:rsid w:val="007B7C4E"/>
    <w:rsid w:val="007C33FB"/>
    <w:rsid w:val="007C581D"/>
    <w:rsid w:val="007C5FB8"/>
    <w:rsid w:val="007C77B8"/>
    <w:rsid w:val="007D2968"/>
    <w:rsid w:val="007D2B5A"/>
    <w:rsid w:val="007D7E29"/>
    <w:rsid w:val="007E77D6"/>
    <w:rsid w:val="007F61DD"/>
    <w:rsid w:val="007F77AB"/>
    <w:rsid w:val="007F784C"/>
    <w:rsid w:val="008054AF"/>
    <w:rsid w:val="00806491"/>
    <w:rsid w:val="008128A6"/>
    <w:rsid w:val="00812B47"/>
    <w:rsid w:val="008132E8"/>
    <w:rsid w:val="00815345"/>
    <w:rsid w:val="0082292A"/>
    <w:rsid w:val="00822D7F"/>
    <w:rsid w:val="00824324"/>
    <w:rsid w:val="00825F33"/>
    <w:rsid w:val="00830828"/>
    <w:rsid w:val="00830D96"/>
    <w:rsid w:val="0083713A"/>
    <w:rsid w:val="00840B72"/>
    <w:rsid w:val="00843723"/>
    <w:rsid w:val="0084402D"/>
    <w:rsid w:val="008456DC"/>
    <w:rsid w:val="00845835"/>
    <w:rsid w:val="0084594B"/>
    <w:rsid w:val="008460FE"/>
    <w:rsid w:val="008477CA"/>
    <w:rsid w:val="00847F94"/>
    <w:rsid w:val="008503CC"/>
    <w:rsid w:val="008521D8"/>
    <w:rsid w:val="008561DC"/>
    <w:rsid w:val="00864B77"/>
    <w:rsid w:val="00866611"/>
    <w:rsid w:val="00866E51"/>
    <w:rsid w:val="00874DAC"/>
    <w:rsid w:val="00876A59"/>
    <w:rsid w:val="00880DD8"/>
    <w:rsid w:val="00881B11"/>
    <w:rsid w:val="00884BBB"/>
    <w:rsid w:val="00884D1C"/>
    <w:rsid w:val="00885FD2"/>
    <w:rsid w:val="008862D6"/>
    <w:rsid w:val="00891C74"/>
    <w:rsid w:val="008933EB"/>
    <w:rsid w:val="008938F8"/>
    <w:rsid w:val="0089440E"/>
    <w:rsid w:val="00896070"/>
    <w:rsid w:val="008A0EC8"/>
    <w:rsid w:val="008A1030"/>
    <w:rsid w:val="008A16F6"/>
    <w:rsid w:val="008A4633"/>
    <w:rsid w:val="008A6DAF"/>
    <w:rsid w:val="008A7A41"/>
    <w:rsid w:val="008B4F67"/>
    <w:rsid w:val="008B7598"/>
    <w:rsid w:val="008B7A1E"/>
    <w:rsid w:val="008C4AD1"/>
    <w:rsid w:val="008C6BC9"/>
    <w:rsid w:val="008C7750"/>
    <w:rsid w:val="008C7AC2"/>
    <w:rsid w:val="008D0E61"/>
    <w:rsid w:val="008D1948"/>
    <w:rsid w:val="008D1F6A"/>
    <w:rsid w:val="008D3C37"/>
    <w:rsid w:val="008E0F2B"/>
    <w:rsid w:val="008E55CB"/>
    <w:rsid w:val="008E5AA3"/>
    <w:rsid w:val="008E7857"/>
    <w:rsid w:val="008E7A23"/>
    <w:rsid w:val="008E7F3B"/>
    <w:rsid w:val="008F0433"/>
    <w:rsid w:val="008F0D73"/>
    <w:rsid w:val="008F3971"/>
    <w:rsid w:val="008F4159"/>
    <w:rsid w:val="008F4971"/>
    <w:rsid w:val="008F5872"/>
    <w:rsid w:val="00911774"/>
    <w:rsid w:val="00913D17"/>
    <w:rsid w:val="009141CD"/>
    <w:rsid w:val="009148C8"/>
    <w:rsid w:val="0091552C"/>
    <w:rsid w:val="0091738D"/>
    <w:rsid w:val="00917686"/>
    <w:rsid w:val="0092011A"/>
    <w:rsid w:val="0092154F"/>
    <w:rsid w:val="00924289"/>
    <w:rsid w:val="00924965"/>
    <w:rsid w:val="009321B2"/>
    <w:rsid w:val="00932650"/>
    <w:rsid w:val="009368F9"/>
    <w:rsid w:val="00950AD7"/>
    <w:rsid w:val="00953956"/>
    <w:rsid w:val="0095553C"/>
    <w:rsid w:val="0095612B"/>
    <w:rsid w:val="00960A13"/>
    <w:rsid w:val="0096538E"/>
    <w:rsid w:val="0096742E"/>
    <w:rsid w:val="00970DA0"/>
    <w:rsid w:val="009769A4"/>
    <w:rsid w:val="009773B7"/>
    <w:rsid w:val="00977E87"/>
    <w:rsid w:val="00982330"/>
    <w:rsid w:val="00985994"/>
    <w:rsid w:val="00987056"/>
    <w:rsid w:val="00987F08"/>
    <w:rsid w:val="00991768"/>
    <w:rsid w:val="00991A84"/>
    <w:rsid w:val="009936EF"/>
    <w:rsid w:val="00994946"/>
    <w:rsid w:val="00994AAC"/>
    <w:rsid w:val="009A1846"/>
    <w:rsid w:val="009A526C"/>
    <w:rsid w:val="009A5E33"/>
    <w:rsid w:val="009A63E3"/>
    <w:rsid w:val="009A66A0"/>
    <w:rsid w:val="009A7502"/>
    <w:rsid w:val="009B1A57"/>
    <w:rsid w:val="009B24DC"/>
    <w:rsid w:val="009B6B63"/>
    <w:rsid w:val="009B70DA"/>
    <w:rsid w:val="009B72B5"/>
    <w:rsid w:val="009C115F"/>
    <w:rsid w:val="009C417D"/>
    <w:rsid w:val="009C6AA3"/>
    <w:rsid w:val="009C744F"/>
    <w:rsid w:val="009D2445"/>
    <w:rsid w:val="009D3102"/>
    <w:rsid w:val="009D3CE3"/>
    <w:rsid w:val="009D4E42"/>
    <w:rsid w:val="009E10EB"/>
    <w:rsid w:val="009E1B2A"/>
    <w:rsid w:val="009E2C56"/>
    <w:rsid w:val="009E5794"/>
    <w:rsid w:val="009E7312"/>
    <w:rsid w:val="009F573C"/>
    <w:rsid w:val="00A00D96"/>
    <w:rsid w:val="00A05202"/>
    <w:rsid w:val="00A057EA"/>
    <w:rsid w:val="00A06028"/>
    <w:rsid w:val="00A0758A"/>
    <w:rsid w:val="00A13E3C"/>
    <w:rsid w:val="00A1420E"/>
    <w:rsid w:val="00A20FC2"/>
    <w:rsid w:val="00A23003"/>
    <w:rsid w:val="00A27573"/>
    <w:rsid w:val="00A27638"/>
    <w:rsid w:val="00A34C3B"/>
    <w:rsid w:val="00A37FA2"/>
    <w:rsid w:val="00A41283"/>
    <w:rsid w:val="00A44A29"/>
    <w:rsid w:val="00A52C1C"/>
    <w:rsid w:val="00A55A84"/>
    <w:rsid w:val="00A63B21"/>
    <w:rsid w:val="00A666CE"/>
    <w:rsid w:val="00A668E5"/>
    <w:rsid w:val="00A7183E"/>
    <w:rsid w:val="00A73AD1"/>
    <w:rsid w:val="00A75FEC"/>
    <w:rsid w:val="00A76791"/>
    <w:rsid w:val="00A772CD"/>
    <w:rsid w:val="00A773BB"/>
    <w:rsid w:val="00A81651"/>
    <w:rsid w:val="00A81E33"/>
    <w:rsid w:val="00A84B27"/>
    <w:rsid w:val="00A901CC"/>
    <w:rsid w:val="00A922B4"/>
    <w:rsid w:val="00A94AFD"/>
    <w:rsid w:val="00AA2305"/>
    <w:rsid w:val="00AB2D82"/>
    <w:rsid w:val="00AB5B20"/>
    <w:rsid w:val="00AB69D3"/>
    <w:rsid w:val="00AB6C57"/>
    <w:rsid w:val="00AC7194"/>
    <w:rsid w:val="00AD0D94"/>
    <w:rsid w:val="00AD4F16"/>
    <w:rsid w:val="00AD5DE8"/>
    <w:rsid w:val="00AD6966"/>
    <w:rsid w:val="00AD7BB2"/>
    <w:rsid w:val="00AD7C95"/>
    <w:rsid w:val="00AE26B7"/>
    <w:rsid w:val="00AE3EB8"/>
    <w:rsid w:val="00AF2A7C"/>
    <w:rsid w:val="00AF3B0C"/>
    <w:rsid w:val="00B046F7"/>
    <w:rsid w:val="00B06823"/>
    <w:rsid w:val="00B10D64"/>
    <w:rsid w:val="00B15126"/>
    <w:rsid w:val="00B1707F"/>
    <w:rsid w:val="00B17EA9"/>
    <w:rsid w:val="00B25875"/>
    <w:rsid w:val="00B271B3"/>
    <w:rsid w:val="00B30623"/>
    <w:rsid w:val="00B37431"/>
    <w:rsid w:val="00B37E6E"/>
    <w:rsid w:val="00B4112B"/>
    <w:rsid w:val="00B47569"/>
    <w:rsid w:val="00B5125B"/>
    <w:rsid w:val="00B538FF"/>
    <w:rsid w:val="00B608B3"/>
    <w:rsid w:val="00B62BDE"/>
    <w:rsid w:val="00B65C39"/>
    <w:rsid w:val="00B6647D"/>
    <w:rsid w:val="00B678BB"/>
    <w:rsid w:val="00B67D95"/>
    <w:rsid w:val="00B7695A"/>
    <w:rsid w:val="00B77A52"/>
    <w:rsid w:val="00B81A2E"/>
    <w:rsid w:val="00B835D2"/>
    <w:rsid w:val="00B83999"/>
    <w:rsid w:val="00B85549"/>
    <w:rsid w:val="00B90EB3"/>
    <w:rsid w:val="00B92490"/>
    <w:rsid w:val="00B94091"/>
    <w:rsid w:val="00BA0185"/>
    <w:rsid w:val="00BA0872"/>
    <w:rsid w:val="00BA7C1C"/>
    <w:rsid w:val="00BB0269"/>
    <w:rsid w:val="00BB1472"/>
    <w:rsid w:val="00BB46D7"/>
    <w:rsid w:val="00BB46E7"/>
    <w:rsid w:val="00BB5484"/>
    <w:rsid w:val="00BB58F1"/>
    <w:rsid w:val="00BB7C81"/>
    <w:rsid w:val="00BC1D34"/>
    <w:rsid w:val="00BC265A"/>
    <w:rsid w:val="00BC3231"/>
    <w:rsid w:val="00BE104C"/>
    <w:rsid w:val="00BE2A8D"/>
    <w:rsid w:val="00BE2D8F"/>
    <w:rsid w:val="00BE3BEB"/>
    <w:rsid w:val="00BE4245"/>
    <w:rsid w:val="00BF11E5"/>
    <w:rsid w:val="00BF1E31"/>
    <w:rsid w:val="00BF6644"/>
    <w:rsid w:val="00BF6844"/>
    <w:rsid w:val="00C003DA"/>
    <w:rsid w:val="00C0168D"/>
    <w:rsid w:val="00C0228C"/>
    <w:rsid w:val="00C02418"/>
    <w:rsid w:val="00C03511"/>
    <w:rsid w:val="00C036DC"/>
    <w:rsid w:val="00C05A46"/>
    <w:rsid w:val="00C118B1"/>
    <w:rsid w:val="00C13652"/>
    <w:rsid w:val="00C143A2"/>
    <w:rsid w:val="00C2301A"/>
    <w:rsid w:val="00C26C4D"/>
    <w:rsid w:val="00C30EDF"/>
    <w:rsid w:val="00C314B5"/>
    <w:rsid w:val="00C33198"/>
    <w:rsid w:val="00C33DA8"/>
    <w:rsid w:val="00C34A0D"/>
    <w:rsid w:val="00C361F2"/>
    <w:rsid w:val="00C36323"/>
    <w:rsid w:val="00C40E00"/>
    <w:rsid w:val="00C40F2C"/>
    <w:rsid w:val="00C42905"/>
    <w:rsid w:val="00C45322"/>
    <w:rsid w:val="00C45B10"/>
    <w:rsid w:val="00C478ED"/>
    <w:rsid w:val="00C50976"/>
    <w:rsid w:val="00C51732"/>
    <w:rsid w:val="00C52346"/>
    <w:rsid w:val="00C601E6"/>
    <w:rsid w:val="00C634A5"/>
    <w:rsid w:val="00C65B59"/>
    <w:rsid w:val="00C72AD4"/>
    <w:rsid w:val="00C73D68"/>
    <w:rsid w:val="00C74BD6"/>
    <w:rsid w:val="00C7615C"/>
    <w:rsid w:val="00C802F5"/>
    <w:rsid w:val="00C82E84"/>
    <w:rsid w:val="00C83182"/>
    <w:rsid w:val="00C8393E"/>
    <w:rsid w:val="00C83EC2"/>
    <w:rsid w:val="00C866C3"/>
    <w:rsid w:val="00C8711D"/>
    <w:rsid w:val="00C907C2"/>
    <w:rsid w:val="00C96A39"/>
    <w:rsid w:val="00C96F6E"/>
    <w:rsid w:val="00CA1089"/>
    <w:rsid w:val="00CA1BF9"/>
    <w:rsid w:val="00CA3089"/>
    <w:rsid w:val="00CB0229"/>
    <w:rsid w:val="00CB04E5"/>
    <w:rsid w:val="00CB0A51"/>
    <w:rsid w:val="00CB3C89"/>
    <w:rsid w:val="00CB43FF"/>
    <w:rsid w:val="00CB6378"/>
    <w:rsid w:val="00CB6DC4"/>
    <w:rsid w:val="00CB7043"/>
    <w:rsid w:val="00CC54F4"/>
    <w:rsid w:val="00CC5A31"/>
    <w:rsid w:val="00CC7969"/>
    <w:rsid w:val="00CD491D"/>
    <w:rsid w:val="00CD6786"/>
    <w:rsid w:val="00CE0BD3"/>
    <w:rsid w:val="00CE0EAF"/>
    <w:rsid w:val="00CE4F53"/>
    <w:rsid w:val="00CE51F8"/>
    <w:rsid w:val="00CE7041"/>
    <w:rsid w:val="00CF054D"/>
    <w:rsid w:val="00CF704A"/>
    <w:rsid w:val="00D0061E"/>
    <w:rsid w:val="00D03E94"/>
    <w:rsid w:val="00D04105"/>
    <w:rsid w:val="00D04690"/>
    <w:rsid w:val="00D11A3C"/>
    <w:rsid w:val="00D152F0"/>
    <w:rsid w:val="00D155FE"/>
    <w:rsid w:val="00D1794A"/>
    <w:rsid w:val="00D20852"/>
    <w:rsid w:val="00D24D65"/>
    <w:rsid w:val="00D255F3"/>
    <w:rsid w:val="00D2642D"/>
    <w:rsid w:val="00D268DC"/>
    <w:rsid w:val="00D41181"/>
    <w:rsid w:val="00D4393A"/>
    <w:rsid w:val="00D47D84"/>
    <w:rsid w:val="00D500B4"/>
    <w:rsid w:val="00D511B2"/>
    <w:rsid w:val="00D55EA9"/>
    <w:rsid w:val="00D5611D"/>
    <w:rsid w:val="00D61094"/>
    <w:rsid w:val="00D6299A"/>
    <w:rsid w:val="00D62C64"/>
    <w:rsid w:val="00D6556C"/>
    <w:rsid w:val="00D659B6"/>
    <w:rsid w:val="00D74553"/>
    <w:rsid w:val="00D76DF3"/>
    <w:rsid w:val="00D814C5"/>
    <w:rsid w:val="00D83809"/>
    <w:rsid w:val="00D84DA7"/>
    <w:rsid w:val="00D84F7B"/>
    <w:rsid w:val="00D87942"/>
    <w:rsid w:val="00D91737"/>
    <w:rsid w:val="00D91CA9"/>
    <w:rsid w:val="00D95220"/>
    <w:rsid w:val="00D960DD"/>
    <w:rsid w:val="00DA2E4E"/>
    <w:rsid w:val="00DA4A6E"/>
    <w:rsid w:val="00DA6CFB"/>
    <w:rsid w:val="00DB0561"/>
    <w:rsid w:val="00DB6617"/>
    <w:rsid w:val="00DC47E4"/>
    <w:rsid w:val="00DD1451"/>
    <w:rsid w:val="00DD1F12"/>
    <w:rsid w:val="00DD3DD3"/>
    <w:rsid w:val="00DD555D"/>
    <w:rsid w:val="00DE2875"/>
    <w:rsid w:val="00DE2D16"/>
    <w:rsid w:val="00DF0151"/>
    <w:rsid w:val="00DF0C54"/>
    <w:rsid w:val="00DF200F"/>
    <w:rsid w:val="00DF233D"/>
    <w:rsid w:val="00DF298A"/>
    <w:rsid w:val="00DF2D87"/>
    <w:rsid w:val="00DF2E2D"/>
    <w:rsid w:val="00DF4A85"/>
    <w:rsid w:val="00DF51E6"/>
    <w:rsid w:val="00DF52A2"/>
    <w:rsid w:val="00DF5904"/>
    <w:rsid w:val="00DF67E4"/>
    <w:rsid w:val="00DF7F33"/>
    <w:rsid w:val="00E02B14"/>
    <w:rsid w:val="00E05555"/>
    <w:rsid w:val="00E056D1"/>
    <w:rsid w:val="00E06E31"/>
    <w:rsid w:val="00E16B23"/>
    <w:rsid w:val="00E217FC"/>
    <w:rsid w:val="00E24429"/>
    <w:rsid w:val="00E278B6"/>
    <w:rsid w:val="00E30EBC"/>
    <w:rsid w:val="00E340A5"/>
    <w:rsid w:val="00E342DC"/>
    <w:rsid w:val="00E35C04"/>
    <w:rsid w:val="00E43237"/>
    <w:rsid w:val="00E44200"/>
    <w:rsid w:val="00E45B59"/>
    <w:rsid w:val="00E5031C"/>
    <w:rsid w:val="00E51189"/>
    <w:rsid w:val="00E51A7A"/>
    <w:rsid w:val="00E52D96"/>
    <w:rsid w:val="00E60874"/>
    <w:rsid w:val="00E6227C"/>
    <w:rsid w:val="00E6787B"/>
    <w:rsid w:val="00E67D2F"/>
    <w:rsid w:val="00E67D83"/>
    <w:rsid w:val="00E72BEF"/>
    <w:rsid w:val="00E73BB5"/>
    <w:rsid w:val="00E7403C"/>
    <w:rsid w:val="00E75158"/>
    <w:rsid w:val="00E76B66"/>
    <w:rsid w:val="00E7722A"/>
    <w:rsid w:val="00E7784D"/>
    <w:rsid w:val="00E8286B"/>
    <w:rsid w:val="00E8322C"/>
    <w:rsid w:val="00E85E22"/>
    <w:rsid w:val="00E91531"/>
    <w:rsid w:val="00E9178F"/>
    <w:rsid w:val="00E9626A"/>
    <w:rsid w:val="00E96813"/>
    <w:rsid w:val="00E976D9"/>
    <w:rsid w:val="00EA0EBC"/>
    <w:rsid w:val="00EA510D"/>
    <w:rsid w:val="00EA6889"/>
    <w:rsid w:val="00EB03FD"/>
    <w:rsid w:val="00EB1DB7"/>
    <w:rsid w:val="00EB4EBE"/>
    <w:rsid w:val="00EB7F55"/>
    <w:rsid w:val="00EC18B3"/>
    <w:rsid w:val="00EC64D7"/>
    <w:rsid w:val="00EC7463"/>
    <w:rsid w:val="00EC75F2"/>
    <w:rsid w:val="00EC7872"/>
    <w:rsid w:val="00ED1822"/>
    <w:rsid w:val="00ED307E"/>
    <w:rsid w:val="00ED3410"/>
    <w:rsid w:val="00ED5D5E"/>
    <w:rsid w:val="00ED6F02"/>
    <w:rsid w:val="00EE1278"/>
    <w:rsid w:val="00EE1DEB"/>
    <w:rsid w:val="00EE3BD3"/>
    <w:rsid w:val="00EE466D"/>
    <w:rsid w:val="00EF2062"/>
    <w:rsid w:val="00EF2117"/>
    <w:rsid w:val="00EF460C"/>
    <w:rsid w:val="00EF4A16"/>
    <w:rsid w:val="00EF67B6"/>
    <w:rsid w:val="00EF6C18"/>
    <w:rsid w:val="00F023F0"/>
    <w:rsid w:val="00F0664E"/>
    <w:rsid w:val="00F10A27"/>
    <w:rsid w:val="00F129EC"/>
    <w:rsid w:val="00F176C9"/>
    <w:rsid w:val="00F17738"/>
    <w:rsid w:val="00F17A8E"/>
    <w:rsid w:val="00F17C5F"/>
    <w:rsid w:val="00F219FF"/>
    <w:rsid w:val="00F257A9"/>
    <w:rsid w:val="00F27061"/>
    <w:rsid w:val="00F30D03"/>
    <w:rsid w:val="00F324F2"/>
    <w:rsid w:val="00F37590"/>
    <w:rsid w:val="00F409DF"/>
    <w:rsid w:val="00F42359"/>
    <w:rsid w:val="00F43E7C"/>
    <w:rsid w:val="00F46C10"/>
    <w:rsid w:val="00F50FD1"/>
    <w:rsid w:val="00F54FAD"/>
    <w:rsid w:val="00F562D7"/>
    <w:rsid w:val="00F57113"/>
    <w:rsid w:val="00F61545"/>
    <w:rsid w:val="00F6175F"/>
    <w:rsid w:val="00F63EAC"/>
    <w:rsid w:val="00F64246"/>
    <w:rsid w:val="00F66AE7"/>
    <w:rsid w:val="00F723BC"/>
    <w:rsid w:val="00F775D7"/>
    <w:rsid w:val="00F808FB"/>
    <w:rsid w:val="00F8190B"/>
    <w:rsid w:val="00F851A1"/>
    <w:rsid w:val="00F91964"/>
    <w:rsid w:val="00F92AF1"/>
    <w:rsid w:val="00F93796"/>
    <w:rsid w:val="00F938A8"/>
    <w:rsid w:val="00FA19D0"/>
    <w:rsid w:val="00FA6126"/>
    <w:rsid w:val="00FB0B98"/>
    <w:rsid w:val="00FC33B2"/>
    <w:rsid w:val="00FC47B4"/>
    <w:rsid w:val="00FC493E"/>
    <w:rsid w:val="00FD4A7F"/>
    <w:rsid w:val="00FD7F13"/>
    <w:rsid w:val="00FE516F"/>
    <w:rsid w:val="00FE5DCE"/>
    <w:rsid w:val="00FF1170"/>
    <w:rsid w:val="00FF30B7"/>
    <w:rsid w:val="00FF34D2"/>
    <w:rsid w:val="00FF3877"/>
    <w:rsid w:val="00FF5572"/>
    <w:rsid w:val="00FF759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6A"/>
    <w:rPr>
      <w:rFonts w:ascii="Tahoma" w:hAnsi="Tahoma" w:cs="Tahoma"/>
      <w:sz w:val="16"/>
      <w:szCs w:val="16"/>
    </w:rPr>
  </w:style>
  <w:style w:type="character" w:styleId="Hyperlink">
    <w:name w:val="Hyperlink"/>
    <w:basedOn w:val="DefaultParagraphFont"/>
    <w:uiPriority w:val="99"/>
    <w:unhideWhenUsed/>
    <w:rsid w:val="00442588"/>
    <w:rPr>
      <w:color w:val="0000FF" w:themeColor="hyperlink"/>
      <w:u w:val="single"/>
    </w:rPr>
  </w:style>
  <w:style w:type="paragraph" w:styleId="ListParagraph">
    <w:name w:val="List Paragraph"/>
    <w:basedOn w:val="Normal"/>
    <w:uiPriority w:val="34"/>
    <w:qFormat/>
    <w:rsid w:val="003D40BB"/>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3DA8"/>
    <w:rPr>
      <w:sz w:val="16"/>
      <w:szCs w:val="16"/>
    </w:rPr>
  </w:style>
  <w:style w:type="paragraph" w:styleId="CommentText">
    <w:name w:val="annotation text"/>
    <w:basedOn w:val="Normal"/>
    <w:link w:val="CommentTextChar"/>
    <w:uiPriority w:val="99"/>
    <w:semiHidden/>
    <w:unhideWhenUsed/>
    <w:rsid w:val="00C33DA8"/>
    <w:pPr>
      <w:spacing w:line="240" w:lineRule="auto"/>
    </w:pPr>
    <w:rPr>
      <w:sz w:val="20"/>
      <w:szCs w:val="20"/>
    </w:rPr>
  </w:style>
  <w:style w:type="character" w:customStyle="1" w:styleId="CommentTextChar">
    <w:name w:val="Comment Text Char"/>
    <w:basedOn w:val="DefaultParagraphFont"/>
    <w:link w:val="CommentText"/>
    <w:uiPriority w:val="99"/>
    <w:semiHidden/>
    <w:rsid w:val="00C33DA8"/>
    <w:rPr>
      <w:sz w:val="20"/>
      <w:szCs w:val="20"/>
    </w:rPr>
  </w:style>
  <w:style w:type="paragraph" w:styleId="CommentSubject">
    <w:name w:val="annotation subject"/>
    <w:basedOn w:val="CommentText"/>
    <w:next w:val="CommentText"/>
    <w:link w:val="CommentSubjectChar"/>
    <w:uiPriority w:val="99"/>
    <w:semiHidden/>
    <w:unhideWhenUsed/>
    <w:rsid w:val="00C33DA8"/>
    <w:rPr>
      <w:b/>
      <w:bCs/>
    </w:rPr>
  </w:style>
  <w:style w:type="character" w:customStyle="1" w:styleId="CommentSubjectChar">
    <w:name w:val="Comment Subject Char"/>
    <w:basedOn w:val="CommentTextChar"/>
    <w:link w:val="CommentSubject"/>
    <w:uiPriority w:val="99"/>
    <w:semiHidden/>
    <w:rsid w:val="00C33DA8"/>
    <w:rPr>
      <w:b/>
      <w:bCs/>
      <w:sz w:val="20"/>
      <w:szCs w:val="20"/>
    </w:rPr>
  </w:style>
  <w:style w:type="paragraph" w:styleId="NoSpacing">
    <w:name w:val="No Spacing"/>
    <w:uiPriority w:val="1"/>
    <w:qFormat/>
    <w:rsid w:val="0065276F"/>
    <w:pPr>
      <w:spacing w:after="0" w:line="240" w:lineRule="auto"/>
    </w:pPr>
  </w:style>
  <w:style w:type="paragraph" w:styleId="Header">
    <w:name w:val="header"/>
    <w:basedOn w:val="Normal"/>
    <w:link w:val="HeaderChar"/>
    <w:uiPriority w:val="99"/>
    <w:unhideWhenUsed/>
    <w:rsid w:val="00290A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0ADC"/>
  </w:style>
  <w:style w:type="paragraph" w:styleId="Footer">
    <w:name w:val="footer"/>
    <w:basedOn w:val="Normal"/>
    <w:link w:val="FooterChar"/>
    <w:uiPriority w:val="99"/>
    <w:unhideWhenUsed/>
    <w:rsid w:val="00290A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0ADC"/>
  </w:style>
  <w:style w:type="table" w:customStyle="1" w:styleId="TableGrid1">
    <w:name w:val="Table Grid1"/>
    <w:basedOn w:val="TableNormal"/>
    <w:next w:val="TableGrid"/>
    <w:uiPriority w:val="39"/>
    <w:rsid w:val="0075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3280"/>
    <w:rPr>
      <w:color w:val="605E5C"/>
      <w:shd w:val="clear" w:color="auto" w:fill="E1DFDD"/>
    </w:rPr>
  </w:style>
  <w:style w:type="character" w:styleId="FollowedHyperlink">
    <w:name w:val="FollowedHyperlink"/>
    <w:basedOn w:val="DefaultParagraphFont"/>
    <w:uiPriority w:val="99"/>
    <w:semiHidden/>
    <w:unhideWhenUsed/>
    <w:rsid w:val="003E3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8378">
      <w:bodyDiv w:val="1"/>
      <w:marLeft w:val="0"/>
      <w:marRight w:val="0"/>
      <w:marTop w:val="0"/>
      <w:marBottom w:val="0"/>
      <w:divBdr>
        <w:top w:val="none" w:sz="0" w:space="0" w:color="auto"/>
        <w:left w:val="none" w:sz="0" w:space="0" w:color="auto"/>
        <w:bottom w:val="none" w:sz="0" w:space="0" w:color="auto"/>
        <w:right w:val="none" w:sz="0" w:space="0" w:color="auto"/>
      </w:divBdr>
    </w:div>
    <w:div w:id="437874411">
      <w:bodyDiv w:val="1"/>
      <w:marLeft w:val="0"/>
      <w:marRight w:val="0"/>
      <w:marTop w:val="0"/>
      <w:marBottom w:val="0"/>
      <w:divBdr>
        <w:top w:val="none" w:sz="0" w:space="0" w:color="auto"/>
        <w:left w:val="none" w:sz="0" w:space="0" w:color="auto"/>
        <w:bottom w:val="none" w:sz="0" w:space="0" w:color="auto"/>
        <w:right w:val="none" w:sz="0" w:space="0" w:color="auto"/>
      </w:divBdr>
    </w:div>
    <w:div w:id="466702754">
      <w:bodyDiv w:val="1"/>
      <w:marLeft w:val="0"/>
      <w:marRight w:val="0"/>
      <w:marTop w:val="0"/>
      <w:marBottom w:val="0"/>
      <w:divBdr>
        <w:top w:val="none" w:sz="0" w:space="0" w:color="auto"/>
        <w:left w:val="none" w:sz="0" w:space="0" w:color="auto"/>
        <w:bottom w:val="none" w:sz="0" w:space="0" w:color="auto"/>
        <w:right w:val="none" w:sz="0" w:space="0" w:color="auto"/>
      </w:divBdr>
    </w:div>
    <w:div w:id="515996623">
      <w:bodyDiv w:val="1"/>
      <w:marLeft w:val="0"/>
      <w:marRight w:val="0"/>
      <w:marTop w:val="0"/>
      <w:marBottom w:val="0"/>
      <w:divBdr>
        <w:top w:val="none" w:sz="0" w:space="0" w:color="auto"/>
        <w:left w:val="none" w:sz="0" w:space="0" w:color="auto"/>
        <w:bottom w:val="none" w:sz="0" w:space="0" w:color="auto"/>
        <w:right w:val="none" w:sz="0" w:space="0" w:color="auto"/>
      </w:divBdr>
    </w:div>
    <w:div w:id="629022064">
      <w:bodyDiv w:val="1"/>
      <w:marLeft w:val="0"/>
      <w:marRight w:val="0"/>
      <w:marTop w:val="0"/>
      <w:marBottom w:val="0"/>
      <w:divBdr>
        <w:top w:val="none" w:sz="0" w:space="0" w:color="auto"/>
        <w:left w:val="none" w:sz="0" w:space="0" w:color="auto"/>
        <w:bottom w:val="none" w:sz="0" w:space="0" w:color="auto"/>
        <w:right w:val="none" w:sz="0" w:space="0" w:color="auto"/>
      </w:divBdr>
    </w:div>
    <w:div w:id="697511724">
      <w:bodyDiv w:val="1"/>
      <w:marLeft w:val="0"/>
      <w:marRight w:val="0"/>
      <w:marTop w:val="0"/>
      <w:marBottom w:val="0"/>
      <w:divBdr>
        <w:top w:val="none" w:sz="0" w:space="0" w:color="auto"/>
        <w:left w:val="none" w:sz="0" w:space="0" w:color="auto"/>
        <w:bottom w:val="none" w:sz="0" w:space="0" w:color="auto"/>
        <w:right w:val="none" w:sz="0" w:space="0" w:color="auto"/>
      </w:divBdr>
    </w:div>
    <w:div w:id="838738132">
      <w:bodyDiv w:val="1"/>
      <w:marLeft w:val="0"/>
      <w:marRight w:val="0"/>
      <w:marTop w:val="0"/>
      <w:marBottom w:val="0"/>
      <w:divBdr>
        <w:top w:val="none" w:sz="0" w:space="0" w:color="auto"/>
        <w:left w:val="none" w:sz="0" w:space="0" w:color="auto"/>
        <w:bottom w:val="none" w:sz="0" w:space="0" w:color="auto"/>
        <w:right w:val="none" w:sz="0" w:space="0" w:color="auto"/>
      </w:divBdr>
    </w:div>
    <w:div w:id="853307365">
      <w:bodyDiv w:val="1"/>
      <w:marLeft w:val="0"/>
      <w:marRight w:val="0"/>
      <w:marTop w:val="0"/>
      <w:marBottom w:val="0"/>
      <w:divBdr>
        <w:top w:val="none" w:sz="0" w:space="0" w:color="auto"/>
        <w:left w:val="none" w:sz="0" w:space="0" w:color="auto"/>
        <w:bottom w:val="none" w:sz="0" w:space="0" w:color="auto"/>
        <w:right w:val="none" w:sz="0" w:space="0" w:color="auto"/>
      </w:divBdr>
    </w:div>
    <w:div w:id="1045761161">
      <w:bodyDiv w:val="1"/>
      <w:marLeft w:val="0"/>
      <w:marRight w:val="0"/>
      <w:marTop w:val="0"/>
      <w:marBottom w:val="0"/>
      <w:divBdr>
        <w:top w:val="none" w:sz="0" w:space="0" w:color="auto"/>
        <w:left w:val="none" w:sz="0" w:space="0" w:color="auto"/>
        <w:bottom w:val="none" w:sz="0" w:space="0" w:color="auto"/>
        <w:right w:val="none" w:sz="0" w:space="0" w:color="auto"/>
      </w:divBdr>
    </w:div>
    <w:div w:id="1055465753">
      <w:bodyDiv w:val="1"/>
      <w:marLeft w:val="0"/>
      <w:marRight w:val="0"/>
      <w:marTop w:val="0"/>
      <w:marBottom w:val="0"/>
      <w:divBdr>
        <w:top w:val="none" w:sz="0" w:space="0" w:color="auto"/>
        <w:left w:val="none" w:sz="0" w:space="0" w:color="auto"/>
        <w:bottom w:val="none" w:sz="0" w:space="0" w:color="auto"/>
        <w:right w:val="none" w:sz="0" w:space="0" w:color="auto"/>
      </w:divBdr>
    </w:div>
    <w:div w:id="1165508456">
      <w:bodyDiv w:val="1"/>
      <w:marLeft w:val="0"/>
      <w:marRight w:val="0"/>
      <w:marTop w:val="0"/>
      <w:marBottom w:val="0"/>
      <w:divBdr>
        <w:top w:val="none" w:sz="0" w:space="0" w:color="auto"/>
        <w:left w:val="none" w:sz="0" w:space="0" w:color="auto"/>
        <w:bottom w:val="none" w:sz="0" w:space="0" w:color="auto"/>
        <w:right w:val="none" w:sz="0" w:space="0" w:color="auto"/>
      </w:divBdr>
    </w:div>
    <w:div w:id="1196850496">
      <w:bodyDiv w:val="1"/>
      <w:marLeft w:val="0"/>
      <w:marRight w:val="0"/>
      <w:marTop w:val="0"/>
      <w:marBottom w:val="0"/>
      <w:divBdr>
        <w:top w:val="none" w:sz="0" w:space="0" w:color="auto"/>
        <w:left w:val="none" w:sz="0" w:space="0" w:color="auto"/>
        <w:bottom w:val="none" w:sz="0" w:space="0" w:color="auto"/>
        <w:right w:val="none" w:sz="0" w:space="0" w:color="auto"/>
      </w:divBdr>
    </w:div>
    <w:div w:id="1209996873">
      <w:bodyDiv w:val="1"/>
      <w:marLeft w:val="0"/>
      <w:marRight w:val="0"/>
      <w:marTop w:val="0"/>
      <w:marBottom w:val="0"/>
      <w:divBdr>
        <w:top w:val="none" w:sz="0" w:space="0" w:color="auto"/>
        <w:left w:val="none" w:sz="0" w:space="0" w:color="auto"/>
        <w:bottom w:val="none" w:sz="0" w:space="0" w:color="auto"/>
        <w:right w:val="none" w:sz="0" w:space="0" w:color="auto"/>
      </w:divBdr>
    </w:div>
    <w:div w:id="1214582028">
      <w:bodyDiv w:val="1"/>
      <w:marLeft w:val="0"/>
      <w:marRight w:val="0"/>
      <w:marTop w:val="0"/>
      <w:marBottom w:val="0"/>
      <w:divBdr>
        <w:top w:val="none" w:sz="0" w:space="0" w:color="auto"/>
        <w:left w:val="none" w:sz="0" w:space="0" w:color="auto"/>
        <w:bottom w:val="none" w:sz="0" w:space="0" w:color="auto"/>
        <w:right w:val="none" w:sz="0" w:space="0" w:color="auto"/>
      </w:divBdr>
    </w:div>
    <w:div w:id="1334525380">
      <w:bodyDiv w:val="1"/>
      <w:marLeft w:val="0"/>
      <w:marRight w:val="0"/>
      <w:marTop w:val="0"/>
      <w:marBottom w:val="0"/>
      <w:divBdr>
        <w:top w:val="none" w:sz="0" w:space="0" w:color="auto"/>
        <w:left w:val="none" w:sz="0" w:space="0" w:color="auto"/>
        <w:bottom w:val="none" w:sz="0" w:space="0" w:color="auto"/>
        <w:right w:val="none" w:sz="0" w:space="0" w:color="auto"/>
      </w:divBdr>
    </w:div>
    <w:div w:id="1639526651">
      <w:bodyDiv w:val="1"/>
      <w:marLeft w:val="0"/>
      <w:marRight w:val="0"/>
      <w:marTop w:val="0"/>
      <w:marBottom w:val="0"/>
      <w:divBdr>
        <w:top w:val="none" w:sz="0" w:space="0" w:color="auto"/>
        <w:left w:val="none" w:sz="0" w:space="0" w:color="auto"/>
        <w:bottom w:val="none" w:sz="0" w:space="0" w:color="auto"/>
        <w:right w:val="none" w:sz="0" w:space="0" w:color="auto"/>
      </w:divBdr>
    </w:div>
    <w:div w:id="1656639864">
      <w:bodyDiv w:val="1"/>
      <w:marLeft w:val="0"/>
      <w:marRight w:val="0"/>
      <w:marTop w:val="0"/>
      <w:marBottom w:val="0"/>
      <w:divBdr>
        <w:top w:val="none" w:sz="0" w:space="0" w:color="auto"/>
        <w:left w:val="none" w:sz="0" w:space="0" w:color="auto"/>
        <w:bottom w:val="none" w:sz="0" w:space="0" w:color="auto"/>
        <w:right w:val="none" w:sz="0" w:space="0" w:color="auto"/>
      </w:divBdr>
    </w:div>
    <w:div w:id="1661037879">
      <w:bodyDiv w:val="1"/>
      <w:marLeft w:val="0"/>
      <w:marRight w:val="0"/>
      <w:marTop w:val="0"/>
      <w:marBottom w:val="0"/>
      <w:divBdr>
        <w:top w:val="none" w:sz="0" w:space="0" w:color="auto"/>
        <w:left w:val="none" w:sz="0" w:space="0" w:color="auto"/>
        <w:bottom w:val="none" w:sz="0" w:space="0" w:color="auto"/>
        <w:right w:val="none" w:sz="0" w:space="0" w:color="auto"/>
      </w:divBdr>
    </w:div>
    <w:div w:id="1745444854">
      <w:bodyDiv w:val="1"/>
      <w:marLeft w:val="0"/>
      <w:marRight w:val="0"/>
      <w:marTop w:val="0"/>
      <w:marBottom w:val="0"/>
      <w:divBdr>
        <w:top w:val="none" w:sz="0" w:space="0" w:color="auto"/>
        <w:left w:val="none" w:sz="0" w:space="0" w:color="auto"/>
        <w:bottom w:val="none" w:sz="0" w:space="0" w:color="auto"/>
        <w:right w:val="none" w:sz="0" w:space="0" w:color="auto"/>
      </w:divBdr>
    </w:div>
    <w:div w:id="1792548327">
      <w:bodyDiv w:val="1"/>
      <w:marLeft w:val="0"/>
      <w:marRight w:val="0"/>
      <w:marTop w:val="0"/>
      <w:marBottom w:val="0"/>
      <w:divBdr>
        <w:top w:val="none" w:sz="0" w:space="0" w:color="auto"/>
        <w:left w:val="none" w:sz="0" w:space="0" w:color="auto"/>
        <w:bottom w:val="none" w:sz="0" w:space="0" w:color="auto"/>
        <w:right w:val="none" w:sz="0" w:space="0" w:color="auto"/>
      </w:divBdr>
    </w:div>
    <w:div w:id="1945843786">
      <w:bodyDiv w:val="1"/>
      <w:marLeft w:val="0"/>
      <w:marRight w:val="0"/>
      <w:marTop w:val="0"/>
      <w:marBottom w:val="0"/>
      <w:divBdr>
        <w:top w:val="none" w:sz="0" w:space="0" w:color="auto"/>
        <w:left w:val="none" w:sz="0" w:space="0" w:color="auto"/>
        <w:bottom w:val="none" w:sz="0" w:space="0" w:color="auto"/>
        <w:right w:val="none" w:sz="0" w:space="0" w:color="auto"/>
      </w:divBdr>
    </w:div>
    <w:div w:id="1986930225">
      <w:bodyDiv w:val="1"/>
      <w:marLeft w:val="0"/>
      <w:marRight w:val="0"/>
      <w:marTop w:val="0"/>
      <w:marBottom w:val="0"/>
      <w:divBdr>
        <w:top w:val="none" w:sz="0" w:space="0" w:color="auto"/>
        <w:left w:val="none" w:sz="0" w:space="0" w:color="auto"/>
        <w:bottom w:val="none" w:sz="0" w:space="0" w:color="auto"/>
        <w:right w:val="none" w:sz="0" w:space="0" w:color="auto"/>
      </w:divBdr>
    </w:div>
    <w:div w:id="1988241096">
      <w:bodyDiv w:val="1"/>
      <w:marLeft w:val="0"/>
      <w:marRight w:val="0"/>
      <w:marTop w:val="0"/>
      <w:marBottom w:val="0"/>
      <w:divBdr>
        <w:top w:val="none" w:sz="0" w:space="0" w:color="auto"/>
        <w:left w:val="none" w:sz="0" w:space="0" w:color="auto"/>
        <w:bottom w:val="none" w:sz="0" w:space="0" w:color="auto"/>
        <w:right w:val="none" w:sz="0" w:space="0" w:color="auto"/>
      </w:divBdr>
    </w:div>
    <w:div w:id="2025402638">
      <w:bodyDiv w:val="1"/>
      <w:marLeft w:val="0"/>
      <w:marRight w:val="0"/>
      <w:marTop w:val="0"/>
      <w:marBottom w:val="0"/>
      <w:divBdr>
        <w:top w:val="none" w:sz="0" w:space="0" w:color="auto"/>
        <w:left w:val="none" w:sz="0" w:space="0" w:color="auto"/>
        <w:bottom w:val="none" w:sz="0" w:space="0" w:color="auto"/>
        <w:right w:val="none" w:sz="0" w:space="0" w:color="auto"/>
      </w:divBdr>
    </w:div>
    <w:div w:id="2109692895">
      <w:bodyDiv w:val="1"/>
      <w:marLeft w:val="0"/>
      <w:marRight w:val="0"/>
      <w:marTop w:val="0"/>
      <w:marBottom w:val="0"/>
      <w:divBdr>
        <w:top w:val="none" w:sz="0" w:space="0" w:color="auto"/>
        <w:left w:val="none" w:sz="0" w:space="0" w:color="auto"/>
        <w:bottom w:val="none" w:sz="0" w:space="0" w:color="auto"/>
        <w:right w:val="none" w:sz="0" w:space="0" w:color="auto"/>
      </w:divBdr>
    </w:div>
    <w:div w:id="21374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64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DAA6-8657-4E43-869C-3A0A93C9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32738</Words>
  <Characters>18661</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2022-01-18T06:43:00Z</dcterms:created>
  <dcterms:modified xsi:type="dcterms:W3CDTF">2022-01-18T06:43:00Z</dcterms:modified>
</cp:coreProperties>
</file>