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EB30" w14:textId="150E2D3E" w:rsidR="00424471" w:rsidRDefault="00D439CF" w:rsidP="00D439CF">
      <w:pPr>
        <w:spacing w:after="0" w:line="276" w:lineRule="auto"/>
        <w:jc w:val="both"/>
        <w:rPr>
          <w:b/>
          <w:bCs/>
        </w:rPr>
      </w:pPr>
      <w:r w:rsidRPr="002A024D">
        <w:rPr>
          <w:b/>
          <w:bCs/>
        </w:rPr>
        <w:t>Kasācijas tiesvedības izbeigšana, ja apsūdzētais miris pēc attaisnojoša apelācijas instances tiesas sprieduma pasludināšanas</w:t>
      </w:r>
    </w:p>
    <w:p w14:paraId="5BEA7006" w14:textId="38499253" w:rsidR="00D439CF" w:rsidRPr="00BE278C" w:rsidRDefault="00D439CF" w:rsidP="00D439CF">
      <w:pPr>
        <w:spacing w:after="0" w:line="276" w:lineRule="auto"/>
        <w:jc w:val="both"/>
        <w:rPr>
          <w:rFonts w:cs="Times New Roman"/>
          <w:szCs w:val="24"/>
        </w:rPr>
      </w:pPr>
      <w:r w:rsidRPr="002A024D">
        <w:t>Lietas izskatīšana tiesā, ja apsūdzētais ir miris, pieļaujama tikai tajos gadījumos, kad process nepieciešams, lai mirušo reabilitētu. Ja apsūdzētais miris pēc attaisnojoša apelācijas instances tiesas sprieduma pasludināšanas, lietas izskatīšanas turpināšanai pret mirušo apsūdzēto kasācijas instances tiesā nav tiesiska pamata un kasācijas tiesvedība lietā ir izbeidzama.</w:t>
      </w:r>
    </w:p>
    <w:p w14:paraId="4F3066A3" w14:textId="69B7E52A" w:rsidR="00424471" w:rsidRPr="00BE278C" w:rsidRDefault="00424471" w:rsidP="00D439CF">
      <w:pPr>
        <w:pStyle w:val="BodyText2"/>
        <w:spacing w:line="276" w:lineRule="auto"/>
        <w:contextualSpacing/>
        <w:jc w:val="left"/>
        <w:rPr>
          <w:rFonts w:ascii="Times New Roman" w:hAnsi="Times New Roman" w:cs="Times New Roman"/>
          <w:color w:val="000000" w:themeColor="text1"/>
          <w:sz w:val="24"/>
          <w:szCs w:val="24"/>
        </w:rPr>
      </w:pPr>
    </w:p>
    <w:p w14:paraId="0092CAF7" w14:textId="77777777" w:rsidR="00D439CF" w:rsidRPr="00D439CF" w:rsidRDefault="00424471" w:rsidP="00424471">
      <w:pPr>
        <w:spacing w:line="276" w:lineRule="auto"/>
        <w:contextualSpacing/>
        <w:jc w:val="center"/>
        <w:rPr>
          <w:rFonts w:cs="Times New Roman"/>
          <w:b/>
          <w:color w:val="000000" w:themeColor="text1"/>
          <w:szCs w:val="24"/>
        </w:rPr>
      </w:pPr>
      <w:r w:rsidRPr="00D439CF">
        <w:rPr>
          <w:rFonts w:cs="Times New Roman"/>
          <w:b/>
          <w:color w:val="000000" w:themeColor="text1"/>
          <w:szCs w:val="24"/>
        </w:rPr>
        <w:t>Latvijas Republikas Senāt</w:t>
      </w:r>
      <w:r w:rsidR="00D439CF" w:rsidRPr="00D439CF">
        <w:rPr>
          <w:rFonts w:cs="Times New Roman"/>
          <w:b/>
          <w:color w:val="000000" w:themeColor="text1"/>
          <w:szCs w:val="24"/>
        </w:rPr>
        <w:t>a</w:t>
      </w:r>
      <w:r w:rsidRPr="00D439CF">
        <w:rPr>
          <w:rFonts w:cs="Times New Roman"/>
          <w:b/>
          <w:color w:val="000000" w:themeColor="text1"/>
          <w:szCs w:val="24"/>
        </w:rPr>
        <w:t xml:space="preserve"> </w:t>
      </w:r>
    </w:p>
    <w:p w14:paraId="21C42E7B" w14:textId="77777777" w:rsidR="00D439CF" w:rsidRPr="00D439CF" w:rsidRDefault="00D439CF" w:rsidP="00424471">
      <w:pPr>
        <w:spacing w:line="276" w:lineRule="auto"/>
        <w:contextualSpacing/>
        <w:jc w:val="center"/>
        <w:rPr>
          <w:rFonts w:cs="Times New Roman"/>
          <w:b/>
          <w:color w:val="000000" w:themeColor="text1"/>
          <w:szCs w:val="24"/>
        </w:rPr>
      </w:pPr>
      <w:r w:rsidRPr="00D439CF">
        <w:rPr>
          <w:rFonts w:cs="Times New Roman"/>
          <w:b/>
          <w:color w:val="000000" w:themeColor="text1"/>
          <w:szCs w:val="24"/>
        </w:rPr>
        <w:t>Krimināllietu departamenta</w:t>
      </w:r>
    </w:p>
    <w:p w14:paraId="0EDE5761" w14:textId="2A12794C" w:rsidR="00424471" w:rsidRPr="00D439CF" w:rsidRDefault="00D439CF" w:rsidP="00424471">
      <w:pPr>
        <w:spacing w:line="276" w:lineRule="auto"/>
        <w:contextualSpacing/>
        <w:jc w:val="center"/>
        <w:rPr>
          <w:rFonts w:cs="Times New Roman"/>
          <w:b/>
          <w:color w:val="000000" w:themeColor="text1"/>
          <w:szCs w:val="24"/>
        </w:rPr>
      </w:pPr>
      <w:proofErr w:type="gramStart"/>
      <w:r w:rsidRPr="00D439CF">
        <w:rPr>
          <w:rFonts w:cs="Times New Roman"/>
          <w:b/>
          <w:color w:val="000000" w:themeColor="text1"/>
          <w:szCs w:val="24"/>
        </w:rPr>
        <w:t>2021.gada</w:t>
      </w:r>
      <w:proofErr w:type="gramEnd"/>
      <w:r w:rsidRPr="00D439CF">
        <w:rPr>
          <w:rFonts w:cs="Times New Roman"/>
          <w:b/>
          <w:color w:val="000000" w:themeColor="text1"/>
          <w:szCs w:val="24"/>
        </w:rPr>
        <w:t xml:space="preserve"> 14.decembra</w:t>
      </w:r>
    </w:p>
    <w:p w14:paraId="02CAE7C1" w14:textId="77777777" w:rsidR="00424471" w:rsidRPr="00D439CF" w:rsidRDefault="00424471" w:rsidP="00424471">
      <w:pPr>
        <w:spacing w:line="276" w:lineRule="auto"/>
        <w:contextualSpacing/>
        <w:jc w:val="center"/>
        <w:rPr>
          <w:rFonts w:cs="Times New Roman"/>
          <w:b/>
          <w:color w:val="000000" w:themeColor="text1"/>
          <w:szCs w:val="24"/>
        </w:rPr>
      </w:pPr>
      <w:r w:rsidRPr="00D439CF">
        <w:rPr>
          <w:rFonts w:cs="Times New Roman"/>
          <w:b/>
          <w:color w:val="000000" w:themeColor="text1"/>
          <w:szCs w:val="24"/>
        </w:rPr>
        <w:t>LĒMUMS</w:t>
      </w:r>
    </w:p>
    <w:p w14:paraId="3D297D7A" w14:textId="1D6899E1" w:rsidR="00424471" w:rsidRPr="00D439CF" w:rsidRDefault="00D439CF" w:rsidP="003F7E02">
      <w:pPr>
        <w:spacing w:after="0" w:line="276" w:lineRule="auto"/>
        <w:contextualSpacing/>
        <w:jc w:val="center"/>
        <w:rPr>
          <w:rFonts w:cs="Times New Roman"/>
          <w:b/>
          <w:szCs w:val="24"/>
        </w:rPr>
      </w:pPr>
      <w:r w:rsidRPr="00D439CF">
        <w:rPr>
          <w:rFonts w:cs="Times New Roman"/>
          <w:b/>
          <w:szCs w:val="24"/>
        </w:rPr>
        <w:t>Lieta Nr. 11200010214, SKK-112/2021</w:t>
      </w:r>
    </w:p>
    <w:p w14:paraId="50E40FCC" w14:textId="1DA700C6" w:rsidR="00D439CF" w:rsidRPr="00D439CF" w:rsidRDefault="00D439CF" w:rsidP="003F7E02">
      <w:pPr>
        <w:spacing w:after="0" w:line="276" w:lineRule="auto"/>
        <w:contextualSpacing/>
        <w:jc w:val="center"/>
        <w:rPr>
          <w:rFonts w:cs="Times New Roman"/>
          <w:bCs/>
          <w:color w:val="000000" w:themeColor="text1"/>
          <w:szCs w:val="24"/>
        </w:rPr>
      </w:pPr>
      <w:hyperlink r:id="rId8" w:history="1">
        <w:r w:rsidRPr="00D439CF">
          <w:rPr>
            <w:rStyle w:val="Hyperlink"/>
            <w:rFonts w:cs="Times New Roman"/>
            <w:bCs/>
            <w:szCs w:val="24"/>
            <w:shd w:val="clear" w:color="auto" w:fill="FFFFFF"/>
          </w:rPr>
          <w:t>ECLI:LV:AT:2021:1214.11200010214.8.L</w:t>
        </w:r>
      </w:hyperlink>
    </w:p>
    <w:p w14:paraId="0AE0A4CB" w14:textId="77777777" w:rsidR="003F7E02" w:rsidRPr="00BE278C" w:rsidRDefault="003F7E02" w:rsidP="003F7E02">
      <w:pPr>
        <w:spacing w:after="0" w:line="276" w:lineRule="auto"/>
        <w:contextualSpacing/>
        <w:jc w:val="center"/>
        <w:rPr>
          <w:rFonts w:cs="Times New Roman"/>
          <w:color w:val="000000" w:themeColor="text1"/>
          <w:szCs w:val="24"/>
        </w:rPr>
      </w:pPr>
    </w:p>
    <w:p w14:paraId="7BBF8B29" w14:textId="0CD69C48" w:rsidR="002A249E" w:rsidRPr="00BE278C" w:rsidRDefault="00C80940" w:rsidP="005738CD">
      <w:pPr>
        <w:pStyle w:val="NoSpacing"/>
        <w:spacing w:line="276" w:lineRule="auto"/>
        <w:ind w:firstLine="720"/>
        <w:jc w:val="both"/>
        <w:rPr>
          <w:rFonts w:cs="Times New Roman"/>
          <w:szCs w:val="24"/>
        </w:rPr>
      </w:pPr>
      <w:r w:rsidRPr="00BE278C">
        <w:rPr>
          <w:rFonts w:cs="Times New Roman"/>
          <w:szCs w:val="24"/>
        </w:rPr>
        <w:t>Tiesa šādā sastāvā: senator</w:t>
      </w:r>
      <w:r w:rsidR="00362284">
        <w:rPr>
          <w:rFonts w:cs="Times New Roman"/>
          <w:szCs w:val="24"/>
        </w:rPr>
        <w:t>i</w:t>
      </w:r>
      <w:r w:rsidR="003668EC" w:rsidRPr="00BE278C">
        <w:rPr>
          <w:rFonts w:cs="Times New Roman"/>
          <w:szCs w:val="24"/>
        </w:rPr>
        <w:t xml:space="preserve"> </w:t>
      </w:r>
      <w:r w:rsidR="00DA5BF4" w:rsidRPr="00BE278C">
        <w:rPr>
          <w:rFonts w:cs="Times New Roman"/>
          <w:szCs w:val="24"/>
        </w:rPr>
        <w:t xml:space="preserve">Inguna Radzeviča, </w:t>
      </w:r>
      <w:r w:rsidR="00704A85" w:rsidRPr="00BE278C">
        <w:rPr>
          <w:rFonts w:cs="Times New Roman"/>
          <w:szCs w:val="24"/>
        </w:rPr>
        <w:t>Ivars Bičkovičs</w:t>
      </w:r>
      <w:r w:rsidR="00637E4C" w:rsidRPr="00BE278C">
        <w:rPr>
          <w:rFonts w:cs="Times New Roman"/>
          <w:szCs w:val="24"/>
        </w:rPr>
        <w:t>, Anita Poļakova</w:t>
      </w:r>
      <w:r w:rsidR="005738CD" w:rsidRPr="00BE278C">
        <w:rPr>
          <w:rFonts w:cs="Times New Roman"/>
          <w:szCs w:val="24"/>
        </w:rPr>
        <w:t xml:space="preserve"> </w:t>
      </w:r>
    </w:p>
    <w:p w14:paraId="7E4A8C91" w14:textId="77777777" w:rsidR="00E77D3E" w:rsidRPr="00BE278C" w:rsidRDefault="00E77D3E" w:rsidP="002A249E">
      <w:pPr>
        <w:pStyle w:val="NoSpacing"/>
        <w:spacing w:line="276" w:lineRule="auto"/>
        <w:ind w:firstLine="720"/>
        <w:jc w:val="both"/>
        <w:rPr>
          <w:rFonts w:cs="Times New Roman"/>
          <w:szCs w:val="24"/>
        </w:rPr>
      </w:pPr>
    </w:p>
    <w:p w14:paraId="0CFF8D71" w14:textId="1CE909B2" w:rsidR="00424471" w:rsidRPr="00BE278C" w:rsidRDefault="00424471" w:rsidP="002A249E">
      <w:pPr>
        <w:pStyle w:val="NoSpacing"/>
        <w:spacing w:line="276" w:lineRule="auto"/>
        <w:ind w:firstLine="720"/>
        <w:jc w:val="both"/>
        <w:rPr>
          <w:rFonts w:cs="Times New Roman"/>
          <w:b/>
          <w:i/>
          <w:szCs w:val="24"/>
        </w:rPr>
      </w:pPr>
      <w:r w:rsidRPr="00BE278C">
        <w:rPr>
          <w:rFonts w:cs="Times New Roman"/>
          <w:szCs w:val="24"/>
        </w:rPr>
        <w:t xml:space="preserve">izskatīja rakstveida procesā krimināllietu sakarā ar </w:t>
      </w:r>
      <w:bookmarkStart w:id="0" w:name="_Hlk77074141"/>
      <w:r w:rsidR="00704A85" w:rsidRPr="00BE278C">
        <w:rPr>
          <w:rFonts w:cs="Times New Roman"/>
          <w:szCs w:val="24"/>
        </w:rPr>
        <w:t>Zemgales</w:t>
      </w:r>
      <w:r w:rsidR="001B4F2C" w:rsidRPr="00BE278C">
        <w:rPr>
          <w:rFonts w:cs="Times New Roman"/>
          <w:szCs w:val="24"/>
        </w:rPr>
        <w:t xml:space="preserve"> tiesas apgabala prokuratūras</w:t>
      </w:r>
      <w:r w:rsidR="00704A85" w:rsidRPr="00BE278C">
        <w:rPr>
          <w:rFonts w:cs="Times New Roman"/>
          <w:szCs w:val="24"/>
        </w:rPr>
        <w:t xml:space="preserve"> </w:t>
      </w:r>
      <w:r w:rsidR="001B4F2C" w:rsidRPr="00BE278C">
        <w:rPr>
          <w:rFonts w:cs="Times New Roman"/>
          <w:szCs w:val="24"/>
        </w:rPr>
        <w:t>prokurora A</w:t>
      </w:r>
      <w:r w:rsidR="00704A85" w:rsidRPr="00BE278C">
        <w:rPr>
          <w:rFonts w:cs="Times New Roman"/>
          <w:szCs w:val="24"/>
        </w:rPr>
        <w:t>ivara Egles</w:t>
      </w:r>
      <w:r w:rsidR="001B4F2C" w:rsidRPr="00BE278C">
        <w:rPr>
          <w:rFonts w:cs="Times New Roman"/>
          <w:szCs w:val="24"/>
        </w:rPr>
        <w:t xml:space="preserve"> kasācijas protestu</w:t>
      </w:r>
      <w:r w:rsidRPr="00BE278C">
        <w:rPr>
          <w:rFonts w:cs="Times New Roman"/>
          <w:szCs w:val="24"/>
        </w:rPr>
        <w:t xml:space="preserve"> </w:t>
      </w:r>
      <w:bookmarkEnd w:id="0"/>
      <w:r w:rsidR="0072510D" w:rsidRPr="00BE278C">
        <w:rPr>
          <w:rFonts w:cs="Times New Roman"/>
          <w:szCs w:val="24"/>
        </w:rPr>
        <w:t>un cietuš</w:t>
      </w:r>
      <w:r w:rsidR="00995DB0" w:rsidRPr="00BE278C">
        <w:rPr>
          <w:rFonts w:cs="Times New Roman"/>
          <w:szCs w:val="24"/>
        </w:rPr>
        <w:t xml:space="preserve">o </w:t>
      </w:r>
      <w:r w:rsidR="00D439CF">
        <w:rPr>
          <w:rFonts w:cs="Times New Roman"/>
          <w:szCs w:val="24"/>
        </w:rPr>
        <w:t>[pers. A]</w:t>
      </w:r>
      <w:r w:rsidR="00995DB0" w:rsidRPr="00BE278C">
        <w:rPr>
          <w:rFonts w:cs="Times New Roman"/>
          <w:szCs w:val="24"/>
        </w:rPr>
        <w:t xml:space="preserve"> un </w:t>
      </w:r>
      <w:r w:rsidR="00D439CF">
        <w:rPr>
          <w:rFonts w:cs="Times New Roman"/>
          <w:szCs w:val="24"/>
        </w:rPr>
        <w:t>[pers. B]</w:t>
      </w:r>
      <w:r w:rsidR="00995DB0" w:rsidRPr="00BE278C">
        <w:rPr>
          <w:rFonts w:cs="Times New Roman"/>
          <w:szCs w:val="24"/>
        </w:rPr>
        <w:t xml:space="preserve"> pārstāvja </w:t>
      </w:r>
      <w:r w:rsidR="00A96F94">
        <w:rPr>
          <w:rFonts w:cs="Times New Roman"/>
          <w:szCs w:val="24"/>
        </w:rPr>
        <w:t>[pers. C]</w:t>
      </w:r>
      <w:r w:rsidR="0072510D" w:rsidRPr="00BE278C">
        <w:rPr>
          <w:rFonts w:cs="Times New Roman"/>
          <w:szCs w:val="24"/>
        </w:rPr>
        <w:t xml:space="preserve"> kasācijas sūdzību </w:t>
      </w:r>
      <w:r w:rsidRPr="00BE278C">
        <w:rPr>
          <w:rFonts w:cs="Times New Roman"/>
          <w:szCs w:val="24"/>
        </w:rPr>
        <w:t>pa</w:t>
      </w:r>
      <w:r w:rsidR="00995DB0" w:rsidRPr="00BE278C">
        <w:rPr>
          <w:rFonts w:cs="Times New Roman"/>
          <w:szCs w:val="24"/>
        </w:rPr>
        <w:t>r Zemgales</w:t>
      </w:r>
      <w:r w:rsidR="00E77D3E" w:rsidRPr="00BE278C">
        <w:rPr>
          <w:rFonts w:cs="Times New Roman"/>
          <w:szCs w:val="24"/>
        </w:rPr>
        <w:t xml:space="preserve"> </w:t>
      </w:r>
      <w:r w:rsidR="005738CD" w:rsidRPr="00BE278C">
        <w:rPr>
          <w:rFonts w:cs="Times New Roman"/>
          <w:szCs w:val="24"/>
        </w:rPr>
        <w:t>apgabaltiesas</w:t>
      </w:r>
      <w:r w:rsidR="00C80940" w:rsidRPr="00BE278C">
        <w:rPr>
          <w:rFonts w:cs="Times New Roman"/>
          <w:szCs w:val="24"/>
        </w:rPr>
        <w:t xml:space="preserve"> </w:t>
      </w:r>
      <w:proofErr w:type="gramStart"/>
      <w:r w:rsidR="00C80940" w:rsidRPr="00BE278C">
        <w:rPr>
          <w:rFonts w:cs="Times New Roman"/>
          <w:szCs w:val="24"/>
        </w:rPr>
        <w:t>20</w:t>
      </w:r>
      <w:r w:rsidR="005469B7" w:rsidRPr="00BE278C">
        <w:rPr>
          <w:rFonts w:cs="Times New Roman"/>
          <w:szCs w:val="24"/>
        </w:rPr>
        <w:t>2</w:t>
      </w:r>
      <w:r w:rsidR="00BA30E3" w:rsidRPr="00BE278C">
        <w:rPr>
          <w:rFonts w:cs="Times New Roman"/>
          <w:szCs w:val="24"/>
        </w:rPr>
        <w:t>0</w:t>
      </w:r>
      <w:r w:rsidR="00C80940" w:rsidRPr="00BE278C">
        <w:rPr>
          <w:rFonts w:cs="Times New Roman"/>
          <w:szCs w:val="24"/>
        </w:rPr>
        <w:t>.gada</w:t>
      </w:r>
      <w:proofErr w:type="gramEnd"/>
      <w:r w:rsidR="00C80940" w:rsidRPr="00BE278C">
        <w:rPr>
          <w:rFonts w:cs="Times New Roman"/>
          <w:szCs w:val="24"/>
        </w:rPr>
        <w:t xml:space="preserve"> </w:t>
      </w:r>
      <w:r w:rsidR="00BA30E3" w:rsidRPr="00BE278C">
        <w:rPr>
          <w:rFonts w:cs="Times New Roman"/>
          <w:szCs w:val="24"/>
        </w:rPr>
        <w:t>2</w:t>
      </w:r>
      <w:r w:rsidR="00995DB0" w:rsidRPr="00BE278C">
        <w:rPr>
          <w:rFonts w:cs="Times New Roman"/>
          <w:szCs w:val="24"/>
        </w:rPr>
        <w:t>9.septembra spriedumu</w:t>
      </w:r>
      <w:r w:rsidR="005469B7" w:rsidRPr="00BE278C">
        <w:rPr>
          <w:rFonts w:cs="Times New Roman"/>
          <w:szCs w:val="24"/>
        </w:rPr>
        <w:t>.</w:t>
      </w:r>
    </w:p>
    <w:p w14:paraId="42E1D7C8" w14:textId="77777777" w:rsidR="005469B7" w:rsidRPr="00BE278C" w:rsidRDefault="005469B7" w:rsidP="00B36C7E">
      <w:pPr>
        <w:spacing w:after="0"/>
        <w:rPr>
          <w:rFonts w:cs="Times New Roman"/>
          <w:szCs w:val="24"/>
        </w:rPr>
      </w:pPr>
    </w:p>
    <w:p w14:paraId="6D1FE22E" w14:textId="77777777" w:rsidR="00424471" w:rsidRPr="00BE278C" w:rsidRDefault="00424471" w:rsidP="000D684C">
      <w:pPr>
        <w:spacing w:after="0"/>
        <w:jc w:val="center"/>
        <w:rPr>
          <w:rFonts w:cs="Times New Roman"/>
          <w:b/>
        </w:rPr>
      </w:pPr>
      <w:r w:rsidRPr="00BE278C">
        <w:rPr>
          <w:rFonts w:cs="Times New Roman"/>
          <w:b/>
        </w:rPr>
        <w:t>Aprakstošā daļa</w:t>
      </w:r>
    </w:p>
    <w:p w14:paraId="72365D8C" w14:textId="77777777" w:rsidR="005738CD" w:rsidRPr="00BE278C" w:rsidRDefault="005738CD" w:rsidP="005738CD">
      <w:pPr>
        <w:spacing w:line="276" w:lineRule="auto"/>
        <w:contextualSpacing/>
        <w:rPr>
          <w:rFonts w:cs="Times New Roman"/>
          <w:szCs w:val="24"/>
        </w:rPr>
      </w:pPr>
    </w:p>
    <w:p w14:paraId="27511684" w14:textId="178F24E4" w:rsidR="005738CD" w:rsidRPr="00BE278C" w:rsidRDefault="000D684C" w:rsidP="005738CD">
      <w:pPr>
        <w:spacing w:after="0" w:line="276" w:lineRule="auto"/>
        <w:ind w:firstLine="709"/>
        <w:jc w:val="both"/>
        <w:rPr>
          <w:rFonts w:eastAsia="Calibri" w:cs="Times New Roman"/>
          <w:szCs w:val="24"/>
          <w:lang w:eastAsia="lv-LV"/>
        </w:rPr>
      </w:pPr>
      <w:r w:rsidRPr="00BE278C">
        <w:rPr>
          <w:rFonts w:eastAsia="Calibri" w:cs="Times New Roman"/>
          <w:szCs w:val="24"/>
        </w:rPr>
        <w:t>[1] </w:t>
      </w:r>
      <w:r w:rsidR="005738CD" w:rsidRPr="00BE278C">
        <w:rPr>
          <w:rFonts w:eastAsia="Calibri" w:cs="Times New Roman"/>
          <w:szCs w:val="24"/>
          <w:lang w:eastAsia="lv-LV"/>
        </w:rPr>
        <w:t xml:space="preserve">Ar </w:t>
      </w:r>
      <w:bookmarkStart w:id="1" w:name="_Hlk85639188"/>
      <w:r w:rsidR="00995DB0" w:rsidRPr="00BE278C">
        <w:rPr>
          <w:rFonts w:eastAsia="Calibri" w:cs="Times New Roman"/>
          <w:szCs w:val="24"/>
          <w:lang w:eastAsia="lv-LV"/>
        </w:rPr>
        <w:t xml:space="preserve">Zemgales rajona </w:t>
      </w:r>
      <w:r w:rsidR="005738CD" w:rsidRPr="00BE278C">
        <w:rPr>
          <w:rFonts w:eastAsia="Calibri" w:cs="Times New Roman"/>
          <w:szCs w:val="24"/>
          <w:lang w:eastAsia="lv-LV"/>
        </w:rPr>
        <w:t xml:space="preserve">tiesas </w:t>
      </w:r>
      <w:proofErr w:type="gramStart"/>
      <w:r w:rsidR="00BA30E3" w:rsidRPr="00BE278C">
        <w:rPr>
          <w:rFonts w:eastAsia="Calibri" w:cs="Times New Roman"/>
          <w:szCs w:val="24"/>
          <w:lang w:eastAsia="lv-LV"/>
        </w:rPr>
        <w:t>2020</w:t>
      </w:r>
      <w:r w:rsidR="005738CD" w:rsidRPr="00BE278C">
        <w:rPr>
          <w:rFonts w:eastAsia="Calibri" w:cs="Times New Roman"/>
          <w:szCs w:val="24"/>
          <w:lang w:eastAsia="lv-LV"/>
        </w:rPr>
        <w:t>.gada</w:t>
      </w:r>
      <w:proofErr w:type="gramEnd"/>
      <w:r w:rsidR="005738CD" w:rsidRPr="00BE278C">
        <w:rPr>
          <w:rFonts w:eastAsia="Calibri" w:cs="Times New Roman"/>
          <w:szCs w:val="24"/>
          <w:lang w:eastAsia="lv-LV"/>
        </w:rPr>
        <w:t xml:space="preserve"> </w:t>
      </w:r>
      <w:r w:rsidR="00535B1B" w:rsidRPr="00BE278C">
        <w:rPr>
          <w:rFonts w:eastAsia="Calibri" w:cs="Times New Roman"/>
          <w:szCs w:val="24"/>
          <w:lang w:eastAsia="lv-LV"/>
        </w:rPr>
        <w:t>3.marta</w:t>
      </w:r>
      <w:r w:rsidR="005738CD" w:rsidRPr="00BE278C">
        <w:rPr>
          <w:rFonts w:eastAsia="Calibri" w:cs="Times New Roman"/>
          <w:szCs w:val="24"/>
          <w:lang w:eastAsia="lv-LV"/>
        </w:rPr>
        <w:t xml:space="preserve"> spriedumu</w:t>
      </w:r>
      <w:bookmarkEnd w:id="1"/>
    </w:p>
    <w:p w14:paraId="6CD99287" w14:textId="6E0A864E" w:rsidR="005738CD" w:rsidRPr="00BE278C" w:rsidRDefault="00A96F94" w:rsidP="005738CD">
      <w:pPr>
        <w:spacing w:after="0" w:line="276" w:lineRule="auto"/>
        <w:ind w:firstLine="709"/>
        <w:jc w:val="both"/>
        <w:rPr>
          <w:rFonts w:eastAsia="Calibri" w:cs="Times New Roman"/>
          <w:szCs w:val="24"/>
        </w:rPr>
      </w:pPr>
      <w:r>
        <w:rPr>
          <w:rFonts w:eastAsia="Calibri" w:cs="Times New Roman"/>
          <w:szCs w:val="24"/>
        </w:rPr>
        <w:t>[pers. D]</w:t>
      </w:r>
      <w:r w:rsidR="005738CD" w:rsidRPr="00BE278C">
        <w:rPr>
          <w:rFonts w:eastAsia="Calibri" w:cs="Times New Roman"/>
          <w:szCs w:val="24"/>
        </w:rPr>
        <w:t xml:space="preserve">, personas kods </w:t>
      </w:r>
      <w:r>
        <w:rPr>
          <w:rFonts w:eastAsia="Calibri" w:cs="Times New Roman"/>
          <w:szCs w:val="24"/>
        </w:rPr>
        <w:t>[..]</w:t>
      </w:r>
      <w:r w:rsidR="005738CD" w:rsidRPr="00BE278C">
        <w:rPr>
          <w:rFonts w:eastAsia="Calibri" w:cs="Times New Roman"/>
          <w:szCs w:val="24"/>
        </w:rPr>
        <w:t>,</w:t>
      </w:r>
    </w:p>
    <w:p w14:paraId="01D146E0" w14:textId="6FE0DAE8" w:rsidR="00BA30E3" w:rsidRPr="00BE278C" w:rsidRDefault="005738CD" w:rsidP="00535B1B">
      <w:pPr>
        <w:spacing w:after="0" w:line="276" w:lineRule="auto"/>
        <w:ind w:firstLine="709"/>
        <w:jc w:val="both"/>
        <w:rPr>
          <w:rFonts w:eastAsia="Calibri" w:cs="Times New Roman"/>
          <w:szCs w:val="24"/>
        </w:rPr>
      </w:pPr>
      <w:r w:rsidRPr="00BE278C">
        <w:rPr>
          <w:rFonts w:eastAsia="Calibri" w:cs="Times New Roman"/>
          <w:szCs w:val="24"/>
        </w:rPr>
        <w:t>atzīt</w:t>
      </w:r>
      <w:r w:rsidR="00BA30E3" w:rsidRPr="00BE278C">
        <w:rPr>
          <w:rFonts w:eastAsia="Calibri" w:cs="Times New Roman"/>
          <w:szCs w:val="24"/>
        </w:rPr>
        <w:t>a</w:t>
      </w:r>
      <w:r w:rsidRPr="00BE278C">
        <w:rPr>
          <w:rFonts w:eastAsia="Calibri" w:cs="Times New Roman"/>
          <w:szCs w:val="24"/>
        </w:rPr>
        <w:t xml:space="preserve"> par </w:t>
      </w:r>
      <w:r w:rsidR="00535B1B" w:rsidRPr="00BE278C">
        <w:rPr>
          <w:rFonts w:eastAsia="Calibri" w:cs="Times New Roman"/>
          <w:szCs w:val="24"/>
        </w:rPr>
        <w:t>ne</w:t>
      </w:r>
      <w:r w:rsidRPr="00BE278C">
        <w:rPr>
          <w:rFonts w:eastAsia="Calibri" w:cs="Times New Roman"/>
          <w:szCs w:val="24"/>
        </w:rPr>
        <w:t>vainīgu</w:t>
      </w:r>
      <w:r w:rsidR="00535B1B" w:rsidRPr="00BE278C">
        <w:rPr>
          <w:rFonts w:eastAsia="Calibri" w:cs="Times New Roman"/>
          <w:szCs w:val="24"/>
        </w:rPr>
        <w:t xml:space="preserve"> pret viņu celtajā apsūdzībā pēc Krimināllikuma </w:t>
      </w:r>
      <w:proofErr w:type="gramStart"/>
      <w:r w:rsidR="00535B1B" w:rsidRPr="00BE278C">
        <w:rPr>
          <w:rFonts w:eastAsia="Calibri" w:cs="Times New Roman"/>
          <w:szCs w:val="24"/>
        </w:rPr>
        <w:t>138.panta</w:t>
      </w:r>
      <w:proofErr w:type="gramEnd"/>
      <w:r w:rsidR="00535B1B" w:rsidRPr="00BE278C">
        <w:rPr>
          <w:rFonts w:eastAsia="Calibri" w:cs="Times New Roman"/>
          <w:szCs w:val="24"/>
        </w:rPr>
        <w:t xml:space="preserve"> otrās daļas un attaisnota.</w:t>
      </w:r>
      <w:r w:rsidRPr="00BE278C">
        <w:rPr>
          <w:rFonts w:eastAsia="Calibri" w:cs="Times New Roman"/>
          <w:szCs w:val="24"/>
        </w:rPr>
        <w:t xml:space="preserve"> </w:t>
      </w:r>
    </w:p>
    <w:p w14:paraId="03A4B77C" w14:textId="3EB273AD" w:rsidR="00535B1B" w:rsidRPr="00BE278C" w:rsidRDefault="00A96F94" w:rsidP="00535B1B">
      <w:pPr>
        <w:spacing w:after="0" w:line="276" w:lineRule="auto"/>
        <w:ind w:firstLine="709"/>
        <w:jc w:val="both"/>
        <w:rPr>
          <w:rFonts w:eastAsia="Calibri" w:cs="Times New Roman"/>
          <w:szCs w:val="24"/>
        </w:rPr>
      </w:pPr>
      <w:r>
        <w:rPr>
          <w:rFonts w:eastAsia="Calibri" w:cs="Times New Roman"/>
          <w:szCs w:val="24"/>
        </w:rPr>
        <w:t>[Pers. D]</w:t>
      </w:r>
      <w:r w:rsidR="00535B1B" w:rsidRPr="00BE278C">
        <w:rPr>
          <w:rFonts w:eastAsia="Calibri" w:cs="Times New Roman"/>
          <w:szCs w:val="24"/>
        </w:rPr>
        <w:t xml:space="preserve"> piemērotais drošības līdzeklis – uzturēšanās noteiktā vietā – atcelts.</w:t>
      </w:r>
    </w:p>
    <w:p w14:paraId="22200D7B" w14:textId="25E8563B" w:rsidR="00535B1B" w:rsidRPr="00BE278C" w:rsidRDefault="00804950" w:rsidP="00535B1B">
      <w:pPr>
        <w:spacing w:after="0" w:line="276" w:lineRule="auto"/>
        <w:ind w:firstLine="709"/>
        <w:jc w:val="both"/>
        <w:rPr>
          <w:rFonts w:eastAsia="Calibri" w:cs="Times New Roman"/>
          <w:szCs w:val="24"/>
        </w:rPr>
      </w:pPr>
      <w:r w:rsidRPr="00BE278C">
        <w:rPr>
          <w:rFonts w:eastAsia="Calibri" w:cs="Times New Roman"/>
          <w:szCs w:val="24"/>
        </w:rPr>
        <w:t xml:space="preserve">Cietušās </w:t>
      </w:r>
      <w:r w:rsidR="00A96F94">
        <w:rPr>
          <w:rFonts w:eastAsia="Calibri" w:cs="Times New Roman"/>
          <w:szCs w:val="24"/>
        </w:rPr>
        <w:t>[pers. A]</w:t>
      </w:r>
      <w:r w:rsidRPr="00BE278C">
        <w:rPr>
          <w:rFonts w:eastAsia="Calibri" w:cs="Times New Roman"/>
          <w:szCs w:val="24"/>
        </w:rPr>
        <w:t xml:space="preserve"> kaitējuma kompensācijas pieteikums atstāts bez izskatīšanas.</w:t>
      </w:r>
    </w:p>
    <w:p w14:paraId="04A6402D" w14:textId="2D0BAA32" w:rsidR="0050552D" w:rsidRPr="00BE278C" w:rsidRDefault="0050552D" w:rsidP="005738CD">
      <w:pPr>
        <w:spacing w:after="0" w:line="276" w:lineRule="auto"/>
        <w:ind w:firstLine="709"/>
        <w:jc w:val="both"/>
        <w:rPr>
          <w:rFonts w:eastAsia="Calibri" w:cs="Times New Roman"/>
          <w:szCs w:val="24"/>
        </w:rPr>
      </w:pPr>
    </w:p>
    <w:p w14:paraId="7BACA342" w14:textId="7300406F" w:rsidR="00AB2D3D" w:rsidRPr="00BE278C" w:rsidRDefault="00AB2D3D" w:rsidP="00562E39">
      <w:pPr>
        <w:autoSpaceDE w:val="0"/>
        <w:autoSpaceDN w:val="0"/>
        <w:adjustRightInd w:val="0"/>
        <w:spacing w:after="0" w:line="276" w:lineRule="auto"/>
        <w:ind w:firstLine="709"/>
        <w:jc w:val="both"/>
        <w:rPr>
          <w:rFonts w:eastAsia="Calibri" w:cs="Times New Roman"/>
          <w:szCs w:val="24"/>
          <w:lang w:eastAsia="lv-LV"/>
        </w:rPr>
      </w:pPr>
      <w:r w:rsidRPr="00BE278C">
        <w:rPr>
          <w:rFonts w:eastAsia="Calibri" w:cs="Times New Roman"/>
          <w:szCs w:val="24"/>
        </w:rPr>
        <w:t>[2</w:t>
      </w:r>
      <w:r w:rsidR="000D684C" w:rsidRPr="00BE278C">
        <w:rPr>
          <w:rFonts w:eastAsia="Calibri" w:cs="Times New Roman"/>
          <w:szCs w:val="24"/>
        </w:rPr>
        <w:t>] </w:t>
      </w:r>
      <w:r w:rsidR="00A96F94">
        <w:rPr>
          <w:rFonts w:eastAsia="Calibri" w:cs="Times New Roman"/>
          <w:szCs w:val="24"/>
        </w:rPr>
        <w:t>[Pers. D]</w:t>
      </w:r>
      <w:r w:rsidR="0037618F" w:rsidRPr="00BE278C">
        <w:rPr>
          <w:rFonts w:eastAsia="Calibri" w:cs="Times New Roman"/>
          <w:szCs w:val="24"/>
        </w:rPr>
        <w:t xml:space="preserve"> tika celta apsūdzība pēc Krimināllikuma </w:t>
      </w:r>
      <w:proofErr w:type="gramStart"/>
      <w:r w:rsidR="0037618F" w:rsidRPr="00BE278C">
        <w:rPr>
          <w:rFonts w:eastAsia="Calibri" w:cs="Times New Roman"/>
          <w:szCs w:val="24"/>
        </w:rPr>
        <w:t>138.panta</w:t>
      </w:r>
      <w:proofErr w:type="gramEnd"/>
      <w:r w:rsidR="0037618F" w:rsidRPr="00BE278C">
        <w:rPr>
          <w:rFonts w:eastAsia="Calibri" w:cs="Times New Roman"/>
          <w:szCs w:val="24"/>
        </w:rPr>
        <w:t xml:space="preserve"> otrās daļas par to, ka viņa nolaidīgi pildīja ārstniecības personas profesionālos pienākumus, un šis nodarījums vainīgā neuzmanības dēļ bija par iemeslu cietušā nāvei.</w:t>
      </w:r>
    </w:p>
    <w:p w14:paraId="338D0925" w14:textId="77777777" w:rsidR="00AB2D3D" w:rsidRPr="00BE278C" w:rsidRDefault="00AB2D3D" w:rsidP="005738CD">
      <w:pPr>
        <w:spacing w:after="0" w:line="276" w:lineRule="auto"/>
        <w:ind w:firstLine="709"/>
        <w:jc w:val="both"/>
        <w:rPr>
          <w:rFonts w:eastAsia="Calibri" w:cs="Times New Roman"/>
          <w:szCs w:val="24"/>
        </w:rPr>
      </w:pPr>
    </w:p>
    <w:p w14:paraId="1C15A8BE" w14:textId="1FDAB125" w:rsidR="005738CD" w:rsidRPr="00BE278C" w:rsidRDefault="005738CD" w:rsidP="0050552D">
      <w:pPr>
        <w:autoSpaceDE w:val="0"/>
        <w:autoSpaceDN w:val="0"/>
        <w:adjustRightInd w:val="0"/>
        <w:spacing w:after="0" w:line="276" w:lineRule="auto"/>
        <w:ind w:firstLine="709"/>
        <w:jc w:val="both"/>
        <w:rPr>
          <w:rFonts w:eastAsia="Calibri" w:cs="Times New Roman"/>
          <w:szCs w:val="24"/>
        </w:rPr>
      </w:pPr>
      <w:r w:rsidRPr="00BE278C">
        <w:rPr>
          <w:rFonts w:eastAsia="Calibri" w:cs="Times New Roman"/>
          <w:szCs w:val="24"/>
          <w:lang w:eastAsia="lv-LV"/>
        </w:rPr>
        <w:t>[</w:t>
      </w:r>
      <w:r w:rsidR="00AB2D3D" w:rsidRPr="00BE278C">
        <w:rPr>
          <w:rFonts w:eastAsia="Calibri" w:cs="Times New Roman"/>
          <w:szCs w:val="24"/>
          <w:lang w:eastAsia="lv-LV"/>
        </w:rPr>
        <w:t>3</w:t>
      </w:r>
      <w:r w:rsidR="000D684C" w:rsidRPr="00BE278C">
        <w:rPr>
          <w:rFonts w:eastAsia="Calibri" w:cs="Times New Roman"/>
          <w:szCs w:val="24"/>
          <w:lang w:eastAsia="lv-LV"/>
        </w:rPr>
        <w:t>] </w:t>
      </w:r>
      <w:r w:rsidRPr="00BE278C">
        <w:rPr>
          <w:rFonts w:eastAsia="Calibri" w:cs="Times New Roman"/>
          <w:szCs w:val="24"/>
          <w:lang w:eastAsia="lv-LV"/>
        </w:rPr>
        <w:t xml:space="preserve">Ar </w:t>
      </w:r>
      <w:r w:rsidR="0037618F" w:rsidRPr="00BE278C">
        <w:rPr>
          <w:rFonts w:eastAsia="Calibri" w:cs="Times New Roman"/>
          <w:szCs w:val="24"/>
          <w:lang w:eastAsia="lv-LV"/>
        </w:rPr>
        <w:t>Zemgales</w:t>
      </w:r>
      <w:r w:rsidRPr="00BE278C">
        <w:rPr>
          <w:rFonts w:eastAsia="Calibri" w:cs="Times New Roman"/>
          <w:szCs w:val="24"/>
          <w:lang w:eastAsia="lv-LV"/>
        </w:rPr>
        <w:t xml:space="preserve"> </w:t>
      </w:r>
      <w:r w:rsidR="0050552D" w:rsidRPr="00BE278C">
        <w:rPr>
          <w:rFonts w:eastAsia="Calibri" w:cs="Times New Roman"/>
          <w:szCs w:val="24"/>
          <w:lang w:eastAsia="lv-LV"/>
        </w:rPr>
        <w:t>apgabal</w:t>
      </w:r>
      <w:r w:rsidRPr="00BE278C">
        <w:rPr>
          <w:rFonts w:eastAsia="Calibri" w:cs="Times New Roman"/>
          <w:szCs w:val="24"/>
          <w:lang w:eastAsia="lv-LV"/>
        </w:rPr>
        <w:t xml:space="preserve">tiesas </w:t>
      </w:r>
      <w:proofErr w:type="gramStart"/>
      <w:r w:rsidRPr="00BE278C">
        <w:rPr>
          <w:rFonts w:eastAsia="Calibri" w:cs="Times New Roman"/>
          <w:szCs w:val="24"/>
          <w:lang w:eastAsia="lv-LV"/>
        </w:rPr>
        <w:t>20</w:t>
      </w:r>
      <w:r w:rsidR="0050552D" w:rsidRPr="00BE278C">
        <w:rPr>
          <w:rFonts w:eastAsia="Calibri" w:cs="Times New Roman"/>
          <w:szCs w:val="24"/>
          <w:lang w:eastAsia="lv-LV"/>
        </w:rPr>
        <w:t>2</w:t>
      </w:r>
      <w:r w:rsidR="00DB2B97" w:rsidRPr="00BE278C">
        <w:rPr>
          <w:rFonts w:eastAsia="Calibri" w:cs="Times New Roman"/>
          <w:szCs w:val="24"/>
          <w:lang w:eastAsia="lv-LV"/>
        </w:rPr>
        <w:t>0</w:t>
      </w:r>
      <w:r w:rsidRPr="00BE278C">
        <w:rPr>
          <w:rFonts w:eastAsia="Calibri" w:cs="Times New Roman"/>
          <w:szCs w:val="24"/>
          <w:lang w:eastAsia="lv-LV"/>
        </w:rPr>
        <w:t>.gada</w:t>
      </w:r>
      <w:proofErr w:type="gramEnd"/>
      <w:r w:rsidRPr="00BE278C">
        <w:rPr>
          <w:rFonts w:eastAsia="Calibri" w:cs="Times New Roman"/>
          <w:szCs w:val="24"/>
          <w:lang w:eastAsia="lv-LV"/>
        </w:rPr>
        <w:t xml:space="preserve"> </w:t>
      </w:r>
      <w:r w:rsidR="00DB2B97" w:rsidRPr="00BE278C">
        <w:rPr>
          <w:rFonts w:eastAsia="Calibri" w:cs="Times New Roman"/>
          <w:szCs w:val="24"/>
          <w:lang w:eastAsia="lv-LV"/>
        </w:rPr>
        <w:t>2</w:t>
      </w:r>
      <w:r w:rsidR="0037618F" w:rsidRPr="00BE278C">
        <w:rPr>
          <w:rFonts w:eastAsia="Calibri" w:cs="Times New Roman"/>
          <w:szCs w:val="24"/>
          <w:lang w:eastAsia="lv-LV"/>
        </w:rPr>
        <w:t>9.septembra spriedumu</w:t>
      </w:r>
      <w:r w:rsidR="006D2ADB" w:rsidRPr="00BE278C">
        <w:rPr>
          <w:rFonts w:eastAsia="Calibri" w:cs="Times New Roman"/>
          <w:szCs w:val="24"/>
          <w:lang w:eastAsia="lv-LV"/>
        </w:rPr>
        <w:t xml:space="preserve">, iztiesājot lietu apelācijas kārtībā sakarā ar </w:t>
      </w:r>
      <w:r w:rsidR="0037618F" w:rsidRPr="00BE278C">
        <w:rPr>
          <w:rFonts w:eastAsia="Calibri" w:cs="Times New Roman"/>
          <w:szCs w:val="24"/>
          <w:lang w:eastAsia="lv-LV"/>
        </w:rPr>
        <w:t>Zemgales</w:t>
      </w:r>
      <w:r w:rsidR="006D2ADB" w:rsidRPr="00BE278C">
        <w:rPr>
          <w:rFonts w:eastAsia="Calibri" w:cs="Times New Roman"/>
          <w:szCs w:val="24"/>
          <w:lang w:eastAsia="lv-LV"/>
        </w:rPr>
        <w:t xml:space="preserve"> tiesas apgabala prokuratūras prokuror</w:t>
      </w:r>
      <w:r w:rsidR="0037618F" w:rsidRPr="00BE278C">
        <w:rPr>
          <w:rFonts w:eastAsia="Calibri" w:cs="Times New Roman"/>
          <w:szCs w:val="24"/>
          <w:lang w:eastAsia="lv-LV"/>
        </w:rPr>
        <w:t>a A.</w:t>
      </w:r>
      <w:r w:rsidR="000D684C" w:rsidRPr="00BE278C">
        <w:rPr>
          <w:rFonts w:eastAsia="Calibri" w:cs="Times New Roman"/>
          <w:szCs w:val="24"/>
          <w:lang w:eastAsia="lv-LV"/>
        </w:rPr>
        <w:t> </w:t>
      </w:r>
      <w:r w:rsidR="0037618F" w:rsidRPr="00BE278C">
        <w:rPr>
          <w:rFonts w:eastAsia="Calibri" w:cs="Times New Roman"/>
          <w:szCs w:val="24"/>
          <w:lang w:eastAsia="lv-LV"/>
        </w:rPr>
        <w:t>Egles</w:t>
      </w:r>
      <w:r w:rsidR="006D2ADB" w:rsidRPr="00BE278C">
        <w:rPr>
          <w:rFonts w:eastAsia="Calibri" w:cs="Times New Roman"/>
          <w:szCs w:val="24"/>
          <w:lang w:eastAsia="lv-LV"/>
        </w:rPr>
        <w:t xml:space="preserve"> apelācijas protestu un cietuš</w:t>
      </w:r>
      <w:r w:rsidR="002311CD" w:rsidRPr="00BE278C">
        <w:rPr>
          <w:rFonts w:eastAsia="Calibri" w:cs="Times New Roman"/>
          <w:szCs w:val="24"/>
          <w:lang w:eastAsia="lv-LV"/>
        </w:rPr>
        <w:t xml:space="preserve">o </w:t>
      </w:r>
      <w:r w:rsidR="00A96F94">
        <w:rPr>
          <w:rFonts w:eastAsia="Calibri" w:cs="Times New Roman"/>
          <w:szCs w:val="24"/>
          <w:lang w:eastAsia="lv-LV"/>
        </w:rPr>
        <w:t>[pers. </w:t>
      </w:r>
      <w:r w:rsidR="00A96F94">
        <w:t>A]</w:t>
      </w:r>
      <w:r w:rsidR="002311CD" w:rsidRPr="00BE278C">
        <w:rPr>
          <w:rFonts w:eastAsia="Calibri" w:cs="Times New Roman"/>
          <w:szCs w:val="24"/>
          <w:lang w:eastAsia="lv-LV"/>
        </w:rPr>
        <w:t xml:space="preserve"> un </w:t>
      </w:r>
      <w:r w:rsidR="00A96F94">
        <w:rPr>
          <w:rFonts w:eastAsia="Calibri" w:cs="Times New Roman"/>
          <w:szCs w:val="24"/>
          <w:lang w:eastAsia="lv-LV"/>
        </w:rPr>
        <w:t>[pers. B]</w:t>
      </w:r>
      <w:r w:rsidR="002311CD" w:rsidRPr="00BE278C">
        <w:rPr>
          <w:rFonts w:eastAsia="Calibri" w:cs="Times New Roman"/>
          <w:szCs w:val="24"/>
          <w:lang w:eastAsia="lv-LV"/>
        </w:rPr>
        <w:t xml:space="preserve"> pārstāvja </w:t>
      </w:r>
      <w:r w:rsidR="00A96F94">
        <w:rPr>
          <w:rFonts w:eastAsia="Calibri" w:cs="Times New Roman"/>
          <w:szCs w:val="24"/>
          <w:lang w:eastAsia="lv-LV"/>
        </w:rPr>
        <w:t>[pers. C]</w:t>
      </w:r>
      <w:r w:rsidR="002311CD" w:rsidRPr="00BE278C">
        <w:rPr>
          <w:rFonts w:eastAsia="Calibri" w:cs="Times New Roman"/>
          <w:szCs w:val="24"/>
          <w:lang w:eastAsia="lv-LV"/>
        </w:rPr>
        <w:t xml:space="preserve"> </w:t>
      </w:r>
      <w:r w:rsidR="006D2ADB" w:rsidRPr="00BE278C">
        <w:rPr>
          <w:rFonts w:eastAsia="Calibri" w:cs="Times New Roman"/>
          <w:szCs w:val="24"/>
          <w:lang w:eastAsia="lv-LV"/>
        </w:rPr>
        <w:t>apelācijas sūdzībām,</w:t>
      </w:r>
      <w:r w:rsidRPr="00BE278C">
        <w:rPr>
          <w:rFonts w:eastAsia="Calibri" w:cs="Times New Roman"/>
          <w:szCs w:val="24"/>
        </w:rPr>
        <w:t xml:space="preserve"> </w:t>
      </w:r>
      <w:r w:rsidR="002311CD" w:rsidRPr="00BE278C">
        <w:rPr>
          <w:rFonts w:eastAsia="Calibri" w:cs="Times New Roman"/>
          <w:szCs w:val="24"/>
        </w:rPr>
        <w:t>Zemgales</w:t>
      </w:r>
      <w:r w:rsidR="00DB2B97" w:rsidRPr="00BE278C">
        <w:rPr>
          <w:rFonts w:eastAsia="Calibri" w:cs="Times New Roman"/>
          <w:szCs w:val="24"/>
        </w:rPr>
        <w:t xml:space="preserve"> </w:t>
      </w:r>
      <w:r w:rsidR="002311CD" w:rsidRPr="00BE278C">
        <w:rPr>
          <w:rFonts w:eastAsia="Calibri" w:cs="Times New Roman"/>
          <w:szCs w:val="24"/>
        </w:rPr>
        <w:t>rajona</w:t>
      </w:r>
      <w:r w:rsidR="00DB2B97" w:rsidRPr="00BE278C">
        <w:rPr>
          <w:rFonts w:eastAsia="Calibri" w:cs="Times New Roman"/>
          <w:szCs w:val="24"/>
        </w:rPr>
        <w:t xml:space="preserve"> tiesas 2020.gada </w:t>
      </w:r>
      <w:r w:rsidR="002311CD" w:rsidRPr="00BE278C">
        <w:rPr>
          <w:rFonts w:eastAsia="Calibri" w:cs="Times New Roman"/>
          <w:szCs w:val="24"/>
        </w:rPr>
        <w:t>3.marta</w:t>
      </w:r>
      <w:r w:rsidR="00DB2B97" w:rsidRPr="00BE278C">
        <w:rPr>
          <w:rFonts w:eastAsia="Calibri" w:cs="Times New Roman"/>
          <w:szCs w:val="24"/>
        </w:rPr>
        <w:t xml:space="preserve"> spriedums atcelts</w:t>
      </w:r>
      <w:r w:rsidR="002311CD" w:rsidRPr="00BE278C">
        <w:rPr>
          <w:rFonts w:eastAsia="Calibri" w:cs="Times New Roman"/>
          <w:szCs w:val="24"/>
        </w:rPr>
        <w:t>.</w:t>
      </w:r>
    </w:p>
    <w:p w14:paraId="62203C52" w14:textId="2EDBAF2B" w:rsidR="00DB2B97" w:rsidRPr="00BE278C" w:rsidRDefault="00A96F94" w:rsidP="0050552D">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[Pers. D]</w:t>
      </w:r>
      <w:r w:rsidR="002311CD" w:rsidRPr="00BE278C">
        <w:rPr>
          <w:rFonts w:eastAsia="Calibri" w:cs="Times New Roman"/>
          <w:szCs w:val="24"/>
        </w:rPr>
        <w:t xml:space="preserve"> atzīta par nevainīgu pret viņu celtajā apsūdzībā pēc Krimināllikuma </w:t>
      </w:r>
      <w:proofErr w:type="gramStart"/>
      <w:r w:rsidR="002311CD" w:rsidRPr="00BE278C">
        <w:rPr>
          <w:rFonts w:eastAsia="Calibri" w:cs="Times New Roman"/>
          <w:szCs w:val="24"/>
        </w:rPr>
        <w:t>138.panta</w:t>
      </w:r>
      <w:proofErr w:type="gramEnd"/>
      <w:r w:rsidR="002311CD" w:rsidRPr="00BE278C">
        <w:rPr>
          <w:rFonts w:eastAsia="Calibri" w:cs="Times New Roman"/>
          <w:szCs w:val="24"/>
        </w:rPr>
        <w:t xml:space="preserve"> otrās daļas un attaisnota.</w:t>
      </w:r>
    </w:p>
    <w:p w14:paraId="7091444F" w14:textId="712C288E" w:rsidR="002311CD" w:rsidRPr="00BE278C" w:rsidRDefault="00A96F94" w:rsidP="002311CD">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[Pers. D]</w:t>
      </w:r>
      <w:r w:rsidR="002311CD" w:rsidRPr="00BE278C">
        <w:rPr>
          <w:rFonts w:eastAsia="Calibri" w:cs="Times New Roman"/>
          <w:szCs w:val="24"/>
        </w:rPr>
        <w:t xml:space="preserve"> piemērotais drošības līdzeklis – uzturēšanās noteiktā vietā – atcelts.</w:t>
      </w:r>
    </w:p>
    <w:p w14:paraId="6397C615" w14:textId="071A512C" w:rsidR="002311CD" w:rsidRPr="00BE278C" w:rsidRDefault="002311CD" w:rsidP="002311CD">
      <w:pPr>
        <w:autoSpaceDE w:val="0"/>
        <w:autoSpaceDN w:val="0"/>
        <w:adjustRightInd w:val="0"/>
        <w:spacing w:after="0" w:line="276" w:lineRule="auto"/>
        <w:ind w:firstLine="709"/>
        <w:jc w:val="both"/>
        <w:rPr>
          <w:rFonts w:eastAsia="Calibri" w:cs="Times New Roman"/>
          <w:szCs w:val="24"/>
        </w:rPr>
      </w:pPr>
      <w:r w:rsidRPr="00BE278C">
        <w:rPr>
          <w:rFonts w:eastAsia="Calibri" w:cs="Times New Roman"/>
          <w:szCs w:val="24"/>
        </w:rPr>
        <w:t xml:space="preserve">Cietušās </w:t>
      </w:r>
      <w:r w:rsidR="00A96F94">
        <w:rPr>
          <w:rFonts w:eastAsia="Calibri" w:cs="Times New Roman"/>
          <w:szCs w:val="24"/>
        </w:rPr>
        <w:t>[pers. A]</w:t>
      </w:r>
      <w:r w:rsidRPr="00BE278C">
        <w:rPr>
          <w:rFonts w:eastAsia="Calibri" w:cs="Times New Roman"/>
          <w:szCs w:val="24"/>
        </w:rPr>
        <w:t xml:space="preserve"> kaitējuma kompensācijas pieteikums atstāts bez izskatīšanas.</w:t>
      </w:r>
    </w:p>
    <w:p w14:paraId="75FA6092" w14:textId="2157BE52" w:rsidR="0050552D" w:rsidRPr="00BE278C" w:rsidRDefault="0050552D" w:rsidP="0050552D">
      <w:pPr>
        <w:autoSpaceDE w:val="0"/>
        <w:autoSpaceDN w:val="0"/>
        <w:adjustRightInd w:val="0"/>
        <w:spacing w:after="0" w:line="276" w:lineRule="auto"/>
        <w:ind w:firstLine="709"/>
        <w:jc w:val="both"/>
        <w:rPr>
          <w:rFonts w:eastAsia="Calibri" w:cs="Times New Roman"/>
          <w:szCs w:val="24"/>
        </w:rPr>
      </w:pPr>
    </w:p>
    <w:p w14:paraId="2813B376" w14:textId="2DF06262" w:rsidR="00B552E6" w:rsidRPr="00BE278C" w:rsidRDefault="0050552D" w:rsidP="00B552E6">
      <w:pPr>
        <w:autoSpaceDE w:val="0"/>
        <w:autoSpaceDN w:val="0"/>
        <w:adjustRightInd w:val="0"/>
        <w:spacing w:after="0" w:line="276" w:lineRule="auto"/>
        <w:ind w:firstLine="709"/>
        <w:jc w:val="both"/>
        <w:rPr>
          <w:rFonts w:eastAsia="Calibri" w:cs="Times New Roman"/>
          <w:szCs w:val="24"/>
        </w:rPr>
      </w:pPr>
      <w:r w:rsidRPr="00BE278C">
        <w:rPr>
          <w:rFonts w:eastAsia="Calibri" w:cs="Times New Roman"/>
          <w:szCs w:val="24"/>
        </w:rPr>
        <w:t>[</w:t>
      </w:r>
      <w:r w:rsidR="00D03804" w:rsidRPr="00BE278C">
        <w:rPr>
          <w:rFonts w:eastAsia="Calibri" w:cs="Times New Roman"/>
          <w:szCs w:val="24"/>
        </w:rPr>
        <w:t>4</w:t>
      </w:r>
      <w:r w:rsidRPr="00BE278C">
        <w:rPr>
          <w:rFonts w:eastAsia="Calibri" w:cs="Times New Roman"/>
          <w:szCs w:val="24"/>
        </w:rPr>
        <w:t>]</w:t>
      </w:r>
      <w:bookmarkStart w:id="2" w:name="_Hlk39745825"/>
      <w:r w:rsidR="000D684C" w:rsidRPr="00BE278C">
        <w:rPr>
          <w:rFonts w:eastAsia="Calibri" w:cs="Times New Roman"/>
          <w:szCs w:val="24"/>
        </w:rPr>
        <w:t> </w:t>
      </w:r>
      <w:r w:rsidR="00B5460D" w:rsidRPr="00BE278C">
        <w:rPr>
          <w:rFonts w:cs="Times New Roman"/>
          <w:szCs w:val="24"/>
        </w:rPr>
        <w:t xml:space="preserve">Par </w:t>
      </w:r>
      <w:r w:rsidR="00202986" w:rsidRPr="00BE278C">
        <w:rPr>
          <w:rFonts w:cs="Times New Roman"/>
          <w:szCs w:val="24"/>
        </w:rPr>
        <w:t xml:space="preserve">Zemgales </w:t>
      </w:r>
      <w:r w:rsidR="00B5460D" w:rsidRPr="00BE278C">
        <w:rPr>
          <w:rFonts w:cs="Times New Roman"/>
          <w:szCs w:val="24"/>
        </w:rPr>
        <w:t xml:space="preserve">apgabaltiesas </w:t>
      </w:r>
      <w:proofErr w:type="gramStart"/>
      <w:r w:rsidR="00B5460D" w:rsidRPr="00BE278C">
        <w:rPr>
          <w:rFonts w:cs="Times New Roman"/>
          <w:szCs w:val="24"/>
        </w:rPr>
        <w:t>2020.gada</w:t>
      </w:r>
      <w:proofErr w:type="gramEnd"/>
      <w:r w:rsidR="00B5460D" w:rsidRPr="00BE278C">
        <w:rPr>
          <w:rFonts w:cs="Times New Roman"/>
          <w:szCs w:val="24"/>
        </w:rPr>
        <w:t xml:space="preserve"> 2</w:t>
      </w:r>
      <w:r w:rsidR="00202986" w:rsidRPr="00BE278C">
        <w:rPr>
          <w:rFonts w:cs="Times New Roman"/>
          <w:szCs w:val="24"/>
        </w:rPr>
        <w:t>9.septembra spriedumu</w:t>
      </w:r>
      <w:r w:rsidR="00B5460D" w:rsidRPr="00BE278C">
        <w:rPr>
          <w:rFonts w:cs="Times New Roman"/>
          <w:szCs w:val="24"/>
        </w:rPr>
        <w:t xml:space="preserve"> </w:t>
      </w:r>
      <w:r w:rsidR="00202986" w:rsidRPr="00BE278C">
        <w:rPr>
          <w:rFonts w:cs="Times New Roman"/>
          <w:szCs w:val="24"/>
        </w:rPr>
        <w:t>Zemgales</w:t>
      </w:r>
      <w:r w:rsidR="00B5460D" w:rsidRPr="00BE278C">
        <w:rPr>
          <w:rFonts w:cs="Times New Roman"/>
          <w:szCs w:val="24"/>
        </w:rPr>
        <w:t xml:space="preserve"> tiesas apgabala prokuratūras prokurors </w:t>
      </w:r>
      <w:r w:rsidR="00202986" w:rsidRPr="00BE278C">
        <w:rPr>
          <w:rFonts w:cs="Times New Roman"/>
          <w:szCs w:val="24"/>
        </w:rPr>
        <w:t>A.</w:t>
      </w:r>
      <w:r w:rsidR="00B552E6" w:rsidRPr="00BE278C">
        <w:rPr>
          <w:rFonts w:cs="Times New Roman"/>
          <w:szCs w:val="24"/>
        </w:rPr>
        <w:t> </w:t>
      </w:r>
      <w:r w:rsidR="00202986" w:rsidRPr="00BE278C">
        <w:rPr>
          <w:rFonts w:cs="Times New Roman"/>
          <w:szCs w:val="24"/>
        </w:rPr>
        <w:t>Egle</w:t>
      </w:r>
      <w:r w:rsidR="00B5460D" w:rsidRPr="00BE278C">
        <w:rPr>
          <w:rFonts w:eastAsia="Calibri" w:cs="Times New Roman"/>
          <w:szCs w:val="24"/>
        </w:rPr>
        <w:t xml:space="preserve"> </w:t>
      </w:r>
      <w:bookmarkEnd w:id="2"/>
      <w:r w:rsidR="00B5460D" w:rsidRPr="00BE278C">
        <w:rPr>
          <w:rFonts w:eastAsia="Calibri" w:cs="Times New Roman"/>
          <w:szCs w:val="24"/>
        </w:rPr>
        <w:t>iesniedzis kasācijas protestu,</w:t>
      </w:r>
      <w:r w:rsidR="00202986" w:rsidRPr="00BE278C">
        <w:rPr>
          <w:rFonts w:eastAsia="Calibri" w:cs="Times New Roman"/>
          <w:szCs w:val="24"/>
        </w:rPr>
        <w:t xml:space="preserve"> bet cietušo </w:t>
      </w:r>
      <w:r w:rsidR="00A96F94">
        <w:rPr>
          <w:rFonts w:eastAsia="Calibri" w:cs="Times New Roman"/>
          <w:szCs w:val="24"/>
        </w:rPr>
        <w:t>[pers. A]</w:t>
      </w:r>
      <w:r w:rsidR="00202986" w:rsidRPr="00BE278C">
        <w:rPr>
          <w:rFonts w:eastAsia="Calibri" w:cs="Times New Roman"/>
          <w:szCs w:val="24"/>
        </w:rPr>
        <w:t xml:space="preserve"> un </w:t>
      </w:r>
      <w:r w:rsidR="00A96F94">
        <w:rPr>
          <w:rFonts w:eastAsia="Calibri" w:cs="Times New Roman"/>
          <w:szCs w:val="24"/>
        </w:rPr>
        <w:t>[pers. B]</w:t>
      </w:r>
      <w:r w:rsidR="00202986" w:rsidRPr="00BE278C">
        <w:rPr>
          <w:rFonts w:eastAsia="Calibri" w:cs="Times New Roman"/>
          <w:szCs w:val="24"/>
        </w:rPr>
        <w:t xml:space="preserve"> pārstāvis </w:t>
      </w:r>
      <w:r w:rsidR="00A96F94">
        <w:rPr>
          <w:rFonts w:eastAsia="Calibri" w:cs="Times New Roman"/>
          <w:szCs w:val="24"/>
        </w:rPr>
        <w:t>[pers. </w:t>
      </w:r>
      <w:r w:rsidR="00A96F94">
        <w:t>C]</w:t>
      </w:r>
      <w:r w:rsidR="00202986" w:rsidRPr="00BE278C">
        <w:rPr>
          <w:rFonts w:eastAsia="Calibri" w:cs="Times New Roman"/>
          <w:szCs w:val="24"/>
        </w:rPr>
        <w:t xml:space="preserve"> – kasācijas sūdzību. </w:t>
      </w:r>
    </w:p>
    <w:p w14:paraId="6744C2BE" w14:textId="33484D50" w:rsidR="00B552E6" w:rsidRPr="00BE278C" w:rsidRDefault="00B552E6" w:rsidP="00B552E6">
      <w:pPr>
        <w:autoSpaceDE w:val="0"/>
        <w:autoSpaceDN w:val="0"/>
        <w:adjustRightInd w:val="0"/>
        <w:spacing w:after="0" w:line="276" w:lineRule="auto"/>
        <w:ind w:firstLine="709"/>
        <w:jc w:val="both"/>
        <w:rPr>
          <w:rFonts w:eastAsia="Calibri" w:cs="Times New Roman"/>
          <w:szCs w:val="24"/>
        </w:rPr>
      </w:pPr>
      <w:r w:rsidRPr="00BE278C">
        <w:rPr>
          <w:rFonts w:eastAsia="Calibri" w:cs="Times New Roman"/>
          <w:szCs w:val="24"/>
        </w:rPr>
        <w:lastRenderedPageBreak/>
        <w:t>[4.1] </w:t>
      </w:r>
      <w:r w:rsidR="00202986" w:rsidRPr="00BE278C">
        <w:rPr>
          <w:rFonts w:eastAsia="Calibri" w:cs="Times New Roman"/>
          <w:szCs w:val="24"/>
        </w:rPr>
        <w:t>Prokurors A.</w:t>
      </w:r>
      <w:r w:rsidRPr="00BE278C">
        <w:rPr>
          <w:rFonts w:eastAsia="Calibri" w:cs="Times New Roman"/>
          <w:szCs w:val="24"/>
        </w:rPr>
        <w:t> </w:t>
      </w:r>
      <w:r w:rsidR="00202986" w:rsidRPr="00BE278C">
        <w:rPr>
          <w:rFonts w:eastAsia="Calibri" w:cs="Times New Roman"/>
          <w:szCs w:val="24"/>
        </w:rPr>
        <w:t xml:space="preserve">Egle kasācijas protestā </w:t>
      </w:r>
      <w:r w:rsidR="00B5460D" w:rsidRPr="00BE278C">
        <w:rPr>
          <w:rFonts w:eastAsia="Calibri" w:cs="Times New Roman"/>
          <w:szCs w:val="24"/>
        </w:rPr>
        <w:t xml:space="preserve">lūdz atcelt </w:t>
      </w:r>
      <w:r w:rsidR="00202986" w:rsidRPr="00BE278C">
        <w:rPr>
          <w:rFonts w:eastAsia="Calibri" w:cs="Times New Roman"/>
          <w:szCs w:val="24"/>
        </w:rPr>
        <w:t xml:space="preserve">apelācijas </w:t>
      </w:r>
      <w:r w:rsidRPr="00BE278C">
        <w:rPr>
          <w:rFonts w:eastAsia="Calibri" w:cs="Times New Roman"/>
          <w:szCs w:val="24"/>
        </w:rPr>
        <w:t xml:space="preserve">instances </w:t>
      </w:r>
      <w:r w:rsidR="00B5460D" w:rsidRPr="00BE278C">
        <w:rPr>
          <w:rFonts w:eastAsia="Calibri" w:cs="Times New Roman"/>
          <w:szCs w:val="24"/>
        </w:rPr>
        <w:t xml:space="preserve">tiesas </w:t>
      </w:r>
      <w:r w:rsidR="004C52B4" w:rsidRPr="00BE278C">
        <w:rPr>
          <w:rFonts w:eastAsia="Calibri" w:cs="Times New Roman"/>
          <w:szCs w:val="24"/>
        </w:rPr>
        <w:t>spriedumu pilnībā</w:t>
      </w:r>
      <w:r w:rsidR="00B5460D" w:rsidRPr="00BE278C">
        <w:rPr>
          <w:rFonts w:eastAsia="Calibri" w:cs="Times New Roman"/>
          <w:szCs w:val="24"/>
        </w:rPr>
        <w:t xml:space="preserve"> un nosūtīt lietu jaunai izskatīšanai apelācijas instances tiesā</w:t>
      </w:r>
      <w:r w:rsidR="000040C7" w:rsidRPr="00BE278C">
        <w:rPr>
          <w:rFonts w:eastAsia="Calibri" w:cs="Times New Roman"/>
          <w:szCs w:val="24"/>
        </w:rPr>
        <w:t xml:space="preserve">, norādot, ka apelācijas instances tiesa nav izvērtējusi lietā iegūtos pierādījumus atbilstoši Kriminālprocesa likuma </w:t>
      </w:r>
      <w:proofErr w:type="gramStart"/>
      <w:r w:rsidR="000040C7" w:rsidRPr="00BE278C">
        <w:rPr>
          <w:rFonts w:eastAsia="Calibri" w:cs="Times New Roman"/>
          <w:szCs w:val="24"/>
        </w:rPr>
        <w:t>128.panta</w:t>
      </w:r>
      <w:proofErr w:type="gramEnd"/>
      <w:r w:rsidR="000040C7" w:rsidRPr="00BE278C">
        <w:rPr>
          <w:rFonts w:eastAsia="Calibri" w:cs="Times New Roman"/>
          <w:szCs w:val="24"/>
        </w:rPr>
        <w:t xml:space="preserve"> otrās daļas prasībām to kopumā un savstarpējā sakarībā un līdz ar to nepamatoti atzinusi, ka apsūdzētās </w:t>
      </w:r>
      <w:r w:rsidR="00A96F94">
        <w:rPr>
          <w:rFonts w:eastAsia="Calibri" w:cs="Times New Roman"/>
          <w:szCs w:val="24"/>
        </w:rPr>
        <w:t>[pers. D]</w:t>
      </w:r>
      <w:r w:rsidR="000040C7" w:rsidRPr="00BE278C">
        <w:rPr>
          <w:rFonts w:eastAsia="Calibri" w:cs="Times New Roman"/>
          <w:szCs w:val="24"/>
        </w:rPr>
        <w:t xml:space="preserve"> nodarījumā nav viņai inkriminētā noziedzīgā nodarījuma subjektīvās un objektīvās puses.</w:t>
      </w:r>
      <w:r w:rsidRPr="00BE278C">
        <w:rPr>
          <w:rFonts w:eastAsia="Calibri" w:cs="Times New Roman"/>
          <w:szCs w:val="24"/>
        </w:rPr>
        <w:t xml:space="preserve"> </w:t>
      </w:r>
    </w:p>
    <w:p w14:paraId="042C9B7A" w14:textId="5D7B4A41" w:rsidR="00B552E6" w:rsidRPr="00BE278C" w:rsidRDefault="00B552E6" w:rsidP="00B552E6">
      <w:pPr>
        <w:autoSpaceDE w:val="0"/>
        <w:autoSpaceDN w:val="0"/>
        <w:adjustRightInd w:val="0"/>
        <w:spacing w:after="0" w:line="276" w:lineRule="auto"/>
        <w:ind w:firstLine="709"/>
        <w:jc w:val="both"/>
        <w:rPr>
          <w:rFonts w:eastAsia="Calibri" w:cs="Times New Roman"/>
          <w:szCs w:val="24"/>
        </w:rPr>
      </w:pPr>
      <w:r w:rsidRPr="00BE278C">
        <w:rPr>
          <w:rFonts w:eastAsia="Calibri" w:cs="Times New Roman"/>
          <w:szCs w:val="24"/>
        </w:rPr>
        <w:t>[4.2] </w:t>
      </w:r>
      <w:r w:rsidR="000040C7" w:rsidRPr="00BE278C">
        <w:rPr>
          <w:rFonts w:eastAsia="Calibri" w:cs="Times New Roman"/>
          <w:szCs w:val="24"/>
        </w:rPr>
        <w:t xml:space="preserve">Cietušo </w:t>
      </w:r>
      <w:r w:rsidR="00A96F94">
        <w:rPr>
          <w:rFonts w:eastAsia="Calibri" w:cs="Times New Roman"/>
          <w:szCs w:val="24"/>
        </w:rPr>
        <w:t>[pers. A]</w:t>
      </w:r>
      <w:r w:rsidR="000040C7" w:rsidRPr="00BE278C">
        <w:rPr>
          <w:rFonts w:eastAsia="Calibri" w:cs="Times New Roman"/>
          <w:szCs w:val="24"/>
        </w:rPr>
        <w:t xml:space="preserve"> un </w:t>
      </w:r>
      <w:r w:rsidR="00A96F94">
        <w:rPr>
          <w:rFonts w:eastAsia="Calibri" w:cs="Times New Roman"/>
          <w:szCs w:val="24"/>
        </w:rPr>
        <w:t>[pers. B]</w:t>
      </w:r>
      <w:r w:rsidR="000040C7" w:rsidRPr="00BE278C">
        <w:rPr>
          <w:rFonts w:eastAsia="Calibri" w:cs="Times New Roman"/>
          <w:szCs w:val="24"/>
        </w:rPr>
        <w:t xml:space="preserve"> pārstāvis </w:t>
      </w:r>
      <w:r w:rsidR="00A96F94">
        <w:rPr>
          <w:rFonts w:eastAsia="Calibri" w:cs="Times New Roman"/>
          <w:szCs w:val="24"/>
        </w:rPr>
        <w:t>[pers. C]</w:t>
      </w:r>
      <w:r w:rsidR="000040C7" w:rsidRPr="00BE278C">
        <w:rPr>
          <w:rFonts w:eastAsia="Calibri" w:cs="Times New Roman"/>
          <w:szCs w:val="24"/>
        </w:rPr>
        <w:t xml:space="preserve"> kasācijas sūdzībā </w:t>
      </w:r>
      <w:r w:rsidR="00404E2F" w:rsidRPr="00BE278C">
        <w:rPr>
          <w:rFonts w:eastAsia="Calibri" w:cs="Times New Roman"/>
          <w:szCs w:val="24"/>
        </w:rPr>
        <w:t xml:space="preserve">lūdz atcelt apelācijas instances tiesas spriedumu pilnībā un nosūtīt lietu jaunai izskatīšanai apelācijas instances tiesā, norādot, ka </w:t>
      </w:r>
      <w:r w:rsidR="00A6607C" w:rsidRPr="00BE278C">
        <w:rPr>
          <w:rFonts w:eastAsia="Calibri" w:cs="Times New Roman"/>
          <w:szCs w:val="24"/>
        </w:rPr>
        <w:t xml:space="preserve">apelācijas instances tiesa nav izvērtējusi lietā iegūtos pierādījumus atbilstoši Kriminālprocesa likuma </w:t>
      </w:r>
      <w:proofErr w:type="gramStart"/>
      <w:r w:rsidR="00A6607C" w:rsidRPr="00BE278C">
        <w:rPr>
          <w:rFonts w:eastAsia="Calibri" w:cs="Times New Roman"/>
          <w:szCs w:val="24"/>
        </w:rPr>
        <w:t>128.panta</w:t>
      </w:r>
      <w:proofErr w:type="gramEnd"/>
      <w:r w:rsidR="00A6607C" w:rsidRPr="00BE278C">
        <w:rPr>
          <w:rFonts w:eastAsia="Calibri" w:cs="Times New Roman"/>
          <w:szCs w:val="24"/>
        </w:rPr>
        <w:t xml:space="preserve"> otrās un trešās daļas prasībām, iepriekš noteiktu</w:t>
      </w:r>
      <w:r w:rsidR="00DD30BD" w:rsidRPr="00BE278C">
        <w:rPr>
          <w:rFonts w:eastAsia="Calibri" w:cs="Times New Roman"/>
          <w:szCs w:val="24"/>
        </w:rPr>
        <w:t xml:space="preserve"> augtāku ticamības pakāpi piešķirot ekspertu atzinumiem un ekspertu liecībām tiesā, kā arī nav motivējusi, kādēļ tā noraida pierādījumus, ar kuriem pamatota apsūdzība, un līdz ar to nepamatoti taisījusi lietā attaisnojošu spriedumu.</w:t>
      </w:r>
      <w:r w:rsidRPr="00BE278C">
        <w:rPr>
          <w:rFonts w:eastAsia="Calibri" w:cs="Times New Roman"/>
          <w:szCs w:val="24"/>
        </w:rPr>
        <w:t xml:space="preserve"> </w:t>
      </w:r>
    </w:p>
    <w:p w14:paraId="676899B2" w14:textId="77777777" w:rsidR="00B552E6" w:rsidRPr="00BE278C" w:rsidRDefault="00B552E6" w:rsidP="00B552E6">
      <w:pPr>
        <w:autoSpaceDE w:val="0"/>
        <w:autoSpaceDN w:val="0"/>
        <w:adjustRightInd w:val="0"/>
        <w:spacing w:after="0" w:line="276" w:lineRule="auto"/>
        <w:ind w:firstLine="709"/>
        <w:jc w:val="both"/>
        <w:rPr>
          <w:rFonts w:eastAsia="Calibri" w:cs="Times New Roman"/>
          <w:szCs w:val="24"/>
        </w:rPr>
      </w:pPr>
    </w:p>
    <w:p w14:paraId="25B11EFA" w14:textId="77777777" w:rsidR="000C7DFE" w:rsidRDefault="00B552E6" w:rsidP="000C7DFE">
      <w:pPr>
        <w:autoSpaceDE w:val="0"/>
        <w:autoSpaceDN w:val="0"/>
        <w:adjustRightInd w:val="0"/>
        <w:spacing w:after="0" w:line="276" w:lineRule="auto"/>
        <w:ind w:firstLine="709"/>
        <w:jc w:val="both"/>
        <w:rPr>
          <w:rFonts w:eastAsia="Calibri" w:cs="Times New Roman"/>
          <w:szCs w:val="24"/>
        </w:rPr>
      </w:pPr>
      <w:r w:rsidRPr="00BE278C">
        <w:rPr>
          <w:rFonts w:eastAsia="Calibri" w:cs="Times New Roman"/>
          <w:szCs w:val="24"/>
        </w:rPr>
        <w:t>[5] </w:t>
      </w:r>
      <w:r w:rsidR="00DD30BD" w:rsidRPr="00BE278C">
        <w:rPr>
          <w:rFonts w:eastAsia="Calibri" w:cs="Times New Roman"/>
          <w:szCs w:val="24"/>
        </w:rPr>
        <w:t xml:space="preserve">Ar Senāta </w:t>
      </w:r>
      <w:proofErr w:type="gramStart"/>
      <w:r w:rsidR="00DD30BD" w:rsidRPr="00BE278C">
        <w:rPr>
          <w:rFonts w:eastAsia="Calibri" w:cs="Times New Roman"/>
          <w:szCs w:val="24"/>
        </w:rPr>
        <w:t>2020.gada</w:t>
      </w:r>
      <w:proofErr w:type="gramEnd"/>
      <w:r w:rsidR="00DD30BD" w:rsidRPr="00BE278C">
        <w:rPr>
          <w:rFonts w:eastAsia="Calibri" w:cs="Times New Roman"/>
          <w:szCs w:val="24"/>
        </w:rPr>
        <w:t xml:space="preserve"> 17.decembra lēmumu lietā ierosināta kasācijas tiesvedība </w:t>
      </w:r>
      <w:r w:rsidR="00B1139C" w:rsidRPr="00BE278C">
        <w:rPr>
          <w:rFonts w:eastAsia="Calibri" w:cs="Times New Roman"/>
          <w:szCs w:val="24"/>
        </w:rPr>
        <w:t>un lietas izskatīšana noteikta rakstveida procesā.</w:t>
      </w:r>
      <w:r w:rsidR="000C7DFE">
        <w:rPr>
          <w:rFonts w:eastAsia="Calibri" w:cs="Times New Roman"/>
          <w:szCs w:val="24"/>
        </w:rPr>
        <w:t xml:space="preserve"> </w:t>
      </w:r>
    </w:p>
    <w:p w14:paraId="2EE60133" w14:textId="77777777" w:rsidR="000C7DFE" w:rsidRDefault="000C7DFE" w:rsidP="000C7DFE">
      <w:pPr>
        <w:autoSpaceDE w:val="0"/>
        <w:autoSpaceDN w:val="0"/>
        <w:adjustRightInd w:val="0"/>
        <w:spacing w:after="0" w:line="276" w:lineRule="auto"/>
        <w:ind w:firstLine="709"/>
        <w:jc w:val="both"/>
        <w:rPr>
          <w:rFonts w:eastAsia="Calibri" w:cs="Times New Roman"/>
          <w:szCs w:val="24"/>
        </w:rPr>
      </w:pPr>
    </w:p>
    <w:p w14:paraId="05774469" w14:textId="6BF8D817" w:rsidR="00B5460D" w:rsidRPr="000C7DFE" w:rsidRDefault="006C3395" w:rsidP="000C7DFE">
      <w:pPr>
        <w:autoSpaceDE w:val="0"/>
        <w:autoSpaceDN w:val="0"/>
        <w:adjustRightInd w:val="0"/>
        <w:spacing w:after="0" w:line="276" w:lineRule="auto"/>
        <w:ind w:firstLine="709"/>
        <w:jc w:val="both"/>
        <w:rPr>
          <w:rFonts w:eastAsia="Calibri" w:cs="Times New Roman"/>
          <w:szCs w:val="24"/>
        </w:rPr>
      </w:pPr>
      <w:r w:rsidRPr="00BE278C">
        <w:rPr>
          <w:rFonts w:eastAsia="Calibri" w:cs="Times New Roman"/>
          <w:szCs w:val="24"/>
        </w:rPr>
        <w:t xml:space="preserve">[6] Atbilstoši Vienotās migrācijas informācijas sistēmas datiem </w:t>
      </w:r>
      <w:r w:rsidR="00950C4B" w:rsidRPr="00BE278C">
        <w:rPr>
          <w:rFonts w:eastAsia="Calibri" w:cs="Times New Roman"/>
          <w:szCs w:val="24"/>
        </w:rPr>
        <w:t xml:space="preserve">apsūdzētā </w:t>
      </w:r>
      <w:r w:rsidR="00A96F94">
        <w:rPr>
          <w:rFonts w:eastAsia="Calibri" w:cs="Times New Roman"/>
          <w:szCs w:val="24"/>
        </w:rPr>
        <w:t>[pers. D]</w:t>
      </w:r>
      <w:r w:rsidR="00950C4B" w:rsidRPr="00BE278C">
        <w:rPr>
          <w:rFonts w:eastAsia="Calibri" w:cs="Times New Roman"/>
          <w:szCs w:val="24"/>
        </w:rPr>
        <w:t xml:space="preserve"> </w:t>
      </w:r>
      <w:proofErr w:type="gramStart"/>
      <w:r w:rsidR="00950C4B" w:rsidRPr="00BE278C">
        <w:rPr>
          <w:rFonts w:eastAsia="Calibri" w:cs="Times New Roman"/>
          <w:szCs w:val="24"/>
        </w:rPr>
        <w:t>2021.gada</w:t>
      </w:r>
      <w:proofErr w:type="gramEnd"/>
      <w:r w:rsidR="00950C4B" w:rsidRPr="00BE278C">
        <w:rPr>
          <w:rFonts w:eastAsia="Calibri" w:cs="Times New Roman"/>
          <w:szCs w:val="24"/>
        </w:rPr>
        <w:t xml:space="preserve"> </w:t>
      </w:r>
      <w:r w:rsidR="00A96F94">
        <w:rPr>
          <w:rFonts w:eastAsia="Calibri" w:cs="Times New Roman"/>
          <w:szCs w:val="24"/>
        </w:rPr>
        <w:t>[..]</w:t>
      </w:r>
      <w:r w:rsidR="00950C4B" w:rsidRPr="00BE278C">
        <w:rPr>
          <w:rFonts w:eastAsia="Calibri" w:cs="Times New Roman"/>
          <w:szCs w:val="24"/>
        </w:rPr>
        <w:t xml:space="preserve"> mirusi.</w:t>
      </w:r>
      <w:r w:rsidR="00A6607C" w:rsidRPr="00BE278C">
        <w:rPr>
          <w:rFonts w:eastAsia="Calibri" w:cs="Times New Roman"/>
          <w:szCs w:val="24"/>
        </w:rPr>
        <w:t xml:space="preserve">  </w:t>
      </w:r>
      <w:r w:rsidR="000040C7" w:rsidRPr="00BE278C">
        <w:rPr>
          <w:rFonts w:eastAsia="Calibri" w:cs="Times New Roman"/>
          <w:szCs w:val="24"/>
        </w:rPr>
        <w:t xml:space="preserve"> </w:t>
      </w:r>
    </w:p>
    <w:p w14:paraId="4B881E3A" w14:textId="030D856E" w:rsidR="00B5460D" w:rsidRPr="00BE278C" w:rsidRDefault="00B5460D" w:rsidP="004C52B4">
      <w:pPr>
        <w:spacing w:after="0" w:line="276" w:lineRule="auto"/>
        <w:jc w:val="both"/>
        <w:rPr>
          <w:rFonts w:eastAsia="Calibri" w:cs="Times New Roman"/>
          <w:szCs w:val="24"/>
        </w:rPr>
      </w:pPr>
    </w:p>
    <w:p w14:paraId="2989F622" w14:textId="0AD83AA8" w:rsidR="00424471" w:rsidRPr="00BE278C" w:rsidRDefault="00424471" w:rsidP="00950C4B">
      <w:pPr>
        <w:spacing w:line="276" w:lineRule="auto"/>
        <w:contextualSpacing/>
        <w:jc w:val="center"/>
        <w:rPr>
          <w:rFonts w:cs="Times New Roman"/>
          <w:b/>
          <w:color w:val="000000" w:themeColor="text1"/>
          <w:szCs w:val="24"/>
        </w:rPr>
      </w:pPr>
      <w:r w:rsidRPr="00BE278C">
        <w:rPr>
          <w:rFonts w:cs="Times New Roman"/>
          <w:b/>
          <w:color w:val="000000" w:themeColor="text1"/>
          <w:szCs w:val="24"/>
        </w:rPr>
        <w:t>Motīvu daļa</w:t>
      </w:r>
    </w:p>
    <w:p w14:paraId="65FE9993" w14:textId="73568A9E" w:rsidR="005738CD" w:rsidRPr="00BE278C" w:rsidRDefault="005738CD" w:rsidP="00A93D59">
      <w:pPr>
        <w:spacing w:line="276" w:lineRule="auto"/>
        <w:contextualSpacing/>
        <w:jc w:val="center"/>
        <w:rPr>
          <w:rFonts w:cs="Times New Roman"/>
          <w:b/>
          <w:color w:val="000000" w:themeColor="text1"/>
          <w:szCs w:val="24"/>
        </w:rPr>
      </w:pPr>
    </w:p>
    <w:p w14:paraId="3062E813" w14:textId="5CAE55A8" w:rsidR="00BE278C" w:rsidRPr="00BE278C" w:rsidRDefault="005738CD" w:rsidP="00BE278C">
      <w:pPr>
        <w:autoSpaceDE w:val="0"/>
        <w:autoSpaceDN w:val="0"/>
        <w:adjustRightInd w:val="0"/>
        <w:spacing w:after="0" w:line="276" w:lineRule="auto"/>
        <w:ind w:firstLine="720"/>
        <w:jc w:val="both"/>
        <w:rPr>
          <w:rFonts w:cs="Times New Roman"/>
          <w:szCs w:val="24"/>
        </w:rPr>
      </w:pPr>
      <w:bookmarkStart w:id="3" w:name="_Hlk39751883"/>
      <w:r w:rsidRPr="00BE278C">
        <w:rPr>
          <w:rFonts w:eastAsia="Calibri" w:cs="Times New Roman"/>
          <w:szCs w:val="24"/>
        </w:rPr>
        <w:t>[</w:t>
      </w:r>
      <w:r w:rsidR="000C7DFE">
        <w:rPr>
          <w:rFonts w:eastAsia="Calibri" w:cs="Times New Roman"/>
          <w:szCs w:val="24"/>
        </w:rPr>
        <w:t>7</w:t>
      </w:r>
      <w:r w:rsidRPr="00BE278C">
        <w:rPr>
          <w:rFonts w:eastAsia="Calibri" w:cs="Times New Roman"/>
          <w:szCs w:val="24"/>
        </w:rPr>
        <w:t>]</w:t>
      </w:r>
      <w:bookmarkEnd w:id="3"/>
      <w:r w:rsidR="006C3395" w:rsidRPr="00BE278C">
        <w:rPr>
          <w:rFonts w:eastAsia="Calibri" w:cs="Times New Roman"/>
          <w:szCs w:val="24"/>
        </w:rPr>
        <w:t> </w:t>
      </w:r>
      <w:r w:rsidRPr="00BE278C">
        <w:rPr>
          <w:rFonts w:eastAsia="Calibri" w:cs="Times New Roman"/>
          <w:szCs w:val="24"/>
        </w:rPr>
        <w:t xml:space="preserve">Senāts atzīst, ka </w:t>
      </w:r>
      <w:r w:rsidR="00950C4B" w:rsidRPr="00BE278C">
        <w:rPr>
          <w:rFonts w:eastAsia="Calibri" w:cs="Times New Roman"/>
          <w:szCs w:val="24"/>
        </w:rPr>
        <w:t>kasācijas tiesvedība lietā izbeidzama.</w:t>
      </w:r>
      <w:r w:rsidR="00BE278C" w:rsidRPr="00BE278C">
        <w:rPr>
          <w:rFonts w:cs="Times New Roman"/>
          <w:szCs w:val="24"/>
        </w:rPr>
        <w:t xml:space="preserve"> </w:t>
      </w:r>
    </w:p>
    <w:p w14:paraId="542835AA" w14:textId="77777777" w:rsidR="00BE278C" w:rsidRPr="00BE278C" w:rsidRDefault="004D02C0" w:rsidP="00BE278C">
      <w:pPr>
        <w:autoSpaceDE w:val="0"/>
        <w:autoSpaceDN w:val="0"/>
        <w:adjustRightInd w:val="0"/>
        <w:spacing w:after="0" w:line="276" w:lineRule="auto"/>
        <w:ind w:firstLine="720"/>
        <w:jc w:val="both"/>
        <w:rPr>
          <w:rFonts w:cs="Times New Roman"/>
          <w:szCs w:val="24"/>
        </w:rPr>
      </w:pPr>
      <w:r w:rsidRPr="00BE278C">
        <w:rPr>
          <w:rFonts w:cs="Times New Roman"/>
          <w:szCs w:val="24"/>
        </w:rPr>
        <w:t xml:space="preserve">Kriminālprocesa likuma </w:t>
      </w:r>
      <w:proofErr w:type="gramStart"/>
      <w:r w:rsidRPr="00BE278C">
        <w:rPr>
          <w:rFonts w:cs="Times New Roman"/>
          <w:szCs w:val="24"/>
        </w:rPr>
        <w:t>377.pantā</w:t>
      </w:r>
      <w:proofErr w:type="gramEnd"/>
      <w:r w:rsidRPr="00BE278C">
        <w:rPr>
          <w:rFonts w:cs="Times New Roman"/>
          <w:szCs w:val="24"/>
        </w:rPr>
        <w:t xml:space="preserve"> norādīti kriminālprocesu nepieļaujošie apstākļi. Šā panta 5.punkts noteic, ka kriminālprocesu nedrīkst uzsākt, bet uzsākts process ir jāizbeidz, ja persona, kura saucama vai saukta pie kriminālatbildības, ir mirusi, izņemot gadījumus, kad process nepieciešams, lai mirušo reabilitētu.</w:t>
      </w:r>
      <w:r w:rsidR="00BE278C" w:rsidRPr="00BE278C">
        <w:rPr>
          <w:rFonts w:cs="Times New Roman"/>
          <w:szCs w:val="24"/>
        </w:rPr>
        <w:t xml:space="preserve"> </w:t>
      </w:r>
    </w:p>
    <w:p w14:paraId="3840D6AB" w14:textId="009280F2" w:rsidR="00BE278C" w:rsidRDefault="00E8108A" w:rsidP="00BE278C">
      <w:pPr>
        <w:autoSpaceDE w:val="0"/>
        <w:autoSpaceDN w:val="0"/>
        <w:adjustRightInd w:val="0"/>
        <w:spacing w:after="0" w:line="276" w:lineRule="auto"/>
        <w:ind w:firstLine="720"/>
        <w:jc w:val="both"/>
        <w:rPr>
          <w:rFonts w:cs="Times New Roman"/>
          <w:szCs w:val="24"/>
        </w:rPr>
      </w:pPr>
      <w:r w:rsidRPr="00BE278C">
        <w:rPr>
          <w:rFonts w:cs="Times New Roman"/>
          <w:szCs w:val="24"/>
        </w:rPr>
        <w:t xml:space="preserve">Personu nereabilitējoši apstākļi norādīti Kriminālprocesa likuma </w:t>
      </w:r>
      <w:proofErr w:type="gramStart"/>
      <w:r w:rsidRPr="00BE278C">
        <w:rPr>
          <w:rFonts w:cs="Times New Roman"/>
          <w:szCs w:val="24"/>
        </w:rPr>
        <w:t>380.pantā</w:t>
      </w:r>
      <w:proofErr w:type="gramEnd"/>
      <w:r w:rsidRPr="00BE278C">
        <w:rPr>
          <w:rFonts w:cs="Times New Roman"/>
          <w:szCs w:val="24"/>
        </w:rPr>
        <w:t>, kas noteic, ka persona netiek reabilitēta, ja kriminālprocesu izbeidz ar lēmumu, kāds paredzēts šā likuma 377.panta 3., 4., 5. un 9.punktā, 379.panta pirmajā un otrajā daļā, 410.panta pirmajā daļā, 415.pantā, 415.</w:t>
      </w:r>
      <w:r w:rsidRPr="00BE278C">
        <w:rPr>
          <w:rFonts w:cs="Times New Roman"/>
          <w:szCs w:val="24"/>
          <w:vertAlign w:val="superscript"/>
        </w:rPr>
        <w:t>1</w:t>
      </w:r>
      <w:r w:rsidRPr="00BE278C">
        <w:rPr>
          <w:rFonts w:cs="Times New Roman"/>
          <w:sz w:val="19"/>
          <w:szCs w:val="19"/>
          <w:vertAlign w:val="superscript"/>
        </w:rPr>
        <w:t xml:space="preserve"> </w:t>
      </w:r>
      <w:r w:rsidRPr="00BE278C">
        <w:rPr>
          <w:rFonts w:cs="Times New Roman"/>
          <w:szCs w:val="24"/>
        </w:rPr>
        <w:t>panta pirmajā daļā, 421.pantā, 605.panta pirmajā daļā, 615.panta trešajā daļā, kā arī notiesājoša sprieduma gadījumā.</w:t>
      </w:r>
      <w:r w:rsidR="00BE278C" w:rsidRPr="00BE278C">
        <w:rPr>
          <w:rFonts w:cs="Times New Roman"/>
          <w:szCs w:val="24"/>
        </w:rPr>
        <w:t xml:space="preserve"> </w:t>
      </w:r>
    </w:p>
    <w:p w14:paraId="0F696B8E" w14:textId="6CB9A7B1" w:rsidR="005752DE" w:rsidRPr="00BE278C" w:rsidRDefault="005752DE" w:rsidP="00BE278C">
      <w:pPr>
        <w:autoSpaceDE w:val="0"/>
        <w:autoSpaceDN w:val="0"/>
        <w:adjustRightInd w:val="0"/>
        <w:spacing w:after="0" w:line="276" w:lineRule="auto"/>
        <w:ind w:firstLine="720"/>
        <w:jc w:val="both"/>
        <w:rPr>
          <w:rFonts w:cs="Times New Roman"/>
          <w:szCs w:val="24"/>
        </w:rPr>
      </w:pPr>
      <w:r>
        <w:rPr>
          <w:rFonts w:cs="Times New Roman"/>
          <w:szCs w:val="24"/>
        </w:rPr>
        <w:t>Attaisnojoša sprieduma taisīšanas gadījumā persona tiek reabilitēta.</w:t>
      </w:r>
    </w:p>
    <w:p w14:paraId="69E55E0B" w14:textId="77777777" w:rsidR="00BE278C" w:rsidRDefault="00122BAC" w:rsidP="00BE278C">
      <w:pPr>
        <w:autoSpaceDE w:val="0"/>
        <w:autoSpaceDN w:val="0"/>
        <w:adjustRightInd w:val="0"/>
        <w:spacing w:after="0" w:line="276" w:lineRule="auto"/>
        <w:ind w:firstLine="720"/>
        <w:jc w:val="both"/>
        <w:rPr>
          <w:rFonts w:cs="Times New Roman"/>
          <w:szCs w:val="24"/>
        </w:rPr>
      </w:pPr>
      <w:r w:rsidRPr="00BE278C">
        <w:rPr>
          <w:rFonts w:cs="Times New Roman"/>
          <w:szCs w:val="24"/>
        </w:rPr>
        <w:t xml:space="preserve">Kriminālprocesa likuma </w:t>
      </w:r>
      <w:proofErr w:type="gramStart"/>
      <w:r w:rsidRPr="00BE278C">
        <w:rPr>
          <w:rFonts w:cs="Times New Roman"/>
          <w:szCs w:val="24"/>
        </w:rPr>
        <w:t>481.pantā</w:t>
      </w:r>
      <w:proofErr w:type="gramEnd"/>
      <w:r w:rsidRPr="00BE278C">
        <w:rPr>
          <w:rFonts w:cs="Times New Roman"/>
          <w:szCs w:val="24"/>
        </w:rPr>
        <w:t xml:space="preserve"> reglamentēta kriminālprocesa izbeigšana tiesas sēdē. </w:t>
      </w:r>
      <w:r w:rsidR="00E8108A" w:rsidRPr="00BE278C">
        <w:rPr>
          <w:rFonts w:cs="Times New Roman"/>
          <w:szCs w:val="24"/>
        </w:rPr>
        <w:t>Šā panta 1.</w:t>
      </w:r>
      <w:r w:rsidR="00E8108A" w:rsidRPr="00BE278C">
        <w:rPr>
          <w:rFonts w:cs="Times New Roman"/>
          <w:szCs w:val="24"/>
          <w:vertAlign w:val="superscript"/>
        </w:rPr>
        <w:t xml:space="preserve">1 </w:t>
      </w:r>
      <w:r w:rsidR="00E8108A" w:rsidRPr="00BE278C">
        <w:rPr>
          <w:rFonts w:cs="Times New Roman"/>
          <w:szCs w:val="24"/>
        </w:rPr>
        <w:t xml:space="preserve">daļa noteic: ja </w:t>
      </w:r>
      <w:r w:rsidR="00C87412" w:rsidRPr="00BE278C">
        <w:rPr>
          <w:rFonts w:cs="Times New Roman"/>
          <w:szCs w:val="24"/>
        </w:rPr>
        <w:t>apsūdzētais ir miris lietas izskatīšanas laikā pirmās instances tiesā, lietas izskatīšanu turpina tikai tad, ja viena mēneša laikā pēc apsūdzētā nāves ir saņemts mirušā tuvinieka pieteikums par kriminālprocesa turpināšanu mirušā reabilitācijai. Lietas izskatīšana tiek turpināta vispārējā kārtībā. Personai, kura</w:t>
      </w:r>
      <w:r w:rsidRPr="00BE278C">
        <w:rPr>
          <w:rFonts w:cs="Times New Roman"/>
          <w:szCs w:val="24"/>
        </w:rPr>
        <w:t xml:space="preserve"> </w:t>
      </w:r>
      <w:r w:rsidR="00C87412" w:rsidRPr="00BE278C">
        <w:rPr>
          <w:rFonts w:cs="Times New Roman"/>
          <w:szCs w:val="24"/>
        </w:rPr>
        <w:t>pieprasījusi procesa turpināšanu, ir tiesības pārsūdzēt pirmās instances un apelācijas instances tiesas</w:t>
      </w:r>
      <w:r w:rsidRPr="00BE278C">
        <w:rPr>
          <w:rFonts w:cs="Times New Roman"/>
          <w:szCs w:val="24"/>
        </w:rPr>
        <w:t xml:space="preserve"> </w:t>
      </w:r>
      <w:r w:rsidR="00C87412" w:rsidRPr="00BE278C">
        <w:rPr>
          <w:rFonts w:cs="Times New Roman"/>
          <w:szCs w:val="24"/>
        </w:rPr>
        <w:t>lēmumu.</w:t>
      </w:r>
      <w:r w:rsidR="00BE278C">
        <w:rPr>
          <w:rFonts w:cs="Times New Roman"/>
          <w:szCs w:val="24"/>
        </w:rPr>
        <w:t xml:space="preserve"> </w:t>
      </w:r>
    </w:p>
    <w:p w14:paraId="24788D67" w14:textId="77777777" w:rsidR="00BE278C" w:rsidRDefault="00C87412" w:rsidP="00BE278C">
      <w:pPr>
        <w:autoSpaceDE w:val="0"/>
        <w:autoSpaceDN w:val="0"/>
        <w:adjustRightInd w:val="0"/>
        <w:spacing w:after="0" w:line="276" w:lineRule="auto"/>
        <w:ind w:firstLine="720"/>
        <w:jc w:val="both"/>
        <w:rPr>
          <w:rFonts w:cs="Times New Roman"/>
          <w:szCs w:val="24"/>
        </w:rPr>
      </w:pPr>
      <w:r w:rsidRPr="00BE278C">
        <w:rPr>
          <w:rFonts w:cs="Times New Roman"/>
          <w:szCs w:val="24"/>
        </w:rPr>
        <w:t xml:space="preserve">Savukārt Kriminālprocesa likuma </w:t>
      </w:r>
      <w:proofErr w:type="gramStart"/>
      <w:r w:rsidRPr="00BE278C">
        <w:rPr>
          <w:rFonts w:cs="Times New Roman"/>
          <w:szCs w:val="24"/>
        </w:rPr>
        <w:t>560.panta</w:t>
      </w:r>
      <w:proofErr w:type="gramEnd"/>
      <w:r w:rsidRPr="00BE278C">
        <w:rPr>
          <w:rFonts w:cs="Times New Roman"/>
          <w:szCs w:val="24"/>
        </w:rPr>
        <w:t xml:space="preserve"> ceturtā daļa noteic, ka gadījumā, ja apsūdzētais,</w:t>
      </w:r>
      <w:r w:rsidR="00122BAC" w:rsidRPr="00BE278C">
        <w:rPr>
          <w:rFonts w:cs="Times New Roman"/>
          <w:szCs w:val="24"/>
        </w:rPr>
        <w:t xml:space="preserve"> </w:t>
      </w:r>
      <w:r w:rsidRPr="00BE278C">
        <w:rPr>
          <w:rFonts w:cs="Times New Roman"/>
          <w:szCs w:val="24"/>
        </w:rPr>
        <w:t>kurš savā apelācijas sūdzībā ir apstrīdējis savu vainu noziedzīga nodarījuma izdarīšanā vai</w:t>
      </w:r>
      <w:r w:rsidR="00122BAC" w:rsidRPr="00BE278C">
        <w:rPr>
          <w:rFonts w:cs="Times New Roman"/>
          <w:szCs w:val="24"/>
        </w:rPr>
        <w:t xml:space="preserve"> </w:t>
      </w:r>
      <w:r w:rsidRPr="00BE278C">
        <w:rPr>
          <w:rFonts w:cs="Times New Roman"/>
          <w:szCs w:val="24"/>
        </w:rPr>
        <w:t>nodarījuma faktiskos apstākļus, ir miris, viņa sūdzība ir jāizskata.</w:t>
      </w:r>
      <w:r w:rsidR="00BE278C">
        <w:rPr>
          <w:rFonts w:cs="Times New Roman"/>
          <w:szCs w:val="24"/>
        </w:rPr>
        <w:t xml:space="preserve"> </w:t>
      </w:r>
    </w:p>
    <w:p w14:paraId="742AEC63" w14:textId="77777777" w:rsidR="00CD1DAA" w:rsidRDefault="008A2AA6" w:rsidP="00CD1DAA">
      <w:pPr>
        <w:autoSpaceDE w:val="0"/>
        <w:autoSpaceDN w:val="0"/>
        <w:adjustRightInd w:val="0"/>
        <w:spacing w:after="0" w:line="276" w:lineRule="auto"/>
        <w:ind w:firstLine="720"/>
        <w:jc w:val="both"/>
        <w:rPr>
          <w:rFonts w:cs="Times New Roman"/>
          <w:szCs w:val="24"/>
        </w:rPr>
      </w:pPr>
      <w:r w:rsidRPr="00BE278C">
        <w:rPr>
          <w:rFonts w:cs="Times New Roman"/>
        </w:rPr>
        <w:t xml:space="preserve">No Kriminālprocesa likuma </w:t>
      </w:r>
      <w:proofErr w:type="gramStart"/>
      <w:r w:rsidRPr="00BE278C">
        <w:rPr>
          <w:rFonts w:cs="Times New Roman"/>
        </w:rPr>
        <w:t>377.panta</w:t>
      </w:r>
      <w:proofErr w:type="gramEnd"/>
      <w:r w:rsidRPr="00BE278C">
        <w:rPr>
          <w:rFonts w:cs="Times New Roman"/>
        </w:rPr>
        <w:t xml:space="preserve"> 5.punktā ietvertā nosacījuma, to aplūkojot sistēmiski ar Kriminālprocesa likuma 481.panta 1.</w:t>
      </w:r>
      <w:r w:rsidRPr="00BE278C">
        <w:rPr>
          <w:rFonts w:cs="Times New Roman"/>
          <w:vertAlign w:val="superscript"/>
        </w:rPr>
        <w:t xml:space="preserve">1 </w:t>
      </w:r>
      <w:r w:rsidRPr="00BE278C">
        <w:rPr>
          <w:rFonts w:cs="Times New Roman"/>
        </w:rPr>
        <w:t xml:space="preserve">daļā un 560.panta ceturtajā daļā noteikto, izriet, ka </w:t>
      </w:r>
      <w:r w:rsidR="005C608A" w:rsidRPr="00BE278C">
        <w:rPr>
          <w:rFonts w:cs="Times New Roman"/>
          <w:szCs w:val="24"/>
        </w:rPr>
        <w:t>lietas izskatīšana tiesā, ja apsūdzētais ir miris, pieļaujama tikai tajos gadījumos, kad process nepieciešams, lai mirušo reabilitētu.</w:t>
      </w:r>
      <w:r w:rsidR="00953B5E" w:rsidRPr="00BE278C">
        <w:rPr>
          <w:rFonts w:cs="Times New Roman"/>
          <w:szCs w:val="24"/>
        </w:rPr>
        <w:t xml:space="preserve"> Analoģisku secinājumu, interpretējot minētās </w:t>
      </w:r>
      <w:r w:rsidR="00953B5E" w:rsidRPr="00BE278C">
        <w:rPr>
          <w:rFonts w:cs="Times New Roman"/>
          <w:szCs w:val="24"/>
        </w:rPr>
        <w:lastRenderedPageBreak/>
        <w:t>tiesību normas,</w:t>
      </w:r>
      <w:r w:rsidR="00BE278C">
        <w:rPr>
          <w:rFonts w:cs="Times New Roman"/>
          <w:szCs w:val="24"/>
        </w:rPr>
        <w:t xml:space="preserve"> Senāts paudis 2015.gada 30.oktobra lēmumā lietā Nr. </w:t>
      </w:r>
      <w:r w:rsidR="00953B5E" w:rsidRPr="00BE278C">
        <w:rPr>
          <w:rFonts w:cs="Times New Roman"/>
          <w:szCs w:val="24"/>
        </w:rPr>
        <w:t>SKK-425/2015</w:t>
      </w:r>
      <w:r w:rsidR="00BE278C">
        <w:rPr>
          <w:rFonts w:cs="Times New Roman"/>
          <w:szCs w:val="24"/>
        </w:rPr>
        <w:t xml:space="preserve"> (</w:t>
      </w:r>
      <w:r w:rsidR="00BE278C">
        <w:rPr>
          <w:rFonts w:cs="Times New Roman"/>
          <w:i/>
          <w:szCs w:val="24"/>
        </w:rPr>
        <w:t>Augstākās tiesas 2015.gada 30.oktobra lēmums lietā Nr. SKK-425/2015 (</w:t>
      </w:r>
      <w:r w:rsidR="00BE278C" w:rsidRPr="00BE278C">
        <w:rPr>
          <w:rFonts w:cs="Times New Roman"/>
          <w:i/>
          <w:szCs w:val="24"/>
        </w:rPr>
        <w:t>11351035608</w:t>
      </w:r>
      <w:r w:rsidR="00BE278C">
        <w:rPr>
          <w:rFonts w:cs="Times New Roman"/>
          <w:i/>
          <w:szCs w:val="24"/>
        </w:rPr>
        <w:t>)</w:t>
      </w:r>
      <w:r w:rsidR="00BE278C">
        <w:rPr>
          <w:rFonts w:cs="Times New Roman"/>
          <w:szCs w:val="24"/>
        </w:rPr>
        <w:t>)</w:t>
      </w:r>
      <w:r w:rsidR="00953B5E" w:rsidRPr="00BE278C">
        <w:rPr>
          <w:rFonts w:cs="Times New Roman"/>
          <w:szCs w:val="24"/>
        </w:rPr>
        <w:t>.</w:t>
      </w:r>
      <w:r w:rsidR="00CD1DAA">
        <w:rPr>
          <w:rFonts w:cs="Times New Roman"/>
          <w:szCs w:val="24"/>
        </w:rPr>
        <w:t xml:space="preserve"> </w:t>
      </w:r>
    </w:p>
    <w:p w14:paraId="68026D5C" w14:textId="7495CD7A" w:rsidR="00CD1DAA" w:rsidRDefault="005F6D80" w:rsidP="00CD1DAA">
      <w:pPr>
        <w:autoSpaceDE w:val="0"/>
        <w:autoSpaceDN w:val="0"/>
        <w:adjustRightInd w:val="0"/>
        <w:spacing w:after="0" w:line="276" w:lineRule="auto"/>
        <w:ind w:firstLine="720"/>
        <w:jc w:val="both"/>
        <w:rPr>
          <w:rFonts w:cs="Times New Roman"/>
        </w:rPr>
      </w:pPr>
      <w:r w:rsidRPr="00BE278C">
        <w:rPr>
          <w:rFonts w:cs="Times New Roman"/>
        </w:rPr>
        <w:t xml:space="preserve">Ievērojot to, ka </w:t>
      </w:r>
      <w:proofErr w:type="gramStart"/>
      <w:r w:rsidRPr="00BE278C">
        <w:rPr>
          <w:rFonts w:cs="Times New Roman"/>
        </w:rPr>
        <w:t>abu zemāko instanču</w:t>
      </w:r>
      <w:proofErr w:type="gramEnd"/>
      <w:r w:rsidRPr="00BE278C">
        <w:rPr>
          <w:rFonts w:cs="Times New Roman"/>
        </w:rPr>
        <w:t xml:space="preserve"> tiesas taisījušas lietā attaisnojošus spriedumus, </w:t>
      </w:r>
      <w:r w:rsidR="005752DE">
        <w:rPr>
          <w:rFonts w:cs="Times New Roman"/>
        </w:rPr>
        <w:t xml:space="preserve">ar kuriem apsūdzētā ir </w:t>
      </w:r>
      <w:r w:rsidRPr="00BE278C">
        <w:rPr>
          <w:rFonts w:cs="Times New Roman"/>
        </w:rPr>
        <w:t>reabilitēta, Senāts atzīst, ka lietas izskatīšanas turpināšana</w:t>
      </w:r>
      <w:r w:rsidR="00BA2BA9" w:rsidRPr="00BE278C">
        <w:rPr>
          <w:rFonts w:cs="Times New Roman"/>
        </w:rPr>
        <w:t>i</w:t>
      </w:r>
      <w:r w:rsidRPr="00BE278C">
        <w:rPr>
          <w:rFonts w:cs="Times New Roman"/>
        </w:rPr>
        <w:t xml:space="preserve"> pret </w:t>
      </w:r>
      <w:r w:rsidR="00BA2BA9" w:rsidRPr="00BE278C">
        <w:rPr>
          <w:rFonts w:cs="Times New Roman"/>
        </w:rPr>
        <w:t>miruš</w:t>
      </w:r>
      <w:r w:rsidR="00017F92" w:rsidRPr="00BE278C">
        <w:rPr>
          <w:rFonts w:cs="Times New Roman"/>
        </w:rPr>
        <w:t xml:space="preserve">o </w:t>
      </w:r>
      <w:r w:rsidR="00A96F94">
        <w:rPr>
          <w:rFonts w:cs="Times New Roman"/>
        </w:rPr>
        <w:t>[pers. </w:t>
      </w:r>
      <w:r w:rsidR="00A96F94">
        <w:t>D]</w:t>
      </w:r>
      <w:r w:rsidR="00BA2BA9" w:rsidRPr="00BE278C">
        <w:rPr>
          <w:rFonts w:cs="Times New Roman"/>
        </w:rPr>
        <w:t xml:space="preserve"> sakarā ar prokurora kasācijas protestu un cietušo pārstāvja kasācijas sūdzību nav tiesiska pamata.</w:t>
      </w:r>
      <w:r w:rsidR="00CD1DAA">
        <w:rPr>
          <w:rFonts w:cs="Times New Roman"/>
        </w:rPr>
        <w:t xml:space="preserve"> </w:t>
      </w:r>
    </w:p>
    <w:p w14:paraId="6F827786" w14:textId="77777777" w:rsidR="001F4149" w:rsidRDefault="00017F92" w:rsidP="001F4149">
      <w:pPr>
        <w:autoSpaceDE w:val="0"/>
        <w:autoSpaceDN w:val="0"/>
        <w:adjustRightInd w:val="0"/>
        <w:spacing w:after="0" w:line="276" w:lineRule="auto"/>
        <w:ind w:firstLine="720"/>
        <w:jc w:val="both"/>
        <w:rPr>
          <w:rFonts w:cs="Times New Roman"/>
        </w:rPr>
      </w:pPr>
      <w:r w:rsidRPr="00BE278C">
        <w:rPr>
          <w:rFonts w:cs="Times New Roman"/>
        </w:rPr>
        <w:t xml:space="preserve">Arī Eiropas Cilvēktiesību tiesa ir atzinusi, ka mirušas personas tiesāšana neizbēgami nonāk pretrunā ar Konvencijas </w:t>
      </w:r>
      <w:proofErr w:type="gramStart"/>
      <w:r w:rsidRPr="00BE278C">
        <w:rPr>
          <w:rFonts w:cs="Times New Roman"/>
        </w:rPr>
        <w:t>6.pantā</w:t>
      </w:r>
      <w:proofErr w:type="gramEnd"/>
      <w:r w:rsidRPr="00BE278C">
        <w:rPr>
          <w:rFonts w:cs="Times New Roman"/>
        </w:rPr>
        <w:t xml:space="preserve"> nostiprinātajiem principiem, jo pēc savas dabas nav savienojama ar pušu līdztiesības principu un visām no tiesībām uz taisnīgu tiesu izrietošajām garantijām. Turklāt ir pašsaprotami, ka nav iespējams sodīt mirušu personu, un šajā sakarā tiek kavēts kriminālprocess. Jebkāda soda piemērošana mirušajam aizskar viņa cieņu. Visbeidzot mirušas personas tiesāšana ir pretrunā šīs Konvencijas </w:t>
      </w:r>
      <w:proofErr w:type="gramStart"/>
      <w:r w:rsidRPr="00BE278C">
        <w:rPr>
          <w:rFonts w:cs="Times New Roman"/>
        </w:rPr>
        <w:t>6.panta</w:t>
      </w:r>
      <w:proofErr w:type="gramEnd"/>
      <w:r w:rsidRPr="00BE278C">
        <w:rPr>
          <w:rFonts w:cs="Times New Roman"/>
        </w:rPr>
        <w:t xml:space="preserve"> mērķim, kā arī šim pantam raksturīgajam labas ticības principam un efektivitātes principam (</w:t>
      </w:r>
      <w:r w:rsidRPr="00BE278C">
        <w:rPr>
          <w:rFonts w:cs="Times New Roman"/>
          <w:i/>
          <w:iCs/>
        </w:rPr>
        <w:t>Eiropas Cilvēktiesību tiesas 2019.gada 27.augusta sprieduma lietā „</w:t>
      </w:r>
      <w:proofErr w:type="spellStart"/>
      <w:r w:rsidRPr="00BE278C">
        <w:rPr>
          <w:rFonts w:cs="Times New Roman"/>
          <w:i/>
          <w:iCs/>
        </w:rPr>
        <w:t>Magnitskiy</w:t>
      </w:r>
      <w:proofErr w:type="spellEnd"/>
      <w:r w:rsidRPr="00BE278C">
        <w:rPr>
          <w:rFonts w:cs="Times New Roman"/>
          <w:i/>
          <w:iCs/>
        </w:rPr>
        <w:t xml:space="preserve"> </w:t>
      </w:r>
      <w:proofErr w:type="spellStart"/>
      <w:r w:rsidRPr="00BE278C">
        <w:rPr>
          <w:rFonts w:cs="Times New Roman"/>
          <w:i/>
          <w:iCs/>
        </w:rPr>
        <w:t>and</w:t>
      </w:r>
      <w:proofErr w:type="spellEnd"/>
      <w:r w:rsidRPr="00BE278C">
        <w:rPr>
          <w:rFonts w:cs="Times New Roman"/>
          <w:i/>
          <w:iCs/>
        </w:rPr>
        <w:t xml:space="preserve"> </w:t>
      </w:r>
      <w:proofErr w:type="spellStart"/>
      <w:r w:rsidRPr="00BE278C">
        <w:rPr>
          <w:rFonts w:cs="Times New Roman"/>
          <w:i/>
          <w:iCs/>
        </w:rPr>
        <w:t>Others</w:t>
      </w:r>
      <w:proofErr w:type="spellEnd"/>
      <w:r w:rsidRPr="00BE278C">
        <w:rPr>
          <w:rFonts w:cs="Times New Roman"/>
          <w:i/>
          <w:iCs/>
        </w:rPr>
        <w:t xml:space="preserve"> </w:t>
      </w:r>
      <w:r w:rsidR="001F4149">
        <w:rPr>
          <w:rFonts w:cs="Times New Roman"/>
          <w:i/>
          <w:iCs/>
        </w:rPr>
        <w:t xml:space="preserve">v. </w:t>
      </w:r>
      <w:proofErr w:type="spellStart"/>
      <w:r w:rsidR="001F4149">
        <w:rPr>
          <w:rFonts w:cs="Times New Roman"/>
          <w:i/>
          <w:iCs/>
        </w:rPr>
        <w:t>Russia</w:t>
      </w:r>
      <w:proofErr w:type="spellEnd"/>
      <w:r w:rsidR="001F4149">
        <w:rPr>
          <w:rFonts w:cs="Times New Roman"/>
          <w:i/>
          <w:iCs/>
        </w:rPr>
        <w:t>”, iesniegumu Nr. </w:t>
      </w:r>
      <w:r w:rsidRPr="00BE278C">
        <w:rPr>
          <w:rFonts w:cs="Times New Roman"/>
          <w:i/>
          <w:iCs/>
        </w:rPr>
        <w:t>32631/09 un 53799/12, 281.punkts</w:t>
      </w:r>
      <w:r w:rsidRPr="00BE278C">
        <w:rPr>
          <w:rFonts w:cs="Times New Roman"/>
        </w:rPr>
        <w:t>).</w:t>
      </w:r>
      <w:r w:rsidR="001F4149">
        <w:rPr>
          <w:rFonts w:cs="Times New Roman"/>
        </w:rPr>
        <w:t xml:space="preserve"> </w:t>
      </w:r>
    </w:p>
    <w:p w14:paraId="64E54E99" w14:textId="7B303055" w:rsidR="00213B35" w:rsidRPr="001F4149" w:rsidRDefault="00164FD9" w:rsidP="001F4149">
      <w:pPr>
        <w:autoSpaceDE w:val="0"/>
        <w:autoSpaceDN w:val="0"/>
        <w:adjustRightInd w:val="0"/>
        <w:spacing w:after="0" w:line="276" w:lineRule="auto"/>
        <w:ind w:firstLine="720"/>
        <w:jc w:val="both"/>
        <w:rPr>
          <w:rFonts w:cs="Times New Roman"/>
          <w:szCs w:val="24"/>
        </w:rPr>
      </w:pPr>
      <w:r w:rsidRPr="00BE278C">
        <w:rPr>
          <w:rFonts w:cs="Times New Roman"/>
        </w:rPr>
        <w:t xml:space="preserve">Ievērojot minēto, </w:t>
      </w:r>
      <w:r w:rsidR="00E6283D" w:rsidRPr="00BE278C">
        <w:rPr>
          <w:rFonts w:cs="Times New Roman"/>
        </w:rPr>
        <w:t xml:space="preserve">Senāts atzīst, ka kasācijas tiesvedība lietā izbeidzama. </w:t>
      </w:r>
    </w:p>
    <w:p w14:paraId="5556F806" w14:textId="77777777" w:rsidR="00E6283D" w:rsidRPr="00BE278C" w:rsidRDefault="00E6283D" w:rsidP="00213B35">
      <w:pPr>
        <w:autoSpaceDE w:val="0"/>
        <w:autoSpaceDN w:val="0"/>
        <w:adjustRightInd w:val="0"/>
        <w:spacing w:after="0" w:line="276" w:lineRule="auto"/>
        <w:jc w:val="center"/>
        <w:rPr>
          <w:rFonts w:eastAsia="Calibri" w:cs="Times New Roman"/>
          <w:b/>
          <w:szCs w:val="24"/>
          <w:lang w:eastAsia="lv-LV"/>
        </w:rPr>
      </w:pPr>
    </w:p>
    <w:p w14:paraId="4619613B" w14:textId="77777777" w:rsidR="001F4149" w:rsidRDefault="00424471" w:rsidP="001F4149">
      <w:pPr>
        <w:autoSpaceDE w:val="0"/>
        <w:autoSpaceDN w:val="0"/>
        <w:adjustRightInd w:val="0"/>
        <w:spacing w:after="0" w:line="276" w:lineRule="auto"/>
        <w:jc w:val="center"/>
        <w:rPr>
          <w:rFonts w:cs="Times New Roman"/>
          <w:szCs w:val="24"/>
        </w:rPr>
      </w:pPr>
      <w:r w:rsidRPr="00BE278C">
        <w:rPr>
          <w:rFonts w:eastAsia="Calibri" w:cs="Times New Roman"/>
          <w:b/>
          <w:szCs w:val="24"/>
          <w:lang w:eastAsia="lv-LV"/>
        </w:rPr>
        <w:t>Rezolutīvā daļa</w:t>
      </w:r>
      <w:r w:rsidR="001F4149">
        <w:rPr>
          <w:rFonts w:cs="Times New Roman"/>
          <w:szCs w:val="24"/>
        </w:rPr>
        <w:t xml:space="preserve"> </w:t>
      </w:r>
    </w:p>
    <w:p w14:paraId="51F0AC45" w14:textId="77777777" w:rsidR="001F4149" w:rsidRDefault="001F4149" w:rsidP="001F4149">
      <w:pPr>
        <w:autoSpaceDE w:val="0"/>
        <w:autoSpaceDN w:val="0"/>
        <w:adjustRightInd w:val="0"/>
        <w:spacing w:after="0" w:line="276" w:lineRule="auto"/>
        <w:jc w:val="center"/>
        <w:rPr>
          <w:rFonts w:cs="Times New Roman"/>
          <w:szCs w:val="24"/>
        </w:rPr>
      </w:pPr>
    </w:p>
    <w:p w14:paraId="2AD34D13" w14:textId="3EC5B9E6" w:rsidR="00D124D3" w:rsidRDefault="00424471" w:rsidP="001F4149">
      <w:pPr>
        <w:autoSpaceDE w:val="0"/>
        <w:autoSpaceDN w:val="0"/>
        <w:adjustRightInd w:val="0"/>
        <w:spacing w:after="0" w:line="276" w:lineRule="auto"/>
        <w:ind w:firstLine="720"/>
        <w:jc w:val="both"/>
        <w:rPr>
          <w:rFonts w:cs="Times New Roman"/>
          <w:szCs w:val="24"/>
        </w:rPr>
      </w:pPr>
      <w:r w:rsidRPr="00BE278C">
        <w:rPr>
          <w:rFonts w:eastAsia="Calibri" w:cs="Times New Roman"/>
          <w:iCs/>
          <w:szCs w:val="24"/>
        </w:rPr>
        <w:t xml:space="preserve">Pamatojoties uz Kriminālprocesa likuma </w:t>
      </w:r>
      <w:proofErr w:type="gramStart"/>
      <w:r w:rsidR="00E6283D" w:rsidRPr="00BE278C">
        <w:rPr>
          <w:rFonts w:eastAsia="Calibri" w:cs="Times New Roman"/>
          <w:iCs/>
          <w:szCs w:val="24"/>
        </w:rPr>
        <w:t>585.</w:t>
      </w:r>
      <w:r w:rsidR="001F4149">
        <w:rPr>
          <w:rFonts w:eastAsia="Calibri" w:cs="Times New Roman"/>
          <w:iCs/>
          <w:szCs w:val="24"/>
        </w:rPr>
        <w:t>pantu</w:t>
      </w:r>
      <w:proofErr w:type="gramEnd"/>
      <w:r w:rsidR="001F4149">
        <w:rPr>
          <w:rFonts w:eastAsia="Calibri" w:cs="Times New Roman"/>
          <w:iCs/>
          <w:szCs w:val="24"/>
        </w:rPr>
        <w:t xml:space="preserve"> un 587.panta pirmās daļas </w:t>
      </w:r>
      <w:r w:rsidR="00E6283D" w:rsidRPr="00BE278C">
        <w:rPr>
          <w:rFonts w:eastAsia="Calibri" w:cs="Times New Roman"/>
          <w:iCs/>
          <w:szCs w:val="24"/>
        </w:rPr>
        <w:t>5.punktu,</w:t>
      </w:r>
      <w:r w:rsidRPr="00BE278C">
        <w:rPr>
          <w:rFonts w:cs="Times New Roman"/>
          <w:szCs w:val="24"/>
        </w:rPr>
        <w:t xml:space="preserve"> tiesa</w:t>
      </w:r>
      <w:r w:rsidRPr="00BE278C">
        <w:rPr>
          <w:rFonts w:eastAsia="Calibri" w:cs="Times New Roman"/>
          <w:iCs/>
          <w:szCs w:val="24"/>
        </w:rPr>
        <w:t xml:space="preserve"> </w:t>
      </w:r>
    </w:p>
    <w:p w14:paraId="2768D3CF" w14:textId="77777777" w:rsidR="001F4149" w:rsidRPr="001F4149" w:rsidRDefault="001F4149" w:rsidP="001F4149">
      <w:pPr>
        <w:autoSpaceDE w:val="0"/>
        <w:autoSpaceDN w:val="0"/>
        <w:adjustRightInd w:val="0"/>
        <w:spacing w:after="0" w:line="276" w:lineRule="auto"/>
        <w:jc w:val="center"/>
        <w:rPr>
          <w:rFonts w:cs="Times New Roman"/>
          <w:szCs w:val="24"/>
        </w:rPr>
      </w:pPr>
    </w:p>
    <w:p w14:paraId="6818A88A" w14:textId="77777777" w:rsidR="00F57790" w:rsidRPr="001F4149" w:rsidRDefault="00424471" w:rsidP="001F4149">
      <w:pPr>
        <w:spacing w:after="0"/>
        <w:jc w:val="center"/>
        <w:rPr>
          <w:b/>
        </w:rPr>
      </w:pPr>
      <w:r w:rsidRPr="001F4149">
        <w:rPr>
          <w:b/>
        </w:rPr>
        <w:t>nolēma:</w:t>
      </w:r>
    </w:p>
    <w:p w14:paraId="15069F1C" w14:textId="77777777" w:rsidR="00D05B59" w:rsidRPr="00BE278C" w:rsidRDefault="00D05B59" w:rsidP="00886668">
      <w:pPr>
        <w:tabs>
          <w:tab w:val="left" w:pos="284"/>
          <w:tab w:val="left" w:pos="567"/>
        </w:tabs>
        <w:spacing w:after="0" w:line="276" w:lineRule="auto"/>
        <w:ind w:firstLine="652"/>
        <w:contextualSpacing/>
        <w:jc w:val="both"/>
        <w:rPr>
          <w:rFonts w:cs="Times New Roman"/>
          <w:szCs w:val="24"/>
        </w:rPr>
      </w:pPr>
    </w:p>
    <w:p w14:paraId="3DD47CE5" w14:textId="41283725" w:rsidR="009A095F" w:rsidRPr="00BE278C" w:rsidRDefault="00164FD9" w:rsidP="002A4723">
      <w:pPr>
        <w:autoSpaceDE w:val="0"/>
        <w:autoSpaceDN w:val="0"/>
        <w:adjustRightInd w:val="0"/>
        <w:spacing w:after="0" w:line="276" w:lineRule="auto"/>
        <w:ind w:firstLine="709"/>
        <w:jc w:val="both"/>
        <w:rPr>
          <w:rFonts w:eastAsia="Calibri" w:cs="Times New Roman"/>
          <w:szCs w:val="24"/>
        </w:rPr>
      </w:pPr>
      <w:r w:rsidRPr="00BE278C">
        <w:rPr>
          <w:rFonts w:eastAsia="Calibri" w:cs="Times New Roman"/>
          <w:szCs w:val="24"/>
        </w:rPr>
        <w:t>izbeigt</w:t>
      </w:r>
      <w:r w:rsidR="00BB4954">
        <w:rPr>
          <w:rFonts w:eastAsia="Calibri" w:cs="Times New Roman"/>
          <w:szCs w:val="24"/>
        </w:rPr>
        <w:t xml:space="preserve"> kasācijas tiesvedību krimināllietā </w:t>
      </w:r>
      <w:r w:rsidR="00A96F94">
        <w:rPr>
          <w:rFonts w:eastAsia="Calibri" w:cs="Times New Roman"/>
          <w:szCs w:val="24"/>
        </w:rPr>
        <w:t>[pers. D]</w:t>
      </w:r>
      <w:r w:rsidR="00BB4954">
        <w:rPr>
          <w:rFonts w:eastAsia="Calibri" w:cs="Times New Roman"/>
          <w:szCs w:val="24"/>
        </w:rPr>
        <w:t xml:space="preserve"> apsūdzībā pēc Krimināllikuma </w:t>
      </w:r>
      <w:proofErr w:type="gramStart"/>
      <w:r w:rsidR="00BB4954">
        <w:rPr>
          <w:rFonts w:eastAsia="Calibri" w:cs="Times New Roman"/>
          <w:szCs w:val="24"/>
        </w:rPr>
        <w:t>138.panta</w:t>
      </w:r>
      <w:proofErr w:type="gramEnd"/>
      <w:r w:rsidR="00BB4954">
        <w:rPr>
          <w:rFonts w:eastAsia="Calibri" w:cs="Times New Roman"/>
          <w:szCs w:val="24"/>
        </w:rPr>
        <w:t xml:space="preserve"> otrās daļas</w:t>
      </w:r>
      <w:r w:rsidRPr="00BE278C">
        <w:rPr>
          <w:rFonts w:eastAsia="Calibri" w:cs="Times New Roman"/>
          <w:szCs w:val="24"/>
        </w:rPr>
        <w:t>.</w:t>
      </w:r>
    </w:p>
    <w:p w14:paraId="22799B7F" w14:textId="18D17733" w:rsidR="00164FD9" w:rsidRPr="00611277" w:rsidRDefault="005738CD" w:rsidP="00611277">
      <w:pPr>
        <w:tabs>
          <w:tab w:val="left" w:pos="0"/>
          <w:tab w:val="left" w:pos="6660"/>
        </w:tabs>
        <w:spacing w:after="0" w:line="276" w:lineRule="auto"/>
        <w:ind w:firstLine="709"/>
        <w:jc w:val="both"/>
        <w:rPr>
          <w:rFonts w:eastAsia="Calibri" w:cs="Times New Roman"/>
          <w:szCs w:val="24"/>
        </w:rPr>
      </w:pPr>
      <w:r w:rsidRPr="00BE278C">
        <w:rPr>
          <w:rFonts w:eastAsia="Calibri" w:cs="Times New Roman"/>
          <w:szCs w:val="24"/>
        </w:rPr>
        <w:t>Lēmums nav pārsūdzams.</w:t>
      </w:r>
    </w:p>
    <w:sectPr w:rsidR="00164FD9" w:rsidRPr="00611277" w:rsidSect="000D684C">
      <w:footerReference w:type="default" r:id="rId9"/>
      <w:pgSz w:w="11906" w:h="16838"/>
      <w:pgMar w:top="1134" w:right="1134" w:bottom="1134"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17FC" w14:textId="77777777" w:rsidR="00BF6630" w:rsidRDefault="00BF6630" w:rsidP="00325ACB">
      <w:pPr>
        <w:spacing w:after="0" w:line="240" w:lineRule="auto"/>
      </w:pPr>
      <w:r>
        <w:separator/>
      </w:r>
    </w:p>
  </w:endnote>
  <w:endnote w:type="continuationSeparator" w:id="0">
    <w:p w14:paraId="10D8BFA4" w14:textId="77777777" w:rsidR="00BF6630" w:rsidRDefault="00BF6630" w:rsidP="0032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339093"/>
      <w:docPartObj>
        <w:docPartGallery w:val="Page Numbers (Bottom of Page)"/>
        <w:docPartUnique/>
      </w:docPartObj>
    </w:sdtPr>
    <w:sdtEndPr/>
    <w:sdtContent>
      <w:sdt>
        <w:sdtPr>
          <w:id w:val="1134291447"/>
          <w:docPartObj>
            <w:docPartGallery w:val="Page Numbers (Top of Page)"/>
            <w:docPartUnique/>
          </w:docPartObj>
        </w:sdtPr>
        <w:sdtEndPr/>
        <w:sdtContent>
          <w:p w14:paraId="40EE9FD5" w14:textId="3448CB12" w:rsidR="006B311B" w:rsidRDefault="006B311B">
            <w:pPr>
              <w:pStyle w:val="Footer"/>
              <w:jc w:val="center"/>
            </w:pPr>
            <w:r w:rsidRPr="00350C0B">
              <w:rPr>
                <w:bCs/>
                <w:szCs w:val="24"/>
              </w:rPr>
              <w:fldChar w:fldCharType="begin"/>
            </w:r>
            <w:r w:rsidRPr="00350C0B">
              <w:rPr>
                <w:bCs/>
              </w:rPr>
              <w:instrText xml:space="preserve"> PAGE </w:instrText>
            </w:r>
            <w:r w:rsidRPr="00350C0B">
              <w:rPr>
                <w:bCs/>
                <w:szCs w:val="24"/>
              </w:rPr>
              <w:fldChar w:fldCharType="separate"/>
            </w:r>
            <w:r w:rsidR="00B36C7E">
              <w:rPr>
                <w:bCs/>
                <w:noProof/>
              </w:rPr>
              <w:t>3</w:t>
            </w:r>
            <w:r w:rsidRPr="00350C0B">
              <w:rPr>
                <w:bCs/>
                <w:szCs w:val="24"/>
              </w:rPr>
              <w:fldChar w:fldCharType="end"/>
            </w:r>
            <w:r w:rsidRPr="00350C0B">
              <w:t xml:space="preserve"> no </w:t>
            </w:r>
            <w:r w:rsidR="001F4149">
              <w:rPr>
                <w:bCs/>
                <w:szCs w:val="24"/>
              </w:rPr>
              <w:t>3</w:t>
            </w:r>
          </w:p>
        </w:sdtContent>
      </w:sdt>
    </w:sdtContent>
  </w:sdt>
  <w:p w14:paraId="1D767543" w14:textId="77777777" w:rsidR="006B311B" w:rsidRDefault="006B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52D0" w14:textId="77777777" w:rsidR="00BF6630" w:rsidRDefault="00BF6630" w:rsidP="00325ACB">
      <w:pPr>
        <w:spacing w:after="0" w:line="240" w:lineRule="auto"/>
      </w:pPr>
      <w:r>
        <w:separator/>
      </w:r>
    </w:p>
  </w:footnote>
  <w:footnote w:type="continuationSeparator" w:id="0">
    <w:p w14:paraId="11C036D3" w14:textId="77777777" w:rsidR="00BF6630" w:rsidRDefault="00BF6630" w:rsidP="00325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258"/>
    <w:multiLevelType w:val="hybridMultilevel"/>
    <w:tmpl w:val="B7DC0CE2"/>
    <w:lvl w:ilvl="0" w:tplc="4C1679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52146AB"/>
    <w:multiLevelType w:val="hybridMultilevel"/>
    <w:tmpl w:val="6EFA0810"/>
    <w:lvl w:ilvl="0" w:tplc="8B1C59B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6CD62AD0"/>
    <w:multiLevelType w:val="hybridMultilevel"/>
    <w:tmpl w:val="226855A4"/>
    <w:lvl w:ilvl="0" w:tplc="B6EC30A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71"/>
    <w:rsid w:val="000003C8"/>
    <w:rsid w:val="0000184E"/>
    <w:rsid w:val="000040C7"/>
    <w:rsid w:val="00007E3D"/>
    <w:rsid w:val="000121C7"/>
    <w:rsid w:val="000145A0"/>
    <w:rsid w:val="0001710A"/>
    <w:rsid w:val="00017F92"/>
    <w:rsid w:val="000230E0"/>
    <w:rsid w:val="00035CC7"/>
    <w:rsid w:val="00040A04"/>
    <w:rsid w:val="00050711"/>
    <w:rsid w:val="00051E3D"/>
    <w:rsid w:val="000527CA"/>
    <w:rsid w:val="00057E63"/>
    <w:rsid w:val="00065018"/>
    <w:rsid w:val="0007024F"/>
    <w:rsid w:val="00071FB1"/>
    <w:rsid w:val="00074EBF"/>
    <w:rsid w:val="00076A64"/>
    <w:rsid w:val="000772BC"/>
    <w:rsid w:val="00081774"/>
    <w:rsid w:val="00090432"/>
    <w:rsid w:val="0009052C"/>
    <w:rsid w:val="0009552C"/>
    <w:rsid w:val="000967BC"/>
    <w:rsid w:val="000A2A8B"/>
    <w:rsid w:val="000A3BAA"/>
    <w:rsid w:val="000B0A2A"/>
    <w:rsid w:val="000B0BDA"/>
    <w:rsid w:val="000B1C44"/>
    <w:rsid w:val="000B312B"/>
    <w:rsid w:val="000B4EA0"/>
    <w:rsid w:val="000C5C28"/>
    <w:rsid w:val="000C7A85"/>
    <w:rsid w:val="000C7DFE"/>
    <w:rsid w:val="000D684C"/>
    <w:rsid w:val="000E0B03"/>
    <w:rsid w:val="000E13A0"/>
    <w:rsid w:val="000E63B6"/>
    <w:rsid w:val="000F32F9"/>
    <w:rsid w:val="000F4A20"/>
    <w:rsid w:val="001048C5"/>
    <w:rsid w:val="00113C5C"/>
    <w:rsid w:val="00116574"/>
    <w:rsid w:val="001229AE"/>
    <w:rsid w:val="00122BAC"/>
    <w:rsid w:val="001325E1"/>
    <w:rsid w:val="00140272"/>
    <w:rsid w:val="00144C10"/>
    <w:rsid w:val="00145909"/>
    <w:rsid w:val="00151760"/>
    <w:rsid w:val="00152DE5"/>
    <w:rsid w:val="00160C02"/>
    <w:rsid w:val="00162029"/>
    <w:rsid w:val="0016353C"/>
    <w:rsid w:val="00164FD9"/>
    <w:rsid w:val="00166A82"/>
    <w:rsid w:val="001748B7"/>
    <w:rsid w:val="00177432"/>
    <w:rsid w:val="00177E0E"/>
    <w:rsid w:val="00183986"/>
    <w:rsid w:val="00186355"/>
    <w:rsid w:val="001A31B5"/>
    <w:rsid w:val="001A5479"/>
    <w:rsid w:val="001B0FE9"/>
    <w:rsid w:val="001B1089"/>
    <w:rsid w:val="001B1748"/>
    <w:rsid w:val="001B4F2C"/>
    <w:rsid w:val="001B5E36"/>
    <w:rsid w:val="001B6715"/>
    <w:rsid w:val="001B6E05"/>
    <w:rsid w:val="001D327F"/>
    <w:rsid w:val="001D3943"/>
    <w:rsid w:val="001D3CB7"/>
    <w:rsid w:val="001E4358"/>
    <w:rsid w:val="001F0AEB"/>
    <w:rsid w:val="001F12E2"/>
    <w:rsid w:val="001F1CF6"/>
    <w:rsid w:val="001F314D"/>
    <w:rsid w:val="001F4149"/>
    <w:rsid w:val="00202986"/>
    <w:rsid w:val="002039E8"/>
    <w:rsid w:val="002073E5"/>
    <w:rsid w:val="002139D9"/>
    <w:rsid w:val="00213B35"/>
    <w:rsid w:val="00216EDB"/>
    <w:rsid w:val="00220A6A"/>
    <w:rsid w:val="002311CD"/>
    <w:rsid w:val="002540CA"/>
    <w:rsid w:val="00256405"/>
    <w:rsid w:val="00265B8E"/>
    <w:rsid w:val="0026750F"/>
    <w:rsid w:val="00271B26"/>
    <w:rsid w:val="002758C6"/>
    <w:rsid w:val="002876A1"/>
    <w:rsid w:val="0029103A"/>
    <w:rsid w:val="00295668"/>
    <w:rsid w:val="002A061B"/>
    <w:rsid w:val="002A241A"/>
    <w:rsid w:val="002A249E"/>
    <w:rsid w:val="002A3AB9"/>
    <w:rsid w:val="002A4723"/>
    <w:rsid w:val="002B1442"/>
    <w:rsid w:val="002B14FE"/>
    <w:rsid w:val="002B1E3E"/>
    <w:rsid w:val="002C2F26"/>
    <w:rsid w:val="002C450B"/>
    <w:rsid w:val="002C4F24"/>
    <w:rsid w:val="002C68A8"/>
    <w:rsid w:val="002D7090"/>
    <w:rsid w:val="002E10F3"/>
    <w:rsid w:val="002E1BC9"/>
    <w:rsid w:val="002F02BF"/>
    <w:rsid w:val="002F7511"/>
    <w:rsid w:val="003231B1"/>
    <w:rsid w:val="00325ACB"/>
    <w:rsid w:val="003262FB"/>
    <w:rsid w:val="003359B3"/>
    <w:rsid w:val="00342BE6"/>
    <w:rsid w:val="003433D3"/>
    <w:rsid w:val="00344E23"/>
    <w:rsid w:val="003464C0"/>
    <w:rsid w:val="00350C0B"/>
    <w:rsid w:val="00351635"/>
    <w:rsid w:val="003616E0"/>
    <w:rsid w:val="00362284"/>
    <w:rsid w:val="003668EC"/>
    <w:rsid w:val="0036773C"/>
    <w:rsid w:val="003706AC"/>
    <w:rsid w:val="00371E8B"/>
    <w:rsid w:val="003750E1"/>
    <w:rsid w:val="00375E5C"/>
    <w:rsid w:val="0037618F"/>
    <w:rsid w:val="0038352C"/>
    <w:rsid w:val="00387DA9"/>
    <w:rsid w:val="00390770"/>
    <w:rsid w:val="003969E6"/>
    <w:rsid w:val="00396E9E"/>
    <w:rsid w:val="003C1989"/>
    <w:rsid w:val="003C3ED0"/>
    <w:rsid w:val="003D5E1E"/>
    <w:rsid w:val="003E2DA6"/>
    <w:rsid w:val="003E3F09"/>
    <w:rsid w:val="003E4346"/>
    <w:rsid w:val="003F1F54"/>
    <w:rsid w:val="003F3877"/>
    <w:rsid w:val="003F38CB"/>
    <w:rsid w:val="003F598C"/>
    <w:rsid w:val="003F7E02"/>
    <w:rsid w:val="00401C6E"/>
    <w:rsid w:val="00404E2F"/>
    <w:rsid w:val="00407026"/>
    <w:rsid w:val="00410D36"/>
    <w:rsid w:val="0041524C"/>
    <w:rsid w:val="00415964"/>
    <w:rsid w:val="00417931"/>
    <w:rsid w:val="00424471"/>
    <w:rsid w:val="0042743D"/>
    <w:rsid w:val="00432C8C"/>
    <w:rsid w:val="004358A7"/>
    <w:rsid w:val="0044247C"/>
    <w:rsid w:val="00443A5C"/>
    <w:rsid w:val="0044448C"/>
    <w:rsid w:val="00444F77"/>
    <w:rsid w:val="00451C4B"/>
    <w:rsid w:val="004606AB"/>
    <w:rsid w:val="00462C02"/>
    <w:rsid w:val="004647D1"/>
    <w:rsid w:val="00465EDF"/>
    <w:rsid w:val="00465F49"/>
    <w:rsid w:val="004715AE"/>
    <w:rsid w:val="004721F4"/>
    <w:rsid w:val="00472BF1"/>
    <w:rsid w:val="0047349C"/>
    <w:rsid w:val="00473BFD"/>
    <w:rsid w:val="00475D3D"/>
    <w:rsid w:val="0048007A"/>
    <w:rsid w:val="00480517"/>
    <w:rsid w:val="004805FE"/>
    <w:rsid w:val="004844CF"/>
    <w:rsid w:val="0048628A"/>
    <w:rsid w:val="004B1DB0"/>
    <w:rsid w:val="004B28F8"/>
    <w:rsid w:val="004B6963"/>
    <w:rsid w:val="004C0860"/>
    <w:rsid w:val="004C49EB"/>
    <w:rsid w:val="004C52B4"/>
    <w:rsid w:val="004D02C0"/>
    <w:rsid w:val="004D3A83"/>
    <w:rsid w:val="004E52F9"/>
    <w:rsid w:val="004E695C"/>
    <w:rsid w:val="004E7D2D"/>
    <w:rsid w:val="004F1E5D"/>
    <w:rsid w:val="00505271"/>
    <w:rsid w:val="0050552D"/>
    <w:rsid w:val="00506CF4"/>
    <w:rsid w:val="0051101B"/>
    <w:rsid w:val="005116B6"/>
    <w:rsid w:val="00512C71"/>
    <w:rsid w:val="00514546"/>
    <w:rsid w:val="00514CE5"/>
    <w:rsid w:val="0051521E"/>
    <w:rsid w:val="00522357"/>
    <w:rsid w:val="00525F32"/>
    <w:rsid w:val="00534F57"/>
    <w:rsid w:val="0053521F"/>
    <w:rsid w:val="00535B1B"/>
    <w:rsid w:val="00544671"/>
    <w:rsid w:val="00546222"/>
    <w:rsid w:val="005469B7"/>
    <w:rsid w:val="00546F4E"/>
    <w:rsid w:val="00547217"/>
    <w:rsid w:val="00552AD1"/>
    <w:rsid w:val="005571AD"/>
    <w:rsid w:val="005613DE"/>
    <w:rsid w:val="00562E39"/>
    <w:rsid w:val="005738CD"/>
    <w:rsid w:val="00573FC8"/>
    <w:rsid w:val="005752DE"/>
    <w:rsid w:val="005A36D7"/>
    <w:rsid w:val="005B0E3B"/>
    <w:rsid w:val="005B1E76"/>
    <w:rsid w:val="005B36FF"/>
    <w:rsid w:val="005B61AA"/>
    <w:rsid w:val="005B683C"/>
    <w:rsid w:val="005C0D9E"/>
    <w:rsid w:val="005C608A"/>
    <w:rsid w:val="005C77FD"/>
    <w:rsid w:val="005D093A"/>
    <w:rsid w:val="005D0F75"/>
    <w:rsid w:val="005D1FF1"/>
    <w:rsid w:val="005D2B32"/>
    <w:rsid w:val="005E0857"/>
    <w:rsid w:val="005E3732"/>
    <w:rsid w:val="005E3CDA"/>
    <w:rsid w:val="005E5F71"/>
    <w:rsid w:val="005E680C"/>
    <w:rsid w:val="005F0D9F"/>
    <w:rsid w:val="005F1079"/>
    <w:rsid w:val="005F40AD"/>
    <w:rsid w:val="005F6D80"/>
    <w:rsid w:val="006051E8"/>
    <w:rsid w:val="00606CCF"/>
    <w:rsid w:val="006078E0"/>
    <w:rsid w:val="00611277"/>
    <w:rsid w:val="006126E6"/>
    <w:rsid w:val="0061490E"/>
    <w:rsid w:val="006150A5"/>
    <w:rsid w:val="00616A7E"/>
    <w:rsid w:val="006218E9"/>
    <w:rsid w:val="0062409F"/>
    <w:rsid w:val="00634B5E"/>
    <w:rsid w:val="00637E4C"/>
    <w:rsid w:val="00643543"/>
    <w:rsid w:val="00643F42"/>
    <w:rsid w:val="00645840"/>
    <w:rsid w:val="00651758"/>
    <w:rsid w:val="00660034"/>
    <w:rsid w:val="006604B8"/>
    <w:rsid w:val="00665352"/>
    <w:rsid w:val="00665DDC"/>
    <w:rsid w:val="0067299D"/>
    <w:rsid w:val="00675CFD"/>
    <w:rsid w:val="00681F72"/>
    <w:rsid w:val="0068271D"/>
    <w:rsid w:val="00684C27"/>
    <w:rsid w:val="006864C4"/>
    <w:rsid w:val="00690FE5"/>
    <w:rsid w:val="0069561A"/>
    <w:rsid w:val="00695678"/>
    <w:rsid w:val="006A0205"/>
    <w:rsid w:val="006A04AD"/>
    <w:rsid w:val="006A6B50"/>
    <w:rsid w:val="006B25D0"/>
    <w:rsid w:val="006B311B"/>
    <w:rsid w:val="006B4C39"/>
    <w:rsid w:val="006B50FC"/>
    <w:rsid w:val="006C3395"/>
    <w:rsid w:val="006C6363"/>
    <w:rsid w:val="006D2ADB"/>
    <w:rsid w:val="006D301B"/>
    <w:rsid w:val="006D30E8"/>
    <w:rsid w:val="006D4E7A"/>
    <w:rsid w:val="006D5B75"/>
    <w:rsid w:val="006E24C5"/>
    <w:rsid w:val="006E61D9"/>
    <w:rsid w:val="006F0EE6"/>
    <w:rsid w:val="006F33E2"/>
    <w:rsid w:val="007011D8"/>
    <w:rsid w:val="00704A85"/>
    <w:rsid w:val="00704E7A"/>
    <w:rsid w:val="007060A6"/>
    <w:rsid w:val="007114A4"/>
    <w:rsid w:val="0071219B"/>
    <w:rsid w:val="00712885"/>
    <w:rsid w:val="007137FF"/>
    <w:rsid w:val="007201E6"/>
    <w:rsid w:val="0072510D"/>
    <w:rsid w:val="00725D9C"/>
    <w:rsid w:val="00735A17"/>
    <w:rsid w:val="00744FC9"/>
    <w:rsid w:val="007477C4"/>
    <w:rsid w:val="00747C06"/>
    <w:rsid w:val="007540EC"/>
    <w:rsid w:val="00760578"/>
    <w:rsid w:val="007631F9"/>
    <w:rsid w:val="00765A6E"/>
    <w:rsid w:val="00766487"/>
    <w:rsid w:val="007715B4"/>
    <w:rsid w:val="0078523C"/>
    <w:rsid w:val="00785A60"/>
    <w:rsid w:val="00786C02"/>
    <w:rsid w:val="00790EE4"/>
    <w:rsid w:val="00791526"/>
    <w:rsid w:val="00797F30"/>
    <w:rsid w:val="007A2E51"/>
    <w:rsid w:val="007A40C9"/>
    <w:rsid w:val="007A5423"/>
    <w:rsid w:val="007A5651"/>
    <w:rsid w:val="007B0D8C"/>
    <w:rsid w:val="007B15F5"/>
    <w:rsid w:val="007B69B9"/>
    <w:rsid w:val="007B75E1"/>
    <w:rsid w:val="007B7851"/>
    <w:rsid w:val="007C4BA0"/>
    <w:rsid w:val="007C61F6"/>
    <w:rsid w:val="007D584A"/>
    <w:rsid w:val="007D6988"/>
    <w:rsid w:val="007E6EEA"/>
    <w:rsid w:val="007F1CB6"/>
    <w:rsid w:val="008034E0"/>
    <w:rsid w:val="00803996"/>
    <w:rsid w:val="00804950"/>
    <w:rsid w:val="0081150E"/>
    <w:rsid w:val="00815726"/>
    <w:rsid w:val="00817CE2"/>
    <w:rsid w:val="00824A15"/>
    <w:rsid w:val="008257AD"/>
    <w:rsid w:val="0082604A"/>
    <w:rsid w:val="00827AD9"/>
    <w:rsid w:val="00834CE2"/>
    <w:rsid w:val="0083567C"/>
    <w:rsid w:val="008367FF"/>
    <w:rsid w:val="00837E88"/>
    <w:rsid w:val="00842DFD"/>
    <w:rsid w:val="00844517"/>
    <w:rsid w:val="0084616C"/>
    <w:rsid w:val="008466D8"/>
    <w:rsid w:val="008510FC"/>
    <w:rsid w:val="0085196D"/>
    <w:rsid w:val="00852452"/>
    <w:rsid w:val="00852ACF"/>
    <w:rsid w:val="0086054A"/>
    <w:rsid w:val="00861F5E"/>
    <w:rsid w:val="008676CF"/>
    <w:rsid w:val="00882642"/>
    <w:rsid w:val="008835CF"/>
    <w:rsid w:val="00886668"/>
    <w:rsid w:val="008908A1"/>
    <w:rsid w:val="00897BD8"/>
    <w:rsid w:val="008A2AA6"/>
    <w:rsid w:val="008B240C"/>
    <w:rsid w:val="008B6CD4"/>
    <w:rsid w:val="008C06D6"/>
    <w:rsid w:val="008C30F3"/>
    <w:rsid w:val="008D0321"/>
    <w:rsid w:val="008D7FB6"/>
    <w:rsid w:val="008E138A"/>
    <w:rsid w:val="008F49D6"/>
    <w:rsid w:val="008F705B"/>
    <w:rsid w:val="00913E8F"/>
    <w:rsid w:val="009143E4"/>
    <w:rsid w:val="00915EB2"/>
    <w:rsid w:val="0092073C"/>
    <w:rsid w:val="00923CC3"/>
    <w:rsid w:val="00936280"/>
    <w:rsid w:val="00941E2D"/>
    <w:rsid w:val="009425BE"/>
    <w:rsid w:val="00946B5B"/>
    <w:rsid w:val="00950C4B"/>
    <w:rsid w:val="00953B5E"/>
    <w:rsid w:val="009540B0"/>
    <w:rsid w:val="0095539C"/>
    <w:rsid w:val="00955E84"/>
    <w:rsid w:val="00956873"/>
    <w:rsid w:val="00961015"/>
    <w:rsid w:val="00961DFC"/>
    <w:rsid w:val="00963C40"/>
    <w:rsid w:val="0096466D"/>
    <w:rsid w:val="009743B5"/>
    <w:rsid w:val="009809F5"/>
    <w:rsid w:val="0098265C"/>
    <w:rsid w:val="00983ACE"/>
    <w:rsid w:val="00983C82"/>
    <w:rsid w:val="00985FC3"/>
    <w:rsid w:val="00994CDC"/>
    <w:rsid w:val="00995DB0"/>
    <w:rsid w:val="009A095F"/>
    <w:rsid w:val="009A2346"/>
    <w:rsid w:val="009A2991"/>
    <w:rsid w:val="009B4AF2"/>
    <w:rsid w:val="009B5AE8"/>
    <w:rsid w:val="009C2587"/>
    <w:rsid w:val="009C75D5"/>
    <w:rsid w:val="009D5840"/>
    <w:rsid w:val="009E62DA"/>
    <w:rsid w:val="009E697A"/>
    <w:rsid w:val="00A1139A"/>
    <w:rsid w:val="00A174CB"/>
    <w:rsid w:val="00A179F2"/>
    <w:rsid w:val="00A215C2"/>
    <w:rsid w:val="00A219BA"/>
    <w:rsid w:val="00A34156"/>
    <w:rsid w:val="00A3418D"/>
    <w:rsid w:val="00A405E4"/>
    <w:rsid w:val="00A4574D"/>
    <w:rsid w:val="00A473C5"/>
    <w:rsid w:val="00A47B08"/>
    <w:rsid w:val="00A502B9"/>
    <w:rsid w:val="00A512AD"/>
    <w:rsid w:val="00A51A4E"/>
    <w:rsid w:val="00A525C2"/>
    <w:rsid w:val="00A538BB"/>
    <w:rsid w:val="00A54670"/>
    <w:rsid w:val="00A54B25"/>
    <w:rsid w:val="00A55476"/>
    <w:rsid w:val="00A57117"/>
    <w:rsid w:val="00A64171"/>
    <w:rsid w:val="00A64460"/>
    <w:rsid w:val="00A65FBF"/>
    <w:rsid w:val="00A6607C"/>
    <w:rsid w:val="00A67F6B"/>
    <w:rsid w:val="00A708D4"/>
    <w:rsid w:val="00A7091E"/>
    <w:rsid w:val="00A7293E"/>
    <w:rsid w:val="00A74BEE"/>
    <w:rsid w:val="00A834F9"/>
    <w:rsid w:val="00A83A79"/>
    <w:rsid w:val="00A83B67"/>
    <w:rsid w:val="00A866B5"/>
    <w:rsid w:val="00A871E1"/>
    <w:rsid w:val="00A87215"/>
    <w:rsid w:val="00A93D59"/>
    <w:rsid w:val="00A95B52"/>
    <w:rsid w:val="00A96954"/>
    <w:rsid w:val="00A96F94"/>
    <w:rsid w:val="00AA3591"/>
    <w:rsid w:val="00AA54A1"/>
    <w:rsid w:val="00AA6070"/>
    <w:rsid w:val="00AB1798"/>
    <w:rsid w:val="00AB2D3D"/>
    <w:rsid w:val="00AB332D"/>
    <w:rsid w:val="00AB74C3"/>
    <w:rsid w:val="00AC3467"/>
    <w:rsid w:val="00AD627B"/>
    <w:rsid w:val="00AE0672"/>
    <w:rsid w:val="00AF0BC5"/>
    <w:rsid w:val="00B035B5"/>
    <w:rsid w:val="00B04B77"/>
    <w:rsid w:val="00B07827"/>
    <w:rsid w:val="00B1139C"/>
    <w:rsid w:val="00B11944"/>
    <w:rsid w:val="00B21864"/>
    <w:rsid w:val="00B315C9"/>
    <w:rsid w:val="00B32828"/>
    <w:rsid w:val="00B36C7E"/>
    <w:rsid w:val="00B3740D"/>
    <w:rsid w:val="00B42302"/>
    <w:rsid w:val="00B534FA"/>
    <w:rsid w:val="00B54537"/>
    <w:rsid w:val="00B5460D"/>
    <w:rsid w:val="00B552E6"/>
    <w:rsid w:val="00B60B9E"/>
    <w:rsid w:val="00B633B4"/>
    <w:rsid w:val="00B641A4"/>
    <w:rsid w:val="00B67E1F"/>
    <w:rsid w:val="00B716A5"/>
    <w:rsid w:val="00B7440D"/>
    <w:rsid w:val="00B85C0D"/>
    <w:rsid w:val="00B87A03"/>
    <w:rsid w:val="00B87B1E"/>
    <w:rsid w:val="00B9190E"/>
    <w:rsid w:val="00B91BE0"/>
    <w:rsid w:val="00B935D0"/>
    <w:rsid w:val="00B9620F"/>
    <w:rsid w:val="00BA2BA9"/>
    <w:rsid w:val="00BA30E3"/>
    <w:rsid w:val="00BA63B0"/>
    <w:rsid w:val="00BB14D1"/>
    <w:rsid w:val="00BB17C6"/>
    <w:rsid w:val="00BB4954"/>
    <w:rsid w:val="00BB6B6E"/>
    <w:rsid w:val="00BB7B00"/>
    <w:rsid w:val="00BC0DF6"/>
    <w:rsid w:val="00BC3C1B"/>
    <w:rsid w:val="00BD2A37"/>
    <w:rsid w:val="00BD5C6C"/>
    <w:rsid w:val="00BD634A"/>
    <w:rsid w:val="00BE0F1B"/>
    <w:rsid w:val="00BE278C"/>
    <w:rsid w:val="00BE2B7C"/>
    <w:rsid w:val="00BE551A"/>
    <w:rsid w:val="00BE7F79"/>
    <w:rsid w:val="00BF473D"/>
    <w:rsid w:val="00BF6630"/>
    <w:rsid w:val="00C00546"/>
    <w:rsid w:val="00C10540"/>
    <w:rsid w:val="00C117F5"/>
    <w:rsid w:val="00C2476B"/>
    <w:rsid w:val="00C25556"/>
    <w:rsid w:val="00C26346"/>
    <w:rsid w:val="00C33D35"/>
    <w:rsid w:val="00C4018F"/>
    <w:rsid w:val="00C47E66"/>
    <w:rsid w:val="00C519EF"/>
    <w:rsid w:val="00C65375"/>
    <w:rsid w:val="00C6565F"/>
    <w:rsid w:val="00C65DB3"/>
    <w:rsid w:val="00C7573B"/>
    <w:rsid w:val="00C76877"/>
    <w:rsid w:val="00C80940"/>
    <w:rsid w:val="00C811B8"/>
    <w:rsid w:val="00C835B0"/>
    <w:rsid w:val="00C84FB4"/>
    <w:rsid w:val="00C87412"/>
    <w:rsid w:val="00CA30D2"/>
    <w:rsid w:val="00CB1C90"/>
    <w:rsid w:val="00CB38CE"/>
    <w:rsid w:val="00CC6D01"/>
    <w:rsid w:val="00CC7A33"/>
    <w:rsid w:val="00CD1DAA"/>
    <w:rsid w:val="00CD20FE"/>
    <w:rsid w:val="00CD3258"/>
    <w:rsid w:val="00CD3267"/>
    <w:rsid w:val="00CD5E32"/>
    <w:rsid w:val="00CD7BD7"/>
    <w:rsid w:val="00CE0B4A"/>
    <w:rsid w:val="00CE187A"/>
    <w:rsid w:val="00CE4074"/>
    <w:rsid w:val="00CE541E"/>
    <w:rsid w:val="00CF306E"/>
    <w:rsid w:val="00CF7476"/>
    <w:rsid w:val="00D00558"/>
    <w:rsid w:val="00D03804"/>
    <w:rsid w:val="00D05B59"/>
    <w:rsid w:val="00D124D3"/>
    <w:rsid w:val="00D204B8"/>
    <w:rsid w:val="00D21DE5"/>
    <w:rsid w:val="00D30069"/>
    <w:rsid w:val="00D31521"/>
    <w:rsid w:val="00D3649E"/>
    <w:rsid w:val="00D439CF"/>
    <w:rsid w:val="00D5283B"/>
    <w:rsid w:val="00D55F9D"/>
    <w:rsid w:val="00D5788E"/>
    <w:rsid w:val="00D7508B"/>
    <w:rsid w:val="00D76644"/>
    <w:rsid w:val="00D8107E"/>
    <w:rsid w:val="00D84442"/>
    <w:rsid w:val="00D864DC"/>
    <w:rsid w:val="00D94666"/>
    <w:rsid w:val="00DA2439"/>
    <w:rsid w:val="00DA5BF4"/>
    <w:rsid w:val="00DA5CC4"/>
    <w:rsid w:val="00DA693F"/>
    <w:rsid w:val="00DB2B1B"/>
    <w:rsid w:val="00DB2B97"/>
    <w:rsid w:val="00DC1020"/>
    <w:rsid w:val="00DC18FE"/>
    <w:rsid w:val="00DC3D6F"/>
    <w:rsid w:val="00DD30BD"/>
    <w:rsid w:val="00DE2421"/>
    <w:rsid w:val="00DE4DC8"/>
    <w:rsid w:val="00DE671E"/>
    <w:rsid w:val="00E050E0"/>
    <w:rsid w:val="00E052F0"/>
    <w:rsid w:val="00E141CA"/>
    <w:rsid w:val="00E206A8"/>
    <w:rsid w:val="00E2355F"/>
    <w:rsid w:val="00E259BC"/>
    <w:rsid w:val="00E27709"/>
    <w:rsid w:val="00E31587"/>
    <w:rsid w:val="00E32C80"/>
    <w:rsid w:val="00E41C0A"/>
    <w:rsid w:val="00E430A5"/>
    <w:rsid w:val="00E53405"/>
    <w:rsid w:val="00E539F4"/>
    <w:rsid w:val="00E5508B"/>
    <w:rsid w:val="00E6283D"/>
    <w:rsid w:val="00E66D1F"/>
    <w:rsid w:val="00E70202"/>
    <w:rsid w:val="00E75258"/>
    <w:rsid w:val="00E7629B"/>
    <w:rsid w:val="00E77D3E"/>
    <w:rsid w:val="00E8108A"/>
    <w:rsid w:val="00E81B93"/>
    <w:rsid w:val="00E87704"/>
    <w:rsid w:val="00EA375B"/>
    <w:rsid w:val="00EB0DFE"/>
    <w:rsid w:val="00ED03A1"/>
    <w:rsid w:val="00ED30CA"/>
    <w:rsid w:val="00ED477C"/>
    <w:rsid w:val="00ED67EB"/>
    <w:rsid w:val="00EE12A7"/>
    <w:rsid w:val="00EF0199"/>
    <w:rsid w:val="00EF2137"/>
    <w:rsid w:val="00EF2AE5"/>
    <w:rsid w:val="00EF4798"/>
    <w:rsid w:val="00EF584F"/>
    <w:rsid w:val="00F0095C"/>
    <w:rsid w:val="00F00DCB"/>
    <w:rsid w:val="00F033B8"/>
    <w:rsid w:val="00F03C85"/>
    <w:rsid w:val="00F10638"/>
    <w:rsid w:val="00F13580"/>
    <w:rsid w:val="00F22AF5"/>
    <w:rsid w:val="00F31CBB"/>
    <w:rsid w:val="00F33A32"/>
    <w:rsid w:val="00F345A0"/>
    <w:rsid w:val="00F4744C"/>
    <w:rsid w:val="00F52DF8"/>
    <w:rsid w:val="00F536E1"/>
    <w:rsid w:val="00F54687"/>
    <w:rsid w:val="00F57790"/>
    <w:rsid w:val="00F65A9D"/>
    <w:rsid w:val="00F72FE8"/>
    <w:rsid w:val="00F7538F"/>
    <w:rsid w:val="00F773D0"/>
    <w:rsid w:val="00F836A5"/>
    <w:rsid w:val="00F86D33"/>
    <w:rsid w:val="00F8765D"/>
    <w:rsid w:val="00F90884"/>
    <w:rsid w:val="00F93412"/>
    <w:rsid w:val="00F93A8A"/>
    <w:rsid w:val="00F96D52"/>
    <w:rsid w:val="00FA170D"/>
    <w:rsid w:val="00FA1A77"/>
    <w:rsid w:val="00FB3D84"/>
    <w:rsid w:val="00FC085E"/>
    <w:rsid w:val="00FC2BCB"/>
    <w:rsid w:val="00FC4261"/>
    <w:rsid w:val="00FD3D23"/>
    <w:rsid w:val="00FD6A01"/>
    <w:rsid w:val="00FE521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71"/>
  </w:style>
  <w:style w:type="paragraph" w:styleId="Heading2">
    <w:name w:val="heading 2"/>
    <w:basedOn w:val="Normal"/>
    <w:next w:val="Normal"/>
    <w:link w:val="Heading2Char"/>
    <w:qFormat/>
    <w:rsid w:val="00424471"/>
    <w:pPr>
      <w:keepNext/>
      <w:spacing w:before="240" w:after="60" w:line="240" w:lineRule="auto"/>
      <w:outlineLvl w:val="1"/>
    </w:pPr>
    <w:rPr>
      <w:rFonts w:ascii="Arial" w:eastAsia="Calibri"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471"/>
    <w:rPr>
      <w:rFonts w:ascii="Arial" w:eastAsia="Calibri" w:hAnsi="Arial" w:cs="Arial"/>
      <w:b/>
      <w:bCs/>
      <w:i/>
      <w:iCs/>
      <w:sz w:val="28"/>
      <w:szCs w:val="28"/>
    </w:rPr>
  </w:style>
  <w:style w:type="character" w:customStyle="1" w:styleId="BodyText2Char">
    <w:name w:val="Body Text 2 Char"/>
    <w:link w:val="BodyText2"/>
    <w:semiHidden/>
    <w:locked/>
    <w:rsid w:val="00424471"/>
    <w:rPr>
      <w:rFonts w:ascii="Garamond" w:eastAsia="Calibri" w:hAnsi="Garamond"/>
      <w:sz w:val="28"/>
      <w:szCs w:val="28"/>
    </w:rPr>
  </w:style>
  <w:style w:type="paragraph" w:styleId="BodyText2">
    <w:name w:val="Body Text 2"/>
    <w:basedOn w:val="Normal"/>
    <w:link w:val="BodyText2Char"/>
    <w:semiHidden/>
    <w:rsid w:val="00424471"/>
    <w:pPr>
      <w:spacing w:after="0" w:line="240" w:lineRule="auto"/>
      <w:jc w:val="right"/>
    </w:pPr>
    <w:rPr>
      <w:rFonts w:ascii="Garamond" w:eastAsia="Calibri" w:hAnsi="Garamond"/>
      <w:sz w:val="28"/>
      <w:szCs w:val="28"/>
    </w:rPr>
  </w:style>
  <w:style w:type="character" w:customStyle="1" w:styleId="BodyText2Char1">
    <w:name w:val="Body Text 2 Char1"/>
    <w:basedOn w:val="DefaultParagraphFont"/>
    <w:uiPriority w:val="99"/>
    <w:semiHidden/>
    <w:rsid w:val="00424471"/>
  </w:style>
  <w:style w:type="table" w:styleId="TableGrid">
    <w:name w:val="Table Grid"/>
    <w:basedOn w:val="TableNormal"/>
    <w:uiPriority w:val="39"/>
    <w:rsid w:val="0042447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F6"/>
    <w:rPr>
      <w:color w:val="0000FF"/>
      <w:u w:val="single"/>
    </w:rPr>
  </w:style>
  <w:style w:type="paragraph" w:styleId="Header">
    <w:name w:val="header"/>
    <w:basedOn w:val="Normal"/>
    <w:link w:val="HeaderChar"/>
    <w:uiPriority w:val="99"/>
    <w:unhideWhenUsed/>
    <w:rsid w:val="00325A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5ACB"/>
  </w:style>
  <w:style w:type="paragraph" w:styleId="Footer">
    <w:name w:val="footer"/>
    <w:basedOn w:val="Normal"/>
    <w:link w:val="FooterChar"/>
    <w:uiPriority w:val="99"/>
    <w:unhideWhenUsed/>
    <w:rsid w:val="00325A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ACB"/>
  </w:style>
  <w:style w:type="paragraph" w:styleId="BalloonText">
    <w:name w:val="Balloon Text"/>
    <w:basedOn w:val="Normal"/>
    <w:link w:val="BalloonTextChar"/>
    <w:uiPriority w:val="99"/>
    <w:semiHidden/>
    <w:unhideWhenUsed/>
    <w:rsid w:val="00465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EDF"/>
    <w:rPr>
      <w:rFonts w:ascii="Segoe UI" w:hAnsi="Segoe UI" w:cs="Segoe UI"/>
      <w:sz w:val="18"/>
      <w:szCs w:val="18"/>
    </w:rPr>
  </w:style>
  <w:style w:type="paragraph" w:styleId="NoSpacing">
    <w:name w:val="No Spacing"/>
    <w:uiPriority w:val="1"/>
    <w:qFormat/>
    <w:rsid w:val="002A249E"/>
    <w:pPr>
      <w:spacing w:after="0" w:line="240" w:lineRule="auto"/>
    </w:pPr>
  </w:style>
  <w:style w:type="character" w:styleId="CommentReference">
    <w:name w:val="annotation reference"/>
    <w:basedOn w:val="DefaultParagraphFont"/>
    <w:uiPriority w:val="99"/>
    <w:semiHidden/>
    <w:unhideWhenUsed/>
    <w:rsid w:val="001B6715"/>
    <w:rPr>
      <w:sz w:val="16"/>
      <w:szCs w:val="16"/>
    </w:rPr>
  </w:style>
  <w:style w:type="paragraph" w:styleId="CommentText">
    <w:name w:val="annotation text"/>
    <w:basedOn w:val="Normal"/>
    <w:link w:val="CommentTextChar"/>
    <w:uiPriority w:val="99"/>
    <w:semiHidden/>
    <w:unhideWhenUsed/>
    <w:rsid w:val="001B6715"/>
    <w:pPr>
      <w:spacing w:line="240" w:lineRule="auto"/>
    </w:pPr>
    <w:rPr>
      <w:sz w:val="20"/>
      <w:szCs w:val="20"/>
    </w:rPr>
  </w:style>
  <w:style w:type="character" w:customStyle="1" w:styleId="CommentTextChar">
    <w:name w:val="Comment Text Char"/>
    <w:basedOn w:val="DefaultParagraphFont"/>
    <w:link w:val="CommentText"/>
    <w:uiPriority w:val="99"/>
    <w:semiHidden/>
    <w:rsid w:val="001B6715"/>
    <w:rPr>
      <w:sz w:val="20"/>
      <w:szCs w:val="20"/>
    </w:rPr>
  </w:style>
  <w:style w:type="paragraph" w:styleId="CommentSubject">
    <w:name w:val="annotation subject"/>
    <w:basedOn w:val="CommentText"/>
    <w:next w:val="CommentText"/>
    <w:link w:val="CommentSubjectChar"/>
    <w:uiPriority w:val="99"/>
    <w:semiHidden/>
    <w:unhideWhenUsed/>
    <w:rsid w:val="001B6715"/>
    <w:rPr>
      <w:b/>
      <w:bCs/>
    </w:rPr>
  </w:style>
  <w:style w:type="character" w:customStyle="1" w:styleId="CommentSubjectChar">
    <w:name w:val="Comment Subject Char"/>
    <w:basedOn w:val="CommentTextChar"/>
    <w:link w:val="CommentSubject"/>
    <w:uiPriority w:val="99"/>
    <w:semiHidden/>
    <w:rsid w:val="001B6715"/>
    <w:rPr>
      <w:b/>
      <w:bCs/>
      <w:sz w:val="20"/>
      <w:szCs w:val="20"/>
    </w:rPr>
  </w:style>
  <w:style w:type="paragraph" w:styleId="ListParagraph">
    <w:name w:val="List Paragraph"/>
    <w:basedOn w:val="Normal"/>
    <w:uiPriority w:val="34"/>
    <w:qFormat/>
    <w:rsid w:val="005D1FF1"/>
    <w:pPr>
      <w:ind w:left="720"/>
      <w:contextualSpacing/>
    </w:pPr>
  </w:style>
  <w:style w:type="character" w:styleId="FootnoteReference">
    <w:name w:val="footnote reference"/>
    <w:basedOn w:val="DefaultParagraphFont"/>
    <w:uiPriority w:val="99"/>
    <w:semiHidden/>
    <w:unhideWhenUsed/>
    <w:rsid w:val="00643F42"/>
    <w:rPr>
      <w:vertAlign w:val="superscript"/>
    </w:rPr>
  </w:style>
  <w:style w:type="paragraph" w:styleId="FootnoteText">
    <w:name w:val="footnote text"/>
    <w:basedOn w:val="Normal"/>
    <w:link w:val="FootnoteTextChar"/>
    <w:uiPriority w:val="99"/>
    <w:semiHidden/>
    <w:unhideWhenUsed/>
    <w:rsid w:val="00983C82"/>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983C82"/>
    <w:rPr>
      <w:sz w:val="20"/>
      <w:szCs w:val="20"/>
    </w:rPr>
  </w:style>
  <w:style w:type="character" w:customStyle="1" w:styleId="s7d2086b4">
    <w:name w:val="s7d2086b4"/>
    <w:basedOn w:val="DefaultParagraphFont"/>
    <w:rsid w:val="00983C82"/>
  </w:style>
  <w:style w:type="table" w:customStyle="1" w:styleId="TableGrid1">
    <w:name w:val="Table Grid1"/>
    <w:basedOn w:val="TableNormal"/>
    <w:next w:val="TableGrid"/>
    <w:uiPriority w:val="39"/>
    <w:rsid w:val="001F414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39CF"/>
    <w:rPr>
      <w:color w:val="605E5C"/>
      <w:shd w:val="clear" w:color="auto" w:fill="E1DFDD"/>
    </w:rPr>
  </w:style>
  <w:style w:type="character" w:styleId="FollowedHyperlink">
    <w:name w:val="FollowedHyperlink"/>
    <w:basedOn w:val="DefaultParagraphFont"/>
    <w:uiPriority w:val="99"/>
    <w:semiHidden/>
    <w:unhideWhenUsed/>
    <w:rsid w:val="00A83A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00645">
      <w:bodyDiv w:val="1"/>
      <w:marLeft w:val="0"/>
      <w:marRight w:val="0"/>
      <w:marTop w:val="0"/>
      <w:marBottom w:val="0"/>
      <w:divBdr>
        <w:top w:val="none" w:sz="0" w:space="0" w:color="auto"/>
        <w:left w:val="none" w:sz="0" w:space="0" w:color="auto"/>
        <w:bottom w:val="none" w:sz="0" w:space="0" w:color="auto"/>
        <w:right w:val="none" w:sz="0" w:space="0" w:color="auto"/>
      </w:divBdr>
    </w:div>
    <w:div w:id="1653951572">
      <w:bodyDiv w:val="1"/>
      <w:marLeft w:val="0"/>
      <w:marRight w:val="0"/>
      <w:marTop w:val="0"/>
      <w:marBottom w:val="0"/>
      <w:divBdr>
        <w:top w:val="none" w:sz="0" w:space="0" w:color="auto"/>
        <w:left w:val="none" w:sz="0" w:space="0" w:color="auto"/>
        <w:bottom w:val="none" w:sz="0" w:space="0" w:color="auto"/>
        <w:right w:val="none" w:sz="0" w:space="0" w:color="auto"/>
      </w:divBdr>
    </w:div>
    <w:div w:id="18537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600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5DBB-C9CF-4825-B3BE-CEB6AA93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4742</Words>
  <Characters>2704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2022-01-20T09:31:00Z</dcterms:created>
  <dcterms:modified xsi:type="dcterms:W3CDTF">2022-01-20T09:31:00Z</dcterms:modified>
</cp:coreProperties>
</file>