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FEF" w14:textId="3A16A654" w:rsidR="004A15F6" w:rsidRDefault="004A15F6" w:rsidP="004A15F6">
      <w:pPr>
        <w:spacing w:line="276" w:lineRule="auto"/>
        <w:jc w:val="both"/>
        <w:rPr>
          <w:b/>
          <w:bCs/>
        </w:rPr>
      </w:pPr>
      <w:r w:rsidRPr="00711B74">
        <w:rPr>
          <w:b/>
          <w:bCs/>
        </w:rPr>
        <w:t xml:space="preserve">Pašvaldības pienākuma </w:t>
      </w:r>
      <w:r w:rsidRPr="00711B74">
        <w:t xml:space="preserve">– </w:t>
      </w:r>
      <w:r w:rsidRPr="00711B74">
        <w:rPr>
          <w:b/>
          <w:bCs/>
        </w:rPr>
        <w:t xml:space="preserve">nodrošināt bērna nokļūšanu skolā </w:t>
      </w:r>
      <w:r w:rsidRPr="00711B74">
        <w:t xml:space="preserve">– </w:t>
      </w:r>
      <w:r w:rsidRPr="00711B74">
        <w:rPr>
          <w:b/>
          <w:bCs/>
        </w:rPr>
        <w:t>robežas</w:t>
      </w:r>
    </w:p>
    <w:p w14:paraId="710559FA" w14:textId="29E37A96" w:rsidR="00D03228" w:rsidRPr="00711B74" w:rsidRDefault="00D03228" w:rsidP="004A15F6">
      <w:pPr>
        <w:spacing w:line="276" w:lineRule="auto"/>
        <w:jc w:val="both"/>
        <w:rPr>
          <w:b/>
          <w:bCs/>
        </w:rPr>
      </w:pPr>
      <w:r>
        <w:rPr>
          <w:rFonts w:ascii="TimesNewRomanPSMT" w:hAnsi="TimesNewRomanPSMT"/>
        </w:rPr>
        <w:t>Tiesību normās ietvertās tiesības izvēlēties skolu un pašvaldības pienākums nodrošināt nokļūšanu uz skolu un atpakaļ nav saprotams tādā veidā, ka pašvaldībai būtu jānodrošina bērna nokļūšana uz jebkuru skolu. Tikai tad, ja nav iespējams izglītību iegūt konkrētajā pašvaldībā, pašvaldībai ir pienākums segt izglītojamā transporta izdevumus.</w:t>
      </w:r>
    </w:p>
    <w:p w14:paraId="3079BE86" w14:textId="65016C37" w:rsidR="009C0BA3" w:rsidRPr="00711B74" w:rsidRDefault="009C0BA3" w:rsidP="004A15F6">
      <w:pPr>
        <w:pStyle w:val="BodyText2"/>
        <w:spacing w:after="0" w:line="276" w:lineRule="auto"/>
      </w:pPr>
    </w:p>
    <w:p w14:paraId="042D390A" w14:textId="77777777" w:rsidR="004A15F6" w:rsidRPr="00711B74" w:rsidRDefault="004A15F6" w:rsidP="00774388">
      <w:pPr>
        <w:spacing w:line="276" w:lineRule="auto"/>
        <w:jc w:val="center"/>
        <w:rPr>
          <w:b/>
        </w:rPr>
      </w:pPr>
      <w:r w:rsidRPr="00711B74">
        <w:rPr>
          <w:b/>
        </w:rPr>
        <w:t>Latvijas Republikas Senāta</w:t>
      </w:r>
    </w:p>
    <w:p w14:paraId="5287F0D8" w14:textId="77777777" w:rsidR="004A15F6" w:rsidRPr="00711B74" w:rsidRDefault="004A15F6" w:rsidP="00774388">
      <w:pPr>
        <w:spacing w:line="276" w:lineRule="auto"/>
        <w:jc w:val="center"/>
        <w:rPr>
          <w:b/>
        </w:rPr>
      </w:pPr>
      <w:r w:rsidRPr="00711B74">
        <w:rPr>
          <w:b/>
        </w:rPr>
        <w:t xml:space="preserve">Administratīvo lietu departamenta </w:t>
      </w:r>
    </w:p>
    <w:p w14:paraId="051DD6A0" w14:textId="335F347A" w:rsidR="00772A7C" w:rsidRPr="00711B74" w:rsidRDefault="004A15F6" w:rsidP="00774388">
      <w:pPr>
        <w:spacing w:line="276" w:lineRule="auto"/>
        <w:jc w:val="center"/>
        <w:rPr>
          <w:b/>
        </w:rPr>
      </w:pPr>
      <w:proofErr w:type="gramStart"/>
      <w:r w:rsidRPr="00711B74">
        <w:rPr>
          <w:b/>
        </w:rPr>
        <w:t>2022.gada</w:t>
      </w:r>
      <w:proofErr w:type="gramEnd"/>
      <w:r w:rsidRPr="00711B74">
        <w:rPr>
          <w:b/>
        </w:rPr>
        <w:t xml:space="preserve"> 24.janvāra</w:t>
      </w:r>
      <w:r w:rsidR="00772A7C" w:rsidRPr="00711B74">
        <w:rPr>
          <w:b/>
        </w:rPr>
        <w:t xml:space="preserve"> </w:t>
      </w:r>
    </w:p>
    <w:p w14:paraId="78A8A624" w14:textId="18073B79" w:rsidR="009C0BA3" w:rsidRPr="00711B74" w:rsidRDefault="00DF187F" w:rsidP="00774388">
      <w:pPr>
        <w:spacing w:line="276" w:lineRule="auto"/>
        <w:jc w:val="center"/>
        <w:rPr>
          <w:b/>
        </w:rPr>
      </w:pPr>
      <w:r w:rsidRPr="00711B74">
        <w:rPr>
          <w:b/>
        </w:rPr>
        <w:t>RĪCĪBAS SĒDES</w:t>
      </w:r>
      <w:r w:rsidR="00606650" w:rsidRPr="00711B74">
        <w:rPr>
          <w:b/>
        </w:rPr>
        <w:t xml:space="preserve"> LĒMUMS</w:t>
      </w:r>
    </w:p>
    <w:p w14:paraId="33ED1646" w14:textId="5467A0C8" w:rsidR="004A15F6" w:rsidRPr="00711B74" w:rsidRDefault="004A15F6" w:rsidP="004A15F6">
      <w:pPr>
        <w:spacing w:line="276" w:lineRule="auto"/>
        <w:jc w:val="center"/>
        <w:rPr>
          <w:b/>
        </w:rPr>
      </w:pPr>
      <w:r w:rsidRPr="00711B74">
        <w:rPr>
          <w:b/>
        </w:rPr>
        <w:t>Lietā Nr. A420142920, SKA-387/2022</w:t>
      </w:r>
    </w:p>
    <w:p w14:paraId="13994BDA" w14:textId="509015FA" w:rsidR="00C52066" w:rsidRPr="00711B74" w:rsidRDefault="00440E4B" w:rsidP="004A15F6">
      <w:pPr>
        <w:spacing w:line="276" w:lineRule="auto"/>
        <w:ind w:firstLine="567"/>
        <w:jc w:val="center"/>
      </w:pPr>
      <w:hyperlink r:id="rId7" w:history="1">
        <w:r w:rsidR="004A15F6" w:rsidRPr="00711B74">
          <w:rPr>
            <w:rStyle w:val="Hyperlink"/>
          </w:rPr>
          <w:t>ECLI:LV:AT:2022:0124.A420142920.9.L</w:t>
        </w:r>
      </w:hyperlink>
    </w:p>
    <w:p w14:paraId="42A7FB40" w14:textId="77777777" w:rsidR="004A15F6" w:rsidRPr="00711B74" w:rsidRDefault="004A15F6" w:rsidP="004A15F6">
      <w:pPr>
        <w:spacing w:line="276" w:lineRule="auto"/>
        <w:ind w:firstLine="567"/>
        <w:jc w:val="center"/>
      </w:pPr>
    </w:p>
    <w:p w14:paraId="6744985F" w14:textId="1BF37ED6" w:rsidR="00D100CC" w:rsidRPr="00711B74" w:rsidRDefault="00DF187F" w:rsidP="0022387D">
      <w:pPr>
        <w:spacing w:line="276" w:lineRule="auto"/>
        <w:ind w:firstLine="567"/>
        <w:jc w:val="both"/>
      </w:pPr>
      <w:r w:rsidRPr="00711B74">
        <w:t>[1]</w:t>
      </w:r>
      <w:r w:rsidR="0020439B" w:rsidRPr="00711B74">
        <w:t xml:space="preserve"> </w:t>
      </w:r>
      <w:r w:rsidR="008C0BD7" w:rsidRPr="00711B74">
        <w:t>Senātā saņemta pieteicēj</w:t>
      </w:r>
      <w:r w:rsidR="00D100CC" w:rsidRPr="00711B74">
        <w:t xml:space="preserve">as </w:t>
      </w:r>
      <w:r w:rsidR="004A15F6" w:rsidRPr="00711B74">
        <w:t xml:space="preserve">[pers. A] </w:t>
      </w:r>
      <w:r w:rsidR="008C0BD7" w:rsidRPr="00711B74">
        <w:t xml:space="preserve">kasācijas </w:t>
      </w:r>
      <w:r w:rsidR="00125252" w:rsidRPr="00711B74">
        <w:t>sūdzība par</w:t>
      </w:r>
      <w:r w:rsidR="008C0BD7" w:rsidRPr="00711B74">
        <w:t xml:space="preserve"> </w:t>
      </w:r>
      <w:r w:rsidR="00553BCC" w:rsidRPr="00711B74">
        <w:t xml:space="preserve">Administratīvās </w:t>
      </w:r>
      <w:r w:rsidR="008C0BD7" w:rsidRPr="00711B74">
        <w:t>apgabal</w:t>
      </w:r>
      <w:r w:rsidR="00553BCC" w:rsidRPr="00711B74">
        <w:t>tiesas</w:t>
      </w:r>
      <w:r w:rsidR="008C0BD7" w:rsidRPr="00711B74">
        <w:t xml:space="preserve"> </w:t>
      </w:r>
      <w:proofErr w:type="gramStart"/>
      <w:r w:rsidR="008C0BD7" w:rsidRPr="00711B74">
        <w:t>202</w:t>
      </w:r>
      <w:r w:rsidR="00D100CC" w:rsidRPr="00711B74">
        <w:t>1</w:t>
      </w:r>
      <w:r w:rsidR="008C0BD7" w:rsidRPr="00711B74">
        <w:t>.gada</w:t>
      </w:r>
      <w:proofErr w:type="gramEnd"/>
      <w:r w:rsidR="008C0BD7" w:rsidRPr="00711B74">
        <w:t xml:space="preserve"> </w:t>
      </w:r>
      <w:r w:rsidR="00D100CC" w:rsidRPr="00711B74">
        <w:t>15.februāra</w:t>
      </w:r>
      <w:r w:rsidR="00553BCC" w:rsidRPr="00711B74">
        <w:t xml:space="preserve"> spriedumu</w:t>
      </w:r>
      <w:r w:rsidR="008C0BD7" w:rsidRPr="00711B74">
        <w:t>, ar kuru</w:t>
      </w:r>
      <w:r w:rsidR="00553BCC" w:rsidRPr="00711B74">
        <w:t xml:space="preserve"> </w:t>
      </w:r>
      <w:r w:rsidR="008C0BD7" w:rsidRPr="00711B74">
        <w:t xml:space="preserve">noraidīts pieteikums </w:t>
      </w:r>
      <w:r w:rsidR="00245118" w:rsidRPr="00711B74">
        <w:t xml:space="preserve">par </w:t>
      </w:r>
      <w:r w:rsidR="00D100CC" w:rsidRPr="00711B74">
        <w:t xml:space="preserve">Krimuldas novada domes 2020.gada 23.janvāra lēmuma atzīšanu par prettiesisku, labvēlīga administratīvā akta izdošanu, ar kuru </w:t>
      </w:r>
      <w:r w:rsidR="00291C78" w:rsidRPr="00711B74">
        <w:t>tiktu</w:t>
      </w:r>
      <w:r w:rsidR="00D100CC" w:rsidRPr="00711B74">
        <w:t xml:space="preserve"> pagarināt</w:t>
      </w:r>
      <w:r w:rsidR="00291C78" w:rsidRPr="00711B74">
        <w:t>s</w:t>
      </w:r>
      <w:r w:rsidR="00D100CC" w:rsidRPr="00711B74">
        <w:t xml:space="preserve"> skolēnu pārvadājumu maršrut</w:t>
      </w:r>
      <w:r w:rsidR="00291C78" w:rsidRPr="00711B74">
        <w:t>s</w:t>
      </w:r>
      <w:r w:rsidR="00D100CC" w:rsidRPr="00711B74">
        <w:t xml:space="preserve"> līdz pieturai „Bīriņu pils”, </w:t>
      </w:r>
      <w:r w:rsidR="000A0C89" w:rsidRPr="00711B74">
        <w:t xml:space="preserve">kā arī </w:t>
      </w:r>
      <w:r w:rsidR="00D100CC" w:rsidRPr="00711B74">
        <w:t>nemantiskā kaitējuma un mantisko zaudējumu atlīdzināšanu.</w:t>
      </w:r>
    </w:p>
    <w:p w14:paraId="07A3D6E0" w14:textId="249DCBBC" w:rsidR="00DE2F26" w:rsidRPr="00711B74" w:rsidRDefault="00A25401" w:rsidP="0022387D">
      <w:pPr>
        <w:spacing w:line="276" w:lineRule="auto"/>
        <w:ind w:firstLine="567"/>
        <w:jc w:val="both"/>
      </w:pPr>
      <w:r w:rsidRPr="00711B74">
        <w:t>Tiesa</w:t>
      </w:r>
      <w:r w:rsidR="00195C4F" w:rsidRPr="00711B74">
        <w:t xml:space="preserve"> secināja, ka </w:t>
      </w:r>
      <w:r w:rsidR="00D100CC" w:rsidRPr="00711B74">
        <w:t>vecākiem ir tiesības reģistrēt bērnu citas pašvaldības administratīvās teritorijas izglītības iestādē</w:t>
      </w:r>
      <w:r w:rsidR="00195C4F" w:rsidRPr="00711B74">
        <w:t xml:space="preserve">, taču </w:t>
      </w:r>
      <w:r w:rsidR="00D100CC" w:rsidRPr="00711B74">
        <w:t>tas nerada šai citai pašvaldībai pienākumu nodrošināt bērna nokļūšanu</w:t>
      </w:r>
      <w:r w:rsidR="000A0C89" w:rsidRPr="00711B74">
        <w:t xml:space="preserve"> līdz tai</w:t>
      </w:r>
      <w:r w:rsidR="00D100CC" w:rsidRPr="00711B74">
        <w:t>. Nevienā tiesību normā šāds pienākums pašvaldībai attiecībā uz citas pašvaldības teritorijā deklarētajiem un dzīvojošiem bērniem nav noteikts</w:t>
      </w:r>
      <w:r w:rsidR="003163B7" w:rsidRPr="00711B74">
        <w:t>.</w:t>
      </w:r>
      <w:r w:rsidR="00195C4F" w:rsidRPr="00711B74">
        <w:t xml:space="preserve"> Tikai tad, ja nav iespējams izglītību iegūt konkrētajā pašvaldībā, pašvaldībai ir pienākums segt izglītojamā transporta izdevumus. </w:t>
      </w:r>
      <w:r w:rsidR="003049FB" w:rsidRPr="00711B74">
        <w:t>P</w:t>
      </w:r>
      <w:r w:rsidR="00195C4F" w:rsidRPr="00711B74">
        <w:t xml:space="preserve">ieteicējas meita varēja iegūt pamatizglītību Limbažu novada pašvaldības teritorijā, līdz ar to Krimuldas novada pašvaldībai nebija pienākuma </w:t>
      </w:r>
      <w:r w:rsidR="003049FB" w:rsidRPr="00711B74">
        <w:t xml:space="preserve">nodrošināt nokļūšanu skolā. </w:t>
      </w:r>
      <w:r w:rsidR="008F3678" w:rsidRPr="00711B74">
        <w:t>K</w:t>
      </w:r>
      <w:r w:rsidR="003049FB" w:rsidRPr="00711B74">
        <w:t>onkrētais gadījums nav netipisks</w:t>
      </w:r>
      <w:r w:rsidR="008F3678" w:rsidRPr="00711B74">
        <w:t>. A</w:t>
      </w:r>
      <w:r w:rsidR="003049FB" w:rsidRPr="00711B74">
        <w:t>tbildētāja nav pieļāvusi nepamatotu atšķirīgu attieksmi.</w:t>
      </w:r>
    </w:p>
    <w:p w14:paraId="23A15EE9" w14:textId="77777777" w:rsidR="00265CBF" w:rsidRPr="00711B74" w:rsidRDefault="00265CBF" w:rsidP="0022387D">
      <w:pPr>
        <w:spacing w:line="276" w:lineRule="auto"/>
        <w:ind w:firstLine="567"/>
        <w:jc w:val="both"/>
      </w:pPr>
    </w:p>
    <w:p w14:paraId="1767307A" w14:textId="221454B6" w:rsidR="00853658" w:rsidRPr="00711B74" w:rsidRDefault="00216A6D" w:rsidP="00F45648">
      <w:pPr>
        <w:spacing w:line="276" w:lineRule="auto"/>
        <w:ind w:firstLine="567"/>
        <w:jc w:val="both"/>
      </w:pPr>
      <w:r w:rsidRPr="00711B74">
        <w:t xml:space="preserve">[2] </w:t>
      </w:r>
      <w:bookmarkStart w:id="0" w:name="_Hlk79407037"/>
      <w:r w:rsidR="00261F97" w:rsidRPr="00711B74">
        <w:t xml:space="preserve">Kasācijas sūdzībā </w:t>
      </w:r>
      <w:r w:rsidR="00DF2E58" w:rsidRPr="00711B74">
        <w:t xml:space="preserve">norādīts, ka </w:t>
      </w:r>
      <w:r w:rsidR="00F45648" w:rsidRPr="00711B74">
        <w:t xml:space="preserve">atbilstoši Administratīvā procesa likuma </w:t>
      </w:r>
      <w:proofErr w:type="gramStart"/>
      <w:r w:rsidR="00F45648" w:rsidRPr="00711B74">
        <w:t>206.panta</w:t>
      </w:r>
      <w:proofErr w:type="gramEnd"/>
      <w:r w:rsidR="00F45648" w:rsidRPr="00711B74">
        <w:t xml:space="preserve"> otrajai daļai lieta</w:t>
      </w:r>
      <w:r w:rsidR="008F3678" w:rsidRPr="00711B74">
        <w:t xml:space="preserve"> bija </w:t>
      </w:r>
      <w:proofErr w:type="spellStart"/>
      <w:r w:rsidR="008F3678" w:rsidRPr="00711B74">
        <w:t>jā</w:t>
      </w:r>
      <w:r w:rsidR="00F45648" w:rsidRPr="00711B74">
        <w:t>zskat</w:t>
      </w:r>
      <w:r w:rsidR="008F3678" w:rsidRPr="00711B74">
        <w:t>a</w:t>
      </w:r>
      <w:proofErr w:type="spellEnd"/>
      <w:r w:rsidR="00F45648" w:rsidRPr="00711B74">
        <w:t xml:space="preserve"> mutvārdu procesā, jo to apelācijas sūdzībā bija lūgusi pieteicēja. </w:t>
      </w:r>
    </w:p>
    <w:p w14:paraId="25CADB06" w14:textId="0338B7E0" w:rsidR="00FC7107" w:rsidRPr="00711B74" w:rsidRDefault="0073508F" w:rsidP="00F45648">
      <w:pPr>
        <w:spacing w:line="276" w:lineRule="auto"/>
        <w:ind w:firstLine="567"/>
        <w:jc w:val="both"/>
      </w:pPr>
      <w:r w:rsidRPr="00711B74">
        <w:t>Šis arguments nav pamatots. Minētais pants attiecas uz lietas izskatīšanu pirmās instances tiesā.</w:t>
      </w:r>
      <w:r w:rsidR="004835ED" w:rsidRPr="00711B74">
        <w:t xml:space="preserve"> Atbilstoši Administratīvā procesa likuma </w:t>
      </w:r>
      <w:proofErr w:type="gramStart"/>
      <w:r w:rsidR="004835ED" w:rsidRPr="00711B74">
        <w:t>304.panta</w:t>
      </w:r>
      <w:proofErr w:type="gramEnd"/>
      <w:r w:rsidR="004835ED" w:rsidRPr="00711B74">
        <w:t xml:space="preserve"> pirmajai daļai apgabaltiesa lietu izskata rakstveida procesā. Izvērtējot procesa dalībnieka lūgumu, tiesa var noteikt lietas izskatīšanu mutvārdu procesā. </w:t>
      </w:r>
      <w:r w:rsidR="008F3678" w:rsidRPr="00711B74">
        <w:t>Apgabalt</w:t>
      </w:r>
      <w:r w:rsidR="004835ED" w:rsidRPr="00711B74">
        <w:t xml:space="preserve">iesa </w:t>
      </w:r>
      <w:proofErr w:type="gramStart"/>
      <w:r w:rsidR="004835ED" w:rsidRPr="00711B74">
        <w:t>2020.gada</w:t>
      </w:r>
      <w:proofErr w:type="gramEnd"/>
      <w:r w:rsidR="004835ED" w:rsidRPr="00711B74">
        <w:t xml:space="preserve"> 24.novembra lēmumā ir noraidījusi pieteicējas lūgumu, </w:t>
      </w:r>
      <w:r w:rsidR="008F3678" w:rsidRPr="00711B74">
        <w:t xml:space="preserve">secinot, ka </w:t>
      </w:r>
      <w:r w:rsidR="004835ED" w:rsidRPr="00711B74">
        <w:t>liet</w:t>
      </w:r>
      <w:r w:rsidR="0070242B" w:rsidRPr="00711B74">
        <w:t>as</w:t>
      </w:r>
      <w:r w:rsidR="004835ED" w:rsidRPr="00711B74">
        <w:t xml:space="preserve"> materiāli ir pietiekami, lai lietu objektīvi izskatītu rakstveida procesā.</w:t>
      </w:r>
    </w:p>
    <w:p w14:paraId="3D55A6D1" w14:textId="77777777" w:rsidR="00C57B04" w:rsidRPr="00711B74" w:rsidRDefault="00C57B04" w:rsidP="004A0581">
      <w:pPr>
        <w:spacing w:line="276" w:lineRule="auto"/>
        <w:ind w:firstLine="567"/>
        <w:jc w:val="both"/>
      </w:pPr>
    </w:p>
    <w:p w14:paraId="52B11468" w14:textId="0765B523" w:rsidR="004B14BC" w:rsidRPr="00711B74" w:rsidRDefault="00C57B04" w:rsidP="006629B7">
      <w:pPr>
        <w:spacing w:line="276" w:lineRule="auto"/>
        <w:ind w:firstLine="567"/>
        <w:jc w:val="both"/>
      </w:pPr>
      <w:r w:rsidRPr="00711B74">
        <w:t>[</w:t>
      </w:r>
      <w:r w:rsidR="00A46BF6" w:rsidRPr="00711B74">
        <w:t>3</w:t>
      </w:r>
      <w:r w:rsidRPr="00711B74">
        <w:t>]</w:t>
      </w:r>
      <w:bookmarkEnd w:id="0"/>
      <w:r w:rsidR="00A52430" w:rsidRPr="00711B74">
        <w:t xml:space="preserve"> </w:t>
      </w:r>
      <w:r w:rsidR="004B14BC" w:rsidRPr="00711B74">
        <w:t>K</w:t>
      </w:r>
      <w:r w:rsidR="006629B7" w:rsidRPr="00711B74">
        <w:t xml:space="preserve">asācijas sūdzībā norādīts uz Latvijas Republikas </w:t>
      </w:r>
      <w:r w:rsidR="0070242B" w:rsidRPr="00711B74">
        <w:t>Satversmes, Vispārējās cilvēktiesību deklarācijas, Izglītības likuma, Bērnu tiesību aizsardzības likuma</w:t>
      </w:r>
      <w:r w:rsidR="006629B7" w:rsidRPr="00711B74">
        <w:t xml:space="preserve"> normām, no kurām pieteicēja izsecina</w:t>
      </w:r>
      <w:r w:rsidR="007B1599" w:rsidRPr="00711B74">
        <w:t xml:space="preserve">, ka </w:t>
      </w:r>
      <w:r w:rsidR="0070242B" w:rsidRPr="00711B74">
        <w:t xml:space="preserve">tiesības izvēlēties bērnam jebkuru izglītības iestādi </w:t>
      </w:r>
      <w:r w:rsidR="007B1599" w:rsidRPr="00711B74">
        <w:t>nozīmē arī to, ka pašvaldībai jānodrošina bērna nokļūšana līdz šai iestādei un atpakaļ uz mājām</w:t>
      </w:r>
      <w:r w:rsidR="0070242B" w:rsidRPr="00711B74">
        <w:t xml:space="preserve">. </w:t>
      </w:r>
      <w:r w:rsidR="004B14BC" w:rsidRPr="00711B74">
        <w:t>Pieteicējas ieskatā šādas t</w:t>
      </w:r>
      <w:r w:rsidR="0070242B" w:rsidRPr="00711B74">
        <w:t>iesības ir absolūtas</w:t>
      </w:r>
      <w:r w:rsidR="003243E9" w:rsidRPr="00711B74">
        <w:t xml:space="preserve">. </w:t>
      </w:r>
    </w:p>
    <w:p w14:paraId="33D0C634" w14:textId="3B41405D" w:rsidR="0026524D" w:rsidRPr="00711B74" w:rsidRDefault="007B1599" w:rsidP="00976CED">
      <w:pPr>
        <w:spacing w:line="276" w:lineRule="auto"/>
        <w:ind w:firstLine="567"/>
        <w:jc w:val="both"/>
      </w:pPr>
      <w:r w:rsidRPr="00711B74">
        <w:t>K</w:t>
      </w:r>
      <w:r w:rsidR="00976CED" w:rsidRPr="00711B74">
        <w:t xml:space="preserve">ā </w:t>
      </w:r>
      <w:r w:rsidR="00201041" w:rsidRPr="00711B74">
        <w:t>pamatoti norādījusi apgabaltiesa,</w:t>
      </w:r>
      <w:proofErr w:type="gramStart"/>
      <w:r w:rsidR="00201041" w:rsidRPr="00711B74">
        <w:t xml:space="preserve"> </w:t>
      </w:r>
      <w:r w:rsidR="00976CED" w:rsidRPr="00711B74">
        <w:t xml:space="preserve"> </w:t>
      </w:r>
      <w:proofErr w:type="gramEnd"/>
      <w:r w:rsidR="00976CED" w:rsidRPr="00711B74">
        <w:t xml:space="preserve">Senāts </w:t>
      </w:r>
      <w:r w:rsidR="00201041" w:rsidRPr="00711B74">
        <w:t xml:space="preserve">jau </w:t>
      </w:r>
      <w:r w:rsidR="00976CED" w:rsidRPr="00711B74">
        <w:t>ir atzinis, ka no Izglītības likuma normām neizriet pašvaldības pienākums nodrošināt bērnu nokļūšanu</w:t>
      </w:r>
      <w:r w:rsidR="00201041" w:rsidRPr="00711B74">
        <w:t xml:space="preserve"> </w:t>
      </w:r>
      <w:r w:rsidR="00976CED" w:rsidRPr="00711B74">
        <w:t>uz visām skolām, kas ir pašvaldības apkārtnē</w:t>
      </w:r>
      <w:r w:rsidR="003D7F19" w:rsidRPr="00711B74">
        <w:t xml:space="preserve"> (</w:t>
      </w:r>
      <w:r w:rsidR="003D7F19" w:rsidRPr="00711B74">
        <w:rPr>
          <w:i/>
          <w:iCs/>
        </w:rPr>
        <w:t xml:space="preserve">Senāta 2007.gada 7.novembra sprieduma lietā </w:t>
      </w:r>
      <w:proofErr w:type="spellStart"/>
      <w:r w:rsidR="003D7F19" w:rsidRPr="00711B74">
        <w:rPr>
          <w:i/>
          <w:iCs/>
        </w:rPr>
        <w:t>Nr.SKA-506</w:t>
      </w:r>
      <w:proofErr w:type="spellEnd"/>
      <w:r w:rsidR="003D7F19" w:rsidRPr="00711B74">
        <w:rPr>
          <w:i/>
          <w:iCs/>
        </w:rPr>
        <w:t>/2007 (A42195904) 14.punkts</w:t>
      </w:r>
      <w:r w:rsidR="003D7F19" w:rsidRPr="00711B74">
        <w:t>).</w:t>
      </w:r>
      <w:r w:rsidRPr="00711B74">
        <w:t xml:space="preserve"> </w:t>
      </w:r>
      <w:r w:rsidR="003D7F19" w:rsidRPr="00711B74">
        <w:t xml:space="preserve">Tiesību normās ietvertās tiesības izvēlēties skolu un pašvaldības pienākums </w:t>
      </w:r>
      <w:r w:rsidR="003D7F19" w:rsidRPr="00711B74">
        <w:lastRenderedPageBreak/>
        <w:t>nodrošināt nokļūšanu uz skolu un atpakaļ nav interpretējam</w:t>
      </w:r>
      <w:r w:rsidR="0093291D" w:rsidRPr="00711B74">
        <w:t xml:space="preserve">i </w:t>
      </w:r>
      <w:r w:rsidR="0026524D" w:rsidRPr="00711B74">
        <w:t xml:space="preserve">arī </w:t>
      </w:r>
      <w:r w:rsidR="003D7F19" w:rsidRPr="00711B74">
        <w:t xml:space="preserve">tādā veidā, ka </w:t>
      </w:r>
      <w:r w:rsidR="0026524D" w:rsidRPr="00711B74">
        <w:t>pašvaldībai būtu jānodrošina bērna nokļūšana uz jebkuru skolu. Ja šādas tiesības uzskatītu par absolūtām, tad pašvaldībai būtu jānodrošina, piemēram, bērna, kurš dzīvo Jēkabpilī, bet māc</w:t>
      </w:r>
      <w:r w:rsidR="005E1E8D" w:rsidRPr="00711B74">
        <w:t>ās</w:t>
      </w:r>
      <w:r w:rsidR="0026524D" w:rsidRPr="00711B74">
        <w:t xml:space="preserve"> Sigul</w:t>
      </w:r>
      <w:r w:rsidR="000A0C89" w:rsidRPr="00711B74">
        <w:t>d</w:t>
      </w:r>
      <w:r w:rsidR="0026524D" w:rsidRPr="00711B74">
        <w:t>ā, nokļūšana uz skolu un atpakaļ.</w:t>
      </w:r>
      <w:r w:rsidR="005E1E8D" w:rsidRPr="00711B74">
        <w:t xml:space="preserve"> </w:t>
      </w:r>
    </w:p>
    <w:p w14:paraId="7FEA525E" w14:textId="20EA425C" w:rsidR="003D7F19" w:rsidRPr="00711B74" w:rsidRDefault="0026524D" w:rsidP="001A2E5F">
      <w:pPr>
        <w:spacing w:line="276" w:lineRule="auto"/>
        <w:ind w:firstLine="567"/>
        <w:jc w:val="both"/>
      </w:pPr>
      <w:r w:rsidRPr="00711B74">
        <w:t>Tādējādi pareiz</w:t>
      </w:r>
      <w:r w:rsidR="001A2E5F" w:rsidRPr="00711B74">
        <w:t>i ir apgabaltiesas apsvērumi, ka pašvaldībai, īstenojot savas autonomās funkcijas, ir rīcības brīvība un tās robežas šajā lietā nav pārkāptas.</w:t>
      </w:r>
      <w:r w:rsidRPr="00711B74">
        <w:t xml:space="preserve"> </w:t>
      </w:r>
    </w:p>
    <w:p w14:paraId="440FD1CB" w14:textId="77777777" w:rsidR="004B14BC" w:rsidRPr="00711B74" w:rsidRDefault="004B14BC" w:rsidP="006629B7">
      <w:pPr>
        <w:spacing w:line="276" w:lineRule="auto"/>
        <w:ind w:firstLine="567"/>
        <w:jc w:val="both"/>
      </w:pPr>
    </w:p>
    <w:p w14:paraId="3A428420" w14:textId="2A88E8AA" w:rsidR="0070242B" w:rsidRPr="00711B74" w:rsidRDefault="001A2E5F" w:rsidP="006629B7">
      <w:pPr>
        <w:spacing w:line="276" w:lineRule="auto"/>
        <w:ind w:firstLine="567"/>
        <w:jc w:val="both"/>
      </w:pPr>
      <w:r w:rsidRPr="00711B74">
        <w:t xml:space="preserve">[4] Pieteicēja kasācijas sūdzībā norādījusi, ka viņas meita ir diskriminēta </w:t>
      </w:r>
      <w:r w:rsidR="003243E9" w:rsidRPr="00711B74">
        <w:t>pēc dzīvesvietas.</w:t>
      </w:r>
      <w:r w:rsidR="007053D0" w:rsidRPr="00711B74">
        <w:t xml:space="preserve"> Atbildētāj</w:t>
      </w:r>
      <w:r w:rsidRPr="00711B74">
        <w:t>a</w:t>
      </w:r>
      <w:r w:rsidR="007053D0" w:rsidRPr="00711B74">
        <w:t xml:space="preserve"> </w:t>
      </w:r>
      <w:r w:rsidRPr="00711B74">
        <w:t xml:space="preserve">esot </w:t>
      </w:r>
      <w:r w:rsidR="007053D0" w:rsidRPr="00711B74">
        <w:t>nodrošin</w:t>
      </w:r>
      <w:r w:rsidRPr="00711B74">
        <w:t>ājusi</w:t>
      </w:r>
      <w:r w:rsidR="007053D0" w:rsidRPr="00711B74">
        <w:t xml:space="preserve"> citu izglītojamo, kuri nav </w:t>
      </w:r>
      <w:r w:rsidRPr="00711B74">
        <w:t>a</w:t>
      </w:r>
      <w:r w:rsidR="007053D0" w:rsidRPr="00711B74">
        <w:t>tbildētāja</w:t>
      </w:r>
      <w:r w:rsidRPr="00711B74">
        <w:t>s</w:t>
      </w:r>
      <w:r w:rsidR="007053D0" w:rsidRPr="00711B74">
        <w:t xml:space="preserve"> pagastā deklarēti bērni, nokļūšanu līdz </w:t>
      </w:r>
      <w:r w:rsidRPr="00711B74">
        <w:t>izglītības iest</w:t>
      </w:r>
      <w:r w:rsidR="00E95A18" w:rsidRPr="00711B74">
        <w:t>ādei</w:t>
      </w:r>
      <w:r w:rsidR="007053D0" w:rsidRPr="00711B74">
        <w:t>.</w:t>
      </w:r>
      <w:r w:rsidR="0013349D" w:rsidRPr="00711B74">
        <w:t xml:space="preserve"> Pieteicēja uzskata, ka tādā veidā tiek pieļauta atšķirīga attieksme, kas balstās uz aizliegtu kategoriju.</w:t>
      </w:r>
    </w:p>
    <w:p w14:paraId="615279BA" w14:textId="05A7FC78" w:rsidR="001C6F50" w:rsidRPr="00711B74" w:rsidRDefault="001C6F50" w:rsidP="006629B7">
      <w:pPr>
        <w:spacing w:line="276" w:lineRule="auto"/>
        <w:ind w:firstLine="567"/>
        <w:jc w:val="both"/>
      </w:pPr>
      <w:r w:rsidRPr="00711B74">
        <w:t>Apgabaltiesa šo argumentu ir pārbaudījusi un secinājusi, ka nav saskatāma atšķirīga attieksme tieši pret pieteicējas meitu. Tiesa ir secinājusi, ka atšķirīga ir gan nepieciešamība, gan iespējas bērniem nokļūt attiecīgajās izglītības iestādēs, gan noteiktais tiesiskais regulējums izglītības ieguvei un transporta nodrošināšanai. Senatoru kolēģija atzīst, ka tiesa pamatoti nonākusi pie šāda secinājuma.</w:t>
      </w:r>
    </w:p>
    <w:p w14:paraId="6490BD74" w14:textId="77777777" w:rsidR="0070242B" w:rsidRPr="00711B74" w:rsidRDefault="0070242B" w:rsidP="00A52430">
      <w:pPr>
        <w:spacing w:line="276" w:lineRule="auto"/>
        <w:ind w:firstLine="567"/>
        <w:jc w:val="both"/>
      </w:pPr>
    </w:p>
    <w:p w14:paraId="70156A17" w14:textId="40691CFA" w:rsidR="006629B7" w:rsidRPr="00711B74" w:rsidRDefault="00291C78" w:rsidP="00A52430">
      <w:pPr>
        <w:spacing w:line="276" w:lineRule="auto"/>
        <w:ind w:firstLine="567"/>
        <w:jc w:val="both"/>
      </w:pPr>
      <w:r w:rsidRPr="00711B74">
        <w:t xml:space="preserve">[5] </w:t>
      </w:r>
      <w:r w:rsidR="00ED166B" w:rsidRPr="00711B74">
        <w:t xml:space="preserve">Kasācijas sūdzībā lūgts pieprasīt </w:t>
      </w:r>
      <w:r w:rsidR="00B700B3" w:rsidRPr="00711B74">
        <w:t>Krimuldas novada domei informāciju</w:t>
      </w:r>
      <w:r w:rsidR="000424ED" w:rsidRPr="00711B74">
        <w:t>.</w:t>
      </w:r>
      <w:r w:rsidR="00ED166B" w:rsidRPr="00711B74">
        <w:t xml:space="preserve"> </w:t>
      </w:r>
      <w:r w:rsidR="000424ED" w:rsidRPr="00711B74">
        <w:t>Š</w:t>
      </w:r>
      <w:r w:rsidR="006629B7" w:rsidRPr="00711B74">
        <w:t xml:space="preserve">is lūgums ir noraidāms, jo kasācijas instances tiesas </w:t>
      </w:r>
      <w:r w:rsidR="000A0C89" w:rsidRPr="00711B74">
        <w:t xml:space="preserve">uzdevums </w:t>
      </w:r>
      <w:r w:rsidR="006629B7" w:rsidRPr="00711B74">
        <w:t xml:space="preserve">nav </w:t>
      </w:r>
      <w:r w:rsidR="000424ED" w:rsidRPr="00711B74">
        <w:t xml:space="preserve">iegūt </w:t>
      </w:r>
      <w:r w:rsidR="006629B7" w:rsidRPr="00711B74">
        <w:t>un pārbaudīt pierādījumus.</w:t>
      </w:r>
      <w:r w:rsidRPr="00711B74">
        <w:t xml:space="preserve"> Senatoru kolēģija arī nesaskata, ka pieteicējas norādītā informācija varētu ietekmēt šīs lietas rezultātu.</w:t>
      </w:r>
    </w:p>
    <w:p w14:paraId="607A38D6" w14:textId="6E0FD2C3" w:rsidR="00ED166B" w:rsidRPr="00711B74" w:rsidRDefault="00ED166B" w:rsidP="00A52430">
      <w:pPr>
        <w:spacing w:line="276" w:lineRule="auto"/>
        <w:ind w:firstLine="567"/>
        <w:jc w:val="both"/>
      </w:pPr>
      <w:r w:rsidRPr="00711B74">
        <w:t xml:space="preserve"> </w:t>
      </w:r>
    </w:p>
    <w:p w14:paraId="6D2866E5" w14:textId="18F66CB3" w:rsidR="00791C04" w:rsidRPr="00711B74" w:rsidRDefault="00291C78" w:rsidP="00A52430">
      <w:pPr>
        <w:spacing w:line="276" w:lineRule="auto"/>
        <w:ind w:firstLine="567"/>
        <w:jc w:val="both"/>
      </w:pPr>
      <w:r w:rsidRPr="00711B74">
        <w:t xml:space="preserve">[6] </w:t>
      </w:r>
      <w:r w:rsidR="00791C04" w:rsidRPr="00711B74">
        <w:t xml:space="preserve">Senatoru kolēģija atzīst, ka kasācijas sūdzībā nav </w:t>
      </w:r>
      <w:r w:rsidR="00F23A64" w:rsidRPr="00711B74">
        <w:t>ietverti</w:t>
      </w:r>
      <w:r w:rsidR="00791C04" w:rsidRPr="00711B74">
        <w:t xml:space="preserve"> tādi argumenti, kas radītu šaubas par </w:t>
      </w:r>
      <w:r w:rsidR="005B4FD1" w:rsidRPr="00711B74">
        <w:t xml:space="preserve">konkrētā </w:t>
      </w:r>
      <w:r w:rsidR="00791C04" w:rsidRPr="00711B74">
        <w:t>sprieduma tiesiskumu.</w:t>
      </w:r>
    </w:p>
    <w:p w14:paraId="3D795E26" w14:textId="42005A86" w:rsidR="00A52430" w:rsidRPr="00711B74" w:rsidRDefault="00A52430" w:rsidP="00A52430">
      <w:pPr>
        <w:spacing w:line="276" w:lineRule="auto"/>
        <w:ind w:firstLine="567"/>
        <w:jc w:val="both"/>
      </w:pPr>
      <w:r w:rsidRPr="00711B74">
        <w:t>Saskaņā ar Administratīvā procesa likuma 338.</w:t>
      </w:r>
      <w:proofErr w:type="gramStart"/>
      <w:r w:rsidRPr="00711B74">
        <w:rPr>
          <w:vertAlign w:val="superscript"/>
        </w:rPr>
        <w:t>1</w:t>
      </w:r>
      <w:r w:rsidRPr="00711B74">
        <w:t>panta</w:t>
      </w:r>
      <w:proofErr w:type="gramEnd"/>
      <w:r w:rsidRPr="00711B74">
        <w:t xml:space="preserve"> otrās daļas 2.punktu senatoru kolēģija var atteikties ierosināt kasācijas tiesvedību, ja,</w:t>
      </w:r>
      <w:bookmarkStart w:id="1" w:name="_GoBack"/>
      <w:bookmarkEnd w:id="1"/>
      <w:r w:rsidRPr="00711B74">
        <w:t xml:space="preserve"> izvērtējot kasācijas sūdzībā minētos argumentus, nerodas šaubas par pārsūdzētā sprieduma tiesiskumu un izskatāmajai lietai nav nozīmes judikatūras veidošanā.</w:t>
      </w:r>
    </w:p>
    <w:p w14:paraId="567B107A" w14:textId="6E08C060" w:rsidR="005B4FD1" w:rsidRPr="00711B74" w:rsidRDefault="00791C04" w:rsidP="005B4FD1">
      <w:pPr>
        <w:spacing w:line="276" w:lineRule="auto"/>
        <w:ind w:firstLine="567"/>
        <w:jc w:val="both"/>
      </w:pPr>
      <w:r w:rsidRPr="00711B74">
        <w:t>Ievērojot iepriekš minēto,</w:t>
      </w:r>
      <w:r w:rsidR="00A52430" w:rsidRPr="00711B74">
        <w:t xml:space="preserve"> </w:t>
      </w:r>
      <w:r w:rsidR="005B4FD1" w:rsidRPr="00711B74">
        <w:t>kasācijas tiesvedības ierosināšana ir atsakāma.</w:t>
      </w:r>
    </w:p>
    <w:p w14:paraId="195B3CA8" w14:textId="44D1C0B1" w:rsidR="00FA25A6" w:rsidRPr="00711B74" w:rsidRDefault="00FA25A6" w:rsidP="00FA25A6">
      <w:pPr>
        <w:spacing w:line="276" w:lineRule="auto"/>
        <w:ind w:firstLine="567"/>
        <w:jc w:val="both"/>
      </w:pPr>
    </w:p>
    <w:p w14:paraId="33236DE1" w14:textId="77777777" w:rsidR="00A52430" w:rsidRPr="00711B74" w:rsidRDefault="00A52430" w:rsidP="00A52430">
      <w:pPr>
        <w:spacing w:line="276" w:lineRule="auto"/>
        <w:jc w:val="both"/>
      </w:pPr>
    </w:p>
    <w:p w14:paraId="1606D76E" w14:textId="713B2D6C" w:rsidR="002E1BC2" w:rsidRPr="00711B74" w:rsidRDefault="00A52430" w:rsidP="00A52430">
      <w:pPr>
        <w:spacing w:line="276" w:lineRule="auto"/>
        <w:ind w:firstLine="567"/>
        <w:jc w:val="both"/>
      </w:pPr>
      <w:r w:rsidRPr="00711B74">
        <w:t xml:space="preserve">Pamatojoties uz Administratīvā procesa likuma </w:t>
      </w:r>
      <w:proofErr w:type="gramStart"/>
      <w:r w:rsidRPr="00711B74">
        <w:t>338.panta</w:t>
      </w:r>
      <w:proofErr w:type="gramEnd"/>
      <w:r w:rsidRPr="00711B74">
        <w:t xml:space="preserve"> otro daļu un 338.</w:t>
      </w:r>
      <w:r w:rsidRPr="00711B74">
        <w:rPr>
          <w:vertAlign w:val="superscript"/>
        </w:rPr>
        <w:t>1</w:t>
      </w:r>
      <w:r w:rsidRPr="00711B74">
        <w:t>panta otrās daļas 2.punktu, senatoru kolēģija</w:t>
      </w:r>
    </w:p>
    <w:p w14:paraId="7384718D" w14:textId="77777777" w:rsidR="005F2470" w:rsidRPr="00711B74" w:rsidRDefault="005F2470" w:rsidP="00774388">
      <w:pPr>
        <w:spacing w:line="276" w:lineRule="auto"/>
        <w:ind w:firstLine="567"/>
        <w:jc w:val="both"/>
      </w:pPr>
    </w:p>
    <w:p w14:paraId="6EC8A7CC" w14:textId="77777777" w:rsidR="002E1BC2" w:rsidRPr="00711B74" w:rsidRDefault="002E1BC2" w:rsidP="00774388">
      <w:pPr>
        <w:spacing w:line="276" w:lineRule="auto"/>
        <w:jc w:val="center"/>
        <w:rPr>
          <w:b/>
          <w:bCs/>
        </w:rPr>
      </w:pPr>
      <w:r w:rsidRPr="00711B74">
        <w:rPr>
          <w:b/>
        </w:rPr>
        <w:t>nolēma</w:t>
      </w:r>
    </w:p>
    <w:p w14:paraId="22DA3CF0" w14:textId="77777777" w:rsidR="002E1BC2" w:rsidRPr="00711B74" w:rsidRDefault="002E1BC2" w:rsidP="00774388">
      <w:pPr>
        <w:spacing w:line="276" w:lineRule="auto"/>
        <w:ind w:firstLine="567"/>
        <w:jc w:val="both"/>
        <w:rPr>
          <w:b/>
          <w:bCs/>
        </w:rPr>
      </w:pPr>
    </w:p>
    <w:p w14:paraId="29609888" w14:textId="68462869" w:rsidR="002E1BC2" w:rsidRPr="00711B74" w:rsidRDefault="002E1BC2" w:rsidP="00774388">
      <w:pPr>
        <w:spacing w:line="276" w:lineRule="auto"/>
        <w:ind w:firstLine="567"/>
        <w:jc w:val="both"/>
      </w:pPr>
      <w:r w:rsidRPr="00711B74">
        <w:t xml:space="preserve">atteikt ierosināt kasācijas tiesvedību sakarā ar </w:t>
      </w:r>
      <w:r w:rsidR="004A15F6" w:rsidRPr="00711B74">
        <w:t xml:space="preserve">[pers. A] </w:t>
      </w:r>
      <w:r w:rsidRPr="00711B74">
        <w:t xml:space="preserve">kasācijas sūdzību par Administratīvās </w:t>
      </w:r>
      <w:r w:rsidR="008C0BD7" w:rsidRPr="00711B74">
        <w:t>apgabal</w:t>
      </w:r>
      <w:r w:rsidR="00A52430" w:rsidRPr="00711B74">
        <w:t>tiesas</w:t>
      </w:r>
      <w:r w:rsidRPr="00711B74">
        <w:t xml:space="preserve"> </w:t>
      </w:r>
      <w:bookmarkStart w:id="2" w:name="_Hlk77148872"/>
      <w:proofErr w:type="gramStart"/>
      <w:r w:rsidRPr="00711B74">
        <w:t>202</w:t>
      </w:r>
      <w:r w:rsidR="00291C78" w:rsidRPr="00711B74">
        <w:t>1</w:t>
      </w:r>
      <w:r w:rsidRPr="00711B74">
        <w:t>.gada</w:t>
      </w:r>
      <w:proofErr w:type="gramEnd"/>
      <w:r w:rsidRPr="00711B74">
        <w:t xml:space="preserve"> </w:t>
      </w:r>
      <w:r w:rsidR="00291C78" w:rsidRPr="00711B74">
        <w:t>15.februāra</w:t>
      </w:r>
      <w:r w:rsidR="008C0BD7" w:rsidRPr="00711B74">
        <w:t xml:space="preserve"> </w:t>
      </w:r>
      <w:bookmarkEnd w:id="2"/>
      <w:r w:rsidRPr="00711B74">
        <w:t>spriedumu.</w:t>
      </w:r>
    </w:p>
    <w:p w14:paraId="79C86EF9" w14:textId="77777777" w:rsidR="002E1BC2" w:rsidRPr="00711B74" w:rsidRDefault="002E1BC2" w:rsidP="00774388">
      <w:pPr>
        <w:spacing w:line="276" w:lineRule="auto"/>
        <w:ind w:firstLine="567"/>
        <w:jc w:val="both"/>
      </w:pPr>
      <w:r w:rsidRPr="00711B74">
        <w:t>Lēmums nav pārsūdzams.</w:t>
      </w:r>
    </w:p>
    <w:p w14:paraId="1B2C6545" w14:textId="77777777" w:rsidR="0093291D" w:rsidRPr="00711B74" w:rsidRDefault="0093291D" w:rsidP="00774388">
      <w:pPr>
        <w:spacing w:line="276" w:lineRule="auto"/>
        <w:ind w:firstLine="567"/>
        <w:jc w:val="both"/>
      </w:pPr>
    </w:p>
    <w:p w14:paraId="2D0274F4" w14:textId="77777777" w:rsidR="00A52430" w:rsidRPr="00711B74" w:rsidRDefault="00A52430" w:rsidP="00774388">
      <w:pPr>
        <w:spacing w:line="276" w:lineRule="auto"/>
        <w:ind w:firstLine="567"/>
        <w:jc w:val="both"/>
      </w:pPr>
    </w:p>
    <w:p w14:paraId="0F0CEB59" w14:textId="480A162E" w:rsidR="002E1BC2" w:rsidRPr="00711B74" w:rsidRDefault="002E1BC2" w:rsidP="0082032A">
      <w:pPr>
        <w:spacing w:line="276" w:lineRule="auto"/>
        <w:jc w:val="both"/>
      </w:pPr>
    </w:p>
    <w:p w14:paraId="4601AF5D" w14:textId="77777777" w:rsidR="0020439B" w:rsidRPr="00711B74" w:rsidRDefault="0020439B" w:rsidP="0082032A">
      <w:pPr>
        <w:spacing w:line="276" w:lineRule="auto"/>
        <w:jc w:val="both"/>
      </w:pPr>
    </w:p>
    <w:tbl>
      <w:tblPr>
        <w:tblW w:w="0" w:type="auto"/>
        <w:tblLook w:val="04A0" w:firstRow="1" w:lastRow="0" w:firstColumn="1" w:lastColumn="0" w:noHBand="0" w:noVBand="1"/>
      </w:tblPr>
      <w:tblGrid>
        <w:gridCol w:w="2694"/>
        <w:gridCol w:w="3402"/>
        <w:gridCol w:w="2975"/>
      </w:tblGrid>
      <w:tr w:rsidR="002E1BC2" w:rsidRPr="00711B74" w14:paraId="7B5AD4DC" w14:textId="77777777" w:rsidTr="005F2470">
        <w:tc>
          <w:tcPr>
            <w:tcW w:w="2694" w:type="dxa"/>
          </w:tcPr>
          <w:p w14:paraId="1A9FF8A6" w14:textId="372B1BA4" w:rsidR="002E1BC2" w:rsidRPr="00711B74" w:rsidRDefault="002E1BC2" w:rsidP="0020439B">
            <w:pPr>
              <w:spacing w:line="276" w:lineRule="auto"/>
              <w:ind w:left="29" w:firstLine="284"/>
              <w:jc w:val="both"/>
            </w:pPr>
            <w:r w:rsidRPr="00711B74">
              <w:t xml:space="preserve">Senatore </w:t>
            </w:r>
            <w:r w:rsidR="005F2470" w:rsidRPr="00711B74">
              <w:t>J. </w:t>
            </w:r>
            <w:r w:rsidRPr="00711B74">
              <w:t>Briede</w:t>
            </w:r>
          </w:p>
        </w:tc>
        <w:tc>
          <w:tcPr>
            <w:tcW w:w="3402" w:type="dxa"/>
          </w:tcPr>
          <w:p w14:paraId="172F33FE" w14:textId="4F43EEAB" w:rsidR="002E1BC2" w:rsidRPr="00711B74" w:rsidRDefault="002E1BC2" w:rsidP="00774388">
            <w:pPr>
              <w:spacing w:line="276" w:lineRule="auto"/>
              <w:ind w:firstLine="567"/>
              <w:jc w:val="both"/>
            </w:pPr>
            <w:r w:rsidRPr="00711B74">
              <w:t>Senator</w:t>
            </w:r>
            <w:r w:rsidR="005F2470" w:rsidRPr="00711B74">
              <w:t xml:space="preserve">e </w:t>
            </w:r>
            <w:r w:rsidR="004A0581" w:rsidRPr="00711B74">
              <w:t>V.</w:t>
            </w:r>
            <w:r w:rsidR="00132DAC" w:rsidRPr="00711B74">
              <w:t> </w:t>
            </w:r>
            <w:r w:rsidR="004A0581" w:rsidRPr="00711B74">
              <w:t>Krūmiņa</w:t>
            </w:r>
          </w:p>
        </w:tc>
        <w:tc>
          <w:tcPr>
            <w:tcW w:w="2975" w:type="dxa"/>
          </w:tcPr>
          <w:p w14:paraId="20C687F7" w14:textId="37325F37" w:rsidR="002E1BC2" w:rsidRPr="00711B74" w:rsidRDefault="002E1BC2" w:rsidP="005E5FA1">
            <w:pPr>
              <w:spacing w:line="276" w:lineRule="auto"/>
              <w:ind w:firstLine="323"/>
              <w:jc w:val="both"/>
            </w:pPr>
            <w:r w:rsidRPr="00711B74">
              <w:t>Senator</w:t>
            </w:r>
            <w:r w:rsidR="005C0153" w:rsidRPr="00711B74">
              <w:t>e</w:t>
            </w:r>
            <w:r w:rsidR="005F2470" w:rsidRPr="00711B74">
              <w:t xml:space="preserve"> </w:t>
            </w:r>
            <w:r w:rsidR="005C0153" w:rsidRPr="00711B74">
              <w:t>L.</w:t>
            </w:r>
            <w:r w:rsidR="00C93454" w:rsidRPr="00711B74">
              <w:t> </w:t>
            </w:r>
            <w:proofErr w:type="spellStart"/>
            <w:r w:rsidR="00C93454" w:rsidRPr="00711B74">
              <w:t>Paegļkalna</w:t>
            </w:r>
            <w:proofErr w:type="spellEnd"/>
          </w:p>
        </w:tc>
      </w:tr>
    </w:tbl>
    <w:p w14:paraId="440FBF7E" w14:textId="77777777" w:rsidR="007C6F92" w:rsidRPr="00D27355" w:rsidRDefault="007C6F92" w:rsidP="005E5FA1">
      <w:pPr>
        <w:spacing w:line="276" w:lineRule="auto"/>
        <w:jc w:val="both"/>
      </w:pPr>
    </w:p>
    <w:sectPr w:rsidR="007C6F92" w:rsidRPr="00D27355" w:rsidSect="00774388">
      <w:footerReference w:type="default" r:id="rId8"/>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1E24" w16cex:dateUtc="2022-01-21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29D92B" w16cid:durableId="25951E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CC780" w14:textId="77777777" w:rsidR="008F69C6" w:rsidRDefault="008F69C6" w:rsidP="00E12AD0">
      <w:r>
        <w:separator/>
      </w:r>
    </w:p>
  </w:endnote>
  <w:endnote w:type="continuationSeparator" w:id="0">
    <w:p w14:paraId="70774375" w14:textId="77777777" w:rsidR="008F69C6" w:rsidRDefault="008F69C6"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553078"/>
      <w:docPartObj>
        <w:docPartGallery w:val="Page Numbers (Bottom of Page)"/>
        <w:docPartUnique/>
      </w:docPartObj>
    </w:sdtPr>
    <w:sdtEndPr/>
    <w:sdtContent>
      <w:sdt>
        <w:sdtPr>
          <w:id w:val="1728636285"/>
          <w:docPartObj>
            <w:docPartGallery w:val="Page Numbers (Top of Page)"/>
            <w:docPartUnique/>
          </w:docPartObj>
        </w:sdtPr>
        <w:sdtEndPr/>
        <w:sdtContent>
          <w:p w14:paraId="1A00B2CE" w14:textId="6CCF65CA" w:rsidR="005F2470" w:rsidRDefault="005F2470" w:rsidP="005E5FA1">
            <w:pPr>
              <w:pStyle w:val="Footer"/>
              <w:jc w:val="center"/>
            </w:pPr>
            <w:r w:rsidRPr="005F2470">
              <w:rPr>
                <w:bCs/>
              </w:rPr>
              <w:fldChar w:fldCharType="begin"/>
            </w:r>
            <w:r w:rsidRPr="005F2470">
              <w:rPr>
                <w:bCs/>
              </w:rPr>
              <w:instrText xml:space="preserve"> PAGE </w:instrText>
            </w:r>
            <w:r w:rsidRPr="005F2470">
              <w:rPr>
                <w:bCs/>
              </w:rPr>
              <w:fldChar w:fldCharType="separate"/>
            </w:r>
            <w:r w:rsidR="00440E4B">
              <w:rPr>
                <w:bCs/>
                <w:noProof/>
              </w:rPr>
              <w:t>2</w:t>
            </w:r>
            <w:r w:rsidRPr="005F2470">
              <w:rPr>
                <w:bCs/>
              </w:rPr>
              <w:fldChar w:fldCharType="end"/>
            </w:r>
            <w:r w:rsidRPr="005F2470">
              <w:t xml:space="preserve"> no </w:t>
            </w:r>
            <w:r w:rsidRPr="005F2470">
              <w:rPr>
                <w:bCs/>
              </w:rPr>
              <w:fldChar w:fldCharType="begin"/>
            </w:r>
            <w:r w:rsidRPr="005F2470">
              <w:rPr>
                <w:bCs/>
              </w:rPr>
              <w:instrText xml:space="preserve"> NUMPAGES  </w:instrText>
            </w:r>
            <w:r w:rsidRPr="005F2470">
              <w:rPr>
                <w:bCs/>
              </w:rPr>
              <w:fldChar w:fldCharType="separate"/>
            </w:r>
            <w:r w:rsidR="00440E4B">
              <w:rPr>
                <w:bCs/>
                <w:noProof/>
              </w:rPr>
              <w:t>2</w:t>
            </w:r>
            <w:r w:rsidRPr="005F2470">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D6B28" w14:textId="77777777" w:rsidR="008F69C6" w:rsidRDefault="008F69C6" w:rsidP="00E12AD0">
      <w:r>
        <w:separator/>
      </w:r>
    </w:p>
  </w:footnote>
  <w:footnote w:type="continuationSeparator" w:id="0">
    <w:p w14:paraId="68675B6F" w14:textId="77777777" w:rsidR="008F69C6" w:rsidRDefault="008F69C6"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5CED"/>
    <w:rsid w:val="00013103"/>
    <w:rsid w:val="00015D28"/>
    <w:rsid w:val="00020233"/>
    <w:rsid w:val="00023C10"/>
    <w:rsid w:val="000424ED"/>
    <w:rsid w:val="000524F5"/>
    <w:rsid w:val="000616F9"/>
    <w:rsid w:val="00071C34"/>
    <w:rsid w:val="00074426"/>
    <w:rsid w:val="00082DED"/>
    <w:rsid w:val="000A063A"/>
    <w:rsid w:val="000A0C89"/>
    <w:rsid w:val="000A1500"/>
    <w:rsid w:val="000C03B9"/>
    <w:rsid w:val="000C4398"/>
    <w:rsid w:val="000C4C56"/>
    <w:rsid w:val="000D13E1"/>
    <w:rsid w:val="000D1AFE"/>
    <w:rsid w:val="000D743E"/>
    <w:rsid w:val="000E2F2D"/>
    <w:rsid w:val="000F6263"/>
    <w:rsid w:val="0012241B"/>
    <w:rsid w:val="00123D13"/>
    <w:rsid w:val="00125252"/>
    <w:rsid w:val="001278D3"/>
    <w:rsid w:val="00132649"/>
    <w:rsid w:val="00132DAC"/>
    <w:rsid w:val="0013349D"/>
    <w:rsid w:val="001339DF"/>
    <w:rsid w:val="0013740A"/>
    <w:rsid w:val="00144704"/>
    <w:rsid w:val="0016754C"/>
    <w:rsid w:val="001935B7"/>
    <w:rsid w:val="00195A6C"/>
    <w:rsid w:val="00195C4F"/>
    <w:rsid w:val="001A1BAC"/>
    <w:rsid w:val="001A2E5F"/>
    <w:rsid w:val="001A3937"/>
    <w:rsid w:val="001B6336"/>
    <w:rsid w:val="001C6F50"/>
    <w:rsid w:val="001E52A1"/>
    <w:rsid w:val="001F328D"/>
    <w:rsid w:val="00200E74"/>
    <w:rsid w:val="00201041"/>
    <w:rsid w:val="00203762"/>
    <w:rsid w:val="0020439B"/>
    <w:rsid w:val="00205393"/>
    <w:rsid w:val="00216A6D"/>
    <w:rsid w:val="0022128B"/>
    <w:rsid w:val="0022387D"/>
    <w:rsid w:val="00233649"/>
    <w:rsid w:val="00243F03"/>
    <w:rsid w:val="00245118"/>
    <w:rsid w:val="0026012F"/>
    <w:rsid w:val="00261F97"/>
    <w:rsid w:val="00262029"/>
    <w:rsid w:val="00264941"/>
    <w:rsid w:val="00264BA5"/>
    <w:rsid w:val="0026524D"/>
    <w:rsid w:val="00265940"/>
    <w:rsid w:val="00265CBF"/>
    <w:rsid w:val="0026645C"/>
    <w:rsid w:val="00290978"/>
    <w:rsid w:val="00291C78"/>
    <w:rsid w:val="002943E2"/>
    <w:rsid w:val="0029511E"/>
    <w:rsid w:val="002B6898"/>
    <w:rsid w:val="002D12E1"/>
    <w:rsid w:val="002D28C1"/>
    <w:rsid w:val="002E0B28"/>
    <w:rsid w:val="002E1BC2"/>
    <w:rsid w:val="002E31D8"/>
    <w:rsid w:val="002F5D7A"/>
    <w:rsid w:val="002F5E82"/>
    <w:rsid w:val="003049FB"/>
    <w:rsid w:val="003163B7"/>
    <w:rsid w:val="003170DF"/>
    <w:rsid w:val="003243E9"/>
    <w:rsid w:val="003336C7"/>
    <w:rsid w:val="003444C3"/>
    <w:rsid w:val="0036043C"/>
    <w:rsid w:val="00365EB4"/>
    <w:rsid w:val="00375F9F"/>
    <w:rsid w:val="00382263"/>
    <w:rsid w:val="0038389C"/>
    <w:rsid w:val="00383939"/>
    <w:rsid w:val="003A0581"/>
    <w:rsid w:val="003A5C7F"/>
    <w:rsid w:val="003B1394"/>
    <w:rsid w:val="003C318F"/>
    <w:rsid w:val="003D0D3C"/>
    <w:rsid w:val="003D13B7"/>
    <w:rsid w:val="003D5666"/>
    <w:rsid w:val="003D7F19"/>
    <w:rsid w:val="003E5024"/>
    <w:rsid w:val="003F3756"/>
    <w:rsid w:val="003F4724"/>
    <w:rsid w:val="0040396F"/>
    <w:rsid w:val="00422156"/>
    <w:rsid w:val="00422EE5"/>
    <w:rsid w:val="00424701"/>
    <w:rsid w:val="0043448C"/>
    <w:rsid w:val="00435B4B"/>
    <w:rsid w:val="0043765B"/>
    <w:rsid w:val="00440E4B"/>
    <w:rsid w:val="00441B02"/>
    <w:rsid w:val="00446478"/>
    <w:rsid w:val="00450B21"/>
    <w:rsid w:val="00454693"/>
    <w:rsid w:val="004558FB"/>
    <w:rsid w:val="004603FE"/>
    <w:rsid w:val="00466620"/>
    <w:rsid w:val="00474853"/>
    <w:rsid w:val="0047520B"/>
    <w:rsid w:val="004835ED"/>
    <w:rsid w:val="00484A23"/>
    <w:rsid w:val="004854C1"/>
    <w:rsid w:val="004A0581"/>
    <w:rsid w:val="004A15F6"/>
    <w:rsid w:val="004A775D"/>
    <w:rsid w:val="004B14BC"/>
    <w:rsid w:val="004C16F5"/>
    <w:rsid w:val="004C2C2D"/>
    <w:rsid w:val="004C59BE"/>
    <w:rsid w:val="004F41FE"/>
    <w:rsid w:val="005133F0"/>
    <w:rsid w:val="005154BB"/>
    <w:rsid w:val="005221AD"/>
    <w:rsid w:val="005268D7"/>
    <w:rsid w:val="0053571F"/>
    <w:rsid w:val="0054508F"/>
    <w:rsid w:val="00553BCC"/>
    <w:rsid w:val="00554281"/>
    <w:rsid w:val="005572F6"/>
    <w:rsid w:val="00563886"/>
    <w:rsid w:val="00581A9D"/>
    <w:rsid w:val="00581C67"/>
    <w:rsid w:val="00595FB9"/>
    <w:rsid w:val="005A7244"/>
    <w:rsid w:val="005B4FD1"/>
    <w:rsid w:val="005C0153"/>
    <w:rsid w:val="005C41BD"/>
    <w:rsid w:val="005C4A5D"/>
    <w:rsid w:val="005D6BE2"/>
    <w:rsid w:val="005E1E8D"/>
    <w:rsid w:val="005E5FA1"/>
    <w:rsid w:val="005F2470"/>
    <w:rsid w:val="00605581"/>
    <w:rsid w:val="00606650"/>
    <w:rsid w:val="006125B7"/>
    <w:rsid w:val="0062435E"/>
    <w:rsid w:val="006253F6"/>
    <w:rsid w:val="00625AE4"/>
    <w:rsid w:val="00625AF6"/>
    <w:rsid w:val="00635838"/>
    <w:rsid w:val="006510F9"/>
    <w:rsid w:val="0066072C"/>
    <w:rsid w:val="006629B7"/>
    <w:rsid w:val="0068033C"/>
    <w:rsid w:val="00682CAF"/>
    <w:rsid w:val="006877FC"/>
    <w:rsid w:val="006A5997"/>
    <w:rsid w:val="006B09D0"/>
    <w:rsid w:val="006B1CE8"/>
    <w:rsid w:val="006B1F48"/>
    <w:rsid w:val="006B5B11"/>
    <w:rsid w:val="006B7936"/>
    <w:rsid w:val="006B7A7C"/>
    <w:rsid w:val="006B7D4C"/>
    <w:rsid w:val="006C14B2"/>
    <w:rsid w:val="006C655F"/>
    <w:rsid w:val="006D012E"/>
    <w:rsid w:val="006D1B0A"/>
    <w:rsid w:val="006D2205"/>
    <w:rsid w:val="006D4108"/>
    <w:rsid w:val="006D6829"/>
    <w:rsid w:val="006F2A25"/>
    <w:rsid w:val="006F4F1C"/>
    <w:rsid w:val="007012D2"/>
    <w:rsid w:val="0070242B"/>
    <w:rsid w:val="007053D0"/>
    <w:rsid w:val="00710B90"/>
    <w:rsid w:val="00711B74"/>
    <w:rsid w:val="00714003"/>
    <w:rsid w:val="0073508F"/>
    <w:rsid w:val="00750DE2"/>
    <w:rsid w:val="007558B2"/>
    <w:rsid w:val="0076570A"/>
    <w:rsid w:val="00772A7C"/>
    <w:rsid w:val="00774388"/>
    <w:rsid w:val="00783A71"/>
    <w:rsid w:val="00787F77"/>
    <w:rsid w:val="00790570"/>
    <w:rsid w:val="0079122C"/>
    <w:rsid w:val="00791C04"/>
    <w:rsid w:val="00796B49"/>
    <w:rsid w:val="007A19BA"/>
    <w:rsid w:val="007A61AB"/>
    <w:rsid w:val="007B1599"/>
    <w:rsid w:val="007B76C6"/>
    <w:rsid w:val="007C0D13"/>
    <w:rsid w:val="007C382A"/>
    <w:rsid w:val="007C6F92"/>
    <w:rsid w:val="007D247E"/>
    <w:rsid w:val="007D4073"/>
    <w:rsid w:val="007D4D03"/>
    <w:rsid w:val="007D5DEC"/>
    <w:rsid w:val="007D5E46"/>
    <w:rsid w:val="007D61CE"/>
    <w:rsid w:val="007E0DE2"/>
    <w:rsid w:val="007E43F0"/>
    <w:rsid w:val="007E7098"/>
    <w:rsid w:val="007E779F"/>
    <w:rsid w:val="00811384"/>
    <w:rsid w:val="008140EE"/>
    <w:rsid w:val="0082032A"/>
    <w:rsid w:val="008214C2"/>
    <w:rsid w:val="00826B86"/>
    <w:rsid w:val="008334EE"/>
    <w:rsid w:val="0084005F"/>
    <w:rsid w:val="00841EFF"/>
    <w:rsid w:val="008423B6"/>
    <w:rsid w:val="0084484E"/>
    <w:rsid w:val="00852316"/>
    <w:rsid w:val="00853658"/>
    <w:rsid w:val="0086386E"/>
    <w:rsid w:val="00890158"/>
    <w:rsid w:val="008B1E36"/>
    <w:rsid w:val="008B4F40"/>
    <w:rsid w:val="008C0BD7"/>
    <w:rsid w:val="008D269B"/>
    <w:rsid w:val="008D422F"/>
    <w:rsid w:val="008E60B3"/>
    <w:rsid w:val="008F3678"/>
    <w:rsid w:val="008F69C6"/>
    <w:rsid w:val="008F6EB8"/>
    <w:rsid w:val="00903EAE"/>
    <w:rsid w:val="00906A7B"/>
    <w:rsid w:val="00913B92"/>
    <w:rsid w:val="0092409B"/>
    <w:rsid w:val="0093291D"/>
    <w:rsid w:val="0094505A"/>
    <w:rsid w:val="00945802"/>
    <w:rsid w:val="00950106"/>
    <w:rsid w:val="00953709"/>
    <w:rsid w:val="0095786F"/>
    <w:rsid w:val="009621B6"/>
    <w:rsid w:val="00976CED"/>
    <w:rsid w:val="009770B6"/>
    <w:rsid w:val="00982052"/>
    <w:rsid w:val="009A2BED"/>
    <w:rsid w:val="009A2FA7"/>
    <w:rsid w:val="009B39B9"/>
    <w:rsid w:val="009C0BA3"/>
    <w:rsid w:val="009C41D8"/>
    <w:rsid w:val="009C7108"/>
    <w:rsid w:val="009D5E81"/>
    <w:rsid w:val="009D6445"/>
    <w:rsid w:val="009E15C4"/>
    <w:rsid w:val="009E42BE"/>
    <w:rsid w:val="009E4663"/>
    <w:rsid w:val="009E5CDB"/>
    <w:rsid w:val="009E7FAA"/>
    <w:rsid w:val="009F40DE"/>
    <w:rsid w:val="009F5805"/>
    <w:rsid w:val="009F7FE0"/>
    <w:rsid w:val="00A1575F"/>
    <w:rsid w:val="00A25401"/>
    <w:rsid w:val="00A33031"/>
    <w:rsid w:val="00A34F90"/>
    <w:rsid w:val="00A465B3"/>
    <w:rsid w:val="00A46BF6"/>
    <w:rsid w:val="00A52430"/>
    <w:rsid w:val="00A63477"/>
    <w:rsid w:val="00A70C43"/>
    <w:rsid w:val="00A90074"/>
    <w:rsid w:val="00A93E03"/>
    <w:rsid w:val="00A95441"/>
    <w:rsid w:val="00A9746A"/>
    <w:rsid w:val="00AA2018"/>
    <w:rsid w:val="00AB156D"/>
    <w:rsid w:val="00AB3ABE"/>
    <w:rsid w:val="00AC00E0"/>
    <w:rsid w:val="00AC25C0"/>
    <w:rsid w:val="00AE642E"/>
    <w:rsid w:val="00AF6089"/>
    <w:rsid w:val="00B00811"/>
    <w:rsid w:val="00B01BC6"/>
    <w:rsid w:val="00B1645F"/>
    <w:rsid w:val="00B505D0"/>
    <w:rsid w:val="00B53CBB"/>
    <w:rsid w:val="00B606FD"/>
    <w:rsid w:val="00B64B59"/>
    <w:rsid w:val="00B65797"/>
    <w:rsid w:val="00B700B3"/>
    <w:rsid w:val="00B75ECE"/>
    <w:rsid w:val="00B76929"/>
    <w:rsid w:val="00B80627"/>
    <w:rsid w:val="00BB3766"/>
    <w:rsid w:val="00BB37B6"/>
    <w:rsid w:val="00BC7720"/>
    <w:rsid w:val="00BE53D7"/>
    <w:rsid w:val="00BF2EBB"/>
    <w:rsid w:val="00BF4F9D"/>
    <w:rsid w:val="00BF6D12"/>
    <w:rsid w:val="00C05720"/>
    <w:rsid w:val="00C07C9D"/>
    <w:rsid w:val="00C137BB"/>
    <w:rsid w:val="00C14042"/>
    <w:rsid w:val="00C2025B"/>
    <w:rsid w:val="00C251B6"/>
    <w:rsid w:val="00C35D70"/>
    <w:rsid w:val="00C43E62"/>
    <w:rsid w:val="00C52066"/>
    <w:rsid w:val="00C533A7"/>
    <w:rsid w:val="00C5756E"/>
    <w:rsid w:val="00C57B04"/>
    <w:rsid w:val="00C64142"/>
    <w:rsid w:val="00C822C3"/>
    <w:rsid w:val="00C87E05"/>
    <w:rsid w:val="00C93454"/>
    <w:rsid w:val="00C979B2"/>
    <w:rsid w:val="00CA51C5"/>
    <w:rsid w:val="00CA633A"/>
    <w:rsid w:val="00CB47CC"/>
    <w:rsid w:val="00CC7795"/>
    <w:rsid w:val="00CE3646"/>
    <w:rsid w:val="00CE3B26"/>
    <w:rsid w:val="00CF1318"/>
    <w:rsid w:val="00CF1A8E"/>
    <w:rsid w:val="00D03228"/>
    <w:rsid w:val="00D03E04"/>
    <w:rsid w:val="00D06185"/>
    <w:rsid w:val="00D062F2"/>
    <w:rsid w:val="00D100CC"/>
    <w:rsid w:val="00D11C90"/>
    <w:rsid w:val="00D15D97"/>
    <w:rsid w:val="00D206B1"/>
    <w:rsid w:val="00D22559"/>
    <w:rsid w:val="00D27355"/>
    <w:rsid w:val="00D45A87"/>
    <w:rsid w:val="00D511B3"/>
    <w:rsid w:val="00D60EEA"/>
    <w:rsid w:val="00D67877"/>
    <w:rsid w:val="00D76CD3"/>
    <w:rsid w:val="00D82C8F"/>
    <w:rsid w:val="00D84340"/>
    <w:rsid w:val="00D958E7"/>
    <w:rsid w:val="00DC6FCE"/>
    <w:rsid w:val="00DC6FFA"/>
    <w:rsid w:val="00DE2F26"/>
    <w:rsid w:val="00DE6469"/>
    <w:rsid w:val="00DF187F"/>
    <w:rsid w:val="00DF2E58"/>
    <w:rsid w:val="00E0726E"/>
    <w:rsid w:val="00E101D6"/>
    <w:rsid w:val="00E12AD0"/>
    <w:rsid w:val="00E230F8"/>
    <w:rsid w:val="00E302F1"/>
    <w:rsid w:val="00E3052F"/>
    <w:rsid w:val="00E34140"/>
    <w:rsid w:val="00E4725A"/>
    <w:rsid w:val="00E50254"/>
    <w:rsid w:val="00E66F05"/>
    <w:rsid w:val="00E70384"/>
    <w:rsid w:val="00E85B48"/>
    <w:rsid w:val="00E9374F"/>
    <w:rsid w:val="00E95A18"/>
    <w:rsid w:val="00E978C5"/>
    <w:rsid w:val="00EA1024"/>
    <w:rsid w:val="00EB0FB9"/>
    <w:rsid w:val="00EC201B"/>
    <w:rsid w:val="00EC3FD1"/>
    <w:rsid w:val="00EC4CC4"/>
    <w:rsid w:val="00ED166B"/>
    <w:rsid w:val="00ED1BCC"/>
    <w:rsid w:val="00ED7912"/>
    <w:rsid w:val="00ED7928"/>
    <w:rsid w:val="00EE541B"/>
    <w:rsid w:val="00EF0543"/>
    <w:rsid w:val="00EF6DC3"/>
    <w:rsid w:val="00F0126A"/>
    <w:rsid w:val="00F0347F"/>
    <w:rsid w:val="00F04E77"/>
    <w:rsid w:val="00F23A64"/>
    <w:rsid w:val="00F24427"/>
    <w:rsid w:val="00F42240"/>
    <w:rsid w:val="00F45648"/>
    <w:rsid w:val="00F602C0"/>
    <w:rsid w:val="00F623D0"/>
    <w:rsid w:val="00F63B97"/>
    <w:rsid w:val="00F7399D"/>
    <w:rsid w:val="00F86595"/>
    <w:rsid w:val="00FA156E"/>
    <w:rsid w:val="00FA25A6"/>
    <w:rsid w:val="00FA3C8F"/>
    <w:rsid w:val="00FB03A5"/>
    <w:rsid w:val="00FB1D8E"/>
    <w:rsid w:val="00FB6800"/>
    <w:rsid w:val="00FC0A4B"/>
    <w:rsid w:val="00FC3627"/>
    <w:rsid w:val="00FC5B28"/>
    <w:rsid w:val="00FC6321"/>
    <w:rsid w:val="00FC7107"/>
    <w:rsid w:val="00FD24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540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258508">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124.A420142920.9.L"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1521B-A8E0-45B4-86C6-BB6D1F9F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2022-03-10T15:04:00Z</dcterms:created>
  <dcterms:modified xsi:type="dcterms:W3CDTF">2022-03-11T06:36:00Z</dcterms:modified>
</cp:coreProperties>
</file>