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02A5C" w14:textId="0F133655" w:rsidR="00A14328" w:rsidRPr="00A14328" w:rsidRDefault="00A14328" w:rsidP="00A14328">
      <w:pPr>
        <w:spacing w:line="276" w:lineRule="auto"/>
        <w:jc w:val="both"/>
        <w:rPr>
          <w:b/>
          <w:bCs/>
          <w:color w:val="201F1E"/>
        </w:rPr>
      </w:pPr>
      <w:bookmarkStart w:id="0" w:name="_Hlk21594869"/>
      <w:bookmarkStart w:id="1" w:name="_Hlk21699152"/>
      <w:r w:rsidRPr="00A14328">
        <w:rPr>
          <w:b/>
          <w:bCs/>
          <w:color w:val="201F1E"/>
        </w:rPr>
        <w:t>Lauksaimnieka tiesību ierobežojums saņemt vienlaicīgi divus atbalstus lauku saimniecību attīstībai</w:t>
      </w:r>
    </w:p>
    <w:p w14:paraId="07949519" w14:textId="456E7D38" w:rsidR="00435790" w:rsidRPr="00A14328" w:rsidRDefault="00A14328" w:rsidP="00A14328">
      <w:pPr>
        <w:spacing w:line="276" w:lineRule="auto"/>
        <w:jc w:val="both"/>
      </w:pPr>
      <w:r w:rsidRPr="00A14328">
        <w:t xml:space="preserve">Lai arī Eiropas Parlamenta un Padomes 2013.gada 17.decembra Regulas (ES) Nr. 1305/2013 par atbalstu lauku attīstībai no Eiropas Lauksaimniecības fonda lauku attīstībai 19.panta 1.punkts </w:t>
      </w:r>
      <w:r w:rsidRPr="00A14328">
        <w:rPr>
          <w:color w:val="201F1E"/>
        </w:rPr>
        <w:t xml:space="preserve">neierobežo lauksaimnieka tiesības saņemt </w:t>
      </w:r>
      <w:r w:rsidRPr="00A14328">
        <w:rPr>
          <w:color w:val="000000"/>
        </w:rPr>
        <w:t>jauno lauksaimnieku atbalstu</w:t>
      </w:r>
      <w:r w:rsidRPr="00A14328">
        <w:rPr>
          <w:color w:val="201F1E"/>
        </w:rPr>
        <w:t xml:space="preserve">, ja pirms tam ir piešķirts attīstības pabalsts, tomēr Latvija ir tiesīga noteikt, ka </w:t>
      </w:r>
      <w:r w:rsidRPr="00A14328">
        <w:t>atbalsta mazo lauku saimniecību attīstībai piešķiršana izslēdz atbalstu gados jauniem lauksaimniekiem saņemšanu.</w:t>
      </w:r>
      <w:r w:rsidRPr="00A14328">
        <w:rPr>
          <w:color w:val="201F1E"/>
        </w:rPr>
        <w:t xml:space="preserve"> Latvijai ir tiesības noteikt projektu atlases kritērijus šīs regulas prasību īstenošanai, īpaši attiecībā uz atbalsttiesīgo lauku saimniecību lielumu vai atbalsta summu noteikšanu.  Jāievēro, ka </w:t>
      </w:r>
      <w:r w:rsidRPr="00A14328">
        <w:t>Lauku attīstības programma Latvijā jāīsteno tieši tādā veidā, kā to apstiprinājusi Eiropas Komisija.</w:t>
      </w:r>
      <w:bookmarkEnd w:id="0"/>
    </w:p>
    <w:p w14:paraId="699AA294" w14:textId="77777777" w:rsidR="00A14328" w:rsidRPr="00A14328" w:rsidRDefault="00A14328" w:rsidP="00A14328">
      <w:pPr>
        <w:spacing w:line="276" w:lineRule="auto"/>
        <w:jc w:val="both"/>
      </w:pPr>
    </w:p>
    <w:p w14:paraId="15045E41" w14:textId="475035DE" w:rsidR="00A14328" w:rsidRPr="00A14328" w:rsidRDefault="00A14328" w:rsidP="00A14328">
      <w:pPr>
        <w:spacing w:line="276" w:lineRule="auto"/>
        <w:jc w:val="center"/>
        <w:rPr>
          <w:b/>
        </w:rPr>
      </w:pPr>
      <w:r w:rsidRPr="00A14328">
        <w:rPr>
          <w:b/>
        </w:rPr>
        <w:t>Latvijas Republikas Senāta</w:t>
      </w:r>
    </w:p>
    <w:p w14:paraId="435FA52B" w14:textId="201CF47B" w:rsidR="00A14328" w:rsidRPr="00A14328" w:rsidRDefault="00A14328" w:rsidP="00A14328">
      <w:pPr>
        <w:spacing w:line="276" w:lineRule="auto"/>
        <w:jc w:val="center"/>
        <w:rPr>
          <w:b/>
        </w:rPr>
      </w:pPr>
      <w:r w:rsidRPr="00A14328">
        <w:rPr>
          <w:b/>
        </w:rPr>
        <w:t>Administratīvo lietu departamenta</w:t>
      </w:r>
      <w:bookmarkStart w:id="2" w:name="_GoBack"/>
      <w:bookmarkEnd w:id="2"/>
    </w:p>
    <w:p w14:paraId="506AF339" w14:textId="034D407C" w:rsidR="00A14328" w:rsidRPr="00A14328" w:rsidRDefault="00A14328" w:rsidP="00A14328">
      <w:pPr>
        <w:spacing w:line="276" w:lineRule="auto"/>
        <w:jc w:val="center"/>
        <w:rPr>
          <w:b/>
        </w:rPr>
      </w:pPr>
      <w:r w:rsidRPr="00A14328">
        <w:rPr>
          <w:b/>
        </w:rPr>
        <w:t>2022.gada 25.janvāra</w:t>
      </w:r>
    </w:p>
    <w:p w14:paraId="34832629" w14:textId="77777777" w:rsidR="00435790" w:rsidRPr="00A14328" w:rsidRDefault="00435790" w:rsidP="00A14328">
      <w:pPr>
        <w:spacing w:line="276" w:lineRule="auto"/>
        <w:jc w:val="center"/>
        <w:rPr>
          <w:b/>
        </w:rPr>
      </w:pPr>
      <w:r w:rsidRPr="00A14328">
        <w:rPr>
          <w:b/>
        </w:rPr>
        <w:t>SPRIEDUMS</w:t>
      </w:r>
    </w:p>
    <w:p w14:paraId="1DF31193" w14:textId="651E9D9B" w:rsidR="00A14328" w:rsidRPr="00A14328" w:rsidRDefault="00A14328" w:rsidP="00A14328">
      <w:pPr>
        <w:spacing w:line="276" w:lineRule="auto"/>
        <w:ind w:firstLine="851"/>
        <w:rPr>
          <w:b/>
        </w:rPr>
      </w:pPr>
      <w:r w:rsidRPr="00A14328">
        <w:rPr>
          <w:b/>
        </w:rPr>
        <w:t xml:space="preserve">                               Lietā</w:t>
      </w:r>
      <w:r w:rsidRPr="00A14328">
        <w:rPr>
          <w:b/>
        </w:rPr>
        <w:t xml:space="preserve"> Nr. A420151917, SKA-2/2022</w:t>
      </w:r>
    </w:p>
    <w:p w14:paraId="0E0D43C6" w14:textId="62913CEA" w:rsidR="00A14328" w:rsidRPr="00A14328" w:rsidRDefault="00A14328" w:rsidP="00A14328">
      <w:pPr>
        <w:spacing w:line="276" w:lineRule="auto"/>
        <w:ind w:firstLine="851"/>
      </w:pPr>
      <w:r w:rsidRPr="00A14328">
        <w:t xml:space="preserve">                           </w:t>
      </w:r>
      <w:hyperlink r:id="rId8" w:history="1">
        <w:r w:rsidRPr="00A14328">
          <w:rPr>
            <w:rStyle w:val="Hyperlink"/>
          </w:rPr>
          <w:t>ECLI:LV:AT:2022:0125.A420151917.7.S</w:t>
        </w:r>
      </w:hyperlink>
    </w:p>
    <w:p w14:paraId="6C5BEF2A" w14:textId="77777777" w:rsidR="00A14328" w:rsidRPr="00A14328" w:rsidRDefault="00A14328" w:rsidP="00A14328">
      <w:pPr>
        <w:spacing w:line="276" w:lineRule="auto"/>
        <w:jc w:val="center"/>
        <w:rPr>
          <w:b/>
        </w:rPr>
      </w:pPr>
    </w:p>
    <w:p w14:paraId="2AEF784A" w14:textId="77777777" w:rsidR="00435790" w:rsidRPr="00A14328" w:rsidRDefault="00435790" w:rsidP="00A14328">
      <w:pPr>
        <w:spacing w:line="276" w:lineRule="auto"/>
        <w:jc w:val="center"/>
      </w:pPr>
    </w:p>
    <w:p w14:paraId="3FE67910" w14:textId="0D8096FE" w:rsidR="00435790" w:rsidRPr="00A14328" w:rsidRDefault="00435790" w:rsidP="00A14328">
      <w:pPr>
        <w:spacing w:line="276" w:lineRule="auto"/>
        <w:ind w:firstLine="567"/>
        <w:jc w:val="both"/>
      </w:pPr>
      <w:r w:rsidRPr="00A14328">
        <w:t xml:space="preserve">Tiesa šādā sastāvā: senatores Jautrīte Briede, </w:t>
      </w:r>
      <w:r w:rsidR="003E7440" w:rsidRPr="00A14328">
        <w:t>Veronika Krūmiņa</w:t>
      </w:r>
      <w:r w:rsidRPr="00A14328">
        <w:t xml:space="preserve"> un Līvija Slica</w:t>
      </w:r>
    </w:p>
    <w:p w14:paraId="07BF2DE9" w14:textId="77777777" w:rsidR="00435790" w:rsidRPr="00A14328" w:rsidRDefault="00435790" w:rsidP="00A14328">
      <w:pPr>
        <w:spacing w:line="276" w:lineRule="auto"/>
      </w:pPr>
    </w:p>
    <w:p w14:paraId="4C5107FB" w14:textId="2625E333" w:rsidR="0092755B" w:rsidRPr="00A14328" w:rsidRDefault="00435790" w:rsidP="00A14328">
      <w:pPr>
        <w:spacing w:line="276" w:lineRule="auto"/>
        <w:ind w:firstLine="567"/>
        <w:jc w:val="both"/>
      </w:pPr>
      <w:bookmarkStart w:id="3" w:name="_Hlk21594894"/>
      <w:r w:rsidRPr="00A14328">
        <w:t xml:space="preserve">rakstveida procesā izskatīja administratīvo lietu, kas ierosināta, </w:t>
      </w:r>
      <w:bookmarkEnd w:id="1"/>
      <w:r w:rsidR="0092755B" w:rsidRPr="00A14328">
        <w:t xml:space="preserve">pamatojoties uz </w:t>
      </w:r>
      <w:r w:rsidR="00A14328" w:rsidRPr="00A14328">
        <w:t xml:space="preserve">[pers. A] </w:t>
      </w:r>
      <w:r w:rsidR="00602A77" w:rsidRPr="00A14328">
        <w:t>pieteikumu par pienākuma uzlikšanu Lauku atbalsta dienestam izdot labvēlīgu administratīvo aktu, ar kuru tiktu apstiprināts projekta iesniegums Nr.</w:t>
      </w:r>
      <w:r w:rsidR="00EC74F2" w:rsidRPr="00A14328">
        <w:t> </w:t>
      </w:r>
      <w:r w:rsidR="00602A77" w:rsidRPr="00A14328">
        <w:t xml:space="preserve">16-02-A00601-000134 </w:t>
      </w:r>
      <w:r w:rsidR="00C059B9" w:rsidRPr="00A14328">
        <w:t>„</w:t>
      </w:r>
      <w:r w:rsidR="00602A77" w:rsidRPr="00A14328">
        <w:t xml:space="preserve">ZS </w:t>
      </w:r>
      <w:r w:rsidR="00C059B9" w:rsidRPr="00A14328">
        <w:t>„</w:t>
      </w:r>
      <w:r w:rsidR="00602A77" w:rsidRPr="00A14328">
        <w:t xml:space="preserve">Purenes” pārņemšana un attīstība”, sakarā ar </w:t>
      </w:r>
      <w:r w:rsidR="00A14328" w:rsidRPr="00A14328">
        <w:t xml:space="preserve">[pers. A] </w:t>
      </w:r>
      <w:r w:rsidRPr="00A14328">
        <w:t xml:space="preserve">kasācijas sūdzību par Administratīvās apgabaltiesas 2017.gada </w:t>
      </w:r>
      <w:r w:rsidR="00602A77" w:rsidRPr="00A14328">
        <w:t>29</w:t>
      </w:r>
      <w:r w:rsidRPr="00A14328">
        <w:t>.</w:t>
      </w:r>
      <w:r w:rsidR="00602A77" w:rsidRPr="00A14328">
        <w:t>septembra</w:t>
      </w:r>
      <w:r w:rsidRPr="00A14328">
        <w:t xml:space="preserve"> spriedumu</w:t>
      </w:r>
      <w:bookmarkEnd w:id="3"/>
      <w:r w:rsidRPr="00A14328">
        <w:t xml:space="preserve">. </w:t>
      </w:r>
      <w:bookmarkStart w:id="4" w:name="_Hlk21594932"/>
    </w:p>
    <w:p w14:paraId="5BABF4D5" w14:textId="77777777" w:rsidR="0092755B" w:rsidRPr="00A14328" w:rsidRDefault="0092755B" w:rsidP="00A14328">
      <w:pPr>
        <w:spacing w:line="276" w:lineRule="auto"/>
        <w:ind w:firstLine="567"/>
        <w:jc w:val="both"/>
      </w:pPr>
    </w:p>
    <w:p w14:paraId="6EDC889C" w14:textId="77777777" w:rsidR="0092755B" w:rsidRPr="00A14328" w:rsidRDefault="0092755B" w:rsidP="00A14328">
      <w:pPr>
        <w:spacing w:line="276" w:lineRule="auto"/>
        <w:jc w:val="center"/>
        <w:rPr>
          <w:b/>
        </w:rPr>
      </w:pPr>
      <w:r w:rsidRPr="00A14328">
        <w:rPr>
          <w:b/>
        </w:rPr>
        <w:t>Aprakstošā daļa</w:t>
      </w:r>
    </w:p>
    <w:p w14:paraId="1D71C4D5" w14:textId="77777777" w:rsidR="0092755B" w:rsidRPr="00A14328" w:rsidRDefault="0092755B" w:rsidP="00A14328">
      <w:pPr>
        <w:spacing w:line="276" w:lineRule="auto"/>
        <w:ind w:firstLine="567"/>
        <w:jc w:val="both"/>
      </w:pPr>
    </w:p>
    <w:p w14:paraId="3098D21B" w14:textId="4BE0DF7F" w:rsidR="00F425D6" w:rsidRPr="00A14328" w:rsidRDefault="000A2A9C" w:rsidP="00A14328">
      <w:pPr>
        <w:spacing w:line="276" w:lineRule="auto"/>
        <w:ind w:firstLine="567"/>
        <w:jc w:val="both"/>
        <w:rPr>
          <w:lang w:eastAsia="en-GB"/>
        </w:rPr>
      </w:pPr>
      <w:r w:rsidRPr="00A14328">
        <w:t>[1] </w:t>
      </w:r>
      <w:bookmarkStart w:id="5" w:name="_Hlk21594996"/>
      <w:bookmarkEnd w:id="4"/>
      <w:r w:rsidR="0092755B" w:rsidRPr="00A14328">
        <w:rPr>
          <w:kern w:val="28"/>
        </w:rPr>
        <w:t>Lauku atbalsta dienest</w:t>
      </w:r>
      <w:r w:rsidR="00D168CC" w:rsidRPr="00A14328">
        <w:rPr>
          <w:kern w:val="28"/>
        </w:rPr>
        <w:t>s</w:t>
      </w:r>
      <w:r w:rsidR="0092755B" w:rsidRPr="00A14328">
        <w:rPr>
          <w:kern w:val="28"/>
        </w:rPr>
        <w:t xml:space="preserve"> (turpmāk – </w:t>
      </w:r>
      <w:r w:rsidR="00AC575D" w:rsidRPr="00A14328">
        <w:rPr>
          <w:kern w:val="28"/>
        </w:rPr>
        <w:t>d</w:t>
      </w:r>
      <w:r w:rsidR="0092755B" w:rsidRPr="00A14328">
        <w:rPr>
          <w:kern w:val="28"/>
        </w:rPr>
        <w:t xml:space="preserve">ienests) </w:t>
      </w:r>
      <w:r w:rsidR="00D168CC" w:rsidRPr="00A14328">
        <w:rPr>
          <w:kern w:val="28"/>
        </w:rPr>
        <w:t xml:space="preserve">ar </w:t>
      </w:r>
      <w:r w:rsidR="00F425D6" w:rsidRPr="00A14328">
        <w:t>2017.gada 6.janvāra lēmumu Nr.</w:t>
      </w:r>
      <w:r w:rsidR="005C677D" w:rsidRPr="00A14328">
        <w:t> </w:t>
      </w:r>
      <w:r w:rsidR="00F425D6" w:rsidRPr="00A14328">
        <w:t>10.5.1- 15/16/1577-Š/14</w:t>
      </w:r>
      <w:r w:rsidR="00D168CC" w:rsidRPr="00A14328">
        <w:rPr>
          <w:kern w:val="28"/>
        </w:rPr>
        <w:t xml:space="preserve"> </w:t>
      </w:r>
      <w:r w:rsidR="0092755B" w:rsidRPr="00A14328">
        <w:rPr>
          <w:kern w:val="28"/>
        </w:rPr>
        <w:t>attei</w:t>
      </w:r>
      <w:r w:rsidR="00D168CC" w:rsidRPr="00A14328">
        <w:rPr>
          <w:kern w:val="28"/>
        </w:rPr>
        <w:t>cis</w:t>
      </w:r>
      <w:r w:rsidR="0092755B" w:rsidRPr="00A14328">
        <w:rPr>
          <w:kern w:val="28"/>
        </w:rPr>
        <w:t xml:space="preserve"> piešķirt </w:t>
      </w:r>
      <w:r w:rsidR="0092755B" w:rsidRPr="00A14328">
        <w:t>pieteicēja</w:t>
      </w:r>
      <w:r w:rsidR="00F425D6" w:rsidRPr="00A14328">
        <w:t>i</w:t>
      </w:r>
      <w:r w:rsidR="0092755B" w:rsidRPr="00A14328">
        <w:rPr>
          <w:kern w:val="28"/>
        </w:rPr>
        <w:t xml:space="preserve"> </w:t>
      </w:r>
      <w:r w:rsidR="0092755B" w:rsidRPr="00A14328">
        <w:t>atbalst</w:t>
      </w:r>
      <w:r w:rsidR="000B1025" w:rsidRPr="00A14328">
        <w:t>u</w:t>
      </w:r>
      <w:r w:rsidR="0092755B" w:rsidRPr="00A14328">
        <w:t xml:space="preserve"> </w:t>
      </w:r>
      <w:r w:rsidR="00CC2A12" w:rsidRPr="00A14328">
        <w:t>apakšpasākuma 6.1</w:t>
      </w:r>
      <w:r w:rsidR="00C74FC4" w:rsidRPr="00A14328">
        <w:t>.</w:t>
      </w:r>
      <w:r w:rsidR="00CC2A12" w:rsidRPr="00A14328">
        <w:t xml:space="preserve"> </w:t>
      </w:r>
      <w:r w:rsidR="00C059B9" w:rsidRPr="00A14328">
        <w:t>„</w:t>
      </w:r>
      <w:r w:rsidR="00CC2A12" w:rsidRPr="00A14328">
        <w:t>Atbalsts jaunajiem lauksaimniekiem uzņēmējdarbības uzsākšanai” (turpmāk – jauno lauksaimnieku atbalsts)</w:t>
      </w:r>
      <w:r w:rsidR="00672059" w:rsidRPr="00A14328">
        <w:t xml:space="preserve"> </w:t>
      </w:r>
      <w:r w:rsidR="00861227" w:rsidRPr="00A14328">
        <w:t xml:space="preserve">ietvaros, </w:t>
      </w:r>
      <w:r w:rsidR="00544068" w:rsidRPr="00A14328">
        <w:t>jo</w:t>
      </w:r>
      <w:r w:rsidR="00F425D6" w:rsidRPr="00A14328">
        <w:t xml:space="preserve"> 2016.gad</w:t>
      </w:r>
      <w:r w:rsidR="00090932" w:rsidRPr="00A14328">
        <w:t>ā</w:t>
      </w:r>
      <w:r w:rsidR="00F425D6" w:rsidRPr="00A14328">
        <w:t xml:space="preserve"> </w:t>
      </w:r>
      <w:r w:rsidR="00C74FC4" w:rsidRPr="00A14328">
        <w:t xml:space="preserve">viņai </w:t>
      </w:r>
      <w:r w:rsidR="00F425D6" w:rsidRPr="00A14328">
        <w:t xml:space="preserve">ir </w:t>
      </w:r>
      <w:r w:rsidR="00090932" w:rsidRPr="00A14328">
        <w:t>piešķirts</w:t>
      </w:r>
      <w:r w:rsidR="00F425D6" w:rsidRPr="00A14328">
        <w:t xml:space="preserve"> </w:t>
      </w:r>
      <w:r w:rsidR="00830430" w:rsidRPr="00A14328">
        <w:t>cits atbalsts</w:t>
      </w:r>
      <w:r w:rsidR="00F425D6" w:rsidRPr="00A14328">
        <w:t xml:space="preserve"> </w:t>
      </w:r>
      <w:r w:rsidR="00C74FC4" w:rsidRPr="00A14328">
        <w:t>š</w:t>
      </w:r>
      <w:r w:rsidR="00861227" w:rsidRPr="00A14328">
        <w:t>ī</w:t>
      </w:r>
      <w:r w:rsidR="00C74FC4" w:rsidRPr="00A14328">
        <w:t xml:space="preserve"> paša </w:t>
      </w:r>
      <w:r w:rsidR="00861227" w:rsidRPr="00A14328">
        <w:t>6.</w:t>
      </w:r>
      <w:r w:rsidR="00C74FC4" w:rsidRPr="00A14328">
        <w:t>pasākuma (</w:t>
      </w:r>
      <w:r w:rsidR="00861227" w:rsidRPr="00A14328">
        <w:t>„</w:t>
      </w:r>
      <w:r w:rsidR="00C74FC4" w:rsidRPr="00A14328">
        <w:t xml:space="preserve">Lauku </w:t>
      </w:r>
      <w:r w:rsidR="00F425D6" w:rsidRPr="00A14328">
        <w:t>saimniecību un uzņēmējdarbības attīst</w:t>
      </w:r>
      <w:r w:rsidR="005E4FE9" w:rsidRPr="00A14328">
        <w:t>ība</w:t>
      </w:r>
      <w:r w:rsidR="00861227" w:rsidRPr="00A14328">
        <w:t>”</w:t>
      </w:r>
      <w:r w:rsidR="00C74FC4" w:rsidRPr="00A14328">
        <w:t>)</w:t>
      </w:r>
      <w:r w:rsidR="005E4FE9" w:rsidRPr="00A14328">
        <w:t xml:space="preserve"> 6.3.apakšpasākuma „</w:t>
      </w:r>
      <w:r w:rsidR="00F425D6" w:rsidRPr="00A14328">
        <w:t xml:space="preserve">Atbalsts uzņēmējdarbības uzsākšanai, attīstot mazās lauku saimniecības” (turpmāk – </w:t>
      </w:r>
      <w:r w:rsidR="00DB0CE0" w:rsidRPr="00A14328">
        <w:t>attīstī</w:t>
      </w:r>
      <w:r w:rsidR="004B699C" w:rsidRPr="00A14328">
        <w:t>bas</w:t>
      </w:r>
      <w:r w:rsidR="00F425D6" w:rsidRPr="00A14328">
        <w:t xml:space="preserve"> atbalsts) ietvaros. </w:t>
      </w:r>
      <w:r w:rsidR="007526F5" w:rsidRPr="00A14328">
        <w:t xml:space="preserve">Lēmumā norādīts, ka </w:t>
      </w:r>
      <w:r w:rsidR="00F425D6" w:rsidRPr="00A14328">
        <w:t>Eiropas Parlamenta un Padomes 2013.gada 17.decembra Regula (ES) Nr.</w:t>
      </w:r>
      <w:r w:rsidR="005C677D" w:rsidRPr="00A14328">
        <w:t> </w:t>
      </w:r>
      <w:r w:rsidR="00F425D6" w:rsidRPr="00A14328">
        <w:t>1305/2013 par atbalstu lauku attīstībai no Eiropas Lauksaimniecības fonda lauku attīstībai (ELFLA) un ar ko atceļ Padomes Regulu (EK) Nr.</w:t>
      </w:r>
      <w:r w:rsidR="005C677D" w:rsidRPr="00A14328">
        <w:t> </w:t>
      </w:r>
      <w:r w:rsidR="00F425D6" w:rsidRPr="00A14328">
        <w:t xml:space="preserve">1698/2005 </w:t>
      </w:r>
      <w:r w:rsidR="00DB0CE0" w:rsidRPr="00A14328">
        <w:t xml:space="preserve">(turpmāk – Lauku attīstības regula) </w:t>
      </w:r>
      <w:r w:rsidR="00F425D6" w:rsidRPr="00A14328">
        <w:t>paredz, ka saimniecības, kurām piešķir atbalstu, ir dažādās kategorijās un atbalsti pārklāties nevar. Šāds secinājums izriet arī no Ministru kabineta 2015.gada 9.jūnija noteikumu Nr.</w:t>
      </w:r>
      <w:r w:rsidR="005C677D" w:rsidRPr="00A14328">
        <w:t> </w:t>
      </w:r>
      <w:r w:rsidR="00F425D6" w:rsidRPr="00A14328">
        <w:t xml:space="preserve">292 </w:t>
      </w:r>
      <w:r w:rsidR="00C059B9" w:rsidRPr="00A14328">
        <w:t>„</w:t>
      </w:r>
      <w:r w:rsidR="00F425D6" w:rsidRPr="00A14328">
        <w:t xml:space="preserve">Valsts un Eiropas Savienības atbalsta piešķiršanas kārtība pasākuma </w:t>
      </w:r>
      <w:r w:rsidR="00C059B9" w:rsidRPr="00A14328">
        <w:t>„</w:t>
      </w:r>
      <w:r w:rsidR="00F425D6" w:rsidRPr="00A14328">
        <w:t xml:space="preserve">Lauku saimniecību un uzņēmējdarbības attīstība” apakšpasākumā </w:t>
      </w:r>
      <w:r w:rsidR="003132A5" w:rsidRPr="00A14328">
        <w:t>„</w:t>
      </w:r>
      <w:r w:rsidR="00F425D6" w:rsidRPr="00A14328">
        <w:t xml:space="preserve">Atbalsts uzņēmējdarbības uzsākšanai, attīstot mazās lauku saimniecības”” (turpmāk – </w:t>
      </w:r>
      <w:r w:rsidR="004B699C" w:rsidRPr="00A14328">
        <w:t>Attīstības</w:t>
      </w:r>
      <w:r w:rsidR="007526F5" w:rsidRPr="00A14328">
        <w:t xml:space="preserve"> atbalsta </w:t>
      </w:r>
      <w:r w:rsidR="00F425D6" w:rsidRPr="00A14328">
        <w:t>noteikumi) 1.punkta un Ministru kabineta 2015.gada 16.jūnija noteikumu Nr.</w:t>
      </w:r>
      <w:r w:rsidR="005C677D" w:rsidRPr="00A14328">
        <w:t> </w:t>
      </w:r>
      <w:r w:rsidR="00F425D6" w:rsidRPr="00A14328">
        <w:t xml:space="preserve">323 </w:t>
      </w:r>
      <w:r w:rsidR="005E4FE9" w:rsidRPr="00A14328">
        <w:t>„</w:t>
      </w:r>
      <w:r w:rsidR="00F425D6" w:rsidRPr="00A14328">
        <w:t xml:space="preserve">Valsts un Eiropas Savienības atbalsta piešķiršanas kārtība pasākuma </w:t>
      </w:r>
      <w:r w:rsidR="00C059B9" w:rsidRPr="00A14328">
        <w:t>„</w:t>
      </w:r>
      <w:r w:rsidR="00F425D6" w:rsidRPr="00A14328">
        <w:t xml:space="preserve">Lauku saimniecību un uzņēmējdarbības attīstība” apakšpasākumam </w:t>
      </w:r>
      <w:r w:rsidR="00C059B9" w:rsidRPr="00A14328">
        <w:t>„</w:t>
      </w:r>
      <w:r w:rsidR="00F425D6" w:rsidRPr="00A14328">
        <w:t xml:space="preserve">Atbalsts jaunajiem lauksaimniekiem uzņēmējdarbības uzsākšanai”” (turpmāk – </w:t>
      </w:r>
      <w:r w:rsidR="0074688A" w:rsidRPr="00A14328">
        <w:t xml:space="preserve">Jauno lauksaimnieku </w:t>
      </w:r>
      <w:r w:rsidR="004A0315" w:rsidRPr="00A14328">
        <w:t xml:space="preserve">atbalsta </w:t>
      </w:r>
      <w:r w:rsidR="00F425D6" w:rsidRPr="00A14328">
        <w:t>noteikumi) 1.punkta</w:t>
      </w:r>
      <w:r w:rsidR="007374FE" w:rsidRPr="00A14328">
        <w:t>,</w:t>
      </w:r>
      <w:r w:rsidR="00F425D6" w:rsidRPr="00A14328">
        <w:t xml:space="preserve"> kur paredzēts, ka jauno lauksaimnieku atbalstu un </w:t>
      </w:r>
      <w:r w:rsidR="00DB0CE0" w:rsidRPr="00A14328">
        <w:t>attīstī</w:t>
      </w:r>
      <w:r w:rsidR="004B699C" w:rsidRPr="00A14328">
        <w:t>bas</w:t>
      </w:r>
      <w:r w:rsidR="00F425D6" w:rsidRPr="00A14328">
        <w:t xml:space="preserve"> atbalstu piešķir vienreizēja maksājuma veidā. </w:t>
      </w:r>
      <w:r w:rsidR="007374FE" w:rsidRPr="00A14328">
        <w:t>V</w:t>
      </w:r>
      <w:r w:rsidR="00F425D6" w:rsidRPr="00A14328">
        <w:t xml:space="preserve">iena pasākuma ietvaros vienam kandidātam var tikt piešķirts vai nu </w:t>
      </w:r>
      <w:r w:rsidR="004B699C" w:rsidRPr="00A14328">
        <w:t>attīstības</w:t>
      </w:r>
      <w:r w:rsidR="00F425D6" w:rsidRPr="00A14328">
        <w:t xml:space="preserve"> atbalsts, vai jauno lauksaimnieku atbalsts.</w:t>
      </w:r>
    </w:p>
    <w:p w14:paraId="71C12E85" w14:textId="49AAA9F0" w:rsidR="009F0BE4" w:rsidRPr="00A14328" w:rsidRDefault="00CC2A12" w:rsidP="00A14328">
      <w:pPr>
        <w:spacing w:line="276" w:lineRule="auto"/>
        <w:ind w:firstLine="567"/>
        <w:jc w:val="both"/>
        <w:rPr>
          <w:lang w:eastAsia="en-GB"/>
        </w:rPr>
      </w:pPr>
      <w:r w:rsidRPr="00A14328">
        <w:rPr>
          <w:lang w:eastAsia="en-GB"/>
        </w:rPr>
        <w:t>Nepiekrītot lēmumam, p</w:t>
      </w:r>
      <w:r w:rsidR="009F0BE4" w:rsidRPr="00A14328">
        <w:rPr>
          <w:lang w:eastAsia="en-GB"/>
        </w:rPr>
        <w:t>ieteicēj</w:t>
      </w:r>
      <w:r w:rsidR="00D168CC" w:rsidRPr="00A14328">
        <w:rPr>
          <w:lang w:eastAsia="en-GB"/>
        </w:rPr>
        <w:t xml:space="preserve">a </w:t>
      </w:r>
      <w:r w:rsidR="009F0BE4" w:rsidRPr="00A14328">
        <w:rPr>
          <w:lang w:eastAsia="en-GB"/>
        </w:rPr>
        <w:t xml:space="preserve">vērsās </w:t>
      </w:r>
      <w:r w:rsidR="00435790" w:rsidRPr="00A14328">
        <w:rPr>
          <w:lang w:eastAsia="en-GB"/>
        </w:rPr>
        <w:t>tiesā</w:t>
      </w:r>
      <w:r w:rsidR="00F579D7" w:rsidRPr="00A14328">
        <w:rPr>
          <w:lang w:eastAsia="en-GB"/>
        </w:rPr>
        <w:t xml:space="preserve"> ar</w:t>
      </w:r>
      <w:r w:rsidR="00435790" w:rsidRPr="00A14328">
        <w:rPr>
          <w:lang w:eastAsia="en-GB"/>
        </w:rPr>
        <w:t xml:space="preserve"> </w:t>
      </w:r>
      <w:r w:rsidR="009F0BE4" w:rsidRPr="00A14328">
        <w:rPr>
          <w:lang w:eastAsia="en-GB"/>
        </w:rPr>
        <w:t>pieteikumu</w:t>
      </w:r>
      <w:bookmarkEnd w:id="5"/>
      <w:r w:rsidR="009F0BE4" w:rsidRPr="00A14328">
        <w:rPr>
          <w:lang w:eastAsia="en-GB"/>
        </w:rPr>
        <w:t>.</w:t>
      </w:r>
    </w:p>
    <w:p w14:paraId="1B22A6EB" w14:textId="77777777" w:rsidR="00AC2D3D" w:rsidRPr="00A14328" w:rsidRDefault="00AC2D3D" w:rsidP="00A14328">
      <w:pPr>
        <w:spacing w:line="276" w:lineRule="auto"/>
        <w:jc w:val="both"/>
      </w:pPr>
    </w:p>
    <w:p w14:paraId="588906AC" w14:textId="4BEE0F8D" w:rsidR="00AC2D3D" w:rsidRPr="00A14328" w:rsidRDefault="000A2A9C" w:rsidP="00A14328">
      <w:pPr>
        <w:spacing w:line="276" w:lineRule="auto"/>
        <w:ind w:firstLine="567"/>
        <w:jc w:val="both"/>
      </w:pPr>
      <w:r w:rsidRPr="00A14328">
        <w:lastRenderedPageBreak/>
        <w:t>[2] </w:t>
      </w:r>
      <w:r w:rsidR="00AC2D3D" w:rsidRPr="00A14328">
        <w:t xml:space="preserve">Administratīvā rajona tiesa un Administratīvā apgabaltiesa pieteikumu </w:t>
      </w:r>
      <w:r w:rsidR="00EA547A" w:rsidRPr="00A14328">
        <w:t>noraidīja</w:t>
      </w:r>
      <w:r w:rsidR="00AC2D3D" w:rsidRPr="00A14328">
        <w:t xml:space="preserve">. </w:t>
      </w:r>
      <w:r w:rsidR="00AC2D3D" w:rsidRPr="00A14328">
        <w:rPr>
          <w:rFonts w:eastAsia="Lucida Sans Unicode"/>
          <w:kern w:val="1"/>
        </w:rPr>
        <w:t>Administratīvās apgabalt</w:t>
      </w:r>
      <w:r w:rsidR="00AC2D3D" w:rsidRPr="00A14328">
        <w:t>iesas spriedums</w:t>
      </w:r>
      <w:r w:rsidR="002E5E20" w:rsidRPr="00A14328">
        <w:t>, pievienojoties arī rajona tiesas spriedumam,</w:t>
      </w:r>
      <w:r w:rsidR="00AC2D3D" w:rsidRPr="00A14328">
        <w:t xml:space="preserve"> pamatots ar turpmāk minētajiem argumentiem.</w:t>
      </w:r>
    </w:p>
    <w:p w14:paraId="1BD1CA94" w14:textId="49AB4711" w:rsidR="005558AA" w:rsidRPr="00A14328" w:rsidRDefault="000A2A9C" w:rsidP="00A14328">
      <w:pPr>
        <w:spacing w:line="276" w:lineRule="auto"/>
        <w:ind w:firstLine="567"/>
        <w:jc w:val="both"/>
      </w:pPr>
      <w:r w:rsidRPr="00A14328">
        <w:rPr>
          <w:color w:val="000000"/>
          <w:lang w:eastAsia="en-GB"/>
        </w:rPr>
        <w:t>[2.1] </w:t>
      </w:r>
      <w:r w:rsidR="00D54022" w:rsidRPr="00A14328">
        <w:t>Abi projekti tiek īstenoti Lauku attīstības programmas 2014.</w:t>
      </w:r>
      <w:r w:rsidR="00F616CF" w:rsidRPr="00A14328">
        <w:t>–</w:t>
      </w:r>
      <w:r w:rsidR="00D54022" w:rsidRPr="00A14328">
        <w:t xml:space="preserve">2020.gadam </w:t>
      </w:r>
      <w:r w:rsidR="00FA6AF0" w:rsidRPr="00A14328">
        <w:t>(turpmāk</w:t>
      </w:r>
      <w:r w:rsidR="00024732" w:rsidRPr="00A14328">
        <w:t> </w:t>
      </w:r>
      <w:r w:rsidR="003132A5" w:rsidRPr="00A14328">
        <w:t>–</w:t>
      </w:r>
      <w:r w:rsidR="00FA6AF0" w:rsidRPr="00A14328">
        <w:t xml:space="preserve"> Lauku attīstības programma) </w:t>
      </w:r>
      <w:r w:rsidR="00D54022" w:rsidRPr="00A14328">
        <w:t xml:space="preserve">ietvaros. </w:t>
      </w:r>
      <w:r w:rsidR="00C71F79" w:rsidRPr="00A14328">
        <w:t xml:space="preserve">No projektos norādītajiem mērķiem secināms, ka </w:t>
      </w:r>
      <w:r w:rsidR="002E5E20" w:rsidRPr="00A14328">
        <w:t xml:space="preserve">ar otro projektu tiek turpināta ar pirmo projektu uzsāktā mērķa īstenošana. Līdz ar to </w:t>
      </w:r>
      <w:r w:rsidR="00FA6AF0" w:rsidRPr="00A14328">
        <w:t>projekts ne</w:t>
      </w:r>
      <w:r w:rsidR="002E5E20" w:rsidRPr="00A14328">
        <w:t xml:space="preserve">atbilst jauno lauksaimnieku atbalsta mērķim atbalstīt jaunus cilvēkus, kuri pirmo reizi dibina saimniecību. </w:t>
      </w:r>
      <w:r w:rsidR="00855847" w:rsidRPr="00A14328">
        <w:t>Piešķir</w:t>
      </w:r>
      <w:r w:rsidR="00E14D62" w:rsidRPr="00A14328">
        <w:t>o</w:t>
      </w:r>
      <w:r w:rsidR="00855847" w:rsidRPr="00A14328">
        <w:t xml:space="preserve">t </w:t>
      </w:r>
      <w:r w:rsidR="00FA6AF0" w:rsidRPr="00A14328">
        <w:t>šo</w:t>
      </w:r>
      <w:r w:rsidR="00855847" w:rsidRPr="00A14328">
        <w:t xml:space="preserve"> atbalst</w:t>
      </w:r>
      <w:r w:rsidR="00FA6AF0" w:rsidRPr="00A14328">
        <w:t>u</w:t>
      </w:r>
      <w:r w:rsidR="00855847" w:rsidRPr="00A14328">
        <w:t>, t</w:t>
      </w:r>
      <w:r w:rsidR="002E5E20" w:rsidRPr="00A14328">
        <w:t>iktu pārkāpts noteikums par vienreizēju maksājumu</w:t>
      </w:r>
      <w:r w:rsidR="00855847" w:rsidRPr="00A14328">
        <w:t>.</w:t>
      </w:r>
      <w:r w:rsidR="002E5E20" w:rsidRPr="00A14328">
        <w:t xml:space="preserve"> </w:t>
      </w:r>
      <w:r w:rsidR="005558AA" w:rsidRPr="00A14328">
        <w:t xml:space="preserve">No </w:t>
      </w:r>
      <w:r w:rsidR="004B699C" w:rsidRPr="00A14328">
        <w:t>Attīstības</w:t>
      </w:r>
      <w:r w:rsidR="007526F5" w:rsidRPr="00A14328">
        <w:t xml:space="preserve"> atbalsta </w:t>
      </w:r>
      <w:r w:rsidR="005558AA" w:rsidRPr="00A14328">
        <w:t xml:space="preserve">noteikumiem, </w:t>
      </w:r>
      <w:r w:rsidR="000C19AB" w:rsidRPr="00A14328">
        <w:t>Jauno lauksaimnieku n</w:t>
      </w:r>
      <w:r w:rsidR="005558AA" w:rsidRPr="00A14328">
        <w:t xml:space="preserve">oteikumiem, kā arī no </w:t>
      </w:r>
      <w:r w:rsidR="00BC32BB" w:rsidRPr="00A14328">
        <w:t xml:space="preserve">Lauku attīstības </w:t>
      </w:r>
      <w:r w:rsidR="005558AA" w:rsidRPr="00A14328">
        <w:t>regulas</w:t>
      </w:r>
      <w:r w:rsidR="00FA6AF0" w:rsidRPr="00A14328">
        <w:t xml:space="preserve"> </w:t>
      </w:r>
      <w:r w:rsidR="005558AA" w:rsidRPr="00A14328">
        <w:t xml:space="preserve">kopsakarā neizriet likumdevēja mērķis vienam pretendentam piešķirt divus atbalstus. Konstatējot šķēršļus prasītā labuma piešķiršanai, kā arī ņemot vērā, ka pieteicēja </w:t>
      </w:r>
      <w:r w:rsidR="00FA6AF0" w:rsidRPr="00A14328">
        <w:t>vienu</w:t>
      </w:r>
      <w:r w:rsidR="005558AA" w:rsidRPr="00A14328">
        <w:t xml:space="preserve"> atbalstu jau ir saņēmusi, samērīguma princips attiecībā pret pieteicēju ir ievērots.</w:t>
      </w:r>
    </w:p>
    <w:p w14:paraId="180F2483" w14:textId="309E4979" w:rsidR="00AC575D" w:rsidRPr="00A14328" w:rsidRDefault="0051687C" w:rsidP="00A14328">
      <w:pPr>
        <w:spacing w:line="276" w:lineRule="auto"/>
        <w:ind w:firstLine="567"/>
        <w:jc w:val="both"/>
      </w:pPr>
      <w:r w:rsidRPr="00A14328">
        <w:t>[2.</w:t>
      </w:r>
      <w:r w:rsidR="00D54022" w:rsidRPr="00A14328">
        <w:t>2</w:t>
      </w:r>
      <w:r w:rsidRPr="00A14328">
        <w:t xml:space="preserve">] </w:t>
      </w:r>
      <w:r w:rsidR="005E4FE9" w:rsidRPr="00A14328">
        <w:t>Lauku attīstības r</w:t>
      </w:r>
      <w:r w:rsidR="002E5E20" w:rsidRPr="00A14328">
        <w:t xml:space="preserve">egulas 19.panta 1.punkta </w:t>
      </w:r>
      <w:r w:rsidR="00C059B9" w:rsidRPr="00A14328">
        <w:t>„</w:t>
      </w:r>
      <w:r w:rsidR="002E5E20" w:rsidRPr="00A14328">
        <w:t xml:space="preserve">a” apakšpunkts paredz trīs veida atbalstus jaunizveidotiem uzņēmumiem. </w:t>
      </w:r>
      <w:r w:rsidR="005E4FE9" w:rsidRPr="00A14328">
        <w:t>Minētās r</w:t>
      </w:r>
      <w:r w:rsidR="002E5E20" w:rsidRPr="00A14328">
        <w:t xml:space="preserve">egulas 19.panta 4.punkta trešajā daļā noteikts, ka dalībvalstis nosaka maksimālo un minimālo robežvērtību, kas ļauj lauku saimniecībām saņemt atbalstu </w:t>
      </w:r>
      <w:r w:rsidR="009132F4" w:rsidRPr="00A14328">
        <w:t>gados jauniem lauksaimniekiem</w:t>
      </w:r>
      <w:r w:rsidR="002E5E20" w:rsidRPr="00A14328">
        <w:t xml:space="preserve"> un </w:t>
      </w:r>
      <w:r w:rsidR="009132F4" w:rsidRPr="00A14328">
        <w:t>mazo lauku saimniecību attīstībai</w:t>
      </w:r>
      <w:r w:rsidR="002E5E20" w:rsidRPr="00A14328">
        <w:t xml:space="preserve">. Minimālā robežvērtība </w:t>
      </w:r>
      <w:r w:rsidR="00E344AB" w:rsidRPr="00A14328">
        <w:t>pirmajam</w:t>
      </w:r>
      <w:r w:rsidR="00E14D62" w:rsidRPr="00A14328">
        <w:t xml:space="preserve"> </w:t>
      </w:r>
      <w:r w:rsidR="002E5E20" w:rsidRPr="00A14328">
        <w:t>atbalstam</w:t>
      </w:r>
      <w:r w:rsidR="00E14D62" w:rsidRPr="00A14328">
        <w:t xml:space="preserve"> </w:t>
      </w:r>
      <w:r w:rsidR="002E5E20" w:rsidRPr="00A14328">
        <w:t>ir augstāka</w:t>
      </w:r>
      <w:r w:rsidR="00E14D62" w:rsidRPr="00A14328">
        <w:t>.</w:t>
      </w:r>
      <w:r w:rsidR="002E5E20" w:rsidRPr="00A14328">
        <w:t xml:space="preserve"> </w:t>
      </w:r>
      <w:r w:rsidR="00AC575D" w:rsidRPr="00A14328">
        <w:t>N</w:t>
      </w:r>
      <w:r w:rsidR="00544068" w:rsidRPr="00A14328">
        <w:t>ormatīvajos aktos</w:t>
      </w:r>
      <w:r w:rsidR="002E5E20" w:rsidRPr="00A14328">
        <w:t xml:space="preserve"> tiešā tekstā nav noteikts aizliegums saņemt </w:t>
      </w:r>
      <w:r w:rsidR="00544068" w:rsidRPr="00A14328">
        <w:t>abus</w:t>
      </w:r>
      <w:r w:rsidR="002E5E20" w:rsidRPr="00A14328">
        <w:t xml:space="preserve"> atbalst</w:t>
      </w:r>
      <w:r w:rsidR="00544068" w:rsidRPr="00A14328">
        <w:t>us</w:t>
      </w:r>
      <w:r w:rsidR="002E5E20" w:rsidRPr="00A14328">
        <w:t xml:space="preserve">, taču </w:t>
      </w:r>
      <w:r w:rsidR="00AC575D" w:rsidRPr="00A14328">
        <w:t>d</w:t>
      </w:r>
      <w:r w:rsidR="002E5E20" w:rsidRPr="00A14328">
        <w:t xml:space="preserve">ienests pamatoti ir vērtējis </w:t>
      </w:r>
      <w:r w:rsidR="00544068" w:rsidRPr="00A14328">
        <w:t xml:space="preserve">tiesību normas un </w:t>
      </w:r>
      <w:r w:rsidR="00BF40A7" w:rsidRPr="00A14328">
        <w:t>abu</w:t>
      </w:r>
      <w:r w:rsidR="002E5E20" w:rsidRPr="00A14328">
        <w:t xml:space="preserve"> projekt</w:t>
      </w:r>
      <w:r w:rsidR="00BF40A7" w:rsidRPr="00A14328">
        <w:t>u</w:t>
      </w:r>
      <w:r w:rsidR="002E5E20" w:rsidRPr="00A14328">
        <w:t xml:space="preserve"> būtību un mērķus</w:t>
      </w:r>
      <w:r w:rsidR="00E344AB" w:rsidRPr="00A14328">
        <w:t xml:space="preserve"> un </w:t>
      </w:r>
      <w:r w:rsidR="002E5E20" w:rsidRPr="00A14328">
        <w:t>konstatē</w:t>
      </w:r>
      <w:r w:rsidR="00E344AB" w:rsidRPr="00A14328">
        <w:t>jis</w:t>
      </w:r>
      <w:r w:rsidR="002E5E20" w:rsidRPr="00A14328">
        <w:t xml:space="preserve">, ka konkrētajā gadījumā tiktu pārkāpts noteikums par atbalstu vienreizēja maksājuma veidā. Saskaņā ar </w:t>
      </w:r>
      <w:r w:rsidR="000C19AB" w:rsidRPr="00A14328">
        <w:t>Jauno lauksaimnieku</w:t>
      </w:r>
      <w:r w:rsidR="004A0315" w:rsidRPr="00A14328">
        <w:t xml:space="preserve"> atbalsta</w:t>
      </w:r>
      <w:r w:rsidR="000C19AB" w:rsidRPr="00A14328">
        <w:t xml:space="preserve"> n</w:t>
      </w:r>
      <w:r w:rsidR="002E5E20" w:rsidRPr="00A14328">
        <w:t>oteikumu 22.punktu dienests vērtē darījumdarbības plāna kvalitāti un ieguldījumu atbilstību sasniedzamajiem mērķiem, mērķu samērīgumu attiecībā pret kopējo atbalsta apmēru</w:t>
      </w:r>
      <w:r w:rsidR="0071726F" w:rsidRPr="00A14328">
        <w:t xml:space="preserve">, kā arī </w:t>
      </w:r>
      <w:r w:rsidR="002E5E20" w:rsidRPr="00A14328">
        <w:t xml:space="preserve">pārbauda, vai atbalsts tiek piešķirts efektīvi. </w:t>
      </w:r>
      <w:r w:rsidR="00544068" w:rsidRPr="00A14328">
        <w:t>To</w:t>
      </w:r>
      <w:r w:rsidR="002E5E20" w:rsidRPr="00A14328">
        <w:t xml:space="preserve"> paš</w:t>
      </w:r>
      <w:r w:rsidR="00544068" w:rsidRPr="00A14328">
        <w:t>u</w:t>
      </w:r>
      <w:r w:rsidR="002E5E20" w:rsidRPr="00A14328">
        <w:t xml:space="preserve"> mērķi</w:t>
      </w:r>
      <w:r w:rsidR="00AC575D" w:rsidRPr="00A14328">
        <w:t xml:space="preserve"> </w:t>
      </w:r>
      <w:r w:rsidR="002E5E20" w:rsidRPr="00A14328">
        <w:t>atbalst</w:t>
      </w:r>
      <w:r w:rsidR="00544068" w:rsidRPr="00A14328">
        <w:t>ot divreiz,</w:t>
      </w:r>
      <w:r w:rsidR="002E5E20" w:rsidRPr="00A14328">
        <w:t xml:space="preserve"> līdzekļu izlietojums nebūtu samērīg</w:t>
      </w:r>
      <w:r w:rsidR="00E344AB" w:rsidRPr="00A14328">
        <w:t>s</w:t>
      </w:r>
      <w:r w:rsidR="002E5E20" w:rsidRPr="00A14328">
        <w:t xml:space="preserve"> attiecībā pret citiem pretendentiem.</w:t>
      </w:r>
      <w:r w:rsidR="00040161" w:rsidRPr="00A14328">
        <w:t xml:space="preserve"> </w:t>
      </w:r>
      <w:r w:rsidR="00BF40A7" w:rsidRPr="00A14328">
        <w:t>A</w:t>
      </w:r>
      <w:r w:rsidR="00040161" w:rsidRPr="00A14328">
        <w:t xml:space="preserve">tbilstoši </w:t>
      </w:r>
      <w:r w:rsidR="000C19AB" w:rsidRPr="00A14328">
        <w:t xml:space="preserve">Jauno lauksaimnieku </w:t>
      </w:r>
      <w:r w:rsidR="004A0315" w:rsidRPr="00A14328">
        <w:t xml:space="preserve">atbalsta </w:t>
      </w:r>
      <w:r w:rsidR="000C19AB" w:rsidRPr="00A14328">
        <w:t>n</w:t>
      </w:r>
      <w:r w:rsidR="00040161" w:rsidRPr="00A14328">
        <w:t>oteikum</w:t>
      </w:r>
      <w:r w:rsidR="00E344AB" w:rsidRPr="00A14328">
        <w:t>iem</w:t>
      </w:r>
      <w:r w:rsidR="00BF40A7" w:rsidRPr="00A14328">
        <w:t>, lai saņemtu</w:t>
      </w:r>
      <w:r w:rsidR="00040161" w:rsidRPr="00A14328">
        <w:t xml:space="preserve"> atbalst</w:t>
      </w:r>
      <w:r w:rsidR="00BF40A7" w:rsidRPr="00A14328">
        <w:t xml:space="preserve">u, </w:t>
      </w:r>
      <w:r w:rsidR="00040161" w:rsidRPr="00A14328">
        <w:t>pretendent</w:t>
      </w:r>
      <w:r w:rsidR="00F5592E" w:rsidRPr="00A14328">
        <w:t>am</w:t>
      </w:r>
      <w:r w:rsidR="00040161" w:rsidRPr="00A14328">
        <w:t xml:space="preserve"> saimniecības vadītāja statusā </w:t>
      </w:r>
      <w:r w:rsidR="00E7795D" w:rsidRPr="00A14328">
        <w:t xml:space="preserve">saimniecība </w:t>
      </w:r>
      <w:r w:rsidR="00F5592E" w:rsidRPr="00A14328">
        <w:t>jā</w:t>
      </w:r>
      <w:r w:rsidR="00040161" w:rsidRPr="00A14328">
        <w:t xml:space="preserve">dibina pirmo reizi. Turpretim </w:t>
      </w:r>
      <w:r w:rsidR="004B699C" w:rsidRPr="00A14328">
        <w:t>attīstības</w:t>
      </w:r>
      <w:r w:rsidR="00040161" w:rsidRPr="00A14328">
        <w:t xml:space="preserve"> atbalsts </w:t>
      </w:r>
      <w:r w:rsidR="005558AA" w:rsidRPr="00A14328">
        <w:t>atbilstoši</w:t>
      </w:r>
      <w:r w:rsidR="007526F5" w:rsidRPr="00A14328">
        <w:t xml:space="preserve"> </w:t>
      </w:r>
      <w:r w:rsidR="004B699C" w:rsidRPr="00A14328">
        <w:t>Attīstības</w:t>
      </w:r>
      <w:r w:rsidR="007526F5" w:rsidRPr="00A14328">
        <w:t xml:space="preserve"> atbalsta</w:t>
      </w:r>
      <w:r w:rsidR="005558AA" w:rsidRPr="00A14328">
        <w:t xml:space="preserve"> </w:t>
      </w:r>
      <w:r w:rsidR="00D54022" w:rsidRPr="00A14328">
        <w:t xml:space="preserve">noteikumu normām </w:t>
      </w:r>
      <w:r w:rsidR="00040161" w:rsidRPr="00A14328">
        <w:t xml:space="preserve">tiek piešķirts jau esošu saimniecību attīstībai. Vienlaikus </w:t>
      </w:r>
      <w:r w:rsidR="00F5592E" w:rsidRPr="00A14328">
        <w:t>abu noteikumu</w:t>
      </w:r>
      <w:r w:rsidR="00040161" w:rsidRPr="00A14328">
        <w:t xml:space="preserve"> 1.punkts noteic, ka atbalsta veidus piešķir vienreizēja maksājuma veidā. </w:t>
      </w:r>
      <w:r w:rsidR="006C705C" w:rsidRPr="00A14328">
        <w:t>A</w:t>
      </w:r>
      <w:r w:rsidR="00040161" w:rsidRPr="00A14328">
        <w:t xml:space="preserve">tbalstu saimnieciskās darbības laikā var piešķirt tikai vienreiz, </w:t>
      </w:r>
      <w:r w:rsidR="00F5592E" w:rsidRPr="00A14328">
        <w:t>jo</w:t>
      </w:r>
      <w:r w:rsidR="00040161" w:rsidRPr="00A14328">
        <w:t xml:space="preserve"> abi atbalsta veidi ir paredzēti kā vienreizējs stimuls, lai veicinātu mazo saimniecību attīstību.</w:t>
      </w:r>
    </w:p>
    <w:p w14:paraId="17F87116" w14:textId="01904DDB" w:rsidR="00C573F3" w:rsidRPr="00A14328" w:rsidRDefault="00574147" w:rsidP="00A14328">
      <w:pPr>
        <w:spacing w:line="276" w:lineRule="auto"/>
        <w:ind w:firstLine="567"/>
        <w:jc w:val="both"/>
      </w:pPr>
      <w:r w:rsidRPr="00A14328">
        <w:t>[</w:t>
      </w:r>
      <w:r w:rsidR="00826625" w:rsidRPr="00A14328">
        <w:t>2.</w:t>
      </w:r>
      <w:r w:rsidR="006C705C" w:rsidRPr="00A14328">
        <w:t>3</w:t>
      </w:r>
      <w:r w:rsidRPr="00A14328">
        <w:t xml:space="preserve">] Apstāklis, ka pieteicējai pārsūdzētajā lēmumā norādīto iemeslu dēļ jeb likumdevēja noteikto šķēršļu dēļ prasītais labums netiek piešķirts, nenozīmē, ka likumdevēja rīcība ir kļūdaina. </w:t>
      </w:r>
      <w:r w:rsidR="003E4374" w:rsidRPr="00A14328">
        <w:t>D</w:t>
      </w:r>
      <w:r w:rsidRPr="00A14328">
        <w:t xml:space="preserve">ienests, piešķirot pieteicējai </w:t>
      </w:r>
      <w:r w:rsidR="003E4374" w:rsidRPr="00A14328">
        <w:t>pirmo</w:t>
      </w:r>
      <w:r w:rsidRPr="00A14328">
        <w:t xml:space="preserve"> atbalstu, nebija apsolījis piešķirt arī jauno lauksaimnieku atbalstu,</w:t>
      </w:r>
      <w:r w:rsidR="003E4374" w:rsidRPr="00A14328">
        <w:t xml:space="preserve"> tāpēc</w:t>
      </w:r>
      <w:r w:rsidRPr="00A14328">
        <w:t xml:space="preserve"> nav konstatējams dienesta apsolījums, uz ko pieteicēja varēja paļauties.</w:t>
      </w:r>
    </w:p>
    <w:p w14:paraId="31171503" w14:textId="77777777" w:rsidR="00574147" w:rsidRPr="00A14328" w:rsidRDefault="00574147" w:rsidP="00A14328">
      <w:pPr>
        <w:spacing w:line="276" w:lineRule="auto"/>
        <w:ind w:firstLine="567"/>
        <w:jc w:val="both"/>
        <w:rPr>
          <w:color w:val="000000" w:themeColor="text1"/>
        </w:rPr>
      </w:pPr>
    </w:p>
    <w:p w14:paraId="6BF46B6E" w14:textId="67D205DC" w:rsidR="00530B85" w:rsidRPr="00A14328" w:rsidRDefault="000A2A9C" w:rsidP="00A14328">
      <w:pPr>
        <w:spacing w:line="276" w:lineRule="auto"/>
        <w:ind w:firstLine="567"/>
        <w:jc w:val="both"/>
        <w:rPr>
          <w:shd w:val="clear" w:color="auto" w:fill="FFFFFF"/>
        </w:rPr>
      </w:pPr>
      <w:r w:rsidRPr="00A14328">
        <w:t>[3] </w:t>
      </w:r>
      <w:r w:rsidR="007529BC" w:rsidRPr="00A14328">
        <w:t>Pieteicēja</w:t>
      </w:r>
      <w:r w:rsidR="00530B85" w:rsidRPr="00A14328">
        <w:t xml:space="preserve"> par Administratīvās apgabaltiesas spriedumu iesniedza kasācijas sūdzību. Kasācijas sūdzīb</w:t>
      </w:r>
      <w:r w:rsidR="00633F29" w:rsidRPr="00A14328">
        <w:t>ā norādīts, ka</w:t>
      </w:r>
      <w:r w:rsidR="00530B85" w:rsidRPr="00A14328">
        <w:t xml:space="preserve"> </w:t>
      </w:r>
      <w:r w:rsidR="00FD2543" w:rsidRPr="00A14328">
        <w:t>t</w:t>
      </w:r>
      <w:r w:rsidR="00157A60" w:rsidRPr="00A14328">
        <w:t>iesa pārkāpusi likuma atrunas principu, kas nostiprināts Administratīvā procesa likuma 11.pantā</w:t>
      </w:r>
      <w:r w:rsidR="002712A0" w:rsidRPr="00A14328">
        <w:t xml:space="preserve"> un arī Augstākas tiesas judikatūrā (</w:t>
      </w:r>
      <w:r w:rsidR="00FD2543" w:rsidRPr="00A14328">
        <w:t xml:space="preserve">spriedumā lietā </w:t>
      </w:r>
      <w:r w:rsidR="00BC32BB" w:rsidRPr="00A14328">
        <w:t>Nr. </w:t>
      </w:r>
      <w:r w:rsidR="002712A0" w:rsidRPr="00A14328">
        <w:t xml:space="preserve">SKA-30/2009 norādīts, ka </w:t>
      </w:r>
      <w:r w:rsidR="00250DF6" w:rsidRPr="00A14328">
        <w:t>analoģija nelabvēlīga administratīvā akta gadījumā nav pieļaujama</w:t>
      </w:r>
      <w:r w:rsidR="00FD2543" w:rsidRPr="00A14328">
        <w:t>)</w:t>
      </w:r>
      <w:r w:rsidR="00250DF6" w:rsidRPr="00A14328">
        <w:t>.</w:t>
      </w:r>
      <w:r w:rsidR="00FD2543" w:rsidRPr="00A14328">
        <w:t xml:space="preserve"> </w:t>
      </w:r>
      <w:r w:rsidR="006465BD" w:rsidRPr="00A14328">
        <w:t xml:space="preserve">Tiesa nepareizi interpretējusi </w:t>
      </w:r>
      <w:r w:rsidR="004B699C" w:rsidRPr="00A14328">
        <w:t>Attīstības</w:t>
      </w:r>
      <w:r w:rsidR="007526F5" w:rsidRPr="00A14328">
        <w:t xml:space="preserve"> atbalsta </w:t>
      </w:r>
      <w:r w:rsidR="00250DF6" w:rsidRPr="00A14328">
        <w:t>noteikum</w:t>
      </w:r>
      <w:r w:rsidR="006465BD" w:rsidRPr="00A14328">
        <w:t>u</w:t>
      </w:r>
      <w:r w:rsidR="00250DF6" w:rsidRPr="00A14328">
        <w:t xml:space="preserve">, </w:t>
      </w:r>
      <w:r w:rsidR="0074688A" w:rsidRPr="00A14328">
        <w:t xml:space="preserve">Jauno lauksaimnieku </w:t>
      </w:r>
      <w:r w:rsidR="004A0315" w:rsidRPr="00A14328">
        <w:t xml:space="preserve">atbalsta </w:t>
      </w:r>
      <w:r w:rsidR="0074688A" w:rsidRPr="00A14328">
        <w:t>n</w:t>
      </w:r>
      <w:r w:rsidR="00250DF6" w:rsidRPr="00A14328">
        <w:t>oteikum</w:t>
      </w:r>
      <w:r w:rsidR="006465BD" w:rsidRPr="00A14328">
        <w:t>u</w:t>
      </w:r>
      <w:r w:rsidR="00250DF6" w:rsidRPr="00A14328">
        <w:t xml:space="preserve">, kā arī </w:t>
      </w:r>
      <w:r w:rsidR="00DB0CE0" w:rsidRPr="00A14328">
        <w:t>Lauku attīstības r</w:t>
      </w:r>
      <w:r w:rsidR="00250DF6" w:rsidRPr="00A14328">
        <w:t>egulas</w:t>
      </w:r>
      <w:r w:rsidR="006465BD" w:rsidRPr="00A14328">
        <w:t xml:space="preserve"> normas.</w:t>
      </w:r>
      <w:r w:rsidR="00FD2543" w:rsidRPr="00A14328">
        <w:t xml:space="preserve"> </w:t>
      </w:r>
      <w:r w:rsidR="004B699C" w:rsidRPr="00A14328">
        <w:t xml:space="preserve">Attīstības </w:t>
      </w:r>
      <w:r w:rsidR="007526F5" w:rsidRPr="00A14328">
        <w:t>atbalsta n</w:t>
      </w:r>
      <w:r w:rsidR="006465BD" w:rsidRPr="00A14328">
        <w:t xml:space="preserve">oteikumu </w:t>
      </w:r>
      <w:r w:rsidR="003E4374" w:rsidRPr="00A14328">
        <w:t xml:space="preserve">un </w:t>
      </w:r>
      <w:r w:rsidR="0074688A" w:rsidRPr="00A14328">
        <w:t>Jauno lauksaimnieku</w:t>
      </w:r>
      <w:r w:rsidR="004A0315" w:rsidRPr="00A14328">
        <w:t xml:space="preserve"> atbalsta</w:t>
      </w:r>
      <w:r w:rsidR="0074688A" w:rsidRPr="00A14328">
        <w:t xml:space="preserve"> n</w:t>
      </w:r>
      <w:r w:rsidR="003E4374" w:rsidRPr="00A14328">
        <w:t xml:space="preserve">oteikumu </w:t>
      </w:r>
      <w:r w:rsidR="00B94327" w:rsidRPr="00A14328">
        <w:rPr>
          <w:shd w:val="clear" w:color="auto" w:fill="FFFFFF"/>
        </w:rPr>
        <w:t>pirmajos punktos ir nodefinēts, kādā apakšpasākumā tiek piešķirts atbalsts.</w:t>
      </w:r>
      <w:r w:rsidR="00605C6B" w:rsidRPr="00A14328">
        <w:rPr>
          <w:shd w:val="clear" w:color="auto" w:fill="FFFFFF"/>
        </w:rPr>
        <w:t xml:space="preserve"> </w:t>
      </w:r>
      <w:r w:rsidR="006C705C" w:rsidRPr="00A14328">
        <w:rPr>
          <w:shd w:val="clear" w:color="auto" w:fill="FFFFFF"/>
        </w:rPr>
        <w:t>K</w:t>
      </w:r>
      <w:r w:rsidR="00605C6B" w:rsidRPr="00A14328">
        <w:rPr>
          <w:shd w:val="clear" w:color="auto" w:fill="FFFFFF"/>
        </w:rPr>
        <w:t xml:space="preserve">atrā no apakšpasākumiem patiešām </w:t>
      </w:r>
      <w:r w:rsidR="006C705C" w:rsidRPr="00A14328">
        <w:rPr>
          <w:shd w:val="clear" w:color="auto" w:fill="FFFFFF"/>
        </w:rPr>
        <w:t>nevar</w:t>
      </w:r>
      <w:r w:rsidR="00605C6B" w:rsidRPr="00A14328">
        <w:rPr>
          <w:shd w:val="clear" w:color="auto" w:fill="FFFFFF"/>
        </w:rPr>
        <w:t xml:space="preserve"> saņemt atbalstu vairāk nekā vienu reizi. Nekādi citi aizliegumi vai ierobežojumi, kuri būtu pamat</w:t>
      </w:r>
      <w:r w:rsidR="006C705C" w:rsidRPr="00A14328">
        <w:rPr>
          <w:shd w:val="clear" w:color="auto" w:fill="FFFFFF"/>
        </w:rPr>
        <w:t>s</w:t>
      </w:r>
      <w:r w:rsidR="00605C6B" w:rsidRPr="00A14328">
        <w:rPr>
          <w:shd w:val="clear" w:color="auto" w:fill="FFFFFF"/>
        </w:rPr>
        <w:t xml:space="preserve"> atteikumam, šajos </w:t>
      </w:r>
      <w:r w:rsidR="00605C6B" w:rsidRPr="00A14328">
        <w:rPr>
          <w:shd w:val="clear" w:color="auto" w:fill="FFFFFF"/>
        </w:rPr>
        <w:lastRenderedPageBreak/>
        <w:t>normatīvajos aktos noteikti nav. Privātpersonas tiesības nedrīkst aizskart tikai tādēļ, ka normatīvajos aktos ir nepilnības.</w:t>
      </w:r>
    </w:p>
    <w:p w14:paraId="54A95FFF" w14:textId="77777777" w:rsidR="008E0544" w:rsidRPr="00A14328" w:rsidRDefault="008E0544" w:rsidP="00A14328">
      <w:pPr>
        <w:spacing w:line="276" w:lineRule="auto"/>
        <w:ind w:firstLine="567"/>
        <w:jc w:val="both"/>
      </w:pPr>
    </w:p>
    <w:p w14:paraId="16FD6E26" w14:textId="4D6920AD" w:rsidR="00FD2543" w:rsidRPr="00A14328" w:rsidRDefault="00C012DE" w:rsidP="00A14328">
      <w:pPr>
        <w:spacing w:line="276" w:lineRule="auto"/>
        <w:ind w:firstLine="567"/>
        <w:jc w:val="both"/>
      </w:pPr>
      <w:r w:rsidRPr="00A14328">
        <w:t>[4] </w:t>
      </w:r>
      <w:r w:rsidR="00FD2543" w:rsidRPr="00A14328">
        <w:t xml:space="preserve">Senāts vērsās Eiropas Savienības </w:t>
      </w:r>
      <w:r w:rsidR="00E82CB6" w:rsidRPr="00A14328">
        <w:t>Ti</w:t>
      </w:r>
      <w:r w:rsidR="00FD2543" w:rsidRPr="00A14328">
        <w:t>esā ar prejudiciāliem jautājumiem par Lauku attīstības regula</w:t>
      </w:r>
      <w:r w:rsidR="007B640D" w:rsidRPr="00A14328">
        <w:t>s normu interpretāciju. Eiropas Savienības Tiesa</w:t>
      </w:r>
      <w:r w:rsidR="005E4FE9" w:rsidRPr="00A14328">
        <w:t xml:space="preserve"> 2021.gada 6.oktobra spriedumā lietā C-119/20 (ECLI:EU:C:2021:81) </w:t>
      </w:r>
      <w:r w:rsidR="007B640D" w:rsidRPr="00A14328">
        <w:t xml:space="preserve">nosprieda, ka </w:t>
      </w:r>
      <w:r w:rsidR="00C962A1" w:rsidRPr="00A14328">
        <w:t xml:space="preserve">minētās </w:t>
      </w:r>
      <w:r w:rsidR="007B640D" w:rsidRPr="00A14328">
        <w:t xml:space="preserve">regulas 19.panta 1.punkts ir jāinterpretē tādējādi, ka tam nav pretrunā tas, ka lauksaimnieks, kurš ir saņēmis </w:t>
      </w:r>
      <w:r w:rsidR="00031336" w:rsidRPr="00A14328">
        <w:t xml:space="preserve">attīstības </w:t>
      </w:r>
      <w:r w:rsidR="007B640D" w:rsidRPr="00A14328">
        <w:t xml:space="preserve">atbalstu, var to </w:t>
      </w:r>
      <w:r w:rsidR="00B25D5D" w:rsidRPr="00A14328">
        <w:t xml:space="preserve">kumulēt (summēt) </w:t>
      </w:r>
      <w:r w:rsidR="007B640D" w:rsidRPr="00A14328">
        <w:t xml:space="preserve">ar </w:t>
      </w:r>
      <w:r w:rsidR="00031336" w:rsidRPr="00A14328">
        <w:t xml:space="preserve">jauno lauksaimnieku </w:t>
      </w:r>
      <w:r w:rsidR="007B640D" w:rsidRPr="00A14328">
        <w:t>atbalstu, ja vien nav pārsniegta atbalsta maksimālā summa</w:t>
      </w:r>
      <w:r w:rsidR="00F32198" w:rsidRPr="00A14328">
        <w:t xml:space="preserve">. Vienlaikus minētajam </w:t>
      </w:r>
      <w:r w:rsidR="007B640D" w:rsidRPr="00A14328">
        <w:t>punkt</w:t>
      </w:r>
      <w:r w:rsidR="00F32198" w:rsidRPr="00A14328">
        <w:t>am</w:t>
      </w:r>
      <w:r w:rsidR="007B640D" w:rsidRPr="00A14328">
        <w:t xml:space="preserve"> nav pretrunā valsts tiesiskais regulējums, saskaņā ar kuru atbalsta mazo lauku saimniecību attīstībai piešķiršana izslēdz atbalstu gados jauniem lauksaimniekiem saņemšanu.</w:t>
      </w:r>
    </w:p>
    <w:p w14:paraId="63CAB847" w14:textId="77777777" w:rsidR="00FD2543" w:rsidRPr="00A14328" w:rsidRDefault="00FD2543" w:rsidP="00A14328">
      <w:pPr>
        <w:spacing w:line="276" w:lineRule="auto"/>
        <w:ind w:firstLine="567"/>
        <w:jc w:val="both"/>
      </w:pPr>
    </w:p>
    <w:p w14:paraId="5EEB464C" w14:textId="7702814C" w:rsidR="00E82CB6" w:rsidRPr="00A14328" w:rsidRDefault="00EE7A56" w:rsidP="00A14328">
      <w:pPr>
        <w:spacing w:line="276" w:lineRule="auto"/>
        <w:ind w:firstLine="567"/>
        <w:jc w:val="both"/>
      </w:pPr>
      <w:r w:rsidRPr="00A14328">
        <w:t xml:space="preserve">[5] </w:t>
      </w:r>
      <w:r w:rsidR="003C011B" w:rsidRPr="00A14328">
        <w:t xml:space="preserve">Pieteicēja iesniegusi paskaidrojumus, kuros norāda, ka Latvija nav noteikusi ierobežojumus lietā izskatāmo atbalstu </w:t>
      </w:r>
      <w:r w:rsidR="00B25D5D" w:rsidRPr="00A14328">
        <w:t>summ</w:t>
      </w:r>
      <w:r w:rsidR="003C011B" w:rsidRPr="00A14328">
        <w:t xml:space="preserve">ēšanai. Gluži pretēji, projekta pieteikuma iesniegšanas brīdī bija skaidri noregulēta abu projektu </w:t>
      </w:r>
      <w:r w:rsidR="00B25D5D" w:rsidRPr="00A14328">
        <w:t>summ</w:t>
      </w:r>
      <w:r w:rsidR="003C011B" w:rsidRPr="00A14328">
        <w:t>ēšanas iespējamība. Proti, Attīstības atbalsta noteikumu 23.1.</w:t>
      </w:r>
      <w:r w:rsidR="000D29E4" w:rsidRPr="00A14328">
        <w:t>apakš</w:t>
      </w:r>
      <w:r w:rsidR="003C011B" w:rsidRPr="00A14328">
        <w:t>punktā ietverts aizliegums saņemt uzņēmējdarbības uzsākšanas atbalstu tajā gadījumā, ja iepriekšējā plānošanas periodā (2007.</w:t>
      </w:r>
      <w:r w:rsidR="00F616CF" w:rsidRPr="00A14328">
        <w:t>–</w:t>
      </w:r>
      <w:r w:rsidR="003C011B" w:rsidRPr="00A14328">
        <w:t>2013.gadam) pretendents saņēmis jauno lauksaimnieku atbalstu. Attiecībā uz plānošanas periodu, kurā pieteicēja iesniedza projekta pieteikumu (2014.</w:t>
      </w:r>
      <w:r w:rsidR="00F616CF" w:rsidRPr="00A14328">
        <w:t>–</w:t>
      </w:r>
      <w:r w:rsidR="003C011B" w:rsidRPr="00A14328">
        <w:t>2020.gadam), aizliegums ir fiksēts Attīstības atbalsta noteikumu 23.2.</w:t>
      </w:r>
      <w:r w:rsidR="000D29E4" w:rsidRPr="00A14328">
        <w:t>apakš</w:t>
      </w:r>
      <w:r w:rsidR="003C011B" w:rsidRPr="00A14328">
        <w:t xml:space="preserve">punktā un tas attiecas tikai uz pasākumu </w:t>
      </w:r>
      <w:r w:rsidR="00C059B9" w:rsidRPr="00A14328">
        <w:t>„</w:t>
      </w:r>
      <w:r w:rsidR="003C011B" w:rsidRPr="00A14328">
        <w:t>Ieguldījumi materiālajos aktīvos”. Turklāt 23.2.</w:t>
      </w:r>
      <w:r w:rsidR="000D29E4" w:rsidRPr="00A14328">
        <w:t>apakš</w:t>
      </w:r>
      <w:r w:rsidR="003C011B" w:rsidRPr="00A14328">
        <w:t>punktā noteiktais aizliegums ir pretējs Lauku attīstības programmas 8.2.5.3.2.11.</w:t>
      </w:r>
      <w:r w:rsidR="000D29E4" w:rsidRPr="00A14328">
        <w:t>apakš</w:t>
      </w:r>
      <w:r w:rsidR="003C011B" w:rsidRPr="00A14328">
        <w:t xml:space="preserve">punktā norādītajai </w:t>
      </w:r>
      <w:r w:rsidR="00B25D5D" w:rsidRPr="00A14328">
        <w:t>summ</w:t>
      </w:r>
      <w:r w:rsidR="003C011B" w:rsidRPr="00A14328">
        <w:t>ēšanas iespējai, uz kuru atsaucas atbildētājs. Lauku attīstības programmas 8.2.5.3.1.9.2.</w:t>
      </w:r>
      <w:r w:rsidR="000D29E4" w:rsidRPr="00A14328">
        <w:t>apakš</w:t>
      </w:r>
      <w:r w:rsidR="003C011B" w:rsidRPr="00A14328">
        <w:t>punkta R.7.apakšpunktā un 8.2.5.3.2.9.2.</w:t>
      </w:r>
      <w:r w:rsidR="000D29E4" w:rsidRPr="00A14328">
        <w:t>apakš</w:t>
      </w:r>
      <w:r w:rsidR="003C011B" w:rsidRPr="00A14328">
        <w:t xml:space="preserve">punkta R.7.apakšpunktā attiecībā uz abiem atbalsta veidiem minēts, ka skaidri un pārbaudāmi projektu atlases kritēriji tiek noteikti ar nacionāliem tiesību aktiem. </w:t>
      </w:r>
      <w:r w:rsidR="00A00E45" w:rsidRPr="00A14328">
        <w:t xml:space="preserve">Ne Attīstības atbalsta noteikumos, ne Jauno lauksaimnieku atbalsta noteikumos </w:t>
      </w:r>
      <w:r w:rsidR="003C011B" w:rsidRPr="00A14328">
        <w:t xml:space="preserve">nav noteikti ierobežojumi izmaksāt </w:t>
      </w:r>
      <w:r w:rsidR="00A00E45" w:rsidRPr="00A14328">
        <w:t xml:space="preserve">Lauku attīstības regulas </w:t>
      </w:r>
      <w:r w:rsidR="003C011B" w:rsidRPr="00A14328">
        <w:t>19.panta 1.punkt</w:t>
      </w:r>
      <w:r w:rsidR="00A00E45" w:rsidRPr="00A14328">
        <w:t xml:space="preserve">ā </w:t>
      </w:r>
      <w:r w:rsidR="003C011B" w:rsidRPr="00A14328">
        <w:t xml:space="preserve">minēto atbalstu lauksaimniekam, kurš jau ir saņēmis </w:t>
      </w:r>
      <w:r w:rsidR="00A00E45" w:rsidRPr="00A14328">
        <w:t xml:space="preserve">otru </w:t>
      </w:r>
      <w:r w:rsidR="003C011B" w:rsidRPr="00A14328">
        <w:t>atbalstu</w:t>
      </w:r>
      <w:r w:rsidR="00031336" w:rsidRPr="00A14328">
        <w:t>.</w:t>
      </w:r>
    </w:p>
    <w:p w14:paraId="008A3F22" w14:textId="77777777" w:rsidR="00E82CB6" w:rsidRPr="00A14328" w:rsidRDefault="00E82CB6" w:rsidP="00A14328">
      <w:pPr>
        <w:spacing w:line="276" w:lineRule="auto"/>
        <w:ind w:firstLine="567"/>
        <w:jc w:val="both"/>
      </w:pPr>
    </w:p>
    <w:p w14:paraId="7D78E156" w14:textId="16EA416C" w:rsidR="006529EF" w:rsidRPr="00A14328" w:rsidRDefault="00437359" w:rsidP="00A14328">
      <w:pPr>
        <w:spacing w:line="276" w:lineRule="auto"/>
        <w:ind w:firstLine="567"/>
        <w:jc w:val="both"/>
      </w:pPr>
      <w:r w:rsidRPr="00A14328">
        <w:t xml:space="preserve">[6] </w:t>
      </w:r>
      <w:r w:rsidR="00EC6A72" w:rsidRPr="00A14328">
        <w:t xml:space="preserve">Dienests </w:t>
      </w:r>
      <w:r w:rsidR="00C012DE" w:rsidRPr="00A14328">
        <w:t>paskaidrojum</w:t>
      </w:r>
      <w:r w:rsidR="00D67A3D" w:rsidRPr="00A14328">
        <w:t>os</w:t>
      </w:r>
      <w:r w:rsidR="00C012DE" w:rsidRPr="00A14328">
        <w:t xml:space="preserve"> norādī</w:t>
      </w:r>
      <w:r w:rsidR="00D67A3D" w:rsidRPr="00A14328">
        <w:t>jis</w:t>
      </w:r>
      <w:r w:rsidR="00C012DE" w:rsidRPr="00A14328">
        <w:t>, ka</w:t>
      </w:r>
      <w:r w:rsidR="00F54CA5" w:rsidRPr="00A14328">
        <w:t xml:space="preserve"> </w:t>
      </w:r>
      <w:r w:rsidR="00533198" w:rsidRPr="00A14328">
        <w:t>d</w:t>
      </w:r>
      <w:r w:rsidR="00E82CB6" w:rsidRPr="00A14328">
        <w:t>alībvalsts regulu īsteno, izmantojot savas lauku attīstības programmas.</w:t>
      </w:r>
      <w:r w:rsidR="00533198" w:rsidRPr="00A14328">
        <w:t xml:space="preserve"> Kā rakstveida apsvērumos norādījusi Eiropas Komisija, dalībvalstis principā var izvēlēties, ko tās iekļauj vai neiekļauj savās </w:t>
      </w:r>
      <w:r w:rsidR="00B25D5D" w:rsidRPr="00A14328">
        <w:t xml:space="preserve">programmās. </w:t>
      </w:r>
      <w:r w:rsidR="00AE4E93" w:rsidRPr="00A14328">
        <w:t>Atbilstoši</w:t>
      </w:r>
      <w:r w:rsidR="00E82CB6" w:rsidRPr="00A14328">
        <w:t xml:space="preserve"> Lauku </w:t>
      </w:r>
      <w:r w:rsidR="00AE4E93" w:rsidRPr="00A14328">
        <w:t>attīstības programmas 2014.</w:t>
      </w:r>
      <w:r w:rsidR="00F616CF" w:rsidRPr="00A14328">
        <w:t>–</w:t>
      </w:r>
      <w:r w:rsidR="00AE4E93" w:rsidRPr="00A14328">
        <w:t>2020.gadam</w:t>
      </w:r>
      <w:r w:rsidR="006529EF" w:rsidRPr="00A14328">
        <w:t>, kas saskaņota ar</w:t>
      </w:r>
      <w:r w:rsidR="00AE4E93" w:rsidRPr="00A14328">
        <w:t xml:space="preserve"> </w:t>
      </w:r>
      <w:r w:rsidR="006529EF" w:rsidRPr="00A14328">
        <w:t xml:space="preserve">Eiropas Komisiju, </w:t>
      </w:r>
      <w:r w:rsidR="00AE4E93" w:rsidRPr="00A14328">
        <w:t>noteikumiem pieteicēja nevar vispirms pretendēt uz attīstības atbalst</w:t>
      </w:r>
      <w:r w:rsidR="006529EF" w:rsidRPr="00A14328">
        <w:t>u</w:t>
      </w:r>
      <w:r w:rsidR="00AE4E93" w:rsidRPr="00A14328">
        <w:t>, bet pēc tam uz jauno lauksaimnieku atbalstu</w:t>
      </w:r>
      <w:r w:rsidR="00D67A3D" w:rsidRPr="00A14328">
        <w:t>. Programma</w:t>
      </w:r>
      <w:r w:rsidR="00AE4E93" w:rsidRPr="00A14328">
        <w:t xml:space="preserve"> paredz, ka</w:t>
      </w:r>
      <w:r w:rsidR="00D67A3D" w:rsidRPr="00A14328">
        <w:t>,</w:t>
      </w:r>
      <w:r w:rsidR="00AE4E93" w:rsidRPr="00A14328">
        <w:t xml:space="preserve"> īstenojot kādu no minētajiem apakšpasākumiem</w:t>
      </w:r>
      <w:r w:rsidR="00D67A3D" w:rsidRPr="00A14328">
        <w:t>,</w:t>
      </w:r>
      <w:r w:rsidR="00AE4E93" w:rsidRPr="00A14328">
        <w:t xml:space="preserve"> saimniecība </w:t>
      </w:r>
      <w:r w:rsidR="00B25D5D" w:rsidRPr="00A14328">
        <w:t>vienlaikus var</w:t>
      </w:r>
      <w:r w:rsidR="00AE4E93" w:rsidRPr="00A14328">
        <w:t xml:space="preserve"> pretendēt uz atbalstu pasākumā </w:t>
      </w:r>
      <w:r w:rsidR="00C059B9" w:rsidRPr="00A14328">
        <w:t>„</w:t>
      </w:r>
      <w:r w:rsidR="00AE4E93" w:rsidRPr="00A14328">
        <w:t>Ieguldījumi materiālajos aktīvos”.</w:t>
      </w:r>
    </w:p>
    <w:p w14:paraId="5EA83C8F" w14:textId="77777777" w:rsidR="00B47609" w:rsidRPr="00A14328" w:rsidRDefault="00B47609" w:rsidP="00A14328">
      <w:pPr>
        <w:spacing w:line="276" w:lineRule="auto"/>
        <w:jc w:val="both"/>
        <w:rPr>
          <w:rFonts w:eastAsia="Lucida Sans Unicode"/>
          <w:kern w:val="2"/>
        </w:rPr>
      </w:pPr>
    </w:p>
    <w:p w14:paraId="772810B7" w14:textId="77777777" w:rsidR="00530B85" w:rsidRPr="00A14328" w:rsidRDefault="00530B85" w:rsidP="00A14328">
      <w:pPr>
        <w:spacing w:line="276" w:lineRule="auto"/>
        <w:jc w:val="center"/>
      </w:pPr>
      <w:r w:rsidRPr="00A14328">
        <w:rPr>
          <w:b/>
        </w:rPr>
        <w:t>Motīvu daļa</w:t>
      </w:r>
    </w:p>
    <w:p w14:paraId="5716235B" w14:textId="77777777" w:rsidR="000A2A9C" w:rsidRPr="00A14328" w:rsidRDefault="000A2A9C" w:rsidP="00A14328">
      <w:pPr>
        <w:spacing w:line="276" w:lineRule="auto"/>
      </w:pPr>
    </w:p>
    <w:p w14:paraId="36E598E3" w14:textId="5372277C" w:rsidR="00553AC1" w:rsidRPr="00A14328" w:rsidRDefault="000A2A9C" w:rsidP="00A14328">
      <w:pPr>
        <w:spacing w:line="276" w:lineRule="auto"/>
        <w:ind w:firstLine="567"/>
        <w:jc w:val="both"/>
        <w:rPr>
          <w:color w:val="201F1E"/>
          <w:bdr w:val="none" w:sz="0" w:space="0" w:color="auto" w:frame="1"/>
        </w:rPr>
      </w:pPr>
      <w:r w:rsidRPr="00A14328">
        <w:t>[</w:t>
      </w:r>
      <w:r w:rsidR="006C705C" w:rsidRPr="00A14328">
        <w:t>7</w:t>
      </w:r>
      <w:r w:rsidRPr="00A14328">
        <w:t>] </w:t>
      </w:r>
      <w:r w:rsidR="007455EA" w:rsidRPr="00A14328">
        <w:t>Sākotnēj</w:t>
      </w:r>
      <w:r w:rsidR="005E4FE9" w:rsidRPr="00A14328">
        <w:t>o</w:t>
      </w:r>
      <w:r w:rsidR="007455EA" w:rsidRPr="00A14328">
        <w:t xml:space="preserve"> s</w:t>
      </w:r>
      <w:r w:rsidR="00553AC1" w:rsidRPr="00A14328">
        <w:t>trīdu par to</w:t>
      </w:r>
      <w:r w:rsidR="00B25D5D" w:rsidRPr="00A14328">
        <w:t>, vai Lauku attīstības</w:t>
      </w:r>
      <w:r w:rsidR="00553AC1" w:rsidRPr="00A14328">
        <w:t xml:space="preserve"> regulā ietvertās tiesību normas </w:t>
      </w:r>
      <w:r w:rsidR="00553AC1" w:rsidRPr="00A14328">
        <w:rPr>
          <w:color w:val="201F1E"/>
          <w:bdr w:val="none" w:sz="0" w:space="0" w:color="auto" w:frame="1"/>
        </w:rPr>
        <w:t xml:space="preserve">ierobežo lauksaimnieka tiesības saņemt </w:t>
      </w:r>
      <w:r w:rsidR="00553AC1" w:rsidRPr="00A14328">
        <w:t>jauno lauksaimnieku atbalsts</w:t>
      </w:r>
      <w:r w:rsidR="00553AC1" w:rsidRPr="00A14328">
        <w:rPr>
          <w:color w:val="201F1E"/>
          <w:bdr w:val="none" w:sz="0" w:space="0" w:color="auto" w:frame="1"/>
        </w:rPr>
        <w:t xml:space="preserve">, ja pirms tam ir piešķirts attīstības pabalsts, ir atrisinājusi </w:t>
      </w:r>
      <w:r w:rsidR="005E4FE9" w:rsidRPr="00A14328">
        <w:rPr>
          <w:color w:val="201F1E"/>
          <w:bdr w:val="none" w:sz="0" w:space="0" w:color="auto" w:frame="1"/>
        </w:rPr>
        <w:t xml:space="preserve">Eiropas Savienības Tiesa </w:t>
      </w:r>
      <w:r w:rsidR="005E4FE9" w:rsidRPr="00A14328">
        <w:t>2021.gada 6.oktobra spriedumā lietā „Lauku atbalsta dienests (Aides au démarrage d’entreprises agricoles)”, C-119/20 (ECLI:EU:C:2021:81)</w:t>
      </w:r>
      <w:r w:rsidR="007455EA" w:rsidRPr="00A14328">
        <w:rPr>
          <w:color w:val="201F1E"/>
          <w:bdr w:val="none" w:sz="0" w:space="0" w:color="auto" w:frame="1"/>
        </w:rPr>
        <w:t>. A</w:t>
      </w:r>
      <w:r w:rsidR="00553AC1" w:rsidRPr="00A14328">
        <w:rPr>
          <w:color w:val="201F1E"/>
          <w:bdr w:val="none" w:sz="0" w:space="0" w:color="auto" w:frame="1"/>
        </w:rPr>
        <w:t>tbildot uz Senāta prejudiciālajiem jautājumiem</w:t>
      </w:r>
      <w:r w:rsidR="007455EA" w:rsidRPr="00A14328">
        <w:rPr>
          <w:color w:val="201F1E"/>
          <w:bdr w:val="none" w:sz="0" w:space="0" w:color="auto" w:frame="1"/>
        </w:rPr>
        <w:t>, šī tiesa norādījusi, ka</w:t>
      </w:r>
      <w:r w:rsidR="00553AC1" w:rsidRPr="00A14328">
        <w:rPr>
          <w:color w:val="201F1E"/>
          <w:bdr w:val="none" w:sz="0" w:space="0" w:color="auto" w:frame="1"/>
        </w:rPr>
        <w:t xml:space="preserve"> </w:t>
      </w:r>
      <w:r w:rsidR="009A252C" w:rsidRPr="00A14328">
        <w:rPr>
          <w:color w:val="201F1E"/>
          <w:bdr w:val="none" w:sz="0" w:space="0" w:color="auto" w:frame="1"/>
        </w:rPr>
        <w:t xml:space="preserve">regula neliedz </w:t>
      </w:r>
      <w:r w:rsidR="00553AC1" w:rsidRPr="00A14328">
        <w:rPr>
          <w:color w:val="201F1E"/>
          <w:bdr w:val="none" w:sz="0" w:space="0" w:color="auto" w:frame="1"/>
        </w:rPr>
        <w:t xml:space="preserve">lauksaimniekam tiesības pretendēt </w:t>
      </w:r>
      <w:r w:rsidR="006875D1" w:rsidRPr="00A14328">
        <w:rPr>
          <w:color w:val="201F1E"/>
          <w:bdr w:val="none" w:sz="0" w:space="0" w:color="auto" w:frame="1"/>
        </w:rPr>
        <w:t xml:space="preserve">arī </w:t>
      </w:r>
      <w:r w:rsidR="00553AC1" w:rsidRPr="00A14328">
        <w:rPr>
          <w:color w:val="201F1E"/>
          <w:bdr w:val="none" w:sz="0" w:space="0" w:color="auto" w:frame="1"/>
        </w:rPr>
        <w:t xml:space="preserve">uz </w:t>
      </w:r>
      <w:r w:rsidR="00DB657E" w:rsidRPr="00A14328">
        <w:rPr>
          <w:color w:val="201F1E"/>
          <w:bdr w:val="none" w:sz="0" w:space="0" w:color="auto" w:frame="1"/>
        </w:rPr>
        <w:t xml:space="preserve">otru </w:t>
      </w:r>
      <w:r w:rsidR="00553AC1" w:rsidRPr="00A14328">
        <w:rPr>
          <w:color w:val="201F1E"/>
          <w:bdr w:val="none" w:sz="0" w:space="0" w:color="auto" w:frame="1"/>
        </w:rPr>
        <w:t>atbalstu</w:t>
      </w:r>
      <w:r w:rsidR="006875D1" w:rsidRPr="00A14328">
        <w:rPr>
          <w:color w:val="201F1E"/>
          <w:bdr w:val="none" w:sz="0" w:space="0" w:color="auto" w:frame="1"/>
        </w:rPr>
        <w:t xml:space="preserve">, taču abu atbalstu kopsumma </w:t>
      </w:r>
      <w:r w:rsidR="00DB657E" w:rsidRPr="00A14328">
        <w:rPr>
          <w:color w:val="201F1E"/>
          <w:bdr w:val="none" w:sz="0" w:space="0" w:color="auto" w:frame="1"/>
        </w:rPr>
        <w:t>nevar pārsniegt atbalsta maksimālo summu</w:t>
      </w:r>
      <w:r w:rsidR="007455EA" w:rsidRPr="00A14328">
        <w:rPr>
          <w:color w:val="201F1E"/>
          <w:bdr w:val="none" w:sz="0" w:space="0" w:color="auto" w:frame="1"/>
        </w:rPr>
        <w:t>.</w:t>
      </w:r>
    </w:p>
    <w:p w14:paraId="2745D3BC" w14:textId="1B2E0F28" w:rsidR="00553AC1" w:rsidRPr="00A14328" w:rsidRDefault="009A252C" w:rsidP="00A14328">
      <w:pPr>
        <w:spacing w:line="276" w:lineRule="auto"/>
        <w:ind w:firstLine="567"/>
        <w:jc w:val="both"/>
        <w:rPr>
          <w:color w:val="201F1E"/>
          <w:bdr w:val="none" w:sz="0" w:space="0" w:color="auto" w:frame="1"/>
        </w:rPr>
      </w:pPr>
      <w:r w:rsidRPr="00A14328">
        <w:rPr>
          <w:color w:val="201F1E"/>
          <w:bdr w:val="none" w:sz="0" w:space="0" w:color="auto" w:frame="1"/>
        </w:rPr>
        <w:t>Vienlaikus Eiropas Savienības Tiesa ir atzinusi dalībvalsts tiesības noteikt</w:t>
      </w:r>
      <w:r w:rsidR="002802AD" w:rsidRPr="00A14328">
        <w:rPr>
          <w:color w:val="201F1E"/>
          <w:bdr w:val="none" w:sz="0" w:space="0" w:color="auto" w:frame="1"/>
        </w:rPr>
        <w:t>, ka var piešķirt tikai vienu no atbalstiem.</w:t>
      </w:r>
      <w:r w:rsidR="006C68CA" w:rsidRPr="00A14328">
        <w:t xml:space="preserve"> </w:t>
      </w:r>
      <w:r w:rsidR="00F8526B" w:rsidRPr="00A14328">
        <w:t xml:space="preserve">Kā norādīts šīs tiesas sprieduma </w:t>
      </w:r>
      <w:r w:rsidR="006C68CA" w:rsidRPr="00A14328">
        <w:rPr>
          <w:color w:val="201F1E"/>
          <w:bdr w:val="none" w:sz="0" w:space="0" w:color="auto" w:frame="1"/>
        </w:rPr>
        <w:t>58</w:t>
      </w:r>
      <w:r w:rsidR="00F8526B" w:rsidRPr="00A14328">
        <w:rPr>
          <w:color w:val="201F1E"/>
          <w:bdr w:val="none" w:sz="0" w:space="0" w:color="auto" w:frame="1"/>
        </w:rPr>
        <w:t>.</w:t>
      </w:r>
      <w:r w:rsidR="00F616CF" w:rsidRPr="00A14328">
        <w:t>–</w:t>
      </w:r>
      <w:r w:rsidR="00F8526B" w:rsidRPr="00A14328">
        <w:rPr>
          <w:color w:val="201F1E"/>
          <w:bdr w:val="none" w:sz="0" w:space="0" w:color="auto" w:frame="1"/>
        </w:rPr>
        <w:t>59.rindkopā, r</w:t>
      </w:r>
      <w:r w:rsidR="006C68CA" w:rsidRPr="00A14328">
        <w:rPr>
          <w:color w:val="201F1E"/>
          <w:bdr w:val="none" w:sz="0" w:space="0" w:color="auto" w:frame="1"/>
        </w:rPr>
        <w:t xml:space="preserve">īcības brīvība dalībvalstīm var it īpaši attiekties uz projektu atlases kritērijiem, lai nodrošinātu, ka lauku attīstībai paredzētie finanšu resursi tiek izmantoti iespējami labākā veidā, un lai pasākumus saskaņā ar lauku attīstības programmām noteiktu atbilstoši </w:t>
      </w:r>
      <w:r w:rsidR="005E4FE9" w:rsidRPr="00A14328">
        <w:rPr>
          <w:color w:val="201F1E"/>
          <w:bdr w:val="none" w:sz="0" w:space="0" w:color="auto" w:frame="1"/>
        </w:rPr>
        <w:t xml:space="preserve">Eiropas </w:t>
      </w:r>
      <w:r w:rsidR="006C68CA" w:rsidRPr="00A14328">
        <w:rPr>
          <w:color w:val="201F1E"/>
          <w:bdr w:val="none" w:sz="0" w:space="0" w:color="auto" w:frame="1"/>
        </w:rPr>
        <w:t>Savienības prioritātēm lauku attīstības jomā, un lai nodrošinātu vienlīdzīgu attieksmi pret pieteikumu iesniedzējiem.</w:t>
      </w:r>
      <w:r w:rsidR="00F8526B" w:rsidRPr="00A14328">
        <w:rPr>
          <w:color w:val="201F1E"/>
          <w:bdr w:val="none" w:sz="0" w:space="0" w:color="auto" w:frame="1"/>
        </w:rPr>
        <w:t xml:space="preserve"> R</w:t>
      </w:r>
      <w:r w:rsidR="006C68CA" w:rsidRPr="00A14328">
        <w:rPr>
          <w:color w:val="201F1E"/>
          <w:bdr w:val="none" w:sz="0" w:space="0" w:color="auto" w:frame="1"/>
        </w:rPr>
        <w:t>īcības brīvība var attiekties arī uz valsts lauku attīstības programmu izstrādi, kā arī šīs regulas prasību īstenošanu, it īpaši attiecībā uz atbalsttiesīgo lauku saimniecību lielumu vai atbalsta summu.</w:t>
      </w:r>
    </w:p>
    <w:p w14:paraId="01BCB896" w14:textId="01A722E2" w:rsidR="002802AD" w:rsidRPr="00A14328" w:rsidRDefault="002802AD" w:rsidP="00A14328">
      <w:pPr>
        <w:spacing w:line="276" w:lineRule="auto"/>
        <w:ind w:firstLine="567"/>
        <w:jc w:val="both"/>
        <w:rPr>
          <w:color w:val="201F1E"/>
          <w:bdr w:val="none" w:sz="0" w:space="0" w:color="auto" w:frame="1"/>
        </w:rPr>
      </w:pPr>
      <w:r w:rsidRPr="00A14328">
        <w:rPr>
          <w:color w:val="201F1E"/>
          <w:bdr w:val="none" w:sz="0" w:space="0" w:color="auto" w:frame="1"/>
        </w:rPr>
        <w:t>Pieteicēja uzskata, ka Latvija</w:t>
      </w:r>
      <w:r w:rsidR="00805A73" w:rsidRPr="00A14328">
        <w:rPr>
          <w:color w:val="201F1E"/>
          <w:bdr w:val="none" w:sz="0" w:space="0" w:color="auto" w:frame="1"/>
        </w:rPr>
        <w:t>s</w:t>
      </w:r>
      <w:r w:rsidRPr="00A14328">
        <w:rPr>
          <w:color w:val="201F1E"/>
          <w:bdr w:val="none" w:sz="0" w:space="0" w:color="auto" w:frame="1"/>
        </w:rPr>
        <w:t xml:space="preserve"> normatīv</w:t>
      </w:r>
      <w:r w:rsidR="00805A73" w:rsidRPr="00A14328">
        <w:rPr>
          <w:color w:val="201F1E"/>
          <w:bdr w:val="none" w:sz="0" w:space="0" w:color="auto" w:frame="1"/>
        </w:rPr>
        <w:t xml:space="preserve">ajā </w:t>
      </w:r>
      <w:r w:rsidRPr="00A14328">
        <w:rPr>
          <w:color w:val="201F1E"/>
          <w:bdr w:val="none" w:sz="0" w:space="0" w:color="auto" w:frame="1"/>
        </w:rPr>
        <w:t>regulējum</w:t>
      </w:r>
      <w:r w:rsidR="00805A73" w:rsidRPr="00A14328">
        <w:rPr>
          <w:color w:val="201F1E"/>
          <w:bdr w:val="none" w:sz="0" w:space="0" w:color="auto" w:frame="1"/>
        </w:rPr>
        <w:t xml:space="preserve">ā </w:t>
      </w:r>
      <w:r w:rsidRPr="00A14328">
        <w:rPr>
          <w:color w:val="201F1E"/>
          <w:bdr w:val="none" w:sz="0" w:space="0" w:color="auto" w:frame="1"/>
        </w:rPr>
        <w:t xml:space="preserve">nav </w:t>
      </w:r>
      <w:r w:rsidR="00805A73" w:rsidRPr="00A14328">
        <w:rPr>
          <w:color w:val="201F1E"/>
          <w:bdr w:val="none" w:sz="0" w:space="0" w:color="auto" w:frame="1"/>
        </w:rPr>
        <w:t>atrodamas normas, kas liegtu saņemt abus strīdus atbalstus</w:t>
      </w:r>
      <w:r w:rsidRPr="00A14328">
        <w:rPr>
          <w:color w:val="201F1E"/>
          <w:bdr w:val="none" w:sz="0" w:space="0" w:color="auto" w:frame="1"/>
        </w:rPr>
        <w:t>.</w:t>
      </w:r>
    </w:p>
    <w:p w14:paraId="07574309" w14:textId="5B725FDD" w:rsidR="00B93AA6" w:rsidRPr="00A14328" w:rsidRDefault="002802AD" w:rsidP="00A14328">
      <w:pPr>
        <w:spacing w:line="276" w:lineRule="auto"/>
        <w:ind w:firstLine="567"/>
        <w:jc w:val="both"/>
      </w:pPr>
      <w:r w:rsidRPr="00A14328">
        <w:t xml:space="preserve">Savukārt dienesta ieskatā </w:t>
      </w:r>
      <w:r w:rsidR="00E26516" w:rsidRPr="00A14328">
        <w:t>Latvijas normatīv</w:t>
      </w:r>
      <w:r w:rsidRPr="00A14328">
        <w:t>ais</w:t>
      </w:r>
      <w:r w:rsidR="00E26516" w:rsidRPr="00A14328">
        <w:t xml:space="preserve"> regulējum</w:t>
      </w:r>
      <w:r w:rsidRPr="00A14328">
        <w:t>s</w:t>
      </w:r>
      <w:r w:rsidR="00E26516" w:rsidRPr="00A14328">
        <w:t xml:space="preserve"> paredz </w:t>
      </w:r>
      <w:r w:rsidRPr="00A14328">
        <w:t>tiesības saņemt tikai vienu no strīdus atbalstiem</w:t>
      </w:r>
      <w:r w:rsidR="00E26516" w:rsidRPr="00A14328">
        <w:t>.</w:t>
      </w:r>
    </w:p>
    <w:p w14:paraId="39B3761A" w14:textId="77777777" w:rsidR="00B93AA6" w:rsidRPr="00A14328" w:rsidRDefault="00B93AA6" w:rsidP="00A14328">
      <w:pPr>
        <w:spacing w:line="276" w:lineRule="auto"/>
        <w:ind w:firstLine="567"/>
        <w:jc w:val="both"/>
      </w:pPr>
    </w:p>
    <w:p w14:paraId="329AB9BB" w14:textId="512EEB3D" w:rsidR="00704AC0" w:rsidRPr="00A14328" w:rsidRDefault="000A2A9C" w:rsidP="00A14328">
      <w:pPr>
        <w:tabs>
          <w:tab w:val="center" w:pos="4819"/>
        </w:tabs>
        <w:spacing w:line="276" w:lineRule="auto"/>
        <w:ind w:firstLine="567"/>
        <w:jc w:val="both"/>
      </w:pPr>
      <w:r w:rsidRPr="00A14328">
        <w:rPr>
          <w:color w:val="000000"/>
          <w:bdr w:val="none" w:sz="0" w:space="0" w:color="auto" w:frame="1"/>
        </w:rPr>
        <w:t>[</w:t>
      </w:r>
      <w:r w:rsidR="006C705C" w:rsidRPr="00A14328">
        <w:rPr>
          <w:color w:val="000000"/>
          <w:bdr w:val="none" w:sz="0" w:space="0" w:color="auto" w:frame="1"/>
        </w:rPr>
        <w:t>8</w:t>
      </w:r>
      <w:r w:rsidRPr="00A14328">
        <w:rPr>
          <w:color w:val="000000"/>
          <w:bdr w:val="none" w:sz="0" w:space="0" w:color="auto" w:frame="1"/>
        </w:rPr>
        <w:t>] </w:t>
      </w:r>
      <w:bookmarkStart w:id="6" w:name="_Hlk21596142"/>
      <w:r w:rsidR="00704AC0" w:rsidRPr="00A14328">
        <w:rPr>
          <w:color w:val="000000"/>
          <w:bdr w:val="none" w:sz="0" w:space="0" w:color="auto" w:frame="1"/>
        </w:rPr>
        <w:t>Apgabaltiesa ir piekritusi dienesta apsvērumiem,</w:t>
      </w:r>
      <w:r w:rsidR="00A508A9" w:rsidRPr="00A14328">
        <w:rPr>
          <w:color w:val="000000"/>
          <w:bdr w:val="none" w:sz="0" w:space="0" w:color="auto" w:frame="1"/>
        </w:rPr>
        <w:t xml:space="preserve"> ka</w:t>
      </w:r>
      <w:r w:rsidR="00704AC0" w:rsidRPr="00A14328">
        <w:rPr>
          <w:color w:val="000000"/>
          <w:bdr w:val="none" w:sz="0" w:space="0" w:color="auto" w:frame="1"/>
        </w:rPr>
        <w:t xml:space="preserve"> tikai vien</w:t>
      </w:r>
      <w:r w:rsidR="00A508A9" w:rsidRPr="00A14328">
        <w:rPr>
          <w:color w:val="000000"/>
          <w:bdr w:val="none" w:sz="0" w:space="0" w:color="auto" w:frame="1"/>
        </w:rPr>
        <w:t>a</w:t>
      </w:r>
      <w:r w:rsidR="00704AC0" w:rsidRPr="00A14328">
        <w:rPr>
          <w:color w:val="000000"/>
          <w:bdr w:val="none" w:sz="0" w:space="0" w:color="auto" w:frame="1"/>
        </w:rPr>
        <w:t xml:space="preserve"> atbalst</w:t>
      </w:r>
      <w:r w:rsidR="00A508A9" w:rsidRPr="00A14328">
        <w:rPr>
          <w:color w:val="000000"/>
          <w:bdr w:val="none" w:sz="0" w:space="0" w:color="auto" w:frame="1"/>
        </w:rPr>
        <w:t>a saņemšanas iespēja</w:t>
      </w:r>
      <w:r w:rsidR="00704AC0" w:rsidRPr="00A14328">
        <w:rPr>
          <w:color w:val="000000"/>
          <w:bdr w:val="none" w:sz="0" w:space="0" w:color="auto" w:frame="1"/>
        </w:rPr>
        <w:t xml:space="preserve"> izriet no </w:t>
      </w:r>
      <w:r w:rsidR="00704AC0" w:rsidRPr="00A14328">
        <w:t xml:space="preserve">Attīstības atbalsta noteikumu </w:t>
      </w:r>
      <w:r w:rsidR="005E4FE9" w:rsidRPr="00A14328">
        <w:t xml:space="preserve">1.punkta </w:t>
      </w:r>
      <w:r w:rsidR="00704AC0" w:rsidRPr="00A14328">
        <w:t>un Jauno lauksaimnieku atbalsta noteikumu 1.p</w:t>
      </w:r>
      <w:r w:rsidR="000A56AF" w:rsidRPr="00A14328">
        <w:t>unkt</w:t>
      </w:r>
      <w:r w:rsidR="005E4FE9" w:rsidRPr="00A14328">
        <w:t>a</w:t>
      </w:r>
      <w:r w:rsidR="00704AC0" w:rsidRPr="00A14328">
        <w:t>.</w:t>
      </w:r>
      <w:r w:rsidR="000A56AF" w:rsidRPr="00A14328">
        <w:t xml:space="preserve"> Jauno lauksaimnieku atbalsta noteikumu 1.punktā noteikts, ka noteikumi nosaka atbalsta piešķiršanas kārtību pasākuma </w:t>
      </w:r>
      <w:r w:rsidR="005E4FE9" w:rsidRPr="00A14328">
        <w:t>„</w:t>
      </w:r>
      <w:r w:rsidR="000A56AF" w:rsidRPr="00A14328">
        <w:t>Lauku saimniecību un uzņēmējdarbības attīstība</w:t>
      </w:r>
      <w:r w:rsidR="005E4FE9" w:rsidRPr="00A14328">
        <w:t>”</w:t>
      </w:r>
      <w:r w:rsidR="000A56AF" w:rsidRPr="00A14328">
        <w:t xml:space="preserve"> apakšpasākumam </w:t>
      </w:r>
      <w:r w:rsidR="00C059B9" w:rsidRPr="00A14328">
        <w:t>„</w:t>
      </w:r>
      <w:r w:rsidR="000A56AF" w:rsidRPr="00A14328">
        <w:t>Atbalsts jaunajiem lauksaimniekiem uzņēmējdarbības uzsākšanai</w:t>
      </w:r>
      <w:r w:rsidR="005E4FE9" w:rsidRPr="00A14328">
        <w:t>”</w:t>
      </w:r>
      <w:r w:rsidR="000A56AF" w:rsidRPr="00A14328">
        <w:t xml:space="preserve"> vienreizēja maksājuma veidā. Savukārt Attīstības atbalsta noteikumu 1.punktā noteikts, ka atbalsta piešķiršanas kārtību </w:t>
      </w:r>
      <w:bookmarkStart w:id="7" w:name="_Hlk90032753"/>
      <w:r w:rsidR="000A56AF" w:rsidRPr="00A14328">
        <w:t xml:space="preserve">pasākuma </w:t>
      </w:r>
      <w:r w:rsidR="00C059B9" w:rsidRPr="00A14328">
        <w:t>„</w:t>
      </w:r>
      <w:r w:rsidR="000A56AF" w:rsidRPr="00A14328">
        <w:t>Lauku saimniecību un uzņēmējdarbības attīstība</w:t>
      </w:r>
      <w:r w:rsidR="005E4FE9" w:rsidRPr="00A14328">
        <w:t>”</w:t>
      </w:r>
      <w:r w:rsidR="000A56AF" w:rsidRPr="00A14328">
        <w:t xml:space="preserve"> </w:t>
      </w:r>
      <w:bookmarkEnd w:id="7"/>
      <w:r w:rsidR="000A56AF" w:rsidRPr="00A14328">
        <w:t xml:space="preserve">apakšpasākumā </w:t>
      </w:r>
      <w:r w:rsidR="00C059B9" w:rsidRPr="00A14328">
        <w:t>„</w:t>
      </w:r>
      <w:r w:rsidR="000A56AF" w:rsidRPr="00A14328">
        <w:t>Atbalsts uzņēmējdarbības uzsākšanai, attīstot mazās lauku saimniecības</w:t>
      </w:r>
      <w:r w:rsidR="005E4FE9" w:rsidRPr="00A14328">
        <w:t>”</w:t>
      </w:r>
      <w:r w:rsidR="000A56AF" w:rsidRPr="00A14328">
        <w:t xml:space="preserve"> vienreizēja maksājuma veidā</w:t>
      </w:r>
      <w:r w:rsidR="00977D2B" w:rsidRPr="00A14328">
        <w:t>.</w:t>
      </w:r>
    </w:p>
    <w:p w14:paraId="3A07FBEB" w14:textId="73CF5359" w:rsidR="0084647D" w:rsidRPr="00A14328" w:rsidRDefault="00977D2B" w:rsidP="00A14328">
      <w:pPr>
        <w:tabs>
          <w:tab w:val="center" w:pos="4819"/>
        </w:tabs>
        <w:spacing w:line="276" w:lineRule="auto"/>
        <w:ind w:firstLine="567"/>
        <w:jc w:val="both"/>
      </w:pPr>
      <w:r w:rsidRPr="00A14328">
        <w:t xml:space="preserve">Senāts </w:t>
      </w:r>
      <w:r w:rsidR="00805A73" w:rsidRPr="00A14328">
        <w:t>piekrīt pieteicējai</w:t>
      </w:r>
      <w:r w:rsidRPr="00A14328">
        <w:t xml:space="preserve">, ka no minēto punktu teksta </w:t>
      </w:r>
      <w:r w:rsidR="00805A73" w:rsidRPr="00A14328">
        <w:t xml:space="preserve">nav </w:t>
      </w:r>
      <w:r w:rsidR="00A508A9" w:rsidRPr="00A14328">
        <w:t xml:space="preserve">nepārprotami </w:t>
      </w:r>
      <w:r w:rsidR="00805A73" w:rsidRPr="00A14328">
        <w:t>izsecināms</w:t>
      </w:r>
      <w:r w:rsidRPr="00A14328">
        <w:t xml:space="preserve">, ka vārdkopa </w:t>
      </w:r>
      <w:r w:rsidR="00C059B9" w:rsidRPr="00A14328">
        <w:t>„</w:t>
      </w:r>
      <w:r w:rsidRPr="00A14328">
        <w:t xml:space="preserve">vienreizējais maksājums” </w:t>
      </w:r>
      <w:r w:rsidR="00805A73" w:rsidRPr="00A14328">
        <w:t xml:space="preserve">būtu </w:t>
      </w:r>
      <w:r w:rsidRPr="00A14328">
        <w:t>attiec</w:t>
      </w:r>
      <w:r w:rsidR="00805A73" w:rsidRPr="00A14328">
        <w:t xml:space="preserve">ināma </w:t>
      </w:r>
      <w:r w:rsidR="00A508A9" w:rsidRPr="00A14328">
        <w:t xml:space="preserve">uz pasākumu </w:t>
      </w:r>
      <w:r w:rsidR="00C059B9" w:rsidRPr="00A14328">
        <w:t>„</w:t>
      </w:r>
      <w:r w:rsidR="00A508A9" w:rsidRPr="00A14328">
        <w:t>Lauku saimniecību un uzņēmējdarbības attīstība</w:t>
      </w:r>
      <w:r w:rsidR="005E4FE9" w:rsidRPr="00A14328">
        <w:t>”</w:t>
      </w:r>
      <w:r w:rsidR="00A508A9" w:rsidRPr="00A14328">
        <w:t xml:space="preserve">, bet </w:t>
      </w:r>
      <w:r w:rsidR="00C60D81" w:rsidRPr="00A14328">
        <w:t>nevis uz apakšpasākumiem, kas abos noteikumos ir atšķirīg</w:t>
      </w:r>
      <w:r w:rsidR="00805A73" w:rsidRPr="00A14328">
        <w:t>i</w:t>
      </w:r>
      <w:r w:rsidR="00C60D81" w:rsidRPr="00A14328">
        <w:t>.</w:t>
      </w:r>
      <w:r w:rsidR="00805A73" w:rsidRPr="00A14328">
        <w:t xml:space="preserve"> T</w:t>
      </w:r>
      <w:r w:rsidR="00457E70" w:rsidRPr="00A14328">
        <w:t>as, ka</w:t>
      </w:r>
      <w:r w:rsidR="00805A73" w:rsidRPr="00A14328">
        <w:t xml:space="preserve"> vārdi</w:t>
      </w:r>
      <w:r w:rsidR="00C60D81" w:rsidRPr="00A14328">
        <w:t xml:space="preserve"> </w:t>
      </w:r>
      <w:r w:rsidR="00C059B9" w:rsidRPr="00A14328">
        <w:t>„</w:t>
      </w:r>
      <w:r w:rsidR="00C60D81" w:rsidRPr="00A14328">
        <w:t>vienreizēja maksājum</w:t>
      </w:r>
      <w:r w:rsidR="00805A73" w:rsidRPr="00A14328">
        <w:t>a veidā” tekstā atrodas aiz konkrētā apakšpasākuma,</w:t>
      </w:r>
      <w:r w:rsidR="00C60D81" w:rsidRPr="00A14328">
        <w:t xml:space="preserve"> nevis pasākum</w:t>
      </w:r>
      <w:r w:rsidR="00805A73" w:rsidRPr="00A14328">
        <w:t>a</w:t>
      </w:r>
      <w:r w:rsidR="00C60D81" w:rsidRPr="00A14328">
        <w:t xml:space="preserve">, </w:t>
      </w:r>
      <w:r w:rsidR="00C31E43" w:rsidRPr="00A14328">
        <w:t xml:space="preserve">vairāk </w:t>
      </w:r>
      <w:r w:rsidR="00457E70" w:rsidRPr="00A14328">
        <w:t xml:space="preserve">vedina </w:t>
      </w:r>
      <w:r w:rsidR="00C31E43" w:rsidRPr="00A14328">
        <w:t>domāt, ka vienreizējais maksājums attiecas uz apakšpasākumu.</w:t>
      </w:r>
    </w:p>
    <w:p w14:paraId="28845098" w14:textId="7852C6D1" w:rsidR="006F1A3E" w:rsidRPr="00A14328" w:rsidRDefault="006F1A3E" w:rsidP="00A14328">
      <w:pPr>
        <w:tabs>
          <w:tab w:val="center" w:pos="4819"/>
        </w:tabs>
        <w:spacing w:line="276" w:lineRule="auto"/>
        <w:ind w:firstLine="567"/>
        <w:jc w:val="both"/>
      </w:pPr>
      <w:r w:rsidRPr="00A14328">
        <w:t>Vienlaikus Senāts atzīst, ka šajā gadījumā</w:t>
      </w:r>
      <w:r w:rsidR="00E97950" w:rsidRPr="00A14328">
        <w:t xml:space="preserve"> nav</w:t>
      </w:r>
      <w:r w:rsidRPr="00A14328">
        <w:t xml:space="preserve"> jāapstājas </w:t>
      </w:r>
      <w:r w:rsidR="00E97950" w:rsidRPr="00A14328">
        <w:t xml:space="preserve">tikai </w:t>
      </w:r>
      <w:r w:rsidRPr="00A14328">
        <w:t>pie šo normu gramatiskās interpretācijas. Senāts to pamato ar turpmāk minētajiem argumentiem.</w:t>
      </w:r>
    </w:p>
    <w:p w14:paraId="3D40C14F" w14:textId="77777777" w:rsidR="00574167" w:rsidRPr="00A14328" w:rsidRDefault="00574167" w:rsidP="00A14328">
      <w:pPr>
        <w:tabs>
          <w:tab w:val="center" w:pos="4819"/>
        </w:tabs>
        <w:spacing w:line="276" w:lineRule="auto"/>
        <w:ind w:firstLine="567"/>
        <w:jc w:val="both"/>
      </w:pPr>
    </w:p>
    <w:p w14:paraId="6F534837" w14:textId="7D867806" w:rsidR="00221F2F" w:rsidRPr="00A14328" w:rsidRDefault="00574167" w:rsidP="00A14328">
      <w:pPr>
        <w:tabs>
          <w:tab w:val="center" w:pos="4819"/>
        </w:tabs>
        <w:spacing w:line="276" w:lineRule="auto"/>
        <w:ind w:firstLine="567"/>
        <w:jc w:val="both"/>
        <w:rPr>
          <w:color w:val="000000"/>
          <w:bdr w:val="none" w:sz="0" w:space="0" w:color="auto" w:frame="1"/>
        </w:rPr>
      </w:pPr>
      <w:r w:rsidRPr="00A14328">
        <w:rPr>
          <w:color w:val="000000"/>
          <w:bdr w:val="none" w:sz="0" w:space="0" w:color="auto" w:frame="1"/>
        </w:rPr>
        <w:t>[</w:t>
      </w:r>
      <w:r w:rsidR="006C705C" w:rsidRPr="00A14328">
        <w:rPr>
          <w:color w:val="000000"/>
          <w:bdr w:val="none" w:sz="0" w:space="0" w:color="auto" w:frame="1"/>
        </w:rPr>
        <w:t>9</w:t>
      </w:r>
      <w:r w:rsidRPr="00A14328">
        <w:rPr>
          <w:color w:val="000000"/>
          <w:bdr w:val="none" w:sz="0" w:space="0" w:color="auto" w:frame="1"/>
        </w:rPr>
        <w:t xml:space="preserve">] </w:t>
      </w:r>
      <w:r w:rsidR="00221F2F" w:rsidRPr="00A14328">
        <w:t>Atbilstoši Lauku attīstības r</w:t>
      </w:r>
      <w:r w:rsidR="00221F2F" w:rsidRPr="00A14328">
        <w:rPr>
          <w:color w:val="000000"/>
          <w:bdr w:val="none" w:sz="0" w:space="0" w:color="auto" w:frame="1"/>
        </w:rPr>
        <w:t>egulas 10.pantam Eiropas Komisija ar īstenošanas aktu apstiprina katru lauku attīstības programmu.</w:t>
      </w:r>
    </w:p>
    <w:p w14:paraId="4465A964" w14:textId="40030DC5" w:rsidR="00A233A8" w:rsidRPr="00A14328" w:rsidRDefault="00C121C8" w:rsidP="00A14328">
      <w:pPr>
        <w:tabs>
          <w:tab w:val="center" w:pos="4819"/>
        </w:tabs>
        <w:spacing w:line="276" w:lineRule="auto"/>
        <w:ind w:firstLine="567"/>
        <w:jc w:val="both"/>
        <w:rPr>
          <w:color w:val="000000"/>
          <w:bdr w:val="none" w:sz="0" w:space="0" w:color="auto" w:frame="1"/>
        </w:rPr>
      </w:pPr>
      <w:r w:rsidRPr="00A14328">
        <w:rPr>
          <w:color w:val="000000"/>
          <w:bdr w:val="none" w:sz="0" w:space="0" w:color="auto" w:frame="1"/>
        </w:rPr>
        <w:t xml:space="preserve">Eiropas Savienības Tiesa iepriekš minētajā spriedumā </w:t>
      </w:r>
      <w:r w:rsidR="00F23E5A" w:rsidRPr="00A14328">
        <w:rPr>
          <w:color w:val="000000"/>
          <w:bdr w:val="none" w:sz="0" w:space="0" w:color="auto" w:frame="1"/>
        </w:rPr>
        <w:t>ir norādījusi</w:t>
      </w:r>
      <w:r w:rsidR="00A233A8" w:rsidRPr="00A14328">
        <w:rPr>
          <w:color w:val="000000"/>
          <w:bdr w:val="none" w:sz="0" w:space="0" w:color="auto" w:frame="1"/>
        </w:rPr>
        <w:t xml:space="preserve">, ka dalībvalstis </w:t>
      </w:r>
      <w:r w:rsidR="00F23E5A" w:rsidRPr="00A14328">
        <w:t>Lauku attīstības r</w:t>
      </w:r>
      <w:r w:rsidR="00A233A8" w:rsidRPr="00A14328">
        <w:rPr>
          <w:color w:val="000000"/>
          <w:bdr w:val="none" w:sz="0" w:space="0" w:color="auto" w:frame="1"/>
        </w:rPr>
        <w:t xml:space="preserve">egulu īsteno, izmantojot savas lauku attīstības programmas. Kā izriet no šīs regulas 6.panta un kā tas ir atspoguļots tās 7.apsvērumā, </w:t>
      </w:r>
      <w:r w:rsidR="00F23E5A" w:rsidRPr="00A14328">
        <w:rPr>
          <w:color w:val="000000"/>
          <w:bdr w:val="none" w:sz="0" w:space="0" w:color="auto" w:frame="1"/>
        </w:rPr>
        <w:t>Eiropas Lauksaimniecības fonds lauku attīstībai</w:t>
      </w:r>
      <w:r w:rsidR="00A233A8" w:rsidRPr="00A14328">
        <w:rPr>
          <w:color w:val="000000"/>
          <w:bdr w:val="none" w:sz="0" w:space="0" w:color="auto" w:frame="1"/>
        </w:rPr>
        <w:t xml:space="preserve"> šajās valstīs darbojas ar minēto programmu starpniecību.</w:t>
      </w:r>
      <w:r w:rsidR="00F23E5A" w:rsidRPr="00A14328">
        <w:rPr>
          <w:color w:val="000000"/>
          <w:bdr w:val="none" w:sz="0" w:space="0" w:color="auto" w:frame="1"/>
        </w:rPr>
        <w:t xml:space="preserve"> Š</w:t>
      </w:r>
      <w:r w:rsidR="00A233A8" w:rsidRPr="00A14328">
        <w:rPr>
          <w:color w:val="000000"/>
          <w:bdr w:val="none" w:sz="0" w:space="0" w:color="auto" w:frame="1"/>
        </w:rPr>
        <w:t xml:space="preserve">ajās programmās ir jāīsteno ar </w:t>
      </w:r>
      <w:r w:rsidR="005E4FE9" w:rsidRPr="00A14328">
        <w:rPr>
          <w:color w:val="000000"/>
          <w:bdr w:val="none" w:sz="0" w:space="0" w:color="auto" w:frame="1"/>
        </w:rPr>
        <w:t xml:space="preserve">Eiropas </w:t>
      </w:r>
      <w:r w:rsidR="00A233A8" w:rsidRPr="00A14328">
        <w:rPr>
          <w:color w:val="000000"/>
          <w:bdr w:val="none" w:sz="0" w:space="0" w:color="auto" w:frame="1"/>
        </w:rPr>
        <w:t>Savienības lauku attīstības prioritātēm saistītu mērķu sasniegšanas stratēģija</w:t>
      </w:r>
      <w:r w:rsidR="00F23E5A" w:rsidRPr="00A14328">
        <w:rPr>
          <w:color w:val="000000"/>
          <w:bdr w:val="none" w:sz="0" w:space="0" w:color="auto" w:frame="1"/>
        </w:rPr>
        <w:t xml:space="preserve"> (</w:t>
      </w:r>
      <w:r w:rsidR="00F23E5A" w:rsidRPr="00A14328">
        <w:rPr>
          <w:i/>
          <w:iCs/>
          <w:color w:val="000000"/>
          <w:bdr w:val="none" w:sz="0" w:space="0" w:color="auto" w:frame="1"/>
        </w:rPr>
        <w:t>sprieduma 54.</w:t>
      </w:r>
      <w:r w:rsidR="00F616CF" w:rsidRPr="00A14328">
        <w:t>–</w:t>
      </w:r>
      <w:r w:rsidR="00F23E5A" w:rsidRPr="00A14328">
        <w:rPr>
          <w:i/>
          <w:iCs/>
          <w:color w:val="000000"/>
          <w:bdr w:val="none" w:sz="0" w:space="0" w:color="auto" w:frame="1"/>
        </w:rPr>
        <w:t>55.punkts</w:t>
      </w:r>
      <w:r w:rsidR="00F23E5A" w:rsidRPr="00A14328">
        <w:rPr>
          <w:color w:val="000000"/>
          <w:bdr w:val="none" w:sz="0" w:space="0" w:color="auto" w:frame="1"/>
        </w:rPr>
        <w:t>).</w:t>
      </w:r>
    </w:p>
    <w:p w14:paraId="532967B1" w14:textId="25FA4112" w:rsidR="006F1A3E" w:rsidRPr="00A14328" w:rsidRDefault="006F1A3E" w:rsidP="00A14328">
      <w:pPr>
        <w:tabs>
          <w:tab w:val="center" w:pos="4819"/>
        </w:tabs>
        <w:spacing w:line="276" w:lineRule="auto"/>
        <w:ind w:firstLine="567"/>
        <w:jc w:val="both"/>
      </w:pPr>
      <w:r w:rsidRPr="00A14328">
        <w:t xml:space="preserve">Latvijas Lauku attīstības programmā </w:t>
      </w:r>
      <w:r w:rsidR="000970F2" w:rsidRPr="00A14328">
        <w:t xml:space="preserve">par </w:t>
      </w:r>
      <w:r w:rsidRPr="00A14328">
        <w:t>6.1.</w:t>
      </w:r>
      <w:r w:rsidR="000970F2" w:rsidRPr="00A14328">
        <w:t>apakš</w:t>
      </w:r>
      <w:r w:rsidRPr="00A14328">
        <w:t>p</w:t>
      </w:r>
      <w:r w:rsidR="000970F2" w:rsidRPr="00A14328">
        <w:t>asākumu</w:t>
      </w:r>
      <w:r w:rsidRPr="00A14328">
        <w:t xml:space="preserve"> </w:t>
      </w:r>
      <w:r w:rsidR="004F7763" w:rsidRPr="00A14328">
        <w:t>„</w:t>
      </w:r>
      <w:r w:rsidRPr="00A14328">
        <w:t>Atbalsts gados jaunajiem lauksaimniekiem” un 6.3.</w:t>
      </w:r>
      <w:r w:rsidR="000970F2" w:rsidRPr="00A14328">
        <w:t>apakš</w:t>
      </w:r>
      <w:r w:rsidRPr="00A14328">
        <w:t>p</w:t>
      </w:r>
      <w:r w:rsidR="000970F2" w:rsidRPr="00A14328">
        <w:t>asākumu</w:t>
      </w:r>
      <w:r w:rsidRPr="00A14328">
        <w:t xml:space="preserve"> </w:t>
      </w:r>
      <w:r w:rsidR="005E4FE9" w:rsidRPr="00A14328">
        <w:t>„</w:t>
      </w:r>
      <w:r w:rsidRPr="00A14328">
        <w:t xml:space="preserve">Atbalsts mazajām lauku saimniecībām” noteikts, ka atbalstu apakšpasākumā var apvienot ar atbalstu pasākumā </w:t>
      </w:r>
      <w:r w:rsidR="004F7763" w:rsidRPr="00A14328">
        <w:t>„</w:t>
      </w:r>
      <w:r w:rsidRPr="00A14328">
        <w:t xml:space="preserve">Ieguldījumi materiālajos aktīvos”. Kā norādījusi Eiropas Komisija </w:t>
      </w:r>
      <w:r w:rsidR="009441DD" w:rsidRPr="00A14328">
        <w:t>apsvērumos</w:t>
      </w:r>
      <w:r w:rsidRPr="00A14328">
        <w:t xml:space="preserve">, ko tā sniegusi Eiropas Savienības </w:t>
      </w:r>
      <w:r w:rsidR="005E4FE9" w:rsidRPr="00A14328">
        <w:t>T</w:t>
      </w:r>
      <w:r w:rsidRPr="00A14328">
        <w:t>iesai, tajā nav noteikts, ka atbalstu var apvienot punktos 6.3. un 6.1.</w:t>
      </w:r>
      <w:r w:rsidR="00950A46" w:rsidRPr="00A14328">
        <w:t xml:space="preserve"> </w:t>
      </w:r>
      <w:r w:rsidRPr="00A14328">
        <w:t>(</w:t>
      </w:r>
      <w:r w:rsidR="009441DD" w:rsidRPr="00A14328">
        <w:rPr>
          <w:i/>
          <w:iCs/>
        </w:rPr>
        <w:t>2020.gada 27.jūlija apsvērumu Nr.</w:t>
      </w:r>
      <w:r w:rsidR="005C677D" w:rsidRPr="00A14328">
        <w:rPr>
          <w:i/>
          <w:iCs/>
        </w:rPr>
        <w:t> </w:t>
      </w:r>
      <w:r w:rsidR="009441DD" w:rsidRPr="00A14328">
        <w:rPr>
          <w:i/>
          <w:iCs/>
        </w:rPr>
        <w:t>DC131014 34.punkts</w:t>
      </w:r>
      <w:r w:rsidR="009441DD" w:rsidRPr="00A14328">
        <w:t>).</w:t>
      </w:r>
    </w:p>
    <w:p w14:paraId="7F2D25F5" w14:textId="2DAAC5B8" w:rsidR="00A12002" w:rsidRPr="00A14328" w:rsidRDefault="009441DD" w:rsidP="00A14328">
      <w:pPr>
        <w:tabs>
          <w:tab w:val="center" w:pos="4819"/>
        </w:tabs>
        <w:spacing w:line="276" w:lineRule="auto"/>
        <w:ind w:firstLine="567"/>
        <w:jc w:val="both"/>
      </w:pPr>
      <w:r w:rsidRPr="00A14328">
        <w:t>Vē</w:t>
      </w:r>
      <w:r w:rsidR="00221F2F" w:rsidRPr="00A14328">
        <w:t xml:space="preserve">l vairāk, </w:t>
      </w:r>
      <w:r w:rsidR="005E4FE9" w:rsidRPr="00A14328">
        <w:t xml:space="preserve">Eiropas </w:t>
      </w:r>
      <w:r w:rsidRPr="00A14328">
        <w:t>Komisija</w:t>
      </w:r>
      <w:r w:rsidR="00950A46" w:rsidRPr="00A14328">
        <w:t xml:space="preserve"> savos</w:t>
      </w:r>
      <w:r w:rsidRPr="00A14328">
        <w:t xml:space="preserve"> apsvērumos </w:t>
      </w:r>
      <w:r w:rsidR="00221F2F" w:rsidRPr="00A14328">
        <w:t>ir vērsusi uzmanību uz</w:t>
      </w:r>
      <w:r w:rsidRPr="00A14328">
        <w:t xml:space="preserve"> likumdevēja nodomu un vēsturisko attīstību</w:t>
      </w:r>
      <w:r w:rsidR="00A12002" w:rsidRPr="00A14328">
        <w:t xml:space="preserve"> </w:t>
      </w:r>
      <w:r w:rsidR="00BA1477" w:rsidRPr="00A14328">
        <w:t>(</w:t>
      </w:r>
      <w:r w:rsidR="00BA1477" w:rsidRPr="00A14328">
        <w:rPr>
          <w:i/>
          <w:iCs/>
        </w:rPr>
        <w:t>minēto apsvērumu 39.</w:t>
      </w:r>
      <w:r w:rsidR="00F616CF" w:rsidRPr="00A14328">
        <w:t>–</w:t>
      </w:r>
      <w:r w:rsidR="00BA1477" w:rsidRPr="00A14328">
        <w:rPr>
          <w:i/>
          <w:iCs/>
        </w:rPr>
        <w:t>41.punkts</w:t>
      </w:r>
      <w:r w:rsidR="00BA1477" w:rsidRPr="00A14328">
        <w:t>).</w:t>
      </w:r>
      <w:r w:rsidR="0021592F" w:rsidRPr="00A14328">
        <w:t xml:space="preserve"> </w:t>
      </w:r>
      <w:r w:rsidR="005E4FE9" w:rsidRPr="00A14328">
        <w:t xml:space="preserve">Eiropas </w:t>
      </w:r>
      <w:r w:rsidR="0021592F" w:rsidRPr="00A14328">
        <w:t xml:space="preserve">Komisija uzskatīja, ka abi atbalsta veidi nav kumulatīvi un dalībvalstīm ir jāparedz savā nacionālajā regulējumā, ka šie atbalsta veidi netiek </w:t>
      </w:r>
      <w:r w:rsidR="00700972" w:rsidRPr="00A14328">
        <w:t>summēti (</w:t>
      </w:r>
      <w:r w:rsidR="0021592F" w:rsidRPr="00A14328">
        <w:t>kumulēti</w:t>
      </w:r>
      <w:r w:rsidR="00700972" w:rsidRPr="00A14328">
        <w:t>)</w:t>
      </w:r>
      <w:r w:rsidR="0021592F" w:rsidRPr="00A14328">
        <w:t xml:space="preserve"> (</w:t>
      </w:r>
      <w:r w:rsidR="0021592F" w:rsidRPr="00A14328">
        <w:rPr>
          <w:i/>
          <w:iCs/>
        </w:rPr>
        <w:t>minēto apsvērumu 39.</w:t>
      </w:r>
      <w:r w:rsidR="00F616CF" w:rsidRPr="00A14328">
        <w:t>–</w:t>
      </w:r>
      <w:r w:rsidR="0021592F" w:rsidRPr="00A14328">
        <w:rPr>
          <w:i/>
          <w:iCs/>
        </w:rPr>
        <w:t>41.punkts</w:t>
      </w:r>
      <w:r w:rsidR="0021592F" w:rsidRPr="00A14328">
        <w:t>).</w:t>
      </w:r>
    </w:p>
    <w:p w14:paraId="03943FE7" w14:textId="65164A18" w:rsidR="009441DD" w:rsidRPr="00A14328" w:rsidRDefault="00A12002" w:rsidP="00A14328">
      <w:pPr>
        <w:tabs>
          <w:tab w:val="center" w:pos="4819"/>
        </w:tabs>
        <w:spacing w:line="276" w:lineRule="auto"/>
        <w:ind w:firstLine="567"/>
        <w:jc w:val="both"/>
      </w:pPr>
      <w:r w:rsidRPr="00A14328">
        <w:t xml:space="preserve">No </w:t>
      </w:r>
      <w:r w:rsidR="005E4FE9" w:rsidRPr="00A14328">
        <w:t xml:space="preserve">Eiropas </w:t>
      </w:r>
      <w:r w:rsidRPr="00A14328">
        <w:t>Komisijas apsvērumiem nepārprotami izriet, ka, saskaņojot Latvij</w:t>
      </w:r>
      <w:r w:rsidR="005E4FE9" w:rsidRPr="00A14328">
        <w:t>as Lauku attīstības programmu, tā</w:t>
      </w:r>
      <w:r w:rsidRPr="00A14328">
        <w:t xml:space="preserve"> uzskatīja, ka </w:t>
      </w:r>
      <w:r w:rsidR="005E4FE9" w:rsidRPr="00A14328">
        <w:t xml:space="preserve">Eiropas </w:t>
      </w:r>
      <w:r w:rsidRPr="00A14328">
        <w:t xml:space="preserve">Savienības tiesības neparedz lauksaimniekam saņemt abus pabalstus. </w:t>
      </w:r>
      <w:r w:rsidR="0021592F" w:rsidRPr="00A14328">
        <w:t xml:space="preserve">Lai arī Eiropas Savienības Tiesa nepiekrita šādai regulas normu interpretācijai, tas nemaina </w:t>
      </w:r>
      <w:r w:rsidR="00700972" w:rsidRPr="00A14328">
        <w:t xml:space="preserve">secinājumu, ka </w:t>
      </w:r>
      <w:r w:rsidR="005E4FE9" w:rsidRPr="00A14328">
        <w:t xml:space="preserve">Eiropas </w:t>
      </w:r>
      <w:r w:rsidR="00700972" w:rsidRPr="00A14328">
        <w:t>Komisija, saskaņojot Latvijas Lauku attīstības programmu, saskaņoja to, uzskatot, ka programmā minētais attīstības atbalsts un jauno lauksaimnieku atbalsts</w:t>
      </w:r>
      <w:r w:rsidR="00416C02" w:rsidRPr="00A14328">
        <w:t xml:space="preserve"> netiks izmaksāts vienam lauksaimniekam.</w:t>
      </w:r>
    </w:p>
    <w:p w14:paraId="78138BDA" w14:textId="7BC909CC" w:rsidR="00A12002" w:rsidRPr="00A14328" w:rsidRDefault="00601D88" w:rsidP="00A14328">
      <w:pPr>
        <w:tabs>
          <w:tab w:val="center" w:pos="4819"/>
        </w:tabs>
        <w:spacing w:line="276" w:lineRule="auto"/>
        <w:ind w:firstLine="567"/>
        <w:jc w:val="both"/>
        <w:rPr>
          <w:color w:val="000000"/>
          <w:bdr w:val="none" w:sz="0" w:space="0" w:color="auto" w:frame="1"/>
        </w:rPr>
      </w:pPr>
      <w:r w:rsidRPr="00A14328">
        <w:t>D</w:t>
      </w:r>
      <w:r w:rsidR="00A12002" w:rsidRPr="00A14328">
        <w:t>alībvalstij Lauku attīstības r</w:t>
      </w:r>
      <w:r w:rsidR="00A12002" w:rsidRPr="00A14328">
        <w:rPr>
          <w:color w:val="000000"/>
          <w:bdr w:val="none" w:sz="0" w:space="0" w:color="auto" w:frame="1"/>
        </w:rPr>
        <w:t>egul</w:t>
      </w:r>
      <w:r w:rsidR="0075620D" w:rsidRPr="00A14328">
        <w:rPr>
          <w:color w:val="000000"/>
          <w:bdr w:val="none" w:sz="0" w:space="0" w:color="auto" w:frame="1"/>
        </w:rPr>
        <w:t>a</w:t>
      </w:r>
      <w:r w:rsidR="00A12002" w:rsidRPr="00A14328">
        <w:rPr>
          <w:color w:val="000000"/>
          <w:bdr w:val="none" w:sz="0" w:space="0" w:color="auto" w:frame="1"/>
        </w:rPr>
        <w:t xml:space="preserve"> jāīsteno, izmantojot lauku attīstības programm</w:t>
      </w:r>
      <w:r w:rsidRPr="00A14328">
        <w:rPr>
          <w:color w:val="000000"/>
          <w:bdr w:val="none" w:sz="0" w:space="0" w:color="auto" w:frame="1"/>
        </w:rPr>
        <w:t>u</w:t>
      </w:r>
      <w:r w:rsidR="008D62E0" w:rsidRPr="00A14328">
        <w:rPr>
          <w:color w:val="000000"/>
          <w:bdr w:val="none" w:sz="0" w:space="0" w:color="auto" w:frame="1"/>
        </w:rPr>
        <w:t xml:space="preserve"> tieši tādā veidā</w:t>
      </w:r>
      <w:r w:rsidR="00A12002" w:rsidRPr="00A14328">
        <w:rPr>
          <w:color w:val="000000"/>
          <w:bdr w:val="none" w:sz="0" w:space="0" w:color="auto" w:frame="1"/>
        </w:rPr>
        <w:t xml:space="preserve">, kā to apstiprinājusi </w:t>
      </w:r>
      <w:r w:rsidR="005E4FE9" w:rsidRPr="00A14328">
        <w:t xml:space="preserve">Eiropas </w:t>
      </w:r>
      <w:r w:rsidR="00A12002" w:rsidRPr="00A14328">
        <w:rPr>
          <w:color w:val="000000"/>
          <w:bdr w:val="none" w:sz="0" w:space="0" w:color="auto" w:frame="1"/>
        </w:rPr>
        <w:t>Komisija</w:t>
      </w:r>
      <w:r w:rsidRPr="00A14328">
        <w:rPr>
          <w:color w:val="000000"/>
          <w:bdr w:val="none" w:sz="0" w:space="0" w:color="auto" w:frame="1"/>
        </w:rPr>
        <w:t xml:space="preserve">. </w:t>
      </w:r>
      <w:r w:rsidR="008D62E0" w:rsidRPr="00A14328">
        <w:rPr>
          <w:color w:val="000000"/>
          <w:bdr w:val="none" w:sz="0" w:space="0" w:color="auto" w:frame="1"/>
        </w:rPr>
        <w:t>Tādējādi,</w:t>
      </w:r>
      <w:r w:rsidRPr="00A14328">
        <w:rPr>
          <w:color w:val="000000"/>
          <w:bdr w:val="none" w:sz="0" w:space="0" w:color="auto" w:frame="1"/>
        </w:rPr>
        <w:t xml:space="preserve"> interpretējot</w:t>
      </w:r>
      <w:r w:rsidR="00A12002" w:rsidRPr="00A14328">
        <w:rPr>
          <w:color w:val="000000"/>
          <w:bdr w:val="none" w:sz="0" w:space="0" w:color="auto" w:frame="1"/>
        </w:rPr>
        <w:t xml:space="preserve"> </w:t>
      </w:r>
      <w:r w:rsidR="0075620D" w:rsidRPr="00A14328">
        <w:t xml:space="preserve">Latvijas Lauku attīstības programmā </w:t>
      </w:r>
      <w:r w:rsidR="00A12002" w:rsidRPr="00A14328">
        <w:rPr>
          <w:color w:val="000000"/>
          <w:bdr w:val="none" w:sz="0" w:space="0" w:color="auto" w:frame="1"/>
        </w:rPr>
        <w:t>ietverto</w:t>
      </w:r>
      <w:r w:rsidR="0075620D" w:rsidRPr="00A14328">
        <w:rPr>
          <w:color w:val="000000"/>
          <w:bdr w:val="none" w:sz="0" w:space="0" w:color="auto" w:frame="1"/>
        </w:rPr>
        <w:t xml:space="preserve"> </w:t>
      </w:r>
      <w:r w:rsidRPr="00A14328">
        <w:rPr>
          <w:color w:val="000000"/>
          <w:bdr w:val="none" w:sz="0" w:space="0" w:color="auto" w:frame="1"/>
        </w:rPr>
        <w:t>regulējumu,</w:t>
      </w:r>
      <w:r w:rsidR="00A12002" w:rsidRPr="00A14328">
        <w:rPr>
          <w:color w:val="000000"/>
          <w:bdr w:val="none" w:sz="0" w:space="0" w:color="auto" w:frame="1"/>
        </w:rPr>
        <w:t xml:space="preserve"> </w:t>
      </w:r>
      <w:r w:rsidR="005E4FE9" w:rsidRPr="00A14328">
        <w:rPr>
          <w:color w:val="000000"/>
          <w:bdr w:val="none" w:sz="0" w:space="0" w:color="auto" w:frame="1"/>
        </w:rPr>
        <w:t xml:space="preserve">šajā situācijā </w:t>
      </w:r>
      <w:r w:rsidR="0075620D" w:rsidRPr="00A14328">
        <w:rPr>
          <w:color w:val="000000"/>
          <w:bdr w:val="none" w:sz="0" w:space="0" w:color="auto" w:frame="1"/>
        </w:rPr>
        <w:t>nevar ignorēt</w:t>
      </w:r>
      <w:r w:rsidRPr="00A14328">
        <w:rPr>
          <w:color w:val="000000"/>
          <w:bdr w:val="none" w:sz="0" w:space="0" w:color="auto" w:frame="1"/>
        </w:rPr>
        <w:t xml:space="preserve"> </w:t>
      </w:r>
      <w:r w:rsidR="005E4FE9" w:rsidRPr="00A14328">
        <w:rPr>
          <w:color w:val="000000"/>
          <w:bdr w:val="none" w:sz="0" w:space="0" w:color="auto" w:frame="1"/>
        </w:rPr>
        <w:t xml:space="preserve">Eiropas </w:t>
      </w:r>
      <w:r w:rsidRPr="00A14328">
        <w:rPr>
          <w:color w:val="000000"/>
          <w:bdr w:val="none" w:sz="0" w:space="0" w:color="auto" w:frame="1"/>
        </w:rPr>
        <w:t>Komisijas viedokli laikā, kad programma tika apstiprināta</w:t>
      </w:r>
      <w:r w:rsidR="0075620D" w:rsidRPr="00A14328">
        <w:rPr>
          <w:color w:val="000000"/>
          <w:bdr w:val="none" w:sz="0" w:space="0" w:color="auto" w:frame="1"/>
        </w:rPr>
        <w:t>.</w:t>
      </w:r>
    </w:p>
    <w:p w14:paraId="5B6F2D4A" w14:textId="77777777" w:rsidR="006F1A3E" w:rsidRPr="00A14328" w:rsidRDefault="006F1A3E" w:rsidP="00A14328">
      <w:pPr>
        <w:tabs>
          <w:tab w:val="center" w:pos="4819"/>
        </w:tabs>
        <w:spacing w:line="276" w:lineRule="auto"/>
        <w:ind w:firstLine="567"/>
        <w:jc w:val="both"/>
        <w:rPr>
          <w:color w:val="000000"/>
          <w:bdr w:val="none" w:sz="0" w:space="0" w:color="auto" w:frame="1"/>
        </w:rPr>
      </w:pPr>
    </w:p>
    <w:p w14:paraId="1835C0BA" w14:textId="42D2FC7B" w:rsidR="006509BD" w:rsidRPr="00A14328" w:rsidRDefault="0075620D" w:rsidP="00A14328">
      <w:pPr>
        <w:tabs>
          <w:tab w:val="center" w:pos="4819"/>
        </w:tabs>
        <w:spacing w:line="276" w:lineRule="auto"/>
        <w:ind w:firstLine="567"/>
        <w:jc w:val="both"/>
      </w:pPr>
      <w:r w:rsidRPr="00A14328">
        <w:t>[</w:t>
      </w:r>
      <w:r w:rsidR="006C705C" w:rsidRPr="00A14328">
        <w:t>10</w:t>
      </w:r>
      <w:r w:rsidRPr="00A14328">
        <w:t xml:space="preserve">] Ņemot vērā iepriekš minēto, </w:t>
      </w:r>
      <w:r w:rsidR="00601D88" w:rsidRPr="00A14328">
        <w:t xml:space="preserve">Attīstības atbalsta noteikumu un Jauno lauksaimnieku atbalsta noteikumu 1.punktos ietvertie </w:t>
      </w:r>
      <w:r w:rsidR="006F1A3E" w:rsidRPr="00A14328">
        <w:t xml:space="preserve">vārdi </w:t>
      </w:r>
      <w:r w:rsidR="004F7763" w:rsidRPr="00A14328">
        <w:t>„</w:t>
      </w:r>
      <w:r w:rsidR="006F1A3E" w:rsidRPr="00A14328">
        <w:t xml:space="preserve">vienreizējais maksājums” </w:t>
      </w:r>
      <w:r w:rsidR="00601D88" w:rsidRPr="00A14328">
        <w:t>jā</w:t>
      </w:r>
      <w:r w:rsidR="006F1A3E" w:rsidRPr="00A14328">
        <w:t>attiecin</w:t>
      </w:r>
      <w:r w:rsidR="00601D88" w:rsidRPr="00A14328">
        <w:t>a</w:t>
      </w:r>
      <w:r w:rsidR="006F1A3E" w:rsidRPr="00A14328">
        <w:t xml:space="preserve"> uz pasākumu kopumā, nevis atsevišķajiem apakšpasākumiem.</w:t>
      </w:r>
    </w:p>
    <w:p w14:paraId="30399C64" w14:textId="77777777" w:rsidR="006C705C" w:rsidRPr="00A14328" w:rsidRDefault="006509BD" w:rsidP="00A14328">
      <w:pPr>
        <w:spacing w:line="276" w:lineRule="auto"/>
        <w:ind w:firstLine="567"/>
        <w:jc w:val="both"/>
      </w:pPr>
      <w:r w:rsidRPr="00A14328">
        <w:t>Tādējādi</w:t>
      </w:r>
      <w:r w:rsidR="006F1A3E" w:rsidRPr="00A14328">
        <w:t xml:space="preserve"> </w:t>
      </w:r>
      <w:r w:rsidRPr="00A14328">
        <w:t xml:space="preserve">noraidāms ir pieteicējas arguments, ka </w:t>
      </w:r>
      <w:r w:rsidR="00387262" w:rsidRPr="00A14328">
        <w:t>noteikumos nav noteikti ierobežojumi izmaksāt Lauku attīstības regulas 19.panta 1.punktā minēto atbalstu lauksaimniekam, kurš jau ir saņēmis otru atbalstu.</w:t>
      </w:r>
    </w:p>
    <w:p w14:paraId="591D5C41" w14:textId="44555266" w:rsidR="00BE5885" w:rsidRPr="00A14328" w:rsidRDefault="00387262" w:rsidP="00A14328">
      <w:pPr>
        <w:spacing w:line="276" w:lineRule="auto"/>
        <w:ind w:firstLine="567"/>
        <w:jc w:val="both"/>
        <w:rPr>
          <w:color w:val="201F1E"/>
          <w:bdr w:val="none" w:sz="0" w:space="0" w:color="auto" w:frame="1"/>
        </w:rPr>
      </w:pPr>
      <w:r w:rsidRPr="00A14328">
        <w:t xml:space="preserve">Senāts arī atzīst, ka šāda normu interpretācija ļauj </w:t>
      </w:r>
      <w:r w:rsidRPr="00A14328">
        <w:rPr>
          <w:color w:val="201F1E"/>
          <w:bdr w:val="none" w:sz="0" w:space="0" w:color="auto" w:frame="1"/>
        </w:rPr>
        <w:t xml:space="preserve">nodrošināt arī vienlīdzīgu attieksmi pret pieteikumu iesniedzējiem, uz ko, atbildot uz Senāta prejudiciālajiem jautājumiem, norādīja Eiropas Savienības </w:t>
      </w:r>
      <w:r w:rsidR="005E4FE9" w:rsidRPr="00A14328">
        <w:rPr>
          <w:color w:val="201F1E"/>
          <w:bdr w:val="none" w:sz="0" w:space="0" w:color="auto" w:frame="1"/>
        </w:rPr>
        <w:t>T</w:t>
      </w:r>
      <w:r w:rsidRPr="00A14328">
        <w:rPr>
          <w:color w:val="201F1E"/>
          <w:bdr w:val="none" w:sz="0" w:space="0" w:color="auto" w:frame="1"/>
        </w:rPr>
        <w:t>iesa.</w:t>
      </w:r>
      <w:bookmarkEnd w:id="6"/>
    </w:p>
    <w:p w14:paraId="17EB4A59" w14:textId="388FE9DC" w:rsidR="006C705C" w:rsidRPr="00A14328" w:rsidRDefault="006C705C" w:rsidP="00A14328">
      <w:pPr>
        <w:tabs>
          <w:tab w:val="center" w:pos="4819"/>
        </w:tabs>
        <w:spacing w:line="276" w:lineRule="auto"/>
        <w:ind w:firstLine="567"/>
        <w:jc w:val="both"/>
        <w:rPr>
          <w:color w:val="201F1E"/>
          <w:bdr w:val="none" w:sz="0" w:space="0" w:color="auto" w:frame="1"/>
        </w:rPr>
      </w:pPr>
    </w:p>
    <w:p w14:paraId="040B793D" w14:textId="27D08687" w:rsidR="006C705C" w:rsidRPr="00A14328" w:rsidRDefault="006C705C" w:rsidP="00A14328">
      <w:pPr>
        <w:tabs>
          <w:tab w:val="center" w:pos="4819"/>
        </w:tabs>
        <w:spacing w:line="276" w:lineRule="auto"/>
        <w:ind w:firstLine="567"/>
        <w:jc w:val="both"/>
        <w:rPr>
          <w:color w:val="201F1E"/>
          <w:bdr w:val="none" w:sz="0" w:space="0" w:color="auto" w:frame="1"/>
        </w:rPr>
      </w:pPr>
      <w:r w:rsidRPr="00A14328">
        <w:rPr>
          <w:color w:val="201F1E"/>
          <w:bdr w:val="none" w:sz="0" w:space="0" w:color="auto" w:frame="1"/>
        </w:rPr>
        <w:t xml:space="preserve">[11] Pieteicēja kasācijas sūdzībā </w:t>
      </w:r>
      <w:r w:rsidR="005E3D82" w:rsidRPr="00A14328">
        <w:rPr>
          <w:color w:val="201F1E"/>
          <w:bdr w:val="none" w:sz="0" w:space="0" w:color="auto" w:frame="1"/>
        </w:rPr>
        <w:t>akcentējusi</w:t>
      </w:r>
      <w:r w:rsidRPr="00A14328">
        <w:rPr>
          <w:color w:val="201F1E"/>
          <w:bdr w:val="none" w:sz="0" w:space="0" w:color="auto" w:frame="1"/>
        </w:rPr>
        <w:t xml:space="preserve">, ka tiesību aizskārumu </w:t>
      </w:r>
      <w:r w:rsidR="005E3D82" w:rsidRPr="00A14328">
        <w:rPr>
          <w:color w:val="201F1E"/>
          <w:bdr w:val="none" w:sz="0" w:space="0" w:color="auto" w:frame="1"/>
        </w:rPr>
        <w:t xml:space="preserve">un nelabvēlīgu administratīvo aktu </w:t>
      </w:r>
      <w:r w:rsidRPr="00A14328">
        <w:rPr>
          <w:color w:val="201F1E"/>
          <w:bdr w:val="none" w:sz="0" w:space="0" w:color="auto" w:frame="1"/>
        </w:rPr>
        <w:t>nevar pamatot ar analoģiju un normatīvā aktu nepilnībām</w:t>
      </w:r>
      <w:r w:rsidR="005E3D82" w:rsidRPr="00A14328">
        <w:rPr>
          <w:color w:val="201F1E"/>
          <w:bdr w:val="none" w:sz="0" w:space="0" w:color="auto" w:frame="1"/>
        </w:rPr>
        <w:t>.</w:t>
      </w:r>
    </w:p>
    <w:p w14:paraId="5DD4B352" w14:textId="0C193CE3" w:rsidR="005E3D82" w:rsidRPr="00A14328" w:rsidRDefault="005E3D82" w:rsidP="00A14328">
      <w:pPr>
        <w:tabs>
          <w:tab w:val="center" w:pos="4819"/>
        </w:tabs>
        <w:spacing w:line="276" w:lineRule="auto"/>
        <w:ind w:firstLine="567"/>
        <w:jc w:val="both"/>
        <w:rPr>
          <w:color w:val="201F1E"/>
          <w:bdr w:val="none" w:sz="0" w:space="0" w:color="auto" w:frame="1"/>
        </w:rPr>
      </w:pPr>
      <w:r w:rsidRPr="00A14328">
        <w:rPr>
          <w:color w:val="201F1E"/>
          <w:bdr w:val="none" w:sz="0" w:space="0" w:color="auto" w:frame="1"/>
        </w:rPr>
        <w:t xml:space="preserve">Senāts vērš uzmanību, ka konkrētajā gadījumā pieteicējas tiesību loks paliek nemainīgs, viņai netiek uzlikts kāds </w:t>
      </w:r>
      <w:r w:rsidR="008D62E0" w:rsidRPr="00A14328">
        <w:rPr>
          <w:color w:val="201F1E"/>
          <w:bdr w:val="none" w:sz="0" w:space="0" w:color="auto" w:frame="1"/>
        </w:rPr>
        <w:t>nelabvēlīgs pienākums</w:t>
      </w:r>
      <w:r w:rsidRPr="00A14328">
        <w:rPr>
          <w:color w:val="201F1E"/>
          <w:bdr w:val="none" w:sz="0" w:space="0" w:color="auto" w:frame="1"/>
        </w:rPr>
        <w:t xml:space="preserve"> vai atņemtas kādas jau piešķirtās tiesības.</w:t>
      </w:r>
      <w:r w:rsidR="008D62E0" w:rsidRPr="00A14328">
        <w:rPr>
          <w:color w:val="201F1E"/>
          <w:bdr w:val="none" w:sz="0" w:space="0" w:color="auto" w:frame="1"/>
        </w:rPr>
        <w:t xml:space="preserve"> </w:t>
      </w:r>
      <w:r w:rsidRPr="00A14328">
        <w:rPr>
          <w:color w:val="201F1E"/>
          <w:bdr w:val="none" w:sz="0" w:space="0" w:color="auto" w:frame="1"/>
        </w:rPr>
        <w:t>Pieteicējai n</w:t>
      </w:r>
      <w:r w:rsidR="008D62E0" w:rsidRPr="00A14328">
        <w:rPr>
          <w:color w:val="201F1E"/>
          <w:bdr w:val="none" w:sz="0" w:space="0" w:color="auto" w:frame="1"/>
        </w:rPr>
        <w:t>av saņēmusi</w:t>
      </w:r>
      <w:r w:rsidRPr="00A14328">
        <w:rPr>
          <w:color w:val="201F1E"/>
          <w:bdr w:val="none" w:sz="0" w:space="0" w:color="auto" w:frame="1"/>
        </w:rPr>
        <w:t xml:space="preserve"> papildu labum</w:t>
      </w:r>
      <w:r w:rsidR="008D62E0" w:rsidRPr="00A14328">
        <w:rPr>
          <w:color w:val="201F1E"/>
          <w:bdr w:val="none" w:sz="0" w:space="0" w:color="auto" w:frame="1"/>
        </w:rPr>
        <w:t>u</w:t>
      </w:r>
      <w:r w:rsidRPr="00A14328">
        <w:rPr>
          <w:color w:val="201F1E"/>
          <w:bdr w:val="none" w:sz="0" w:space="0" w:color="auto" w:frame="1"/>
        </w:rPr>
        <w:t xml:space="preserve"> atbalsta veidā. </w:t>
      </w:r>
      <w:r w:rsidR="008D62E0" w:rsidRPr="00A14328">
        <w:rPr>
          <w:color w:val="201F1E"/>
          <w:bdr w:val="none" w:sz="0" w:space="0" w:color="auto" w:frame="1"/>
        </w:rPr>
        <w:t>Taču a</w:t>
      </w:r>
      <w:r w:rsidRPr="00A14328">
        <w:rPr>
          <w:color w:val="201F1E"/>
          <w:bdr w:val="none" w:sz="0" w:space="0" w:color="auto" w:frame="1"/>
        </w:rPr>
        <w:t xml:space="preserve">tbalsta piešķiršanai ir jāizriet no tiesību normām. Konkrētajā gadījumā šādu tiesību </w:t>
      </w:r>
      <w:r w:rsidR="00C059B9" w:rsidRPr="00A14328">
        <w:rPr>
          <w:color w:val="201F1E"/>
          <w:bdr w:val="none" w:sz="0" w:space="0" w:color="auto" w:frame="1"/>
        </w:rPr>
        <w:t xml:space="preserve">iepriekš minēto iemeslu dēļ </w:t>
      </w:r>
      <w:r w:rsidRPr="00A14328">
        <w:rPr>
          <w:color w:val="201F1E"/>
          <w:bdr w:val="none" w:sz="0" w:space="0" w:color="auto" w:frame="1"/>
        </w:rPr>
        <w:t>nav.</w:t>
      </w:r>
    </w:p>
    <w:p w14:paraId="2C4E68FD" w14:textId="571E6A55" w:rsidR="00C059B9" w:rsidRPr="00A14328" w:rsidRDefault="00C059B9" w:rsidP="00A14328">
      <w:pPr>
        <w:tabs>
          <w:tab w:val="center" w:pos="4819"/>
        </w:tabs>
        <w:spacing w:line="276" w:lineRule="auto"/>
        <w:ind w:firstLine="567"/>
        <w:jc w:val="both"/>
        <w:rPr>
          <w:color w:val="201F1E"/>
          <w:bdr w:val="none" w:sz="0" w:space="0" w:color="auto" w:frame="1"/>
        </w:rPr>
      </w:pPr>
    </w:p>
    <w:p w14:paraId="563A2C83" w14:textId="7B17EA30" w:rsidR="005E3D82" w:rsidRPr="00A14328" w:rsidRDefault="00C059B9" w:rsidP="00A14328">
      <w:pPr>
        <w:tabs>
          <w:tab w:val="center" w:pos="4819"/>
        </w:tabs>
        <w:spacing w:line="276" w:lineRule="auto"/>
        <w:ind w:firstLine="567"/>
        <w:jc w:val="both"/>
        <w:rPr>
          <w:color w:val="201F1E"/>
          <w:bdr w:val="none" w:sz="0" w:space="0" w:color="auto" w:frame="1"/>
        </w:rPr>
      </w:pPr>
      <w:r w:rsidRPr="00A14328">
        <w:rPr>
          <w:color w:val="201F1E"/>
          <w:bdr w:val="none" w:sz="0" w:space="0" w:color="auto" w:frame="1"/>
        </w:rPr>
        <w:t xml:space="preserve">[12] Lai arī apgabaltiesa ir nepareizi interpretējusi </w:t>
      </w:r>
      <w:r w:rsidRPr="00A14328">
        <w:t>Lauku attīstības regulā ietvertās tiesību normas, tas nav ietekmējis apgabaltiesas sprieduma rezultātu. Tāpēc spriedums ir atstājams negrozīts, bet pieteicējas kasācijas sūdzība noraidāma.</w:t>
      </w:r>
    </w:p>
    <w:p w14:paraId="096C5D0A" w14:textId="77777777" w:rsidR="000A2A9C" w:rsidRPr="00A14328" w:rsidRDefault="000A2A9C" w:rsidP="00A14328">
      <w:pPr>
        <w:spacing w:line="276" w:lineRule="auto"/>
        <w:jc w:val="both"/>
        <w:rPr>
          <w:highlight w:val="yellow"/>
        </w:rPr>
      </w:pPr>
    </w:p>
    <w:p w14:paraId="1D39F2BF" w14:textId="77777777" w:rsidR="00530B85" w:rsidRPr="00A14328" w:rsidRDefault="00530B85" w:rsidP="00A14328">
      <w:pPr>
        <w:spacing w:line="276" w:lineRule="auto"/>
        <w:jc w:val="center"/>
        <w:rPr>
          <w:b/>
        </w:rPr>
      </w:pPr>
      <w:r w:rsidRPr="00A14328">
        <w:rPr>
          <w:b/>
        </w:rPr>
        <w:t>Rezolutīvā daļa</w:t>
      </w:r>
    </w:p>
    <w:p w14:paraId="53224002" w14:textId="77777777" w:rsidR="00530B85" w:rsidRPr="00A14328" w:rsidRDefault="00530B85" w:rsidP="00A14328">
      <w:pPr>
        <w:spacing w:line="276" w:lineRule="auto"/>
        <w:ind w:firstLine="567"/>
        <w:jc w:val="both"/>
      </w:pPr>
    </w:p>
    <w:p w14:paraId="2797C293" w14:textId="4CD5F005" w:rsidR="00217FCC" w:rsidRPr="00A14328" w:rsidRDefault="00530B85" w:rsidP="00A14328">
      <w:pPr>
        <w:spacing w:line="276" w:lineRule="auto"/>
        <w:ind w:firstLine="567"/>
        <w:jc w:val="both"/>
        <w:rPr>
          <w:b/>
        </w:rPr>
      </w:pPr>
      <w:r w:rsidRPr="00A14328">
        <w:t>Pamatojoties uz Administratīvā procesa likuma 348.panta pirmās daļas 1.punktu un 351.pantu, Senāts</w:t>
      </w:r>
    </w:p>
    <w:p w14:paraId="46113C6F" w14:textId="5B8B8907" w:rsidR="00530B85" w:rsidRPr="00A14328" w:rsidRDefault="00530B85" w:rsidP="00A14328">
      <w:pPr>
        <w:keepNext/>
        <w:tabs>
          <w:tab w:val="left" w:pos="2700"/>
          <w:tab w:val="left" w:pos="6660"/>
        </w:tabs>
        <w:spacing w:line="276" w:lineRule="auto"/>
        <w:jc w:val="center"/>
        <w:rPr>
          <w:b/>
        </w:rPr>
      </w:pPr>
      <w:bookmarkStart w:id="8" w:name="Dropdown14"/>
      <w:r w:rsidRPr="00A14328">
        <w:rPr>
          <w:b/>
        </w:rPr>
        <w:t>nosprieda</w:t>
      </w:r>
      <w:bookmarkEnd w:id="8"/>
    </w:p>
    <w:p w14:paraId="1E483FA0" w14:textId="77777777" w:rsidR="00530B85" w:rsidRPr="00A14328" w:rsidRDefault="00530B85" w:rsidP="00A14328">
      <w:pPr>
        <w:keepNext/>
        <w:tabs>
          <w:tab w:val="left" w:pos="2700"/>
          <w:tab w:val="left" w:pos="6660"/>
        </w:tabs>
        <w:spacing w:line="276" w:lineRule="auto"/>
        <w:ind w:firstLine="567"/>
        <w:jc w:val="both"/>
        <w:rPr>
          <w:bCs/>
          <w:spacing w:val="70"/>
        </w:rPr>
      </w:pPr>
    </w:p>
    <w:p w14:paraId="54BD93AC" w14:textId="53909938" w:rsidR="00530B85" w:rsidRPr="00A14328" w:rsidRDefault="00530B85" w:rsidP="00A14328">
      <w:pPr>
        <w:keepNext/>
        <w:tabs>
          <w:tab w:val="left" w:pos="2700"/>
          <w:tab w:val="left" w:pos="6660"/>
        </w:tabs>
        <w:spacing w:line="276" w:lineRule="auto"/>
        <w:ind w:firstLine="567"/>
        <w:jc w:val="both"/>
      </w:pPr>
      <w:r w:rsidRPr="00A14328">
        <w:t xml:space="preserve">atstāt Administratīvās apgabaltiesas 2017.gada </w:t>
      </w:r>
      <w:r w:rsidR="005E0F69" w:rsidRPr="00A14328">
        <w:t>29</w:t>
      </w:r>
      <w:r w:rsidR="004A083A" w:rsidRPr="00A14328">
        <w:t>.</w:t>
      </w:r>
      <w:r w:rsidR="005E0F69" w:rsidRPr="00A14328">
        <w:t>septembra</w:t>
      </w:r>
      <w:r w:rsidRPr="00A14328">
        <w:t xml:space="preserve"> spriedumu negrozītu, bet </w:t>
      </w:r>
      <w:r w:rsidR="00A14328" w:rsidRPr="00A14328">
        <w:t xml:space="preserve">[pers. A] </w:t>
      </w:r>
      <w:r w:rsidRPr="00A14328">
        <w:t>kasācijas sūdzību noraidīt.</w:t>
      </w:r>
    </w:p>
    <w:p w14:paraId="6BF5F3DE" w14:textId="4315E5A9" w:rsidR="00530B85" w:rsidRPr="00A14328" w:rsidRDefault="00530B85" w:rsidP="00A14328">
      <w:pPr>
        <w:tabs>
          <w:tab w:val="left" w:pos="2700"/>
          <w:tab w:val="left" w:pos="6660"/>
        </w:tabs>
        <w:spacing w:line="276" w:lineRule="auto"/>
        <w:ind w:firstLine="567"/>
        <w:jc w:val="both"/>
        <w:rPr>
          <w:highlight w:val="yellow"/>
        </w:rPr>
      </w:pPr>
      <w:r w:rsidRPr="00A14328">
        <w:t>Spriedums nav pārsūdzams.</w:t>
      </w:r>
    </w:p>
    <w:sectPr w:rsidR="00530B85" w:rsidRPr="00A14328" w:rsidSect="008F691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D2307" w14:textId="77777777" w:rsidR="00F50756" w:rsidRDefault="00F50756" w:rsidP="006529EF">
      <w:r>
        <w:separator/>
      </w:r>
    </w:p>
  </w:endnote>
  <w:endnote w:type="continuationSeparator" w:id="0">
    <w:p w14:paraId="6D4922C1" w14:textId="77777777" w:rsidR="00F50756" w:rsidRDefault="00F50756" w:rsidP="006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sdtContent>
      <w:p w14:paraId="4131B3A0" w14:textId="4B23D215" w:rsidR="00E7795D" w:rsidRDefault="00E7795D" w:rsidP="00FD7F62">
        <w:pPr>
          <w:pStyle w:val="Footer"/>
          <w:jc w:val="center"/>
        </w:pPr>
        <w:r w:rsidRPr="007310B0">
          <w:rPr>
            <w:bCs/>
          </w:rPr>
          <w:fldChar w:fldCharType="begin"/>
        </w:r>
        <w:r w:rsidRPr="007310B0">
          <w:rPr>
            <w:bCs/>
          </w:rPr>
          <w:instrText xml:space="preserve"> PAGE </w:instrText>
        </w:r>
        <w:r w:rsidRPr="007310B0">
          <w:rPr>
            <w:bCs/>
          </w:rPr>
          <w:fldChar w:fldCharType="separate"/>
        </w:r>
        <w:r w:rsidR="00D6520B">
          <w:rPr>
            <w:bCs/>
            <w:noProof/>
          </w:rPr>
          <w:t>1</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D6520B">
          <w:rPr>
            <w:bCs/>
            <w:noProof/>
          </w:rPr>
          <w:t>6</w:t>
        </w:r>
        <w:r w:rsidRPr="007310B0">
          <w:rPr>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1001C" w14:textId="77777777" w:rsidR="00F50756" w:rsidRDefault="00F50756" w:rsidP="006529EF">
      <w:r>
        <w:separator/>
      </w:r>
    </w:p>
  </w:footnote>
  <w:footnote w:type="continuationSeparator" w:id="0">
    <w:p w14:paraId="5F14276E" w14:textId="77777777" w:rsidR="00F50756" w:rsidRDefault="00F50756" w:rsidP="00652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4944D3"/>
    <w:multiLevelType w:val="hybridMultilevel"/>
    <w:tmpl w:val="E800CC00"/>
    <w:lvl w:ilvl="0" w:tplc="68AC1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6"/>
    <w:rsid w:val="00023EF7"/>
    <w:rsid w:val="00024732"/>
    <w:rsid w:val="00031336"/>
    <w:rsid w:val="00040161"/>
    <w:rsid w:val="00040DF1"/>
    <w:rsid w:val="00083B99"/>
    <w:rsid w:val="00090932"/>
    <w:rsid w:val="000970F2"/>
    <w:rsid w:val="000A2A9C"/>
    <w:rsid w:val="000A56AF"/>
    <w:rsid w:val="000B1025"/>
    <w:rsid w:val="000C19AB"/>
    <w:rsid w:val="000D29E4"/>
    <w:rsid w:val="00101175"/>
    <w:rsid w:val="00124F8D"/>
    <w:rsid w:val="00154D54"/>
    <w:rsid w:val="00157A60"/>
    <w:rsid w:val="00173659"/>
    <w:rsid w:val="0017760A"/>
    <w:rsid w:val="00190B1D"/>
    <w:rsid w:val="001A02AD"/>
    <w:rsid w:val="001A6350"/>
    <w:rsid w:val="001D6A88"/>
    <w:rsid w:val="0021592F"/>
    <w:rsid w:val="00217FCC"/>
    <w:rsid w:val="00221F2F"/>
    <w:rsid w:val="0023779D"/>
    <w:rsid w:val="00244C25"/>
    <w:rsid w:val="00250DF6"/>
    <w:rsid w:val="002712A0"/>
    <w:rsid w:val="002763F4"/>
    <w:rsid w:val="002802AD"/>
    <w:rsid w:val="002E5E20"/>
    <w:rsid w:val="003132A5"/>
    <w:rsid w:val="00315E14"/>
    <w:rsid w:val="00347794"/>
    <w:rsid w:val="00353780"/>
    <w:rsid w:val="0037100A"/>
    <w:rsid w:val="00384F49"/>
    <w:rsid w:val="00387262"/>
    <w:rsid w:val="00390C7A"/>
    <w:rsid w:val="0039171C"/>
    <w:rsid w:val="003C011B"/>
    <w:rsid w:val="003D65DB"/>
    <w:rsid w:val="003E4374"/>
    <w:rsid w:val="003E7440"/>
    <w:rsid w:val="003F4DC6"/>
    <w:rsid w:val="003F690F"/>
    <w:rsid w:val="00401F9B"/>
    <w:rsid w:val="0041287B"/>
    <w:rsid w:val="00416C02"/>
    <w:rsid w:val="00435790"/>
    <w:rsid w:val="00437359"/>
    <w:rsid w:val="00457E70"/>
    <w:rsid w:val="00475501"/>
    <w:rsid w:val="00476DBB"/>
    <w:rsid w:val="004A0315"/>
    <w:rsid w:val="004A083A"/>
    <w:rsid w:val="004A4C40"/>
    <w:rsid w:val="004B699C"/>
    <w:rsid w:val="004F7763"/>
    <w:rsid w:val="00502A7B"/>
    <w:rsid w:val="0051687C"/>
    <w:rsid w:val="00530A50"/>
    <w:rsid w:val="00530B85"/>
    <w:rsid w:val="00533198"/>
    <w:rsid w:val="00544068"/>
    <w:rsid w:val="00553AC1"/>
    <w:rsid w:val="005558AA"/>
    <w:rsid w:val="00574147"/>
    <w:rsid w:val="00574167"/>
    <w:rsid w:val="005C677D"/>
    <w:rsid w:val="005E0F69"/>
    <w:rsid w:val="005E3D82"/>
    <w:rsid w:val="005E4FE9"/>
    <w:rsid w:val="005F11E0"/>
    <w:rsid w:val="005F38CA"/>
    <w:rsid w:val="00601D88"/>
    <w:rsid w:val="00602A77"/>
    <w:rsid w:val="00605C6B"/>
    <w:rsid w:val="00625832"/>
    <w:rsid w:val="006325D9"/>
    <w:rsid w:val="00633F29"/>
    <w:rsid w:val="006465BD"/>
    <w:rsid w:val="006509BD"/>
    <w:rsid w:val="006529EF"/>
    <w:rsid w:val="00656EB2"/>
    <w:rsid w:val="00672059"/>
    <w:rsid w:val="00683EC0"/>
    <w:rsid w:val="006875D1"/>
    <w:rsid w:val="006C231B"/>
    <w:rsid w:val="006C68CA"/>
    <w:rsid w:val="006C705C"/>
    <w:rsid w:val="006D2191"/>
    <w:rsid w:val="006F1A3E"/>
    <w:rsid w:val="00700972"/>
    <w:rsid w:val="00704AC0"/>
    <w:rsid w:val="0071726F"/>
    <w:rsid w:val="00734255"/>
    <w:rsid w:val="007374FE"/>
    <w:rsid w:val="007455EA"/>
    <w:rsid w:val="0074688A"/>
    <w:rsid w:val="007526F5"/>
    <w:rsid w:val="007529BC"/>
    <w:rsid w:val="0075620D"/>
    <w:rsid w:val="00765638"/>
    <w:rsid w:val="00765D77"/>
    <w:rsid w:val="00776AD8"/>
    <w:rsid w:val="00787CDD"/>
    <w:rsid w:val="007B640D"/>
    <w:rsid w:val="00805A73"/>
    <w:rsid w:val="008148DD"/>
    <w:rsid w:val="00826625"/>
    <w:rsid w:val="00830430"/>
    <w:rsid w:val="00833C72"/>
    <w:rsid w:val="0084647D"/>
    <w:rsid w:val="00855847"/>
    <w:rsid w:val="00861227"/>
    <w:rsid w:val="00875CB2"/>
    <w:rsid w:val="008B055F"/>
    <w:rsid w:val="008C3708"/>
    <w:rsid w:val="008C7E97"/>
    <w:rsid w:val="008D1044"/>
    <w:rsid w:val="008D62E0"/>
    <w:rsid w:val="008E0544"/>
    <w:rsid w:val="008E59E4"/>
    <w:rsid w:val="008F691E"/>
    <w:rsid w:val="00902554"/>
    <w:rsid w:val="00907A52"/>
    <w:rsid w:val="009132F4"/>
    <w:rsid w:val="0092755B"/>
    <w:rsid w:val="009403D2"/>
    <w:rsid w:val="009441DD"/>
    <w:rsid w:val="00945284"/>
    <w:rsid w:val="009454F1"/>
    <w:rsid w:val="0094740D"/>
    <w:rsid w:val="00950A46"/>
    <w:rsid w:val="00977D2B"/>
    <w:rsid w:val="0098644F"/>
    <w:rsid w:val="009A252C"/>
    <w:rsid w:val="009A7E14"/>
    <w:rsid w:val="009C2CE4"/>
    <w:rsid w:val="009D1568"/>
    <w:rsid w:val="009E4D74"/>
    <w:rsid w:val="009F0BE4"/>
    <w:rsid w:val="00A00E45"/>
    <w:rsid w:val="00A12002"/>
    <w:rsid w:val="00A14328"/>
    <w:rsid w:val="00A233A8"/>
    <w:rsid w:val="00A508A9"/>
    <w:rsid w:val="00A66A0A"/>
    <w:rsid w:val="00A84A7B"/>
    <w:rsid w:val="00A86715"/>
    <w:rsid w:val="00AC2D3D"/>
    <w:rsid w:val="00AC3247"/>
    <w:rsid w:val="00AC575D"/>
    <w:rsid w:val="00AE4E93"/>
    <w:rsid w:val="00AF10AB"/>
    <w:rsid w:val="00B01AED"/>
    <w:rsid w:val="00B25D5D"/>
    <w:rsid w:val="00B47609"/>
    <w:rsid w:val="00B55096"/>
    <w:rsid w:val="00B61683"/>
    <w:rsid w:val="00B93AA6"/>
    <w:rsid w:val="00B94327"/>
    <w:rsid w:val="00BA1477"/>
    <w:rsid w:val="00BA457A"/>
    <w:rsid w:val="00BC32BB"/>
    <w:rsid w:val="00BE38F7"/>
    <w:rsid w:val="00BE5885"/>
    <w:rsid w:val="00BF1B65"/>
    <w:rsid w:val="00BF40A7"/>
    <w:rsid w:val="00C012DE"/>
    <w:rsid w:val="00C059B9"/>
    <w:rsid w:val="00C06C94"/>
    <w:rsid w:val="00C121C8"/>
    <w:rsid w:val="00C1358D"/>
    <w:rsid w:val="00C31E43"/>
    <w:rsid w:val="00C44704"/>
    <w:rsid w:val="00C54574"/>
    <w:rsid w:val="00C573F3"/>
    <w:rsid w:val="00C60D81"/>
    <w:rsid w:val="00C71F79"/>
    <w:rsid w:val="00C74FC4"/>
    <w:rsid w:val="00C962A1"/>
    <w:rsid w:val="00CB5B86"/>
    <w:rsid w:val="00CC2A12"/>
    <w:rsid w:val="00CC77DB"/>
    <w:rsid w:val="00CF1DE4"/>
    <w:rsid w:val="00CF2320"/>
    <w:rsid w:val="00D061FF"/>
    <w:rsid w:val="00D15055"/>
    <w:rsid w:val="00D168CC"/>
    <w:rsid w:val="00D22CAE"/>
    <w:rsid w:val="00D54022"/>
    <w:rsid w:val="00D6520B"/>
    <w:rsid w:val="00D67A3D"/>
    <w:rsid w:val="00D938D4"/>
    <w:rsid w:val="00DA2629"/>
    <w:rsid w:val="00DB0CE0"/>
    <w:rsid w:val="00DB657E"/>
    <w:rsid w:val="00DD2B81"/>
    <w:rsid w:val="00DF3427"/>
    <w:rsid w:val="00E01BD3"/>
    <w:rsid w:val="00E02680"/>
    <w:rsid w:val="00E14D62"/>
    <w:rsid w:val="00E26516"/>
    <w:rsid w:val="00E344AB"/>
    <w:rsid w:val="00E357E1"/>
    <w:rsid w:val="00E42802"/>
    <w:rsid w:val="00E64A9F"/>
    <w:rsid w:val="00E7795D"/>
    <w:rsid w:val="00E82CB6"/>
    <w:rsid w:val="00E85BEB"/>
    <w:rsid w:val="00E97950"/>
    <w:rsid w:val="00EA534A"/>
    <w:rsid w:val="00EA547A"/>
    <w:rsid w:val="00EA6184"/>
    <w:rsid w:val="00EB22FF"/>
    <w:rsid w:val="00EC0EDB"/>
    <w:rsid w:val="00EC6A72"/>
    <w:rsid w:val="00EC74F2"/>
    <w:rsid w:val="00EC799B"/>
    <w:rsid w:val="00EE7A56"/>
    <w:rsid w:val="00F207D9"/>
    <w:rsid w:val="00F23E5A"/>
    <w:rsid w:val="00F25E35"/>
    <w:rsid w:val="00F27428"/>
    <w:rsid w:val="00F32198"/>
    <w:rsid w:val="00F41E0F"/>
    <w:rsid w:val="00F425D6"/>
    <w:rsid w:val="00F50756"/>
    <w:rsid w:val="00F54CA5"/>
    <w:rsid w:val="00F5592E"/>
    <w:rsid w:val="00F579D7"/>
    <w:rsid w:val="00F616CF"/>
    <w:rsid w:val="00F627DE"/>
    <w:rsid w:val="00F83E25"/>
    <w:rsid w:val="00F8526B"/>
    <w:rsid w:val="00FA4CAD"/>
    <w:rsid w:val="00FA6AF0"/>
    <w:rsid w:val="00FB6B9E"/>
    <w:rsid w:val="00FC061E"/>
    <w:rsid w:val="00FD2543"/>
    <w:rsid w:val="00FD7F62"/>
    <w:rsid w:val="00FE290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styleId="ListParagraph">
    <w:name w:val="List Paragraph"/>
    <w:basedOn w:val="Normal"/>
    <w:uiPriority w:val="34"/>
    <w:qFormat/>
    <w:rsid w:val="00AC3247"/>
    <w:pPr>
      <w:ind w:left="720"/>
      <w:contextualSpacing/>
    </w:pPr>
  </w:style>
  <w:style w:type="paragraph" w:customStyle="1" w:styleId="Normal1">
    <w:name w:val="Normal1"/>
    <w:basedOn w:val="Normal"/>
    <w:rsid w:val="00F627DE"/>
    <w:pPr>
      <w:spacing w:before="100" w:beforeAutospacing="1" w:after="100" w:afterAutospacing="1"/>
    </w:pPr>
    <w:rPr>
      <w:lang w:val="en-US" w:eastAsia="en-US"/>
    </w:rPr>
  </w:style>
  <w:style w:type="paragraph" w:styleId="FootnoteText">
    <w:name w:val="footnote text"/>
    <w:aliases w:val=" Char Char Char"/>
    <w:basedOn w:val="Normal"/>
    <w:link w:val="FootnoteTextChar"/>
    <w:unhideWhenUsed/>
    <w:rsid w:val="006529EF"/>
    <w:pPr>
      <w:widowControl w:val="0"/>
    </w:pPr>
    <w:rPr>
      <w:rFonts w:ascii="Calibri" w:eastAsia="Calibri" w:hAnsi="Calibri"/>
      <w:sz w:val="20"/>
      <w:szCs w:val="20"/>
      <w:lang w:eastAsia="en-US"/>
    </w:rPr>
  </w:style>
  <w:style w:type="character" w:customStyle="1" w:styleId="FootnoteTextChar">
    <w:name w:val="Footnote Text Char"/>
    <w:aliases w:val=" Char Char Char Char"/>
    <w:basedOn w:val="DefaultParagraphFont"/>
    <w:link w:val="FootnoteText"/>
    <w:rsid w:val="006529EF"/>
    <w:rPr>
      <w:rFonts w:ascii="Calibri" w:eastAsia="Calibri" w:hAnsi="Calibri" w:cs="Times New Roman"/>
      <w:sz w:val="20"/>
      <w:szCs w:val="20"/>
    </w:rPr>
  </w:style>
  <w:style w:type="character" w:styleId="FootnoteReference">
    <w:name w:val="footnote reference"/>
    <w:aliases w:val="Footnote Reference Number"/>
    <w:rsid w:val="006529EF"/>
    <w:rPr>
      <w:vertAlign w:val="superscript"/>
    </w:rPr>
  </w:style>
  <w:style w:type="character" w:customStyle="1" w:styleId="UnresolvedMention1">
    <w:name w:val="Unresolved Mention1"/>
    <w:basedOn w:val="DefaultParagraphFont"/>
    <w:uiPriority w:val="99"/>
    <w:semiHidden/>
    <w:unhideWhenUsed/>
    <w:rsid w:val="00D938D4"/>
    <w:rPr>
      <w:color w:val="605E5C"/>
      <w:shd w:val="clear" w:color="auto" w:fill="E1DFDD"/>
    </w:rPr>
  </w:style>
  <w:style w:type="paragraph" w:styleId="Header">
    <w:name w:val="header"/>
    <w:basedOn w:val="Normal"/>
    <w:link w:val="HeaderChar"/>
    <w:uiPriority w:val="99"/>
    <w:unhideWhenUsed/>
    <w:rsid w:val="00E7795D"/>
    <w:pPr>
      <w:tabs>
        <w:tab w:val="center" w:pos="4153"/>
        <w:tab w:val="right" w:pos="8306"/>
      </w:tabs>
    </w:pPr>
  </w:style>
  <w:style w:type="character" w:customStyle="1" w:styleId="HeaderChar">
    <w:name w:val="Header Char"/>
    <w:basedOn w:val="DefaultParagraphFont"/>
    <w:link w:val="Header"/>
    <w:uiPriority w:val="99"/>
    <w:rsid w:val="00E7795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7795D"/>
    <w:pPr>
      <w:tabs>
        <w:tab w:val="center" w:pos="4153"/>
        <w:tab w:val="right" w:pos="8306"/>
      </w:tabs>
    </w:pPr>
  </w:style>
  <w:style w:type="character" w:customStyle="1" w:styleId="FooterChar">
    <w:name w:val="Footer Char"/>
    <w:basedOn w:val="DefaultParagraphFont"/>
    <w:link w:val="Footer"/>
    <w:uiPriority w:val="99"/>
    <w:rsid w:val="00E7795D"/>
    <w:rPr>
      <w:rFonts w:ascii="Times New Roman" w:eastAsia="Times New Roman" w:hAnsi="Times New Roman" w:cs="Times New Roman"/>
      <w:sz w:val="24"/>
      <w:szCs w:val="24"/>
      <w:lang w:eastAsia="lv-LV"/>
    </w:rPr>
  </w:style>
  <w:style w:type="paragraph" w:styleId="Revision">
    <w:name w:val="Revision"/>
    <w:hidden/>
    <w:uiPriority w:val="99"/>
    <w:semiHidden/>
    <w:rsid w:val="00FD7F6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29838">
      <w:bodyDiv w:val="1"/>
      <w:marLeft w:val="0"/>
      <w:marRight w:val="0"/>
      <w:marTop w:val="0"/>
      <w:marBottom w:val="0"/>
      <w:divBdr>
        <w:top w:val="none" w:sz="0" w:space="0" w:color="auto"/>
        <w:left w:val="none" w:sz="0" w:space="0" w:color="auto"/>
        <w:bottom w:val="none" w:sz="0" w:space="0" w:color="auto"/>
        <w:right w:val="none" w:sz="0" w:space="0" w:color="auto"/>
      </w:divBdr>
    </w:div>
    <w:div w:id="574627421">
      <w:bodyDiv w:val="1"/>
      <w:marLeft w:val="0"/>
      <w:marRight w:val="0"/>
      <w:marTop w:val="0"/>
      <w:marBottom w:val="0"/>
      <w:divBdr>
        <w:top w:val="none" w:sz="0" w:space="0" w:color="auto"/>
        <w:left w:val="none" w:sz="0" w:space="0" w:color="auto"/>
        <w:bottom w:val="none" w:sz="0" w:space="0" w:color="auto"/>
        <w:right w:val="none" w:sz="0" w:space="0" w:color="auto"/>
      </w:divBdr>
    </w:div>
    <w:div w:id="988554723">
      <w:bodyDiv w:val="1"/>
      <w:marLeft w:val="0"/>
      <w:marRight w:val="0"/>
      <w:marTop w:val="0"/>
      <w:marBottom w:val="0"/>
      <w:divBdr>
        <w:top w:val="none" w:sz="0" w:space="0" w:color="auto"/>
        <w:left w:val="none" w:sz="0" w:space="0" w:color="auto"/>
        <w:bottom w:val="none" w:sz="0" w:space="0" w:color="auto"/>
        <w:right w:val="none" w:sz="0" w:space="0" w:color="auto"/>
      </w:divBdr>
    </w:div>
    <w:div w:id="1434936905">
      <w:bodyDiv w:val="1"/>
      <w:marLeft w:val="0"/>
      <w:marRight w:val="0"/>
      <w:marTop w:val="0"/>
      <w:marBottom w:val="0"/>
      <w:divBdr>
        <w:top w:val="none" w:sz="0" w:space="0" w:color="auto"/>
        <w:left w:val="none" w:sz="0" w:space="0" w:color="auto"/>
        <w:bottom w:val="none" w:sz="0" w:space="0" w:color="auto"/>
        <w:right w:val="none" w:sz="0" w:space="0" w:color="auto"/>
      </w:divBdr>
    </w:div>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125.A420151917.7.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BC5E-BD1A-4FF1-A5C8-567CB45A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2022-04-11T14:39:00Z</dcterms:created>
  <dcterms:modified xsi:type="dcterms:W3CDTF">2022-04-11T14:39:00Z</dcterms:modified>
</cp:coreProperties>
</file>