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18BE7" w14:textId="77777777" w:rsidR="00D4252D" w:rsidRDefault="00D4252D" w:rsidP="00D4252D">
      <w:pPr>
        <w:spacing w:line="276" w:lineRule="auto"/>
        <w:rPr>
          <w:rFonts w:ascii="TimesNewRomanPSMT" w:hAnsi="TimesNewRomanPSMT"/>
          <w:b/>
          <w:bCs/>
          <w:lang w:eastAsia="en-US"/>
        </w:rPr>
      </w:pPr>
      <w:bookmarkStart w:id="0" w:name="_Hlk92797520"/>
      <w:bookmarkStart w:id="1" w:name="_GoBack"/>
      <w:bookmarkEnd w:id="1"/>
      <w:r>
        <w:rPr>
          <w:rFonts w:ascii="TimesNewRomanPSMT" w:hAnsi="TimesNewRomanPSMT"/>
          <w:b/>
          <w:bCs/>
        </w:rPr>
        <w:t xml:space="preserve">Personas datu izmantošana bez tās piekrišanas uzdevuma izpildei sabiedrības interesēs </w:t>
      </w:r>
    </w:p>
    <w:p w14:paraId="32E0D75D" w14:textId="77777777" w:rsidR="00D4252D" w:rsidRDefault="00D4252D" w:rsidP="00D4252D">
      <w:pPr>
        <w:autoSpaceDE w:val="0"/>
        <w:autoSpaceDN w:val="0"/>
        <w:spacing w:line="276" w:lineRule="auto"/>
        <w:jc w:val="both"/>
        <w:rPr>
          <w:rFonts w:ascii="TimesNewRomanPSMT" w:hAnsi="TimesNewRomanPSMT"/>
        </w:rPr>
      </w:pPr>
      <w:r>
        <w:rPr>
          <w:rFonts w:ascii="TimesNewRomanPSMT" w:hAnsi="TimesNewRomanPSMT"/>
          <w:color w:val="000000"/>
        </w:rPr>
        <w:t xml:space="preserve">Personas dati, kuru apstrādei pati persona nav devusi piekrišanu, būtu jāapstrādā tikai tad, ja apstrādes nolūku nav iespējams pienācīgi sasniegt ar citiem līdzekļiem. Apstrādājot datus, pamatojoties uz uzdevumu pildīšanu, jāraugās, lai netiktu pārsniegts tas, kas ir nepieciešams mērķa sasniegšanai. Šī prasība nav izpildīta, ja izvirzīto vispārējo interešu mērķi saprātīgi var sasniegt tikpat efektīvi ar citiem līdzekļiem, kas mazāk aizskartu datu subjektu pamattiesības, it īpaši tiesības uz privātās dzīves neaizskaramību un personas datu aizsardzību. </w:t>
      </w:r>
    </w:p>
    <w:p w14:paraId="76B2D855" w14:textId="77777777" w:rsidR="00D4252D" w:rsidRDefault="00D4252D" w:rsidP="00D4252D">
      <w:pPr>
        <w:autoSpaceDE w:val="0"/>
        <w:autoSpaceDN w:val="0"/>
        <w:spacing w:line="276" w:lineRule="auto"/>
        <w:jc w:val="both"/>
        <w:rPr>
          <w:rFonts w:ascii="TimesNewRomanPSMT" w:hAnsi="TimesNewRomanPSMT"/>
          <w:b/>
          <w:bCs/>
          <w:color w:val="0070C0"/>
        </w:rPr>
      </w:pPr>
      <w:r>
        <w:rPr>
          <w:rFonts w:ascii="TimesNewRomanPSMT" w:hAnsi="TimesNewRomanPSMT"/>
        </w:rPr>
        <w:t>Tādējādi, lai bez personas piekrišanas varētu apstrādāt datus, pamatojoties ar sabiedrībai nozīmīgu uzdevumu pildīšanu, nav pietiekami tikai konstatēt, ka tiek pildīts uzdevums sabiedrības interesēs. Nepieciešams konstatēt arī tiešo saikni starp uzdevuma izpildi un personas datu apstrādi. Jākonstatē, ka uzdevumu nevar pildīt, neapstrādājot šos datus.</w:t>
      </w:r>
    </w:p>
    <w:p w14:paraId="3079BE86" w14:textId="46223502" w:rsidR="009C0BA3" w:rsidRPr="005065DD" w:rsidRDefault="009C0BA3" w:rsidP="00D4252D">
      <w:pPr>
        <w:pStyle w:val="BodyText2"/>
        <w:spacing w:after="0" w:line="276" w:lineRule="auto"/>
      </w:pPr>
    </w:p>
    <w:p w14:paraId="3D4B1137" w14:textId="77777777" w:rsidR="00D4252D" w:rsidRPr="00D4252D" w:rsidRDefault="00D4252D" w:rsidP="00D4252D">
      <w:pPr>
        <w:spacing w:line="276" w:lineRule="auto"/>
        <w:jc w:val="center"/>
        <w:rPr>
          <w:b/>
        </w:rPr>
      </w:pPr>
      <w:r w:rsidRPr="00D4252D">
        <w:rPr>
          <w:b/>
        </w:rPr>
        <w:t>Latvijas Republikas Senāta</w:t>
      </w:r>
    </w:p>
    <w:p w14:paraId="35EC0CF5" w14:textId="39306602" w:rsidR="00D4252D" w:rsidRPr="00D4252D" w:rsidRDefault="00D4252D" w:rsidP="00D4252D">
      <w:pPr>
        <w:spacing w:line="276" w:lineRule="auto"/>
        <w:jc w:val="center"/>
        <w:rPr>
          <w:b/>
        </w:rPr>
      </w:pPr>
      <w:r w:rsidRPr="00D4252D">
        <w:rPr>
          <w:b/>
        </w:rPr>
        <w:t>Administrat</w:t>
      </w:r>
      <w:r>
        <w:rPr>
          <w:b/>
        </w:rPr>
        <w:t>īvo l</w:t>
      </w:r>
      <w:r w:rsidRPr="00D4252D">
        <w:rPr>
          <w:b/>
        </w:rPr>
        <w:t>i</w:t>
      </w:r>
      <w:r>
        <w:rPr>
          <w:b/>
        </w:rPr>
        <w:t>e</w:t>
      </w:r>
      <w:r w:rsidRPr="00D4252D">
        <w:rPr>
          <w:b/>
        </w:rPr>
        <w:t>tu departamenta</w:t>
      </w:r>
    </w:p>
    <w:p w14:paraId="051DD6A0" w14:textId="412EDF15" w:rsidR="00772A7C" w:rsidRPr="00D4252D" w:rsidRDefault="00D4252D" w:rsidP="00D4252D">
      <w:pPr>
        <w:spacing w:line="276" w:lineRule="auto"/>
        <w:jc w:val="center"/>
        <w:rPr>
          <w:b/>
        </w:rPr>
      </w:pPr>
      <w:r w:rsidRPr="00D4252D">
        <w:rPr>
          <w:b/>
        </w:rPr>
        <w:t>2022.gada 4.februāra</w:t>
      </w:r>
      <w:r w:rsidR="00772A7C" w:rsidRPr="00D4252D">
        <w:rPr>
          <w:b/>
        </w:rPr>
        <w:t xml:space="preserve"> </w:t>
      </w:r>
    </w:p>
    <w:p w14:paraId="78A8A624" w14:textId="716DEDC0" w:rsidR="009C0BA3" w:rsidRPr="00D4252D" w:rsidRDefault="009C0BA3" w:rsidP="00D4252D">
      <w:pPr>
        <w:spacing w:line="276" w:lineRule="auto"/>
        <w:jc w:val="center"/>
        <w:rPr>
          <w:b/>
        </w:rPr>
      </w:pPr>
      <w:r w:rsidRPr="00D4252D">
        <w:rPr>
          <w:b/>
        </w:rPr>
        <w:t>SPRIEDUMS</w:t>
      </w:r>
      <w:r w:rsidR="00606650" w:rsidRPr="00D4252D">
        <w:rPr>
          <w:b/>
        </w:rPr>
        <w:t xml:space="preserve"> </w:t>
      </w:r>
    </w:p>
    <w:p w14:paraId="65F8F436" w14:textId="2434311F" w:rsidR="00D4252D" w:rsidRPr="00D4252D" w:rsidRDefault="00D4252D" w:rsidP="00D4252D">
      <w:pPr>
        <w:spacing w:line="276" w:lineRule="auto"/>
        <w:jc w:val="center"/>
        <w:rPr>
          <w:b/>
        </w:rPr>
      </w:pPr>
      <w:r w:rsidRPr="00D4252D">
        <w:rPr>
          <w:b/>
        </w:rPr>
        <w:t>Lietā Nr. </w:t>
      </w:r>
      <w:r w:rsidRPr="00D4252D">
        <w:rPr>
          <w:b/>
          <w:color w:val="000000" w:themeColor="text1"/>
        </w:rPr>
        <w:t>A420234319</w:t>
      </w:r>
      <w:r w:rsidRPr="00D4252D">
        <w:rPr>
          <w:b/>
          <w:lang w:eastAsia="lv-LV"/>
        </w:rPr>
        <w:t xml:space="preserve">, </w:t>
      </w:r>
      <w:r w:rsidRPr="00D4252D">
        <w:rPr>
          <w:b/>
        </w:rPr>
        <w:t>SKA</w:t>
      </w:r>
      <w:r w:rsidRPr="00D4252D">
        <w:rPr>
          <w:b/>
        </w:rPr>
        <w:noBreakHyphen/>
        <w:t>265/2022</w:t>
      </w:r>
    </w:p>
    <w:p w14:paraId="0C78AD30" w14:textId="5CE825AB" w:rsidR="009C0BA3" w:rsidRPr="00D4252D" w:rsidRDefault="00C04390" w:rsidP="00D4252D">
      <w:pPr>
        <w:spacing w:line="276" w:lineRule="auto"/>
        <w:jc w:val="center"/>
      </w:pPr>
      <w:hyperlink r:id="rId6" w:history="1">
        <w:r w:rsidR="00D4252D" w:rsidRPr="00D4252D">
          <w:rPr>
            <w:rStyle w:val="Hyperlink"/>
          </w:rPr>
          <w:t>ECLI:LV:AT:2022:0204.A420234319.15.S</w:t>
        </w:r>
      </w:hyperlink>
      <w:r w:rsidR="00D4252D" w:rsidRPr="00D4252D">
        <w:t xml:space="preserve"> </w:t>
      </w:r>
    </w:p>
    <w:p w14:paraId="13994BDA" w14:textId="77777777" w:rsidR="00C52066" w:rsidRPr="005065DD" w:rsidRDefault="00C52066" w:rsidP="00D4252D">
      <w:pPr>
        <w:spacing w:line="276" w:lineRule="auto"/>
        <w:ind w:firstLine="567"/>
        <w:jc w:val="both"/>
      </w:pPr>
    </w:p>
    <w:p w14:paraId="5AE13377" w14:textId="4F5CE225" w:rsidR="00C52066" w:rsidRPr="005065DD" w:rsidRDefault="00C52066" w:rsidP="00D4252D">
      <w:pPr>
        <w:spacing w:line="276" w:lineRule="auto"/>
        <w:ind w:firstLine="567"/>
        <w:jc w:val="both"/>
      </w:pPr>
      <w:r w:rsidRPr="005065DD">
        <w:t xml:space="preserve">Tiesa šādā sastāvā: </w:t>
      </w:r>
      <w:r w:rsidR="00E33F20" w:rsidRPr="005065DD">
        <w:t>senator</w:t>
      </w:r>
      <w:r w:rsidR="00FE7D2E">
        <w:t>es</w:t>
      </w:r>
      <w:r w:rsidR="00E33F20" w:rsidRPr="005065DD">
        <w:t xml:space="preserve"> Jautrīte Briede, </w:t>
      </w:r>
      <w:r w:rsidR="006C453E">
        <w:t>Veronika Krūmiņa</w:t>
      </w:r>
      <w:r w:rsidR="00F7458D" w:rsidRPr="005065DD">
        <w:t xml:space="preserve"> un </w:t>
      </w:r>
      <w:r w:rsidR="006C453E">
        <w:t>Līvija Slica</w:t>
      </w:r>
    </w:p>
    <w:p w14:paraId="739A70BC" w14:textId="77777777" w:rsidR="00E33F20" w:rsidRPr="005065DD" w:rsidRDefault="00E33F20" w:rsidP="00D4252D">
      <w:pPr>
        <w:spacing w:line="276" w:lineRule="auto"/>
        <w:ind w:firstLine="567"/>
        <w:jc w:val="both"/>
      </w:pPr>
    </w:p>
    <w:p w14:paraId="623A76E8" w14:textId="7803C339" w:rsidR="00675D47" w:rsidRPr="005065DD" w:rsidRDefault="00E33F20" w:rsidP="00D4252D">
      <w:pPr>
        <w:spacing w:line="276" w:lineRule="auto"/>
        <w:ind w:firstLine="567"/>
        <w:jc w:val="both"/>
      </w:pPr>
      <w:r w:rsidRPr="005065DD">
        <w:t xml:space="preserve">rakstveida procesā </w:t>
      </w:r>
      <w:r w:rsidR="00F64911" w:rsidRPr="005065DD">
        <w:t>izskatīja administratīvo lietu, kas ierosināta, pamatojoties uz</w:t>
      </w:r>
      <w:r w:rsidR="006C453E">
        <w:t xml:space="preserve"> </w:t>
      </w:r>
      <w:r w:rsidR="00D4252D">
        <w:rPr>
          <w:color w:val="000000" w:themeColor="text1"/>
        </w:rPr>
        <w:t xml:space="preserve">[pers. A] </w:t>
      </w:r>
      <w:r w:rsidR="006C453E">
        <w:rPr>
          <w:color w:val="000000" w:themeColor="text1"/>
        </w:rPr>
        <w:t>pieteikumu</w:t>
      </w:r>
      <w:r w:rsidR="00F64911" w:rsidRPr="005065DD">
        <w:t xml:space="preserve"> </w:t>
      </w:r>
      <w:r w:rsidR="006C453E">
        <w:t xml:space="preserve">pārtraukt un atzīt par prettiesisku Patērētāju tiesību aizsardzības centra faktisko rīcību, bez pieteicēja atļaujas izmantojot un izplatot viņa personas datus sižetā </w:t>
      </w:r>
      <w:r w:rsidR="004B47FF" w:rsidRPr="00E439CA">
        <w:rPr>
          <w:bCs/>
          <w:lang w:val="af-ZA"/>
        </w:rPr>
        <w:t>„</w:t>
      </w:r>
      <w:r w:rsidR="006C453E">
        <w:t>Pārbaudi – Pērc – LietoTo sociālais eksperiments”, kā arī par nemantiskā kaitējuma atlīdzinājumu, publiski atvainojoties pieteicējam un atlīdzinot 2000</w:t>
      </w:r>
      <w:r w:rsidR="00235177">
        <w:t> </w:t>
      </w:r>
      <w:r w:rsidR="006C453E" w:rsidRPr="00D4616D">
        <w:rPr>
          <w:i/>
          <w:iCs/>
        </w:rPr>
        <w:t>euro</w:t>
      </w:r>
      <w:r w:rsidR="006C453E" w:rsidRPr="005065DD">
        <w:t xml:space="preserve"> </w:t>
      </w:r>
      <w:r w:rsidR="00F64911" w:rsidRPr="005065DD">
        <w:t xml:space="preserve">sakarā ar </w:t>
      </w:r>
      <w:r w:rsidR="00D4252D">
        <w:rPr>
          <w:color w:val="000000" w:themeColor="text1"/>
        </w:rPr>
        <w:t xml:space="preserve">[pers. A] </w:t>
      </w:r>
      <w:r w:rsidR="00F64911" w:rsidRPr="005065DD">
        <w:t xml:space="preserve">kasācijas sūdzību par Administratīvās </w:t>
      </w:r>
      <w:r w:rsidR="005C64F2" w:rsidRPr="005065DD">
        <w:t>apgabal</w:t>
      </w:r>
      <w:r w:rsidR="00F64911" w:rsidRPr="005065DD">
        <w:t>tiesas 20</w:t>
      </w:r>
      <w:r w:rsidR="001444F3" w:rsidRPr="005065DD">
        <w:t>20</w:t>
      </w:r>
      <w:r w:rsidR="00F64911" w:rsidRPr="005065DD">
        <w:t xml:space="preserve">.gada </w:t>
      </w:r>
      <w:r w:rsidR="006C453E">
        <w:t>10.jūnija</w:t>
      </w:r>
      <w:r w:rsidR="005C64F2" w:rsidRPr="005065DD">
        <w:t xml:space="preserve"> spriedumu</w:t>
      </w:r>
      <w:r w:rsidR="00F64911" w:rsidRPr="005065DD">
        <w:t>.</w:t>
      </w:r>
    </w:p>
    <w:p w14:paraId="7A10869E" w14:textId="77777777" w:rsidR="006F3EA8" w:rsidRPr="005065DD" w:rsidRDefault="006F3EA8" w:rsidP="00D4252D">
      <w:pPr>
        <w:spacing w:line="276" w:lineRule="auto"/>
        <w:ind w:firstLine="567"/>
        <w:jc w:val="both"/>
      </w:pPr>
    </w:p>
    <w:p w14:paraId="77F08303" w14:textId="3FFCF418" w:rsidR="00675D47" w:rsidRPr="005065DD" w:rsidRDefault="00675D47" w:rsidP="00D4252D">
      <w:pPr>
        <w:spacing w:line="276" w:lineRule="auto"/>
        <w:jc w:val="center"/>
        <w:rPr>
          <w:b/>
        </w:rPr>
      </w:pPr>
      <w:r w:rsidRPr="005065DD">
        <w:rPr>
          <w:b/>
        </w:rPr>
        <w:t>Aprakstošā daļa</w:t>
      </w:r>
    </w:p>
    <w:p w14:paraId="49904D94" w14:textId="77777777" w:rsidR="00675D47" w:rsidRPr="005065DD" w:rsidRDefault="00675D47" w:rsidP="00D4252D">
      <w:pPr>
        <w:spacing w:line="276" w:lineRule="auto"/>
        <w:jc w:val="center"/>
        <w:rPr>
          <w:b/>
        </w:rPr>
      </w:pPr>
    </w:p>
    <w:p w14:paraId="2827AD14" w14:textId="224A8653" w:rsidR="005C64F2" w:rsidRPr="005065DD" w:rsidRDefault="00675D47" w:rsidP="00D4252D">
      <w:pPr>
        <w:spacing w:line="276" w:lineRule="auto"/>
        <w:ind w:firstLine="567"/>
        <w:jc w:val="both"/>
      </w:pPr>
      <w:r w:rsidRPr="005065DD">
        <w:t>[1]</w:t>
      </w:r>
      <w:r w:rsidR="002C28BB" w:rsidRPr="005065DD">
        <w:t> </w:t>
      </w:r>
      <w:r w:rsidR="006C453E">
        <w:t xml:space="preserve">Patērētāju tiesību aizsardzības centrs (turpmāk – centrs) </w:t>
      </w:r>
      <w:r w:rsidR="00DF1829">
        <w:t xml:space="preserve">rīkoja kampaņu, kuras ietvaros </w:t>
      </w:r>
      <w:r w:rsidR="006C453E">
        <w:t xml:space="preserve">pasūtīja </w:t>
      </w:r>
      <w:r w:rsidR="0049281B">
        <w:t xml:space="preserve">video </w:t>
      </w:r>
      <w:r w:rsidR="008C5606">
        <w:t>sižetu</w:t>
      </w:r>
      <w:r w:rsidR="005C64F2" w:rsidRPr="005065DD">
        <w:rPr>
          <w:color w:val="000000"/>
        </w:rPr>
        <w:t xml:space="preserve">. </w:t>
      </w:r>
      <w:r w:rsidR="00DF1829">
        <w:rPr>
          <w:color w:val="000000"/>
        </w:rPr>
        <w:t xml:space="preserve">Sižetā redzams saraksts ar nosaukumu </w:t>
      </w:r>
      <w:bookmarkStart w:id="2" w:name="_Hlk17105715"/>
      <w:r w:rsidR="004B47FF" w:rsidRPr="00E439CA">
        <w:rPr>
          <w:bCs/>
          <w:lang w:val="af-ZA"/>
        </w:rPr>
        <w:t>„</w:t>
      </w:r>
      <w:bookmarkEnd w:id="2"/>
      <w:r w:rsidR="00D4252D">
        <w:rPr>
          <w:color w:val="000000" w:themeColor="text1"/>
        </w:rPr>
        <w:t xml:space="preserve">[pers. A] </w:t>
      </w:r>
      <w:r w:rsidR="00DF1829">
        <w:rPr>
          <w:color w:val="000000"/>
        </w:rPr>
        <w:t xml:space="preserve"> bieži lietotās frāzes”, kā arī iekļauts fragments no raidījuma </w:t>
      </w:r>
      <w:r w:rsidR="004B47FF" w:rsidRPr="00E439CA">
        <w:rPr>
          <w:bCs/>
          <w:lang w:val="af-ZA"/>
        </w:rPr>
        <w:t>„</w:t>
      </w:r>
      <w:r w:rsidR="00DF1829">
        <w:rPr>
          <w:color w:val="000000"/>
        </w:rPr>
        <w:t>TE!”, kurā redzams un dzirdams pieteicējs.</w:t>
      </w:r>
      <w:r w:rsidR="00DF1829" w:rsidRPr="00DF1829">
        <w:t xml:space="preserve"> </w:t>
      </w:r>
      <w:r w:rsidR="00DF1829">
        <w:t>Sižets tika demonstrēts vairākās interneta vietnēs.</w:t>
      </w:r>
      <w:r w:rsidR="00A008EC">
        <w:t xml:space="preserve"> Pieteicējs lūdza centru pārtraukt demonstrēt sižetu, publiski atvainoties par reputācijas graušanu un atlīdzināt nemantisko kaitējumu. Centrs lūgumu noraidīja. Arī Ekonomikas ministrija pieteicēja lūgumu noraidīja.</w:t>
      </w:r>
    </w:p>
    <w:p w14:paraId="1527A84B" w14:textId="725B6B8E" w:rsidR="005C64F2" w:rsidRPr="005065DD" w:rsidRDefault="005C64F2" w:rsidP="00D4252D">
      <w:pPr>
        <w:autoSpaceDE w:val="0"/>
        <w:autoSpaceDN w:val="0"/>
        <w:adjustRightInd w:val="0"/>
        <w:spacing w:line="276" w:lineRule="auto"/>
        <w:ind w:firstLine="720"/>
        <w:jc w:val="both"/>
        <w:rPr>
          <w:color w:val="000000"/>
        </w:rPr>
      </w:pPr>
      <w:r w:rsidRPr="005065DD">
        <w:rPr>
          <w:color w:val="000000"/>
        </w:rPr>
        <w:t>Pieteicēj</w:t>
      </w:r>
      <w:r w:rsidR="00DF1829">
        <w:rPr>
          <w:color w:val="000000"/>
        </w:rPr>
        <w:t>s</w:t>
      </w:r>
      <w:r w:rsidRPr="005065DD">
        <w:rPr>
          <w:color w:val="000000"/>
        </w:rPr>
        <w:t xml:space="preserve"> vērsās </w:t>
      </w:r>
      <w:r w:rsidR="00B03D84" w:rsidRPr="005065DD">
        <w:rPr>
          <w:color w:val="000000"/>
        </w:rPr>
        <w:t>tiesā</w:t>
      </w:r>
      <w:r w:rsidR="00E37C5C" w:rsidRPr="005065DD">
        <w:rPr>
          <w:color w:val="000000"/>
        </w:rPr>
        <w:t>, lūdzot atzīt</w:t>
      </w:r>
      <w:r w:rsidRPr="005065DD">
        <w:rPr>
          <w:color w:val="000000"/>
        </w:rPr>
        <w:t xml:space="preserve"> lēmum</w:t>
      </w:r>
      <w:r w:rsidR="00E37C5C" w:rsidRPr="005065DD">
        <w:rPr>
          <w:color w:val="000000"/>
        </w:rPr>
        <w:t xml:space="preserve">u par </w:t>
      </w:r>
      <w:r w:rsidRPr="005065DD">
        <w:rPr>
          <w:color w:val="000000"/>
        </w:rPr>
        <w:t>prettiesisku</w:t>
      </w:r>
      <w:r w:rsidR="00A008EC">
        <w:rPr>
          <w:color w:val="000000"/>
        </w:rPr>
        <w:t xml:space="preserve">, uzlikt </w:t>
      </w:r>
      <w:r w:rsidR="005D41F2">
        <w:rPr>
          <w:color w:val="000000"/>
        </w:rPr>
        <w:t xml:space="preserve">pienākumu </w:t>
      </w:r>
      <w:r w:rsidR="00A008EC">
        <w:rPr>
          <w:color w:val="000000"/>
        </w:rPr>
        <w:t>atvainoties</w:t>
      </w:r>
      <w:r w:rsidRPr="005065DD">
        <w:rPr>
          <w:color w:val="000000"/>
        </w:rPr>
        <w:t xml:space="preserve"> un </w:t>
      </w:r>
      <w:r w:rsidR="00E37C5C" w:rsidRPr="005065DD">
        <w:rPr>
          <w:color w:val="000000"/>
        </w:rPr>
        <w:t xml:space="preserve">atlīdzināt </w:t>
      </w:r>
      <w:r w:rsidRPr="005065DD">
        <w:rPr>
          <w:color w:val="000000"/>
        </w:rPr>
        <w:t>zaudējumu</w:t>
      </w:r>
      <w:r w:rsidR="00E37C5C" w:rsidRPr="005065DD">
        <w:rPr>
          <w:color w:val="000000"/>
        </w:rPr>
        <w:t>s</w:t>
      </w:r>
      <w:r w:rsidRPr="005065DD">
        <w:rPr>
          <w:color w:val="000000"/>
        </w:rPr>
        <w:t>.</w:t>
      </w:r>
    </w:p>
    <w:p w14:paraId="1D0A1DD8" w14:textId="77777777" w:rsidR="005C64F2" w:rsidRPr="005065DD" w:rsidRDefault="005C64F2" w:rsidP="00D4252D">
      <w:pPr>
        <w:spacing w:line="276" w:lineRule="auto"/>
        <w:ind w:firstLine="567"/>
        <w:jc w:val="both"/>
      </w:pPr>
    </w:p>
    <w:p w14:paraId="11694978" w14:textId="442C9645" w:rsidR="00DB1FB6" w:rsidRPr="00DB1FB6" w:rsidRDefault="00153901" w:rsidP="00D4252D">
      <w:pPr>
        <w:spacing w:line="276" w:lineRule="auto"/>
        <w:ind w:firstLine="567"/>
        <w:jc w:val="both"/>
      </w:pPr>
      <w:r w:rsidRPr="005065DD">
        <w:t>[2] </w:t>
      </w:r>
      <w:r w:rsidR="00512ACC" w:rsidRPr="005065DD">
        <w:t xml:space="preserve">Administratīvā </w:t>
      </w:r>
      <w:r w:rsidR="008C5606">
        <w:t>apgabal</w:t>
      </w:r>
      <w:r w:rsidR="00512ACC" w:rsidRPr="005065DD">
        <w:t xml:space="preserve">tiesa noraidīja pieteikumu. Tiesa </w:t>
      </w:r>
      <w:r w:rsidR="0035080B">
        <w:t>piekrita</w:t>
      </w:r>
      <w:r w:rsidR="00DF1829">
        <w:t>, ka sižetā izmantotie dati ir pieteicēja personas dati</w:t>
      </w:r>
      <w:r w:rsidR="00201493">
        <w:t>, ka</w:t>
      </w:r>
      <w:r w:rsidR="00DF1829">
        <w:t xml:space="preserve"> sižeta izmantošan</w:t>
      </w:r>
      <w:r w:rsidR="00865301">
        <w:t>a un demonstrēšana uzskatāma par personas datu apstrādi</w:t>
      </w:r>
      <w:r w:rsidR="00DF1829">
        <w:t>.</w:t>
      </w:r>
      <w:r w:rsidR="00512ACC" w:rsidRPr="005065DD">
        <w:t xml:space="preserve"> </w:t>
      </w:r>
      <w:r w:rsidR="00DB1FB6">
        <w:t>Tiesa secināja, ka atbilstoši Patērētāju tiesību aizsardzības likum</w:t>
      </w:r>
      <w:r w:rsidR="00201493">
        <w:t>ā</w:t>
      </w:r>
      <w:r w:rsidR="00DB1FB6">
        <w:t xml:space="preserve"> un citos normatīvajos aktos noteikt</w:t>
      </w:r>
      <w:r w:rsidR="00201493">
        <w:t>ajam</w:t>
      </w:r>
      <w:r w:rsidR="00DB1FB6">
        <w:t xml:space="preserve"> centra darbības mērķis ir patērētāju tiesību un interešu aizsardzības nodrošināšana, kas aptver arī patērētāju informēšanu. </w:t>
      </w:r>
      <w:r w:rsidR="00E2662F">
        <w:t>Arī strīdus s</w:t>
      </w:r>
      <w:r w:rsidR="00DB1FB6">
        <w:t>ižets tika izstrādāts un izmantots ar mērķi informēt patērētājus automašīnu tirgus jomā</w:t>
      </w:r>
      <w:r w:rsidR="00E2662F">
        <w:t>.</w:t>
      </w:r>
      <w:r w:rsidR="00DB1FB6">
        <w:t xml:space="preserve"> </w:t>
      </w:r>
      <w:r w:rsidR="00E2662F">
        <w:t>S</w:t>
      </w:r>
      <w:r w:rsidR="00DB1FB6">
        <w:t>ižetā norādīts, ka lietotu automašīnu pārdošanas gadījumos var tikt sagrozīti patiesie tehniskie rādītāji</w:t>
      </w:r>
      <w:r w:rsidR="00E2662F">
        <w:t xml:space="preserve">, </w:t>
      </w:r>
      <w:r w:rsidR="00DB1FB6">
        <w:t xml:space="preserve">ka </w:t>
      </w:r>
      <w:r w:rsidR="00DB1FB6">
        <w:lastRenderedPageBreak/>
        <w:t>apstākļos, kad patērētāji pieņem, ka automašīn</w:t>
      </w:r>
      <w:r w:rsidR="00EF3FDF">
        <w:t>u</w:t>
      </w:r>
      <w:r w:rsidR="00DB1FB6">
        <w:t xml:space="preserve"> pārdo</w:t>
      </w:r>
      <w:r w:rsidR="00EF3FDF">
        <w:t>d</w:t>
      </w:r>
      <w:r w:rsidR="00DB1FB6">
        <w:t xml:space="preserve"> sabiedrībā pazīstama persona, patērētāji pārdevēja norādīto informāciju pieņem, to nepārbaudot. </w:t>
      </w:r>
      <w:r w:rsidR="00E2662F">
        <w:t>P</w:t>
      </w:r>
      <w:r w:rsidR="00DB1FB6">
        <w:t>atērētāji tiek aicināti noskaidrot visu informāciju</w:t>
      </w:r>
      <w:r w:rsidR="00E2662F">
        <w:t xml:space="preserve">. </w:t>
      </w:r>
      <w:r w:rsidR="00E31850">
        <w:t>Apgabalt</w:t>
      </w:r>
      <w:r w:rsidR="00E2662F">
        <w:t>iesa s</w:t>
      </w:r>
      <w:r w:rsidR="00DB1FB6">
        <w:t>ecin</w:t>
      </w:r>
      <w:r w:rsidR="00E2662F">
        <w:t>āja</w:t>
      </w:r>
      <w:r w:rsidR="00DB1FB6">
        <w:t xml:space="preserve">, ka sižets tika izveidots un </w:t>
      </w:r>
      <w:r w:rsidR="00EF3FDF">
        <w:t>ir pieejams</w:t>
      </w:r>
      <w:r w:rsidR="00DB1FB6">
        <w:t>, lai sabiedrības interesēs īstenotu centra normatīvajos aktos paredzētos uzdevumus un funkcijas</w:t>
      </w:r>
      <w:r w:rsidR="00E31850">
        <w:t>. I</w:t>
      </w:r>
      <w:r w:rsidR="00DB1FB6">
        <w:t>r konstatējams</w:t>
      </w:r>
      <w:r w:rsidR="006A1BC4">
        <w:t xml:space="preserve"> Eiropas Parlamenta un Padomes 2016.gada 27.aprīļa regulas (ES) 2016/679 par fizisku personu aizsardzību attiecībā uz personu datu apstrādi un šādu datu brīvu apriti un ar ko atceļ direktīvu 95/46/EK (turpmāk – Datu regula)</w:t>
      </w:r>
      <w:r w:rsidR="00DB1FB6">
        <w:t xml:space="preserve"> 6.panta 1.punkta </w:t>
      </w:r>
      <w:r w:rsidR="004B47FF" w:rsidRPr="00E439CA">
        <w:rPr>
          <w:bCs/>
          <w:lang w:val="af-ZA"/>
        </w:rPr>
        <w:t>„</w:t>
      </w:r>
      <w:r w:rsidR="00DB1FB6">
        <w:t>e” apakšpunkta gadījums</w:t>
      </w:r>
      <w:r w:rsidR="00F86CD7">
        <w:t>. Proti,</w:t>
      </w:r>
      <w:r w:rsidR="00F86CD7" w:rsidRPr="00F86CD7">
        <w:t xml:space="preserve"> apstrāde ir vajadzīga, lai izpildītu uzdevumu, ko veic sabiedrības interesēs vai īstenojot pārzinim likumīgi piešķirtās oficiālās pilnvaras</w:t>
      </w:r>
      <w:r w:rsidR="00F86CD7">
        <w:t>.</w:t>
      </w:r>
    </w:p>
    <w:p w14:paraId="544A7D23" w14:textId="77777777" w:rsidR="00186485" w:rsidRPr="005065DD" w:rsidRDefault="00186485" w:rsidP="00D4252D">
      <w:pPr>
        <w:spacing w:line="276" w:lineRule="auto"/>
        <w:ind w:firstLine="567"/>
        <w:jc w:val="both"/>
        <w:rPr>
          <w:rFonts w:ascii="TimesNewRomanPSMT" w:hAnsi="TimesNewRomanPSMT" w:cs="TimesNewRomanPSMT"/>
          <w:color w:val="000000"/>
        </w:rPr>
      </w:pPr>
    </w:p>
    <w:p w14:paraId="0CAAA450" w14:textId="664F3264" w:rsidR="00AA5272" w:rsidRDefault="00180127" w:rsidP="00D4252D">
      <w:pPr>
        <w:spacing w:line="276" w:lineRule="auto"/>
        <w:ind w:firstLine="567"/>
        <w:jc w:val="both"/>
        <w:rPr>
          <w:lang w:eastAsia="lv-LV"/>
        </w:rPr>
      </w:pPr>
      <w:r w:rsidRPr="005065DD">
        <w:t>[</w:t>
      </w:r>
      <w:r w:rsidR="008C5606">
        <w:t>3</w:t>
      </w:r>
      <w:r w:rsidRPr="005065DD">
        <w:t xml:space="preserve">] Par spriedumu </w:t>
      </w:r>
      <w:r w:rsidR="00F77B84" w:rsidRPr="005065DD">
        <w:t>pieteicēj</w:t>
      </w:r>
      <w:r w:rsidR="008C5606">
        <w:t>s</w:t>
      </w:r>
      <w:r w:rsidRPr="005065DD">
        <w:t xml:space="preserve"> iesnie</w:t>
      </w:r>
      <w:r w:rsidR="008C5606">
        <w:t>dzis</w:t>
      </w:r>
      <w:r w:rsidRPr="005065DD">
        <w:t xml:space="preserve"> kasācijas sūdzību</w:t>
      </w:r>
      <w:r w:rsidR="00186485" w:rsidRPr="005065DD">
        <w:t xml:space="preserve">. Kasācijas sūdzībā </w:t>
      </w:r>
      <w:r w:rsidR="00432779" w:rsidRPr="005065DD">
        <w:t>norādīt</w:t>
      </w:r>
      <w:r w:rsidR="007A73EA" w:rsidRPr="005065DD">
        <w:t>s, ka a</w:t>
      </w:r>
      <w:r w:rsidR="00AA5272" w:rsidRPr="005065DD">
        <w:rPr>
          <w:bCs/>
        </w:rPr>
        <w:t xml:space="preserve">pgabaltiesa </w:t>
      </w:r>
      <w:r w:rsidR="00F86CD7" w:rsidRPr="00FD7D16">
        <w:rPr>
          <w:lang w:eastAsia="lv-LV"/>
        </w:rPr>
        <w:t>nepareizi interpretēj</w:t>
      </w:r>
      <w:r w:rsidR="00F86CD7">
        <w:rPr>
          <w:lang w:eastAsia="lv-LV"/>
        </w:rPr>
        <w:t>usi</w:t>
      </w:r>
      <w:r w:rsidR="00F86CD7" w:rsidRPr="00FD7D16">
        <w:rPr>
          <w:lang w:eastAsia="lv-LV"/>
        </w:rPr>
        <w:t xml:space="preserve"> Datu regulas 6.panta 1.punkta </w:t>
      </w:r>
      <w:r w:rsidR="0094079C" w:rsidRPr="00E439CA">
        <w:rPr>
          <w:bCs/>
          <w:lang w:val="af-ZA"/>
        </w:rPr>
        <w:t>„</w:t>
      </w:r>
      <w:r w:rsidR="00F86CD7" w:rsidRPr="00FD7D16">
        <w:rPr>
          <w:lang w:eastAsia="lv-LV"/>
        </w:rPr>
        <w:t>e” apakšpunktu</w:t>
      </w:r>
      <w:r w:rsidR="00F86CD7">
        <w:rPr>
          <w:lang w:eastAsia="lv-LV"/>
        </w:rPr>
        <w:t xml:space="preserve">. Šī norma neļauj </w:t>
      </w:r>
      <w:r w:rsidR="00AB6C6D">
        <w:rPr>
          <w:lang w:eastAsia="lv-LV"/>
        </w:rPr>
        <w:t xml:space="preserve">apstrādāt </w:t>
      </w:r>
      <w:r w:rsidR="00F86CD7">
        <w:rPr>
          <w:lang w:eastAsia="lv-LV"/>
        </w:rPr>
        <w:t>pieteicēja datu</w:t>
      </w:r>
      <w:r w:rsidR="00AB6C6D">
        <w:rPr>
          <w:lang w:eastAsia="lv-LV"/>
        </w:rPr>
        <w:t>s</w:t>
      </w:r>
      <w:r w:rsidR="00F86CD7">
        <w:rPr>
          <w:lang w:eastAsia="lv-LV"/>
        </w:rPr>
        <w:t xml:space="preserve"> bez viņa piekrišanas tā</w:t>
      </w:r>
      <w:r w:rsidR="00E31850">
        <w:rPr>
          <w:lang w:eastAsia="lv-LV"/>
        </w:rPr>
        <w:t>,</w:t>
      </w:r>
      <w:r w:rsidR="00F86CD7">
        <w:rPr>
          <w:lang w:eastAsia="lv-LV"/>
        </w:rPr>
        <w:t xml:space="preserve"> kā</w:t>
      </w:r>
      <w:r w:rsidR="00E31850">
        <w:rPr>
          <w:lang w:eastAsia="lv-LV"/>
        </w:rPr>
        <w:t xml:space="preserve"> tas</w:t>
      </w:r>
      <w:r w:rsidR="00F86CD7">
        <w:rPr>
          <w:lang w:eastAsia="lv-LV"/>
        </w:rPr>
        <w:t xml:space="preserve"> </w:t>
      </w:r>
      <w:r w:rsidR="00E31850">
        <w:rPr>
          <w:lang w:eastAsia="lv-LV"/>
        </w:rPr>
        <w:t>darīts</w:t>
      </w:r>
      <w:r w:rsidR="00F86CD7">
        <w:rPr>
          <w:lang w:eastAsia="lv-LV"/>
        </w:rPr>
        <w:t xml:space="preserve"> sižetā. Minēto </w:t>
      </w:r>
      <w:r w:rsidR="00F86CD7" w:rsidRPr="00F86CD7">
        <w:rPr>
          <w:lang w:eastAsia="lv-LV"/>
        </w:rPr>
        <w:t>apakšpunkt</w:t>
      </w:r>
      <w:r w:rsidR="00F86CD7">
        <w:rPr>
          <w:lang w:eastAsia="lv-LV"/>
        </w:rPr>
        <w:t>u var piemērot</w:t>
      </w:r>
      <w:r w:rsidR="00F86CD7" w:rsidRPr="00F86CD7">
        <w:rPr>
          <w:lang w:eastAsia="lv-LV"/>
        </w:rPr>
        <w:t>, ka</w:t>
      </w:r>
      <w:r w:rsidR="00F86CD7">
        <w:rPr>
          <w:lang w:eastAsia="lv-LV"/>
        </w:rPr>
        <w:t>d</w:t>
      </w:r>
      <w:r w:rsidR="00F86CD7" w:rsidRPr="00F86CD7">
        <w:rPr>
          <w:lang w:eastAsia="lv-LV"/>
        </w:rPr>
        <w:t xml:space="preserve"> pārzinis </w:t>
      </w:r>
      <w:r w:rsidR="00E039C3" w:rsidRPr="00F86CD7">
        <w:rPr>
          <w:lang w:eastAsia="lv-LV"/>
        </w:rPr>
        <w:t xml:space="preserve">bez personas datu apstrādes </w:t>
      </w:r>
      <w:r w:rsidR="00F86CD7" w:rsidRPr="00F86CD7">
        <w:rPr>
          <w:lang w:eastAsia="lv-LV"/>
        </w:rPr>
        <w:t>nemaz nespē</w:t>
      </w:r>
      <w:r w:rsidR="00F86CD7">
        <w:rPr>
          <w:lang w:eastAsia="lv-LV"/>
        </w:rPr>
        <w:t>j</w:t>
      </w:r>
      <w:r w:rsidR="00F86CD7" w:rsidRPr="00F86CD7">
        <w:rPr>
          <w:lang w:eastAsia="lv-LV"/>
        </w:rPr>
        <w:t xml:space="preserve"> izpildīt savu uzdevumu sabiedrības interesēs vai</w:t>
      </w:r>
      <w:r w:rsidR="00721712">
        <w:rPr>
          <w:lang w:eastAsia="lv-LV"/>
        </w:rPr>
        <w:t>,</w:t>
      </w:r>
      <w:r w:rsidR="00F86CD7" w:rsidRPr="00F86CD7">
        <w:rPr>
          <w:lang w:eastAsia="lv-LV"/>
        </w:rPr>
        <w:t xml:space="preserve"> īstenojot tam piešķirtās pilnvaras</w:t>
      </w:r>
      <w:r w:rsidR="00721712">
        <w:rPr>
          <w:lang w:eastAsia="lv-LV"/>
        </w:rPr>
        <w:t xml:space="preserve">, piemēram, kā tas būtu </w:t>
      </w:r>
      <w:r w:rsidR="00F86CD7" w:rsidRPr="00F86CD7">
        <w:rPr>
          <w:lang w:eastAsia="lv-LV"/>
        </w:rPr>
        <w:t>ārstniecības pakalpojumu sniegšan</w:t>
      </w:r>
      <w:r w:rsidR="00721712">
        <w:rPr>
          <w:lang w:eastAsia="lv-LV"/>
        </w:rPr>
        <w:t>as</w:t>
      </w:r>
      <w:r w:rsidR="00F86CD7" w:rsidRPr="00F86CD7">
        <w:rPr>
          <w:lang w:eastAsia="lv-LV"/>
        </w:rPr>
        <w:t>, valsts un sociālo pabalstu piešķiršan</w:t>
      </w:r>
      <w:r w:rsidR="00721712">
        <w:rPr>
          <w:lang w:eastAsia="lv-LV"/>
        </w:rPr>
        <w:t>as</w:t>
      </w:r>
      <w:r w:rsidR="00F86CD7" w:rsidRPr="00F86CD7">
        <w:rPr>
          <w:lang w:eastAsia="lv-LV"/>
        </w:rPr>
        <w:t>, tiesību aizsardzības iestāžu darbību</w:t>
      </w:r>
      <w:r w:rsidR="00721712">
        <w:rPr>
          <w:lang w:eastAsia="lv-LV"/>
        </w:rPr>
        <w:t xml:space="preserve"> gadījumā. Konkrētais gadījums tāds nav. </w:t>
      </w:r>
      <w:r w:rsidR="000D145F">
        <w:rPr>
          <w:lang w:eastAsia="lv-LV"/>
        </w:rPr>
        <w:t>Pieteicējs uzskata, ka tas</w:t>
      </w:r>
      <w:r w:rsidR="00721712">
        <w:rPr>
          <w:lang w:eastAsia="lv-LV"/>
        </w:rPr>
        <w:t>, ka sižetā tiek paskaidrots, ka tā ir tikai spēle</w:t>
      </w:r>
      <w:r w:rsidR="000D145F">
        <w:rPr>
          <w:lang w:eastAsia="lv-LV"/>
        </w:rPr>
        <w:t>, nav būtiski</w:t>
      </w:r>
      <w:r w:rsidR="00721712">
        <w:rPr>
          <w:lang w:eastAsia="lv-LV"/>
        </w:rPr>
        <w:t xml:space="preserve">. </w:t>
      </w:r>
      <w:r w:rsidR="00721712" w:rsidRPr="00721712">
        <w:rPr>
          <w:lang w:eastAsia="lv-LV"/>
        </w:rPr>
        <w:t>Informācija par personu un tās datu aizsardzība ietilpst tiesību uz privātās dzīves neaizskaramību tvērumā</w:t>
      </w:r>
      <w:r w:rsidR="00721712">
        <w:rPr>
          <w:lang w:eastAsia="lv-LV"/>
        </w:rPr>
        <w:t xml:space="preserve">. Pieteicējs nepiekrīt, ka viņa datu apstrāde ir samērīga ar </w:t>
      </w:r>
      <w:r w:rsidR="00E039C3">
        <w:rPr>
          <w:lang w:eastAsia="lv-LV"/>
        </w:rPr>
        <w:t xml:space="preserve">centra </w:t>
      </w:r>
      <w:r w:rsidR="00721712">
        <w:rPr>
          <w:lang w:eastAsia="lv-LV"/>
        </w:rPr>
        <w:t>izvirzīto mērķi.</w:t>
      </w:r>
      <w:r w:rsidR="00D50111">
        <w:rPr>
          <w:lang w:eastAsia="lv-LV"/>
        </w:rPr>
        <w:t xml:space="preserve"> Tas vien, ka persona ir sabiedrībā zināma, nenozīmē, ka viņa tēlu</w:t>
      </w:r>
      <w:r w:rsidR="00E039C3">
        <w:rPr>
          <w:lang w:eastAsia="lv-LV"/>
        </w:rPr>
        <w:t>s</w:t>
      </w:r>
      <w:r w:rsidR="00D50111">
        <w:rPr>
          <w:lang w:eastAsia="lv-LV"/>
        </w:rPr>
        <w:t xml:space="preserve"> var izmantot bez viņa</w:t>
      </w:r>
      <w:r w:rsidR="00E039C3">
        <w:rPr>
          <w:lang w:eastAsia="lv-LV"/>
        </w:rPr>
        <w:t>s</w:t>
      </w:r>
      <w:r w:rsidR="00D50111">
        <w:rPr>
          <w:lang w:eastAsia="lv-LV"/>
        </w:rPr>
        <w:t xml:space="preserve"> piekrišanas.</w:t>
      </w:r>
    </w:p>
    <w:p w14:paraId="39E816B0" w14:textId="0071E163" w:rsidR="00D50111" w:rsidRDefault="00D50111" w:rsidP="00D4252D">
      <w:pPr>
        <w:spacing w:line="276" w:lineRule="auto"/>
        <w:ind w:firstLine="567"/>
        <w:jc w:val="both"/>
        <w:rPr>
          <w:lang w:eastAsia="lv-LV"/>
        </w:rPr>
      </w:pPr>
      <w:r>
        <w:rPr>
          <w:lang w:eastAsia="lv-LV"/>
        </w:rPr>
        <w:t xml:space="preserve">Pieteicēja ieskatā tiesai bija jāpiemēro </w:t>
      </w:r>
      <w:r w:rsidRPr="00D50111">
        <w:rPr>
          <w:lang w:eastAsia="lv-LV"/>
        </w:rPr>
        <w:t>Datu regulas 21.panta pirmo daļu</w:t>
      </w:r>
      <w:r>
        <w:rPr>
          <w:lang w:eastAsia="lv-LV"/>
        </w:rPr>
        <w:t xml:space="preserve"> atbilstoši kurai </w:t>
      </w:r>
      <w:r w:rsidRPr="00D50111">
        <w:rPr>
          <w:lang w:eastAsia="lv-LV"/>
        </w:rPr>
        <w:t xml:space="preserve">datu subjektam ir tiesības iebilst pret datu apstrādi, kas pamatojas uz 6. panta 1. punkta </w:t>
      </w:r>
      <w:r w:rsidR="004B47FF" w:rsidRPr="00E439CA">
        <w:rPr>
          <w:bCs/>
          <w:lang w:val="af-ZA"/>
        </w:rPr>
        <w:t>„</w:t>
      </w:r>
      <w:r w:rsidRPr="00D50111">
        <w:rPr>
          <w:lang w:eastAsia="lv-LV"/>
        </w:rPr>
        <w:t>e</w:t>
      </w:r>
      <w:r>
        <w:rPr>
          <w:lang w:eastAsia="lv-LV"/>
        </w:rPr>
        <w:t>”</w:t>
      </w:r>
      <w:r w:rsidR="00E039C3">
        <w:rPr>
          <w:lang w:eastAsia="lv-LV"/>
        </w:rPr>
        <w:t> </w:t>
      </w:r>
      <w:r w:rsidRPr="00D50111">
        <w:rPr>
          <w:lang w:eastAsia="lv-LV"/>
        </w:rPr>
        <w:t>apakšpunktu</w:t>
      </w:r>
      <w:r>
        <w:rPr>
          <w:lang w:eastAsia="lv-LV"/>
        </w:rPr>
        <w:t>. S</w:t>
      </w:r>
      <w:r w:rsidRPr="00D50111">
        <w:rPr>
          <w:lang w:eastAsia="lv-LV"/>
        </w:rPr>
        <w:t xml:space="preserve">aņemot iebildumu, datus vairs </w:t>
      </w:r>
      <w:r w:rsidR="00D710F9">
        <w:rPr>
          <w:lang w:eastAsia="lv-LV"/>
        </w:rPr>
        <w:t>nedrīkst a</w:t>
      </w:r>
      <w:r w:rsidRPr="00D50111">
        <w:rPr>
          <w:lang w:eastAsia="lv-LV"/>
        </w:rPr>
        <w:t>pstrādā</w:t>
      </w:r>
      <w:r w:rsidR="00D710F9">
        <w:rPr>
          <w:lang w:eastAsia="lv-LV"/>
        </w:rPr>
        <w:t>t</w:t>
      </w:r>
      <w:r w:rsidRPr="00D50111">
        <w:rPr>
          <w:lang w:eastAsia="lv-LV"/>
        </w:rPr>
        <w:t xml:space="preserve">, izņemot, ja </w:t>
      </w:r>
      <w:r w:rsidR="00F25BF8">
        <w:rPr>
          <w:lang w:eastAsia="lv-LV"/>
        </w:rPr>
        <w:t>ir</w:t>
      </w:r>
      <w:r w:rsidRPr="00D50111">
        <w:rPr>
          <w:lang w:eastAsia="lv-LV"/>
        </w:rPr>
        <w:t xml:space="preserve"> pārliecinoši leģitīmi iemesli, kas ir svarīgāki par datu subjekta interesēm</w:t>
      </w:r>
      <w:r>
        <w:rPr>
          <w:lang w:eastAsia="lv-LV"/>
        </w:rPr>
        <w:t>.</w:t>
      </w:r>
      <w:r w:rsidR="00F25BF8">
        <w:rPr>
          <w:lang w:eastAsia="lv-LV"/>
        </w:rPr>
        <w:t xml:space="preserve"> Datu</w:t>
      </w:r>
      <w:r w:rsidR="00F25BF8" w:rsidRPr="00F25BF8">
        <w:rPr>
          <w:lang w:eastAsia="lv-LV"/>
        </w:rPr>
        <w:t xml:space="preserve"> apstrādes mērķis izglītot sabiedrību</w:t>
      </w:r>
      <w:r w:rsidR="00F25BF8">
        <w:rPr>
          <w:lang w:eastAsia="lv-LV"/>
        </w:rPr>
        <w:t xml:space="preserve"> tādā veidā, kā tika darīts,</w:t>
      </w:r>
      <w:r w:rsidR="00F25BF8" w:rsidRPr="00F25BF8">
        <w:rPr>
          <w:lang w:eastAsia="lv-LV"/>
        </w:rPr>
        <w:t xml:space="preserve"> </w:t>
      </w:r>
      <w:r w:rsidR="00F25BF8">
        <w:rPr>
          <w:lang w:eastAsia="lv-LV"/>
        </w:rPr>
        <w:t>nav svarīgāks par pieteicēja interesēm. Pat ja pieteicējs būtu piekritis viņa datu izmantošanai, viņam būtu tiesības pret to iebilst.</w:t>
      </w:r>
    </w:p>
    <w:p w14:paraId="41117AD8" w14:textId="77295966" w:rsidR="00637C18" w:rsidRPr="005065DD" w:rsidRDefault="00637C18" w:rsidP="00D4252D">
      <w:pPr>
        <w:spacing w:line="276" w:lineRule="auto"/>
        <w:ind w:firstLine="567"/>
        <w:jc w:val="both"/>
      </w:pPr>
      <w:r>
        <w:rPr>
          <w:lang w:eastAsia="lv-LV"/>
        </w:rPr>
        <w:t xml:space="preserve">Pieteicējs arī vērsis uzmanību uz vairākiem tiesību principiem, ko viņa ieskatā ir pārkāpusi apgabaltiesa. Kasācijas sūdzībā norādīti arī apsvērumi par </w:t>
      </w:r>
      <w:r w:rsidR="00D4529F">
        <w:rPr>
          <w:lang w:eastAsia="lv-LV"/>
        </w:rPr>
        <w:t>atlīdzinājuma</w:t>
      </w:r>
      <w:r>
        <w:rPr>
          <w:lang w:eastAsia="lv-LV"/>
        </w:rPr>
        <w:t xml:space="preserve"> apmēriem.</w:t>
      </w:r>
      <w:r w:rsidR="004B7FC8">
        <w:rPr>
          <w:lang w:eastAsia="lv-LV"/>
        </w:rPr>
        <w:t xml:space="preserve"> Pieteicējs arī lūdzis atmaksāt tiesvedības gaitā samaksāto valsts nodevu.</w:t>
      </w:r>
    </w:p>
    <w:p w14:paraId="0DC1AD36" w14:textId="5A1EA464" w:rsidR="00D1771A" w:rsidRPr="005065DD" w:rsidRDefault="00D1771A" w:rsidP="00D4252D">
      <w:pPr>
        <w:spacing w:line="276" w:lineRule="auto"/>
        <w:ind w:firstLine="567"/>
        <w:jc w:val="both"/>
        <w:rPr>
          <w:color w:val="000000"/>
        </w:rPr>
      </w:pPr>
    </w:p>
    <w:p w14:paraId="64957DDF" w14:textId="7093FAD8" w:rsidR="00D1771A" w:rsidRPr="005065DD" w:rsidRDefault="009B25D7" w:rsidP="00D4252D">
      <w:pPr>
        <w:spacing w:line="276" w:lineRule="auto"/>
        <w:ind w:firstLine="567"/>
        <w:jc w:val="both"/>
        <w:rPr>
          <w:color w:val="000000"/>
        </w:rPr>
      </w:pPr>
      <w:r w:rsidRPr="005065DD">
        <w:rPr>
          <w:color w:val="000000"/>
        </w:rPr>
        <w:t>[</w:t>
      </w:r>
      <w:r w:rsidR="008C5606">
        <w:rPr>
          <w:color w:val="000000"/>
        </w:rPr>
        <w:t>4</w:t>
      </w:r>
      <w:r w:rsidRPr="005065DD">
        <w:rPr>
          <w:color w:val="000000"/>
        </w:rPr>
        <w:t>] </w:t>
      </w:r>
      <w:r w:rsidR="008C5606">
        <w:t>Centrs</w:t>
      </w:r>
      <w:r w:rsidR="000C51B2" w:rsidRPr="005065DD">
        <w:rPr>
          <w:color w:val="000000"/>
        </w:rPr>
        <w:t xml:space="preserve"> ir iesnie</w:t>
      </w:r>
      <w:r w:rsidR="00186485" w:rsidRPr="005065DD">
        <w:rPr>
          <w:color w:val="000000"/>
        </w:rPr>
        <w:t>dzis</w:t>
      </w:r>
      <w:r w:rsidR="000C51B2" w:rsidRPr="005065DD">
        <w:rPr>
          <w:color w:val="000000"/>
        </w:rPr>
        <w:t xml:space="preserve"> paskaidrojumus</w:t>
      </w:r>
      <w:r w:rsidR="004D7751" w:rsidRPr="005065DD">
        <w:rPr>
          <w:color w:val="000000"/>
        </w:rPr>
        <w:t xml:space="preserve">, kuros norāda, ka </w:t>
      </w:r>
      <w:r w:rsidR="004D7751" w:rsidRPr="005065DD">
        <w:t>uzskata kasācijas sūdzību par nepamatotu</w:t>
      </w:r>
      <w:r w:rsidR="0012395E" w:rsidRPr="005065DD">
        <w:t>,</w:t>
      </w:r>
      <w:r w:rsidR="004D7751" w:rsidRPr="005065DD">
        <w:t xml:space="preserve"> un lūdz Senātu </w:t>
      </w:r>
      <w:r w:rsidR="004B47FF">
        <w:t>pieteicēja lūgumus</w:t>
      </w:r>
      <w:r w:rsidR="004D7751" w:rsidRPr="005065DD">
        <w:t xml:space="preserve"> noraidīt.</w:t>
      </w:r>
      <w:r w:rsidR="00A44494" w:rsidRPr="005065DD">
        <w:t xml:space="preserve"> </w:t>
      </w:r>
    </w:p>
    <w:p w14:paraId="0A074153" w14:textId="77777777" w:rsidR="000A6A6D" w:rsidRPr="005065DD" w:rsidRDefault="000A6A6D" w:rsidP="00D4252D">
      <w:pPr>
        <w:spacing w:line="276" w:lineRule="auto"/>
        <w:jc w:val="both"/>
      </w:pPr>
    </w:p>
    <w:p w14:paraId="66D2CC87" w14:textId="3E7367C7" w:rsidR="000027B8" w:rsidRPr="005065DD" w:rsidRDefault="000027B8" w:rsidP="00D4252D">
      <w:pPr>
        <w:spacing w:line="276" w:lineRule="auto"/>
        <w:jc w:val="center"/>
        <w:rPr>
          <w:b/>
        </w:rPr>
      </w:pPr>
      <w:r w:rsidRPr="005065DD">
        <w:rPr>
          <w:b/>
        </w:rPr>
        <w:t>Motīvu daļa</w:t>
      </w:r>
    </w:p>
    <w:p w14:paraId="3E4E27C0" w14:textId="77777777" w:rsidR="00F22B21" w:rsidRPr="005065DD" w:rsidRDefault="00F22B21" w:rsidP="00D4252D">
      <w:pPr>
        <w:spacing w:line="276" w:lineRule="auto"/>
        <w:jc w:val="center"/>
        <w:rPr>
          <w:b/>
        </w:rPr>
      </w:pPr>
    </w:p>
    <w:p w14:paraId="01D8D27D" w14:textId="3E59B8C6" w:rsidR="005C57AC" w:rsidRDefault="00F22B21" w:rsidP="00D4252D">
      <w:pPr>
        <w:spacing w:line="276" w:lineRule="auto"/>
        <w:ind w:firstLine="567"/>
        <w:jc w:val="both"/>
      </w:pPr>
      <w:r w:rsidRPr="005065DD">
        <w:t>[</w:t>
      </w:r>
      <w:r w:rsidR="008C5606">
        <w:t>5</w:t>
      </w:r>
      <w:r w:rsidR="002C28BB" w:rsidRPr="005065DD">
        <w:t>]</w:t>
      </w:r>
      <w:r w:rsidR="00401684">
        <w:t xml:space="preserve"> </w:t>
      </w:r>
      <w:r w:rsidR="005C57AC">
        <w:t xml:space="preserve">Lietā nav strīda, ka pieteicēja datu izmantošana ir uzskatāma par datu apstrādi Datu regulas izpratnē. No centra paskaidrojumiem arī izriet, ka centrs vairs neiebilst, ka tieši tas konkrētajos apstākļos ir atzīts par datu apstrādātāju. </w:t>
      </w:r>
    </w:p>
    <w:p w14:paraId="760FC2D9" w14:textId="77777777" w:rsidR="005C57AC" w:rsidRDefault="005C57AC" w:rsidP="00D4252D">
      <w:pPr>
        <w:spacing w:line="276" w:lineRule="auto"/>
        <w:ind w:firstLine="567"/>
        <w:jc w:val="both"/>
      </w:pPr>
      <w:r>
        <w:t>Senāts nesaskata kļūdas apgabaltiesas secinājumos par šiem apstākļiem.</w:t>
      </w:r>
      <w:r w:rsidRPr="0013118A">
        <w:t xml:space="preserve"> </w:t>
      </w:r>
    </w:p>
    <w:p w14:paraId="55B2FCF0" w14:textId="250EA7D1" w:rsidR="005C57AC" w:rsidRDefault="005C57AC" w:rsidP="00D4252D">
      <w:pPr>
        <w:spacing w:line="276" w:lineRule="auto"/>
        <w:ind w:firstLine="567"/>
        <w:jc w:val="both"/>
      </w:pPr>
      <w:r>
        <w:t>Lietā arī nav strīda, ka centram ir jāinformē sabiedrība par aktuāliem jautājumiem patērētāju tiesību jomā un tas ir svarīgs valsts uzdevums.</w:t>
      </w:r>
    </w:p>
    <w:p w14:paraId="36594814" w14:textId="592021DA" w:rsidR="005C57AC" w:rsidRDefault="005C57AC" w:rsidP="00D4252D">
      <w:pPr>
        <w:spacing w:line="276" w:lineRule="auto"/>
        <w:ind w:firstLine="567"/>
        <w:jc w:val="both"/>
      </w:pPr>
      <w:r w:rsidRPr="005065DD">
        <w:t xml:space="preserve">Lietā ir strīds par to, </w:t>
      </w:r>
      <w:r>
        <w:t xml:space="preserve">kā interpretējams </w:t>
      </w:r>
      <w:r w:rsidRPr="00FD7D16">
        <w:rPr>
          <w:lang w:eastAsia="lv-LV"/>
        </w:rPr>
        <w:t xml:space="preserve">Datu regulas 6.panta 1.punkta </w:t>
      </w:r>
      <w:r w:rsidRPr="00E439CA">
        <w:rPr>
          <w:bCs/>
          <w:lang w:val="af-ZA"/>
        </w:rPr>
        <w:t>„</w:t>
      </w:r>
      <w:r w:rsidRPr="00FD7D16">
        <w:rPr>
          <w:lang w:eastAsia="lv-LV"/>
        </w:rPr>
        <w:t>e” apakšpunkt</w:t>
      </w:r>
      <w:r>
        <w:rPr>
          <w:lang w:eastAsia="lv-LV"/>
        </w:rPr>
        <w:t xml:space="preserve">s, atbilstoši kuram datu apstrāde ir tiesiska tikai tādā apmērā un tikai tad, ja apstrāde ir vajadzīga, lai </w:t>
      </w:r>
      <w:r w:rsidRPr="00F86CD7">
        <w:t xml:space="preserve">izpildītu uzdevumu, ko veic sabiedrības interesēs vai īstenojot pārzinim </w:t>
      </w:r>
      <w:r>
        <w:t xml:space="preserve">tiesiski </w:t>
      </w:r>
      <w:r w:rsidRPr="00F86CD7">
        <w:t>piešķirtās pilnvaras</w:t>
      </w:r>
      <w:r>
        <w:t>.</w:t>
      </w:r>
    </w:p>
    <w:p w14:paraId="34033BE6" w14:textId="77777777" w:rsidR="005C57AC" w:rsidRDefault="005C57AC" w:rsidP="00D4252D">
      <w:pPr>
        <w:spacing w:line="276" w:lineRule="auto"/>
        <w:ind w:firstLine="567"/>
        <w:jc w:val="both"/>
      </w:pPr>
    </w:p>
    <w:p w14:paraId="24B705C4" w14:textId="32AAEACE" w:rsidR="00AB1369" w:rsidRDefault="005C57AC" w:rsidP="00D4252D">
      <w:pPr>
        <w:spacing w:line="276" w:lineRule="auto"/>
        <w:ind w:firstLine="567"/>
        <w:jc w:val="both"/>
      </w:pPr>
      <w:r>
        <w:t xml:space="preserve">[6] </w:t>
      </w:r>
      <w:r w:rsidR="00A41DC9">
        <w:t>No apgabaltiesas argumentiem</w:t>
      </w:r>
      <w:r w:rsidR="000D145F">
        <w:t>, tos apkopojot,</w:t>
      </w:r>
      <w:r w:rsidR="00A41DC9">
        <w:t xml:space="preserve"> faktiski izriet, ka</w:t>
      </w:r>
      <w:r w:rsidR="007908F4">
        <w:t xml:space="preserve"> </w:t>
      </w:r>
      <w:r w:rsidRPr="00FD7D16">
        <w:rPr>
          <w:lang w:eastAsia="lv-LV"/>
        </w:rPr>
        <w:t xml:space="preserve">Datu regulas 6.panta 1.punkta </w:t>
      </w:r>
      <w:r w:rsidRPr="00E439CA">
        <w:rPr>
          <w:bCs/>
          <w:lang w:val="af-ZA"/>
        </w:rPr>
        <w:t>„</w:t>
      </w:r>
      <w:r w:rsidRPr="00FD7D16">
        <w:rPr>
          <w:lang w:eastAsia="lv-LV"/>
        </w:rPr>
        <w:t>e” apakšpunkt</w:t>
      </w:r>
      <w:r w:rsidR="005D41F2">
        <w:rPr>
          <w:lang w:eastAsia="lv-LV"/>
        </w:rPr>
        <w:t>s</w:t>
      </w:r>
      <w:r>
        <w:rPr>
          <w:lang w:eastAsia="lv-LV"/>
        </w:rPr>
        <w:t xml:space="preserve"> pieļauj apstrādāt </w:t>
      </w:r>
      <w:r>
        <w:t xml:space="preserve">personas datus arī bez personas piekrišanas </w:t>
      </w:r>
      <w:r w:rsidR="007908F4">
        <w:t>t</w:t>
      </w:r>
      <w:r>
        <w:t xml:space="preserve">āpēc </w:t>
      </w:r>
      <w:r w:rsidR="007908F4">
        <w:t>vien</w:t>
      </w:r>
      <w:r w:rsidR="00A41DC9">
        <w:t xml:space="preserve">, </w:t>
      </w:r>
      <w:r w:rsidR="007908F4">
        <w:t>ka</w:t>
      </w:r>
      <w:r w:rsidR="00A41DC9">
        <w:t xml:space="preserve"> datu pārzinis (konkrētajā gadījumā – centrs) rīko</w:t>
      </w:r>
      <w:r w:rsidR="007908F4">
        <w:t>jas</w:t>
      </w:r>
      <w:r w:rsidR="00A41DC9">
        <w:t>, pildot savus uzdevumus</w:t>
      </w:r>
      <w:r w:rsidR="00BB27F4">
        <w:t xml:space="preserve"> sabiedrības interesēs.</w:t>
      </w:r>
    </w:p>
    <w:p w14:paraId="0D2639EA" w14:textId="27BD6884" w:rsidR="0013118A" w:rsidRDefault="008A10F8" w:rsidP="00D4252D">
      <w:pPr>
        <w:spacing w:line="276" w:lineRule="auto"/>
        <w:ind w:firstLine="567"/>
        <w:jc w:val="both"/>
      </w:pPr>
      <w:r>
        <w:t>Kasators uzskata</w:t>
      </w:r>
      <w:r w:rsidR="00BB27F4">
        <w:t>, ka šāda minētās normas interpretācija nav pareiza</w:t>
      </w:r>
      <w:r w:rsidR="00A41DC9">
        <w:t>.</w:t>
      </w:r>
    </w:p>
    <w:p w14:paraId="04C6CFED" w14:textId="77777777" w:rsidR="00AB1369" w:rsidRDefault="00AB1369" w:rsidP="00D4252D">
      <w:pPr>
        <w:spacing w:line="276" w:lineRule="auto"/>
        <w:ind w:firstLine="567"/>
        <w:jc w:val="both"/>
      </w:pPr>
      <w:r>
        <w:t xml:space="preserve">[7] </w:t>
      </w:r>
      <w:r w:rsidR="0013118A">
        <w:t>Senāts</w:t>
      </w:r>
      <w:r>
        <w:t xml:space="preserve"> piekrīt apgabaltiesai, ka uzdevumu izpilde sabiedrības interesēs ir viens no regulā minētajiem pamatiem personas datu apstrādei arī tad, ja persona piekrišanu nav devusi.</w:t>
      </w:r>
    </w:p>
    <w:p w14:paraId="791B3B03" w14:textId="060EAF89" w:rsidR="00AB1369" w:rsidRPr="00AB1369" w:rsidRDefault="00AB1369" w:rsidP="00D4252D">
      <w:pPr>
        <w:spacing w:line="276" w:lineRule="auto"/>
        <w:ind w:firstLine="567"/>
        <w:jc w:val="both"/>
      </w:pPr>
      <w:r>
        <w:t xml:space="preserve">Taču ar to vien nav pietiekami. Norma ietver arī papildu noteikumus: </w:t>
      </w:r>
      <w:r>
        <w:rPr>
          <w:lang w:eastAsia="lv-LV"/>
        </w:rPr>
        <w:t xml:space="preserve">datu apstrāde ir tiesiska </w:t>
      </w:r>
      <w:r w:rsidRPr="00AB1369">
        <w:rPr>
          <w:i/>
          <w:iCs/>
          <w:lang w:eastAsia="lv-LV"/>
        </w:rPr>
        <w:t>tikai tādā apmērā</w:t>
      </w:r>
      <w:r>
        <w:rPr>
          <w:lang w:eastAsia="lv-LV"/>
        </w:rPr>
        <w:t xml:space="preserve"> un tikai tad, ja apstrāde </w:t>
      </w:r>
      <w:r w:rsidRPr="00AB1369">
        <w:rPr>
          <w:i/>
          <w:iCs/>
          <w:lang w:eastAsia="lv-LV"/>
        </w:rPr>
        <w:t>ir vajadzīga</w:t>
      </w:r>
      <w:r>
        <w:rPr>
          <w:lang w:eastAsia="lv-LV"/>
        </w:rPr>
        <w:t>.</w:t>
      </w:r>
    </w:p>
    <w:p w14:paraId="31CF1292" w14:textId="285F4E12" w:rsidR="00E6130C" w:rsidRDefault="00E6130C" w:rsidP="00D4252D">
      <w:pPr>
        <w:spacing w:line="276" w:lineRule="auto"/>
        <w:ind w:firstLine="567"/>
        <w:jc w:val="both"/>
      </w:pPr>
      <w:r>
        <w:t>Datu regulas</w:t>
      </w:r>
      <w:r w:rsidR="00B97693" w:rsidRPr="00B97693">
        <w:t xml:space="preserve"> 39.apsvērumā</w:t>
      </w:r>
      <w:r w:rsidR="00190688">
        <w:t xml:space="preserve"> uzsvērts</w:t>
      </w:r>
      <w:r w:rsidR="00B97693" w:rsidRPr="00B97693">
        <w:t>,</w:t>
      </w:r>
      <w:r>
        <w:t xml:space="preserve"> </w:t>
      </w:r>
      <w:r w:rsidR="00190688">
        <w:t>ka p</w:t>
      </w:r>
      <w:r w:rsidRPr="00E6130C">
        <w:t>ersonas datiem vajadzētu būt adekvātiem, atbilstīgiem, un tiem būtu jāietver tikai tas, kas nepieciešams t</w:t>
      </w:r>
      <w:r w:rsidR="00E039C3">
        <w:t>a</w:t>
      </w:r>
      <w:r w:rsidR="0049281B">
        <w:t>m</w:t>
      </w:r>
      <w:r w:rsidRPr="00E6130C">
        <w:t xml:space="preserve"> nolūk</w:t>
      </w:r>
      <w:r w:rsidR="00E039C3">
        <w:t>a</w:t>
      </w:r>
      <w:r w:rsidRPr="00E6130C">
        <w:t>m, kād</w:t>
      </w:r>
      <w:r w:rsidR="00E039C3">
        <w:t>am</w:t>
      </w:r>
      <w:r w:rsidRPr="00E6130C">
        <w:t xml:space="preserve"> tie tiek apstrādāti. Personas dati</w:t>
      </w:r>
      <w:r w:rsidR="00362C86">
        <w:t xml:space="preserve">, </w:t>
      </w:r>
      <w:r w:rsidR="00362C86" w:rsidRPr="00362C86">
        <w:t>k</w:t>
      </w:r>
      <w:r w:rsidR="00362C86">
        <w:t>uru apstrādei</w:t>
      </w:r>
      <w:r w:rsidR="00362C86" w:rsidRPr="00362C86">
        <w:t xml:space="preserve"> persona </w:t>
      </w:r>
      <w:r w:rsidR="00362C86">
        <w:t>nav</w:t>
      </w:r>
      <w:r w:rsidR="00362C86" w:rsidRPr="00362C86">
        <w:t xml:space="preserve"> devusi piekrišanu</w:t>
      </w:r>
      <w:r w:rsidR="00362C86">
        <w:t>,</w:t>
      </w:r>
      <w:r w:rsidRPr="00E6130C">
        <w:t xml:space="preserve"> būtu jāapstrādā tikai tad, ja apstrādes nolūku nav iespējams pienācīgi sasniegt </w:t>
      </w:r>
      <w:r w:rsidR="00362C86">
        <w:t xml:space="preserve">ar </w:t>
      </w:r>
      <w:r w:rsidRPr="00E6130C">
        <w:t xml:space="preserve">citiem līdzekļiem. </w:t>
      </w:r>
    </w:p>
    <w:p w14:paraId="12DF1C4B" w14:textId="08A728E8" w:rsidR="00930D90" w:rsidRDefault="00E6130C" w:rsidP="00D4252D">
      <w:pPr>
        <w:spacing w:line="276" w:lineRule="auto"/>
        <w:ind w:firstLine="567"/>
        <w:jc w:val="both"/>
      </w:pPr>
      <w:r>
        <w:t xml:space="preserve">Kā, interpretējot Datu regulas </w:t>
      </w:r>
      <w:r w:rsidRPr="00FD7D16">
        <w:rPr>
          <w:lang w:eastAsia="lv-LV"/>
        </w:rPr>
        <w:t xml:space="preserve">6.panta 1.punkta </w:t>
      </w:r>
      <w:r w:rsidRPr="00E439CA">
        <w:rPr>
          <w:bCs/>
          <w:lang w:val="af-ZA"/>
        </w:rPr>
        <w:t>„</w:t>
      </w:r>
      <w:r w:rsidRPr="00FD7D16">
        <w:rPr>
          <w:lang w:eastAsia="lv-LV"/>
        </w:rPr>
        <w:t>e” apakšpunkt</w:t>
      </w:r>
      <w:r>
        <w:rPr>
          <w:lang w:eastAsia="lv-LV"/>
        </w:rPr>
        <w:t>ā ietverto normu,</w:t>
      </w:r>
      <w:r>
        <w:t xml:space="preserve"> norādījusi Eiropas Savienības Tiesa,</w:t>
      </w:r>
      <w:r w:rsidR="00B97693" w:rsidRPr="00B97693">
        <w:t xml:space="preserve"> </w:t>
      </w:r>
      <w:r w:rsidR="007C6F88">
        <w:t>apstrādā</w:t>
      </w:r>
      <w:r w:rsidR="005762C1">
        <w:t>jot</w:t>
      </w:r>
      <w:r w:rsidR="007C6F88">
        <w:t xml:space="preserve"> </w:t>
      </w:r>
      <w:r w:rsidR="005704EA">
        <w:t>datu</w:t>
      </w:r>
      <w:r w:rsidR="007C6F88">
        <w:t>s</w:t>
      </w:r>
      <w:r w:rsidR="005704EA">
        <w:t xml:space="preserve">, </w:t>
      </w:r>
      <w:r w:rsidR="007C6F88">
        <w:t xml:space="preserve">pamatojoties uz </w:t>
      </w:r>
      <w:r w:rsidR="005704EA">
        <w:t xml:space="preserve">uzdevumu </w:t>
      </w:r>
      <w:r w:rsidR="007C6F88">
        <w:t xml:space="preserve">pildīšanu, jāraugās, lai </w:t>
      </w:r>
      <w:r w:rsidR="005704EA">
        <w:t xml:space="preserve">netiktu </w:t>
      </w:r>
      <w:r w:rsidR="005704EA" w:rsidRPr="005704EA">
        <w:t>pārsnie</w:t>
      </w:r>
      <w:r w:rsidR="005704EA">
        <w:t>gts</w:t>
      </w:r>
      <w:r w:rsidR="005704EA" w:rsidRPr="005704EA">
        <w:t xml:space="preserve"> t</w:t>
      </w:r>
      <w:r w:rsidR="005704EA">
        <w:t>as</w:t>
      </w:r>
      <w:r w:rsidR="005704EA" w:rsidRPr="005704EA">
        <w:t xml:space="preserve">, kas ir nepieciešams mērķa sasniegšanai. </w:t>
      </w:r>
      <w:r w:rsidR="005704EA">
        <w:t xml:space="preserve">Šī prasība </w:t>
      </w:r>
      <w:r w:rsidR="00B97693" w:rsidRPr="00B97693">
        <w:t>nav izpildīta, ja izvirzīto vispārējo interešu mērķi saprātīgi var sasniegt tikpat efektīvi ar citiem līdzekļiem, kas mazāk aizskartu datu subjektu pamattiesības, it īpaši tiesības uz privātās dzīves neaizskaramību un personas datu aizsardzību</w:t>
      </w:r>
      <w:r w:rsidR="005704EA">
        <w:t>. A</w:t>
      </w:r>
      <w:r w:rsidR="00B97693" w:rsidRPr="00B97693">
        <w:t>tkāp</w:t>
      </w:r>
      <w:r w:rsidR="000874EA">
        <w:t>ties</w:t>
      </w:r>
      <w:r w:rsidR="00B97693" w:rsidRPr="00B97693">
        <w:t xml:space="preserve"> no šād</w:t>
      </w:r>
      <w:r w:rsidR="000874EA">
        <w:t>a</w:t>
      </w:r>
      <w:r w:rsidR="00B97693" w:rsidRPr="00B97693">
        <w:t xml:space="preserve"> datu aizsardzības principa </w:t>
      </w:r>
      <w:r w:rsidR="000874EA">
        <w:t xml:space="preserve">var </w:t>
      </w:r>
      <w:r w:rsidR="00B97693" w:rsidRPr="00B97693">
        <w:t>tikai tiktāl, cik tas ir strikti nepieciešams</w:t>
      </w:r>
      <w:r w:rsidR="005704EA">
        <w:t xml:space="preserve"> (</w:t>
      </w:r>
      <w:r w:rsidR="005704EA" w:rsidRPr="000874EA">
        <w:rPr>
          <w:i/>
          <w:iCs/>
        </w:rPr>
        <w:t>Eiropas Savienības Tiesa</w:t>
      </w:r>
      <w:r w:rsidR="000874EA" w:rsidRPr="000874EA">
        <w:rPr>
          <w:i/>
          <w:iCs/>
        </w:rPr>
        <w:t>s</w:t>
      </w:r>
      <w:r w:rsidR="000874EA">
        <w:rPr>
          <w:i/>
          <w:iCs/>
        </w:rPr>
        <w:t xml:space="preserve"> 2021.gada 22.jūnija spriedums lietā </w:t>
      </w:r>
      <w:r w:rsidR="0049281B">
        <w:rPr>
          <w:i/>
          <w:iCs/>
        </w:rPr>
        <w:t>„</w:t>
      </w:r>
      <w:r w:rsidR="00101D04" w:rsidRPr="00101D04">
        <w:rPr>
          <w:i/>
          <w:iCs/>
        </w:rPr>
        <w:t>Latvijas Republikas Saeima (Points de pénalité)</w:t>
      </w:r>
      <w:r w:rsidR="0049281B">
        <w:rPr>
          <w:i/>
          <w:iCs/>
        </w:rPr>
        <w:t>”</w:t>
      </w:r>
      <w:r w:rsidR="00101D04">
        <w:rPr>
          <w:i/>
          <w:iCs/>
        </w:rPr>
        <w:t>,</w:t>
      </w:r>
      <w:r w:rsidR="000874EA">
        <w:rPr>
          <w:i/>
          <w:iCs/>
        </w:rPr>
        <w:t xml:space="preserve"> </w:t>
      </w:r>
      <w:r w:rsidR="0049281B">
        <w:rPr>
          <w:i/>
          <w:iCs/>
        </w:rPr>
        <w:t xml:space="preserve">C-439/19, </w:t>
      </w:r>
      <w:r w:rsidR="000874EA" w:rsidRPr="000874EA">
        <w:rPr>
          <w:i/>
          <w:iCs/>
        </w:rPr>
        <w:t>ECLI:EU:C:2021:504</w:t>
      </w:r>
      <w:r w:rsidR="000874EA">
        <w:rPr>
          <w:i/>
          <w:iCs/>
        </w:rPr>
        <w:t>, 109.</w:t>
      </w:r>
      <w:r w:rsidR="002A447E" w:rsidRPr="002A447E">
        <w:rPr>
          <w:i/>
          <w:iCs/>
        </w:rPr>
        <w:t>–</w:t>
      </w:r>
      <w:r w:rsidR="000874EA">
        <w:rPr>
          <w:i/>
          <w:iCs/>
        </w:rPr>
        <w:t>110.punkts</w:t>
      </w:r>
      <w:r w:rsidR="000874EA" w:rsidRPr="0049281B">
        <w:t>)</w:t>
      </w:r>
      <w:r w:rsidR="00101D04">
        <w:rPr>
          <w:i/>
          <w:iCs/>
        </w:rPr>
        <w:t>.</w:t>
      </w:r>
    </w:p>
    <w:p w14:paraId="1DF52789" w14:textId="0550D2D6" w:rsidR="00190688" w:rsidRDefault="00190688" w:rsidP="00D4252D">
      <w:pPr>
        <w:spacing w:line="276" w:lineRule="auto"/>
        <w:ind w:firstLine="567"/>
        <w:jc w:val="both"/>
      </w:pPr>
      <w:r>
        <w:t>Tātad vajadzībai apstrādāt personas datus ir jābūt nepārprotami saistīta</w:t>
      </w:r>
      <w:r w:rsidR="00157E30">
        <w:t>i</w:t>
      </w:r>
      <w:r>
        <w:t xml:space="preserve"> ar mē</w:t>
      </w:r>
      <w:r w:rsidR="007C1BA0">
        <w:t>r</w:t>
      </w:r>
      <w:r>
        <w:t xml:space="preserve">ķa sasniegšanu un datu apstrādātājam uzticētajiem uzdevumiem. Uzdevuma izpilde ir vajadzīga, ja uzdevumu nevarētu izpildīt, neizmantojot tādas personas datus, kas to nevēlas. </w:t>
      </w:r>
    </w:p>
    <w:p w14:paraId="1E4A8386" w14:textId="77777777" w:rsidR="005762C1" w:rsidRDefault="005762C1" w:rsidP="00D4252D">
      <w:pPr>
        <w:spacing w:line="276" w:lineRule="auto"/>
        <w:ind w:firstLine="567"/>
        <w:jc w:val="both"/>
      </w:pPr>
    </w:p>
    <w:p w14:paraId="1F66AAC6" w14:textId="5F4326BC" w:rsidR="004B5CF0" w:rsidRDefault="00101D04" w:rsidP="00D4252D">
      <w:pPr>
        <w:spacing w:line="276" w:lineRule="auto"/>
        <w:ind w:firstLine="567"/>
        <w:jc w:val="both"/>
      </w:pPr>
      <w:r>
        <w:t xml:space="preserve">[8] </w:t>
      </w:r>
      <w:r w:rsidR="00190688">
        <w:t>Tādējādi apgabaltiesas secinājums</w:t>
      </w:r>
      <w:r w:rsidR="005762C1">
        <w:t xml:space="preserve">, </w:t>
      </w:r>
      <w:r w:rsidR="00190688">
        <w:t>ka ir</w:t>
      </w:r>
      <w:r w:rsidR="004B5CF0">
        <w:t xml:space="preserve"> pietiekami</w:t>
      </w:r>
      <w:r w:rsidR="0014709F">
        <w:t xml:space="preserve"> konstatēt</w:t>
      </w:r>
      <w:r w:rsidR="004B5CF0">
        <w:t xml:space="preserve">, ka </w:t>
      </w:r>
      <w:r w:rsidR="0014709F">
        <w:t xml:space="preserve">tiek pildīts </w:t>
      </w:r>
      <w:r w:rsidR="004B5CF0">
        <w:t>uzdevums sabiedrības interesēs</w:t>
      </w:r>
      <w:r w:rsidR="00190688">
        <w:t>, lai bez personas piekrišanas varētu apstrādāt datus, pamatojoties ar sabiedrībai nozīmīgu uzdevumu pildīšanu, nav pareizs</w:t>
      </w:r>
      <w:r w:rsidR="0014709F">
        <w:t xml:space="preserve">. </w:t>
      </w:r>
      <w:r w:rsidR="00C931CD">
        <w:t>Ne</w:t>
      </w:r>
      <w:r w:rsidR="004B5CF0">
        <w:t xml:space="preserve">pieciešams konstatēt </w:t>
      </w:r>
      <w:r w:rsidR="00C931CD">
        <w:t xml:space="preserve">arī </w:t>
      </w:r>
      <w:r w:rsidR="004B5CF0">
        <w:t xml:space="preserve">tiešo saikni starp uzdevuma izpildi un </w:t>
      </w:r>
      <w:r w:rsidR="007B1E6C">
        <w:t xml:space="preserve">personas </w:t>
      </w:r>
      <w:r w:rsidR="004B5CF0">
        <w:t>datu apstrādi</w:t>
      </w:r>
      <w:r w:rsidR="00C931CD">
        <w:t xml:space="preserve">. </w:t>
      </w:r>
      <w:r w:rsidR="00190688">
        <w:t>J</w:t>
      </w:r>
      <w:r w:rsidR="00C931CD">
        <w:t>ākonstatē</w:t>
      </w:r>
      <w:r w:rsidR="004B5CF0">
        <w:t>, ka uzdevumu nevar pildīt, nea</w:t>
      </w:r>
      <w:r w:rsidR="00C931CD">
        <w:t>pstrādājot šos datus.</w:t>
      </w:r>
    </w:p>
    <w:p w14:paraId="769C286C" w14:textId="23E1E270" w:rsidR="004B5CF0" w:rsidRDefault="0014709F" w:rsidP="00D4252D">
      <w:pPr>
        <w:spacing w:line="276" w:lineRule="auto"/>
        <w:ind w:firstLine="567"/>
        <w:jc w:val="both"/>
      </w:pPr>
      <w:r>
        <w:t>Tā kā apgabaltiesa nav pār</w:t>
      </w:r>
      <w:r w:rsidR="007B1E6C">
        <w:t>liecinājusies</w:t>
      </w:r>
      <w:r w:rsidR="00C931CD">
        <w:t>, vai centra uzdevuma, ko identificējusi apgabaltiesa</w:t>
      </w:r>
      <w:r w:rsidR="007B1E6C">
        <w:t xml:space="preserve"> un par ko lietā nav strīda</w:t>
      </w:r>
      <w:r w:rsidR="00C931CD">
        <w:t>, izpilde bez pieteicēja datu izmantošanas nebūtu iespējama tādā pašā līmenī, kā tas tika darīts</w:t>
      </w:r>
      <w:r w:rsidR="007C1BA0">
        <w:t>,</w:t>
      </w:r>
      <w:r w:rsidR="00C931CD">
        <w:t xml:space="preserve"> pieteicēja datus izmantojot, a</w:t>
      </w:r>
      <w:r w:rsidR="004B5CF0">
        <w:t>pgabaltiesas spriedums ir atceļams.</w:t>
      </w:r>
    </w:p>
    <w:p w14:paraId="0BF4B417" w14:textId="77777777" w:rsidR="004B5CF0" w:rsidRDefault="004B5CF0" w:rsidP="00D4252D">
      <w:pPr>
        <w:spacing w:line="276" w:lineRule="auto"/>
        <w:ind w:firstLine="567"/>
        <w:jc w:val="both"/>
      </w:pPr>
    </w:p>
    <w:p w14:paraId="2D8EC5E7" w14:textId="38C77C77" w:rsidR="00AE4E30" w:rsidRDefault="004B5CF0" w:rsidP="00D4252D">
      <w:pPr>
        <w:spacing w:line="276" w:lineRule="auto"/>
        <w:ind w:firstLine="567"/>
        <w:jc w:val="both"/>
      </w:pPr>
      <w:r>
        <w:t xml:space="preserve">[9] </w:t>
      </w:r>
      <w:r w:rsidR="00F80598">
        <w:t>Kasācijas sūdzībā norādīts arī uz vairāku principu pārkāpumiem, taču</w:t>
      </w:r>
      <w:r w:rsidR="007B1E6C">
        <w:t>,</w:t>
      </w:r>
      <w:r w:rsidR="00F80598">
        <w:t xml:space="preserve"> </w:t>
      </w:r>
      <w:r w:rsidR="007B1E6C">
        <w:t xml:space="preserve">tā kā šie argumenti ir pārāk vispārīgi, </w:t>
      </w:r>
      <w:r>
        <w:t xml:space="preserve">Senāts </w:t>
      </w:r>
      <w:r w:rsidR="00F80598">
        <w:t xml:space="preserve">tos </w:t>
      </w:r>
      <w:r>
        <w:t>neanalizēs</w:t>
      </w:r>
      <w:r w:rsidR="00F80598">
        <w:t xml:space="preserve">. </w:t>
      </w:r>
      <w:r w:rsidR="006C4CCB">
        <w:t>Senāts vērš pieteicēja uzmanību uz to, ka nav</w:t>
      </w:r>
      <w:r w:rsidR="00F80598">
        <w:t xml:space="preserve"> pietiekami </w:t>
      </w:r>
      <w:r w:rsidR="006C4CCB">
        <w:t xml:space="preserve">kasācijas sūdzībā </w:t>
      </w:r>
      <w:r w:rsidR="00F80598">
        <w:t xml:space="preserve">atreferēt </w:t>
      </w:r>
      <w:r>
        <w:t>princip</w:t>
      </w:r>
      <w:r w:rsidR="006C4CCB">
        <w:t>a</w:t>
      </w:r>
      <w:r>
        <w:t xml:space="preserve"> </w:t>
      </w:r>
      <w:r w:rsidR="00F80598">
        <w:t xml:space="preserve">saturu, ir jānorāda, kā šim principam bija jābūt iedzīvinātam konkrētajā situācijā un kā tā neievērošana ir ietekmējusi </w:t>
      </w:r>
      <w:r w:rsidR="00364B06">
        <w:t>tiesas spriedumu.</w:t>
      </w:r>
      <w:r>
        <w:t xml:space="preserve"> </w:t>
      </w:r>
    </w:p>
    <w:p w14:paraId="4920B3EC" w14:textId="77777777" w:rsidR="008C5606" w:rsidRPr="005065DD" w:rsidRDefault="008C5606" w:rsidP="00D4252D">
      <w:pPr>
        <w:spacing w:line="276" w:lineRule="auto"/>
        <w:ind w:firstLine="567"/>
        <w:jc w:val="both"/>
      </w:pPr>
    </w:p>
    <w:p w14:paraId="3117D551" w14:textId="52C197E6" w:rsidR="00637C18" w:rsidRDefault="00916093" w:rsidP="00D4252D">
      <w:pPr>
        <w:spacing w:line="276" w:lineRule="auto"/>
        <w:ind w:firstLine="567"/>
        <w:jc w:val="both"/>
      </w:pPr>
      <w:r w:rsidRPr="005065DD">
        <w:t>[</w:t>
      </w:r>
      <w:bookmarkStart w:id="3" w:name="_Hlk69213252"/>
      <w:r w:rsidR="00364B06">
        <w:t>10</w:t>
      </w:r>
      <w:r w:rsidR="002C28BB" w:rsidRPr="005065DD">
        <w:t>] </w:t>
      </w:r>
      <w:bookmarkEnd w:id="3"/>
      <w:r w:rsidR="00637C18">
        <w:t xml:space="preserve">Kasācijas sūdzībā ietverti arī argumenti par </w:t>
      </w:r>
      <w:r w:rsidR="00D4529F">
        <w:t>nemantiskā kaitējuma atlīdzinājuma apmēr</w:t>
      </w:r>
      <w:r w:rsidR="002A447E">
        <w:t>u</w:t>
      </w:r>
      <w:r w:rsidR="00D4529F">
        <w:t xml:space="preserve">. </w:t>
      </w:r>
      <w:r w:rsidR="006C4CCB">
        <w:t>Tā kā a</w:t>
      </w:r>
      <w:r w:rsidR="00D4529F">
        <w:t>pgabaltiesa</w:t>
      </w:r>
      <w:r w:rsidR="006C4CCB">
        <w:t xml:space="preserve"> secināja, ka nav saskatāma prettiesiska centra rīcība, tā</w:t>
      </w:r>
      <w:r w:rsidR="00D4529F">
        <w:t xml:space="preserve"> spriedumā nav </w:t>
      </w:r>
      <w:r w:rsidR="006C4CCB">
        <w:t>aplūkojusi argumentus par nema</w:t>
      </w:r>
      <w:r w:rsidR="005D41F2">
        <w:t>n</w:t>
      </w:r>
      <w:r w:rsidR="006C4CCB">
        <w:t xml:space="preserve">tisko kaitējumu. </w:t>
      </w:r>
      <w:r w:rsidR="008E65AC">
        <w:t xml:space="preserve">Senāta kompetencē ir tikai pārbaudīt </w:t>
      </w:r>
      <w:r w:rsidR="008E65AC">
        <w:lastRenderedPageBreak/>
        <w:t>apgabaltiesas sprieduma tiesiskumu</w:t>
      </w:r>
      <w:r w:rsidR="006C4CCB">
        <w:t>. Tāpēc</w:t>
      </w:r>
      <w:r w:rsidR="008E65AC">
        <w:t xml:space="preserve"> </w:t>
      </w:r>
      <w:r w:rsidR="00D4529F">
        <w:t>Senāts šos</w:t>
      </w:r>
      <w:r w:rsidR="008E65AC">
        <w:t xml:space="preserve"> kasācijas sūdzības</w:t>
      </w:r>
      <w:r w:rsidR="00D4529F">
        <w:t xml:space="preserve"> argumentus neizskatīs. </w:t>
      </w:r>
    </w:p>
    <w:p w14:paraId="032AEDB4" w14:textId="77777777" w:rsidR="004B7FC8" w:rsidRDefault="004B7FC8" w:rsidP="00D4252D">
      <w:pPr>
        <w:spacing w:line="276" w:lineRule="auto"/>
        <w:ind w:firstLine="567"/>
        <w:jc w:val="both"/>
      </w:pPr>
    </w:p>
    <w:p w14:paraId="7CA2D7FA" w14:textId="395C8DD1" w:rsidR="00D64FAD" w:rsidRDefault="004B7FC8" w:rsidP="00D4252D">
      <w:pPr>
        <w:spacing w:line="276" w:lineRule="auto"/>
        <w:ind w:firstLine="567"/>
        <w:jc w:val="both"/>
        <w:rPr>
          <w:lang w:eastAsia="lv-LV"/>
        </w:rPr>
      </w:pPr>
      <w:r>
        <w:t>[</w:t>
      </w:r>
      <w:r w:rsidR="00364B06">
        <w:t>11</w:t>
      </w:r>
      <w:r>
        <w:t xml:space="preserve">] </w:t>
      </w:r>
      <w:r>
        <w:rPr>
          <w:lang w:eastAsia="lv-LV"/>
        </w:rPr>
        <w:t>Pieteicējs lūdzis atmaksāt tiesvedības gaitā samaksāto valsts nodevu. Taču</w:t>
      </w:r>
      <w:r w:rsidR="007C1BA0">
        <w:rPr>
          <w:lang w:eastAsia="lv-LV"/>
        </w:rPr>
        <w:t>,</w:t>
      </w:r>
      <w:r>
        <w:rPr>
          <w:lang w:eastAsia="lv-LV"/>
        </w:rPr>
        <w:t xml:space="preserve"> tā kā Senāts neizlemj lietu pēc būtības, tas arī nevar lemt par valsts nodevas atmaksāšanu. Atkarībā no tā, vai pieteikums tiks vai netiks vismaz daļēji apmierināts, šo jautājumu lems apgabaltiesa, izskatot lietu no jauna. Senāta kompetencē ir tikai lemt par drošības naudas atmaksāšanu.</w:t>
      </w:r>
    </w:p>
    <w:p w14:paraId="2A2B6A70" w14:textId="77777777" w:rsidR="00D4252D" w:rsidRPr="00FE7D2E" w:rsidRDefault="00D4252D" w:rsidP="00D4252D">
      <w:pPr>
        <w:spacing w:line="276" w:lineRule="auto"/>
        <w:ind w:firstLine="567"/>
        <w:jc w:val="both"/>
      </w:pPr>
    </w:p>
    <w:p w14:paraId="55C0B0EC" w14:textId="77777777" w:rsidR="005C64F2" w:rsidRPr="005065DD" w:rsidRDefault="005C64F2" w:rsidP="00D4252D">
      <w:pPr>
        <w:spacing w:line="276" w:lineRule="auto"/>
        <w:jc w:val="center"/>
        <w:rPr>
          <w:b/>
        </w:rPr>
      </w:pPr>
      <w:r w:rsidRPr="005065DD">
        <w:rPr>
          <w:b/>
        </w:rPr>
        <w:t>Rezolutīvā daļa</w:t>
      </w:r>
    </w:p>
    <w:p w14:paraId="5C503B5A" w14:textId="77777777" w:rsidR="005C64F2" w:rsidRPr="005065DD" w:rsidRDefault="005C64F2" w:rsidP="00D4252D">
      <w:pPr>
        <w:spacing w:line="276" w:lineRule="auto"/>
        <w:ind w:firstLine="720"/>
        <w:jc w:val="both"/>
      </w:pPr>
    </w:p>
    <w:p w14:paraId="0D01E1F0" w14:textId="77777777" w:rsidR="005C64F2" w:rsidRPr="005065DD" w:rsidRDefault="005C64F2" w:rsidP="00D4252D">
      <w:pPr>
        <w:spacing w:line="276" w:lineRule="auto"/>
        <w:ind w:firstLine="567"/>
        <w:jc w:val="both"/>
      </w:pPr>
      <w:r w:rsidRPr="005065DD">
        <w:t>Pamatojoties uz Administratīvā procesa likuma 129.</w:t>
      </w:r>
      <w:r w:rsidRPr="005065DD">
        <w:rPr>
          <w:vertAlign w:val="superscript"/>
        </w:rPr>
        <w:t>1</w:t>
      </w:r>
      <w:r w:rsidRPr="005065DD">
        <w:t>panta pirmās daļas 1.punktu, 348.panta pirmās daļas 2.punktu un 351.pantu, Senāts</w:t>
      </w:r>
    </w:p>
    <w:p w14:paraId="1C45596E" w14:textId="77777777" w:rsidR="005C64F2" w:rsidRPr="005065DD" w:rsidRDefault="005C64F2" w:rsidP="00D4252D">
      <w:pPr>
        <w:spacing w:line="276" w:lineRule="auto"/>
        <w:ind w:firstLine="720"/>
        <w:jc w:val="both"/>
      </w:pPr>
    </w:p>
    <w:p w14:paraId="2B848F01" w14:textId="77777777" w:rsidR="005C64F2" w:rsidRPr="005065DD" w:rsidRDefault="005C64F2" w:rsidP="00D4252D">
      <w:pPr>
        <w:spacing w:line="276" w:lineRule="auto"/>
        <w:jc w:val="center"/>
        <w:rPr>
          <w:b/>
        </w:rPr>
      </w:pPr>
      <w:r w:rsidRPr="005065DD">
        <w:rPr>
          <w:b/>
        </w:rPr>
        <w:t>nosprieda</w:t>
      </w:r>
    </w:p>
    <w:p w14:paraId="176EDC21" w14:textId="77777777" w:rsidR="005C64F2" w:rsidRPr="005065DD" w:rsidRDefault="005C64F2" w:rsidP="00D4252D">
      <w:pPr>
        <w:spacing w:line="276" w:lineRule="auto"/>
        <w:ind w:firstLine="720"/>
        <w:jc w:val="both"/>
      </w:pPr>
    </w:p>
    <w:p w14:paraId="4924753F" w14:textId="2090298A" w:rsidR="00BD67A8" w:rsidRPr="005065DD" w:rsidRDefault="005C64F2" w:rsidP="00D4252D">
      <w:pPr>
        <w:spacing w:line="276" w:lineRule="auto"/>
        <w:ind w:firstLine="567"/>
        <w:jc w:val="both"/>
        <w:rPr>
          <w:rFonts w:eastAsia="Calibri" w:cs="Arial"/>
          <w:szCs w:val="22"/>
          <w:lang w:eastAsia="en-US"/>
        </w:rPr>
      </w:pPr>
      <w:r w:rsidRPr="005065DD">
        <w:t xml:space="preserve">atcelt Administratīvās apgabaltiesas 2020.gada </w:t>
      </w:r>
      <w:r w:rsidR="002E690B">
        <w:t>10</w:t>
      </w:r>
      <w:r w:rsidRPr="005065DD">
        <w:t>.</w:t>
      </w:r>
      <w:r w:rsidR="002E690B">
        <w:t>jūnija</w:t>
      </w:r>
      <w:r w:rsidRPr="005065DD">
        <w:t xml:space="preserve"> spriedumu</w:t>
      </w:r>
      <w:r w:rsidR="00930D90" w:rsidRPr="005065DD">
        <w:t xml:space="preserve"> </w:t>
      </w:r>
      <w:r w:rsidR="002E690B">
        <w:t>un</w:t>
      </w:r>
      <w:r w:rsidR="00A959E5" w:rsidRPr="005065DD">
        <w:rPr>
          <w:rFonts w:eastAsia="Calibri" w:cs="Arial"/>
          <w:szCs w:val="22"/>
          <w:lang w:eastAsia="en-US"/>
        </w:rPr>
        <w:t xml:space="preserve"> nosūtīt </w:t>
      </w:r>
      <w:r w:rsidR="0067059F" w:rsidRPr="005065DD">
        <w:rPr>
          <w:rFonts w:eastAsia="Calibri" w:cs="Arial"/>
          <w:szCs w:val="22"/>
          <w:lang w:eastAsia="en-US"/>
        </w:rPr>
        <w:t xml:space="preserve">lietu </w:t>
      </w:r>
      <w:r w:rsidR="00A959E5" w:rsidRPr="005065DD">
        <w:rPr>
          <w:rFonts w:eastAsia="Calibri" w:cs="Arial"/>
          <w:szCs w:val="22"/>
          <w:lang w:eastAsia="en-US"/>
        </w:rPr>
        <w:t>jaunai izskatīšanai Administratīvajai apgabaltiesai.</w:t>
      </w:r>
    </w:p>
    <w:p w14:paraId="504FD8C0" w14:textId="66962C39" w:rsidR="005C64F2" w:rsidRPr="005065DD" w:rsidRDefault="005C64F2" w:rsidP="00D4252D">
      <w:pPr>
        <w:spacing w:line="276" w:lineRule="auto"/>
        <w:ind w:firstLine="567"/>
        <w:jc w:val="both"/>
      </w:pPr>
      <w:r w:rsidRPr="005065DD">
        <w:t xml:space="preserve">Atmaksāt </w:t>
      </w:r>
      <w:r w:rsidR="00D4252D">
        <w:rPr>
          <w:color w:val="000000" w:themeColor="text1"/>
        </w:rPr>
        <w:t xml:space="preserve">[pers. A] </w:t>
      </w:r>
      <w:r w:rsidRPr="005065DD">
        <w:t>iemaksāto drošības naudu 70 </w:t>
      </w:r>
      <w:r w:rsidRPr="005065DD">
        <w:rPr>
          <w:i/>
        </w:rPr>
        <w:t>euro</w:t>
      </w:r>
      <w:r w:rsidRPr="005065DD">
        <w:t>.</w:t>
      </w:r>
    </w:p>
    <w:p w14:paraId="730A04E7" w14:textId="200FF49F" w:rsidR="00BD67A8" w:rsidRPr="00D4252D" w:rsidRDefault="00BD67A8" w:rsidP="00D4252D">
      <w:pPr>
        <w:spacing w:line="276" w:lineRule="auto"/>
        <w:ind w:firstLine="567"/>
        <w:jc w:val="both"/>
        <w:rPr>
          <w:rFonts w:eastAsia="Calibri" w:cs="Arial"/>
          <w:szCs w:val="22"/>
          <w:lang w:val="en-US" w:eastAsia="en-US"/>
        </w:rPr>
      </w:pPr>
      <w:r w:rsidRPr="005065DD">
        <w:rPr>
          <w:rFonts w:eastAsia="Calibri" w:cs="Arial"/>
          <w:szCs w:val="22"/>
          <w:lang w:val="en-US" w:eastAsia="en-US"/>
        </w:rPr>
        <w:t>Spriedums nav pārsūdzams.</w:t>
      </w:r>
    </w:p>
    <w:p w14:paraId="40276A3F" w14:textId="77777777" w:rsidR="0012653C" w:rsidRDefault="0012653C" w:rsidP="00D4252D">
      <w:pPr>
        <w:spacing w:line="276" w:lineRule="auto"/>
        <w:ind w:firstLine="720"/>
        <w:jc w:val="both"/>
      </w:pPr>
    </w:p>
    <w:p w14:paraId="3B5BFA8A" w14:textId="1B0BD317" w:rsidR="009C0BA3" w:rsidRDefault="009C0BA3" w:rsidP="00D4252D">
      <w:pPr>
        <w:spacing w:line="276" w:lineRule="auto"/>
      </w:pPr>
    </w:p>
    <w:p w14:paraId="72CD00B2" w14:textId="3DA0A4ED" w:rsidR="00E230F8" w:rsidRDefault="00E230F8" w:rsidP="009C0BA3">
      <w:pPr>
        <w:spacing w:line="276" w:lineRule="auto"/>
        <w:jc w:val="right"/>
      </w:pPr>
    </w:p>
    <w:bookmarkEnd w:id="0"/>
    <w:p w14:paraId="22A5B5FD" w14:textId="77777777" w:rsidR="009C0BA3" w:rsidRDefault="009C0BA3" w:rsidP="009C0BA3">
      <w:pPr>
        <w:spacing w:line="276" w:lineRule="auto"/>
        <w:jc w:val="right"/>
      </w:pPr>
    </w:p>
    <w:sectPr w:rsidR="009C0BA3" w:rsidSect="00E33F2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6B152" w14:textId="77777777" w:rsidR="00146506" w:rsidRDefault="00146506" w:rsidP="00E12AD0">
      <w:r>
        <w:separator/>
      </w:r>
    </w:p>
  </w:endnote>
  <w:endnote w:type="continuationSeparator" w:id="0">
    <w:p w14:paraId="5E6B5270" w14:textId="77777777" w:rsidR="00146506" w:rsidRDefault="00146506"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502DD620" w14:textId="5B36A32F" w:rsidR="00142DAE" w:rsidRDefault="00142DAE" w:rsidP="00A31A70">
            <w:pPr>
              <w:pStyle w:val="Footer"/>
              <w:jc w:val="center"/>
            </w:pPr>
            <w:r w:rsidRPr="00142DAE">
              <w:rPr>
                <w:bCs/>
              </w:rPr>
              <w:fldChar w:fldCharType="begin"/>
            </w:r>
            <w:r w:rsidRPr="00142DAE">
              <w:rPr>
                <w:bCs/>
              </w:rPr>
              <w:instrText xml:space="preserve"> PAGE </w:instrText>
            </w:r>
            <w:r w:rsidRPr="00142DAE">
              <w:rPr>
                <w:bCs/>
              </w:rPr>
              <w:fldChar w:fldCharType="separate"/>
            </w:r>
            <w:r w:rsidR="00C04390">
              <w:rPr>
                <w:bCs/>
                <w:noProof/>
              </w:rPr>
              <w:t>1</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C04390">
              <w:rPr>
                <w:bCs/>
                <w:noProof/>
              </w:rPr>
              <w:t>4</w:t>
            </w:r>
            <w:r w:rsidRPr="00142DAE">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4D559" w14:textId="77777777" w:rsidR="00146506" w:rsidRDefault="00146506" w:rsidP="00E12AD0">
      <w:r>
        <w:separator/>
      </w:r>
    </w:p>
  </w:footnote>
  <w:footnote w:type="continuationSeparator" w:id="0">
    <w:p w14:paraId="3985DFE6" w14:textId="77777777" w:rsidR="00146506" w:rsidRDefault="00146506"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27B8"/>
    <w:rsid w:val="00010422"/>
    <w:rsid w:val="0001147B"/>
    <w:rsid w:val="000203E4"/>
    <w:rsid w:val="000204DE"/>
    <w:rsid w:val="00022AFB"/>
    <w:rsid w:val="00024858"/>
    <w:rsid w:val="00026E80"/>
    <w:rsid w:val="0002774A"/>
    <w:rsid w:val="00033E43"/>
    <w:rsid w:val="00034489"/>
    <w:rsid w:val="00034BDC"/>
    <w:rsid w:val="0005280C"/>
    <w:rsid w:val="00061A65"/>
    <w:rsid w:val="000630DD"/>
    <w:rsid w:val="00063A88"/>
    <w:rsid w:val="00074426"/>
    <w:rsid w:val="00074D46"/>
    <w:rsid w:val="00077826"/>
    <w:rsid w:val="00081D57"/>
    <w:rsid w:val="00082DED"/>
    <w:rsid w:val="00086889"/>
    <w:rsid w:val="00086B9A"/>
    <w:rsid w:val="000874EA"/>
    <w:rsid w:val="0009560C"/>
    <w:rsid w:val="0009565F"/>
    <w:rsid w:val="000A58C1"/>
    <w:rsid w:val="000A597B"/>
    <w:rsid w:val="000A6A6D"/>
    <w:rsid w:val="000B0649"/>
    <w:rsid w:val="000B1209"/>
    <w:rsid w:val="000B600E"/>
    <w:rsid w:val="000C1962"/>
    <w:rsid w:val="000C51B2"/>
    <w:rsid w:val="000C660A"/>
    <w:rsid w:val="000D145F"/>
    <w:rsid w:val="000D1B75"/>
    <w:rsid w:val="000D743E"/>
    <w:rsid w:val="000D7836"/>
    <w:rsid w:val="000E2F2D"/>
    <w:rsid w:val="000F137F"/>
    <w:rsid w:val="000F7EDE"/>
    <w:rsid w:val="00101D04"/>
    <w:rsid w:val="0010565E"/>
    <w:rsid w:val="00113A9A"/>
    <w:rsid w:val="0011403C"/>
    <w:rsid w:val="0012043C"/>
    <w:rsid w:val="0012395E"/>
    <w:rsid w:val="00123A4D"/>
    <w:rsid w:val="0012653C"/>
    <w:rsid w:val="0013118A"/>
    <w:rsid w:val="0013123F"/>
    <w:rsid w:val="001339DF"/>
    <w:rsid w:val="00135AF2"/>
    <w:rsid w:val="00142DAE"/>
    <w:rsid w:val="001444F3"/>
    <w:rsid w:val="00145024"/>
    <w:rsid w:val="00146506"/>
    <w:rsid w:val="0014709F"/>
    <w:rsid w:val="00152967"/>
    <w:rsid w:val="00153901"/>
    <w:rsid w:val="00157E30"/>
    <w:rsid w:val="00166F3D"/>
    <w:rsid w:val="0016754C"/>
    <w:rsid w:val="001739B7"/>
    <w:rsid w:val="00180127"/>
    <w:rsid w:val="00186485"/>
    <w:rsid w:val="0018754F"/>
    <w:rsid w:val="00190688"/>
    <w:rsid w:val="0019482C"/>
    <w:rsid w:val="00194C4F"/>
    <w:rsid w:val="00196859"/>
    <w:rsid w:val="001A07CC"/>
    <w:rsid w:val="001A14DA"/>
    <w:rsid w:val="001A1DEF"/>
    <w:rsid w:val="001A30EE"/>
    <w:rsid w:val="001A69F5"/>
    <w:rsid w:val="001A77F9"/>
    <w:rsid w:val="001B58DA"/>
    <w:rsid w:val="001B6C84"/>
    <w:rsid w:val="001C2C1B"/>
    <w:rsid w:val="001C52E2"/>
    <w:rsid w:val="001C55C6"/>
    <w:rsid w:val="001C69F0"/>
    <w:rsid w:val="001D114A"/>
    <w:rsid w:val="001D3AAE"/>
    <w:rsid w:val="001D5317"/>
    <w:rsid w:val="001E4B3C"/>
    <w:rsid w:val="001E52A1"/>
    <w:rsid w:val="001F4BF1"/>
    <w:rsid w:val="00200E74"/>
    <w:rsid w:val="00201493"/>
    <w:rsid w:val="00202192"/>
    <w:rsid w:val="00203762"/>
    <w:rsid w:val="0022401C"/>
    <w:rsid w:val="0022646A"/>
    <w:rsid w:val="00226AAB"/>
    <w:rsid w:val="00235177"/>
    <w:rsid w:val="0023652F"/>
    <w:rsid w:val="00241FFB"/>
    <w:rsid w:val="00250A48"/>
    <w:rsid w:val="0025439B"/>
    <w:rsid w:val="002615DD"/>
    <w:rsid w:val="00262742"/>
    <w:rsid w:val="002678C4"/>
    <w:rsid w:val="00271554"/>
    <w:rsid w:val="00271DBD"/>
    <w:rsid w:val="00272D65"/>
    <w:rsid w:val="00273898"/>
    <w:rsid w:val="00275FCE"/>
    <w:rsid w:val="00282ED8"/>
    <w:rsid w:val="00285BE1"/>
    <w:rsid w:val="00285F1E"/>
    <w:rsid w:val="00293D5F"/>
    <w:rsid w:val="00293E30"/>
    <w:rsid w:val="002A2BDC"/>
    <w:rsid w:val="002A435F"/>
    <w:rsid w:val="002A447E"/>
    <w:rsid w:val="002A7F37"/>
    <w:rsid w:val="002B3087"/>
    <w:rsid w:val="002C28BB"/>
    <w:rsid w:val="002C5E81"/>
    <w:rsid w:val="002C73A5"/>
    <w:rsid w:val="002D27B5"/>
    <w:rsid w:val="002E0B28"/>
    <w:rsid w:val="002E690B"/>
    <w:rsid w:val="002F0013"/>
    <w:rsid w:val="002F3685"/>
    <w:rsid w:val="00303A99"/>
    <w:rsid w:val="00305C9B"/>
    <w:rsid w:val="0031143A"/>
    <w:rsid w:val="0032618A"/>
    <w:rsid w:val="00327C8A"/>
    <w:rsid w:val="00330F37"/>
    <w:rsid w:val="0033462E"/>
    <w:rsid w:val="00337500"/>
    <w:rsid w:val="00343622"/>
    <w:rsid w:val="0035080B"/>
    <w:rsid w:val="00362C86"/>
    <w:rsid w:val="00364B06"/>
    <w:rsid w:val="003821AA"/>
    <w:rsid w:val="00385ACA"/>
    <w:rsid w:val="00392746"/>
    <w:rsid w:val="003B0BE8"/>
    <w:rsid w:val="003B1394"/>
    <w:rsid w:val="003B3CFF"/>
    <w:rsid w:val="003C3858"/>
    <w:rsid w:val="003C72C1"/>
    <w:rsid w:val="003D121C"/>
    <w:rsid w:val="003D4FCF"/>
    <w:rsid w:val="003E31BF"/>
    <w:rsid w:val="003E31EE"/>
    <w:rsid w:val="003E4658"/>
    <w:rsid w:val="003F01DA"/>
    <w:rsid w:val="003F35A6"/>
    <w:rsid w:val="003F43F7"/>
    <w:rsid w:val="003F6CB2"/>
    <w:rsid w:val="00400098"/>
    <w:rsid w:val="00400A9C"/>
    <w:rsid w:val="00401684"/>
    <w:rsid w:val="00405568"/>
    <w:rsid w:val="00405B6F"/>
    <w:rsid w:val="00411CF8"/>
    <w:rsid w:val="00412138"/>
    <w:rsid w:val="00417945"/>
    <w:rsid w:val="00424134"/>
    <w:rsid w:val="00432739"/>
    <w:rsid w:val="00432779"/>
    <w:rsid w:val="00436A6A"/>
    <w:rsid w:val="00440776"/>
    <w:rsid w:val="00443280"/>
    <w:rsid w:val="00454FA0"/>
    <w:rsid w:val="00456F49"/>
    <w:rsid w:val="00466620"/>
    <w:rsid w:val="00467CE3"/>
    <w:rsid w:val="004829CB"/>
    <w:rsid w:val="00482DD9"/>
    <w:rsid w:val="00487B7D"/>
    <w:rsid w:val="0049281B"/>
    <w:rsid w:val="004956C0"/>
    <w:rsid w:val="004A5C68"/>
    <w:rsid w:val="004B3238"/>
    <w:rsid w:val="004B47FF"/>
    <w:rsid w:val="004B5CF0"/>
    <w:rsid w:val="004B6B18"/>
    <w:rsid w:val="004B7FC8"/>
    <w:rsid w:val="004C159B"/>
    <w:rsid w:val="004C16F5"/>
    <w:rsid w:val="004C3108"/>
    <w:rsid w:val="004C7A06"/>
    <w:rsid w:val="004D54F7"/>
    <w:rsid w:val="004D6AD2"/>
    <w:rsid w:val="004D7751"/>
    <w:rsid w:val="004E747A"/>
    <w:rsid w:val="004E7F6C"/>
    <w:rsid w:val="004F0815"/>
    <w:rsid w:val="004F0C17"/>
    <w:rsid w:val="004F0ED4"/>
    <w:rsid w:val="004F41FE"/>
    <w:rsid w:val="00505AC9"/>
    <w:rsid w:val="005065DD"/>
    <w:rsid w:val="00512ACC"/>
    <w:rsid w:val="00513191"/>
    <w:rsid w:val="005237A9"/>
    <w:rsid w:val="005318E1"/>
    <w:rsid w:val="00545B93"/>
    <w:rsid w:val="00560D6E"/>
    <w:rsid w:val="00567288"/>
    <w:rsid w:val="005704EA"/>
    <w:rsid w:val="005706E3"/>
    <w:rsid w:val="005762C1"/>
    <w:rsid w:val="00584994"/>
    <w:rsid w:val="0058675B"/>
    <w:rsid w:val="00590EA0"/>
    <w:rsid w:val="00591562"/>
    <w:rsid w:val="0059479C"/>
    <w:rsid w:val="005A06A5"/>
    <w:rsid w:val="005A0847"/>
    <w:rsid w:val="005A1ECE"/>
    <w:rsid w:val="005A3EF8"/>
    <w:rsid w:val="005A5360"/>
    <w:rsid w:val="005A5395"/>
    <w:rsid w:val="005B3F41"/>
    <w:rsid w:val="005C57AC"/>
    <w:rsid w:val="005C64F2"/>
    <w:rsid w:val="005D3883"/>
    <w:rsid w:val="005D41F2"/>
    <w:rsid w:val="005D7638"/>
    <w:rsid w:val="005E63F6"/>
    <w:rsid w:val="005F7153"/>
    <w:rsid w:val="00606650"/>
    <w:rsid w:val="00606B8A"/>
    <w:rsid w:val="006122B5"/>
    <w:rsid w:val="006167C5"/>
    <w:rsid w:val="00637C18"/>
    <w:rsid w:val="00640776"/>
    <w:rsid w:val="00646660"/>
    <w:rsid w:val="006477D7"/>
    <w:rsid w:val="00647944"/>
    <w:rsid w:val="00651B13"/>
    <w:rsid w:val="00656FD3"/>
    <w:rsid w:val="006600C1"/>
    <w:rsid w:val="00667DBD"/>
    <w:rsid w:val="0067059F"/>
    <w:rsid w:val="00675D47"/>
    <w:rsid w:val="0068033C"/>
    <w:rsid w:val="00682181"/>
    <w:rsid w:val="00682CAF"/>
    <w:rsid w:val="006866B2"/>
    <w:rsid w:val="00690391"/>
    <w:rsid w:val="00694CA0"/>
    <w:rsid w:val="006A1713"/>
    <w:rsid w:val="006A1BC4"/>
    <w:rsid w:val="006A564D"/>
    <w:rsid w:val="006B3039"/>
    <w:rsid w:val="006B3483"/>
    <w:rsid w:val="006B5B11"/>
    <w:rsid w:val="006C0290"/>
    <w:rsid w:val="006C453E"/>
    <w:rsid w:val="006C4CCB"/>
    <w:rsid w:val="006C4EBF"/>
    <w:rsid w:val="006D0076"/>
    <w:rsid w:val="006D79A5"/>
    <w:rsid w:val="006E2131"/>
    <w:rsid w:val="006E23C5"/>
    <w:rsid w:val="006E2AD3"/>
    <w:rsid w:val="006E7CBB"/>
    <w:rsid w:val="006F0C5D"/>
    <w:rsid w:val="006F18CC"/>
    <w:rsid w:val="006F3EA8"/>
    <w:rsid w:val="00705C13"/>
    <w:rsid w:val="00705C36"/>
    <w:rsid w:val="00714003"/>
    <w:rsid w:val="00721712"/>
    <w:rsid w:val="00737721"/>
    <w:rsid w:val="0074021F"/>
    <w:rsid w:val="00741D19"/>
    <w:rsid w:val="007429C3"/>
    <w:rsid w:val="007444FE"/>
    <w:rsid w:val="00746C80"/>
    <w:rsid w:val="00754794"/>
    <w:rsid w:val="007649B7"/>
    <w:rsid w:val="00765836"/>
    <w:rsid w:val="00767BFD"/>
    <w:rsid w:val="00772A7C"/>
    <w:rsid w:val="00783400"/>
    <w:rsid w:val="0078796D"/>
    <w:rsid w:val="00787F77"/>
    <w:rsid w:val="007908F4"/>
    <w:rsid w:val="007950F1"/>
    <w:rsid w:val="007A3DEF"/>
    <w:rsid w:val="007A73EA"/>
    <w:rsid w:val="007B0DA5"/>
    <w:rsid w:val="007B1E6C"/>
    <w:rsid w:val="007B254D"/>
    <w:rsid w:val="007C022E"/>
    <w:rsid w:val="007C1BA0"/>
    <w:rsid w:val="007C3474"/>
    <w:rsid w:val="007C682C"/>
    <w:rsid w:val="007C6EDF"/>
    <w:rsid w:val="007C6F88"/>
    <w:rsid w:val="007E0DE2"/>
    <w:rsid w:val="007E692A"/>
    <w:rsid w:val="007F4697"/>
    <w:rsid w:val="007F577E"/>
    <w:rsid w:val="008009D3"/>
    <w:rsid w:val="00811679"/>
    <w:rsid w:val="00830627"/>
    <w:rsid w:val="00833961"/>
    <w:rsid w:val="00836FB9"/>
    <w:rsid w:val="00844FA4"/>
    <w:rsid w:val="00851879"/>
    <w:rsid w:val="00854972"/>
    <w:rsid w:val="008558A2"/>
    <w:rsid w:val="00861717"/>
    <w:rsid w:val="00861BAF"/>
    <w:rsid w:val="00865301"/>
    <w:rsid w:val="0087038C"/>
    <w:rsid w:val="008832FC"/>
    <w:rsid w:val="0088405F"/>
    <w:rsid w:val="00895DB5"/>
    <w:rsid w:val="008A10F8"/>
    <w:rsid w:val="008B4F40"/>
    <w:rsid w:val="008C0C2A"/>
    <w:rsid w:val="008C1AD4"/>
    <w:rsid w:val="008C5606"/>
    <w:rsid w:val="008D55C3"/>
    <w:rsid w:val="008E3B7E"/>
    <w:rsid w:val="008E65AC"/>
    <w:rsid w:val="008F36B6"/>
    <w:rsid w:val="0090103A"/>
    <w:rsid w:val="00903BED"/>
    <w:rsid w:val="00912205"/>
    <w:rsid w:val="009157DE"/>
    <w:rsid w:val="00915FC5"/>
    <w:rsid w:val="00916093"/>
    <w:rsid w:val="00930D90"/>
    <w:rsid w:val="0094079C"/>
    <w:rsid w:val="00940A55"/>
    <w:rsid w:val="00944620"/>
    <w:rsid w:val="00945E5D"/>
    <w:rsid w:val="00950106"/>
    <w:rsid w:val="00950491"/>
    <w:rsid w:val="00955B3A"/>
    <w:rsid w:val="00965E0C"/>
    <w:rsid w:val="009660D4"/>
    <w:rsid w:val="00966ADE"/>
    <w:rsid w:val="009770B6"/>
    <w:rsid w:val="00977CAF"/>
    <w:rsid w:val="00982E29"/>
    <w:rsid w:val="00985306"/>
    <w:rsid w:val="0099270F"/>
    <w:rsid w:val="00996E50"/>
    <w:rsid w:val="009A1B7E"/>
    <w:rsid w:val="009B1F84"/>
    <w:rsid w:val="009B25D7"/>
    <w:rsid w:val="009B6838"/>
    <w:rsid w:val="009C0BA3"/>
    <w:rsid w:val="009C1BC2"/>
    <w:rsid w:val="009C46C8"/>
    <w:rsid w:val="009C7108"/>
    <w:rsid w:val="009D373D"/>
    <w:rsid w:val="009E12F6"/>
    <w:rsid w:val="009E1AB4"/>
    <w:rsid w:val="009E2CC6"/>
    <w:rsid w:val="009E4F4A"/>
    <w:rsid w:val="009F280C"/>
    <w:rsid w:val="009F2886"/>
    <w:rsid w:val="009F2EA9"/>
    <w:rsid w:val="009F5B74"/>
    <w:rsid w:val="009F7BA2"/>
    <w:rsid w:val="00A008EC"/>
    <w:rsid w:val="00A0119E"/>
    <w:rsid w:val="00A0453A"/>
    <w:rsid w:val="00A06845"/>
    <w:rsid w:val="00A207D8"/>
    <w:rsid w:val="00A2399A"/>
    <w:rsid w:val="00A241F8"/>
    <w:rsid w:val="00A31A70"/>
    <w:rsid w:val="00A33031"/>
    <w:rsid w:val="00A35989"/>
    <w:rsid w:val="00A417B5"/>
    <w:rsid w:val="00A41B4D"/>
    <w:rsid w:val="00A41DC9"/>
    <w:rsid w:val="00A44494"/>
    <w:rsid w:val="00A44A93"/>
    <w:rsid w:val="00A546DF"/>
    <w:rsid w:val="00A55E04"/>
    <w:rsid w:val="00A56327"/>
    <w:rsid w:val="00A571FA"/>
    <w:rsid w:val="00A63477"/>
    <w:rsid w:val="00A63DC0"/>
    <w:rsid w:val="00A7509A"/>
    <w:rsid w:val="00A8447F"/>
    <w:rsid w:val="00A90124"/>
    <w:rsid w:val="00A959E5"/>
    <w:rsid w:val="00A96BEE"/>
    <w:rsid w:val="00AA4791"/>
    <w:rsid w:val="00AA512D"/>
    <w:rsid w:val="00AA5272"/>
    <w:rsid w:val="00AA6692"/>
    <w:rsid w:val="00AB066A"/>
    <w:rsid w:val="00AB1369"/>
    <w:rsid w:val="00AB20BD"/>
    <w:rsid w:val="00AB6C6D"/>
    <w:rsid w:val="00AB7F71"/>
    <w:rsid w:val="00AD1AFD"/>
    <w:rsid w:val="00AD5578"/>
    <w:rsid w:val="00AD7CAE"/>
    <w:rsid w:val="00AE1ABC"/>
    <w:rsid w:val="00AE4E30"/>
    <w:rsid w:val="00AE5854"/>
    <w:rsid w:val="00AE642E"/>
    <w:rsid w:val="00AF4586"/>
    <w:rsid w:val="00AF4A20"/>
    <w:rsid w:val="00B03D84"/>
    <w:rsid w:val="00B10171"/>
    <w:rsid w:val="00B1048E"/>
    <w:rsid w:val="00B1543C"/>
    <w:rsid w:val="00B15A42"/>
    <w:rsid w:val="00B2107A"/>
    <w:rsid w:val="00B25633"/>
    <w:rsid w:val="00B258EB"/>
    <w:rsid w:val="00B30471"/>
    <w:rsid w:val="00B4480F"/>
    <w:rsid w:val="00B45547"/>
    <w:rsid w:val="00B473B2"/>
    <w:rsid w:val="00B53062"/>
    <w:rsid w:val="00B6502C"/>
    <w:rsid w:val="00B66198"/>
    <w:rsid w:val="00B75ECE"/>
    <w:rsid w:val="00B77C72"/>
    <w:rsid w:val="00B801DD"/>
    <w:rsid w:val="00B80627"/>
    <w:rsid w:val="00B97693"/>
    <w:rsid w:val="00BA4478"/>
    <w:rsid w:val="00BA6282"/>
    <w:rsid w:val="00BA6ADC"/>
    <w:rsid w:val="00BB27F4"/>
    <w:rsid w:val="00BB4263"/>
    <w:rsid w:val="00BC33C2"/>
    <w:rsid w:val="00BC565E"/>
    <w:rsid w:val="00BD67A8"/>
    <w:rsid w:val="00BE1840"/>
    <w:rsid w:val="00BE2554"/>
    <w:rsid w:val="00BE5CF3"/>
    <w:rsid w:val="00C00308"/>
    <w:rsid w:val="00C0057F"/>
    <w:rsid w:val="00C04390"/>
    <w:rsid w:val="00C10F15"/>
    <w:rsid w:val="00C15D38"/>
    <w:rsid w:val="00C175B4"/>
    <w:rsid w:val="00C2025B"/>
    <w:rsid w:val="00C24B0D"/>
    <w:rsid w:val="00C3087D"/>
    <w:rsid w:val="00C31D81"/>
    <w:rsid w:val="00C34DCF"/>
    <w:rsid w:val="00C3754C"/>
    <w:rsid w:val="00C46BAF"/>
    <w:rsid w:val="00C52066"/>
    <w:rsid w:val="00C55106"/>
    <w:rsid w:val="00C61A97"/>
    <w:rsid w:val="00C67521"/>
    <w:rsid w:val="00C746A0"/>
    <w:rsid w:val="00C87736"/>
    <w:rsid w:val="00C90623"/>
    <w:rsid w:val="00C92009"/>
    <w:rsid w:val="00C931CD"/>
    <w:rsid w:val="00C9405A"/>
    <w:rsid w:val="00C97B6A"/>
    <w:rsid w:val="00CA317A"/>
    <w:rsid w:val="00CD04EE"/>
    <w:rsid w:val="00CD08B8"/>
    <w:rsid w:val="00CD3FC6"/>
    <w:rsid w:val="00CD7C01"/>
    <w:rsid w:val="00CE0646"/>
    <w:rsid w:val="00CE7E68"/>
    <w:rsid w:val="00CF1A8E"/>
    <w:rsid w:val="00CF373F"/>
    <w:rsid w:val="00CF4A08"/>
    <w:rsid w:val="00D00097"/>
    <w:rsid w:val="00D01F56"/>
    <w:rsid w:val="00D062F2"/>
    <w:rsid w:val="00D11C90"/>
    <w:rsid w:val="00D16BBE"/>
    <w:rsid w:val="00D1771A"/>
    <w:rsid w:val="00D345E0"/>
    <w:rsid w:val="00D348B8"/>
    <w:rsid w:val="00D404A4"/>
    <w:rsid w:val="00D4056F"/>
    <w:rsid w:val="00D407D2"/>
    <w:rsid w:val="00D4252D"/>
    <w:rsid w:val="00D4529F"/>
    <w:rsid w:val="00D4616D"/>
    <w:rsid w:val="00D50111"/>
    <w:rsid w:val="00D52FC8"/>
    <w:rsid w:val="00D536C6"/>
    <w:rsid w:val="00D53713"/>
    <w:rsid w:val="00D5634C"/>
    <w:rsid w:val="00D57C53"/>
    <w:rsid w:val="00D60EEA"/>
    <w:rsid w:val="00D61C8E"/>
    <w:rsid w:val="00D63FCF"/>
    <w:rsid w:val="00D64FAD"/>
    <w:rsid w:val="00D67877"/>
    <w:rsid w:val="00D710F9"/>
    <w:rsid w:val="00D71857"/>
    <w:rsid w:val="00D77501"/>
    <w:rsid w:val="00D777FF"/>
    <w:rsid w:val="00D83522"/>
    <w:rsid w:val="00D90D7F"/>
    <w:rsid w:val="00DA1661"/>
    <w:rsid w:val="00DA2293"/>
    <w:rsid w:val="00DB0086"/>
    <w:rsid w:val="00DB1FB6"/>
    <w:rsid w:val="00DB35B5"/>
    <w:rsid w:val="00DC24B3"/>
    <w:rsid w:val="00DC77CC"/>
    <w:rsid w:val="00DE039A"/>
    <w:rsid w:val="00DF1159"/>
    <w:rsid w:val="00DF1829"/>
    <w:rsid w:val="00DF4CB6"/>
    <w:rsid w:val="00E039C3"/>
    <w:rsid w:val="00E12AD0"/>
    <w:rsid w:val="00E12E07"/>
    <w:rsid w:val="00E12F76"/>
    <w:rsid w:val="00E16320"/>
    <w:rsid w:val="00E21A0B"/>
    <w:rsid w:val="00E230F8"/>
    <w:rsid w:val="00E2662F"/>
    <w:rsid w:val="00E31398"/>
    <w:rsid w:val="00E31850"/>
    <w:rsid w:val="00E33F20"/>
    <w:rsid w:val="00E3790F"/>
    <w:rsid w:val="00E37C5C"/>
    <w:rsid w:val="00E41451"/>
    <w:rsid w:val="00E47EC9"/>
    <w:rsid w:val="00E539F1"/>
    <w:rsid w:val="00E563B1"/>
    <w:rsid w:val="00E6130C"/>
    <w:rsid w:val="00E61652"/>
    <w:rsid w:val="00E66929"/>
    <w:rsid w:val="00E73575"/>
    <w:rsid w:val="00E8169E"/>
    <w:rsid w:val="00E85B48"/>
    <w:rsid w:val="00E96CCD"/>
    <w:rsid w:val="00E97339"/>
    <w:rsid w:val="00EA1DAB"/>
    <w:rsid w:val="00EC2177"/>
    <w:rsid w:val="00ED18BE"/>
    <w:rsid w:val="00ED472B"/>
    <w:rsid w:val="00ED55BD"/>
    <w:rsid w:val="00EE1DC1"/>
    <w:rsid w:val="00EF3FDF"/>
    <w:rsid w:val="00EF6DC3"/>
    <w:rsid w:val="00F0347F"/>
    <w:rsid w:val="00F037DE"/>
    <w:rsid w:val="00F04E77"/>
    <w:rsid w:val="00F13D84"/>
    <w:rsid w:val="00F1722E"/>
    <w:rsid w:val="00F20DDE"/>
    <w:rsid w:val="00F22B21"/>
    <w:rsid w:val="00F25BF8"/>
    <w:rsid w:val="00F43E92"/>
    <w:rsid w:val="00F52E82"/>
    <w:rsid w:val="00F602C0"/>
    <w:rsid w:val="00F6093C"/>
    <w:rsid w:val="00F60EC6"/>
    <w:rsid w:val="00F623D0"/>
    <w:rsid w:val="00F64911"/>
    <w:rsid w:val="00F71AC1"/>
    <w:rsid w:val="00F7219C"/>
    <w:rsid w:val="00F7458D"/>
    <w:rsid w:val="00F77B84"/>
    <w:rsid w:val="00F80598"/>
    <w:rsid w:val="00F83356"/>
    <w:rsid w:val="00F86CD7"/>
    <w:rsid w:val="00F91F0F"/>
    <w:rsid w:val="00F93693"/>
    <w:rsid w:val="00F97900"/>
    <w:rsid w:val="00FA3B61"/>
    <w:rsid w:val="00FA4D6C"/>
    <w:rsid w:val="00FB48ED"/>
    <w:rsid w:val="00FB6BC3"/>
    <w:rsid w:val="00FC00BD"/>
    <w:rsid w:val="00FC0C53"/>
    <w:rsid w:val="00FC0EE8"/>
    <w:rsid w:val="00FC2A2F"/>
    <w:rsid w:val="00FD131A"/>
    <w:rsid w:val="00FE3B2C"/>
    <w:rsid w:val="00FE7D2E"/>
    <w:rsid w:val="00FF1B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6093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F6093C"/>
    <w:rPr>
      <w:rFonts w:ascii="Times New Roman" w:hAnsi="Times New Roman"/>
      <w:sz w:val="20"/>
      <w:szCs w:val="20"/>
    </w:rPr>
  </w:style>
  <w:style w:type="character" w:styleId="FootnoteReference">
    <w:name w:val="footnote reference"/>
    <w:basedOn w:val="DefaultParagraphFont"/>
    <w:uiPriority w:val="99"/>
    <w:semiHidden/>
    <w:unhideWhenUsed/>
    <w:rsid w:val="00F6093C"/>
    <w:rPr>
      <w:vertAlign w:val="superscript"/>
    </w:rPr>
  </w:style>
  <w:style w:type="character" w:customStyle="1" w:styleId="UnresolvedMention1">
    <w:name w:val="Unresolved Mention1"/>
    <w:basedOn w:val="DefaultParagraphFont"/>
    <w:uiPriority w:val="99"/>
    <w:semiHidden/>
    <w:unhideWhenUsed/>
    <w:rsid w:val="00424134"/>
    <w:rPr>
      <w:color w:val="605E5C"/>
      <w:shd w:val="clear" w:color="auto" w:fill="E1DFDD"/>
    </w:rPr>
  </w:style>
  <w:style w:type="character" w:customStyle="1" w:styleId="UnresolvedMention2">
    <w:name w:val="Unresolved Mention2"/>
    <w:basedOn w:val="DefaultParagraphFont"/>
    <w:uiPriority w:val="99"/>
    <w:semiHidden/>
    <w:unhideWhenUsed/>
    <w:rsid w:val="00A44494"/>
    <w:rPr>
      <w:color w:val="605E5C"/>
      <w:shd w:val="clear" w:color="auto" w:fill="E1DFDD"/>
    </w:rPr>
  </w:style>
  <w:style w:type="paragraph" w:styleId="Revision">
    <w:name w:val="Revision"/>
    <w:hidden/>
    <w:uiPriority w:val="99"/>
    <w:semiHidden/>
    <w:rsid w:val="00D407D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2155">
      <w:bodyDiv w:val="1"/>
      <w:marLeft w:val="0"/>
      <w:marRight w:val="0"/>
      <w:marTop w:val="0"/>
      <w:marBottom w:val="0"/>
      <w:divBdr>
        <w:top w:val="none" w:sz="0" w:space="0" w:color="auto"/>
        <w:left w:val="none" w:sz="0" w:space="0" w:color="auto"/>
        <w:bottom w:val="none" w:sz="0" w:space="0" w:color="auto"/>
        <w:right w:val="none" w:sz="0" w:space="0" w:color="auto"/>
      </w:divBdr>
    </w:div>
    <w:div w:id="197933651">
      <w:bodyDiv w:val="1"/>
      <w:marLeft w:val="0"/>
      <w:marRight w:val="0"/>
      <w:marTop w:val="0"/>
      <w:marBottom w:val="0"/>
      <w:divBdr>
        <w:top w:val="none" w:sz="0" w:space="0" w:color="auto"/>
        <w:left w:val="none" w:sz="0" w:space="0" w:color="auto"/>
        <w:bottom w:val="none" w:sz="0" w:space="0" w:color="auto"/>
        <w:right w:val="none" w:sz="0" w:space="0" w:color="auto"/>
      </w:divBdr>
    </w:div>
    <w:div w:id="46527129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0204.A420234319.15.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2022-04-12T08:26:00Z</dcterms:created>
  <dcterms:modified xsi:type="dcterms:W3CDTF">2022-04-12T11:47:00Z</dcterms:modified>
</cp:coreProperties>
</file>