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345AB" w14:textId="43339CF2" w:rsidR="00912B0E" w:rsidRPr="00237C03" w:rsidRDefault="00912B0E" w:rsidP="00912B0E">
      <w:pPr>
        <w:tabs>
          <w:tab w:val="left" w:pos="3318"/>
        </w:tabs>
        <w:spacing w:after="0" w:line="276" w:lineRule="auto"/>
        <w:jc w:val="both"/>
        <w:rPr>
          <w:rFonts w:cs="Times New Roman"/>
          <w:b/>
          <w:bCs/>
          <w:szCs w:val="24"/>
        </w:rPr>
      </w:pPr>
      <w:r w:rsidRPr="00237C03">
        <w:rPr>
          <w:rFonts w:cs="Times New Roman"/>
          <w:b/>
          <w:bCs/>
          <w:szCs w:val="24"/>
        </w:rPr>
        <w:t>Likvidatora atbildība par parādnieka grāmatvedības dokumentu nenodošanu maksātnespējas procesa administratoram</w:t>
      </w:r>
    </w:p>
    <w:p w14:paraId="53C18AE3" w14:textId="77777777" w:rsidR="00912B0E" w:rsidRPr="00237C03" w:rsidRDefault="00912B0E" w:rsidP="00912B0E">
      <w:pPr>
        <w:tabs>
          <w:tab w:val="left" w:pos="3318"/>
        </w:tabs>
        <w:spacing w:after="0" w:line="276" w:lineRule="auto"/>
        <w:jc w:val="both"/>
        <w:rPr>
          <w:rFonts w:cs="Times New Roman"/>
          <w:szCs w:val="24"/>
        </w:rPr>
      </w:pPr>
      <w:r w:rsidRPr="00237C03">
        <w:rPr>
          <w:rFonts w:cs="Times New Roman"/>
          <w:szCs w:val="24"/>
        </w:rPr>
        <w:t>Maksātnespējas likuma 72.</w:t>
      </w:r>
      <w:r w:rsidRPr="00237C03">
        <w:rPr>
          <w:rFonts w:cs="Times New Roman"/>
          <w:szCs w:val="24"/>
          <w:vertAlign w:val="superscript"/>
        </w:rPr>
        <w:t>1</w:t>
      </w:r>
      <w:r w:rsidRPr="00237C03">
        <w:rPr>
          <w:rFonts w:cs="Times New Roman"/>
          <w:szCs w:val="24"/>
        </w:rPr>
        <w:t> panta normā paredzētā kapitālsabiedrības valdes locekļu atbildība par dokumentu nenodošanu attiecināma arī uz sabiedrības likvidatoru.</w:t>
      </w:r>
    </w:p>
    <w:p w14:paraId="22A48111" w14:textId="6F522385" w:rsidR="001F378C" w:rsidRPr="00237C03" w:rsidRDefault="001F378C" w:rsidP="001F378C">
      <w:pPr>
        <w:spacing w:after="0" w:line="276" w:lineRule="auto"/>
        <w:ind w:right="-1"/>
        <w:jc w:val="center"/>
        <w:rPr>
          <w:rFonts w:eastAsia="Times New Roman" w:cs="Times New Roman"/>
          <w:szCs w:val="24"/>
          <w:lang w:eastAsia="lv-LV"/>
        </w:rPr>
      </w:pPr>
    </w:p>
    <w:p w14:paraId="1BF8341B" w14:textId="3642CFBA" w:rsidR="001F378C" w:rsidRPr="00237C03" w:rsidRDefault="001F378C" w:rsidP="00E0761C">
      <w:pPr>
        <w:spacing w:after="0" w:line="276" w:lineRule="auto"/>
        <w:ind w:right="2"/>
        <w:jc w:val="center"/>
        <w:rPr>
          <w:rFonts w:eastAsia="Times New Roman" w:cs="Times New Roman"/>
          <w:b/>
          <w:szCs w:val="24"/>
          <w:lang w:eastAsia="lv-LV"/>
        </w:rPr>
      </w:pPr>
      <w:r w:rsidRPr="00237C03">
        <w:rPr>
          <w:rFonts w:eastAsia="Times New Roman" w:cs="Times New Roman"/>
          <w:b/>
          <w:szCs w:val="24"/>
          <w:lang w:eastAsia="lv-LV"/>
        </w:rPr>
        <w:t>Latvijas Republikas Senāt</w:t>
      </w:r>
      <w:r w:rsidR="00912B0E" w:rsidRPr="00237C03">
        <w:rPr>
          <w:rFonts w:eastAsia="Times New Roman" w:cs="Times New Roman"/>
          <w:b/>
          <w:szCs w:val="24"/>
          <w:lang w:eastAsia="lv-LV"/>
        </w:rPr>
        <w:t>a</w:t>
      </w:r>
    </w:p>
    <w:p w14:paraId="3C27E31E" w14:textId="7388B019" w:rsidR="00912B0E" w:rsidRPr="00237C03" w:rsidRDefault="00912B0E" w:rsidP="00E0761C">
      <w:pPr>
        <w:spacing w:after="0" w:line="276" w:lineRule="auto"/>
        <w:ind w:right="2"/>
        <w:jc w:val="center"/>
        <w:rPr>
          <w:rFonts w:eastAsia="Times New Roman" w:cs="Times New Roman"/>
          <w:b/>
          <w:szCs w:val="24"/>
          <w:lang w:eastAsia="lv-LV"/>
        </w:rPr>
      </w:pPr>
      <w:r w:rsidRPr="00237C03">
        <w:rPr>
          <w:rFonts w:eastAsia="Times New Roman" w:cs="Times New Roman"/>
          <w:b/>
          <w:szCs w:val="24"/>
          <w:lang w:eastAsia="lv-LV"/>
        </w:rPr>
        <w:t>Civillietu departamenta</w:t>
      </w:r>
    </w:p>
    <w:p w14:paraId="5DD8A6AB" w14:textId="61EC3120" w:rsidR="00912B0E" w:rsidRPr="00237C03" w:rsidRDefault="00912B0E" w:rsidP="00E0761C">
      <w:pPr>
        <w:spacing w:after="0" w:line="276" w:lineRule="auto"/>
        <w:ind w:right="2"/>
        <w:jc w:val="center"/>
        <w:rPr>
          <w:rFonts w:eastAsia="Times New Roman" w:cs="Times New Roman"/>
          <w:b/>
          <w:szCs w:val="24"/>
          <w:lang w:eastAsia="lv-LV"/>
        </w:rPr>
      </w:pPr>
      <w:proofErr w:type="gramStart"/>
      <w:r w:rsidRPr="00237C03">
        <w:rPr>
          <w:rFonts w:eastAsia="Times New Roman" w:cs="Times New Roman"/>
          <w:b/>
          <w:szCs w:val="24"/>
          <w:lang w:eastAsia="lv-LV"/>
        </w:rPr>
        <w:t>2022.gada</w:t>
      </w:r>
      <w:proofErr w:type="gramEnd"/>
      <w:r w:rsidRPr="00237C03">
        <w:rPr>
          <w:rFonts w:eastAsia="Times New Roman" w:cs="Times New Roman"/>
          <w:b/>
          <w:szCs w:val="24"/>
          <w:lang w:eastAsia="lv-LV"/>
        </w:rPr>
        <w:t xml:space="preserve"> 12.maija</w:t>
      </w:r>
    </w:p>
    <w:p w14:paraId="1BF3BBDD" w14:textId="28392F1D" w:rsidR="001F378C" w:rsidRPr="00237C03" w:rsidRDefault="001F378C" w:rsidP="00E0761C">
      <w:pPr>
        <w:spacing w:after="0" w:line="276" w:lineRule="auto"/>
        <w:ind w:right="2"/>
        <w:jc w:val="center"/>
        <w:rPr>
          <w:rFonts w:eastAsia="Times New Roman" w:cs="Times New Roman"/>
          <w:b/>
          <w:szCs w:val="24"/>
          <w:lang w:eastAsia="lv-LV"/>
        </w:rPr>
      </w:pPr>
      <w:r w:rsidRPr="00237C03">
        <w:rPr>
          <w:rFonts w:eastAsia="Times New Roman" w:cs="Times New Roman"/>
          <w:b/>
          <w:szCs w:val="24"/>
          <w:lang w:eastAsia="lv-LV"/>
        </w:rPr>
        <w:t>SPRIEDUMS</w:t>
      </w:r>
    </w:p>
    <w:p w14:paraId="5B5F458C" w14:textId="77777777" w:rsidR="00912B0E" w:rsidRPr="00237C03" w:rsidRDefault="00912B0E" w:rsidP="00912B0E">
      <w:pPr>
        <w:spacing w:after="0" w:line="276" w:lineRule="auto"/>
        <w:ind w:right="-1"/>
        <w:jc w:val="center"/>
        <w:rPr>
          <w:rFonts w:eastAsia="Times New Roman" w:cs="Times New Roman"/>
          <w:b/>
          <w:szCs w:val="24"/>
          <w:lang w:eastAsia="lv-LV"/>
        </w:rPr>
      </w:pPr>
      <w:r w:rsidRPr="00237C03">
        <w:rPr>
          <w:rFonts w:eastAsia="Times New Roman" w:cs="Times New Roman"/>
          <w:b/>
          <w:szCs w:val="24"/>
          <w:lang w:eastAsia="lv-LV"/>
        </w:rPr>
        <w:t>Lieta Nr. C73317321, SKC-496/2022</w:t>
      </w:r>
    </w:p>
    <w:p w14:paraId="34D14560" w14:textId="56B6620C" w:rsidR="00912B0E" w:rsidRPr="00237C03" w:rsidRDefault="00237C03" w:rsidP="00E0761C">
      <w:pPr>
        <w:spacing w:after="0" w:line="276" w:lineRule="auto"/>
        <w:ind w:right="2"/>
        <w:jc w:val="center"/>
        <w:rPr>
          <w:rFonts w:eastAsia="Times New Roman" w:cs="Times New Roman"/>
          <w:b/>
          <w:szCs w:val="24"/>
          <w:lang w:eastAsia="lv-LV"/>
        </w:rPr>
      </w:pPr>
      <w:hyperlink r:id="rId7" w:history="1">
        <w:r w:rsidR="00912B0E" w:rsidRPr="00237C03">
          <w:rPr>
            <w:rStyle w:val="Hyperlink"/>
            <w:rFonts w:cs="Times New Roman"/>
            <w:szCs w:val="24"/>
            <w:shd w:val="clear" w:color="auto" w:fill="FFFFFF"/>
          </w:rPr>
          <w:t>ECLI:LV:AT:2022:0512.C73317321.11.S</w:t>
        </w:r>
      </w:hyperlink>
    </w:p>
    <w:p w14:paraId="1232B2B1" w14:textId="77777777" w:rsidR="00486982" w:rsidRPr="00237C03" w:rsidRDefault="00486982" w:rsidP="001F378C">
      <w:pPr>
        <w:spacing w:after="0" w:line="276" w:lineRule="auto"/>
        <w:ind w:right="-1"/>
        <w:jc w:val="both"/>
        <w:rPr>
          <w:rFonts w:eastAsia="Times New Roman" w:cs="Times New Roman"/>
          <w:szCs w:val="24"/>
          <w:lang w:eastAsia="lv-LV"/>
        </w:rPr>
      </w:pPr>
    </w:p>
    <w:p w14:paraId="325B5254" w14:textId="77777777" w:rsidR="001F378C" w:rsidRPr="00237C03" w:rsidRDefault="001F378C" w:rsidP="001F378C">
      <w:pPr>
        <w:spacing w:after="0" w:line="276" w:lineRule="auto"/>
        <w:ind w:right="-1"/>
        <w:jc w:val="both"/>
        <w:rPr>
          <w:rFonts w:eastAsia="Times New Roman" w:cs="Times New Roman"/>
          <w:szCs w:val="24"/>
          <w:lang w:eastAsia="lv-LV"/>
        </w:rPr>
      </w:pPr>
      <w:r w:rsidRPr="00237C03">
        <w:rPr>
          <w:rFonts w:eastAsia="Times New Roman" w:cs="Times New Roman"/>
          <w:szCs w:val="24"/>
          <w:lang w:eastAsia="lv-LV"/>
        </w:rPr>
        <w:t>Senāts šādā sastāvā:</w:t>
      </w:r>
    </w:p>
    <w:p w14:paraId="7472369B" w14:textId="77777777" w:rsidR="001F378C" w:rsidRPr="00237C03" w:rsidRDefault="001F378C" w:rsidP="001F378C">
      <w:pPr>
        <w:spacing w:after="0" w:line="276" w:lineRule="auto"/>
        <w:ind w:right="-1" w:firstLine="720"/>
        <w:jc w:val="both"/>
        <w:rPr>
          <w:rFonts w:eastAsia="Times New Roman" w:cs="Times New Roman"/>
          <w:szCs w:val="24"/>
          <w:lang w:eastAsia="lv-LV"/>
        </w:rPr>
      </w:pPr>
      <w:bookmarkStart w:id="0" w:name="_Hlk71812598"/>
      <w:r w:rsidRPr="00237C03">
        <w:rPr>
          <w:rFonts w:eastAsia="Times New Roman" w:cs="Times New Roman"/>
          <w:szCs w:val="24"/>
          <w:lang w:eastAsia="lv-LV"/>
        </w:rPr>
        <w:t>senators referents Intars Bisters,</w:t>
      </w:r>
    </w:p>
    <w:p w14:paraId="5CA5CD32" w14:textId="6BBA9081" w:rsidR="001F378C" w:rsidRPr="00237C03" w:rsidRDefault="00A2449F" w:rsidP="001F378C">
      <w:pPr>
        <w:spacing w:after="0" w:line="276" w:lineRule="auto"/>
        <w:ind w:right="143" w:firstLine="720"/>
        <w:jc w:val="both"/>
        <w:rPr>
          <w:rFonts w:eastAsia="Times New Roman" w:cs="Times New Roman"/>
          <w:szCs w:val="24"/>
          <w:lang w:eastAsia="lv-LV"/>
        </w:rPr>
      </w:pPr>
      <w:r w:rsidRPr="00237C03">
        <w:rPr>
          <w:rFonts w:eastAsia="Times New Roman" w:cs="Times New Roman"/>
          <w:szCs w:val="24"/>
          <w:lang w:eastAsia="lv-LV"/>
        </w:rPr>
        <w:t>senatore Dzintra Balta</w:t>
      </w:r>
      <w:r w:rsidR="001F378C" w:rsidRPr="00237C03">
        <w:rPr>
          <w:rFonts w:eastAsia="Times New Roman" w:cs="Times New Roman"/>
          <w:szCs w:val="24"/>
          <w:lang w:eastAsia="lv-LV"/>
        </w:rPr>
        <w:t>,</w:t>
      </w:r>
    </w:p>
    <w:p w14:paraId="5FBDDECA" w14:textId="0A294617" w:rsidR="001F378C" w:rsidRPr="00237C03" w:rsidRDefault="001F378C" w:rsidP="001F378C">
      <w:pPr>
        <w:spacing w:after="0" w:line="276" w:lineRule="auto"/>
        <w:ind w:right="143" w:firstLine="720"/>
        <w:jc w:val="both"/>
        <w:rPr>
          <w:rFonts w:eastAsia="Times New Roman" w:cs="Times New Roman"/>
          <w:szCs w:val="24"/>
          <w:lang w:eastAsia="lv-LV"/>
        </w:rPr>
      </w:pPr>
      <w:r w:rsidRPr="00237C03">
        <w:rPr>
          <w:rFonts w:eastAsia="Times New Roman" w:cs="Times New Roman"/>
          <w:szCs w:val="24"/>
          <w:lang w:eastAsia="lv-LV"/>
        </w:rPr>
        <w:t xml:space="preserve">senatore </w:t>
      </w:r>
      <w:r w:rsidR="00A2449F" w:rsidRPr="00237C03">
        <w:rPr>
          <w:rFonts w:eastAsia="Times New Roman" w:cs="Times New Roman"/>
          <w:szCs w:val="24"/>
          <w:lang w:eastAsia="lv-LV"/>
        </w:rPr>
        <w:t>Kristīne Zīle</w:t>
      </w:r>
    </w:p>
    <w:bookmarkEnd w:id="0"/>
    <w:p w14:paraId="6B524930" w14:textId="77777777" w:rsidR="00912B0E" w:rsidRPr="00237C03" w:rsidRDefault="00912B0E" w:rsidP="00D875EE">
      <w:pPr>
        <w:spacing w:after="0" w:line="276" w:lineRule="auto"/>
        <w:ind w:right="-1"/>
        <w:jc w:val="both"/>
        <w:rPr>
          <w:rFonts w:cs="Times New Roman"/>
          <w:szCs w:val="24"/>
        </w:rPr>
      </w:pPr>
    </w:p>
    <w:p w14:paraId="5C867F8A" w14:textId="19E2BFD4" w:rsidR="001F378C" w:rsidRPr="00237C03" w:rsidRDefault="001F378C" w:rsidP="00D875EE">
      <w:pPr>
        <w:spacing w:after="0" w:line="276" w:lineRule="auto"/>
        <w:ind w:right="-1"/>
        <w:jc w:val="both"/>
        <w:rPr>
          <w:rFonts w:cs="Times New Roman"/>
          <w:szCs w:val="24"/>
        </w:rPr>
      </w:pPr>
      <w:r w:rsidRPr="00237C03">
        <w:rPr>
          <w:rFonts w:cs="Times New Roman"/>
          <w:szCs w:val="24"/>
        </w:rPr>
        <w:t xml:space="preserve">izskatīja rakstveida procesā </w:t>
      </w:r>
      <w:r w:rsidR="006D6C8C" w:rsidRPr="00237C03">
        <w:rPr>
          <w:rFonts w:cs="Times New Roman"/>
          <w:szCs w:val="24"/>
        </w:rPr>
        <w:t>maksātnespējīgās SIA </w:t>
      </w:r>
      <w:r w:rsidR="007C174F" w:rsidRPr="00237C03">
        <w:rPr>
          <w:rFonts w:cs="Times New Roman"/>
          <w:szCs w:val="24"/>
        </w:rPr>
        <w:t>„</w:t>
      </w:r>
      <w:proofErr w:type="spellStart"/>
      <w:r w:rsidR="006D6C8C" w:rsidRPr="00237C03">
        <w:rPr>
          <w:rFonts w:cs="Times New Roman"/>
          <w:szCs w:val="24"/>
        </w:rPr>
        <w:t>Unelux</w:t>
      </w:r>
      <w:proofErr w:type="spellEnd"/>
      <w:r w:rsidR="006D6C8C" w:rsidRPr="00237C03">
        <w:rPr>
          <w:rFonts w:cs="Times New Roman"/>
          <w:szCs w:val="24"/>
        </w:rPr>
        <w:t>”</w:t>
      </w:r>
      <w:r w:rsidRPr="00237C03">
        <w:rPr>
          <w:rFonts w:cs="Times New Roman"/>
          <w:szCs w:val="24"/>
        </w:rPr>
        <w:t xml:space="preserve"> </w:t>
      </w:r>
      <w:r w:rsidR="00266B6F" w:rsidRPr="00237C03">
        <w:rPr>
          <w:rFonts w:cs="Times New Roman"/>
          <w:szCs w:val="24"/>
        </w:rPr>
        <w:t xml:space="preserve">administratora </w:t>
      </w:r>
      <w:r w:rsidRPr="00237C03">
        <w:rPr>
          <w:rFonts w:cs="Times New Roman"/>
          <w:szCs w:val="24"/>
        </w:rPr>
        <w:t xml:space="preserve">kasācijas sūdzību par </w:t>
      </w:r>
      <w:r w:rsidR="00D875EE" w:rsidRPr="00237C03">
        <w:rPr>
          <w:rFonts w:cs="Times New Roman"/>
          <w:szCs w:val="24"/>
        </w:rPr>
        <w:t>Zemgales apgabaltiesas</w:t>
      </w:r>
      <w:r w:rsidRPr="00237C03">
        <w:rPr>
          <w:rFonts w:cs="Times New Roman"/>
          <w:szCs w:val="24"/>
        </w:rPr>
        <w:t xml:space="preserve"> </w:t>
      </w:r>
      <w:proofErr w:type="gramStart"/>
      <w:r w:rsidR="00D875EE" w:rsidRPr="00237C03">
        <w:rPr>
          <w:rFonts w:cs="Times New Roman"/>
          <w:szCs w:val="24"/>
        </w:rPr>
        <w:t>2021.gada</w:t>
      </w:r>
      <w:proofErr w:type="gramEnd"/>
      <w:r w:rsidR="00D875EE" w:rsidRPr="00237C03">
        <w:rPr>
          <w:rFonts w:cs="Times New Roman"/>
          <w:szCs w:val="24"/>
        </w:rPr>
        <w:t xml:space="preserve"> 23.decembra</w:t>
      </w:r>
      <w:r w:rsidRPr="00237C03">
        <w:rPr>
          <w:rFonts w:cs="Times New Roman"/>
          <w:szCs w:val="24"/>
        </w:rPr>
        <w:t xml:space="preserve"> spriedumu civillietā </w:t>
      </w:r>
      <w:r w:rsidR="00D875EE" w:rsidRPr="00237C03">
        <w:rPr>
          <w:rFonts w:cs="Times New Roman"/>
          <w:szCs w:val="24"/>
        </w:rPr>
        <w:t>MSIA </w:t>
      </w:r>
      <w:r w:rsidR="007C174F" w:rsidRPr="00237C03">
        <w:rPr>
          <w:rFonts w:cs="Times New Roman"/>
          <w:szCs w:val="24"/>
        </w:rPr>
        <w:t>„</w:t>
      </w:r>
      <w:proofErr w:type="spellStart"/>
      <w:r w:rsidR="00D875EE" w:rsidRPr="00237C03">
        <w:rPr>
          <w:rFonts w:cs="Times New Roman"/>
          <w:szCs w:val="24"/>
        </w:rPr>
        <w:t>Unelux</w:t>
      </w:r>
      <w:proofErr w:type="spellEnd"/>
      <w:r w:rsidR="00D875EE" w:rsidRPr="00237C03">
        <w:rPr>
          <w:rFonts w:cs="Times New Roman"/>
          <w:szCs w:val="24"/>
        </w:rPr>
        <w:t xml:space="preserve">” prasībā pret </w:t>
      </w:r>
      <w:r w:rsidR="00912B0E" w:rsidRPr="00237C03">
        <w:rPr>
          <w:rFonts w:cs="Times New Roman"/>
          <w:szCs w:val="24"/>
        </w:rPr>
        <w:t>[pers. A]</w:t>
      </w:r>
      <w:r w:rsidR="00D875EE" w:rsidRPr="00237C03">
        <w:rPr>
          <w:rFonts w:cs="Times New Roman"/>
          <w:szCs w:val="24"/>
        </w:rPr>
        <w:t xml:space="preserve"> un </w:t>
      </w:r>
      <w:r w:rsidR="00D02C1B" w:rsidRPr="00237C03">
        <w:rPr>
          <w:rFonts w:cs="Times New Roman"/>
          <w:szCs w:val="24"/>
        </w:rPr>
        <w:t>[pers. B]</w:t>
      </w:r>
      <w:r w:rsidR="00D875EE" w:rsidRPr="00237C03">
        <w:rPr>
          <w:rFonts w:cs="Times New Roman"/>
          <w:szCs w:val="24"/>
        </w:rPr>
        <w:t xml:space="preserve"> par zaudējumu piedziņu.</w:t>
      </w:r>
    </w:p>
    <w:p w14:paraId="521EDA8A" w14:textId="77777777" w:rsidR="00C66599" w:rsidRPr="00237C03" w:rsidRDefault="00C66599" w:rsidP="00D875EE">
      <w:pPr>
        <w:spacing w:after="0" w:line="276" w:lineRule="auto"/>
        <w:ind w:right="-1"/>
        <w:jc w:val="both"/>
        <w:rPr>
          <w:rFonts w:cs="Times New Roman"/>
          <w:szCs w:val="24"/>
        </w:rPr>
      </w:pPr>
    </w:p>
    <w:p w14:paraId="2ED7BDEE" w14:textId="77777777" w:rsidR="001F378C" w:rsidRPr="00237C03" w:rsidRDefault="001F378C" w:rsidP="001F378C">
      <w:pPr>
        <w:spacing w:after="0" w:line="276" w:lineRule="auto"/>
        <w:ind w:right="-1"/>
        <w:jc w:val="center"/>
        <w:rPr>
          <w:rFonts w:eastAsia="Times New Roman" w:cs="Times New Roman"/>
          <w:b/>
          <w:szCs w:val="24"/>
          <w:lang w:eastAsia="lv-LV"/>
        </w:rPr>
      </w:pPr>
      <w:r w:rsidRPr="00237C03">
        <w:rPr>
          <w:rFonts w:eastAsia="Times New Roman" w:cs="Times New Roman"/>
          <w:b/>
          <w:szCs w:val="24"/>
          <w:lang w:eastAsia="lv-LV"/>
        </w:rPr>
        <w:t>Aprakstošā daļa</w:t>
      </w:r>
    </w:p>
    <w:p w14:paraId="259E2369" w14:textId="77777777" w:rsidR="001F378C" w:rsidRPr="00237C03" w:rsidRDefault="001F378C" w:rsidP="001F378C">
      <w:pPr>
        <w:spacing w:after="0" w:line="276" w:lineRule="auto"/>
        <w:ind w:right="-1"/>
        <w:jc w:val="center"/>
        <w:rPr>
          <w:rFonts w:eastAsia="Times New Roman" w:cs="Times New Roman"/>
          <w:b/>
          <w:szCs w:val="24"/>
          <w:lang w:eastAsia="lv-LV"/>
        </w:rPr>
      </w:pPr>
    </w:p>
    <w:p w14:paraId="51CAD9B6" w14:textId="2917DC23" w:rsidR="00A62640" w:rsidRPr="00237C03" w:rsidRDefault="00D875EE" w:rsidP="00C66599">
      <w:pPr>
        <w:spacing w:after="0" w:line="276" w:lineRule="auto"/>
        <w:ind w:firstLine="567"/>
        <w:jc w:val="both"/>
        <w:rPr>
          <w:rFonts w:cs="Times New Roman"/>
          <w:szCs w:val="24"/>
        </w:rPr>
      </w:pPr>
      <w:r w:rsidRPr="00237C03">
        <w:rPr>
          <w:rFonts w:cs="Times New Roman"/>
          <w:szCs w:val="24"/>
        </w:rPr>
        <w:t>[1]</w:t>
      </w:r>
      <w:r w:rsidR="00D02C1B" w:rsidRPr="00237C03">
        <w:rPr>
          <w:rFonts w:cs="Times New Roman"/>
          <w:szCs w:val="24"/>
        </w:rPr>
        <w:t xml:space="preserve"> </w:t>
      </w:r>
      <w:r w:rsidR="00266B6F" w:rsidRPr="00237C03">
        <w:rPr>
          <w:rFonts w:cs="Times New Roman"/>
          <w:szCs w:val="24"/>
        </w:rPr>
        <w:t xml:space="preserve">Ar </w:t>
      </w:r>
      <w:r w:rsidRPr="00237C03">
        <w:rPr>
          <w:rFonts w:cs="Times New Roman"/>
          <w:szCs w:val="24"/>
        </w:rPr>
        <w:t>Z</w:t>
      </w:r>
      <w:r w:rsidR="00E55B9A" w:rsidRPr="00237C03">
        <w:rPr>
          <w:rFonts w:cs="Times New Roman"/>
          <w:szCs w:val="24"/>
        </w:rPr>
        <w:t>emgales apgabaltiesa</w:t>
      </w:r>
      <w:r w:rsidR="00266B6F" w:rsidRPr="00237C03">
        <w:rPr>
          <w:rFonts w:cs="Times New Roman"/>
          <w:szCs w:val="24"/>
        </w:rPr>
        <w:t>s</w:t>
      </w:r>
      <w:r w:rsidRPr="00237C03">
        <w:rPr>
          <w:rFonts w:cs="Times New Roman"/>
          <w:szCs w:val="24"/>
        </w:rPr>
        <w:t xml:space="preserve"> </w:t>
      </w:r>
      <w:proofErr w:type="gramStart"/>
      <w:r w:rsidR="00266B6F" w:rsidRPr="00237C03">
        <w:rPr>
          <w:rFonts w:cs="Times New Roman"/>
          <w:szCs w:val="24"/>
        </w:rPr>
        <w:t>2021.gada</w:t>
      </w:r>
      <w:proofErr w:type="gramEnd"/>
      <w:r w:rsidR="00266B6F" w:rsidRPr="00237C03">
        <w:rPr>
          <w:rFonts w:cs="Times New Roman"/>
          <w:szCs w:val="24"/>
        </w:rPr>
        <w:t xml:space="preserve"> 23.decembra spriedumu noraidīta </w:t>
      </w:r>
      <w:r w:rsidRPr="00237C03">
        <w:rPr>
          <w:rFonts w:cs="Times New Roman"/>
          <w:szCs w:val="24"/>
        </w:rPr>
        <w:t>MSIA </w:t>
      </w:r>
      <w:r w:rsidR="007C174F" w:rsidRPr="00237C03">
        <w:rPr>
          <w:rFonts w:cs="Times New Roman"/>
          <w:szCs w:val="24"/>
        </w:rPr>
        <w:t>„</w:t>
      </w:r>
      <w:proofErr w:type="spellStart"/>
      <w:r w:rsidRPr="00237C03">
        <w:rPr>
          <w:rFonts w:cs="Times New Roman"/>
          <w:szCs w:val="24"/>
        </w:rPr>
        <w:t>Unelux</w:t>
      </w:r>
      <w:proofErr w:type="spellEnd"/>
      <w:r w:rsidRPr="00237C03">
        <w:rPr>
          <w:rFonts w:cs="Times New Roman"/>
          <w:szCs w:val="24"/>
        </w:rPr>
        <w:t>”</w:t>
      </w:r>
      <w:r w:rsidR="00266B6F" w:rsidRPr="00237C03">
        <w:rPr>
          <w:rFonts w:cs="Times New Roman"/>
          <w:szCs w:val="24"/>
        </w:rPr>
        <w:t xml:space="preserve"> administratora</w:t>
      </w:r>
      <w:r w:rsidRPr="00237C03">
        <w:rPr>
          <w:rFonts w:cs="Times New Roman"/>
          <w:szCs w:val="24"/>
        </w:rPr>
        <w:t xml:space="preserve"> pras</w:t>
      </w:r>
      <w:r w:rsidR="00266B6F" w:rsidRPr="00237C03">
        <w:rPr>
          <w:rFonts w:cs="Times New Roman"/>
          <w:szCs w:val="24"/>
        </w:rPr>
        <w:t>ība</w:t>
      </w:r>
      <w:r w:rsidRPr="00237C03">
        <w:rPr>
          <w:rFonts w:cs="Times New Roman"/>
          <w:szCs w:val="24"/>
        </w:rPr>
        <w:t xml:space="preserve"> pret </w:t>
      </w:r>
      <w:r w:rsidR="009D01BD" w:rsidRPr="00237C03">
        <w:rPr>
          <w:rFonts w:cs="Times New Roman"/>
          <w:szCs w:val="24"/>
        </w:rPr>
        <w:t>sabiedrības</w:t>
      </w:r>
      <w:r w:rsidR="00266B6F" w:rsidRPr="00237C03">
        <w:rPr>
          <w:rFonts w:cs="Times New Roman"/>
          <w:szCs w:val="24"/>
        </w:rPr>
        <w:t xml:space="preserve"> pārstāvjiem </w:t>
      </w:r>
      <w:r w:rsidR="00D02C1B" w:rsidRPr="00237C03">
        <w:rPr>
          <w:rFonts w:cs="Times New Roman"/>
          <w:szCs w:val="24"/>
        </w:rPr>
        <w:t>[pers. A]</w:t>
      </w:r>
      <w:r w:rsidRPr="00237C03">
        <w:rPr>
          <w:rFonts w:cs="Times New Roman"/>
          <w:szCs w:val="24"/>
        </w:rPr>
        <w:t xml:space="preserve"> un </w:t>
      </w:r>
      <w:r w:rsidR="00D02C1B" w:rsidRPr="00237C03">
        <w:rPr>
          <w:rFonts w:cs="Times New Roman"/>
          <w:szCs w:val="24"/>
        </w:rPr>
        <w:t>[pers. B]</w:t>
      </w:r>
      <w:r w:rsidRPr="00237C03">
        <w:rPr>
          <w:rFonts w:cs="Times New Roman"/>
          <w:szCs w:val="24"/>
        </w:rPr>
        <w:t xml:space="preserve"> par zaudējumu </w:t>
      </w:r>
      <w:r w:rsidR="00266B6F" w:rsidRPr="00237C03">
        <w:rPr>
          <w:rFonts w:cs="Times New Roman"/>
          <w:szCs w:val="24"/>
        </w:rPr>
        <w:t>44 177,22 </w:t>
      </w:r>
      <w:proofErr w:type="spellStart"/>
      <w:r w:rsidR="00266B6F" w:rsidRPr="00237C03">
        <w:rPr>
          <w:rFonts w:cs="Times New Roman"/>
          <w:i/>
          <w:szCs w:val="24"/>
        </w:rPr>
        <w:t>euro</w:t>
      </w:r>
      <w:proofErr w:type="spellEnd"/>
      <w:r w:rsidR="00266B6F" w:rsidRPr="00237C03">
        <w:rPr>
          <w:rFonts w:cs="Times New Roman"/>
          <w:i/>
          <w:szCs w:val="24"/>
        </w:rPr>
        <w:t xml:space="preserve"> </w:t>
      </w:r>
      <w:r w:rsidR="00266B6F" w:rsidRPr="00237C03">
        <w:rPr>
          <w:rFonts w:cs="Times New Roman"/>
          <w:szCs w:val="24"/>
        </w:rPr>
        <w:t>piedziņu, kas celta, pamatojoties uz Maksātnespējas likuma 72.</w:t>
      </w:r>
      <w:r w:rsidR="00266B6F" w:rsidRPr="00237C03">
        <w:rPr>
          <w:rFonts w:cs="Times New Roman"/>
          <w:szCs w:val="24"/>
          <w:vertAlign w:val="superscript"/>
        </w:rPr>
        <w:t>1</w:t>
      </w:r>
      <w:r w:rsidR="00266B6F" w:rsidRPr="00237C03">
        <w:rPr>
          <w:rFonts w:cs="Times New Roman"/>
          <w:szCs w:val="24"/>
        </w:rPr>
        <w:t> panta pirmo daļu</w:t>
      </w:r>
      <w:r w:rsidR="00E42B79" w:rsidRPr="00237C03">
        <w:rPr>
          <w:rFonts w:cs="Times New Roman"/>
          <w:szCs w:val="24"/>
        </w:rPr>
        <w:t xml:space="preserve"> </w:t>
      </w:r>
      <w:r w:rsidR="00C37BE2" w:rsidRPr="00237C03">
        <w:rPr>
          <w:rFonts w:cs="Times New Roman"/>
          <w:szCs w:val="24"/>
        </w:rPr>
        <w:t>(</w:t>
      </w:r>
      <w:r w:rsidR="00E42B79" w:rsidRPr="00237C03">
        <w:rPr>
          <w:rFonts w:cs="Times New Roman"/>
          <w:szCs w:val="24"/>
        </w:rPr>
        <w:t>atbildīb</w:t>
      </w:r>
      <w:r w:rsidR="00C37BE2" w:rsidRPr="00237C03">
        <w:rPr>
          <w:rFonts w:cs="Times New Roman"/>
          <w:szCs w:val="24"/>
        </w:rPr>
        <w:t>a</w:t>
      </w:r>
      <w:r w:rsidR="00E42B79" w:rsidRPr="00237C03">
        <w:rPr>
          <w:rFonts w:cs="Times New Roman"/>
          <w:szCs w:val="24"/>
        </w:rPr>
        <w:t xml:space="preserve"> par grāmatvedības dokumentu nenodošanu</w:t>
      </w:r>
      <w:r w:rsidR="00C37BE2" w:rsidRPr="00237C03">
        <w:rPr>
          <w:rFonts w:cs="Times New Roman"/>
          <w:szCs w:val="24"/>
        </w:rPr>
        <w:t>)</w:t>
      </w:r>
      <w:r w:rsidR="00266B6F" w:rsidRPr="00237C03">
        <w:rPr>
          <w:rFonts w:cs="Times New Roman"/>
          <w:szCs w:val="24"/>
        </w:rPr>
        <w:t xml:space="preserve">. </w:t>
      </w:r>
    </w:p>
    <w:p w14:paraId="64A7FC51" w14:textId="2BB8DE9E" w:rsidR="00D875EE" w:rsidRPr="00237C03" w:rsidRDefault="002069A9" w:rsidP="00C66599">
      <w:pPr>
        <w:spacing w:after="0" w:line="276" w:lineRule="auto"/>
        <w:ind w:firstLine="567"/>
        <w:jc w:val="both"/>
        <w:rPr>
          <w:rFonts w:cs="Times New Roman"/>
          <w:szCs w:val="24"/>
        </w:rPr>
      </w:pPr>
      <w:r w:rsidRPr="00237C03">
        <w:rPr>
          <w:rFonts w:cs="Times New Roman"/>
          <w:szCs w:val="24"/>
        </w:rPr>
        <w:t>S</w:t>
      </w:r>
      <w:r w:rsidR="00E55B9A" w:rsidRPr="00237C03">
        <w:rPr>
          <w:rFonts w:cs="Times New Roman"/>
          <w:szCs w:val="24"/>
        </w:rPr>
        <w:t xml:space="preserve">priedumā norādīti šādi argumenti. </w:t>
      </w:r>
    </w:p>
    <w:p w14:paraId="66E1A426" w14:textId="62D51048" w:rsidR="00A04852" w:rsidRPr="00237C03" w:rsidRDefault="00D875EE" w:rsidP="00C66599">
      <w:pPr>
        <w:spacing w:after="0" w:line="276" w:lineRule="auto"/>
        <w:ind w:firstLine="567"/>
        <w:jc w:val="both"/>
        <w:rPr>
          <w:rFonts w:cs="Times New Roman"/>
          <w:szCs w:val="24"/>
        </w:rPr>
      </w:pPr>
      <w:r w:rsidRPr="00237C03">
        <w:rPr>
          <w:rFonts w:cs="Times New Roman"/>
          <w:szCs w:val="24"/>
        </w:rPr>
        <w:t>[1.1]</w:t>
      </w:r>
      <w:r w:rsidR="00D02C1B" w:rsidRPr="00237C03">
        <w:rPr>
          <w:rFonts w:cs="Times New Roman"/>
          <w:szCs w:val="24"/>
        </w:rPr>
        <w:t xml:space="preserve"> </w:t>
      </w:r>
      <w:r w:rsidR="00A04852" w:rsidRPr="00237C03">
        <w:rPr>
          <w:rFonts w:cs="Times New Roman"/>
          <w:szCs w:val="24"/>
        </w:rPr>
        <w:t>K</w:t>
      </w:r>
      <w:r w:rsidR="0044355D" w:rsidRPr="00237C03">
        <w:rPr>
          <w:rFonts w:cs="Times New Roman"/>
          <w:szCs w:val="24"/>
        </w:rPr>
        <w:t>onkrēt</w:t>
      </w:r>
      <w:r w:rsidR="00C37BE2" w:rsidRPr="00237C03">
        <w:rPr>
          <w:rFonts w:cs="Times New Roman"/>
          <w:szCs w:val="24"/>
        </w:rPr>
        <w:t xml:space="preserve">ā strīda izšķiršanā </w:t>
      </w:r>
      <w:r w:rsidR="0044355D" w:rsidRPr="00237C03">
        <w:rPr>
          <w:rFonts w:cs="Times New Roman"/>
          <w:szCs w:val="24"/>
        </w:rPr>
        <w:t>piemērojamas</w:t>
      </w:r>
      <w:r w:rsidR="00016C5D" w:rsidRPr="00237C03">
        <w:rPr>
          <w:rFonts w:cs="Times New Roman"/>
          <w:szCs w:val="24"/>
        </w:rPr>
        <w:t xml:space="preserve"> </w:t>
      </w:r>
      <w:bookmarkStart w:id="1" w:name="_Hlk102037018"/>
      <w:r w:rsidR="00A04852" w:rsidRPr="00237C03">
        <w:rPr>
          <w:rFonts w:cs="Times New Roman"/>
          <w:szCs w:val="24"/>
        </w:rPr>
        <w:t xml:space="preserve">Senāta </w:t>
      </w:r>
      <w:proofErr w:type="gramStart"/>
      <w:r w:rsidR="00A04852" w:rsidRPr="00237C03">
        <w:rPr>
          <w:rFonts w:cs="Times New Roman"/>
          <w:szCs w:val="24"/>
        </w:rPr>
        <w:t>2020.gada</w:t>
      </w:r>
      <w:proofErr w:type="gramEnd"/>
      <w:r w:rsidR="00A04852" w:rsidRPr="00237C03">
        <w:rPr>
          <w:rFonts w:cs="Times New Roman"/>
          <w:szCs w:val="24"/>
        </w:rPr>
        <w:t xml:space="preserve"> 18</w:t>
      </w:r>
      <w:r w:rsidR="00DA13EF" w:rsidRPr="00237C03">
        <w:rPr>
          <w:rFonts w:cs="Times New Roman"/>
          <w:szCs w:val="24"/>
        </w:rPr>
        <w:t xml:space="preserve">.decembra spriedumā lietā </w:t>
      </w:r>
      <w:proofErr w:type="spellStart"/>
      <w:r w:rsidR="00DA13EF" w:rsidRPr="00237C03">
        <w:rPr>
          <w:rFonts w:cs="Times New Roman"/>
          <w:szCs w:val="24"/>
        </w:rPr>
        <w:t>Nr.SKC</w:t>
      </w:r>
      <w:proofErr w:type="spellEnd"/>
      <w:r w:rsidR="00A04852" w:rsidRPr="00237C03">
        <w:rPr>
          <w:rFonts w:cs="Times New Roman"/>
          <w:szCs w:val="24"/>
        </w:rPr>
        <w:noBreakHyphen/>
        <w:t xml:space="preserve">314/2020 </w:t>
      </w:r>
      <w:r w:rsidR="00253DF7" w:rsidRPr="00237C03">
        <w:rPr>
          <w:rFonts w:cs="Times New Roman"/>
          <w:szCs w:val="24"/>
        </w:rPr>
        <w:t xml:space="preserve">un </w:t>
      </w:r>
      <w:r w:rsidR="00253DF7" w:rsidRPr="00237C03">
        <w:t xml:space="preserve">2019.gada 12.jūnija spriedumā lietā </w:t>
      </w:r>
      <w:proofErr w:type="spellStart"/>
      <w:r w:rsidR="00253DF7" w:rsidRPr="00237C03">
        <w:t>Nr.SKC-154</w:t>
      </w:r>
      <w:proofErr w:type="spellEnd"/>
      <w:r w:rsidR="00253DF7" w:rsidRPr="00237C03">
        <w:t xml:space="preserve">/2019 </w:t>
      </w:r>
      <w:r w:rsidR="00A04852" w:rsidRPr="00237C03">
        <w:rPr>
          <w:rFonts w:cs="Times New Roman"/>
          <w:szCs w:val="24"/>
        </w:rPr>
        <w:t xml:space="preserve">izteiktās atziņas, kas attiecas uz gadījumiem, kad </w:t>
      </w:r>
      <w:r w:rsidR="00451BA3" w:rsidRPr="00237C03">
        <w:rPr>
          <w:rFonts w:cs="Times New Roman"/>
          <w:szCs w:val="24"/>
        </w:rPr>
        <w:t xml:space="preserve">maksātnespējīgas sabiedrības </w:t>
      </w:r>
      <w:r w:rsidR="00A04852" w:rsidRPr="00237C03">
        <w:rPr>
          <w:rFonts w:cs="Times New Roman"/>
          <w:szCs w:val="24"/>
        </w:rPr>
        <w:t xml:space="preserve">grāmatvedības dokumenti </w:t>
      </w:r>
      <w:r w:rsidR="00451BA3" w:rsidRPr="00237C03">
        <w:rPr>
          <w:rFonts w:cs="Times New Roman"/>
          <w:szCs w:val="24"/>
        </w:rPr>
        <w:t xml:space="preserve">administratoram </w:t>
      </w:r>
      <w:r w:rsidR="00A04852" w:rsidRPr="00237C03">
        <w:rPr>
          <w:rFonts w:cs="Times New Roman"/>
          <w:szCs w:val="24"/>
        </w:rPr>
        <w:t>ir nodoti daļēji</w:t>
      </w:r>
      <w:bookmarkEnd w:id="1"/>
      <w:r w:rsidR="00A04852" w:rsidRPr="00237C03">
        <w:rPr>
          <w:rFonts w:cs="Times New Roman"/>
          <w:szCs w:val="24"/>
        </w:rPr>
        <w:t xml:space="preserve">. </w:t>
      </w:r>
    </w:p>
    <w:p w14:paraId="64E1FAD1" w14:textId="7A22DADB" w:rsidR="00FF19FA" w:rsidRPr="00237C03" w:rsidRDefault="00E87DF6" w:rsidP="00FF19FA">
      <w:pPr>
        <w:spacing w:after="0" w:line="276" w:lineRule="auto"/>
        <w:ind w:firstLine="567"/>
        <w:jc w:val="both"/>
        <w:rPr>
          <w:rFonts w:cs="Times New Roman"/>
          <w:szCs w:val="24"/>
        </w:rPr>
      </w:pPr>
      <w:r w:rsidRPr="00237C03">
        <w:rPr>
          <w:rFonts w:cs="Times New Roman"/>
          <w:szCs w:val="24"/>
        </w:rPr>
        <w:t>Proti, a</w:t>
      </w:r>
      <w:r w:rsidR="00A04852" w:rsidRPr="00237C03">
        <w:rPr>
          <w:rFonts w:cs="Times New Roman"/>
          <w:szCs w:val="24"/>
        </w:rPr>
        <w:t xml:space="preserve">dministratoram </w:t>
      </w:r>
      <w:r w:rsidR="007003D5" w:rsidRPr="00237C03">
        <w:rPr>
          <w:rFonts w:cs="Times New Roman"/>
          <w:szCs w:val="24"/>
        </w:rPr>
        <w:t>ir jānorāda</w:t>
      </w:r>
      <w:r w:rsidR="00A04852" w:rsidRPr="00237C03">
        <w:rPr>
          <w:rFonts w:cs="Times New Roman"/>
          <w:szCs w:val="24"/>
        </w:rPr>
        <w:t xml:space="preserve">, kādi tieši dokumenti nav </w:t>
      </w:r>
      <w:r w:rsidR="009636F6" w:rsidRPr="00237C03">
        <w:rPr>
          <w:rFonts w:cs="Times New Roman"/>
          <w:szCs w:val="24"/>
        </w:rPr>
        <w:t xml:space="preserve">viņa </w:t>
      </w:r>
      <w:r w:rsidR="00A04852" w:rsidRPr="00237C03">
        <w:rPr>
          <w:rFonts w:cs="Times New Roman"/>
          <w:szCs w:val="24"/>
        </w:rPr>
        <w:t>rīcībā</w:t>
      </w:r>
      <w:r w:rsidR="00261E04" w:rsidRPr="00237C03">
        <w:rPr>
          <w:rFonts w:cs="Times New Roman"/>
          <w:szCs w:val="24"/>
        </w:rPr>
        <w:t>,</w:t>
      </w:r>
      <w:r w:rsidR="00A04852" w:rsidRPr="00237C03">
        <w:rPr>
          <w:rFonts w:cs="Times New Roman"/>
          <w:szCs w:val="24"/>
        </w:rPr>
        <w:t xml:space="preserve"> un k</w:t>
      </w:r>
      <w:r w:rsidR="009636F6" w:rsidRPr="00237C03">
        <w:rPr>
          <w:rFonts w:cs="Times New Roman"/>
          <w:szCs w:val="24"/>
        </w:rPr>
        <w:t xml:space="preserve">ādā veidā to neesība liedza gūt priekšstatu par parādnieces darījumiem un mantas stāvokli </w:t>
      </w:r>
      <w:r w:rsidR="007003D5" w:rsidRPr="00237C03">
        <w:rPr>
          <w:rFonts w:cs="Times New Roman"/>
          <w:szCs w:val="24"/>
        </w:rPr>
        <w:t xml:space="preserve">par </w:t>
      </w:r>
      <w:r w:rsidR="009636F6" w:rsidRPr="00237C03">
        <w:rPr>
          <w:rFonts w:cs="Times New Roman"/>
          <w:szCs w:val="24"/>
        </w:rPr>
        <w:t>pēdēj</w:t>
      </w:r>
      <w:r w:rsidR="007003D5" w:rsidRPr="00237C03">
        <w:rPr>
          <w:rFonts w:cs="Times New Roman"/>
          <w:szCs w:val="24"/>
        </w:rPr>
        <w:t>iem</w:t>
      </w:r>
      <w:r w:rsidR="009636F6" w:rsidRPr="00237C03">
        <w:rPr>
          <w:rFonts w:cs="Times New Roman"/>
          <w:szCs w:val="24"/>
        </w:rPr>
        <w:t xml:space="preserve"> trīs gad</w:t>
      </w:r>
      <w:r w:rsidR="007003D5" w:rsidRPr="00237C03">
        <w:rPr>
          <w:rFonts w:cs="Times New Roman"/>
          <w:szCs w:val="24"/>
        </w:rPr>
        <w:t>iem</w:t>
      </w:r>
      <w:r w:rsidR="009636F6" w:rsidRPr="00237C03">
        <w:rPr>
          <w:rFonts w:cs="Times New Roman"/>
          <w:szCs w:val="24"/>
        </w:rPr>
        <w:t xml:space="preserve"> pirms maksātnespējas procesa pasludināšanas dienas</w:t>
      </w:r>
      <w:r w:rsidRPr="00237C03">
        <w:rPr>
          <w:rFonts w:cs="Times New Roman"/>
          <w:szCs w:val="24"/>
        </w:rPr>
        <w:t xml:space="preserve">, </w:t>
      </w:r>
      <w:r w:rsidR="00FF19FA" w:rsidRPr="00237C03">
        <w:rPr>
          <w:rFonts w:cs="Times New Roman"/>
          <w:szCs w:val="24"/>
        </w:rPr>
        <w:t>j</w:t>
      </w:r>
      <w:r w:rsidR="00451BA3" w:rsidRPr="00237C03">
        <w:rPr>
          <w:rFonts w:cs="Times New Roman"/>
          <w:szCs w:val="24"/>
        </w:rPr>
        <w:t>o</w:t>
      </w:r>
      <w:r w:rsidR="00FF19FA" w:rsidRPr="00237C03">
        <w:rPr>
          <w:rFonts w:cs="Times New Roman"/>
          <w:szCs w:val="24"/>
        </w:rPr>
        <w:t xml:space="preserve"> </w:t>
      </w:r>
      <w:r w:rsidR="00BA2F2C" w:rsidRPr="00237C03">
        <w:rPr>
          <w:rFonts w:cs="Times New Roman"/>
          <w:szCs w:val="24"/>
        </w:rPr>
        <w:t xml:space="preserve">sabiedrības rīcībspēja ar </w:t>
      </w:r>
      <w:r w:rsidR="00FF19FA" w:rsidRPr="00237C03">
        <w:rPr>
          <w:rFonts w:cs="Times New Roman"/>
          <w:szCs w:val="24"/>
        </w:rPr>
        <w:t xml:space="preserve">Valsts ieņēmuma dienesta lēmumu par </w:t>
      </w:r>
      <w:r w:rsidR="00633072" w:rsidRPr="00237C03">
        <w:rPr>
          <w:rFonts w:cs="Times New Roman"/>
          <w:szCs w:val="24"/>
        </w:rPr>
        <w:t>s</w:t>
      </w:r>
      <w:r w:rsidR="00FF19FA" w:rsidRPr="00237C03">
        <w:rPr>
          <w:rFonts w:cs="Times New Roman"/>
          <w:szCs w:val="24"/>
        </w:rPr>
        <w:t>abiedrība</w:t>
      </w:r>
      <w:r w:rsidR="00451BA3" w:rsidRPr="00237C03">
        <w:rPr>
          <w:rFonts w:cs="Times New Roman"/>
          <w:szCs w:val="24"/>
        </w:rPr>
        <w:t>i</w:t>
      </w:r>
      <w:r w:rsidR="00FF19FA" w:rsidRPr="00237C03">
        <w:rPr>
          <w:rFonts w:cs="Times New Roman"/>
          <w:szCs w:val="24"/>
        </w:rPr>
        <w:t xml:space="preserve"> saimniecisk</w:t>
      </w:r>
      <w:r w:rsidR="00633072" w:rsidRPr="00237C03">
        <w:rPr>
          <w:rFonts w:cs="Times New Roman"/>
          <w:szCs w:val="24"/>
        </w:rPr>
        <w:t>ās darbības apturēšanu bija ierobežot</w:t>
      </w:r>
      <w:r w:rsidR="00C9505D" w:rsidRPr="00237C03">
        <w:rPr>
          <w:rFonts w:cs="Times New Roman"/>
          <w:szCs w:val="24"/>
        </w:rPr>
        <w:t>a</w:t>
      </w:r>
      <w:r w:rsidR="00633072" w:rsidRPr="00237C03">
        <w:rPr>
          <w:rFonts w:cs="Times New Roman"/>
          <w:szCs w:val="24"/>
        </w:rPr>
        <w:t>.</w:t>
      </w:r>
    </w:p>
    <w:p w14:paraId="324E6E66" w14:textId="118DDB67" w:rsidR="00261E04" w:rsidRPr="00237C03" w:rsidRDefault="007C174F" w:rsidP="00FF19FA">
      <w:pPr>
        <w:spacing w:after="0" w:line="276" w:lineRule="auto"/>
        <w:ind w:firstLine="567"/>
        <w:jc w:val="both"/>
        <w:rPr>
          <w:rFonts w:cs="Times New Roman"/>
          <w:szCs w:val="24"/>
        </w:rPr>
      </w:pPr>
      <w:r w:rsidRPr="00237C03">
        <w:rPr>
          <w:rFonts w:cs="Times New Roman"/>
          <w:szCs w:val="24"/>
        </w:rPr>
        <w:t xml:space="preserve">Administrators </w:t>
      </w:r>
      <w:r w:rsidR="00261E04" w:rsidRPr="00237C03">
        <w:rPr>
          <w:rFonts w:cs="Times New Roman"/>
          <w:szCs w:val="24"/>
        </w:rPr>
        <w:t xml:space="preserve">nav </w:t>
      </w:r>
      <w:r w:rsidRPr="00237C03">
        <w:rPr>
          <w:rFonts w:cs="Times New Roman"/>
          <w:szCs w:val="24"/>
        </w:rPr>
        <w:t>snied</w:t>
      </w:r>
      <w:r w:rsidR="00486982" w:rsidRPr="00237C03">
        <w:rPr>
          <w:rFonts w:cs="Times New Roman"/>
          <w:szCs w:val="24"/>
        </w:rPr>
        <w:t>z</w:t>
      </w:r>
      <w:r w:rsidRPr="00237C03">
        <w:rPr>
          <w:rFonts w:cs="Times New Roman"/>
          <w:szCs w:val="24"/>
        </w:rPr>
        <w:t xml:space="preserve">is </w:t>
      </w:r>
      <w:r w:rsidR="00261E04" w:rsidRPr="00237C03">
        <w:rPr>
          <w:rFonts w:cs="Times New Roman"/>
          <w:szCs w:val="24"/>
        </w:rPr>
        <w:t xml:space="preserve">pamatojumu un </w:t>
      </w:r>
      <w:r w:rsidRPr="00237C03">
        <w:rPr>
          <w:rFonts w:cs="Times New Roman"/>
          <w:szCs w:val="24"/>
        </w:rPr>
        <w:t>pierādījis</w:t>
      </w:r>
      <w:r w:rsidR="00FF19FA" w:rsidRPr="00237C03">
        <w:rPr>
          <w:rFonts w:cs="Times New Roman"/>
          <w:szCs w:val="24"/>
        </w:rPr>
        <w:t>, ka</w:t>
      </w:r>
      <w:r w:rsidR="00261E04" w:rsidRPr="00237C03">
        <w:rPr>
          <w:rFonts w:cs="Times New Roman"/>
          <w:szCs w:val="24"/>
        </w:rPr>
        <w:t xml:space="preserve"> dokumentu </w:t>
      </w:r>
      <w:r w:rsidR="00FF19FA" w:rsidRPr="00237C03">
        <w:rPr>
          <w:rFonts w:cs="Times New Roman"/>
          <w:szCs w:val="24"/>
        </w:rPr>
        <w:t>ne</w:t>
      </w:r>
      <w:r w:rsidR="00261E04" w:rsidRPr="00237C03">
        <w:rPr>
          <w:rFonts w:cs="Times New Roman"/>
          <w:szCs w:val="24"/>
        </w:rPr>
        <w:t>nodošana</w:t>
      </w:r>
      <w:r w:rsidR="00FF19FA" w:rsidRPr="00237C03">
        <w:rPr>
          <w:rFonts w:cs="Times New Roman"/>
          <w:szCs w:val="24"/>
        </w:rPr>
        <w:t xml:space="preserve"> varēja ietekmēt maksātnespējas procesa norisi un kreditoru stāvokli, j</w:t>
      </w:r>
      <w:r w:rsidR="00451BA3" w:rsidRPr="00237C03">
        <w:rPr>
          <w:rFonts w:cs="Times New Roman"/>
          <w:szCs w:val="24"/>
        </w:rPr>
        <w:t>o</w:t>
      </w:r>
      <w:r w:rsidR="00FF19FA" w:rsidRPr="00237C03">
        <w:rPr>
          <w:rFonts w:cs="Times New Roman"/>
          <w:szCs w:val="24"/>
        </w:rPr>
        <w:t xml:space="preserve"> pirms maksātnespējas procesa pasludināšanas sabiedrība atradās likvidācijas procesā</w:t>
      </w:r>
    </w:p>
    <w:p w14:paraId="1797B821" w14:textId="166E7578" w:rsidR="003A0800" w:rsidRPr="00237C03" w:rsidRDefault="00556DAE" w:rsidP="00C66599">
      <w:pPr>
        <w:spacing w:after="0" w:line="276" w:lineRule="auto"/>
        <w:ind w:firstLine="567"/>
        <w:jc w:val="both"/>
        <w:rPr>
          <w:rFonts w:cs="Times New Roman"/>
          <w:szCs w:val="24"/>
        </w:rPr>
      </w:pPr>
      <w:r w:rsidRPr="00237C03">
        <w:rPr>
          <w:rFonts w:cs="Times New Roman"/>
          <w:szCs w:val="24"/>
        </w:rPr>
        <w:t>[1.2]</w:t>
      </w:r>
      <w:r w:rsidR="00D02C1B" w:rsidRPr="00237C03">
        <w:rPr>
          <w:rFonts w:cs="Times New Roman"/>
          <w:szCs w:val="24"/>
        </w:rPr>
        <w:t xml:space="preserve"> </w:t>
      </w:r>
      <w:r w:rsidRPr="00237C03">
        <w:rPr>
          <w:rFonts w:cs="Times New Roman"/>
          <w:szCs w:val="24"/>
        </w:rPr>
        <w:t>Pievienojoties pirmās instances argumentiem</w:t>
      </w:r>
      <w:r w:rsidR="00470019" w:rsidRPr="00237C03">
        <w:rPr>
          <w:rFonts w:cs="Times New Roman"/>
          <w:szCs w:val="24"/>
        </w:rPr>
        <w:t xml:space="preserve">, </w:t>
      </w:r>
      <w:r w:rsidR="00C9505D" w:rsidRPr="00237C03">
        <w:rPr>
          <w:rFonts w:cs="Times New Roman"/>
          <w:szCs w:val="24"/>
        </w:rPr>
        <w:t>atzīts</w:t>
      </w:r>
      <w:r w:rsidR="00470019" w:rsidRPr="00237C03">
        <w:rPr>
          <w:rFonts w:cs="Times New Roman"/>
          <w:szCs w:val="24"/>
        </w:rPr>
        <w:t xml:space="preserve">, ka </w:t>
      </w:r>
      <w:r w:rsidR="00D02C1B" w:rsidRPr="00237C03">
        <w:rPr>
          <w:rFonts w:cs="Times New Roman"/>
          <w:szCs w:val="24"/>
        </w:rPr>
        <w:t>[pers. A]</w:t>
      </w:r>
      <w:r w:rsidR="00470019" w:rsidRPr="00237C03">
        <w:rPr>
          <w:rFonts w:cs="Times New Roman"/>
          <w:szCs w:val="24"/>
        </w:rPr>
        <w:t xml:space="preserve"> un </w:t>
      </w:r>
      <w:r w:rsidR="00D02C1B" w:rsidRPr="00237C03">
        <w:rPr>
          <w:rFonts w:cs="Times New Roman"/>
          <w:szCs w:val="24"/>
        </w:rPr>
        <w:t>[pers. B]</w:t>
      </w:r>
      <w:r w:rsidR="00470019" w:rsidRPr="00237C03">
        <w:rPr>
          <w:rFonts w:cs="Times New Roman"/>
          <w:szCs w:val="24"/>
        </w:rPr>
        <w:t xml:space="preserve"> </w:t>
      </w:r>
      <w:proofErr w:type="gramStart"/>
      <w:r w:rsidR="00BA2F2C" w:rsidRPr="00237C03">
        <w:rPr>
          <w:rFonts w:cs="Times New Roman"/>
          <w:szCs w:val="24"/>
        </w:rPr>
        <w:t>kā secīgi bijušie</w:t>
      </w:r>
      <w:r w:rsidR="00470019" w:rsidRPr="00237C03">
        <w:rPr>
          <w:rFonts w:cs="Times New Roman"/>
          <w:szCs w:val="24"/>
        </w:rPr>
        <w:t xml:space="preserve"> </w:t>
      </w:r>
      <w:r w:rsidR="00451BA3" w:rsidRPr="00237C03">
        <w:rPr>
          <w:rFonts w:cs="Times New Roman"/>
          <w:szCs w:val="24"/>
        </w:rPr>
        <w:t xml:space="preserve">sabiedrības </w:t>
      </w:r>
      <w:r w:rsidR="00BA2F2C" w:rsidRPr="00237C03">
        <w:rPr>
          <w:rFonts w:cs="Times New Roman"/>
          <w:szCs w:val="24"/>
        </w:rPr>
        <w:t xml:space="preserve">likvidatori var būt atbildīgi </w:t>
      </w:r>
      <w:r w:rsidR="003A0800" w:rsidRPr="00237C03">
        <w:rPr>
          <w:rFonts w:cs="Times New Roman"/>
          <w:szCs w:val="24"/>
        </w:rPr>
        <w:t xml:space="preserve">tikai </w:t>
      </w:r>
      <w:r w:rsidR="00BA2F2C" w:rsidRPr="00237C03">
        <w:rPr>
          <w:rFonts w:cs="Times New Roman"/>
          <w:szCs w:val="24"/>
        </w:rPr>
        <w:t xml:space="preserve">par </w:t>
      </w:r>
      <w:r w:rsidR="00470019" w:rsidRPr="00237C03">
        <w:rPr>
          <w:rFonts w:cs="Times New Roman"/>
          <w:szCs w:val="24"/>
        </w:rPr>
        <w:t>likvidācijas proces</w:t>
      </w:r>
      <w:r w:rsidR="00C9505D" w:rsidRPr="00237C03">
        <w:rPr>
          <w:rFonts w:cs="Times New Roman"/>
          <w:szCs w:val="24"/>
        </w:rPr>
        <w:t>a norisi</w:t>
      </w:r>
      <w:r w:rsidR="00633072" w:rsidRPr="00237C03">
        <w:rPr>
          <w:rFonts w:cs="Times New Roman"/>
          <w:szCs w:val="24"/>
        </w:rPr>
        <w:t xml:space="preserve">, bet </w:t>
      </w:r>
      <w:bookmarkStart w:id="2" w:name="_Hlk103162098"/>
      <w:r w:rsidR="00633072" w:rsidRPr="00237C03">
        <w:rPr>
          <w:rFonts w:cs="Times New Roman"/>
          <w:szCs w:val="24"/>
        </w:rPr>
        <w:t>uz viņiem nav</w:t>
      </w:r>
      <w:proofErr w:type="gramEnd"/>
      <w:r w:rsidR="00633072" w:rsidRPr="00237C03">
        <w:rPr>
          <w:rFonts w:cs="Times New Roman"/>
          <w:szCs w:val="24"/>
        </w:rPr>
        <w:t xml:space="preserve"> attiecināma Maksātnespējas likuma 72.</w:t>
      </w:r>
      <w:r w:rsidR="00633072" w:rsidRPr="00237C03">
        <w:rPr>
          <w:rFonts w:cs="Times New Roman"/>
          <w:szCs w:val="24"/>
          <w:vertAlign w:val="superscript"/>
        </w:rPr>
        <w:t>1</w:t>
      </w:r>
      <w:r w:rsidR="00633072" w:rsidRPr="00237C03">
        <w:rPr>
          <w:rFonts w:cs="Times New Roman"/>
          <w:szCs w:val="24"/>
        </w:rPr>
        <w:t> pantā noteiktā prezumpcija</w:t>
      </w:r>
      <w:r w:rsidR="00C9505D" w:rsidRPr="00237C03">
        <w:rPr>
          <w:rFonts w:cs="Times New Roman"/>
          <w:szCs w:val="24"/>
        </w:rPr>
        <w:t>, jo šajā normā paredzēta valdes locekļu atbildība, kas nav tulkojam</w:t>
      </w:r>
      <w:r w:rsidR="00134D88" w:rsidRPr="00237C03">
        <w:rPr>
          <w:rFonts w:cs="Times New Roman"/>
          <w:szCs w:val="24"/>
        </w:rPr>
        <w:t>a</w:t>
      </w:r>
      <w:r w:rsidR="00C9505D" w:rsidRPr="00237C03">
        <w:rPr>
          <w:rFonts w:cs="Times New Roman"/>
          <w:szCs w:val="24"/>
        </w:rPr>
        <w:t xml:space="preserve"> paplaši</w:t>
      </w:r>
      <w:r w:rsidR="00A57B4A" w:rsidRPr="00237C03">
        <w:rPr>
          <w:rFonts w:cs="Times New Roman"/>
          <w:szCs w:val="24"/>
        </w:rPr>
        <w:t>nāti</w:t>
      </w:r>
      <w:r w:rsidR="00C9505D" w:rsidRPr="00237C03">
        <w:rPr>
          <w:rFonts w:cs="Times New Roman"/>
          <w:szCs w:val="24"/>
        </w:rPr>
        <w:t xml:space="preserve">. </w:t>
      </w:r>
      <w:bookmarkEnd w:id="2"/>
      <w:r w:rsidR="00C9505D" w:rsidRPr="00237C03">
        <w:rPr>
          <w:rFonts w:cs="Times New Roman"/>
          <w:szCs w:val="24"/>
        </w:rPr>
        <w:t>Tāpat atbildētāji vienlaicīgi nav bijuši nedz sabiedrības valdes locekļi</w:t>
      </w:r>
      <w:r w:rsidR="003A0800" w:rsidRPr="00237C03">
        <w:rPr>
          <w:rFonts w:cs="Times New Roman"/>
          <w:szCs w:val="24"/>
        </w:rPr>
        <w:t>,</w:t>
      </w:r>
      <w:r w:rsidR="00C9505D" w:rsidRPr="00237C03">
        <w:rPr>
          <w:rFonts w:cs="Times New Roman"/>
          <w:szCs w:val="24"/>
        </w:rPr>
        <w:t xml:space="preserve"> nedz</w:t>
      </w:r>
      <w:r w:rsidR="003A0800" w:rsidRPr="00237C03">
        <w:rPr>
          <w:rFonts w:cs="Times New Roman"/>
          <w:szCs w:val="24"/>
        </w:rPr>
        <w:t xml:space="preserve"> likvidatori, tāpēc iztrūkst solidāras atbildības priekšnoteikumi.</w:t>
      </w:r>
    </w:p>
    <w:p w14:paraId="26E0B12E" w14:textId="77777777" w:rsidR="00C66599" w:rsidRPr="00237C03" w:rsidRDefault="00C66599" w:rsidP="00C66599">
      <w:pPr>
        <w:spacing w:after="0" w:line="276" w:lineRule="auto"/>
        <w:ind w:firstLine="567"/>
        <w:jc w:val="both"/>
        <w:rPr>
          <w:rFonts w:cs="Times New Roman"/>
          <w:szCs w:val="24"/>
        </w:rPr>
      </w:pPr>
    </w:p>
    <w:p w14:paraId="21C31A4B" w14:textId="263F9580" w:rsidR="003A0800" w:rsidRPr="00237C03" w:rsidRDefault="000534E8" w:rsidP="00C66599">
      <w:pPr>
        <w:spacing w:after="0" w:line="276" w:lineRule="auto"/>
        <w:ind w:firstLine="567"/>
        <w:jc w:val="both"/>
        <w:rPr>
          <w:rFonts w:cs="Times New Roman"/>
          <w:szCs w:val="24"/>
        </w:rPr>
      </w:pPr>
      <w:r w:rsidRPr="00237C03">
        <w:rPr>
          <w:rFonts w:cs="Times New Roman"/>
          <w:szCs w:val="24"/>
        </w:rPr>
        <w:t>[2] Kasācijas sūdzībā</w:t>
      </w:r>
      <w:r w:rsidR="00452E71" w:rsidRPr="00237C03">
        <w:rPr>
          <w:rFonts w:cs="Times New Roman"/>
          <w:szCs w:val="24"/>
        </w:rPr>
        <w:t xml:space="preserve"> MSIA </w:t>
      </w:r>
      <w:r w:rsidR="007C174F" w:rsidRPr="00237C03">
        <w:rPr>
          <w:rFonts w:cs="Times New Roman"/>
          <w:szCs w:val="24"/>
        </w:rPr>
        <w:t>„</w:t>
      </w:r>
      <w:proofErr w:type="spellStart"/>
      <w:r w:rsidR="00452E71" w:rsidRPr="00237C03">
        <w:rPr>
          <w:rFonts w:cs="Times New Roman"/>
          <w:szCs w:val="24"/>
        </w:rPr>
        <w:t>Unelux</w:t>
      </w:r>
      <w:proofErr w:type="spellEnd"/>
      <w:r w:rsidR="00452E71" w:rsidRPr="00237C03">
        <w:rPr>
          <w:rFonts w:cs="Times New Roman"/>
          <w:szCs w:val="24"/>
        </w:rPr>
        <w:t xml:space="preserve">” </w:t>
      </w:r>
      <w:r w:rsidRPr="00237C03">
        <w:rPr>
          <w:rFonts w:cs="Times New Roman"/>
          <w:szCs w:val="24"/>
        </w:rPr>
        <w:t>administrator</w:t>
      </w:r>
      <w:r w:rsidR="003A0800" w:rsidRPr="00237C03">
        <w:rPr>
          <w:rFonts w:cs="Times New Roman"/>
          <w:szCs w:val="24"/>
        </w:rPr>
        <w:t>s</w:t>
      </w:r>
      <w:r w:rsidRPr="00237C03">
        <w:rPr>
          <w:rFonts w:cs="Times New Roman"/>
          <w:szCs w:val="24"/>
        </w:rPr>
        <w:t xml:space="preserve"> lū</w:t>
      </w:r>
      <w:r w:rsidR="003A0800" w:rsidRPr="00237C03">
        <w:rPr>
          <w:rFonts w:cs="Times New Roman"/>
          <w:szCs w:val="24"/>
        </w:rPr>
        <w:t>dzis</w:t>
      </w:r>
      <w:r w:rsidRPr="00237C03">
        <w:rPr>
          <w:rFonts w:cs="Times New Roman"/>
          <w:szCs w:val="24"/>
        </w:rPr>
        <w:t xml:space="preserve"> atcelt apelācijas instances tiesas spri</w:t>
      </w:r>
      <w:r w:rsidR="00531850" w:rsidRPr="00237C03">
        <w:rPr>
          <w:rFonts w:cs="Times New Roman"/>
          <w:szCs w:val="24"/>
        </w:rPr>
        <w:t xml:space="preserve">edumu, </w:t>
      </w:r>
      <w:r w:rsidR="003A0800" w:rsidRPr="00237C03">
        <w:rPr>
          <w:rFonts w:cs="Times New Roman"/>
          <w:szCs w:val="24"/>
        </w:rPr>
        <w:t>jo tiesa Maksātnespējas likuma 72.</w:t>
      </w:r>
      <w:r w:rsidR="003A0800" w:rsidRPr="00237C03">
        <w:rPr>
          <w:rFonts w:cs="Times New Roman"/>
          <w:szCs w:val="24"/>
          <w:vertAlign w:val="superscript"/>
        </w:rPr>
        <w:t>1</w:t>
      </w:r>
      <w:r w:rsidR="003A0800" w:rsidRPr="00237C03">
        <w:rPr>
          <w:rFonts w:cs="Times New Roman"/>
          <w:szCs w:val="24"/>
        </w:rPr>
        <w:t> pantu iztulkojusi un piemērojusi nepareizi.</w:t>
      </w:r>
    </w:p>
    <w:p w14:paraId="5BC1CEE1" w14:textId="269D3DDC" w:rsidR="000534E8" w:rsidRPr="00237C03" w:rsidRDefault="000534E8" w:rsidP="00C66599">
      <w:pPr>
        <w:spacing w:after="0" w:line="276" w:lineRule="auto"/>
        <w:ind w:firstLine="567"/>
        <w:jc w:val="both"/>
        <w:rPr>
          <w:rFonts w:cs="Times New Roman"/>
          <w:szCs w:val="24"/>
        </w:rPr>
      </w:pPr>
      <w:r w:rsidRPr="00237C03">
        <w:rPr>
          <w:rFonts w:cs="Times New Roman"/>
          <w:szCs w:val="24"/>
        </w:rPr>
        <w:t xml:space="preserve">Senāta </w:t>
      </w:r>
      <w:r w:rsidR="00CD182F" w:rsidRPr="00237C03">
        <w:rPr>
          <w:rFonts w:cs="Times New Roman"/>
          <w:szCs w:val="24"/>
        </w:rPr>
        <w:t>judikatūra</w:t>
      </w:r>
      <w:r w:rsidR="003A0800" w:rsidRPr="00237C03">
        <w:rPr>
          <w:rFonts w:cs="Times New Roman"/>
          <w:szCs w:val="24"/>
        </w:rPr>
        <w:t>, kas izmantota sprieduma argumentācijā,</w:t>
      </w:r>
      <w:r w:rsidRPr="00237C03">
        <w:rPr>
          <w:rFonts w:cs="Times New Roman"/>
          <w:szCs w:val="24"/>
        </w:rPr>
        <w:t xml:space="preserve"> neatbilst </w:t>
      </w:r>
      <w:r w:rsidR="003A0800" w:rsidRPr="00237C03">
        <w:rPr>
          <w:rFonts w:cs="Times New Roman"/>
          <w:szCs w:val="24"/>
        </w:rPr>
        <w:t>izskatāmās</w:t>
      </w:r>
      <w:r w:rsidRPr="00237C03">
        <w:rPr>
          <w:rFonts w:cs="Times New Roman"/>
          <w:szCs w:val="24"/>
        </w:rPr>
        <w:t xml:space="preserve"> lietas </w:t>
      </w:r>
      <w:r w:rsidR="003A0800" w:rsidRPr="00237C03">
        <w:rPr>
          <w:rFonts w:cs="Times New Roman"/>
          <w:szCs w:val="24"/>
        </w:rPr>
        <w:t>fakti</w:t>
      </w:r>
      <w:r w:rsidR="00EB7752" w:rsidRPr="00237C03">
        <w:rPr>
          <w:rFonts w:cs="Times New Roman"/>
          <w:szCs w:val="24"/>
        </w:rPr>
        <w:t>s</w:t>
      </w:r>
      <w:r w:rsidR="003A0800" w:rsidRPr="00237C03">
        <w:rPr>
          <w:rFonts w:cs="Times New Roman"/>
          <w:szCs w:val="24"/>
        </w:rPr>
        <w:t xml:space="preserve">kajiem </w:t>
      </w:r>
      <w:r w:rsidRPr="00237C03">
        <w:rPr>
          <w:rFonts w:cs="Times New Roman"/>
          <w:szCs w:val="24"/>
        </w:rPr>
        <w:t xml:space="preserve">apstākļiem, </w:t>
      </w:r>
      <w:r w:rsidR="00531850" w:rsidRPr="00237C03">
        <w:rPr>
          <w:rFonts w:cs="Times New Roman"/>
          <w:szCs w:val="24"/>
        </w:rPr>
        <w:t xml:space="preserve">jo </w:t>
      </w:r>
      <w:r w:rsidR="007C174F" w:rsidRPr="00237C03">
        <w:rPr>
          <w:rFonts w:cs="Times New Roman"/>
          <w:szCs w:val="24"/>
        </w:rPr>
        <w:t xml:space="preserve">administratoram </w:t>
      </w:r>
      <w:r w:rsidR="00531850" w:rsidRPr="00237C03">
        <w:rPr>
          <w:rFonts w:cs="Times New Roman"/>
          <w:szCs w:val="24"/>
        </w:rPr>
        <w:t xml:space="preserve">nav nodots neviens grāmatvedības dokuments, kas saistīts ar parādnieces darījumiem vai saimniecisko darbību. </w:t>
      </w:r>
    </w:p>
    <w:p w14:paraId="3F78BF9B" w14:textId="68CE99EA" w:rsidR="00531850" w:rsidRPr="00237C03" w:rsidRDefault="00BB5E76" w:rsidP="00C66599">
      <w:pPr>
        <w:spacing w:after="0" w:line="276" w:lineRule="auto"/>
        <w:ind w:firstLine="567"/>
        <w:jc w:val="both"/>
        <w:rPr>
          <w:rFonts w:cs="Times New Roman"/>
          <w:szCs w:val="24"/>
        </w:rPr>
      </w:pPr>
      <w:r w:rsidRPr="00237C03">
        <w:rPr>
          <w:rFonts w:cs="Times New Roman"/>
          <w:szCs w:val="24"/>
        </w:rPr>
        <w:t>M</w:t>
      </w:r>
      <w:r w:rsidR="00531850" w:rsidRPr="00237C03">
        <w:rPr>
          <w:rFonts w:cs="Times New Roman"/>
          <w:szCs w:val="24"/>
        </w:rPr>
        <w:t xml:space="preserve">inētajai lietai ir būtiska nozīme judikatūras un tiesību </w:t>
      </w:r>
      <w:proofErr w:type="spellStart"/>
      <w:r w:rsidR="00531850" w:rsidRPr="00237C03">
        <w:rPr>
          <w:rFonts w:cs="Times New Roman"/>
          <w:szCs w:val="24"/>
        </w:rPr>
        <w:t>tālākveidošanā</w:t>
      </w:r>
      <w:proofErr w:type="spellEnd"/>
      <w:r w:rsidR="00531850" w:rsidRPr="00237C03">
        <w:rPr>
          <w:rFonts w:cs="Times New Roman"/>
          <w:szCs w:val="24"/>
        </w:rPr>
        <w:t xml:space="preserve">, jo ir izvērtējums gadījums, kad uzņēmuma amatpersonas, uzsākot likvidācijas procesu un to novilcinot vismaz </w:t>
      </w:r>
      <w:r w:rsidRPr="00237C03">
        <w:rPr>
          <w:rFonts w:cs="Times New Roman"/>
          <w:szCs w:val="24"/>
        </w:rPr>
        <w:t>trīs</w:t>
      </w:r>
      <w:r w:rsidR="00CD3079" w:rsidRPr="00237C03">
        <w:rPr>
          <w:rFonts w:cs="Times New Roman"/>
          <w:szCs w:val="24"/>
        </w:rPr>
        <w:t xml:space="preserve"> </w:t>
      </w:r>
      <w:r w:rsidR="00531850" w:rsidRPr="00237C03">
        <w:rPr>
          <w:rFonts w:cs="Times New Roman"/>
          <w:szCs w:val="24"/>
        </w:rPr>
        <w:t>gadus, vēlāk maksātnespējas procesā var tikt atbrīvotas no atbildības par nepienācīgu savu pienākumu pildīšanu valdes locekļa vai likvidatora amatā.</w:t>
      </w:r>
    </w:p>
    <w:p w14:paraId="5CFBD1F9" w14:textId="7AFDBC06" w:rsidR="00AE41AA" w:rsidRPr="00237C03" w:rsidRDefault="00AE41AA" w:rsidP="00C66599">
      <w:pPr>
        <w:spacing w:after="0" w:line="276" w:lineRule="auto"/>
        <w:ind w:firstLine="567"/>
        <w:jc w:val="both"/>
        <w:rPr>
          <w:rFonts w:cs="Times New Roman"/>
          <w:szCs w:val="24"/>
        </w:rPr>
      </w:pPr>
      <w:r w:rsidRPr="00237C03">
        <w:rPr>
          <w:rFonts w:cs="Times New Roman"/>
          <w:szCs w:val="24"/>
        </w:rPr>
        <w:t xml:space="preserve">Tiesa nav ievērojusi arī Civilprocesa likuma 93. un </w:t>
      </w:r>
      <w:proofErr w:type="gramStart"/>
      <w:r w:rsidRPr="00237C03">
        <w:rPr>
          <w:rFonts w:cs="Times New Roman"/>
          <w:szCs w:val="24"/>
        </w:rPr>
        <w:t>97.panta</w:t>
      </w:r>
      <w:proofErr w:type="gramEnd"/>
      <w:r w:rsidRPr="00237C03">
        <w:rPr>
          <w:rFonts w:cs="Times New Roman"/>
          <w:szCs w:val="24"/>
        </w:rPr>
        <w:t xml:space="preserve"> noteikumus pierādījumu vērtēšanā.</w:t>
      </w:r>
      <w:r w:rsidR="0070265A" w:rsidRPr="00237C03">
        <w:rPr>
          <w:rFonts w:cs="Times New Roman"/>
          <w:szCs w:val="24"/>
        </w:rPr>
        <w:t xml:space="preserve"> </w:t>
      </w:r>
    </w:p>
    <w:p w14:paraId="2E49E2C0" w14:textId="20BA3855" w:rsidR="00CD3079" w:rsidRPr="00237C03" w:rsidRDefault="00AE41AA" w:rsidP="00C66599">
      <w:pPr>
        <w:spacing w:after="0" w:line="276" w:lineRule="auto"/>
        <w:ind w:firstLine="567"/>
        <w:jc w:val="both"/>
        <w:rPr>
          <w:rFonts w:cs="Times New Roman"/>
          <w:szCs w:val="24"/>
        </w:rPr>
      </w:pPr>
      <w:r w:rsidRPr="00237C03">
        <w:rPr>
          <w:rFonts w:cs="Times New Roman"/>
          <w:szCs w:val="24"/>
        </w:rPr>
        <w:t>S</w:t>
      </w:r>
      <w:r w:rsidR="0070265A" w:rsidRPr="00237C03">
        <w:rPr>
          <w:rFonts w:cs="Times New Roman"/>
          <w:szCs w:val="24"/>
        </w:rPr>
        <w:t>priedum</w:t>
      </w:r>
      <w:r w:rsidRPr="00237C03">
        <w:rPr>
          <w:rFonts w:cs="Times New Roman"/>
          <w:szCs w:val="24"/>
        </w:rPr>
        <w:t>s</w:t>
      </w:r>
      <w:r w:rsidR="0070265A" w:rsidRPr="00237C03">
        <w:rPr>
          <w:rFonts w:cs="Times New Roman"/>
          <w:szCs w:val="24"/>
        </w:rPr>
        <w:t xml:space="preserve"> </w:t>
      </w:r>
      <w:r w:rsidRPr="00237C03">
        <w:rPr>
          <w:rFonts w:cs="Times New Roman"/>
          <w:szCs w:val="24"/>
        </w:rPr>
        <w:t>pamatots ar atbildētāju</w:t>
      </w:r>
      <w:r w:rsidR="0070265A" w:rsidRPr="00237C03">
        <w:rPr>
          <w:rFonts w:cs="Times New Roman"/>
          <w:szCs w:val="24"/>
        </w:rPr>
        <w:t xml:space="preserve"> paskaidrojum</w:t>
      </w:r>
      <w:r w:rsidRPr="00237C03">
        <w:rPr>
          <w:rFonts w:cs="Times New Roman"/>
          <w:szCs w:val="24"/>
        </w:rPr>
        <w:t xml:space="preserve">os sniegtām ziņām </w:t>
      </w:r>
      <w:r w:rsidR="007D72E0" w:rsidRPr="00237C03">
        <w:rPr>
          <w:rFonts w:cs="Times New Roman"/>
          <w:szCs w:val="24"/>
        </w:rPr>
        <w:t xml:space="preserve">par noteiktu </w:t>
      </w:r>
      <w:r w:rsidRPr="00237C03">
        <w:rPr>
          <w:rFonts w:cs="Times New Roman"/>
          <w:szCs w:val="24"/>
        </w:rPr>
        <w:t xml:space="preserve">grāmatvedības </w:t>
      </w:r>
      <w:r w:rsidR="007D72E0" w:rsidRPr="00237C03">
        <w:rPr>
          <w:rFonts w:cs="Times New Roman"/>
          <w:szCs w:val="24"/>
        </w:rPr>
        <w:t>dokumentu esību administratora rīcībā</w:t>
      </w:r>
      <w:r w:rsidR="0070265A" w:rsidRPr="00237C03">
        <w:rPr>
          <w:rFonts w:cs="Times New Roman"/>
          <w:szCs w:val="24"/>
        </w:rPr>
        <w:t xml:space="preserve">, </w:t>
      </w:r>
      <w:r w:rsidR="007D72E0" w:rsidRPr="00237C03">
        <w:rPr>
          <w:rFonts w:cs="Times New Roman"/>
          <w:szCs w:val="24"/>
        </w:rPr>
        <w:t xml:space="preserve">taču </w:t>
      </w:r>
      <w:r w:rsidR="009B7D28" w:rsidRPr="00237C03">
        <w:rPr>
          <w:rFonts w:cs="Times New Roman"/>
          <w:szCs w:val="24"/>
        </w:rPr>
        <w:t xml:space="preserve">šī apgalvojuma </w:t>
      </w:r>
      <w:r w:rsidR="007D72E0" w:rsidRPr="00237C03">
        <w:rPr>
          <w:rFonts w:cs="Times New Roman"/>
          <w:szCs w:val="24"/>
        </w:rPr>
        <w:t>atbilstību faktiskajiem apstākļiem neap</w:t>
      </w:r>
      <w:r w:rsidRPr="00237C03">
        <w:rPr>
          <w:rFonts w:cs="Times New Roman"/>
          <w:szCs w:val="24"/>
        </w:rPr>
        <w:t>stiprina</w:t>
      </w:r>
      <w:r w:rsidR="007D72E0" w:rsidRPr="00237C03">
        <w:rPr>
          <w:rFonts w:cs="Times New Roman"/>
          <w:szCs w:val="24"/>
        </w:rPr>
        <w:t xml:space="preserve"> neviens liet</w:t>
      </w:r>
      <w:r w:rsidRPr="00237C03">
        <w:rPr>
          <w:rFonts w:cs="Times New Roman"/>
          <w:szCs w:val="24"/>
        </w:rPr>
        <w:t>as materiāls vai kāds cits tiesas sēdē pārbaudīts pierādījums</w:t>
      </w:r>
      <w:r w:rsidR="0070265A" w:rsidRPr="00237C03">
        <w:rPr>
          <w:rFonts w:cs="Times New Roman"/>
          <w:szCs w:val="24"/>
        </w:rPr>
        <w:t>.</w:t>
      </w:r>
      <w:r w:rsidR="00CD3079" w:rsidRPr="00237C03">
        <w:rPr>
          <w:rFonts w:cs="Times New Roman"/>
          <w:szCs w:val="24"/>
        </w:rPr>
        <w:t xml:space="preserve"> </w:t>
      </w:r>
    </w:p>
    <w:p w14:paraId="0D2D6473" w14:textId="0BC30192" w:rsidR="007D72E0" w:rsidRPr="00237C03" w:rsidRDefault="00CD3079" w:rsidP="00C66599">
      <w:pPr>
        <w:spacing w:after="0" w:line="276" w:lineRule="auto"/>
        <w:ind w:firstLine="567"/>
        <w:jc w:val="both"/>
        <w:rPr>
          <w:rFonts w:cs="Times New Roman"/>
          <w:szCs w:val="24"/>
        </w:rPr>
      </w:pPr>
      <w:r w:rsidRPr="00237C03">
        <w:rPr>
          <w:rFonts w:cs="Times New Roman"/>
          <w:szCs w:val="24"/>
        </w:rPr>
        <w:t>Atbildētāji bez tiesiska pamata tika atbrīvoti no atbildības par pienākumu nepildīšanu valdes locekļa un likvidatora amatā.</w:t>
      </w:r>
    </w:p>
    <w:p w14:paraId="0AD4C9EB" w14:textId="77777777" w:rsidR="0033219E" w:rsidRPr="00237C03" w:rsidRDefault="0033219E" w:rsidP="00C66599">
      <w:pPr>
        <w:spacing w:after="0" w:line="276" w:lineRule="auto"/>
        <w:jc w:val="center"/>
        <w:rPr>
          <w:rFonts w:cs="Times New Roman"/>
          <w:b/>
          <w:bCs/>
          <w:szCs w:val="24"/>
        </w:rPr>
      </w:pPr>
    </w:p>
    <w:p w14:paraId="159B0A2B" w14:textId="51D24603" w:rsidR="00691ADE" w:rsidRPr="00237C03" w:rsidRDefault="00691ADE" w:rsidP="00E0761C">
      <w:pPr>
        <w:spacing w:after="0" w:line="276" w:lineRule="auto"/>
        <w:jc w:val="center"/>
        <w:rPr>
          <w:rFonts w:cs="Times New Roman"/>
          <w:b/>
          <w:bCs/>
          <w:szCs w:val="24"/>
        </w:rPr>
      </w:pPr>
      <w:r w:rsidRPr="00237C03">
        <w:rPr>
          <w:rFonts w:cs="Times New Roman"/>
          <w:b/>
          <w:bCs/>
          <w:szCs w:val="24"/>
        </w:rPr>
        <w:t>Motīvu daļa</w:t>
      </w:r>
    </w:p>
    <w:p w14:paraId="2D401F76" w14:textId="1FFE85FA" w:rsidR="00016C5D" w:rsidRPr="00237C03" w:rsidRDefault="00016C5D" w:rsidP="00C66599">
      <w:pPr>
        <w:spacing w:after="0" w:line="276" w:lineRule="auto"/>
        <w:ind w:firstLine="567"/>
        <w:jc w:val="both"/>
        <w:rPr>
          <w:rFonts w:cs="Times New Roman"/>
          <w:szCs w:val="24"/>
        </w:rPr>
      </w:pPr>
    </w:p>
    <w:p w14:paraId="0F4885CA" w14:textId="2DC6B0E4" w:rsidR="007062D6" w:rsidRPr="00237C03" w:rsidRDefault="00EA07F6" w:rsidP="00C66599">
      <w:pPr>
        <w:spacing w:after="0" w:line="276" w:lineRule="auto"/>
        <w:ind w:firstLine="567"/>
        <w:jc w:val="both"/>
        <w:rPr>
          <w:rFonts w:cs="Times New Roman"/>
          <w:szCs w:val="24"/>
        </w:rPr>
      </w:pPr>
      <w:r w:rsidRPr="00237C03">
        <w:t>[3]</w:t>
      </w:r>
      <w:r w:rsidR="00D02C1B" w:rsidRPr="00237C03">
        <w:t xml:space="preserve"> </w:t>
      </w:r>
      <w:r w:rsidRPr="00237C03">
        <w:t xml:space="preserve">Pārbaudījis sprieduma likumību attiecībā uz personu, kura to pārsūdzējusi, un attiecībā uz argumentiem, kas minēti kasācijas sūdzībā, kā to nosaka Civilprocesa likuma </w:t>
      </w:r>
      <w:proofErr w:type="gramStart"/>
      <w:r w:rsidRPr="00237C03">
        <w:t>473.panta</w:t>
      </w:r>
      <w:proofErr w:type="gramEnd"/>
      <w:r w:rsidRPr="00237C03">
        <w:t xml:space="preserve"> pirmā daļa, Senāts atzīst, ka spriedums atceļams.</w:t>
      </w:r>
    </w:p>
    <w:p w14:paraId="14BDAC78" w14:textId="77777777" w:rsidR="00C66599" w:rsidRPr="00237C03" w:rsidRDefault="00C66599" w:rsidP="00C66599">
      <w:pPr>
        <w:spacing w:after="0" w:line="276" w:lineRule="auto"/>
        <w:ind w:firstLine="567"/>
        <w:jc w:val="both"/>
        <w:rPr>
          <w:rFonts w:cs="Times New Roman"/>
          <w:szCs w:val="24"/>
        </w:rPr>
      </w:pPr>
    </w:p>
    <w:p w14:paraId="0096F380" w14:textId="63DD7728" w:rsidR="008D017C" w:rsidRPr="00237C03" w:rsidRDefault="00EA07F6" w:rsidP="00C66599">
      <w:pPr>
        <w:spacing w:after="0" w:line="276" w:lineRule="auto"/>
        <w:ind w:firstLine="567"/>
        <w:jc w:val="both"/>
        <w:rPr>
          <w:rFonts w:cs="Times New Roman"/>
          <w:szCs w:val="24"/>
        </w:rPr>
      </w:pPr>
      <w:r w:rsidRPr="00237C03">
        <w:rPr>
          <w:rFonts w:cs="Times New Roman"/>
          <w:szCs w:val="24"/>
        </w:rPr>
        <w:t>[4]</w:t>
      </w:r>
      <w:r w:rsidR="00D02C1B" w:rsidRPr="00237C03">
        <w:rPr>
          <w:rFonts w:cs="Times New Roman"/>
          <w:szCs w:val="24"/>
        </w:rPr>
        <w:t xml:space="preserve"> </w:t>
      </w:r>
      <w:r w:rsidR="008D017C" w:rsidRPr="00237C03">
        <w:rPr>
          <w:rFonts w:cs="Times New Roman"/>
          <w:szCs w:val="24"/>
        </w:rPr>
        <w:t>Maksātnespējas likuma 72.</w:t>
      </w:r>
      <w:r w:rsidR="008D017C" w:rsidRPr="00237C03">
        <w:rPr>
          <w:rFonts w:cs="Times New Roman"/>
          <w:szCs w:val="24"/>
          <w:vertAlign w:val="superscript"/>
        </w:rPr>
        <w:t>1</w:t>
      </w:r>
      <w:r w:rsidR="008D017C" w:rsidRPr="00237C03">
        <w:rPr>
          <w:rFonts w:cs="Times New Roman"/>
          <w:szCs w:val="24"/>
        </w:rPr>
        <w:t> panta pirmās daļas mērķis ir nodrošināt kreditoru aizsardzību gadījumos, kad grāmatvedības dokumentu neesība liedz administratoram veikt parādnieka saimnieciskās darbības un finanšu plūsmas izvērtēšanu, lai apmierinātu kreditoru prasījumus pēc iespējas lielākā apmērā.</w:t>
      </w:r>
    </w:p>
    <w:p w14:paraId="3A584B39" w14:textId="1CE2F2D2" w:rsidR="00A33B60" w:rsidRPr="00237C03" w:rsidRDefault="00C63FFF" w:rsidP="00F730F4">
      <w:pPr>
        <w:spacing w:after="0" w:line="276" w:lineRule="auto"/>
        <w:ind w:firstLine="567"/>
        <w:jc w:val="both"/>
        <w:rPr>
          <w:rFonts w:cs="Times New Roman"/>
          <w:szCs w:val="24"/>
        </w:rPr>
      </w:pPr>
      <w:r w:rsidRPr="00237C03">
        <w:rPr>
          <w:rFonts w:cs="Times New Roman"/>
          <w:szCs w:val="24"/>
        </w:rPr>
        <w:t>Sabiedrības l</w:t>
      </w:r>
      <w:r w:rsidR="00F730F4" w:rsidRPr="00237C03">
        <w:rPr>
          <w:rFonts w:cs="Times New Roman"/>
          <w:szCs w:val="24"/>
        </w:rPr>
        <w:t>ikvidatora galvenā funkcija ir saistīta ar likvidācijas procesa efektīvas gaitas nodrošināšanu</w:t>
      </w:r>
      <w:r w:rsidR="009D01BD" w:rsidRPr="00237C03">
        <w:rPr>
          <w:rFonts w:cs="Times New Roman"/>
          <w:szCs w:val="24"/>
        </w:rPr>
        <w:t>.</w:t>
      </w:r>
      <w:r w:rsidR="00F730F4" w:rsidRPr="00237C03">
        <w:rPr>
          <w:rFonts w:cs="Times New Roman"/>
          <w:szCs w:val="24"/>
        </w:rPr>
        <w:t xml:space="preserve"> Komerclikuma 322. panta pirmā daļa tieši un nepārprotami noteic, ka likvidatoram ir visas valdes un padomes tiesības un pienākumi, kas nav pretrunā ar likvidācijas mērķi.</w:t>
      </w:r>
    </w:p>
    <w:p w14:paraId="54A81629" w14:textId="2DF724AD" w:rsidR="00A33B60" w:rsidRPr="00237C03" w:rsidRDefault="00A33B60" w:rsidP="007C174F">
      <w:pPr>
        <w:widowControl w:val="0"/>
        <w:spacing w:after="0" w:line="276" w:lineRule="auto"/>
        <w:ind w:right="-8" w:firstLine="567"/>
        <w:jc w:val="both"/>
        <w:rPr>
          <w:rFonts w:eastAsia="Times New Roman" w:cs="Times New Roman"/>
          <w:szCs w:val="24"/>
          <w:lang w:eastAsia="lv-LV"/>
        </w:rPr>
      </w:pPr>
      <w:r w:rsidRPr="00237C03">
        <w:rPr>
          <w:rFonts w:eastAsia="Times New Roman" w:cs="Times New Roman"/>
          <w:szCs w:val="24"/>
          <w:lang w:eastAsia="lv-LV"/>
        </w:rPr>
        <w:t xml:space="preserve">Kreditoru un to prasījumu precīza konstatēšana ir būtiskākais </w:t>
      </w:r>
      <w:r w:rsidR="008D04B8" w:rsidRPr="00237C03">
        <w:rPr>
          <w:rFonts w:eastAsia="Times New Roman" w:cs="Times New Roman"/>
          <w:szCs w:val="24"/>
          <w:lang w:eastAsia="lv-LV"/>
        </w:rPr>
        <w:t xml:space="preserve">uzņēmuma </w:t>
      </w:r>
      <w:r w:rsidRPr="00237C03">
        <w:rPr>
          <w:rFonts w:eastAsia="Times New Roman" w:cs="Times New Roman"/>
          <w:szCs w:val="24"/>
          <w:lang w:eastAsia="lv-LV"/>
        </w:rPr>
        <w:t>labprātīgas izbeigšanas priekšno</w:t>
      </w:r>
      <w:r w:rsidR="008D04B8" w:rsidRPr="00237C03">
        <w:rPr>
          <w:rFonts w:eastAsia="Times New Roman" w:cs="Times New Roman"/>
          <w:szCs w:val="24"/>
          <w:lang w:eastAsia="lv-LV"/>
        </w:rPr>
        <w:t>teikums</w:t>
      </w:r>
      <w:r w:rsidRPr="00237C03">
        <w:rPr>
          <w:rFonts w:eastAsia="Times New Roman" w:cs="Times New Roman"/>
          <w:szCs w:val="24"/>
          <w:lang w:eastAsia="lv-LV"/>
        </w:rPr>
        <w:t>, lai tiktu sasniegts likvidācijas procesa mērķis – visu zināmo kreditoru interešu nodrošināšana. Mērķa sasniegšanai no likvidatora tiek sagaidīta aktīva un kompetenta rīcība, izvērtējot likvidējamās sabiedrības finanšu stāvokli</w:t>
      </w:r>
      <w:r w:rsidR="00EB04EC" w:rsidRPr="00237C03">
        <w:rPr>
          <w:rFonts w:eastAsia="Times New Roman" w:cs="Times New Roman"/>
          <w:szCs w:val="24"/>
          <w:lang w:eastAsia="lv-LV"/>
        </w:rPr>
        <w:t>, ko nav iespējams izdarīt bez grāmatvedības dokume</w:t>
      </w:r>
      <w:r w:rsidR="002956BD" w:rsidRPr="00237C03">
        <w:rPr>
          <w:rFonts w:eastAsia="Times New Roman" w:cs="Times New Roman"/>
          <w:szCs w:val="24"/>
          <w:lang w:eastAsia="lv-LV"/>
        </w:rPr>
        <w:t>n</w:t>
      </w:r>
      <w:r w:rsidR="00EB04EC" w:rsidRPr="00237C03">
        <w:rPr>
          <w:rFonts w:eastAsia="Times New Roman" w:cs="Times New Roman"/>
          <w:szCs w:val="24"/>
          <w:lang w:eastAsia="lv-LV"/>
        </w:rPr>
        <w:t>tiem</w:t>
      </w:r>
      <w:r w:rsidRPr="00237C03">
        <w:rPr>
          <w:rFonts w:eastAsia="Times New Roman" w:cs="Times New Roman"/>
          <w:szCs w:val="24"/>
          <w:lang w:eastAsia="lv-LV"/>
        </w:rPr>
        <w:t>.</w:t>
      </w:r>
      <w:r w:rsidR="00B24A8F" w:rsidRPr="00237C03">
        <w:rPr>
          <w:rFonts w:eastAsia="Times New Roman" w:cs="Times New Roman"/>
          <w:szCs w:val="24"/>
          <w:lang w:eastAsia="lv-LV"/>
        </w:rPr>
        <w:t xml:space="preserve"> </w:t>
      </w:r>
    </w:p>
    <w:p w14:paraId="1FCF12B6" w14:textId="498A293F" w:rsidR="001511AE" w:rsidRPr="00237C03" w:rsidRDefault="00A33B60" w:rsidP="00F730F4">
      <w:pPr>
        <w:spacing w:after="0" w:line="276" w:lineRule="auto"/>
        <w:ind w:firstLine="567"/>
        <w:jc w:val="both"/>
        <w:rPr>
          <w:rFonts w:cs="Times New Roman"/>
          <w:szCs w:val="24"/>
        </w:rPr>
      </w:pPr>
      <w:r w:rsidRPr="00237C03">
        <w:rPr>
          <w:rFonts w:eastAsia="Times New Roman" w:cs="Times New Roman"/>
          <w:iCs/>
          <w:szCs w:val="24"/>
          <w:lang w:eastAsia="lv-LV"/>
        </w:rPr>
        <w:t xml:space="preserve">Ja </w:t>
      </w:r>
      <w:r w:rsidR="00701079" w:rsidRPr="00237C03">
        <w:rPr>
          <w:rFonts w:eastAsia="Times New Roman" w:cs="Times New Roman"/>
          <w:iCs/>
          <w:szCs w:val="24"/>
          <w:lang w:eastAsia="lv-LV"/>
        </w:rPr>
        <w:t xml:space="preserve">pie </w:t>
      </w:r>
      <w:r w:rsidR="00862B00" w:rsidRPr="00237C03">
        <w:rPr>
          <w:rFonts w:eastAsia="Times New Roman" w:cs="Times New Roman"/>
          <w:iCs/>
          <w:szCs w:val="24"/>
          <w:lang w:eastAsia="lv-LV"/>
        </w:rPr>
        <w:t xml:space="preserve">sabiedrības likvidācijas </w:t>
      </w:r>
      <w:r w:rsidR="002956BD" w:rsidRPr="00237C03">
        <w:rPr>
          <w:rFonts w:eastAsia="Times New Roman" w:cs="Times New Roman"/>
          <w:iCs/>
          <w:szCs w:val="24"/>
          <w:lang w:eastAsia="lv-LV"/>
        </w:rPr>
        <w:t>kreditoru prasījumu segšanai</w:t>
      </w:r>
      <w:r w:rsidR="00701079" w:rsidRPr="00237C03">
        <w:rPr>
          <w:rFonts w:eastAsia="Times New Roman" w:cs="Times New Roman"/>
          <w:iCs/>
          <w:szCs w:val="24"/>
          <w:lang w:eastAsia="lv-LV"/>
        </w:rPr>
        <w:t xml:space="preserve"> mantas nepietiek</w:t>
      </w:r>
      <w:r w:rsidRPr="00237C03">
        <w:rPr>
          <w:rFonts w:eastAsia="Times New Roman" w:cs="Times New Roman"/>
          <w:iCs/>
          <w:szCs w:val="24"/>
          <w:lang w:eastAsia="lv-LV"/>
        </w:rPr>
        <w:t xml:space="preserve">, atbilstoši Komerclikuma </w:t>
      </w:r>
      <w:proofErr w:type="gramStart"/>
      <w:r w:rsidRPr="00237C03">
        <w:rPr>
          <w:rFonts w:eastAsia="Times New Roman" w:cs="Times New Roman"/>
          <w:iCs/>
          <w:szCs w:val="24"/>
          <w:lang w:eastAsia="lv-LV"/>
        </w:rPr>
        <w:t>323.panta</w:t>
      </w:r>
      <w:proofErr w:type="gramEnd"/>
      <w:r w:rsidRPr="00237C03">
        <w:rPr>
          <w:rFonts w:eastAsia="Times New Roman" w:cs="Times New Roman"/>
          <w:iCs/>
          <w:szCs w:val="24"/>
          <w:lang w:eastAsia="lv-LV"/>
        </w:rPr>
        <w:t xml:space="preserve"> noteikumiem iesniedzams maksātnespējas pieteikums</w:t>
      </w:r>
      <w:r w:rsidR="003A4E89" w:rsidRPr="00237C03">
        <w:rPr>
          <w:rFonts w:eastAsia="Times New Roman" w:cs="Times New Roman"/>
          <w:iCs/>
          <w:szCs w:val="24"/>
          <w:lang w:eastAsia="lv-LV"/>
        </w:rPr>
        <w:t>, savukārt par šī pienākuma neizpildi</w:t>
      </w:r>
      <w:r w:rsidR="002956BD" w:rsidRPr="00237C03">
        <w:rPr>
          <w:rFonts w:cs="Times New Roman"/>
          <w:szCs w:val="24"/>
        </w:rPr>
        <w:t xml:space="preserve"> ir paredzēta</w:t>
      </w:r>
      <w:r w:rsidR="003A4E89" w:rsidRPr="00237C03">
        <w:rPr>
          <w:rFonts w:cs="Times New Roman"/>
          <w:szCs w:val="24"/>
        </w:rPr>
        <w:t xml:space="preserve"> </w:t>
      </w:r>
      <w:r w:rsidR="002956BD" w:rsidRPr="00237C03">
        <w:rPr>
          <w:rFonts w:cs="Times New Roman"/>
          <w:szCs w:val="24"/>
        </w:rPr>
        <w:t>kriminālatbildība</w:t>
      </w:r>
      <w:r w:rsidR="003A4E89" w:rsidRPr="00237C03">
        <w:rPr>
          <w:rFonts w:cs="Times New Roman"/>
          <w:szCs w:val="24"/>
        </w:rPr>
        <w:t>.</w:t>
      </w:r>
    </w:p>
    <w:p w14:paraId="2E484F76" w14:textId="3D5C68EC" w:rsidR="00A80092" w:rsidRPr="00237C03" w:rsidRDefault="00A80092" w:rsidP="00F730F4">
      <w:pPr>
        <w:spacing w:after="0" w:line="276" w:lineRule="auto"/>
        <w:ind w:firstLine="567"/>
        <w:jc w:val="both"/>
        <w:rPr>
          <w:rFonts w:cs="Times New Roman"/>
          <w:szCs w:val="24"/>
        </w:rPr>
      </w:pPr>
      <w:r w:rsidRPr="00237C03">
        <w:rPr>
          <w:rFonts w:cs="Times New Roman"/>
          <w:szCs w:val="24"/>
        </w:rPr>
        <w:t>Senāts atzīst</w:t>
      </w:r>
      <w:r w:rsidR="006F0EB8" w:rsidRPr="00237C03">
        <w:rPr>
          <w:rFonts w:cs="Times New Roman"/>
          <w:szCs w:val="24"/>
        </w:rPr>
        <w:t xml:space="preserve">, ka apelācijas instances tiesa, pievienojoties pirmās instances </w:t>
      </w:r>
      <w:r w:rsidRPr="00237C03">
        <w:rPr>
          <w:rFonts w:cs="Times New Roman"/>
          <w:szCs w:val="24"/>
        </w:rPr>
        <w:t xml:space="preserve">spriedumā paustajiem </w:t>
      </w:r>
      <w:r w:rsidR="006F0EB8" w:rsidRPr="00237C03">
        <w:rPr>
          <w:rFonts w:cs="Times New Roman"/>
          <w:szCs w:val="24"/>
        </w:rPr>
        <w:t xml:space="preserve">argumentiem, nepareizi iztulkojusi </w:t>
      </w:r>
      <w:r w:rsidR="00603727" w:rsidRPr="00237C03">
        <w:rPr>
          <w:rFonts w:cs="Times New Roman"/>
          <w:szCs w:val="24"/>
        </w:rPr>
        <w:t xml:space="preserve">un piemērojusi </w:t>
      </w:r>
      <w:r w:rsidR="006F0EB8" w:rsidRPr="00237C03">
        <w:rPr>
          <w:rFonts w:cs="Times New Roman"/>
          <w:szCs w:val="24"/>
        </w:rPr>
        <w:t xml:space="preserve">Maksātnespējas likuma </w:t>
      </w:r>
      <w:r w:rsidR="006F0EB8" w:rsidRPr="00237C03">
        <w:rPr>
          <w:rFonts w:cs="Times New Roman"/>
          <w:szCs w:val="24"/>
        </w:rPr>
        <w:lastRenderedPageBreak/>
        <w:t>72.</w:t>
      </w:r>
      <w:r w:rsidR="006F0EB8" w:rsidRPr="00237C03">
        <w:rPr>
          <w:rFonts w:cs="Times New Roman"/>
          <w:szCs w:val="24"/>
          <w:vertAlign w:val="superscript"/>
        </w:rPr>
        <w:t>1</w:t>
      </w:r>
      <w:r w:rsidR="006F0EB8" w:rsidRPr="00237C03">
        <w:rPr>
          <w:rFonts w:cs="Times New Roman"/>
          <w:szCs w:val="24"/>
        </w:rPr>
        <w:t> pantu, secinot, ka normā paredzēta</w:t>
      </w:r>
      <w:r w:rsidRPr="00237C03">
        <w:rPr>
          <w:rFonts w:cs="Times New Roman"/>
          <w:szCs w:val="24"/>
        </w:rPr>
        <w:t>is</w:t>
      </w:r>
      <w:r w:rsidR="006F0EB8" w:rsidRPr="00237C03">
        <w:rPr>
          <w:rFonts w:cs="Times New Roman"/>
          <w:szCs w:val="24"/>
        </w:rPr>
        <w:t xml:space="preserve"> atbildība</w:t>
      </w:r>
      <w:r w:rsidRPr="00237C03">
        <w:rPr>
          <w:rFonts w:cs="Times New Roman"/>
          <w:szCs w:val="24"/>
        </w:rPr>
        <w:t>s pienākums</w:t>
      </w:r>
      <w:r w:rsidR="006F0EB8" w:rsidRPr="00237C03">
        <w:rPr>
          <w:rFonts w:cs="Times New Roman"/>
          <w:szCs w:val="24"/>
        </w:rPr>
        <w:t xml:space="preserve"> par grāmatvedības dokumentu nenodošanu nevar tikt attie</w:t>
      </w:r>
      <w:r w:rsidRPr="00237C03">
        <w:rPr>
          <w:rFonts w:cs="Times New Roman"/>
          <w:szCs w:val="24"/>
        </w:rPr>
        <w:t>cināts uz sabiedrības likvidatoru.</w:t>
      </w:r>
    </w:p>
    <w:p w14:paraId="68CD0BA0" w14:textId="1D43EF70" w:rsidR="00A80092" w:rsidRPr="00237C03" w:rsidRDefault="00A80092" w:rsidP="00F730F4">
      <w:pPr>
        <w:spacing w:after="0" w:line="276" w:lineRule="auto"/>
        <w:ind w:firstLine="567"/>
        <w:jc w:val="both"/>
        <w:rPr>
          <w:rFonts w:cs="Times New Roman"/>
          <w:szCs w:val="24"/>
        </w:rPr>
      </w:pPr>
    </w:p>
    <w:p w14:paraId="52456E42" w14:textId="4F51DF13" w:rsidR="00A80092" w:rsidRPr="00237C03" w:rsidRDefault="00A80092" w:rsidP="00F730F4">
      <w:pPr>
        <w:spacing w:after="0" w:line="276" w:lineRule="auto"/>
        <w:ind w:firstLine="567"/>
        <w:jc w:val="both"/>
      </w:pPr>
      <w:r w:rsidRPr="00237C03">
        <w:rPr>
          <w:rFonts w:cs="Times New Roman"/>
          <w:szCs w:val="24"/>
        </w:rPr>
        <w:t xml:space="preserve">[5] </w:t>
      </w:r>
      <w:r w:rsidR="00886718" w:rsidRPr="00237C03">
        <w:rPr>
          <w:rFonts w:cs="Times New Roman"/>
          <w:szCs w:val="24"/>
        </w:rPr>
        <w:t xml:space="preserve">Senāts piekrīt kasācijas sūdzībā norādītajam apsvērumam, ka </w:t>
      </w:r>
      <w:r w:rsidR="00886718" w:rsidRPr="00237C03">
        <w:t>pārbaudāmā sprieduma motīvu daļa liecina par apelācijas instances tiesas kļūdainu izpratni par judikatūras izmantošanas metodi.</w:t>
      </w:r>
    </w:p>
    <w:p w14:paraId="00C63B9C" w14:textId="4DF8A0CF" w:rsidR="00EC5F33" w:rsidRPr="00237C03" w:rsidRDefault="00E33BEB" w:rsidP="00E33BEB">
      <w:pPr>
        <w:spacing w:after="0" w:line="276" w:lineRule="auto"/>
        <w:ind w:firstLine="567"/>
        <w:jc w:val="both"/>
        <w:rPr>
          <w:rFonts w:eastAsia="Calibri"/>
          <w:iCs/>
        </w:rPr>
      </w:pPr>
      <w:r w:rsidRPr="00237C03">
        <w:rPr>
          <w:rFonts w:ascii="TimesNewRomanPSMT" w:eastAsia="Times New Roman" w:hAnsi="TimesNewRomanPSMT" w:cs="TimesNewRomanPSMT"/>
          <w:szCs w:val="24"/>
          <w:lang w:eastAsia="lv-LV"/>
        </w:rPr>
        <w:t>Lai izmantotu atsauci uz konkrēt</w:t>
      </w:r>
      <w:r w:rsidR="00FA3316" w:rsidRPr="00237C03">
        <w:rPr>
          <w:rFonts w:ascii="TimesNewRomanPSMT" w:eastAsia="Times New Roman" w:hAnsi="TimesNewRomanPSMT" w:cs="TimesNewRomanPSMT"/>
          <w:szCs w:val="24"/>
          <w:lang w:eastAsia="lv-LV"/>
        </w:rPr>
        <w:t>as</w:t>
      </w:r>
      <w:r w:rsidRPr="00237C03">
        <w:rPr>
          <w:rFonts w:ascii="TimesNewRomanPSMT" w:eastAsia="Times New Roman" w:hAnsi="TimesNewRomanPSMT" w:cs="TimesNewRomanPSMT"/>
          <w:szCs w:val="24"/>
          <w:lang w:eastAsia="lv-LV"/>
        </w:rPr>
        <w:t xml:space="preserve"> liet</w:t>
      </w:r>
      <w:r w:rsidR="00FA3316" w:rsidRPr="00237C03">
        <w:rPr>
          <w:rFonts w:ascii="TimesNewRomanPSMT" w:eastAsia="Times New Roman" w:hAnsi="TimesNewRomanPSMT" w:cs="TimesNewRomanPSMT"/>
          <w:szCs w:val="24"/>
          <w:lang w:eastAsia="lv-LV"/>
        </w:rPr>
        <w:t>as</w:t>
      </w:r>
      <w:r w:rsidR="00FA3316" w:rsidRPr="00237C03">
        <w:rPr>
          <w:szCs w:val="24"/>
        </w:rPr>
        <w:t xml:space="preserve"> atziņām</w:t>
      </w:r>
      <w:r w:rsidRPr="00237C03">
        <w:rPr>
          <w:rFonts w:ascii="TimesNewRomanPSMT" w:eastAsia="Times New Roman" w:hAnsi="TimesNewRomanPSMT" w:cs="TimesNewRomanPSMT"/>
          <w:szCs w:val="24"/>
          <w:lang w:eastAsia="lv-LV"/>
        </w:rPr>
        <w:t xml:space="preserve"> kā </w:t>
      </w:r>
      <w:r w:rsidR="001511AE" w:rsidRPr="00237C03">
        <w:rPr>
          <w:rFonts w:ascii="TimesNewRomanPSMT" w:eastAsia="Times New Roman" w:hAnsi="TimesNewRomanPSMT" w:cs="TimesNewRomanPSMT"/>
          <w:szCs w:val="24"/>
          <w:lang w:eastAsia="lv-LV"/>
        </w:rPr>
        <w:t>judikatūru</w:t>
      </w:r>
      <w:r w:rsidRPr="00237C03">
        <w:rPr>
          <w:rFonts w:ascii="TimesNewRomanPSMT" w:eastAsia="Times New Roman" w:hAnsi="TimesNewRomanPSMT" w:cs="TimesNewRomanPSMT"/>
          <w:szCs w:val="24"/>
          <w:lang w:eastAsia="lv-LV"/>
        </w:rPr>
        <w:t xml:space="preserve">, </w:t>
      </w:r>
      <w:r w:rsidR="00FA3316" w:rsidRPr="00237C03">
        <w:rPr>
          <w:rFonts w:eastAsia="Calibri"/>
          <w:iCs/>
        </w:rPr>
        <w:t>faktisko un tiesisko apstākļu ziņā</w:t>
      </w:r>
      <w:r w:rsidR="00FA3316" w:rsidRPr="00237C03">
        <w:rPr>
          <w:rFonts w:ascii="TimesNewRomanPSMT" w:eastAsia="Times New Roman" w:hAnsi="TimesNewRomanPSMT" w:cs="TimesNewRomanPSMT"/>
          <w:szCs w:val="24"/>
          <w:lang w:eastAsia="lv-LV"/>
        </w:rPr>
        <w:t xml:space="preserve"> ir jāpastāv</w:t>
      </w:r>
      <w:r w:rsidR="00FA3316" w:rsidRPr="00237C03">
        <w:rPr>
          <w:rFonts w:eastAsia="Calibri"/>
          <w:iCs/>
        </w:rPr>
        <w:t xml:space="preserve"> pietiekamai līdzībai ar izšķiramās </w:t>
      </w:r>
      <w:r w:rsidR="00EC5F33" w:rsidRPr="00237C03">
        <w:rPr>
          <w:rFonts w:eastAsia="Calibri"/>
          <w:iCs/>
        </w:rPr>
        <w:t>lietas apstākļiem.</w:t>
      </w:r>
    </w:p>
    <w:p w14:paraId="34C07C8E" w14:textId="68629996" w:rsidR="00EC5F33" w:rsidRPr="00237C03" w:rsidRDefault="00EC5F33" w:rsidP="00E33BEB">
      <w:pPr>
        <w:spacing w:after="0" w:line="276" w:lineRule="auto"/>
        <w:ind w:firstLine="567"/>
        <w:jc w:val="both"/>
        <w:rPr>
          <w:rFonts w:cs="Times New Roman"/>
          <w:szCs w:val="24"/>
        </w:rPr>
      </w:pPr>
      <w:r w:rsidRPr="00237C03">
        <w:rPr>
          <w:rFonts w:eastAsia="Calibri"/>
          <w:iCs/>
        </w:rPr>
        <w:t>Celtās prasības pamata fakts</w:t>
      </w:r>
      <w:r w:rsidR="009D6C73" w:rsidRPr="00237C03">
        <w:rPr>
          <w:rFonts w:eastAsia="Calibri"/>
          <w:iCs/>
        </w:rPr>
        <w:t xml:space="preserve"> </w:t>
      </w:r>
      <w:r w:rsidRPr="00237C03">
        <w:rPr>
          <w:rFonts w:eastAsia="Calibri"/>
          <w:iCs/>
        </w:rPr>
        <w:t>ir</w:t>
      </w:r>
      <w:r w:rsidR="009D6C73" w:rsidRPr="00237C03">
        <w:rPr>
          <w:rFonts w:eastAsia="Calibri"/>
          <w:iCs/>
        </w:rPr>
        <w:t xml:space="preserve"> tas</w:t>
      </w:r>
      <w:r w:rsidRPr="00237C03">
        <w:rPr>
          <w:rFonts w:eastAsia="Calibri"/>
          <w:iCs/>
        </w:rPr>
        <w:t>, ka atbildētāji sabiedrības grāmatvedības dokumentus nav nodevuši</w:t>
      </w:r>
      <w:r w:rsidR="00603727" w:rsidRPr="00237C03">
        <w:rPr>
          <w:rFonts w:eastAsia="Calibri"/>
          <w:iCs/>
        </w:rPr>
        <w:t>, tāpēc</w:t>
      </w:r>
      <w:r w:rsidR="00603727" w:rsidRPr="00237C03">
        <w:rPr>
          <w:rFonts w:cs="Times New Roman"/>
          <w:szCs w:val="24"/>
        </w:rPr>
        <w:t xml:space="preserve"> saskaņā ar Grāmatvedības likuma </w:t>
      </w:r>
      <w:proofErr w:type="gramStart"/>
      <w:r w:rsidR="00603727" w:rsidRPr="00237C03">
        <w:rPr>
          <w:rFonts w:cs="Times New Roman"/>
          <w:szCs w:val="24"/>
        </w:rPr>
        <w:t>6.panta</w:t>
      </w:r>
      <w:proofErr w:type="gramEnd"/>
      <w:r w:rsidR="00603727" w:rsidRPr="00237C03">
        <w:rPr>
          <w:rFonts w:cs="Times New Roman"/>
          <w:szCs w:val="24"/>
        </w:rPr>
        <w:t xml:space="preserve"> otro daļu </w:t>
      </w:r>
      <w:r w:rsidR="009D6C73" w:rsidRPr="00237C03">
        <w:rPr>
          <w:rFonts w:cs="Times New Roman"/>
          <w:szCs w:val="24"/>
        </w:rPr>
        <w:t>administratoram kā</w:t>
      </w:r>
      <w:r w:rsidR="00603727" w:rsidRPr="00237C03">
        <w:rPr>
          <w:rFonts w:cs="Times New Roman"/>
          <w:szCs w:val="24"/>
        </w:rPr>
        <w:t xml:space="preserve"> kompetenta</w:t>
      </w:r>
      <w:r w:rsidR="009D6C73" w:rsidRPr="00237C03">
        <w:rPr>
          <w:rFonts w:cs="Times New Roman"/>
          <w:szCs w:val="24"/>
        </w:rPr>
        <w:t>i</w:t>
      </w:r>
      <w:r w:rsidR="00603727" w:rsidRPr="00237C03">
        <w:rPr>
          <w:rFonts w:cs="Times New Roman"/>
          <w:szCs w:val="24"/>
        </w:rPr>
        <w:t xml:space="preserve"> treš</w:t>
      </w:r>
      <w:r w:rsidR="009D6C73" w:rsidRPr="00237C03">
        <w:rPr>
          <w:rFonts w:cs="Times New Roman"/>
          <w:szCs w:val="24"/>
        </w:rPr>
        <w:t>ajai</w:t>
      </w:r>
      <w:r w:rsidR="00603727" w:rsidRPr="00237C03">
        <w:rPr>
          <w:rFonts w:cs="Times New Roman"/>
          <w:szCs w:val="24"/>
        </w:rPr>
        <w:t xml:space="preserve"> persona</w:t>
      </w:r>
      <w:r w:rsidR="009D6C73" w:rsidRPr="00237C03">
        <w:rPr>
          <w:rFonts w:cs="Times New Roman"/>
          <w:szCs w:val="24"/>
        </w:rPr>
        <w:t>i</w:t>
      </w:r>
      <w:r w:rsidR="00603727" w:rsidRPr="00237C03">
        <w:rPr>
          <w:rFonts w:cs="Times New Roman"/>
          <w:szCs w:val="24"/>
        </w:rPr>
        <w:t xml:space="preserve"> no</w:t>
      </w:r>
      <w:r w:rsidR="009D6C73" w:rsidRPr="00237C03">
        <w:rPr>
          <w:rFonts w:cs="Times New Roman"/>
          <w:szCs w:val="24"/>
        </w:rPr>
        <w:t xml:space="preserve"> viņa rīcībā esošā</w:t>
      </w:r>
      <w:r w:rsidR="00603727" w:rsidRPr="00237C03">
        <w:rPr>
          <w:rFonts w:cs="Times New Roman"/>
          <w:szCs w:val="24"/>
        </w:rPr>
        <w:t xml:space="preserve"> </w:t>
      </w:r>
      <w:r w:rsidR="008051E6" w:rsidRPr="00237C03">
        <w:rPr>
          <w:rFonts w:cs="Times New Roman"/>
          <w:szCs w:val="24"/>
        </w:rPr>
        <w:t xml:space="preserve">sabiedrības </w:t>
      </w:r>
      <w:r w:rsidR="00603727" w:rsidRPr="00237C03">
        <w:rPr>
          <w:rFonts w:cs="Times New Roman"/>
          <w:szCs w:val="24"/>
        </w:rPr>
        <w:t xml:space="preserve">dokumentu kopuma </w:t>
      </w:r>
      <w:r w:rsidR="009D6C73" w:rsidRPr="00237C03">
        <w:rPr>
          <w:rFonts w:cs="Times New Roman"/>
          <w:szCs w:val="24"/>
        </w:rPr>
        <w:t>nav iespējams</w:t>
      </w:r>
      <w:r w:rsidR="00603727" w:rsidRPr="00237C03">
        <w:rPr>
          <w:rFonts w:cs="Times New Roman"/>
          <w:szCs w:val="24"/>
        </w:rPr>
        <w:t xml:space="preserve"> gūt jebkādu priekšstatu par uzņēmuma </w:t>
      </w:r>
      <w:r w:rsidR="009D6C73" w:rsidRPr="00237C03">
        <w:rPr>
          <w:rFonts w:cs="Times New Roman"/>
          <w:szCs w:val="24"/>
        </w:rPr>
        <w:t xml:space="preserve">saimniecisko darbību un </w:t>
      </w:r>
      <w:r w:rsidR="00603727" w:rsidRPr="00237C03">
        <w:rPr>
          <w:rFonts w:cs="Times New Roman"/>
          <w:szCs w:val="24"/>
        </w:rPr>
        <w:t>finan</w:t>
      </w:r>
      <w:r w:rsidR="00B90EC3" w:rsidRPr="00237C03">
        <w:rPr>
          <w:rFonts w:cs="Times New Roman"/>
          <w:szCs w:val="24"/>
        </w:rPr>
        <w:t>šu</w:t>
      </w:r>
      <w:r w:rsidR="00603727" w:rsidRPr="00237C03">
        <w:rPr>
          <w:rFonts w:cs="Times New Roman"/>
          <w:szCs w:val="24"/>
        </w:rPr>
        <w:t xml:space="preserve"> stāvokli.</w:t>
      </w:r>
    </w:p>
    <w:p w14:paraId="693561E0" w14:textId="0BE95CF3" w:rsidR="008051E6" w:rsidRPr="00237C03" w:rsidRDefault="008051E6" w:rsidP="00EC5F33">
      <w:pPr>
        <w:spacing w:after="0" w:line="276" w:lineRule="auto"/>
        <w:ind w:firstLine="567"/>
        <w:jc w:val="both"/>
        <w:rPr>
          <w:rFonts w:eastAsia="Times New Roman" w:cs="Times New Roman"/>
          <w:szCs w:val="24"/>
          <w:lang w:eastAsia="lv-LV"/>
        </w:rPr>
      </w:pPr>
      <w:r w:rsidRPr="00237C03">
        <w:rPr>
          <w:rFonts w:eastAsia="Times New Roman" w:cs="Times New Roman"/>
          <w:szCs w:val="24"/>
          <w:lang w:eastAsia="lv-LV"/>
        </w:rPr>
        <w:t xml:space="preserve">Pareiza priekšstata gūšanai par </w:t>
      </w:r>
      <w:r w:rsidRPr="00237C03">
        <w:rPr>
          <w:rFonts w:cs="Times New Roman"/>
          <w:szCs w:val="24"/>
        </w:rPr>
        <w:t>uzņēmuma saimniecisko darbību un finansiālo stāvokli</w:t>
      </w:r>
      <w:r w:rsidRPr="00237C03">
        <w:rPr>
          <w:rFonts w:eastAsia="Times New Roman" w:cs="Times New Roman"/>
          <w:szCs w:val="24"/>
          <w:lang w:eastAsia="lv-LV"/>
        </w:rPr>
        <w:t xml:space="preserve"> jāpievēršas sabiedrības iekšējo grāmatvedības organizācijas dokumentu (piemēram, grāmatvedības uzskaites politika, dokumentu aprites shēma, grāmatvedības kontu plāns un grāmatojuma shēmas, iekšējās kontroles sistēma), līgumu, kā arī citu iekšējo un ārējo attaisnojuma dokumentu izvērtējumam, lai pārliecinātos par grāmatojumu atbilstību faktiskai situācijai.</w:t>
      </w:r>
    </w:p>
    <w:p w14:paraId="2258B774" w14:textId="4AEE83C9" w:rsidR="00E41C74" w:rsidRPr="00237C03" w:rsidRDefault="00532253" w:rsidP="00EC5F33">
      <w:pPr>
        <w:spacing w:after="0" w:line="276" w:lineRule="auto"/>
        <w:ind w:firstLine="567"/>
        <w:jc w:val="both"/>
        <w:rPr>
          <w:rFonts w:cs="Times New Roman"/>
          <w:szCs w:val="24"/>
        </w:rPr>
      </w:pPr>
      <w:r w:rsidRPr="00237C03">
        <w:rPr>
          <w:rFonts w:eastAsia="Times New Roman" w:cs="Times New Roman"/>
          <w:szCs w:val="24"/>
          <w:lang w:eastAsia="lv-LV"/>
        </w:rPr>
        <w:t xml:space="preserve">Apelācijas instance pārbaudāmajā spriedumā izšķirošu nozīmi slēdziena izdarīšanai par grāmatvedības dokumentu </w:t>
      </w:r>
      <w:r w:rsidR="009B34A5" w:rsidRPr="00237C03">
        <w:rPr>
          <w:rFonts w:eastAsia="Times New Roman" w:cs="Times New Roman"/>
          <w:szCs w:val="24"/>
          <w:lang w:eastAsia="lv-LV"/>
        </w:rPr>
        <w:t xml:space="preserve">daļēju </w:t>
      </w:r>
      <w:r w:rsidRPr="00237C03">
        <w:rPr>
          <w:rFonts w:eastAsia="Times New Roman" w:cs="Times New Roman"/>
          <w:szCs w:val="24"/>
          <w:lang w:eastAsia="lv-LV"/>
        </w:rPr>
        <w:t>esību administratora rīcībā</w:t>
      </w:r>
      <w:r w:rsidR="007154C7" w:rsidRPr="00237C03">
        <w:rPr>
          <w:rFonts w:eastAsia="Times New Roman" w:cs="Times New Roman"/>
          <w:szCs w:val="24"/>
          <w:lang w:eastAsia="lv-LV"/>
        </w:rPr>
        <w:t xml:space="preserve"> saistījusi ar faktu, ka </w:t>
      </w:r>
      <w:r w:rsidR="007154C7" w:rsidRPr="00237C03">
        <w:rPr>
          <w:rFonts w:cs="Times New Roman"/>
          <w:szCs w:val="24"/>
        </w:rPr>
        <w:t>likvidācijas procesā tika apzināti kreditori, taču tiesa bez ievērības atstājusi faktu, ka t</w:t>
      </w:r>
      <w:r w:rsidR="00B90EC3" w:rsidRPr="00237C03">
        <w:rPr>
          <w:rFonts w:cs="Times New Roman"/>
          <w:szCs w:val="24"/>
        </w:rPr>
        <w:t>as apstiprina</w:t>
      </w:r>
      <w:r w:rsidR="007154C7" w:rsidRPr="00237C03">
        <w:rPr>
          <w:rFonts w:cs="Times New Roman"/>
          <w:szCs w:val="24"/>
        </w:rPr>
        <w:t xml:space="preserve"> tikai </w:t>
      </w:r>
      <w:r w:rsidR="00B90EC3" w:rsidRPr="00237C03">
        <w:rPr>
          <w:rFonts w:cs="Times New Roman"/>
          <w:szCs w:val="24"/>
        </w:rPr>
        <w:t xml:space="preserve">un vienīgi </w:t>
      </w:r>
      <w:r w:rsidR="007154C7" w:rsidRPr="00237C03">
        <w:rPr>
          <w:rFonts w:cs="Times New Roman"/>
          <w:szCs w:val="24"/>
        </w:rPr>
        <w:t xml:space="preserve">sabiedrības saistības, kuras pēc likvidatora aicinājuma pieteica kreditori un iesniedza saistību apliecinošus dokumentus. </w:t>
      </w:r>
      <w:r w:rsidR="00B90EC3" w:rsidRPr="00237C03">
        <w:rPr>
          <w:rFonts w:cs="Times New Roman"/>
          <w:szCs w:val="24"/>
        </w:rPr>
        <w:t>No minētiem dokumentiem izdarīt secinājumus par sabiedrības finanšu plūsmu, tās rīcībā bijušiem un esošiem aktīviem nav iespējams.</w:t>
      </w:r>
    </w:p>
    <w:p w14:paraId="1F933E3A" w14:textId="63E97C3C" w:rsidR="00AF704D" w:rsidRPr="00237C03" w:rsidRDefault="00E41C74" w:rsidP="00EC5F33">
      <w:pPr>
        <w:spacing w:after="0" w:line="276" w:lineRule="auto"/>
        <w:ind w:firstLine="567"/>
        <w:jc w:val="both"/>
        <w:rPr>
          <w:rFonts w:cs="Times New Roman"/>
          <w:szCs w:val="24"/>
        </w:rPr>
      </w:pPr>
      <w:r w:rsidRPr="00237C03">
        <w:rPr>
          <w:rFonts w:cs="Times New Roman"/>
          <w:szCs w:val="24"/>
        </w:rPr>
        <w:t>Lietā atrodas dokumentu pieņemšanas nodošanas akts</w:t>
      </w:r>
      <w:r w:rsidR="00AF704D" w:rsidRPr="00237C03">
        <w:rPr>
          <w:rFonts w:cs="Times New Roman"/>
          <w:szCs w:val="24"/>
        </w:rPr>
        <w:t xml:space="preserve"> (</w:t>
      </w:r>
      <w:r w:rsidR="00AF704D" w:rsidRPr="00237C03">
        <w:rPr>
          <w:rFonts w:cs="Times New Roman"/>
          <w:i/>
          <w:iCs/>
          <w:szCs w:val="24"/>
        </w:rPr>
        <w:t xml:space="preserve">lietas </w:t>
      </w:r>
      <w:proofErr w:type="gramStart"/>
      <w:r w:rsidR="00AF704D" w:rsidRPr="00237C03">
        <w:rPr>
          <w:rFonts w:cs="Times New Roman"/>
          <w:i/>
          <w:iCs/>
          <w:szCs w:val="24"/>
        </w:rPr>
        <w:t>35.</w:t>
      </w:r>
      <w:r w:rsidR="007C174F" w:rsidRPr="00237C03">
        <w:rPr>
          <w:rFonts w:cs="Times New Roman"/>
          <w:i/>
          <w:iCs/>
          <w:szCs w:val="24"/>
        </w:rPr>
        <w:t>lapa</w:t>
      </w:r>
      <w:proofErr w:type="gramEnd"/>
      <w:r w:rsidR="00AF704D" w:rsidRPr="00237C03">
        <w:rPr>
          <w:rFonts w:cs="Times New Roman"/>
          <w:szCs w:val="24"/>
        </w:rPr>
        <w:t>)</w:t>
      </w:r>
      <w:r w:rsidRPr="00237C03">
        <w:rPr>
          <w:rFonts w:cs="Times New Roman"/>
          <w:szCs w:val="24"/>
        </w:rPr>
        <w:t>, ar kuru sabiedrības likvidators nodeva administratoram sabiedrības dokumentāciju, taču tiesa š</w:t>
      </w:r>
      <w:r w:rsidR="00486982" w:rsidRPr="00237C03">
        <w:rPr>
          <w:rFonts w:cs="Times New Roman"/>
          <w:szCs w:val="24"/>
        </w:rPr>
        <w:t>o</w:t>
      </w:r>
      <w:r w:rsidRPr="00237C03">
        <w:rPr>
          <w:rFonts w:cs="Times New Roman"/>
          <w:szCs w:val="24"/>
        </w:rPr>
        <w:t xml:space="preserve"> pierādījum</w:t>
      </w:r>
      <w:r w:rsidR="00486982" w:rsidRPr="00237C03">
        <w:rPr>
          <w:rFonts w:cs="Times New Roman"/>
          <w:szCs w:val="24"/>
        </w:rPr>
        <w:t xml:space="preserve">u vispār </w:t>
      </w:r>
      <w:r w:rsidR="008D04B8" w:rsidRPr="00237C03">
        <w:rPr>
          <w:rFonts w:cs="Times New Roman"/>
          <w:szCs w:val="24"/>
        </w:rPr>
        <w:t>atstājusi bez ievērības</w:t>
      </w:r>
      <w:r w:rsidR="009B34A5" w:rsidRPr="00237C03">
        <w:rPr>
          <w:rFonts w:cs="Times New Roman"/>
          <w:szCs w:val="24"/>
        </w:rPr>
        <w:t xml:space="preserve">, tāpēc tiesas vērtējums tam, vai </w:t>
      </w:r>
      <w:r w:rsidR="00AF704D" w:rsidRPr="00237C03">
        <w:rPr>
          <w:rFonts w:cs="Times New Roman"/>
          <w:szCs w:val="24"/>
        </w:rPr>
        <w:t xml:space="preserve">administratora rīcībā vispār ir </w:t>
      </w:r>
      <w:r w:rsidR="009B34A5" w:rsidRPr="00237C03">
        <w:rPr>
          <w:rFonts w:cs="Times New Roman"/>
          <w:szCs w:val="24"/>
        </w:rPr>
        <w:t>nodot</w:t>
      </w:r>
      <w:r w:rsidR="00AF704D" w:rsidRPr="00237C03">
        <w:rPr>
          <w:rFonts w:cs="Times New Roman"/>
          <w:szCs w:val="24"/>
        </w:rPr>
        <w:t xml:space="preserve">s kāds </w:t>
      </w:r>
      <w:r w:rsidR="009B34A5" w:rsidRPr="00237C03">
        <w:rPr>
          <w:rFonts w:cs="Times New Roman"/>
          <w:szCs w:val="24"/>
        </w:rPr>
        <w:t>grāmatvedības dokuments</w:t>
      </w:r>
      <w:r w:rsidR="00AF704D" w:rsidRPr="00237C03">
        <w:rPr>
          <w:rFonts w:cs="Times New Roman"/>
          <w:szCs w:val="24"/>
        </w:rPr>
        <w:t>, kurš būtu izmantojams priekšstata gūšanai par maksātnespējīgas sabiedrības finanšu stāvokli, nav dots.</w:t>
      </w:r>
    </w:p>
    <w:p w14:paraId="052D09CB" w14:textId="7BAA5EC9" w:rsidR="00AF704D" w:rsidRPr="00237C03" w:rsidRDefault="006573E4" w:rsidP="00EC5F33">
      <w:pPr>
        <w:spacing w:after="0" w:line="276" w:lineRule="auto"/>
        <w:ind w:firstLine="567"/>
        <w:jc w:val="both"/>
        <w:rPr>
          <w:rFonts w:cs="Times New Roman"/>
          <w:szCs w:val="24"/>
        </w:rPr>
      </w:pPr>
      <w:r w:rsidRPr="00237C03">
        <w:rPr>
          <w:rFonts w:cs="Times New Roman"/>
          <w:szCs w:val="24"/>
        </w:rPr>
        <w:t xml:space="preserve">Šādos apstākļos strīda izšķiršanai apelācijas instances tiesas izmantotās atsauces uz Senāta lietā </w:t>
      </w:r>
      <w:proofErr w:type="spellStart"/>
      <w:r w:rsidRPr="00237C03">
        <w:rPr>
          <w:rFonts w:cs="Times New Roman"/>
          <w:szCs w:val="24"/>
        </w:rPr>
        <w:t>Nr.SKC</w:t>
      </w:r>
      <w:proofErr w:type="spellEnd"/>
      <w:r w:rsidRPr="00237C03">
        <w:rPr>
          <w:rFonts w:cs="Times New Roman"/>
          <w:szCs w:val="24"/>
        </w:rPr>
        <w:noBreakHyphen/>
        <w:t xml:space="preserve">314/2020 un </w:t>
      </w:r>
      <w:r w:rsidRPr="00237C03">
        <w:t xml:space="preserve">lietā </w:t>
      </w:r>
      <w:proofErr w:type="spellStart"/>
      <w:r w:rsidRPr="00237C03">
        <w:t>Nr.SKC-154</w:t>
      </w:r>
      <w:proofErr w:type="spellEnd"/>
      <w:r w:rsidRPr="00237C03">
        <w:t xml:space="preserve">/2019 </w:t>
      </w:r>
      <w:r w:rsidRPr="00237C03">
        <w:rPr>
          <w:rFonts w:cs="Times New Roman"/>
          <w:szCs w:val="24"/>
        </w:rPr>
        <w:t xml:space="preserve">izteiktām atziņām ir nevietā, jo tiesa ar atbilstošiem pierādījumiem </w:t>
      </w:r>
      <w:r w:rsidR="008D04B8" w:rsidRPr="00237C03">
        <w:rPr>
          <w:rFonts w:cs="Times New Roman"/>
          <w:szCs w:val="24"/>
        </w:rPr>
        <w:t xml:space="preserve">šajā lietā </w:t>
      </w:r>
      <w:r w:rsidRPr="00237C03">
        <w:rPr>
          <w:rFonts w:cs="Times New Roman"/>
          <w:szCs w:val="24"/>
        </w:rPr>
        <w:t>nav nodibinājusi faktu, ka maksātnespējīgas sabiedrības grāmatvedības dokumenti administratoram vispār būtu nodoti.</w:t>
      </w:r>
      <w:r w:rsidR="00EB7752" w:rsidRPr="00237C03">
        <w:rPr>
          <w:rFonts w:cs="Times New Roman"/>
          <w:szCs w:val="24"/>
        </w:rPr>
        <w:t xml:space="preserve"> Tas liecina, ka spriedums neatbilst Civilprocesa likuma </w:t>
      </w:r>
      <w:proofErr w:type="gramStart"/>
      <w:r w:rsidR="00EB7752" w:rsidRPr="00237C03">
        <w:rPr>
          <w:rFonts w:cs="Times New Roman"/>
          <w:szCs w:val="24"/>
        </w:rPr>
        <w:t>193.panta</w:t>
      </w:r>
      <w:proofErr w:type="gramEnd"/>
      <w:r w:rsidR="00EB7752" w:rsidRPr="00237C03">
        <w:rPr>
          <w:rFonts w:cs="Times New Roman"/>
          <w:szCs w:val="24"/>
        </w:rPr>
        <w:t xml:space="preserve"> piektās daļas prasībām.</w:t>
      </w:r>
    </w:p>
    <w:p w14:paraId="432C785C" w14:textId="77777777" w:rsidR="006177B6" w:rsidRPr="00237C03" w:rsidRDefault="006177B6" w:rsidP="00C66599">
      <w:pPr>
        <w:spacing w:after="0" w:line="276" w:lineRule="auto"/>
        <w:ind w:firstLine="567"/>
        <w:jc w:val="both"/>
        <w:rPr>
          <w:rFonts w:cs="Times New Roman"/>
          <w:szCs w:val="24"/>
        </w:rPr>
      </w:pPr>
    </w:p>
    <w:p w14:paraId="6C8A5C48" w14:textId="77777777" w:rsidR="001F378C" w:rsidRPr="00237C03" w:rsidRDefault="001F378C" w:rsidP="00E0761C">
      <w:pPr>
        <w:widowControl w:val="0"/>
        <w:kinsoku w:val="0"/>
        <w:overflowPunct w:val="0"/>
        <w:autoSpaceDE w:val="0"/>
        <w:autoSpaceDN w:val="0"/>
        <w:adjustRightInd w:val="0"/>
        <w:spacing w:after="0" w:line="276" w:lineRule="auto"/>
        <w:ind w:right="-6"/>
        <w:jc w:val="center"/>
        <w:rPr>
          <w:rFonts w:eastAsiaTheme="minorEastAsia" w:cs="Times New Roman"/>
          <w:b/>
          <w:bCs/>
          <w:szCs w:val="24"/>
          <w:lang w:eastAsia="lv-LV"/>
        </w:rPr>
      </w:pPr>
      <w:r w:rsidRPr="00237C03">
        <w:rPr>
          <w:rFonts w:eastAsiaTheme="minorEastAsia" w:cs="Times New Roman"/>
          <w:b/>
          <w:bCs/>
          <w:szCs w:val="24"/>
          <w:lang w:eastAsia="lv-LV"/>
        </w:rPr>
        <w:t>Rezolutīvā daļa</w:t>
      </w:r>
    </w:p>
    <w:p w14:paraId="13032D38" w14:textId="77777777" w:rsidR="001F378C" w:rsidRPr="00237C03" w:rsidRDefault="001F378C" w:rsidP="001F378C">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7BEA88F1" w14:textId="64A04F0B" w:rsidR="001F378C" w:rsidRPr="00237C03" w:rsidRDefault="001F378C" w:rsidP="001F378C">
      <w:pPr>
        <w:widowControl w:val="0"/>
        <w:kinsoku w:val="0"/>
        <w:overflowPunct w:val="0"/>
        <w:autoSpaceDE w:val="0"/>
        <w:autoSpaceDN w:val="0"/>
        <w:adjustRightInd w:val="0"/>
        <w:spacing w:after="0" w:line="276" w:lineRule="auto"/>
        <w:ind w:right="-6" w:firstLine="567"/>
        <w:jc w:val="both"/>
        <w:rPr>
          <w:rFonts w:eastAsiaTheme="minorEastAsia" w:cs="Times New Roman"/>
          <w:spacing w:val="-1"/>
          <w:szCs w:val="24"/>
          <w:lang w:eastAsia="lv-LV"/>
        </w:rPr>
      </w:pPr>
      <w:r w:rsidRPr="00237C03">
        <w:rPr>
          <w:rFonts w:eastAsiaTheme="minorEastAsia" w:cs="Times New Roman"/>
          <w:spacing w:val="-1"/>
          <w:szCs w:val="24"/>
          <w:lang w:eastAsia="lv-LV"/>
        </w:rPr>
        <w:t xml:space="preserve">Pamatojoties uz Civilprocesa likuma 474. panta </w:t>
      </w:r>
      <w:r w:rsidR="00E0761C" w:rsidRPr="00237C03">
        <w:rPr>
          <w:rFonts w:eastAsiaTheme="minorEastAsia" w:cs="Times New Roman"/>
          <w:spacing w:val="-1"/>
          <w:szCs w:val="24"/>
          <w:lang w:eastAsia="lv-LV"/>
        </w:rPr>
        <w:t>2</w:t>
      </w:r>
      <w:r w:rsidRPr="00237C03">
        <w:rPr>
          <w:rFonts w:eastAsiaTheme="minorEastAsia" w:cs="Times New Roman"/>
          <w:spacing w:val="-1"/>
          <w:szCs w:val="24"/>
          <w:lang w:eastAsia="lv-LV"/>
        </w:rPr>
        <w:t>. punktu, Senāts</w:t>
      </w:r>
    </w:p>
    <w:p w14:paraId="7C736016" w14:textId="77777777" w:rsidR="003C324B" w:rsidRPr="00237C03" w:rsidRDefault="003C324B" w:rsidP="006177B6">
      <w:pPr>
        <w:widowControl w:val="0"/>
        <w:kinsoku w:val="0"/>
        <w:overflowPunct w:val="0"/>
        <w:autoSpaceDE w:val="0"/>
        <w:autoSpaceDN w:val="0"/>
        <w:adjustRightInd w:val="0"/>
        <w:spacing w:after="0" w:line="276" w:lineRule="auto"/>
        <w:ind w:right="-6"/>
        <w:jc w:val="both"/>
        <w:rPr>
          <w:rFonts w:eastAsiaTheme="minorEastAsia" w:cs="Times New Roman"/>
          <w:spacing w:val="-1"/>
          <w:szCs w:val="24"/>
          <w:lang w:eastAsia="lv-LV"/>
        </w:rPr>
      </w:pPr>
    </w:p>
    <w:p w14:paraId="31715C8D" w14:textId="77777777" w:rsidR="001F378C" w:rsidRPr="00237C03" w:rsidRDefault="001F378C" w:rsidP="00E0761C">
      <w:pPr>
        <w:widowControl w:val="0"/>
        <w:kinsoku w:val="0"/>
        <w:overflowPunct w:val="0"/>
        <w:autoSpaceDE w:val="0"/>
        <w:autoSpaceDN w:val="0"/>
        <w:adjustRightInd w:val="0"/>
        <w:spacing w:after="0" w:line="276" w:lineRule="auto"/>
        <w:ind w:right="-6"/>
        <w:jc w:val="center"/>
        <w:rPr>
          <w:rFonts w:eastAsiaTheme="minorEastAsia" w:cs="Times New Roman"/>
          <w:b/>
          <w:bCs/>
          <w:spacing w:val="-1"/>
          <w:szCs w:val="24"/>
          <w:lang w:eastAsia="lv-LV"/>
        </w:rPr>
      </w:pPr>
      <w:r w:rsidRPr="00237C03">
        <w:rPr>
          <w:rFonts w:eastAsiaTheme="minorEastAsia" w:cs="Times New Roman"/>
          <w:b/>
          <w:bCs/>
          <w:spacing w:val="-1"/>
          <w:szCs w:val="24"/>
          <w:lang w:eastAsia="lv-LV"/>
        </w:rPr>
        <w:t>nosprieda</w:t>
      </w:r>
    </w:p>
    <w:p w14:paraId="64F86111" w14:textId="77777777" w:rsidR="001F378C" w:rsidRPr="00237C03" w:rsidRDefault="001F378C" w:rsidP="001F378C">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5A321E0F" w14:textId="478F743E" w:rsidR="004515C5" w:rsidRPr="00237C03" w:rsidRDefault="008222DB" w:rsidP="001F378C">
      <w:pPr>
        <w:widowControl w:val="0"/>
        <w:kinsoku w:val="0"/>
        <w:overflowPunct w:val="0"/>
        <w:autoSpaceDE w:val="0"/>
        <w:autoSpaceDN w:val="0"/>
        <w:adjustRightInd w:val="0"/>
        <w:spacing w:after="0" w:line="276" w:lineRule="auto"/>
        <w:ind w:right="-8" w:firstLine="567"/>
        <w:jc w:val="both"/>
      </w:pPr>
      <w:r w:rsidRPr="00237C03">
        <w:t>Zemgales</w:t>
      </w:r>
      <w:r w:rsidR="004515C5" w:rsidRPr="00237C03">
        <w:t xml:space="preserve"> apgabaltiesas </w:t>
      </w:r>
      <w:proofErr w:type="gramStart"/>
      <w:r w:rsidRPr="00237C03">
        <w:t>2021.gada</w:t>
      </w:r>
      <w:proofErr w:type="gramEnd"/>
      <w:r w:rsidRPr="00237C03">
        <w:t xml:space="preserve"> 23.decembra </w:t>
      </w:r>
      <w:r w:rsidR="004515C5" w:rsidRPr="00237C03">
        <w:t xml:space="preserve">spriedumu atcelt un nodot lietu jaunai izskatīšanai apelācijas instances tiesā. </w:t>
      </w:r>
    </w:p>
    <w:p w14:paraId="09E2AEB2" w14:textId="0A0A441F" w:rsidR="001F378C" w:rsidRPr="00751131" w:rsidRDefault="001F378C" w:rsidP="004A1D7B">
      <w:pPr>
        <w:widowControl w:val="0"/>
        <w:kinsoku w:val="0"/>
        <w:overflowPunct w:val="0"/>
        <w:autoSpaceDE w:val="0"/>
        <w:autoSpaceDN w:val="0"/>
        <w:adjustRightInd w:val="0"/>
        <w:spacing w:after="0" w:line="276" w:lineRule="auto"/>
        <w:ind w:right="-8" w:firstLine="567"/>
        <w:jc w:val="both"/>
        <w:rPr>
          <w:rFonts w:eastAsiaTheme="minorEastAsia" w:cs="Times New Roman"/>
          <w:szCs w:val="24"/>
          <w:lang w:eastAsia="lv-LV"/>
        </w:rPr>
      </w:pPr>
      <w:r w:rsidRPr="00237C03">
        <w:rPr>
          <w:rFonts w:eastAsiaTheme="minorEastAsia" w:cs="Times New Roman"/>
          <w:szCs w:val="24"/>
          <w:lang w:eastAsia="lv-LV"/>
        </w:rPr>
        <w:t>Spriedums nav pārsūdzams.</w:t>
      </w:r>
      <w:r w:rsidRPr="00751131">
        <w:rPr>
          <w:rFonts w:eastAsiaTheme="minorEastAsia" w:cs="Times New Roman"/>
          <w:szCs w:val="24"/>
          <w:lang w:eastAsia="lv-LV"/>
        </w:rPr>
        <w:t xml:space="preserve"> </w:t>
      </w:r>
    </w:p>
    <w:sectPr w:rsidR="001F378C" w:rsidRPr="00751131" w:rsidSect="00071C6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3047" w14:textId="77777777" w:rsidR="006C33E2" w:rsidRDefault="006C33E2">
      <w:pPr>
        <w:spacing w:after="0" w:line="240" w:lineRule="auto"/>
      </w:pPr>
      <w:r>
        <w:separator/>
      </w:r>
    </w:p>
  </w:endnote>
  <w:endnote w:type="continuationSeparator" w:id="0">
    <w:p w14:paraId="70458247" w14:textId="77777777" w:rsidR="006C33E2" w:rsidRDefault="006C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1BC5" w14:textId="4654C90D" w:rsidR="00071C66" w:rsidRPr="00EA00B4" w:rsidRDefault="009A2F29" w:rsidP="00071C66">
    <w:pPr>
      <w:pStyle w:val="Footer"/>
      <w:jc w:val="center"/>
      <w:rPr>
        <w:szCs w:val="24"/>
      </w:rPr>
    </w:pPr>
    <w:r w:rsidRPr="00486982">
      <w:rPr>
        <w:szCs w:val="24"/>
      </w:rPr>
      <w:fldChar w:fldCharType="begin"/>
    </w:r>
    <w:r w:rsidRPr="00486982">
      <w:rPr>
        <w:szCs w:val="24"/>
      </w:rPr>
      <w:instrText xml:space="preserve"> PAGE   \* MERGEFORMAT </w:instrText>
    </w:r>
    <w:r w:rsidRPr="00486982">
      <w:rPr>
        <w:szCs w:val="24"/>
      </w:rPr>
      <w:fldChar w:fldCharType="separate"/>
    </w:r>
    <w:r w:rsidR="006873D7">
      <w:rPr>
        <w:noProof/>
        <w:szCs w:val="24"/>
      </w:rPr>
      <w:t>4</w:t>
    </w:r>
    <w:r w:rsidRPr="00486982">
      <w:rPr>
        <w:noProof/>
        <w:szCs w:val="24"/>
      </w:rPr>
      <w:fldChar w:fldCharType="end"/>
    </w:r>
    <w:r w:rsidR="008222DB" w:rsidRPr="00486982">
      <w:rPr>
        <w:szCs w:val="24"/>
      </w:rPr>
      <w:t xml:space="preserve"> no 4</w:t>
    </w:r>
  </w:p>
  <w:p w14:paraId="737325DC" w14:textId="77777777" w:rsidR="00071C66" w:rsidRDefault="0023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C2E2" w14:textId="77777777" w:rsidR="006C33E2" w:rsidRDefault="006C33E2">
      <w:pPr>
        <w:spacing w:after="0" w:line="240" w:lineRule="auto"/>
      </w:pPr>
      <w:r>
        <w:separator/>
      </w:r>
    </w:p>
  </w:footnote>
  <w:footnote w:type="continuationSeparator" w:id="0">
    <w:p w14:paraId="3F148326" w14:textId="77777777" w:rsidR="006C33E2" w:rsidRDefault="006C33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5DE6"/>
    <w:rsid w:val="00013337"/>
    <w:rsid w:val="000135DB"/>
    <w:rsid w:val="00016C5D"/>
    <w:rsid w:val="000229A2"/>
    <w:rsid w:val="000534E8"/>
    <w:rsid w:val="00057DED"/>
    <w:rsid w:val="000D4016"/>
    <w:rsid w:val="000F34C9"/>
    <w:rsid w:val="00124DB6"/>
    <w:rsid w:val="00130241"/>
    <w:rsid w:val="00134D88"/>
    <w:rsid w:val="001375FD"/>
    <w:rsid w:val="00145257"/>
    <w:rsid w:val="001511AE"/>
    <w:rsid w:val="001647AD"/>
    <w:rsid w:val="001B5793"/>
    <w:rsid w:val="001F378C"/>
    <w:rsid w:val="002069A9"/>
    <w:rsid w:val="002074EA"/>
    <w:rsid w:val="002076F4"/>
    <w:rsid w:val="00237C03"/>
    <w:rsid w:val="00253DF7"/>
    <w:rsid w:val="00261465"/>
    <w:rsid w:val="00261E04"/>
    <w:rsid w:val="00266B6F"/>
    <w:rsid w:val="0028168F"/>
    <w:rsid w:val="002956BD"/>
    <w:rsid w:val="002B7A37"/>
    <w:rsid w:val="002C2D43"/>
    <w:rsid w:val="002C7093"/>
    <w:rsid w:val="002D7D87"/>
    <w:rsid w:val="002E20EE"/>
    <w:rsid w:val="0033219E"/>
    <w:rsid w:val="00362D7E"/>
    <w:rsid w:val="00383739"/>
    <w:rsid w:val="003A0800"/>
    <w:rsid w:val="003A4E89"/>
    <w:rsid w:val="003B4E59"/>
    <w:rsid w:val="003C324B"/>
    <w:rsid w:val="003D24D5"/>
    <w:rsid w:val="003E1D42"/>
    <w:rsid w:val="003E2E1B"/>
    <w:rsid w:val="0044355D"/>
    <w:rsid w:val="004515C5"/>
    <w:rsid w:val="00451BA3"/>
    <w:rsid w:val="00452E71"/>
    <w:rsid w:val="00453F9A"/>
    <w:rsid w:val="00470019"/>
    <w:rsid w:val="004841C5"/>
    <w:rsid w:val="00485E9A"/>
    <w:rsid w:val="00486982"/>
    <w:rsid w:val="004A1D7B"/>
    <w:rsid w:val="004D6522"/>
    <w:rsid w:val="00510A68"/>
    <w:rsid w:val="00514225"/>
    <w:rsid w:val="00531850"/>
    <w:rsid w:val="00532253"/>
    <w:rsid w:val="00535059"/>
    <w:rsid w:val="00535C18"/>
    <w:rsid w:val="005371AF"/>
    <w:rsid w:val="0054023F"/>
    <w:rsid w:val="00556DAE"/>
    <w:rsid w:val="005850E6"/>
    <w:rsid w:val="0058572A"/>
    <w:rsid w:val="00592F3E"/>
    <w:rsid w:val="005A3F0F"/>
    <w:rsid w:val="005B14F9"/>
    <w:rsid w:val="005B1B0B"/>
    <w:rsid w:val="005B27BE"/>
    <w:rsid w:val="005F48F7"/>
    <w:rsid w:val="00603727"/>
    <w:rsid w:val="0061726E"/>
    <w:rsid w:val="006177B6"/>
    <w:rsid w:val="00633072"/>
    <w:rsid w:val="00643368"/>
    <w:rsid w:val="006573E4"/>
    <w:rsid w:val="00667CAA"/>
    <w:rsid w:val="00677D08"/>
    <w:rsid w:val="00681C7B"/>
    <w:rsid w:val="006873D7"/>
    <w:rsid w:val="00691ADE"/>
    <w:rsid w:val="006A4392"/>
    <w:rsid w:val="006B1113"/>
    <w:rsid w:val="006C33E2"/>
    <w:rsid w:val="006D6C8C"/>
    <w:rsid w:val="006E2943"/>
    <w:rsid w:val="006F077A"/>
    <w:rsid w:val="006F0EB8"/>
    <w:rsid w:val="007003D5"/>
    <w:rsid w:val="00701079"/>
    <w:rsid w:val="0070265A"/>
    <w:rsid w:val="007062D6"/>
    <w:rsid w:val="007154C7"/>
    <w:rsid w:val="00751131"/>
    <w:rsid w:val="00765212"/>
    <w:rsid w:val="00766175"/>
    <w:rsid w:val="007778E1"/>
    <w:rsid w:val="007820F9"/>
    <w:rsid w:val="007858E6"/>
    <w:rsid w:val="00795445"/>
    <w:rsid w:val="007A204E"/>
    <w:rsid w:val="007A691E"/>
    <w:rsid w:val="007A78D8"/>
    <w:rsid w:val="007C174F"/>
    <w:rsid w:val="007D72E0"/>
    <w:rsid w:val="007E1F5A"/>
    <w:rsid w:val="008023AF"/>
    <w:rsid w:val="008051E6"/>
    <w:rsid w:val="00813E77"/>
    <w:rsid w:val="008222DB"/>
    <w:rsid w:val="00823152"/>
    <w:rsid w:val="008469CA"/>
    <w:rsid w:val="008572D5"/>
    <w:rsid w:val="00862B00"/>
    <w:rsid w:val="0086575D"/>
    <w:rsid w:val="00886718"/>
    <w:rsid w:val="0089016B"/>
    <w:rsid w:val="008D017C"/>
    <w:rsid w:val="008D04B8"/>
    <w:rsid w:val="008D29CD"/>
    <w:rsid w:val="008E0BFF"/>
    <w:rsid w:val="00912B0E"/>
    <w:rsid w:val="00912D55"/>
    <w:rsid w:val="00926536"/>
    <w:rsid w:val="00950A58"/>
    <w:rsid w:val="00951D14"/>
    <w:rsid w:val="00954823"/>
    <w:rsid w:val="009636F6"/>
    <w:rsid w:val="00982E6A"/>
    <w:rsid w:val="00983445"/>
    <w:rsid w:val="009A2F29"/>
    <w:rsid w:val="009A6424"/>
    <w:rsid w:val="009B34A5"/>
    <w:rsid w:val="009B7D28"/>
    <w:rsid w:val="009D01BD"/>
    <w:rsid w:val="009D6C73"/>
    <w:rsid w:val="00A022BD"/>
    <w:rsid w:val="00A04852"/>
    <w:rsid w:val="00A2449F"/>
    <w:rsid w:val="00A25716"/>
    <w:rsid w:val="00A33B60"/>
    <w:rsid w:val="00A4172B"/>
    <w:rsid w:val="00A431B2"/>
    <w:rsid w:val="00A57B4A"/>
    <w:rsid w:val="00A62640"/>
    <w:rsid w:val="00A80092"/>
    <w:rsid w:val="00A80BEF"/>
    <w:rsid w:val="00A81B43"/>
    <w:rsid w:val="00A83AC6"/>
    <w:rsid w:val="00AA1E2E"/>
    <w:rsid w:val="00AE1C5D"/>
    <w:rsid w:val="00AE3E19"/>
    <w:rsid w:val="00AE41AA"/>
    <w:rsid w:val="00AF704D"/>
    <w:rsid w:val="00B24A8F"/>
    <w:rsid w:val="00B327A4"/>
    <w:rsid w:val="00B36401"/>
    <w:rsid w:val="00B53922"/>
    <w:rsid w:val="00B74C12"/>
    <w:rsid w:val="00B90EC3"/>
    <w:rsid w:val="00B93193"/>
    <w:rsid w:val="00B976B4"/>
    <w:rsid w:val="00BA2F2C"/>
    <w:rsid w:val="00BA7F42"/>
    <w:rsid w:val="00BB5E76"/>
    <w:rsid w:val="00BC36F9"/>
    <w:rsid w:val="00BC4C39"/>
    <w:rsid w:val="00BF0729"/>
    <w:rsid w:val="00BF1CB7"/>
    <w:rsid w:val="00C12125"/>
    <w:rsid w:val="00C34717"/>
    <w:rsid w:val="00C37BE2"/>
    <w:rsid w:val="00C63FFF"/>
    <w:rsid w:val="00C66599"/>
    <w:rsid w:val="00C66820"/>
    <w:rsid w:val="00C9499B"/>
    <w:rsid w:val="00C9505D"/>
    <w:rsid w:val="00C972AC"/>
    <w:rsid w:val="00CB5051"/>
    <w:rsid w:val="00CC0281"/>
    <w:rsid w:val="00CD182F"/>
    <w:rsid w:val="00CD3079"/>
    <w:rsid w:val="00CD3ED2"/>
    <w:rsid w:val="00D02C1B"/>
    <w:rsid w:val="00D46DE2"/>
    <w:rsid w:val="00D474B4"/>
    <w:rsid w:val="00D56527"/>
    <w:rsid w:val="00D662D7"/>
    <w:rsid w:val="00D726D6"/>
    <w:rsid w:val="00D74158"/>
    <w:rsid w:val="00D74E72"/>
    <w:rsid w:val="00D875EE"/>
    <w:rsid w:val="00D94887"/>
    <w:rsid w:val="00D95094"/>
    <w:rsid w:val="00DA13EF"/>
    <w:rsid w:val="00DC506D"/>
    <w:rsid w:val="00DD3A6A"/>
    <w:rsid w:val="00DF4AA6"/>
    <w:rsid w:val="00E0761C"/>
    <w:rsid w:val="00E13607"/>
    <w:rsid w:val="00E20358"/>
    <w:rsid w:val="00E30661"/>
    <w:rsid w:val="00E33BEB"/>
    <w:rsid w:val="00E35DF7"/>
    <w:rsid w:val="00E373C2"/>
    <w:rsid w:val="00E41C74"/>
    <w:rsid w:val="00E42B79"/>
    <w:rsid w:val="00E46B9F"/>
    <w:rsid w:val="00E55B9A"/>
    <w:rsid w:val="00E72649"/>
    <w:rsid w:val="00E87DF6"/>
    <w:rsid w:val="00EA07F6"/>
    <w:rsid w:val="00EB04EC"/>
    <w:rsid w:val="00EB7752"/>
    <w:rsid w:val="00EC191F"/>
    <w:rsid w:val="00EC2028"/>
    <w:rsid w:val="00EC5F33"/>
    <w:rsid w:val="00ED0A4C"/>
    <w:rsid w:val="00ED782B"/>
    <w:rsid w:val="00EF417C"/>
    <w:rsid w:val="00F04148"/>
    <w:rsid w:val="00F730F4"/>
    <w:rsid w:val="00F75849"/>
    <w:rsid w:val="00FA0C51"/>
    <w:rsid w:val="00FA3316"/>
    <w:rsid w:val="00FC3E6C"/>
    <w:rsid w:val="00FD37CC"/>
    <w:rsid w:val="00FF19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1AA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CD18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82F"/>
  </w:style>
  <w:style w:type="paragraph" w:styleId="BalloonText">
    <w:name w:val="Balloon Text"/>
    <w:basedOn w:val="Normal"/>
    <w:link w:val="BalloonTextChar"/>
    <w:uiPriority w:val="99"/>
    <w:semiHidden/>
    <w:unhideWhenUsed/>
    <w:rsid w:val="00452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E71"/>
    <w:rPr>
      <w:rFonts w:ascii="Segoe UI" w:hAnsi="Segoe UI" w:cs="Segoe UI"/>
      <w:sz w:val="18"/>
      <w:szCs w:val="18"/>
    </w:rPr>
  </w:style>
  <w:style w:type="character" w:styleId="CommentReference">
    <w:name w:val="annotation reference"/>
    <w:basedOn w:val="DefaultParagraphFont"/>
    <w:uiPriority w:val="99"/>
    <w:semiHidden/>
    <w:unhideWhenUsed/>
    <w:rsid w:val="00486982"/>
    <w:rPr>
      <w:sz w:val="16"/>
      <w:szCs w:val="16"/>
    </w:rPr>
  </w:style>
  <w:style w:type="paragraph" w:styleId="CommentText">
    <w:name w:val="annotation text"/>
    <w:basedOn w:val="Normal"/>
    <w:link w:val="CommentTextChar"/>
    <w:uiPriority w:val="99"/>
    <w:unhideWhenUsed/>
    <w:rsid w:val="00486982"/>
    <w:pPr>
      <w:spacing w:line="240" w:lineRule="auto"/>
    </w:pPr>
    <w:rPr>
      <w:sz w:val="20"/>
      <w:szCs w:val="20"/>
    </w:rPr>
  </w:style>
  <w:style w:type="character" w:customStyle="1" w:styleId="CommentTextChar">
    <w:name w:val="Comment Text Char"/>
    <w:basedOn w:val="DefaultParagraphFont"/>
    <w:link w:val="CommentText"/>
    <w:uiPriority w:val="99"/>
    <w:rsid w:val="00486982"/>
    <w:rPr>
      <w:sz w:val="20"/>
      <w:szCs w:val="20"/>
    </w:rPr>
  </w:style>
  <w:style w:type="paragraph" w:styleId="CommentSubject">
    <w:name w:val="annotation subject"/>
    <w:basedOn w:val="CommentText"/>
    <w:next w:val="CommentText"/>
    <w:link w:val="CommentSubjectChar"/>
    <w:uiPriority w:val="99"/>
    <w:semiHidden/>
    <w:unhideWhenUsed/>
    <w:rsid w:val="00486982"/>
    <w:rPr>
      <w:b/>
      <w:bCs/>
    </w:rPr>
  </w:style>
  <w:style w:type="character" w:customStyle="1" w:styleId="CommentSubjectChar">
    <w:name w:val="Comment Subject Char"/>
    <w:basedOn w:val="CommentTextChar"/>
    <w:link w:val="CommentSubject"/>
    <w:uiPriority w:val="99"/>
    <w:semiHidden/>
    <w:rsid w:val="00486982"/>
    <w:rPr>
      <w:b/>
      <w:bCs/>
      <w:sz w:val="20"/>
      <w:szCs w:val="20"/>
    </w:rPr>
  </w:style>
  <w:style w:type="paragraph" w:styleId="Revision">
    <w:name w:val="Revision"/>
    <w:hidden/>
    <w:uiPriority w:val="99"/>
    <w:semiHidden/>
    <w:rsid w:val="00A57B4A"/>
    <w:pPr>
      <w:spacing w:after="0" w:line="240" w:lineRule="auto"/>
    </w:pPr>
  </w:style>
  <w:style w:type="character" w:styleId="Hyperlink">
    <w:name w:val="Hyperlink"/>
    <w:basedOn w:val="DefaultParagraphFont"/>
    <w:uiPriority w:val="99"/>
    <w:semiHidden/>
    <w:unhideWhenUsed/>
    <w:rsid w:val="00912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5009B-4486-4626-ABD6-07B1D726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5368</Words>
  <Characters>3061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2022-05-24T14:08:00Z</dcterms:created>
  <dcterms:modified xsi:type="dcterms:W3CDTF">2022-05-24T14:21:00Z</dcterms:modified>
</cp:coreProperties>
</file>