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9AE5" w14:textId="77777777" w:rsidR="00B71A31" w:rsidRDefault="00B71A31" w:rsidP="00B71A31">
      <w:pPr>
        <w:contextualSpacing/>
        <w:rPr>
          <w:rFonts w:cs="Times New Roman"/>
          <w:b/>
          <w:bCs/>
          <w:szCs w:val="24"/>
        </w:rPr>
      </w:pPr>
      <w:r>
        <w:rPr>
          <w:rFonts w:cs="Times New Roman"/>
          <w:b/>
          <w:bCs/>
          <w:szCs w:val="24"/>
        </w:rPr>
        <w:t>Lēmuma par būves grupas maiņu būvatļaujā tiesiskā daba</w:t>
      </w:r>
    </w:p>
    <w:p w14:paraId="37E9DD3D" w14:textId="7A51825D" w:rsidR="007772DE" w:rsidRDefault="00B71A31" w:rsidP="00B71A31">
      <w:pPr>
        <w:autoSpaceDE w:val="0"/>
        <w:autoSpaceDN w:val="0"/>
        <w:contextualSpacing/>
        <w:rPr>
          <w:rFonts w:cs="Times New Roman"/>
          <w:szCs w:val="24"/>
        </w:rPr>
      </w:pPr>
      <w:r>
        <w:rPr>
          <w:rFonts w:cs="Times New Roman"/>
          <w:szCs w:val="24"/>
        </w:rPr>
        <w:t>Lēmums par būves grupas maiņu būvatļaujā uzskatāms par tādu starplēmumu, kas rada būtiskas sekas – pats par sevi skar būtiskas personas tiesības vai tiesiskas intereses vai būtiski apgrūtina to īstenošanu.</w:t>
      </w:r>
    </w:p>
    <w:p w14:paraId="24032379" w14:textId="77777777" w:rsidR="00B71A31" w:rsidRPr="00B71A31" w:rsidRDefault="00B71A31" w:rsidP="00B71A31">
      <w:pPr>
        <w:autoSpaceDE w:val="0"/>
        <w:autoSpaceDN w:val="0"/>
        <w:contextualSpacing/>
        <w:rPr>
          <w:rFonts w:cs="Times New Roman"/>
          <w:szCs w:val="24"/>
        </w:rPr>
      </w:pPr>
    </w:p>
    <w:p w14:paraId="287431F1" w14:textId="0FEDE65C" w:rsidR="007772DE" w:rsidRPr="00B71A31" w:rsidRDefault="00B71A31" w:rsidP="00B71A31">
      <w:pPr>
        <w:spacing w:after="0"/>
        <w:jc w:val="center"/>
        <w:rPr>
          <w:b/>
          <w:szCs w:val="24"/>
        </w:rPr>
      </w:pPr>
      <w:r w:rsidRPr="00B71A31">
        <w:rPr>
          <w:b/>
          <w:szCs w:val="24"/>
        </w:rPr>
        <w:t>Latvijas Republikas Senāta</w:t>
      </w:r>
      <w:bookmarkStart w:id="0" w:name="_GoBack"/>
      <w:bookmarkEnd w:id="0"/>
    </w:p>
    <w:p w14:paraId="0CAACFAD" w14:textId="7AB6B2AE" w:rsidR="00B71A31" w:rsidRPr="00B71A31" w:rsidRDefault="00B71A31" w:rsidP="00B71A31">
      <w:pPr>
        <w:spacing w:after="0"/>
        <w:jc w:val="center"/>
        <w:rPr>
          <w:b/>
          <w:szCs w:val="24"/>
        </w:rPr>
      </w:pPr>
      <w:r w:rsidRPr="00B71A31">
        <w:rPr>
          <w:b/>
          <w:szCs w:val="24"/>
        </w:rPr>
        <w:t>Administratīvo lietu departamenta</w:t>
      </w:r>
    </w:p>
    <w:p w14:paraId="4A0BC7B9" w14:textId="4DF1B446" w:rsidR="00B71A31" w:rsidRPr="00B71A31" w:rsidRDefault="00B71A31" w:rsidP="00B71A31">
      <w:pPr>
        <w:spacing w:after="0"/>
        <w:jc w:val="center"/>
        <w:rPr>
          <w:b/>
          <w:szCs w:val="24"/>
        </w:rPr>
      </w:pPr>
      <w:r w:rsidRPr="00B71A31">
        <w:rPr>
          <w:b/>
          <w:szCs w:val="24"/>
        </w:rPr>
        <w:t>2022.gada 28.marta</w:t>
      </w:r>
    </w:p>
    <w:p w14:paraId="0CACA0CD" w14:textId="77777777" w:rsidR="007772DE" w:rsidRPr="00B71A31" w:rsidRDefault="007772DE" w:rsidP="00B71A31">
      <w:pPr>
        <w:spacing w:after="0"/>
        <w:jc w:val="center"/>
        <w:rPr>
          <w:b/>
          <w:szCs w:val="24"/>
        </w:rPr>
      </w:pPr>
      <w:r w:rsidRPr="00B71A31">
        <w:rPr>
          <w:b/>
          <w:szCs w:val="24"/>
        </w:rPr>
        <w:t>LĒMUMS</w:t>
      </w:r>
    </w:p>
    <w:p w14:paraId="3D255108" w14:textId="02453026" w:rsidR="00B71A31" w:rsidRPr="00B71A31" w:rsidRDefault="00B71A31" w:rsidP="00B71A31">
      <w:pPr>
        <w:spacing w:after="0"/>
        <w:jc w:val="center"/>
        <w:rPr>
          <w:b/>
          <w:szCs w:val="24"/>
        </w:rPr>
      </w:pPr>
      <w:r w:rsidRPr="00B71A31">
        <w:rPr>
          <w:b/>
          <w:szCs w:val="24"/>
        </w:rPr>
        <w:t xml:space="preserve">Lieta </w:t>
      </w:r>
      <w:r w:rsidRPr="00B71A31">
        <w:rPr>
          <w:b/>
          <w:szCs w:val="24"/>
        </w:rPr>
        <w:t>Nr. 6700006, SKA-682/2022</w:t>
      </w:r>
    </w:p>
    <w:p w14:paraId="27748BD6" w14:textId="6A93F84B" w:rsidR="00B71A31" w:rsidRPr="00B71A31" w:rsidRDefault="00B71A31" w:rsidP="00B71A31">
      <w:pPr>
        <w:spacing w:after="0"/>
        <w:jc w:val="center"/>
      </w:pPr>
      <w:hyperlink r:id="rId8" w:history="1">
        <w:r w:rsidRPr="00B71A31">
          <w:rPr>
            <w:rStyle w:val="Hyperlink"/>
          </w:rPr>
          <w:t>ECLI:LV:AT:2022:0328.SKA068222.5.L</w:t>
        </w:r>
      </w:hyperlink>
      <w:r w:rsidRPr="00B71A31">
        <w:t xml:space="preserve"> </w:t>
      </w:r>
    </w:p>
    <w:p w14:paraId="346E1953" w14:textId="77777777" w:rsidR="007772DE" w:rsidRPr="002A18AC" w:rsidRDefault="007772DE" w:rsidP="00B71A31">
      <w:pPr>
        <w:spacing w:after="0"/>
        <w:jc w:val="center"/>
      </w:pPr>
    </w:p>
    <w:p w14:paraId="7ECE613C" w14:textId="17C96EB8" w:rsidR="007772DE" w:rsidRPr="002A18AC" w:rsidRDefault="007772DE" w:rsidP="00B71A31">
      <w:pPr>
        <w:spacing w:after="0"/>
        <w:ind w:firstLine="567"/>
      </w:pPr>
      <w:r w:rsidRPr="002A18AC">
        <w:t>Tiesa šādā sastāvā: senator</w:t>
      </w:r>
      <w:r w:rsidR="008314BC" w:rsidRPr="002A18AC">
        <w:t>i</w:t>
      </w:r>
      <w:r w:rsidRPr="002A18AC">
        <w:t xml:space="preserve"> Rudīte Vīduša, Andris Guļāns, Vēsma Kakste</w:t>
      </w:r>
    </w:p>
    <w:p w14:paraId="0CD27967" w14:textId="77777777" w:rsidR="007772DE" w:rsidRPr="002A18AC" w:rsidRDefault="007772DE" w:rsidP="00B71A31">
      <w:pPr>
        <w:spacing w:after="0"/>
        <w:ind w:firstLine="567"/>
        <w:rPr>
          <w:szCs w:val="24"/>
        </w:rPr>
      </w:pPr>
    </w:p>
    <w:p w14:paraId="18765AFF" w14:textId="3EB2D2C9" w:rsidR="009600FB" w:rsidRPr="002A18AC" w:rsidRDefault="00210C14" w:rsidP="00B71A31">
      <w:pPr>
        <w:tabs>
          <w:tab w:val="left" w:pos="1276"/>
        </w:tabs>
        <w:spacing w:after="0"/>
        <w:ind w:firstLine="567"/>
        <w:contextualSpacing/>
        <w:rPr>
          <w:rFonts w:cs="Times New Roman"/>
          <w:szCs w:val="24"/>
        </w:rPr>
      </w:pPr>
      <w:r w:rsidRPr="002A18AC">
        <w:rPr>
          <w:rFonts w:cs="Times New Roman"/>
          <w:szCs w:val="24"/>
        </w:rPr>
        <w:t xml:space="preserve">rakstveida procesā izskatīja </w:t>
      </w:r>
      <w:r w:rsidR="003F6C52" w:rsidRPr="002A18AC">
        <w:rPr>
          <w:szCs w:val="24"/>
        </w:rPr>
        <w:t>SIA ,,N.R.Green” blakus sūdzību par Administratīvās rajona tiesas tiesneša 2022.gada 18.janvāra lēmumu, ar kuru atteikts pieņemt pieteikumu</w:t>
      </w:r>
      <w:r w:rsidRPr="002A18AC">
        <w:rPr>
          <w:rFonts w:cs="Times New Roman"/>
          <w:szCs w:val="24"/>
        </w:rPr>
        <w:t>.</w:t>
      </w:r>
    </w:p>
    <w:p w14:paraId="0F8DA2DC" w14:textId="77777777" w:rsidR="009600FB" w:rsidRPr="002A18AC" w:rsidRDefault="009600FB" w:rsidP="00B71A31">
      <w:pPr>
        <w:tabs>
          <w:tab w:val="left" w:pos="1276"/>
        </w:tabs>
        <w:spacing w:after="0"/>
        <w:ind w:firstLine="567"/>
        <w:contextualSpacing/>
        <w:rPr>
          <w:rFonts w:cs="Times New Roman"/>
          <w:szCs w:val="24"/>
        </w:rPr>
      </w:pPr>
    </w:p>
    <w:p w14:paraId="47AD8A91" w14:textId="77777777" w:rsidR="009600FB" w:rsidRPr="002A18AC" w:rsidRDefault="00210C14" w:rsidP="00B71A31">
      <w:pPr>
        <w:tabs>
          <w:tab w:val="left" w:pos="1276"/>
        </w:tabs>
        <w:spacing w:after="0"/>
        <w:contextualSpacing/>
        <w:jc w:val="center"/>
        <w:rPr>
          <w:rFonts w:cs="Times New Roman"/>
          <w:b/>
          <w:szCs w:val="24"/>
        </w:rPr>
      </w:pPr>
      <w:r w:rsidRPr="002A18AC">
        <w:rPr>
          <w:rFonts w:cs="Times New Roman"/>
          <w:b/>
          <w:szCs w:val="24"/>
        </w:rPr>
        <w:t>Aprakstošā daļa</w:t>
      </w:r>
    </w:p>
    <w:p w14:paraId="67A9C2CD" w14:textId="77777777" w:rsidR="009600FB" w:rsidRPr="002A18AC" w:rsidRDefault="009600FB" w:rsidP="00B71A31">
      <w:pPr>
        <w:tabs>
          <w:tab w:val="left" w:pos="1276"/>
        </w:tabs>
        <w:spacing w:after="0"/>
        <w:ind w:firstLine="567"/>
        <w:contextualSpacing/>
        <w:rPr>
          <w:rFonts w:cs="Times New Roman"/>
          <w:bCs/>
          <w:szCs w:val="24"/>
        </w:rPr>
      </w:pPr>
    </w:p>
    <w:p w14:paraId="415B37DD" w14:textId="2C62A400" w:rsidR="00E0246F" w:rsidRPr="002A18AC" w:rsidRDefault="00210C14" w:rsidP="00B71A31">
      <w:pPr>
        <w:tabs>
          <w:tab w:val="left" w:pos="1276"/>
        </w:tabs>
        <w:spacing w:after="0"/>
        <w:ind w:firstLine="567"/>
        <w:contextualSpacing/>
        <w:rPr>
          <w:rFonts w:cs="Times New Roman"/>
          <w:szCs w:val="24"/>
        </w:rPr>
      </w:pPr>
      <w:r w:rsidRPr="002A18AC">
        <w:rPr>
          <w:rFonts w:cs="Times New Roman"/>
        </w:rPr>
        <w:t>[1]</w:t>
      </w:r>
      <w:r w:rsidR="00F57E11" w:rsidRPr="002A18AC">
        <w:rPr>
          <w:rFonts w:cs="Times New Roman"/>
        </w:rPr>
        <w:t> </w:t>
      </w:r>
      <w:r w:rsidR="00EB7E5F" w:rsidRPr="002A18AC">
        <w:rPr>
          <w:rFonts w:cs="Times New Roman"/>
          <w:szCs w:val="24"/>
        </w:rPr>
        <w:t xml:space="preserve">Jūrmalas būvvalde 2021.gada 23.februārī izdeva pieteicējai SIA ,,N.R.Green” būvatļauju </w:t>
      </w:r>
      <w:r w:rsidR="00826B50" w:rsidRPr="002A18AC">
        <w:rPr>
          <w:rFonts w:cs="Times New Roman"/>
          <w:szCs w:val="24"/>
        </w:rPr>
        <w:t>d</w:t>
      </w:r>
      <w:r w:rsidR="00EB7E5F" w:rsidRPr="002A18AC">
        <w:rPr>
          <w:rFonts w:cs="Times New Roman"/>
          <w:szCs w:val="24"/>
        </w:rPr>
        <w:t>zīvojamās mājas</w:t>
      </w:r>
      <w:r w:rsidR="003879BF">
        <w:rPr>
          <w:rFonts w:cs="Times New Roman"/>
          <w:szCs w:val="24"/>
        </w:rPr>
        <w:t>–</w:t>
      </w:r>
      <w:r w:rsidR="00EB7E5F" w:rsidRPr="002A18AC">
        <w:rPr>
          <w:rFonts w:cs="Times New Roman"/>
          <w:szCs w:val="24"/>
        </w:rPr>
        <w:t>savrupmājas pārbūve</w:t>
      </w:r>
      <w:r w:rsidR="00826B50" w:rsidRPr="002A18AC">
        <w:rPr>
          <w:rFonts w:cs="Times New Roman"/>
          <w:szCs w:val="24"/>
        </w:rPr>
        <w:t>i</w:t>
      </w:r>
      <w:r w:rsidR="00EB7E5F" w:rsidRPr="002A18AC">
        <w:rPr>
          <w:rFonts w:cs="Times New Roman"/>
          <w:szCs w:val="24"/>
        </w:rPr>
        <w:t xml:space="preserve"> par viesu namu</w:t>
      </w:r>
      <w:r w:rsidR="002A18AC">
        <w:rPr>
          <w:rFonts w:cs="Times New Roman"/>
          <w:szCs w:val="24"/>
        </w:rPr>
        <w:t>, kurā no</w:t>
      </w:r>
      <w:r w:rsidR="00F45AC8">
        <w:rPr>
          <w:rFonts w:cs="Times New Roman"/>
          <w:szCs w:val="24"/>
        </w:rPr>
        <w:t>rādīta</w:t>
      </w:r>
      <w:r w:rsidR="002A18AC">
        <w:rPr>
          <w:rFonts w:cs="Times New Roman"/>
          <w:szCs w:val="24"/>
        </w:rPr>
        <w:t xml:space="preserve"> </w:t>
      </w:r>
      <w:r w:rsidR="002A18AC" w:rsidRPr="002A18AC">
        <w:rPr>
          <w:rFonts w:cs="Times New Roman"/>
          <w:szCs w:val="24"/>
        </w:rPr>
        <w:t>būves iedalījuma grup</w:t>
      </w:r>
      <w:r w:rsidR="002A18AC">
        <w:rPr>
          <w:rFonts w:cs="Times New Roman"/>
          <w:szCs w:val="24"/>
        </w:rPr>
        <w:t>a</w:t>
      </w:r>
      <w:r w:rsidR="002A18AC" w:rsidRPr="002A18AC">
        <w:rPr>
          <w:rFonts w:cs="Times New Roman"/>
          <w:szCs w:val="24"/>
        </w:rPr>
        <w:t xml:space="preserve"> – </w:t>
      </w:r>
      <w:r w:rsidR="00F54D21">
        <w:rPr>
          <w:rFonts w:cs="Times New Roman"/>
          <w:szCs w:val="24"/>
        </w:rPr>
        <w:t>otrā</w:t>
      </w:r>
      <w:r w:rsidR="005B690E">
        <w:rPr>
          <w:rFonts w:cs="Times New Roman"/>
          <w:szCs w:val="24"/>
        </w:rPr>
        <w:t>s</w:t>
      </w:r>
      <w:r w:rsidR="002A18AC" w:rsidRPr="002A18AC">
        <w:rPr>
          <w:rFonts w:cs="Times New Roman"/>
          <w:szCs w:val="24"/>
        </w:rPr>
        <w:t xml:space="preserve"> grupa</w:t>
      </w:r>
      <w:r w:rsidR="005B690E">
        <w:rPr>
          <w:rFonts w:cs="Times New Roman"/>
          <w:szCs w:val="24"/>
        </w:rPr>
        <w:t>s ēka</w:t>
      </w:r>
      <w:r w:rsidR="00EB7E5F" w:rsidRPr="002A18AC">
        <w:rPr>
          <w:rFonts w:cs="Times New Roman"/>
          <w:szCs w:val="24"/>
        </w:rPr>
        <w:t xml:space="preserve">. </w:t>
      </w:r>
      <w:r w:rsidR="00861306" w:rsidRPr="002A18AC">
        <w:rPr>
          <w:rFonts w:cs="Times New Roman"/>
          <w:szCs w:val="24"/>
        </w:rPr>
        <w:t>B</w:t>
      </w:r>
      <w:r w:rsidR="00E0246F" w:rsidRPr="002A18AC">
        <w:rPr>
          <w:rFonts w:cs="Times New Roman"/>
          <w:szCs w:val="24"/>
        </w:rPr>
        <w:t>ūvvalde</w:t>
      </w:r>
      <w:r w:rsidR="001E5F8D" w:rsidRPr="002A18AC">
        <w:rPr>
          <w:rFonts w:cs="Times New Roman"/>
          <w:szCs w:val="24"/>
        </w:rPr>
        <w:t xml:space="preserve"> ar</w:t>
      </w:r>
      <w:r w:rsidR="00E0246F" w:rsidRPr="002A18AC">
        <w:rPr>
          <w:rFonts w:cs="Times New Roman"/>
          <w:szCs w:val="24"/>
        </w:rPr>
        <w:t xml:space="preserve"> 2021.gada 16.novembra lēmum</w:t>
      </w:r>
      <w:r w:rsidR="00EB7E5F" w:rsidRPr="002A18AC">
        <w:rPr>
          <w:rFonts w:cs="Times New Roman"/>
          <w:szCs w:val="24"/>
        </w:rPr>
        <w:t xml:space="preserve">u </w:t>
      </w:r>
      <w:r w:rsidR="00556C7C" w:rsidRPr="002A18AC">
        <w:rPr>
          <w:rFonts w:cs="Times New Roman"/>
          <w:szCs w:val="24"/>
        </w:rPr>
        <w:t xml:space="preserve">grozīja </w:t>
      </w:r>
      <w:r w:rsidR="00826B50" w:rsidRPr="002A18AC">
        <w:rPr>
          <w:rFonts w:cs="Times New Roman"/>
          <w:szCs w:val="24"/>
        </w:rPr>
        <w:t xml:space="preserve">būvatļauju, </w:t>
      </w:r>
      <w:r w:rsidR="00EB7E5F" w:rsidRPr="002A18AC">
        <w:rPr>
          <w:rFonts w:cs="Times New Roman"/>
          <w:szCs w:val="24"/>
        </w:rPr>
        <w:t xml:space="preserve">nosakot būves iedalījuma grupu – trešās grupas ēka, un </w:t>
      </w:r>
      <w:r w:rsidR="00556C7C" w:rsidRPr="002A18AC">
        <w:rPr>
          <w:rFonts w:cs="Times New Roman"/>
          <w:szCs w:val="24"/>
        </w:rPr>
        <w:t>nodeva</w:t>
      </w:r>
      <w:r w:rsidR="00826B50" w:rsidRPr="002A18AC">
        <w:rPr>
          <w:rFonts w:cs="Times New Roman"/>
          <w:szCs w:val="24"/>
        </w:rPr>
        <w:t xml:space="preserve"> būvobjekta būvdarbu kontroli un pieņemšanu ekspluatācijā Būvniecības valsts kontroles birojam. </w:t>
      </w:r>
      <w:r w:rsidR="00543DF3" w:rsidRPr="002A18AC">
        <w:rPr>
          <w:rFonts w:cs="Times New Roman"/>
          <w:szCs w:val="24"/>
        </w:rPr>
        <w:t>Izskatot pieteicējas apstrīdēšanas iesniegumu, J</w:t>
      </w:r>
      <w:r w:rsidR="00E0246F" w:rsidRPr="002A18AC">
        <w:rPr>
          <w:rFonts w:cs="Times New Roman"/>
          <w:szCs w:val="24"/>
        </w:rPr>
        <w:t>ūrmalas valstspilsētas administrācija</w:t>
      </w:r>
      <w:r w:rsidR="00543DF3" w:rsidRPr="002A18AC">
        <w:rPr>
          <w:rFonts w:cs="Times New Roman"/>
          <w:szCs w:val="24"/>
        </w:rPr>
        <w:t xml:space="preserve"> ar</w:t>
      </w:r>
      <w:r w:rsidR="00826B50" w:rsidRPr="002A18AC">
        <w:rPr>
          <w:rFonts w:cs="Times New Roman"/>
          <w:szCs w:val="24"/>
        </w:rPr>
        <w:t xml:space="preserve"> </w:t>
      </w:r>
      <w:r w:rsidR="00E0246F" w:rsidRPr="002A18AC">
        <w:rPr>
          <w:rFonts w:cs="Times New Roman"/>
          <w:szCs w:val="24"/>
        </w:rPr>
        <w:t>2022.gada 3.janvāra lēmum</w:t>
      </w:r>
      <w:r w:rsidR="00826B50" w:rsidRPr="002A18AC">
        <w:rPr>
          <w:rFonts w:cs="Times New Roman"/>
          <w:szCs w:val="24"/>
        </w:rPr>
        <w:t xml:space="preserve">u </w:t>
      </w:r>
      <w:r w:rsidR="005C7BDF" w:rsidRPr="002A18AC">
        <w:rPr>
          <w:rFonts w:cs="Times New Roman"/>
          <w:szCs w:val="24"/>
        </w:rPr>
        <w:t>būvvaldes</w:t>
      </w:r>
      <w:r w:rsidR="00826B50" w:rsidRPr="002A18AC">
        <w:rPr>
          <w:rFonts w:cs="Times New Roman"/>
          <w:szCs w:val="24"/>
        </w:rPr>
        <w:t xml:space="preserve"> lēmum</w:t>
      </w:r>
      <w:r w:rsidR="00543DF3" w:rsidRPr="002A18AC">
        <w:rPr>
          <w:rFonts w:cs="Times New Roman"/>
          <w:szCs w:val="24"/>
        </w:rPr>
        <w:t>u</w:t>
      </w:r>
      <w:r w:rsidR="00826B50" w:rsidRPr="002A18AC">
        <w:rPr>
          <w:rFonts w:cs="Times New Roman"/>
          <w:szCs w:val="24"/>
        </w:rPr>
        <w:t xml:space="preserve"> atst</w:t>
      </w:r>
      <w:r w:rsidR="005C7BDF" w:rsidRPr="002A18AC">
        <w:rPr>
          <w:rFonts w:cs="Times New Roman"/>
          <w:szCs w:val="24"/>
        </w:rPr>
        <w:t>ā</w:t>
      </w:r>
      <w:r w:rsidR="00543DF3" w:rsidRPr="002A18AC">
        <w:rPr>
          <w:rFonts w:cs="Times New Roman"/>
          <w:szCs w:val="24"/>
        </w:rPr>
        <w:t>ja</w:t>
      </w:r>
      <w:r w:rsidR="00826B50" w:rsidRPr="002A18AC">
        <w:rPr>
          <w:rFonts w:cs="Times New Roman"/>
          <w:szCs w:val="24"/>
        </w:rPr>
        <w:t xml:space="preserve"> </w:t>
      </w:r>
      <w:r w:rsidR="00543DF3" w:rsidRPr="002A18AC">
        <w:rPr>
          <w:rFonts w:cs="Times New Roman"/>
          <w:szCs w:val="24"/>
        </w:rPr>
        <w:t>negrozītu</w:t>
      </w:r>
      <w:r w:rsidR="00826B50" w:rsidRPr="002A18AC">
        <w:rPr>
          <w:rFonts w:cs="Times New Roman"/>
          <w:szCs w:val="24"/>
        </w:rPr>
        <w:t>.</w:t>
      </w:r>
    </w:p>
    <w:p w14:paraId="07B32A52" w14:textId="39178800" w:rsidR="00E0246F" w:rsidRPr="002A18AC" w:rsidRDefault="00091881" w:rsidP="00B71A31">
      <w:pPr>
        <w:tabs>
          <w:tab w:val="left" w:pos="1276"/>
        </w:tabs>
        <w:spacing w:after="0"/>
        <w:ind w:firstLine="567"/>
        <w:contextualSpacing/>
        <w:rPr>
          <w:rFonts w:cs="Times New Roman"/>
        </w:rPr>
      </w:pPr>
      <w:r w:rsidRPr="002A18AC">
        <w:rPr>
          <w:rFonts w:cs="Times New Roman"/>
        </w:rPr>
        <w:lastRenderedPageBreak/>
        <w:t>Pieteicēja iesniedza pieteikumu administratīvajā tiesā</w:t>
      </w:r>
      <w:r w:rsidR="00CA6D36">
        <w:rPr>
          <w:rFonts w:cs="Times New Roman"/>
        </w:rPr>
        <w:t>.</w:t>
      </w:r>
      <w:r w:rsidRPr="002A18AC">
        <w:rPr>
          <w:rFonts w:cs="Times New Roman"/>
        </w:rPr>
        <w:t xml:space="preserve"> </w:t>
      </w:r>
    </w:p>
    <w:p w14:paraId="1D9E6BFC" w14:textId="61A15BCA" w:rsidR="00827E39" w:rsidRPr="002A18AC" w:rsidRDefault="00827E39" w:rsidP="00B71A31">
      <w:pPr>
        <w:tabs>
          <w:tab w:val="left" w:pos="1276"/>
        </w:tabs>
        <w:spacing w:after="0"/>
        <w:ind w:firstLine="567"/>
        <w:contextualSpacing/>
        <w:rPr>
          <w:rFonts w:cs="Times New Roman"/>
        </w:rPr>
      </w:pPr>
    </w:p>
    <w:p w14:paraId="064B4BE6" w14:textId="4B5F2A1F" w:rsidR="00827E39" w:rsidRPr="002A18AC" w:rsidRDefault="0023196C" w:rsidP="00B71A31">
      <w:pPr>
        <w:tabs>
          <w:tab w:val="left" w:pos="1276"/>
        </w:tabs>
        <w:spacing w:after="0"/>
        <w:ind w:firstLine="567"/>
        <w:contextualSpacing/>
        <w:rPr>
          <w:rFonts w:cs="Times New Roman"/>
        </w:rPr>
      </w:pPr>
      <w:r w:rsidRPr="002A18AC">
        <w:rPr>
          <w:rFonts w:cs="Times New Roman"/>
        </w:rPr>
        <w:t>[</w:t>
      </w:r>
      <w:r w:rsidR="00C4780B" w:rsidRPr="002A18AC">
        <w:rPr>
          <w:rFonts w:cs="Times New Roman"/>
        </w:rPr>
        <w:t>2</w:t>
      </w:r>
      <w:r w:rsidRPr="002A18AC">
        <w:rPr>
          <w:rFonts w:cs="Times New Roman"/>
        </w:rPr>
        <w:t>]</w:t>
      </w:r>
      <w:r w:rsidR="002C1C9D" w:rsidRPr="002A18AC">
        <w:rPr>
          <w:rFonts w:cs="Times New Roman"/>
        </w:rPr>
        <w:t> </w:t>
      </w:r>
      <w:r w:rsidR="000B170D" w:rsidRPr="002A18AC">
        <w:rPr>
          <w:rFonts w:cs="Times New Roman"/>
        </w:rPr>
        <w:t>Administratīvās rajona tiesas tiesnesis ar 202</w:t>
      </w:r>
      <w:r w:rsidR="00091881" w:rsidRPr="002A18AC">
        <w:rPr>
          <w:rFonts w:cs="Times New Roman"/>
        </w:rPr>
        <w:t>2</w:t>
      </w:r>
      <w:r w:rsidR="000B170D" w:rsidRPr="002A18AC">
        <w:rPr>
          <w:rFonts w:cs="Times New Roman"/>
        </w:rPr>
        <w:t xml:space="preserve">.gada </w:t>
      </w:r>
      <w:r w:rsidR="00091881" w:rsidRPr="002A18AC">
        <w:rPr>
          <w:rFonts w:cs="Times New Roman"/>
        </w:rPr>
        <w:t>18</w:t>
      </w:r>
      <w:r w:rsidR="00354C80" w:rsidRPr="002A18AC">
        <w:rPr>
          <w:rFonts w:cs="Times New Roman"/>
        </w:rPr>
        <w:t>.</w:t>
      </w:r>
      <w:r w:rsidR="00091881" w:rsidRPr="002A18AC">
        <w:rPr>
          <w:rFonts w:cs="Times New Roman"/>
        </w:rPr>
        <w:t>janvāra</w:t>
      </w:r>
      <w:r w:rsidR="000B170D" w:rsidRPr="002A18AC">
        <w:rPr>
          <w:rFonts w:cs="Times New Roman"/>
        </w:rPr>
        <w:t xml:space="preserve"> lēmumu pieteikumu atteicās pieņemt, </w:t>
      </w:r>
      <w:r w:rsidR="009D3BEF" w:rsidRPr="002A18AC">
        <w:rPr>
          <w:rFonts w:cs="Times New Roman"/>
        </w:rPr>
        <w:t>atzīstot</w:t>
      </w:r>
      <w:r w:rsidR="000B170D" w:rsidRPr="002A18AC">
        <w:rPr>
          <w:rFonts w:cs="Times New Roman"/>
        </w:rPr>
        <w:t>, ka tas nav izskatāms administratīvā procesa kārtībā (Administratīvā procesa likuma 191.panta pirmās daļas 1.punkts).</w:t>
      </w:r>
    </w:p>
    <w:p w14:paraId="0DCAB8B2" w14:textId="4D534D67" w:rsidR="00091881" w:rsidRPr="002A18AC" w:rsidRDefault="00354C80" w:rsidP="00B71A31">
      <w:pPr>
        <w:tabs>
          <w:tab w:val="left" w:pos="1276"/>
        </w:tabs>
        <w:spacing w:after="0"/>
        <w:ind w:firstLine="567"/>
        <w:contextualSpacing/>
        <w:rPr>
          <w:rFonts w:cs="Times New Roman"/>
        </w:rPr>
      </w:pPr>
      <w:r w:rsidRPr="002A18AC">
        <w:rPr>
          <w:rFonts w:cs="Times New Roman"/>
        </w:rPr>
        <w:t xml:space="preserve">Tiesnesis </w:t>
      </w:r>
      <w:r w:rsidR="00EB4199" w:rsidRPr="002A18AC">
        <w:rPr>
          <w:rFonts w:cs="Times New Roman"/>
        </w:rPr>
        <w:t>secināja</w:t>
      </w:r>
      <w:r w:rsidRPr="002A18AC">
        <w:rPr>
          <w:rFonts w:cs="Times New Roman"/>
        </w:rPr>
        <w:t>, ka</w:t>
      </w:r>
      <w:r w:rsidR="000E4413">
        <w:rPr>
          <w:rFonts w:cs="Times New Roman"/>
        </w:rPr>
        <w:t xml:space="preserve"> </w:t>
      </w:r>
      <w:r w:rsidR="00091881" w:rsidRPr="002A18AC">
        <w:rPr>
          <w:rFonts w:cs="Times New Roman"/>
          <w:szCs w:val="24"/>
        </w:rPr>
        <w:t>pārsūdzētais lēmums (administrācijas lēmums, ar kuru būvvaldes lēmums atstāts</w:t>
      </w:r>
      <w:r w:rsidR="00091881" w:rsidRPr="002A18AC">
        <w:rPr>
          <w:rFonts w:cs="Times New Roman"/>
        </w:rPr>
        <w:t xml:space="preserve"> </w:t>
      </w:r>
      <w:r w:rsidR="00091881" w:rsidRPr="002A18AC">
        <w:rPr>
          <w:rFonts w:cs="Times New Roman"/>
          <w:szCs w:val="24"/>
        </w:rPr>
        <w:t xml:space="preserve">negrozīts) </w:t>
      </w:r>
      <w:r w:rsidR="00912A61" w:rsidRPr="002A18AC">
        <w:rPr>
          <w:rFonts w:cs="Times New Roman"/>
          <w:szCs w:val="24"/>
        </w:rPr>
        <w:t xml:space="preserve">nav administratīvais akts, bet ir uzskatāms par </w:t>
      </w:r>
      <w:r w:rsidR="00091881" w:rsidRPr="002A18AC">
        <w:rPr>
          <w:rFonts w:cs="Times New Roman"/>
          <w:szCs w:val="24"/>
        </w:rPr>
        <w:t>starplēmum</w:t>
      </w:r>
      <w:r w:rsidR="00912A61" w:rsidRPr="002A18AC">
        <w:rPr>
          <w:rFonts w:cs="Times New Roman"/>
          <w:szCs w:val="24"/>
        </w:rPr>
        <w:t>u</w:t>
      </w:r>
      <w:r w:rsidR="00091881" w:rsidRPr="002A18AC">
        <w:rPr>
          <w:rFonts w:cs="Times New Roman"/>
          <w:szCs w:val="24"/>
        </w:rPr>
        <w:t>, kas nav atsevišķi pārsūdzams.</w:t>
      </w:r>
    </w:p>
    <w:p w14:paraId="15B1199E" w14:textId="5F3A5F14" w:rsidR="00091881" w:rsidRPr="002A18AC" w:rsidRDefault="00912A61" w:rsidP="00B71A31">
      <w:pPr>
        <w:tabs>
          <w:tab w:val="left" w:pos="1276"/>
        </w:tabs>
        <w:spacing w:after="0"/>
        <w:ind w:firstLine="567"/>
        <w:contextualSpacing/>
        <w:rPr>
          <w:rFonts w:cs="Times New Roman"/>
        </w:rPr>
      </w:pPr>
      <w:r w:rsidRPr="002A18AC">
        <w:rPr>
          <w:rFonts w:cs="Times New Roman"/>
        </w:rPr>
        <w:t>Tiesne</w:t>
      </w:r>
      <w:r w:rsidR="005B690E">
        <w:rPr>
          <w:rFonts w:cs="Times New Roman"/>
        </w:rPr>
        <w:t>sis</w:t>
      </w:r>
      <w:r w:rsidRPr="002A18AC">
        <w:rPr>
          <w:rFonts w:cs="Times New Roman"/>
        </w:rPr>
        <w:t xml:space="preserve"> lēmumā norādī</w:t>
      </w:r>
      <w:r w:rsidR="005B690E">
        <w:rPr>
          <w:rFonts w:cs="Times New Roman"/>
        </w:rPr>
        <w:t>jis</w:t>
      </w:r>
      <w:r w:rsidRPr="002A18AC">
        <w:rPr>
          <w:rFonts w:cs="Times New Roman"/>
        </w:rPr>
        <w:t>, ka</w:t>
      </w:r>
      <w:r w:rsidR="000D6615">
        <w:rPr>
          <w:rFonts w:cs="Times New Roman"/>
        </w:rPr>
        <w:t>,</w:t>
      </w:r>
      <w:r w:rsidRPr="002A18AC">
        <w:rPr>
          <w:rFonts w:cs="Times New Roman"/>
        </w:rPr>
        <w:t xml:space="preserve"> p</w:t>
      </w:r>
      <w:r w:rsidR="0018268F" w:rsidRPr="002A18AC">
        <w:rPr>
          <w:rFonts w:cs="Times New Roman"/>
        </w:rPr>
        <w:t>recizējot būvatļaujā būves iedalījuma grupu atbilstoši jaun</w:t>
      </w:r>
      <w:r w:rsidR="000049EB" w:rsidRPr="002A18AC">
        <w:rPr>
          <w:rFonts w:cs="Times New Roman"/>
        </w:rPr>
        <w:t>a</w:t>
      </w:r>
      <w:r w:rsidR="0018268F" w:rsidRPr="002A18AC">
        <w:rPr>
          <w:rFonts w:cs="Times New Roman"/>
        </w:rPr>
        <w:t>m regulējumam</w:t>
      </w:r>
      <w:r w:rsidR="00DF11CE" w:rsidRPr="002A18AC">
        <w:rPr>
          <w:rFonts w:cs="Times New Roman"/>
        </w:rPr>
        <w:t xml:space="preserve"> –</w:t>
      </w:r>
      <w:r w:rsidR="00227C1A" w:rsidRPr="002A18AC">
        <w:rPr>
          <w:rFonts w:cs="Times New Roman"/>
        </w:rPr>
        <w:t xml:space="preserve"> </w:t>
      </w:r>
      <w:r w:rsidR="00DF11CE" w:rsidRPr="002A18AC">
        <w:rPr>
          <w:rFonts w:cs="Times New Roman"/>
        </w:rPr>
        <w:t xml:space="preserve">grozījumiem Ministru kabineta 2014.gada 19.augusta noteikumos Nr. 500 </w:t>
      </w:r>
      <w:r w:rsidR="00DF11CE" w:rsidRPr="002A18AC">
        <w:rPr>
          <w:rFonts w:cs="Times New Roman"/>
          <w:szCs w:val="24"/>
        </w:rPr>
        <w:t>,,</w:t>
      </w:r>
      <w:r w:rsidR="00DF11CE" w:rsidRPr="002A18AC">
        <w:rPr>
          <w:rFonts w:cs="Times New Roman"/>
        </w:rPr>
        <w:t>Vispārīgie būvnoteikumi” (turpmāk – Vispārīgie būvnoteikumi</w:t>
      </w:r>
      <w:r w:rsidR="004C68E9" w:rsidRPr="002A18AC">
        <w:rPr>
          <w:rFonts w:cs="Times New Roman"/>
        </w:rPr>
        <w:t xml:space="preserve">) </w:t>
      </w:r>
      <w:r w:rsidR="00227C1A" w:rsidRPr="002A18AC">
        <w:rPr>
          <w:rFonts w:cs="Times New Roman"/>
        </w:rPr>
        <w:t xml:space="preserve">– </w:t>
      </w:r>
      <w:r w:rsidR="0018268F" w:rsidRPr="002A18AC">
        <w:rPr>
          <w:rFonts w:cs="Times New Roman"/>
        </w:rPr>
        <w:t xml:space="preserve">būvvalde ar savu lēmumu pēc būtības būvniecības ieceres dokumentācijā neko </w:t>
      </w:r>
      <w:r w:rsidRPr="002A18AC">
        <w:rPr>
          <w:rFonts w:cs="Times New Roman"/>
        </w:rPr>
        <w:t>nav mainījusi</w:t>
      </w:r>
      <w:r w:rsidR="0018268F" w:rsidRPr="002A18AC">
        <w:rPr>
          <w:rFonts w:cs="Times New Roman"/>
        </w:rPr>
        <w:t xml:space="preserve"> un līdz ar to pieteicējas tiesiskais stāvoklis nav mainīts.</w:t>
      </w:r>
    </w:p>
    <w:p w14:paraId="2C2017C6" w14:textId="56C93660" w:rsidR="00B90A71" w:rsidRPr="002A18AC" w:rsidRDefault="00DF11CE" w:rsidP="00B71A31">
      <w:pPr>
        <w:tabs>
          <w:tab w:val="left" w:pos="1276"/>
        </w:tabs>
        <w:spacing w:after="0"/>
        <w:ind w:firstLine="567"/>
        <w:contextualSpacing/>
        <w:rPr>
          <w:rFonts w:cs="Times New Roman"/>
        </w:rPr>
      </w:pPr>
      <w:r w:rsidRPr="002A18AC">
        <w:rPr>
          <w:rFonts w:cs="Times New Roman"/>
        </w:rPr>
        <w:t xml:space="preserve">Tiesnesis </w:t>
      </w:r>
      <w:r w:rsidR="00EB4199" w:rsidRPr="002A18AC">
        <w:rPr>
          <w:rFonts w:cs="Times New Roman"/>
        </w:rPr>
        <w:t>atzinis</w:t>
      </w:r>
      <w:r w:rsidRPr="002A18AC">
        <w:rPr>
          <w:rFonts w:cs="Times New Roman"/>
        </w:rPr>
        <w:t>, ka p</w:t>
      </w:r>
      <w:r w:rsidR="0018268F" w:rsidRPr="002A18AC">
        <w:rPr>
          <w:rFonts w:cs="Times New Roman"/>
        </w:rPr>
        <w:t>retēji pieteicējas viedoklim pārsūdzētais lēmums atbilst Vispārīgo būvnoteikumu 178.punktam</w:t>
      </w:r>
      <w:r w:rsidR="000C33B2" w:rsidRPr="002A18AC">
        <w:rPr>
          <w:rFonts w:cs="Times New Roman"/>
        </w:rPr>
        <w:t xml:space="preserve">. </w:t>
      </w:r>
      <w:r w:rsidR="0018268F" w:rsidRPr="002A18AC">
        <w:rPr>
          <w:rFonts w:cs="Times New Roman"/>
        </w:rPr>
        <w:t>Norādītās tiesību normas mērķis ir pēc iespējas saglabāt nemainīgu līdz šim pastāvējušo</w:t>
      </w:r>
      <w:r w:rsidR="000C33B2" w:rsidRPr="002A18AC">
        <w:rPr>
          <w:rFonts w:cs="Times New Roman"/>
        </w:rPr>
        <w:t xml:space="preserve"> </w:t>
      </w:r>
      <w:r w:rsidR="0018268F" w:rsidRPr="002A18AC">
        <w:rPr>
          <w:rFonts w:cs="Times New Roman"/>
        </w:rPr>
        <w:t>tiesisko situāciju un aizsargāt personas jau iegūtās tiesības. Tādējādi pieteicēja var turpināt uzsākto</w:t>
      </w:r>
      <w:r w:rsidR="000C33B2" w:rsidRPr="002A18AC">
        <w:rPr>
          <w:rFonts w:cs="Times New Roman"/>
        </w:rPr>
        <w:t xml:space="preserve"> </w:t>
      </w:r>
      <w:r w:rsidR="0018268F" w:rsidRPr="002A18AC">
        <w:rPr>
          <w:rFonts w:cs="Times New Roman"/>
        </w:rPr>
        <w:t>būvniecību saskaņā ar tai izsniegto būvatļauju un to pabeigt atbilstoši uzsāktajam būvniecības</w:t>
      </w:r>
      <w:r w:rsidR="000C33B2" w:rsidRPr="002A18AC">
        <w:rPr>
          <w:rFonts w:cs="Times New Roman"/>
        </w:rPr>
        <w:t xml:space="preserve"> </w:t>
      </w:r>
      <w:r w:rsidR="0018268F" w:rsidRPr="002A18AC">
        <w:rPr>
          <w:rFonts w:cs="Times New Roman"/>
        </w:rPr>
        <w:t>procesa veidam.</w:t>
      </w:r>
    </w:p>
    <w:p w14:paraId="68560E04" w14:textId="0806093A" w:rsidR="00D63787" w:rsidRPr="002A18AC" w:rsidRDefault="000C33B2" w:rsidP="00B71A31">
      <w:pPr>
        <w:tabs>
          <w:tab w:val="left" w:pos="1276"/>
        </w:tabs>
        <w:spacing w:after="0"/>
        <w:ind w:firstLine="567"/>
        <w:contextualSpacing/>
        <w:rPr>
          <w:rFonts w:cs="Times New Roman"/>
        </w:rPr>
      </w:pPr>
      <w:r w:rsidRPr="002A18AC">
        <w:rPr>
          <w:rFonts w:cs="Times New Roman"/>
        </w:rPr>
        <w:t>Ar pārsūdzēto</w:t>
      </w:r>
      <w:r w:rsidR="005B690E">
        <w:rPr>
          <w:rFonts w:cs="Times New Roman"/>
        </w:rPr>
        <w:t xml:space="preserve"> iestādes</w:t>
      </w:r>
      <w:r w:rsidRPr="002A18AC">
        <w:rPr>
          <w:rFonts w:cs="Times New Roman"/>
        </w:rPr>
        <w:t xml:space="preserve"> lēmumu lieta pārsūtīta pēc piekritības </w:t>
      </w:r>
      <w:r w:rsidRPr="002A18AC">
        <w:rPr>
          <w:rFonts w:cs="Times New Roman"/>
          <w:szCs w:val="24"/>
        </w:rPr>
        <w:t>Būvniecības valsts kontroles birojam</w:t>
      </w:r>
      <w:r w:rsidRPr="002A18AC">
        <w:rPr>
          <w:rFonts w:cs="Times New Roman"/>
        </w:rPr>
        <w:t>. Tas ir iekšējs lēmums, kur</w:t>
      </w:r>
      <w:r w:rsidR="000D6615">
        <w:rPr>
          <w:rFonts w:cs="Times New Roman"/>
        </w:rPr>
        <w:t>š</w:t>
      </w:r>
      <w:r w:rsidRPr="002A18AC">
        <w:rPr>
          <w:rFonts w:cs="Times New Roman"/>
        </w:rPr>
        <w:t xml:space="preserve"> ir jāpilda </w:t>
      </w:r>
      <w:r w:rsidR="00CA6D36" w:rsidRPr="002A18AC">
        <w:rPr>
          <w:rFonts w:cs="Times New Roman"/>
          <w:szCs w:val="24"/>
        </w:rPr>
        <w:t>Būvniecības valsts kontroles birojam</w:t>
      </w:r>
      <w:r w:rsidRPr="002A18AC">
        <w:rPr>
          <w:rFonts w:cs="Times New Roman"/>
        </w:rPr>
        <w:t>. Tas nerada tiešas sekas tieši pieteicējai. Tādēļ šāds lēmums nav pakļauts tiesas kontrolei. Tiesā ir pārsūdzams tikai galīgais lēmums (piemēram, atteikums pieņemt būvi ekspluatācijā). Starplēmums ir pārsūdzams tikai izņēmuma gadījumos, kad tas pats par sevi rada būtiskas sekas, kādas konkrētajā gadījumā nav konstatējamas.</w:t>
      </w:r>
      <w:r w:rsidR="00D63787" w:rsidRPr="002A18AC">
        <w:rPr>
          <w:rFonts w:cs="Times New Roman"/>
        </w:rPr>
        <w:t xml:space="preserve"> Ja pieteicēja uzskata </w:t>
      </w:r>
      <w:r w:rsidR="00D63787" w:rsidRPr="002A18AC">
        <w:rPr>
          <w:rFonts w:cs="Times New Roman"/>
          <w:szCs w:val="24"/>
        </w:rPr>
        <w:t xml:space="preserve">Būvniecības valsts kontroles </w:t>
      </w:r>
      <w:r w:rsidR="00D63787" w:rsidRPr="002A18AC">
        <w:rPr>
          <w:rFonts w:cs="Times New Roman"/>
        </w:rPr>
        <w:t>biroja rīcību būvdarbu kontroles procesā par prettiesisku un tā rada pieteicējai tiesiskās sekas, tad pieteicēja to var pārsūdzēt, ievērojot normatīvo regulējumu.</w:t>
      </w:r>
    </w:p>
    <w:p w14:paraId="70917766" w14:textId="77777777" w:rsidR="000C33B2" w:rsidRPr="002A18AC" w:rsidRDefault="000C33B2" w:rsidP="00B71A31">
      <w:pPr>
        <w:tabs>
          <w:tab w:val="left" w:pos="1276"/>
        </w:tabs>
        <w:spacing w:after="0"/>
        <w:ind w:firstLine="567"/>
        <w:contextualSpacing/>
        <w:rPr>
          <w:rFonts w:cs="Times New Roman"/>
        </w:rPr>
      </w:pPr>
    </w:p>
    <w:p w14:paraId="0C446D92" w14:textId="3EC350A8" w:rsidR="00E21C50" w:rsidRPr="002A18AC" w:rsidRDefault="00E21C50" w:rsidP="00B71A31">
      <w:pPr>
        <w:tabs>
          <w:tab w:val="left" w:pos="1276"/>
        </w:tabs>
        <w:spacing w:after="0"/>
        <w:ind w:firstLine="567"/>
        <w:contextualSpacing/>
        <w:rPr>
          <w:rFonts w:cs="Times New Roman"/>
        </w:rPr>
      </w:pPr>
      <w:r w:rsidRPr="002A18AC">
        <w:rPr>
          <w:rFonts w:cs="Times New Roman"/>
        </w:rPr>
        <w:t>[3]</w:t>
      </w:r>
      <w:r w:rsidR="002C1C9D" w:rsidRPr="002A18AC">
        <w:rPr>
          <w:rFonts w:cs="Times New Roman"/>
        </w:rPr>
        <w:t> </w:t>
      </w:r>
      <w:r w:rsidRPr="002A18AC">
        <w:rPr>
          <w:rFonts w:cs="Times New Roman"/>
        </w:rPr>
        <w:t>Pieteicēj</w:t>
      </w:r>
      <w:r w:rsidR="00F4393D" w:rsidRPr="002A18AC">
        <w:rPr>
          <w:rFonts w:cs="Times New Roman"/>
        </w:rPr>
        <w:t>a</w:t>
      </w:r>
      <w:r w:rsidRPr="002A18AC">
        <w:rPr>
          <w:rFonts w:cs="Times New Roman"/>
        </w:rPr>
        <w:t xml:space="preserve"> par tiesneša lēmumu iesniedza blakus sūdzību, norādot turpmāk minētos iebildumus.</w:t>
      </w:r>
    </w:p>
    <w:p w14:paraId="7E9EB1FB" w14:textId="6A9CA0DA" w:rsidR="00F667E8" w:rsidRPr="002A18AC" w:rsidRDefault="00065417" w:rsidP="00B71A31">
      <w:pPr>
        <w:tabs>
          <w:tab w:val="left" w:pos="1276"/>
        </w:tabs>
        <w:spacing w:after="0"/>
        <w:ind w:firstLine="567"/>
        <w:contextualSpacing/>
        <w:rPr>
          <w:rFonts w:cs="Times New Roman"/>
        </w:rPr>
      </w:pPr>
      <w:r w:rsidRPr="002A18AC">
        <w:rPr>
          <w:rFonts w:cs="Times New Roman"/>
        </w:rPr>
        <w:t xml:space="preserve">Pirmkārt, tiesnesis nepamatoti </w:t>
      </w:r>
      <w:r w:rsidR="00B52B50" w:rsidRPr="002A18AC">
        <w:rPr>
          <w:rFonts w:cs="Times New Roman"/>
        </w:rPr>
        <w:t>konstatējis, ka pārsūdzētais lēmums nav ietekmējis būvatļaujas būtību un pieteicējas tiesisko stāvokli</w:t>
      </w:r>
      <w:r w:rsidR="00227C1A" w:rsidRPr="002A18AC">
        <w:rPr>
          <w:rFonts w:cs="Times New Roman"/>
        </w:rPr>
        <w:t xml:space="preserve">. </w:t>
      </w:r>
      <w:r w:rsidR="00B52B50" w:rsidRPr="002A18AC">
        <w:rPr>
          <w:rFonts w:cs="Times New Roman"/>
        </w:rPr>
        <w:t xml:space="preserve">Mainot </w:t>
      </w:r>
      <w:r w:rsidR="00D37594" w:rsidRPr="002A18AC">
        <w:rPr>
          <w:rFonts w:cs="Times New Roman"/>
        </w:rPr>
        <w:t>ēkas</w:t>
      </w:r>
      <w:r w:rsidR="00B52B50" w:rsidRPr="002A18AC">
        <w:rPr>
          <w:rFonts w:cs="Times New Roman"/>
        </w:rPr>
        <w:t xml:space="preserve"> grupu no otrās uz trešo, tiek mainīts būvniecības procesa veids, proti, mainās uzraugošā </w:t>
      </w:r>
      <w:r w:rsidR="00750FF5">
        <w:rPr>
          <w:rFonts w:cs="Times New Roman"/>
        </w:rPr>
        <w:t>iestāde</w:t>
      </w:r>
      <w:r w:rsidR="00B52B50" w:rsidRPr="002A18AC">
        <w:rPr>
          <w:rFonts w:cs="Times New Roman"/>
        </w:rPr>
        <w:t xml:space="preserve"> un būvniecības procesā piemērojamās tiesību normas. Trešās grupas ēk</w:t>
      </w:r>
      <w:r w:rsidR="00484E53">
        <w:rPr>
          <w:rFonts w:cs="Times New Roman"/>
        </w:rPr>
        <w:t>u būvniecības procesā</w:t>
      </w:r>
      <w:r w:rsidR="00B52B50" w:rsidRPr="002A18AC">
        <w:rPr>
          <w:rFonts w:cs="Times New Roman"/>
        </w:rPr>
        <w:t xml:space="preserve"> </w:t>
      </w:r>
      <w:r w:rsidR="00484E53">
        <w:rPr>
          <w:rFonts w:cs="Times New Roman"/>
        </w:rPr>
        <w:t>ir</w:t>
      </w:r>
      <w:r w:rsidR="00B52B50" w:rsidRPr="002A18AC">
        <w:rPr>
          <w:rFonts w:cs="Times New Roman"/>
        </w:rPr>
        <w:t xml:space="preserve"> izvirzīti ievērojami stingrāki noteikumi</w:t>
      </w:r>
      <w:r w:rsidR="00484E53">
        <w:rPr>
          <w:rFonts w:cs="Times New Roman"/>
        </w:rPr>
        <w:t xml:space="preserve">. </w:t>
      </w:r>
      <w:r w:rsidR="00BE3E7D" w:rsidRPr="002A18AC">
        <w:rPr>
          <w:rFonts w:cs="Times New Roman"/>
        </w:rPr>
        <w:t xml:space="preserve">Pat ja pārsūdzētais </w:t>
      </w:r>
      <w:r w:rsidR="004C68E9" w:rsidRPr="002A18AC">
        <w:rPr>
          <w:rFonts w:cs="Times New Roman"/>
        </w:rPr>
        <w:t xml:space="preserve">lēmums </w:t>
      </w:r>
      <w:r w:rsidR="00BE3E7D" w:rsidRPr="002A18AC">
        <w:rPr>
          <w:rFonts w:cs="Times New Roman"/>
        </w:rPr>
        <w:t>nav atzīstams par administratīvo aktu, tad tas ir atzīstams par starplēmumu, kas skar būtiskas pieteicējas tiesiskās intereses.</w:t>
      </w:r>
    </w:p>
    <w:p w14:paraId="21BC6D98" w14:textId="778E0C7A" w:rsidR="00F667E8" w:rsidRPr="002A18AC" w:rsidRDefault="00F667E8" w:rsidP="00B71A31">
      <w:pPr>
        <w:tabs>
          <w:tab w:val="left" w:pos="1276"/>
        </w:tabs>
        <w:spacing w:after="0"/>
        <w:ind w:firstLine="567"/>
        <w:contextualSpacing/>
        <w:rPr>
          <w:rFonts w:cs="Times New Roman"/>
        </w:rPr>
      </w:pPr>
      <w:r w:rsidRPr="002A18AC">
        <w:rPr>
          <w:rFonts w:cs="Times New Roman"/>
        </w:rPr>
        <w:t xml:space="preserve">Otrkārt, </w:t>
      </w:r>
      <w:r w:rsidR="000E4413">
        <w:rPr>
          <w:rFonts w:cs="Times New Roman"/>
        </w:rPr>
        <w:t>t</w:t>
      </w:r>
      <w:r w:rsidR="000E4413" w:rsidRPr="002A18AC">
        <w:rPr>
          <w:rFonts w:cs="Times New Roman"/>
        </w:rPr>
        <w:t>ies</w:t>
      </w:r>
      <w:r w:rsidR="000E4413">
        <w:rPr>
          <w:rFonts w:cs="Times New Roman"/>
        </w:rPr>
        <w:t>nesis</w:t>
      </w:r>
      <w:r w:rsidR="000E4413" w:rsidRPr="002A18AC">
        <w:rPr>
          <w:rFonts w:cs="Times New Roman"/>
        </w:rPr>
        <w:t xml:space="preserve"> nepamatoti atzin</w:t>
      </w:r>
      <w:r w:rsidR="000E4413">
        <w:rPr>
          <w:rFonts w:cs="Times New Roman"/>
        </w:rPr>
        <w:t>is</w:t>
      </w:r>
      <w:r w:rsidR="000E4413" w:rsidRPr="002A18AC">
        <w:rPr>
          <w:rFonts w:cs="Times New Roman"/>
        </w:rPr>
        <w:t>, ka pārsūdzētais lēmums atbilst Vispārīgo būvnoteikumu 178.punktam.</w:t>
      </w:r>
      <w:r w:rsidR="000E4413">
        <w:rPr>
          <w:rFonts w:cs="Times New Roman"/>
        </w:rPr>
        <w:t xml:space="preserve"> Minēt</w:t>
      </w:r>
      <w:r w:rsidR="000D6615">
        <w:rPr>
          <w:rFonts w:cs="Times New Roman"/>
        </w:rPr>
        <w:t>ā</w:t>
      </w:r>
      <w:r w:rsidR="000E4413">
        <w:rPr>
          <w:rFonts w:cs="Times New Roman"/>
        </w:rPr>
        <w:t xml:space="preserve"> norma </w:t>
      </w:r>
      <w:r w:rsidR="00B52B50" w:rsidRPr="002A18AC">
        <w:rPr>
          <w:rFonts w:cs="Times New Roman"/>
        </w:rPr>
        <w:t>nosaka</w:t>
      </w:r>
      <w:r w:rsidR="00BE3E7D" w:rsidRPr="002A18AC">
        <w:rPr>
          <w:rFonts w:cs="Times New Roman"/>
        </w:rPr>
        <w:t xml:space="preserve">, ka šo noteikumu grozījumi, kas stājās </w:t>
      </w:r>
      <w:r w:rsidR="00227C1A" w:rsidRPr="002A18AC">
        <w:rPr>
          <w:rFonts w:cs="Times New Roman"/>
        </w:rPr>
        <w:t xml:space="preserve">spēkā </w:t>
      </w:r>
      <w:r w:rsidR="00BE3E7D" w:rsidRPr="002A18AC">
        <w:rPr>
          <w:rFonts w:cs="Times New Roman"/>
        </w:rPr>
        <w:t>2021.gada 1.novembrī</w:t>
      </w:r>
      <w:r w:rsidR="005F2561" w:rsidRPr="002A18AC">
        <w:rPr>
          <w:rFonts w:cs="Times New Roman"/>
        </w:rPr>
        <w:t>,</w:t>
      </w:r>
      <w:r w:rsidR="00BE3E7D" w:rsidRPr="002A18AC">
        <w:rPr>
          <w:rFonts w:cs="Times New Roman"/>
        </w:rPr>
        <w:t xml:space="preserve"> nav attiecināmi uz būvniecības procesu, kurā darbu veikšanai jau ir izdota būvatļauja. </w:t>
      </w:r>
    </w:p>
    <w:p w14:paraId="7D22EE8F" w14:textId="00CF5B92" w:rsidR="009600FB" w:rsidRPr="002A18AC" w:rsidRDefault="009600FB" w:rsidP="00B71A31">
      <w:pPr>
        <w:tabs>
          <w:tab w:val="left" w:pos="1276"/>
        </w:tabs>
        <w:spacing w:after="0"/>
        <w:ind w:firstLine="567"/>
        <w:contextualSpacing/>
        <w:rPr>
          <w:rFonts w:cs="Times New Roman"/>
          <w:color w:val="000000"/>
        </w:rPr>
      </w:pPr>
    </w:p>
    <w:p w14:paraId="4AA04077" w14:textId="509D148A" w:rsidR="009600FB" w:rsidRPr="002A18AC" w:rsidRDefault="00210C14" w:rsidP="00B71A31">
      <w:pPr>
        <w:pStyle w:val="NormalWeb"/>
        <w:shd w:val="clear" w:color="auto" w:fill="FFFFFF"/>
        <w:spacing w:line="276" w:lineRule="auto"/>
        <w:contextualSpacing/>
        <w:jc w:val="center"/>
        <w:rPr>
          <w:b/>
        </w:rPr>
      </w:pPr>
      <w:r w:rsidRPr="002A18AC">
        <w:rPr>
          <w:b/>
        </w:rPr>
        <w:t>Motīvu daļa</w:t>
      </w:r>
    </w:p>
    <w:p w14:paraId="3529CD2C" w14:textId="77777777" w:rsidR="00437DCC" w:rsidRPr="002A18AC" w:rsidRDefault="00437DCC" w:rsidP="00B71A31">
      <w:pPr>
        <w:pStyle w:val="NormalWeb"/>
        <w:shd w:val="clear" w:color="auto" w:fill="FFFFFF"/>
        <w:spacing w:line="276" w:lineRule="auto"/>
        <w:ind w:firstLine="567"/>
        <w:jc w:val="center"/>
        <w:rPr>
          <w:b/>
        </w:rPr>
      </w:pPr>
    </w:p>
    <w:p w14:paraId="28D6A7DF" w14:textId="408FC5EC" w:rsidR="00FC0137" w:rsidRPr="002A18AC" w:rsidRDefault="00437DCC" w:rsidP="00B71A31">
      <w:pPr>
        <w:pStyle w:val="NormalWeb"/>
        <w:shd w:val="clear" w:color="auto" w:fill="FFFFFF"/>
        <w:spacing w:line="276" w:lineRule="auto"/>
        <w:ind w:firstLine="567"/>
        <w:jc w:val="both"/>
      </w:pPr>
      <w:r w:rsidRPr="002A18AC">
        <w:rPr>
          <w:bCs/>
        </w:rPr>
        <w:t>[4]</w:t>
      </w:r>
      <w:r w:rsidR="00D32468" w:rsidRPr="002A18AC">
        <w:rPr>
          <w:bCs/>
        </w:rPr>
        <w:t> </w:t>
      </w:r>
      <w:r w:rsidR="00A35B22" w:rsidRPr="002A18AC">
        <w:t>B</w:t>
      </w:r>
      <w:r w:rsidR="00FC0137" w:rsidRPr="002A18AC">
        <w:t>lakus sūdzības izskatīšanas ietvaros izšķiram</w:t>
      </w:r>
      <w:r w:rsidR="00A35B22" w:rsidRPr="002A18AC">
        <w:t xml:space="preserve">s </w:t>
      </w:r>
      <w:r w:rsidR="00FC0137" w:rsidRPr="002A18AC">
        <w:t>jautājums, vai rajona tiesas tiesnesis pamatoti secinājis, ka iestādes lēmums par</w:t>
      </w:r>
      <w:r w:rsidR="00D37594" w:rsidRPr="002A18AC">
        <w:t xml:space="preserve"> </w:t>
      </w:r>
      <w:r w:rsidR="002A18AC" w:rsidRPr="002A18AC">
        <w:t>būves grupas</w:t>
      </w:r>
      <w:r w:rsidR="00FC0137" w:rsidRPr="002A18AC">
        <w:t xml:space="preserve"> maiņu izdotajā būvatļaujā</w:t>
      </w:r>
      <w:r w:rsidR="00064952" w:rsidRPr="002A18AC">
        <w:t xml:space="preserve"> </w:t>
      </w:r>
      <w:r w:rsidR="00FC0137" w:rsidRPr="002A18AC">
        <w:t>nav uzskatāms par tādu starplēmumu</w:t>
      </w:r>
      <w:r w:rsidR="00A35B22" w:rsidRPr="002A18AC">
        <w:t>, kas skar būtiskas personas tiesības vai tiesiskās intereses</w:t>
      </w:r>
      <w:r w:rsidR="00B61C2F" w:rsidRPr="002A18AC">
        <w:t>, tāpēc nav pārsūdzams administratīvā procesa kārtībā.</w:t>
      </w:r>
    </w:p>
    <w:p w14:paraId="71889F13" w14:textId="66F3564F" w:rsidR="002A18AC" w:rsidRDefault="002A18AC" w:rsidP="00B71A31">
      <w:pPr>
        <w:pStyle w:val="NormalWeb"/>
        <w:shd w:val="clear" w:color="auto" w:fill="FFFFFF"/>
        <w:spacing w:line="276" w:lineRule="auto"/>
        <w:ind w:firstLine="567"/>
        <w:jc w:val="both"/>
        <w:rPr>
          <w:bCs/>
        </w:rPr>
      </w:pPr>
    </w:p>
    <w:p w14:paraId="0E6E0AF2" w14:textId="77777777" w:rsidR="00CA6D36" w:rsidRDefault="00126ED2" w:rsidP="00B71A31">
      <w:pPr>
        <w:pStyle w:val="NormalWeb"/>
        <w:shd w:val="clear" w:color="auto" w:fill="FFFFFF"/>
        <w:spacing w:line="276" w:lineRule="auto"/>
        <w:ind w:firstLine="567"/>
        <w:jc w:val="both"/>
      </w:pPr>
      <w:r>
        <w:t xml:space="preserve">[5] Administratīvā procesa likuma 1.panta trešās daļas 3.punktā ir noteikts, ka starplēmuma atsevišķa pārsūdzība, nesagaidot galīgo administratīvo aktu, pieļaujama vienīgi tad, ja attiecīgais starplēmums ir pielīdzināms administratīvajam aktam, jo pats par sevi jau rada būtiskas sekas – pats par sevi skar būtiskas personas tiesības vai tiesiskas intereses vai būtiski apgrūtina to īstenošanu. </w:t>
      </w:r>
    </w:p>
    <w:p w14:paraId="2042FF1A" w14:textId="30055E01" w:rsidR="00126ED2" w:rsidRDefault="00126ED2" w:rsidP="00B71A31">
      <w:pPr>
        <w:pStyle w:val="NormalWeb"/>
        <w:shd w:val="clear" w:color="auto" w:fill="FFFFFF"/>
        <w:spacing w:line="276" w:lineRule="auto"/>
        <w:ind w:firstLine="567"/>
        <w:jc w:val="both"/>
        <w:rPr>
          <w:bCs/>
        </w:rPr>
      </w:pPr>
      <w:r>
        <w:lastRenderedPageBreak/>
        <w:t>T</w:t>
      </w:r>
      <w:r w:rsidR="00CA6D36">
        <w:t xml:space="preserve">ādējādi izskatāmajā </w:t>
      </w:r>
      <w:r>
        <w:t>lietā jāpārbauda</w:t>
      </w:r>
      <w:r w:rsidR="002F44D7">
        <w:t>, vai</w:t>
      </w:r>
      <w:r>
        <w:t xml:space="preserve"> pārsūdzētais lēmums </w:t>
      </w:r>
      <w:r w:rsidR="002F44D7">
        <w:t>rada pieteicējai būtiskas sekas</w:t>
      </w:r>
      <w:r>
        <w:t>.</w:t>
      </w:r>
    </w:p>
    <w:p w14:paraId="723D230F" w14:textId="77777777" w:rsidR="00126ED2" w:rsidRPr="002A18AC" w:rsidRDefault="00126ED2" w:rsidP="00B71A31">
      <w:pPr>
        <w:pStyle w:val="NormalWeb"/>
        <w:shd w:val="clear" w:color="auto" w:fill="FFFFFF"/>
        <w:spacing w:line="276" w:lineRule="auto"/>
        <w:ind w:firstLine="567"/>
        <w:jc w:val="both"/>
        <w:rPr>
          <w:bCs/>
        </w:rPr>
      </w:pPr>
    </w:p>
    <w:p w14:paraId="12F81D7E" w14:textId="1F8193D1" w:rsidR="002A18AC" w:rsidRDefault="00D32468" w:rsidP="00B71A31">
      <w:pPr>
        <w:pStyle w:val="NormalWeb"/>
        <w:shd w:val="clear" w:color="auto" w:fill="FFFFFF"/>
        <w:spacing w:line="276" w:lineRule="auto"/>
        <w:ind w:firstLine="567"/>
        <w:jc w:val="both"/>
        <w:rPr>
          <w:bCs/>
        </w:rPr>
      </w:pPr>
      <w:r w:rsidRPr="002A18AC">
        <w:rPr>
          <w:bCs/>
        </w:rPr>
        <w:t>[</w:t>
      </w:r>
      <w:r w:rsidR="00126ED2">
        <w:rPr>
          <w:bCs/>
        </w:rPr>
        <w:t>6</w:t>
      </w:r>
      <w:r w:rsidRPr="002A18AC">
        <w:rPr>
          <w:bCs/>
        </w:rPr>
        <w:t>] </w:t>
      </w:r>
      <w:r w:rsidR="00AE07BA" w:rsidRPr="002A18AC">
        <w:rPr>
          <w:bCs/>
        </w:rPr>
        <w:t xml:space="preserve">Ministru kabineta 2021.gada 28.janvāra noteikumi Nr. 55 </w:t>
      </w:r>
      <w:r w:rsidR="00AE07BA" w:rsidRPr="002A18AC">
        <w:t>,,</w:t>
      </w:r>
      <w:r w:rsidR="00AE07BA" w:rsidRPr="002A18AC">
        <w:rPr>
          <w:bCs/>
        </w:rPr>
        <w:t xml:space="preserve">Grozījumi Ministru kabineta 2014.gada 19.augusta noteikumos Nr. 500 </w:t>
      </w:r>
      <w:r w:rsidR="00AE07BA" w:rsidRPr="002A18AC">
        <w:t>,,</w:t>
      </w:r>
      <w:r w:rsidR="00AE07BA" w:rsidRPr="002A18AC">
        <w:rPr>
          <w:bCs/>
        </w:rPr>
        <w:t>Vispārīgie būvnoteikumi”</w:t>
      </w:r>
      <w:r w:rsidR="00EF6469" w:rsidRPr="002A18AC">
        <w:rPr>
          <w:bCs/>
        </w:rPr>
        <w:t>”</w:t>
      </w:r>
      <w:r w:rsidR="00A33CB0" w:rsidRPr="002A18AC">
        <w:rPr>
          <w:bCs/>
        </w:rPr>
        <w:t>, kas</w:t>
      </w:r>
      <w:r w:rsidR="00EF6469" w:rsidRPr="002A18AC">
        <w:rPr>
          <w:bCs/>
        </w:rPr>
        <w:t xml:space="preserve"> stājās spēkā 2021.gada 1.novembrī</w:t>
      </w:r>
      <w:r w:rsidR="00A33CB0" w:rsidRPr="002A18AC">
        <w:rPr>
          <w:bCs/>
        </w:rPr>
        <w:t xml:space="preserve">, </w:t>
      </w:r>
      <w:r w:rsidR="00AE07BA" w:rsidRPr="002A18AC">
        <w:rPr>
          <w:bCs/>
        </w:rPr>
        <w:t>citstarp</w:t>
      </w:r>
      <w:r w:rsidR="002A18AC">
        <w:rPr>
          <w:bCs/>
        </w:rPr>
        <w:t xml:space="preserve"> </w:t>
      </w:r>
      <w:r w:rsidR="005C4FE7">
        <w:rPr>
          <w:bCs/>
        </w:rPr>
        <w:t>noteica</w:t>
      </w:r>
      <w:r w:rsidR="002A18AC">
        <w:rPr>
          <w:bCs/>
        </w:rPr>
        <w:t xml:space="preserve"> izmaiņas </w:t>
      </w:r>
      <w:r w:rsidR="002A18AC" w:rsidRPr="002A18AC">
        <w:rPr>
          <w:bCs/>
        </w:rPr>
        <w:t xml:space="preserve">Vispārīgo būvnoteikumu </w:t>
      </w:r>
      <w:r w:rsidR="002A18AC" w:rsidRPr="002A18AC">
        <w:t>1.pielikumā</w:t>
      </w:r>
      <w:r w:rsidR="002A18AC">
        <w:t>, kur</w:t>
      </w:r>
      <w:r w:rsidR="001D6C7D">
        <w:t>ā</w:t>
      </w:r>
      <w:r w:rsidR="002A18AC">
        <w:t xml:space="preserve"> noteikts</w:t>
      </w:r>
      <w:r w:rsidR="002A18AC">
        <w:rPr>
          <w:bCs/>
        </w:rPr>
        <w:t xml:space="preserve"> būvju iedalījums grupās.</w:t>
      </w:r>
    </w:p>
    <w:p w14:paraId="1A9ED5AF" w14:textId="17B96A78" w:rsidR="00B61C2F" w:rsidRDefault="00245B3B" w:rsidP="00B71A31">
      <w:pPr>
        <w:pStyle w:val="NormalWeb"/>
        <w:shd w:val="clear" w:color="auto" w:fill="FFFFFF"/>
        <w:spacing w:line="276" w:lineRule="auto"/>
        <w:ind w:firstLine="567"/>
        <w:jc w:val="both"/>
        <w:rPr>
          <w:bCs/>
        </w:rPr>
      </w:pPr>
      <w:r w:rsidRPr="002A18AC">
        <w:t xml:space="preserve">Vienlaikus ar </w:t>
      </w:r>
      <w:r w:rsidR="00AE07BA" w:rsidRPr="002A18AC">
        <w:t xml:space="preserve">minētajiem </w:t>
      </w:r>
      <w:r w:rsidRPr="002A18AC">
        <w:t xml:space="preserve">grozījumiem </w:t>
      </w:r>
      <w:r w:rsidR="00B61C2F" w:rsidRPr="002A18AC">
        <w:rPr>
          <w:bCs/>
        </w:rPr>
        <w:t>Vispārīg</w:t>
      </w:r>
      <w:r w:rsidRPr="002A18AC">
        <w:rPr>
          <w:bCs/>
        </w:rPr>
        <w:t>i</w:t>
      </w:r>
      <w:r w:rsidR="00BC43B1" w:rsidRPr="002A18AC">
        <w:rPr>
          <w:bCs/>
        </w:rPr>
        <w:t>e</w:t>
      </w:r>
      <w:r w:rsidR="00B61C2F" w:rsidRPr="002A18AC">
        <w:rPr>
          <w:bCs/>
        </w:rPr>
        <w:t xml:space="preserve"> būvnoteikum</w:t>
      </w:r>
      <w:r w:rsidRPr="002A18AC">
        <w:rPr>
          <w:bCs/>
        </w:rPr>
        <w:t>i ir papildināti ar</w:t>
      </w:r>
      <w:r w:rsidR="00B61C2F" w:rsidRPr="002A18AC">
        <w:rPr>
          <w:bCs/>
        </w:rPr>
        <w:t xml:space="preserve"> 178.punkt</w:t>
      </w:r>
      <w:r w:rsidRPr="002A18AC">
        <w:rPr>
          <w:bCs/>
        </w:rPr>
        <w:t>u, kas</w:t>
      </w:r>
      <w:r w:rsidR="00B61C2F" w:rsidRPr="002A18AC">
        <w:rPr>
          <w:bCs/>
        </w:rPr>
        <w:t xml:space="preserve"> </w:t>
      </w:r>
      <w:r w:rsidR="00EF6469" w:rsidRPr="002A18AC">
        <w:rPr>
          <w:bCs/>
        </w:rPr>
        <w:t>nosaka</w:t>
      </w:r>
      <w:r w:rsidR="000D6615">
        <w:rPr>
          <w:bCs/>
        </w:rPr>
        <w:t>:</w:t>
      </w:r>
      <w:r w:rsidR="00B61C2F" w:rsidRPr="002A18AC">
        <w:rPr>
          <w:bCs/>
        </w:rPr>
        <w:t xml:space="preserve"> ja būvdarbu veikšanai ir izdota būvatļauja un būvniecības administratīvā</w:t>
      </w:r>
      <w:r w:rsidRPr="002A18AC">
        <w:rPr>
          <w:bCs/>
        </w:rPr>
        <w:t xml:space="preserve"> </w:t>
      </w:r>
      <w:r w:rsidR="00B61C2F" w:rsidRPr="002A18AC">
        <w:rPr>
          <w:bCs/>
        </w:rPr>
        <w:t>procesa laikā ar grozījumiem normatīvajos aktos tiek mainīta būvniecības ieceres dokumentācijā</w:t>
      </w:r>
      <w:r w:rsidRPr="002A18AC">
        <w:rPr>
          <w:bCs/>
        </w:rPr>
        <w:t xml:space="preserve"> </w:t>
      </w:r>
      <w:r w:rsidR="00B61C2F" w:rsidRPr="002A18AC">
        <w:rPr>
          <w:bCs/>
        </w:rPr>
        <w:t>paredzētās būves grupa, šo būvniecības administratīvo procesu pabeidz atbilstoši uzsāktajam</w:t>
      </w:r>
      <w:r w:rsidRPr="002A18AC">
        <w:rPr>
          <w:bCs/>
        </w:rPr>
        <w:t xml:space="preserve"> </w:t>
      </w:r>
      <w:r w:rsidR="00B61C2F" w:rsidRPr="002A18AC">
        <w:rPr>
          <w:bCs/>
        </w:rPr>
        <w:t>būvniecības procesa veidam.</w:t>
      </w:r>
      <w:r w:rsidR="00E31C16">
        <w:rPr>
          <w:bCs/>
        </w:rPr>
        <w:t xml:space="preserve"> </w:t>
      </w:r>
    </w:p>
    <w:p w14:paraId="28C0D232" w14:textId="52EA41AF" w:rsidR="002F44D7" w:rsidRDefault="00180193" w:rsidP="00B71A31">
      <w:pPr>
        <w:pStyle w:val="NormalWeb"/>
        <w:shd w:val="clear" w:color="auto" w:fill="FFFFFF"/>
        <w:spacing w:line="276" w:lineRule="auto"/>
        <w:ind w:firstLine="567"/>
        <w:jc w:val="both"/>
        <w:rPr>
          <w:bCs/>
        </w:rPr>
      </w:pPr>
      <w:r>
        <w:rPr>
          <w:bCs/>
        </w:rPr>
        <w:t xml:space="preserve">No minētajām normām secināms, ka </w:t>
      </w:r>
      <w:r w:rsidR="002F44D7">
        <w:rPr>
          <w:bCs/>
        </w:rPr>
        <w:t xml:space="preserve">likumdevējs ir veicis grozījumus būvju iedalījumā grupās, vienlaikus </w:t>
      </w:r>
      <w:r>
        <w:rPr>
          <w:bCs/>
        </w:rPr>
        <w:t>nodrošinot</w:t>
      </w:r>
      <w:r w:rsidR="002F44D7">
        <w:rPr>
          <w:bCs/>
        </w:rPr>
        <w:t xml:space="preserve"> tiesisko noteiktību tām personām, kuras jau ir uzsākušas būvniecības procesu.</w:t>
      </w:r>
    </w:p>
    <w:p w14:paraId="2F9037AE" w14:textId="32E92E80" w:rsidR="00B3185B" w:rsidRDefault="00BC43B1" w:rsidP="00B71A31">
      <w:pPr>
        <w:pStyle w:val="NormalWeb"/>
        <w:shd w:val="clear" w:color="auto" w:fill="FFFFFF"/>
        <w:spacing w:line="276" w:lineRule="auto"/>
        <w:ind w:firstLine="567"/>
        <w:jc w:val="both"/>
      </w:pPr>
      <w:r w:rsidRPr="002A18AC">
        <w:t xml:space="preserve">Pieteicēja piekrīt tam, ka atbilstoši grozītajām tiesību normām </w:t>
      </w:r>
      <w:r w:rsidR="00D37594" w:rsidRPr="002A18AC">
        <w:t xml:space="preserve">pieteicējas </w:t>
      </w:r>
      <w:r w:rsidR="00EB4199" w:rsidRPr="002A18AC">
        <w:t xml:space="preserve">būvatļaujā norādītā būve </w:t>
      </w:r>
      <w:r w:rsidR="002B1C01">
        <w:t>ir trešās grupas ēka</w:t>
      </w:r>
      <w:r w:rsidRPr="002A18AC">
        <w:t xml:space="preserve">. Tomēr uzskata, ka Vispārīgo būvnoteikumu 178.punkts paredz pieteicējai tiesības pabeigt būvniecības procesu atbilstoši tām </w:t>
      </w:r>
      <w:r w:rsidR="00336DE5">
        <w:t xml:space="preserve">prasībām, kas </w:t>
      </w:r>
      <w:r w:rsidRPr="002A18AC">
        <w:t>bija spēkā</w:t>
      </w:r>
      <w:r w:rsidR="006E2F6F">
        <w:t xml:space="preserve">, to </w:t>
      </w:r>
      <w:r w:rsidRPr="002A18AC">
        <w:t>uzsākot</w:t>
      </w:r>
      <w:r w:rsidR="006E2F6F">
        <w:t>.</w:t>
      </w:r>
      <w:r w:rsidR="00EF6469" w:rsidRPr="002A18AC">
        <w:t xml:space="preserve"> </w:t>
      </w:r>
    </w:p>
    <w:p w14:paraId="5352F932" w14:textId="77777777" w:rsidR="00BD426F" w:rsidRDefault="00BD426F" w:rsidP="00B71A31">
      <w:pPr>
        <w:pStyle w:val="NormalWeb"/>
        <w:shd w:val="clear" w:color="auto" w:fill="FFFFFF"/>
        <w:spacing w:line="276" w:lineRule="auto"/>
        <w:ind w:firstLine="567"/>
        <w:jc w:val="both"/>
        <w:rPr>
          <w:rFonts w:asciiTheme="majorBidi" w:hAnsiTheme="majorBidi" w:cstheme="majorBidi"/>
          <w:bCs/>
        </w:rPr>
      </w:pPr>
    </w:p>
    <w:p w14:paraId="65E2B351" w14:textId="19C17F41" w:rsidR="00F1069F" w:rsidRDefault="00BD426F" w:rsidP="00B71A31">
      <w:pPr>
        <w:pStyle w:val="NormalWeb"/>
        <w:shd w:val="clear" w:color="auto" w:fill="FFFFFF"/>
        <w:spacing w:line="276" w:lineRule="auto"/>
        <w:ind w:firstLine="567"/>
        <w:jc w:val="both"/>
        <w:rPr>
          <w:rFonts w:asciiTheme="majorBidi" w:hAnsiTheme="majorBidi" w:cstheme="majorBidi"/>
        </w:rPr>
      </w:pPr>
      <w:r>
        <w:rPr>
          <w:rFonts w:asciiTheme="majorBidi" w:hAnsiTheme="majorBidi" w:cstheme="majorBidi"/>
          <w:bCs/>
        </w:rPr>
        <w:t>[</w:t>
      </w:r>
      <w:r w:rsidR="00F1069F">
        <w:rPr>
          <w:rFonts w:asciiTheme="majorBidi" w:hAnsiTheme="majorBidi" w:cstheme="majorBidi"/>
          <w:bCs/>
        </w:rPr>
        <w:t>7</w:t>
      </w:r>
      <w:r>
        <w:rPr>
          <w:rFonts w:asciiTheme="majorBidi" w:hAnsiTheme="majorBidi" w:cstheme="majorBidi"/>
          <w:bCs/>
        </w:rPr>
        <w:t>] </w:t>
      </w:r>
      <w:r w:rsidR="003B0490">
        <w:rPr>
          <w:rFonts w:asciiTheme="majorBidi" w:hAnsiTheme="majorBidi" w:cstheme="majorBidi"/>
          <w:bCs/>
        </w:rPr>
        <w:t>P</w:t>
      </w:r>
      <w:r w:rsidR="00126ED2">
        <w:rPr>
          <w:rFonts w:asciiTheme="majorBidi" w:hAnsiTheme="majorBidi" w:cstheme="majorBidi"/>
          <w:bCs/>
        </w:rPr>
        <w:t xml:space="preserve">ieteicēja pamatoti norādījusi, </w:t>
      </w:r>
      <w:r w:rsidR="00B3185B">
        <w:rPr>
          <w:rFonts w:asciiTheme="majorBidi" w:hAnsiTheme="majorBidi" w:cstheme="majorBidi"/>
          <w:bCs/>
        </w:rPr>
        <w:t>ka</w:t>
      </w:r>
      <w:r w:rsidR="00601A24">
        <w:rPr>
          <w:rFonts w:asciiTheme="majorBidi" w:hAnsiTheme="majorBidi" w:cstheme="majorBidi"/>
        </w:rPr>
        <w:t xml:space="preserve"> ar </w:t>
      </w:r>
      <w:r w:rsidR="00180193">
        <w:rPr>
          <w:rFonts w:asciiTheme="majorBidi" w:hAnsiTheme="majorBidi" w:cstheme="majorBidi"/>
        </w:rPr>
        <w:t xml:space="preserve">pārsūdzēto </w:t>
      </w:r>
      <w:r w:rsidR="00394644">
        <w:rPr>
          <w:rFonts w:asciiTheme="majorBidi" w:hAnsiTheme="majorBidi" w:cstheme="majorBidi"/>
        </w:rPr>
        <w:t xml:space="preserve">iestādes </w:t>
      </w:r>
      <w:r w:rsidR="00180193">
        <w:rPr>
          <w:rFonts w:asciiTheme="majorBidi" w:hAnsiTheme="majorBidi" w:cstheme="majorBidi"/>
        </w:rPr>
        <w:t>lēmumu</w:t>
      </w:r>
      <w:r w:rsidR="005B690E">
        <w:rPr>
          <w:rFonts w:asciiTheme="majorBidi" w:hAnsiTheme="majorBidi" w:cstheme="majorBidi"/>
        </w:rPr>
        <w:t xml:space="preserve"> pieteicējai</w:t>
      </w:r>
      <w:r w:rsidR="00F31570" w:rsidRPr="002A18AC">
        <w:rPr>
          <w:rFonts w:asciiTheme="majorBidi" w:hAnsiTheme="majorBidi" w:cstheme="majorBidi"/>
        </w:rPr>
        <w:t xml:space="preserve"> jau šobrīd tiek izvirzītas tā</w:t>
      </w:r>
      <w:r w:rsidR="002A18AC" w:rsidRPr="002A18AC">
        <w:rPr>
          <w:rFonts w:asciiTheme="majorBidi" w:hAnsiTheme="majorBidi" w:cstheme="majorBidi"/>
        </w:rPr>
        <w:t>das</w:t>
      </w:r>
      <w:r w:rsidR="00B3185B">
        <w:rPr>
          <w:rFonts w:asciiTheme="majorBidi" w:hAnsiTheme="majorBidi" w:cstheme="majorBidi"/>
        </w:rPr>
        <w:t xml:space="preserve"> no tiesību normām izrietošas</w:t>
      </w:r>
      <w:r w:rsidR="00F31570" w:rsidRPr="002A18AC">
        <w:rPr>
          <w:rFonts w:asciiTheme="majorBidi" w:hAnsiTheme="majorBidi" w:cstheme="majorBidi"/>
        </w:rPr>
        <w:t xml:space="preserve"> prasības, kas jāizpild</w:t>
      </w:r>
      <w:r w:rsidR="003B0490">
        <w:rPr>
          <w:rFonts w:asciiTheme="majorBidi" w:hAnsiTheme="majorBidi" w:cstheme="majorBidi"/>
        </w:rPr>
        <w:t>a</w:t>
      </w:r>
      <w:r w:rsidR="00F31570" w:rsidRPr="002A18AC">
        <w:rPr>
          <w:rFonts w:asciiTheme="majorBidi" w:hAnsiTheme="majorBidi" w:cstheme="majorBidi"/>
        </w:rPr>
        <w:t xml:space="preserve"> trešās grupas ēk</w:t>
      </w:r>
      <w:r w:rsidR="00336DE5">
        <w:rPr>
          <w:rFonts w:asciiTheme="majorBidi" w:hAnsiTheme="majorBidi" w:cstheme="majorBidi"/>
        </w:rPr>
        <w:t>u</w:t>
      </w:r>
      <w:r w:rsidR="00F31570" w:rsidRPr="002A18AC">
        <w:rPr>
          <w:rFonts w:asciiTheme="majorBidi" w:hAnsiTheme="majorBidi" w:cstheme="majorBidi"/>
        </w:rPr>
        <w:t xml:space="preserve"> būvniecības procesā,</w:t>
      </w:r>
      <w:r w:rsidR="006E4147">
        <w:rPr>
          <w:rFonts w:asciiTheme="majorBidi" w:hAnsiTheme="majorBidi" w:cstheme="majorBidi"/>
        </w:rPr>
        <w:t xml:space="preserve"> un</w:t>
      </w:r>
      <w:r w:rsidR="00F31570" w:rsidRPr="002A18AC">
        <w:rPr>
          <w:rFonts w:asciiTheme="majorBidi" w:hAnsiTheme="majorBidi" w:cstheme="majorBidi"/>
        </w:rPr>
        <w:t xml:space="preserve"> tāpēc arī mainīta būvniecības procesu uzrau</w:t>
      </w:r>
      <w:r w:rsidR="002A18AC" w:rsidRPr="002A18AC">
        <w:rPr>
          <w:rFonts w:asciiTheme="majorBidi" w:hAnsiTheme="majorBidi" w:cstheme="majorBidi"/>
        </w:rPr>
        <w:t>g</w:t>
      </w:r>
      <w:r w:rsidR="00F31570" w:rsidRPr="002A18AC">
        <w:rPr>
          <w:rFonts w:asciiTheme="majorBidi" w:hAnsiTheme="majorBidi" w:cstheme="majorBidi"/>
        </w:rPr>
        <w:t>ošā iestāde.</w:t>
      </w:r>
    </w:p>
    <w:p w14:paraId="29F30FF1" w14:textId="5E313889" w:rsidR="00F1069F" w:rsidRDefault="00594490" w:rsidP="00B71A31">
      <w:pPr>
        <w:pStyle w:val="NormalWeb"/>
        <w:shd w:val="clear" w:color="auto" w:fill="FFFFFF"/>
        <w:spacing w:line="276" w:lineRule="auto"/>
        <w:ind w:firstLine="567"/>
        <w:jc w:val="both"/>
      </w:pPr>
      <w:r>
        <w:t>Atbilstoši būvniecības jomu regulējošām tiesību normām t</w:t>
      </w:r>
      <w:r w:rsidR="00484E53" w:rsidRPr="002A18AC">
        <w:t xml:space="preserve">rešās grupas ēkām tiek izvirzīti stingrāki noteikumi attiecībā uz būvdarbu organizēšanu, būvdarbu veikšanu, </w:t>
      </w:r>
      <w:r w:rsidR="00484E53" w:rsidRPr="002A18AC">
        <w:lastRenderedPageBreak/>
        <w:t>būvdarbu veikšanas dokumentāciju un kvalitātes kontroli, kā arī pieņemšanu ekspluatācijā un vēlāku būves ekspluatāciju</w:t>
      </w:r>
      <w:r w:rsidR="00484E53">
        <w:rPr>
          <w:rFonts w:asciiTheme="majorBidi" w:hAnsiTheme="majorBidi" w:cstheme="majorBidi"/>
        </w:rPr>
        <w:t xml:space="preserve">. </w:t>
      </w:r>
      <w:r w:rsidR="00F1069F">
        <w:t>Piemēram, b</w:t>
      </w:r>
      <w:r w:rsidR="00F1069F" w:rsidRPr="002A18AC">
        <w:t xml:space="preserve">ūvniecības procesā </w:t>
      </w:r>
      <w:r w:rsidR="00F1069F">
        <w:t xml:space="preserve">piemērojamo </w:t>
      </w:r>
      <w:r w:rsidR="00F1069F" w:rsidRPr="002A18AC">
        <w:t>Ministru kabineta 2014.gada 2.septembra noteikum</w:t>
      </w:r>
      <w:r w:rsidR="00F1069F">
        <w:t>u</w:t>
      </w:r>
      <w:r w:rsidR="00F1069F" w:rsidRPr="002A18AC">
        <w:t xml:space="preserve"> Nr. 529 „Ēku būvnoteikumi” 166.punkts nosaka prasības trešās grupas ēku nodošanai ekspluatācijā, proti, tādas prasības, k</w:t>
      </w:r>
      <w:r w:rsidR="00F1069F">
        <w:t>uras</w:t>
      </w:r>
      <w:r w:rsidR="00F1069F" w:rsidRPr="002A18AC">
        <w:t xml:space="preserve"> nav otrās grupas ēkām. Atbilstoši noteikumu 173.punktam šādu trešās grup</w:t>
      </w:r>
      <w:r w:rsidR="00F1069F">
        <w:t>a</w:t>
      </w:r>
      <w:r w:rsidR="00F1069F" w:rsidRPr="002A18AC">
        <w:t xml:space="preserve">s ēkām izvirzīto prasību izpilde ir priekšnoteikums ēkas nodošanai ekspluatācijā. Tāpat minēto noteikumu 176.punkts nosaka prasību nodrošināt minimālo būvdarbu garantijas termiņu otrās grupas ēkām trīs gadus, bet trešās grupas ēkām piecus gadus. </w:t>
      </w:r>
    </w:p>
    <w:p w14:paraId="4B6B9CA8" w14:textId="2FA3AA5E" w:rsidR="000840C9" w:rsidRPr="00206BCC" w:rsidRDefault="000840C9" w:rsidP="00B71A31">
      <w:pPr>
        <w:pStyle w:val="NormalWeb"/>
        <w:shd w:val="clear" w:color="auto" w:fill="FFFFFF"/>
        <w:spacing w:line="276" w:lineRule="auto"/>
        <w:ind w:firstLine="567"/>
        <w:jc w:val="both"/>
      </w:pPr>
      <w:r>
        <w:rPr>
          <w:rFonts w:asciiTheme="majorBidi" w:hAnsiTheme="majorBidi" w:cstheme="majorBidi"/>
        </w:rPr>
        <w:t>Atbilstoši Būvniecības likuma 6.</w:t>
      </w:r>
      <w:r w:rsidRPr="003B0490">
        <w:rPr>
          <w:rFonts w:asciiTheme="majorBidi" w:hAnsiTheme="majorBidi" w:cstheme="majorBidi"/>
          <w:vertAlign w:val="superscript"/>
        </w:rPr>
        <w:t>1</w:t>
      </w:r>
      <w:r>
        <w:rPr>
          <w:rFonts w:asciiTheme="majorBidi" w:hAnsiTheme="majorBidi" w:cstheme="majorBidi"/>
        </w:rPr>
        <w:t>pantam Būvniecības valsts kontroles biroja kompetencē ietilps</w:t>
      </w:r>
      <w:r w:rsidR="00E31C16">
        <w:rPr>
          <w:rFonts w:asciiTheme="majorBidi" w:hAnsiTheme="majorBidi" w:cstheme="majorBidi"/>
        </w:rPr>
        <w:t>t</w:t>
      </w:r>
      <w:r>
        <w:rPr>
          <w:rFonts w:asciiTheme="majorBidi" w:hAnsiTheme="majorBidi" w:cstheme="majorBidi"/>
        </w:rPr>
        <w:t xml:space="preserve"> būvju būvdarbu kontrole un pieņemšan</w:t>
      </w:r>
      <w:r w:rsidR="008F5852">
        <w:rPr>
          <w:rFonts w:asciiTheme="majorBidi" w:hAnsiTheme="majorBidi" w:cstheme="majorBidi"/>
        </w:rPr>
        <w:t>a</w:t>
      </w:r>
      <w:r>
        <w:rPr>
          <w:rFonts w:asciiTheme="majorBidi" w:hAnsiTheme="majorBidi" w:cstheme="majorBidi"/>
        </w:rPr>
        <w:t xml:space="preserve"> ekspluatācijā trešās grupas publi</w:t>
      </w:r>
      <w:r w:rsidR="005A7083">
        <w:rPr>
          <w:rFonts w:asciiTheme="majorBidi" w:hAnsiTheme="majorBidi" w:cstheme="majorBidi"/>
        </w:rPr>
        <w:t>s</w:t>
      </w:r>
      <w:r>
        <w:rPr>
          <w:rFonts w:asciiTheme="majorBidi" w:hAnsiTheme="majorBidi" w:cstheme="majorBidi"/>
        </w:rPr>
        <w:t>kām ēkām</w:t>
      </w:r>
      <w:r w:rsidR="00394644">
        <w:rPr>
          <w:rFonts w:asciiTheme="majorBidi" w:hAnsiTheme="majorBidi" w:cstheme="majorBidi"/>
        </w:rPr>
        <w:t>, nevis otrās grupas ēkām.</w:t>
      </w:r>
      <w:r w:rsidR="00E31C16">
        <w:rPr>
          <w:rFonts w:asciiTheme="majorBidi" w:hAnsiTheme="majorBidi" w:cstheme="majorBidi"/>
        </w:rPr>
        <w:t xml:space="preserve"> </w:t>
      </w:r>
      <w:r>
        <w:rPr>
          <w:rFonts w:asciiTheme="majorBidi" w:hAnsiTheme="majorBidi" w:cstheme="majorBidi"/>
        </w:rPr>
        <w:t xml:space="preserve">Līdz ar to nav saprotams tiesneša secinājums, ka </w:t>
      </w:r>
      <w:r w:rsidRPr="002A18AC">
        <w:t>pieteicēja var turpināt uzsākto būvniecību saskaņā ar tai izsniegto būvatļauju un to pabeigt atbilstoši uzsāktajam būvniecības procesa veidam</w:t>
      </w:r>
      <w:r>
        <w:t xml:space="preserve">. </w:t>
      </w:r>
      <w:r w:rsidR="00E31C16">
        <w:t>B</w:t>
      </w:r>
      <w:r>
        <w:t>irojs būvdarbu valsts kontroli var veikt tikai atbilstoši savai kompetencei</w:t>
      </w:r>
      <w:r w:rsidR="00B3290A">
        <w:t>.</w:t>
      </w:r>
    </w:p>
    <w:p w14:paraId="75CD4E85" w14:textId="2C2633D6" w:rsidR="00594490" w:rsidRPr="00FD430C" w:rsidRDefault="00484E53" w:rsidP="00B71A31">
      <w:pPr>
        <w:pStyle w:val="NormalWeb"/>
        <w:shd w:val="clear" w:color="auto" w:fill="FFFFFF"/>
        <w:spacing w:line="276" w:lineRule="auto"/>
        <w:ind w:firstLine="567"/>
        <w:jc w:val="both"/>
        <w:rPr>
          <w:rFonts w:asciiTheme="majorBidi" w:hAnsiTheme="majorBidi" w:cstheme="majorBidi"/>
          <w:bCs/>
        </w:rPr>
      </w:pPr>
      <w:r>
        <w:rPr>
          <w:rFonts w:asciiTheme="majorBidi" w:hAnsiTheme="majorBidi" w:cstheme="majorBidi"/>
        </w:rPr>
        <w:t>Prasības, kas</w:t>
      </w:r>
      <w:r w:rsidR="00B3185B">
        <w:rPr>
          <w:rFonts w:asciiTheme="majorBidi" w:hAnsiTheme="majorBidi" w:cstheme="majorBidi"/>
        </w:rPr>
        <w:t xml:space="preserve"> </w:t>
      </w:r>
      <w:r w:rsidRPr="002A18AC">
        <w:rPr>
          <w:rFonts w:asciiTheme="majorBidi" w:hAnsiTheme="majorBidi" w:cstheme="majorBidi"/>
        </w:rPr>
        <w:t>jāizpild</w:t>
      </w:r>
      <w:r>
        <w:rPr>
          <w:rFonts w:asciiTheme="majorBidi" w:hAnsiTheme="majorBidi" w:cstheme="majorBidi"/>
        </w:rPr>
        <w:t>a</w:t>
      </w:r>
      <w:r w:rsidRPr="002A18AC">
        <w:rPr>
          <w:rFonts w:asciiTheme="majorBidi" w:hAnsiTheme="majorBidi" w:cstheme="majorBidi"/>
        </w:rPr>
        <w:t xml:space="preserve"> trešās grupas ēk</w:t>
      </w:r>
      <w:r>
        <w:rPr>
          <w:rFonts w:asciiTheme="majorBidi" w:hAnsiTheme="majorBidi" w:cstheme="majorBidi"/>
        </w:rPr>
        <w:t>u</w:t>
      </w:r>
      <w:r w:rsidRPr="002A18AC">
        <w:rPr>
          <w:rFonts w:asciiTheme="majorBidi" w:hAnsiTheme="majorBidi" w:cstheme="majorBidi"/>
        </w:rPr>
        <w:t xml:space="preserve"> būvniecības procesā</w:t>
      </w:r>
      <w:r>
        <w:rPr>
          <w:rFonts w:asciiTheme="majorBidi" w:hAnsiTheme="majorBidi" w:cstheme="majorBidi"/>
        </w:rPr>
        <w:t xml:space="preserve">, </w:t>
      </w:r>
      <w:r w:rsidR="00B3185B">
        <w:rPr>
          <w:rFonts w:asciiTheme="majorBidi" w:hAnsiTheme="majorBidi" w:cstheme="majorBidi"/>
        </w:rPr>
        <w:t xml:space="preserve">ir </w:t>
      </w:r>
      <w:r w:rsidR="003B0490">
        <w:rPr>
          <w:rFonts w:asciiTheme="majorBidi" w:hAnsiTheme="majorBidi" w:cstheme="majorBidi"/>
        </w:rPr>
        <w:t xml:space="preserve">acīm redzami </w:t>
      </w:r>
      <w:r w:rsidR="00B3185B">
        <w:rPr>
          <w:rFonts w:asciiTheme="majorBidi" w:hAnsiTheme="majorBidi" w:cstheme="majorBidi"/>
        </w:rPr>
        <w:t>saistāma</w:t>
      </w:r>
      <w:r>
        <w:rPr>
          <w:rFonts w:asciiTheme="majorBidi" w:hAnsiTheme="majorBidi" w:cstheme="majorBidi"/>
        </w:rPr>
        <w:t>s</w:t>
      </w:r>
      <w:r w:rsidR="00B3185B">
        <w:rPr>
          <w:rFonts w:asciiTheme="majorBidi" w:hAnsiTheme="majorBidi" w:cstheme="majorBidi"/>
        </w:rPr>
        <w:t xml:space="preserve"> ar papildu resursiem</w:t>
      </w:r>
      <w:r w:rsidR="003B0490">
        <w:rPr>
          <w:rFonts w:asciiTheme="majorBidi" w:hAnsiTheme="majorBidi" w:cstheme="majorBidi"/>
        </w:rPr>
        <w:t>, kas pieteicējai jāiegulda</w:t>
      </w:r>
      <w:r w:rsidR="00B3185B">
        <w:rPr>
          <w:rFonts w:asciiTheme="majorBidi" w:hAnsiTheme="majorBidi" w:cstheme="majorBidi"/>
        </w:rPr>
        <w:t xml:space="preserve">. </w:t>
      </w:r>
      <w:r w:rsidR="002375CD">
        <w:rPr>
          <w:rFonts w:asciiTheme="majorBidi" w:hAnsiTheme="majorBidi" w:cstheme="majorBidi"/>
        </w:rPr>
        <w:t>Līdz ar to</w:t>
      </w:r>
      <w:r w:rsidR="003B0490">
        <w:rPr>
          <w:rFonts w:asciiTheme="majorBidi" w:hAnsiTheme="majorBidi" w:cstheme="majorBidi"/>
        </w:rPr>
        <w:t xml:space="preserve"> atzīstams, ka</w:t>
      </w:r>
      <w:r w:rsidR="00B3185B">
        <w:rPr>
          <w:rFonts w:asciiTheme="majorBidi" w:hAnsiTheme="majorBidi" w:cstheme="majorBidi"/>
        </w:rPr>
        <w:t xml:space="preserve"> </w:t>
      </w:r>
      <w:r>
        <w:rPr>
          <w:rFonts w:asciiTheme="majorBidi" w:hAnsiTheme="majorBidi" w:cstheme="majorBidi"/>
        </w:rPr>
        <w:t xml:space="preserve">šādas </w:t>
      </w:r>
      <w:r w:rsidR="00B3185B">
        <w:t xml:space="preserve">prasības pašas par sevi būtiski aizskar pieteicējas tiesības vai tiesiskās intereses tieši šajā būvniecības procesa posmā. </w:t>
      </w:r>
    </w:p>
    <w:p w14:paraId="509F6D30" w14:textId="2D0F8C78" w:rsidR="000840C9" w:rsidRPr="000840C9" w:rsidRDefault="002375CD" w:rsidP="00B71A31">
      <w:pPr>
        <w:pStyle w:val="NormalWeb"/>
        <w:shd w:val="clear" w:color="auto" w:fill="FFFFFF"/>
        <w:spacing w:line="276" w:lineRule="auto"/>
        <w:ind w:firstLine="567"/>
        <w:jc w:val="both"/>
        <w:rPr>
          <w:rFonts w:asciiTheme="majorBidi" w:hAnsiTheme="majorBidi" w:cstheme="majorBidi"/>
        </w:rPr>
      </w:pPr>
      <w:r>
        <w:rPr>
          <w:rFonts w:asciiTheme="majorBidi" w:hAnsiTheme="majorBidi" w:cstheme="majorBidi"/>
        </w:rPr>
        <w:t xml:space="preserve">Šādos apstākļos iestādes lēmuma pamatotības pārbaude </w:t>
      </w:r>
      <w:r w:rsidRPr="002A18AC">
        <w:rPr>
          <w:rFonts w:asciiTheme="majorBidi" w:hAnsiTheme="majorBidi" w:cstheme="majorBidi"/>
        </w:rPr>
        <w:t>nav atliekama uz to būvniecības procesa posmu, kad būve tiks pieņemta ekspluatācijā</w:t>
      </w:r>
      <w:r>
        <w:rPr>
          <w:rFonts w:asciiTheme="majorBidi" w:hAnsiTheme="majorBidi" w:cstheme="majorBidi"/>
        </w:rPr>
        <w:t>,</w:t>
      </w:r>
      <w:r w:rsidR="000840C9">
        <w:rPr>
          <w:rFonts w:asciiTheme="majorBidi" w:hAnsiTheme="majorBidi" w:cstheme="majorBidi"/>
        </w:rPr>
        <w:t xml:space="preserve"> jo p</w:t>
      </w:r>
      <w:r>
        <w:rPr>
          <w:rFonts w:asciiTheme="majorBidi" w:hAnsiTheme="majorBidi" w:cstheme="majorBidi"/>
        </w:rPr>
        <w:t>ieteicējai ir jānodrošina iespēja lai</w:t>
      </w:r>
      <w:r w:rsidR="005A7083">
        <w:rPr>
          <w:rFonts w:asciiTheme="majorBidi" w:hAnsiTheme="majorBidi" w:cstheme="majorBidi"/>
        </w:rPr>
        <w:t>kus</w:t>
      </w:r>
      <w:r>
        <w:rPr>
          <w:rFonts w:asciiTheme="majorBidi" w:hAnsiTheme="majorBidi" w:cstheme="majorBidi"/>
        </w:rPr>
        <w:t xml:space="preserve"> aizstāvēt savas tiesiskās intereses, </w:t>
      </w:r>
      <w:r w:rsidR="005A7083">
        <w:rPr>
          <w:rFonts w:asciiTheme="majorBidi" w:hAnsiTheme="majorBidi" w:cstheme="majorBidi"/>
        </w:rPr>
        <w:t>uz kuru aizskārumu pieteicēja norāda</w:t>
      </w:r>
      <w:r>
        <w:rPr>
          <w:rFonts w:asciiTheme="majorBidi" w:hAnsiTheme="majorBidi" w:cstheme="majorBidi"/>
        </w:rPr>
        <w:t>.</w:t>
      </w:r>
      <w:r w:rsidR="000840C9">
        <w:rPr>
          <w:rFonts w:asciiTheme="majorBidi" w:hAnsiTheme="majorBidi" w:cstheme="majorBidi"/>
        </w:rPr>
        <w:t xml:space="preserve"> </w:t>
      </w:r>
      <w:r w:rsidR="00394644">
        <w:rPr>
          <w:rFonts w:asciiTheme="majorBidi" w:hAnsiTheme="majorBidi" w:cstheme="majorBidi"/>
        </w:rPr>
        <w:t xml:space="preserve">Tostarp </w:t>
      </w:r>
      <w:r w:rsidR="000840C9">
        <w:rPr>
          <w:rFonts w:asciiTheme="majorBidi" w:hAnsiTheme="majorBidi" w:cstheme="majorBidi"/>
        </w:rPr>
        <w:t>šajā būvniecības procesa posmā jāpārbauda,</w:t>
      </w:r>
      <w:r w:rsidR="000840C9">
        <w:rPr>
          <w:rFonts w:asciiTheme="majorBidi" w:hAnsiTheme="majorBidi" w:cstheme="majorBidi"/>
          <w:bCs/>
        </w:rPr>
        <w:t xml:space="preserve"> </w:t>
      </w:r>
      <w:r w:rsidR="000840C9">
        <w:rPr>
          <w:rFonts w:asciiTheme="majorBidi" w:hAnsiTheme="majorBidi" w:cstheme="majorBidi"/>
        </w:rPr>
        <w:t xml:space="preserve">vai iestādes ir ievērojušas </w:t>
      </w:r>
      <w:r w:rsidR="005A7083">
        <w:rPr>
          <w:rFonts w:asciiTheme="majorBidi" w:hAnsiTheme="majorBidi" w:cstheme="majorBidi"/>
        </w:rPr>
        <w:t>tiesiskās noteiktības principu, kas attiecībā uz šo situāciju konkretizēts</w:t>
      </w:r>
      <w:r w:rsidR="005A7083" w:rsidRPr="002A18AC">
        <w:rPr>
          <w:rFonts w:asciiTheme="majorBidi" w:hAnsiTheme="majorBidi" w:cstheme="majorBidi"/>
        </w:rPr>
        <w:t xml:space="preserve"> Vispārīgo būvnoteikumu </w:t>
      </w:r>
      <w:r w:rsidR="000840C9" w:rsidRPr="002A18AC">
        <w:rPr>
          <w:rFonts w:asciiTheme="majorBidi" w:hAnsiTheme="majorBidi" w:cstheme="majorBidi"/>
        </w:rPr>
        <w:t>178.punkt</w:t>
      </w:r>
      <w:r w:rsidR="000840C9">
        <w:rPr>
          <w:rFonts w:asciiTheme="majorBidi" w:hAnsiTheme="majorBidi" w:cstheme="majorBidi"/>
        </w:rPr>
        <w:t>ā.</w:t>
      </w:r>
    </w:p>
    <w:p w14:paraId="2B5FFDAB" w14:textId="1C934092" w:rsidR="002375CD" w:rsidRDefault="002375CD" w:rsidP="00B71A31">
      <w:pPr>
        <w:pStyle w:val="NormalWeb"/>
        <w:shd w:val="clear" w:color="auto" w:fill="FFFFFF"/>
        <w:spacing w:line="276" w:lineRule="auto"/>
        <w:ind w:firstLine="567"/>
        <w:jc w:val="both"/>
      </w:pPr>
    </w:p>
    <w:p w14:paraId="34220A4D" w14:textId="1F8F52AD" w:rsidR="00F12997" w:rsidRDefault="00601A24" w:rsidP="00B71A31">
      <w:pPr>
        <w:pStyle w:val="NormalWeb"/>
        <w:shd w:val="clear" w:color="auto" w:fill="FFFFFF"/>
        <w:spacing w:line="276" w:lineRule="auto"/>
        <w:ind w:firstLine="567"/>
        <w:jc w:val="both"/>
      </w:pPr>
      <w:r>
        <w:rPr>
          <w:rFonts w:asciiTheme="majorBidi" w:hAnsiTheme="majorBidi" w:cstheme="majorBidi"/>
        </w:rPr>
        <w:t>[</w:t>
      </w:r>
      <w:r w:rsidR="00FD430C">
        <w:rPr>
          <w:rFonts w:asciiTheme="majorBidi" w:hAnsiTheme="majorBidi" w:cstheme="majorBidi"/>
        </w:rPr>
        <w:t>8</w:t>
      </w:r>
      <w:r>
        <w:rPr>
          <w:rFonts w:asciiTheme="majorBidi" w:hAnsiTheme="majorBidi" w:cstheme="majorBidi"/>
        </w:rPr>
        <w:t>] </w:t>
      </w:r>
      <w:r w:rsidR="00F43B5F">
        <w:rPr>
          <w:rFonts w:asciiTheme="majorBidi" w:hAnsiTheme="majorBidi" w:cstheme="majorBidi"/>
        </w:rPr>
        <w:t>Ievērojot minēto</w:t>
      </w:r>
      <w:r w:rsidR="003C1DDE">
        <w:rPr>
          <w:rFonts w:asciiTheme="majorBidi" w:hAnsiTheme="majorBidi" w:cstheme="majorBidi"/>
        </w:rPr>
        <w:t>, konkrētajā</w:t>
      </w:r>
      <w:r w:rsidR="00A05B94" w:rsidRPr="002A18AC">
        <w:rPr>
          <w:rFonts w:asciiTheme="majorBidi" w:hAnsiTheme="majorBidi" w:cstheme="majorBidi"/>
        </w:rPr>
        <w:t xml:space="preserve"> gadījumā </w:t>
      </w:r>
      <w:r w:rsidR="007753A5">
        <w:rPr>
          <w:rFonts w:asciiTheme="majorBidi" w:hAnsiTheme="majorBidi" w:cstheme="majorBidi"/>
        </w:rPr>
        <w:t xml:space="preserve">rajona tiesas </w:t>
      </w:r>
      <w:r w:rsidR="00A05B94" w:rsidRPr="002A18AC">
        <w:rPr>
          <w:rFonts w:asciiTheme="majorBidi" w:hAnsiTheme="majorBidi" w:cstheme="majorBidi"/>
        </w:rPr>
        <w:t xml:space="preserve">tiesnesis nav pilnīgi izvērtējis pieteicējai ar pārsūdzēto lēmumu radītās tiesiskās sekas un pārsteidzīgi secinājis, </w:t>
      </w:r>
      <w:r w:rsidR="00A05B94" w:rsidRPr="002A18AC">
        <w:rPr>
          <w:rFonts w:asciiTheme="majorBidi" w:hAnsiTheme="majorBidi" w:cstheme="majorBidi"/>
        </w:rPr>
        <w:lastRenderedPageBreak/>
        <w:t xml:space="preserve">ka tas </w:t>
      </w:r>
      <w:r w:rsidR="001D27C3" w:rsidRPr="002A18AC">
        <w:rPr>
          <w:rFonts w:asciiTheme="majorBidi" w:hAnsiTheme="majorBidi" w:cstheme="majorBidi"/>
        </w:rPr>
        <w:t xml:space="preserve">būtiski </w:t>
      </w:r>
      <w:r w:rsidR="00A05B94" w:rsidRPr="002A18AC">
        <w:rPr>
          <w:rFonts w:asciiTheme="majorBidi" w:hAnsiTheme="majorBidi" w:cstheme="majorBidi"/>
        </w:rPr>
        <w:t>neskar pieteicējas tiesības un tiesiskās intereses.</w:t>
      </w:r>
      <w:r w:rsidR="00F12997" w:rsidRPr="002A18AC">
        <w:rPr>
          <w:rFonts w:asciiTheme="majorBidi" w:hAnsiTheme="majorBidi" w:cstheme="majorBidi"/>
        </w:rPr>
        <w:t xml:space="preserve"> </w:t>
      </w:r>
      <w:r w:rsidR="00F12997" w:rsidRPr="002A18AC">
        <w:t>Tādējādi tiesnesis ir kļūdījies konkrētā lēmuma pārsūdzības kārtības novērtējumā.</w:t>
      </w:r>
      <w:r w:rsidR="00D44CB6" w:rsidRPr="002A18AC">
        <w:t xml:space="preserve"> Tādēļ pārsūdzētais lēmums ir atceļams un lieta nosūtāma rajona tiesai jaunai izskatīšanai.</w:t>
      </w:r>
    </w:p>
    <w:p w14:paraId="586369B9" w14:textId="78DBC4DB" w:rsidR="001E71C3" w:rsidRDefault="001E71C3" w:rsidP="00B71A31">
      <w:pPr>
        <w:pStyle w:val="NormalWeb"/>
        <w:shd w:val="clear" w:color="auto" w:fill="FFFFFF"/>
        <w:spacing w:line="276" w:lineRule="auto"/>
        <w:ind w:firstLine="567"/>
        <w:jc w:val="both"/>
      </w:pPr>
    </w:p>
    <w:p w14:paraId="221BFFEB" w14:textId="2735A5AD" w:rsidR="001E71C3" w:rsidRDefault="001E71C3" w:rsidP="00B71A31">
      <w:pPr>
        <w:pStyle w:val="NormalWeb"/>
        <w:shd w:val="clear" w:color="auto" w:fill="FFFFFF"/>
        <w:spacing w:line="276" w:lineRule="auto"/>
        <w:ind w:firstLine="567"/>
        <w:jc w:val="both"/>
      </w:pPr>
    </w:p>
    <w:p w14:paraId="5021A661" w14:textId="77777777" w:rsidR="001E71C3" w:rsidRPr="002A18AC" w:rsidRDefault="001E71C3" w:rsidP="00B71A31">
      <w:pPr>
        <w:pStyle w:val="NormalWeb"/>
        <w:shd w:val="clear" w:color="auto" w:fill="FFFFFF"/>
        <w:spacing w:line="276" w:lineRule="auto"/>
        <w:ind w:firstLine="567"/>
        <w:jc w:val="both"/>
        <w:rPr>
          <w:rFonts w:asciiTheme="majorBidi" w:hAnsiTheme="majorBidi" w:cstheme="majorBidi"/>
        </w:rPr>
      </w:pPr>
    </w:p>
    <w:p w14:paraId="7EA73636" w14:textId="77777777" w:rsidR="002A18AC" w:rsidRPr="002A18AC" w:rsidRDefault="002A18AC" w:rsidP="00B71A31">
      <w:pPr>
        <w:pStyle w:val="NormalWeb"/>
        <w:shd w:val="clear" w:color="auto" w:fill="FFFFFF"/>
        <w:tabs>
          <w:tab w:val="left" w:pos="567"/>
        </w:tabs>
        <w:spacing w:line="276" w:lineRule="auto"/>
        <w:ind w:firstLine="567"/>
        <w:jc w:val="both"/>
      </w:pPr>
    </w:p>
    <w:p w14:paraId="1E41C857" w14:textId="77777777" w:rsidR="005575AF" w:rsidRPr="002A18AC" w:rsidRDefault="00F04A13" w:rsidP="00B71A31">
      <w:pPr>
        <w:pStyle w:val="NormalWeb"/>
        <w:shd w:val="clear" w:color="auto" w:fill="FFFFFF"/>
        <w:tabs>
          <w:tab w:val="left" w:pos="567"/>
        </w:tabs>
        <w:spacing w:line="276" w:lineRule="auto"/>
        <w:contextualSpacing/>
        <w:jc w:val="center"/>
        <w:rPr>
          <w:b/>
        </w:rPr>
      </w:pPr>
      <w:r w:rsidRPr="002A18AC">
        <w:rPr>
          <w:b/>
        </w:rPr>
        <w:t>Rezolutīvā daļa</w:t>
      </w:r>
    </w:p>
    <w:p w14:paraId="5066A10F" w14:textId="77777777" w:rsidR="005575AF" w:rsidRPr="002A18AC" w:rsidRDefault="005575AF" w:rsidP="00B71A31">
      <w:pPr>
        <w:pStyle w:val="NormalWeb"/>
        <w:shd w:val="clear" w:color="auto" w:fill="FFFFFF"/>
        <w:tabs>
          <w:tab w:val="left" w:pos="567"/>
        </w:tabs>
        <w:spacing w:line="276" w:lineRule="auto"/>
        <w:ind w:firstLine="567"/>
        <w:contextualSpacing/>
        <w:jc w:val="center"/>
        <w:rPr>
          <w:b/>
        </w:rPr>
      </w:pPr>
    </w:p>
    <w:p w14:paraId="15CF2718" w14:textId="3F9164AB" w:rsidR="005575AF" w:rsidRPr="002A18AC" w:rsidRDefault="00F04A13" w:rsidP="00B71A31">
      <w:pPr>
        <w:pStyle w:val="NormalWeb"/>
        <w:shd w:val="clear" w:color="auto" w:fill="FFFFFF"/>
        <w:tabs>
          <w:tab w:val="left" w:pos="567"/>
        </w:tabs>
        <w:spacing w:line="276" w:lineRule="auto"/>
        <w:ind w:firstLine="567"/>
        <w:contextualSpacing/>
        <w:jc w:val="both"/>
      </w:pPr>
      <w:r w:rsidRPr="002A18AC">
        <w:t xml:space="preserve">Pamatojoties uz Administratīvā procesa likuma </w:t>
      </w:r>
      <w:r w:rsidR="00160162" w:rsidRPr="002A18AC">
        <w:t>129.</w:t>
      </w:r>
      <w:r w:rsidR="00160162" w:rsidRPr="002A18AC">
        <w:rPr>
          <w:vertAlign w:val="superscript"/>
        </w:rPr>
        <w:t>1</w:t>
      </w:r>
      <w:r w:rsidR="00160162" w:rsidRPr="002A18AC">
        <w:t xml:space="preserve">panta pirmās daļas 1.punktu </w:t>
      </w:r>
      <w:r w:rsidRPr="002A18AC">
        <w:t xml:space="preserve">323.panta pirmās daļas </w:t>
      </w:r>
      <w:r w:rsidR="00160162" w:rsidRPr="002A18AC">
        <w:t>2</w:t>
      </w:r>
      <w:r w:rsidRPr="002A18AC">
        <w:t xml:space="preserve">.punktu un 324.panta pirmo daļu, Senāts </w:t>
      </w:r>
    </w:p>
    <w:p w14:paraId="2B2F46AF" w14:textId="2FD4DE07" w:rsidR="005575AF" w:rsidRPr="002A18AC" w:rsidRDefault="005575AF" w:rsidP="00B71A31">
      <w:pPr>
        <w:pStyle w:val="NormalWeb"/>
        <w:shd w:val="clear" w:color="auto" w:fill="FFFFFF"/>
        <w:tabs>
          <w:tab w:val="left" w:pos="567"/>
        </w:tabs>
        <w:spacing w:line="276" w:lineRule="auto"/>
        <w:ind w:firstLine="567"/>
        <w:contextualSpacing/>
        <w:jc w:val="both"/>
      </w:pPr>
    </w:p>
    <w:p w14:paraId="611F74F6" w14:textId="51773CA9" w:rsidR="00F04A13" w:rsidRPr="002A18AC" w:rsidRDefault="008F33BD" w:rsidP="00B71A31">
      <w:pPr>
        <w:pStyle w:val="NormalWeb"/>
        <w:shd w:val="clear" w:color="auto" w:fill="FFFFFF"/>
        <w:tabs>
          <w:tab w:val="left" w:pos="567"/>
        </w:tabs>
        <w:spacing w:line="276" w:lineRule="auto"/>
        <w:contextualSpacing/>
        <w:jc w:val="center"/>
        <w:rPr>
          <w:b/>
        </w:rPr>
      </w:pPr>
      <w:r w:rsidRPr="002A18AC">
        <w:rPr>
          <w:b/>
        </w:rPr>
        <w:t>n</w:t>
      </w:r>
      <w:r w:rsidR="00F04A13" w:rsidRPr="002A18AC">
        <w:rPr>
          <w:b/>
        </w:rPr>
        <w:t>olēma</w:t>
      </w:r>
    </w:p>
    <w:p w14:paraId="31FADF0B" w14:textId="77777777" w:rsidR="008F33BD" w:rsidRPr="002A18AC" w:rsidRDefault="008F33BD" w:rsidP="00B71A31">
      <w:pPr>
        <w:pStyle w:val="NormalWeb"/>
        <w:shd w:val="clear" w:color="auto" w:fill="FFFFFF"/>
        <w:tabs>
          <w:tab w:val="left" w:pos="567"/>
        </w:tabs>
        <w:spacing w:line="276" w:lineRule="auto"/>
        <w:ind w:firstLine="567"/>
        <w:jc w:val="center"/>
      </w:pPr>
    </w:p>
    <w:p w14:paraId="52CA5EDC" w14:textId="557A83C9" w:rsidR="008F33BD" w:rsidRPr="002A18AC" w:rsidRDefault="008F33BD" w:rsidP="00B71A31">
      <w:pPr>
        <w:spacing w:after="0"/>
        <w:ind w:firstLine="567"/>
      </w:pPr>
      <w:r w:rsidRPr="002A18AC">
        <w:t>atcelt Administratīvās rajona tiesas tiesneša 2022.gada 18.janvāra lēmumu un nosūtīt lietu jaunai izskatīšanai Administratīvajai rajona tiesai</w:t>
      </w:r>
      <w:r w:rsidR="005A7083">
        <w:t>;</w:t>
      </w:r>
    </w:p>
    <w:p w14:paraId="38A609AB" w14:textId="26D8243A" w:rsidR="008F33BD" w:rsidRPr="002A18AC" w:rsidRDefault="005A7083" w:rsidP="00B71A31">
      <w:pPr>
        <w:spacing w:after="0"/>
        <w:ind w:firstLine="567"/>
      </w:pPr>
      <w:r>
        <w:t>a</w:t>
      </w:r>
      <w:r w:rsidR="008F33BD" w:rsidRPr="002A18AC">
        <w:t xml:space="preserve">tmaksāt </w:t>
      </w:r>
      <w:r w:rsidR="008F33BD" w:rsidRPr="002A18AC">
        <w:rPr>
          <w:szCs w:val="24"/>
        </w:rPr>
        <w:t xml:space="preserve">SIA ,,N.R.Green” </w:t>
      </w:r>
      <w:r w:rsidR="008F33BD" w:rsidRPr="002A18AC">
        <w:t>drošības naudu 15</w:t>
      </w:r>
      <w:r w:rsidR="00EB225B">
        <w:t> </w:t>
      </w:r>
      <w:r w:rsidR="008F33BD" w:rsidRPr="002A18AC">
        <w:rPr>
          <w:i/>
          <w:iCs/>
        </w:rPr>
        <w:t>euro</w:t>
      </w:r>
      <w:r w:rsidR="008F33BD" w:rsidRPr="002A18AC">
        <w:t>.</w:t>
      </w:r>
    </w:p>
    <w:p w14:paraId="54CDC69A" w14:textId="77777777" w:rsidR="008F33BD" w:rsidRPr="002A18AC" w:rsidRDefault="008F33BD" w:rsidP="00B71A31">
      <w:pPr>
        <w:spacing w:after="0"/>
        <w:ind w:firstLine="567"/>
      </w:pPr>
      <w:r w:rsidRPr="002A18AC">
        <w:t>Lēmums nav pārsūdzams.</w:t>
      </w:r>
    </w:p>
    <w:p w14:paraId="33D7F147" w14:textId="2B57283C" w:rsidR="00D94E0F" w:rsidRDefault="00D94E0F" w:rsidP="00AB74F0">
      <w:pPr>
        <w:tabs>
          <w:tab w:val="left" w:pos="3402"/>
          <w:tab w:val="left" w:pos="7200"/>
          <w:tab w:val="left" w:pos="7560"/>
        </w:tabs>
        <w:spacing w:after="0"/>
        <w:ind w:firstLine="567"/>
      </w:pPr>
    </w:p>
    <w:p w14:paraId="27E66F96" w14:textId="77777777" w:rsidR="00163BD2" w:rsidRPr="002A18AC" w:rsidRDefault="00163BD2" w:rsidP="00AB74F0">
      <w:pPr>
        <w:tabs>
          <w:tab w:val="left" w:pos="3402"/>
          <w:tab w:val="left" w:pos="7200"/>
          <w:tab w:val="left" w:pos="7560"/>
        </w:tabs>
        <w:spacing w:after="0"/>
        <w:ind w:firstLine="567"/>
      </w:pPr>
    </w:p>
    <w:p w14:paraId="008B9FA9" w14:textId="77777777" w:rsidR="008F33BD" w:rsidRPr="002A18AC" w:rsidRDefault="008F33BD" w:rsidP="00AB74F0">
      <w:pPr>
        <w:tabs>
          <w:tab w:val="left" w:pos="3402"/>
          <w:tab w:val="left" w:pos="7200"/>
          <w:tab w:val="left" w:pos="7560"/>
        </w:tabs>
        <w:spacing w:after="0"/>
        <w:ind w:firstLine="567"/>
      </w:pPr>
    </w:p>
    <w:p w14:paraId="7868318A" w14:textId="77777777" w:rsidR="00EC140F" w:rsidRPr="002A18AC" w:rsidRDefault="00EC140F" w:rsidP="00B656A9">
      <w:pPr>
        <w:spacing w:after="0"/>
        <w:contextualSpacing/>
      </w:pPr>
    </w:p>
    <w:sectPr w:rsidR="00EC140F" w:rsidRPr="002A18AC" w:rsidSect="00437DCC">
      <w:footerReference w:type="default" r:id="rId9"/>
      <w:pgSz w:w="11906" w:h="16838"/>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D9176" w14:textId="77777777" w:rsidR="00C13418" w:rsidRDefault="00C13418" w:rsidP="00AA550B">
      <w:pPr>
        <w:spacing w:after="0" w:line="240" w:lineRule="auto"/>
      </w:pPr>
      <w:r>
        <w:separator/>
      </w:r>
    </w:p>
  </w:endnote>
  <w:endnote w:type="continuationSeparator" w:id="0">
    <w:p w14:paraId="5A5E20B9" w14:textId="77777777" w:rsidR="00C13418" w:rsidRDefault="00C13418" w:rsidP="00A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5771"/>
      <w:docPartObj>
        <w:docPartGallery w:val="Page Numbers (Bottom of Page)"/>
        <w:docPartUnique/>
      </w:docPartObj>
    </w:sdtPr>
    <w:sdtEndPr/>
    <w:sdtContent>
      <w:sdt>
        <w:sdtPr>
          <w:id w:val="-1669238322"/>
          <w:docPartObj>
            <w:docPartGallery w:val="Page Numbers (Top of Page)"/>
            <w:docPartUnique/>
          </w:docPartObj>
        </w:sdtPr>
        <w:sdtEndPr/>
        <w:sdtContent>
          <w:p w14:paraId="24A80C9D" w14:textId="47D711BD" w:rsidR="006B0593" w:rsidRDefault="006B0593" w:rsidP="00D94E0F">
            <w:pPr>
              <w:pStyle w:val="Footer"/>
              <w:jc w:val="center"/>
            </w:pPr>
            <w:r w:rsidRPr="00AA550B">
              <w:rPr>
                <w:bCs/>
                <w:szCs w:val="24"/>
              </w:rPr>
              <w:fldChar w:fldCharType="begin"/>
            </w:r>
            <w:r w:rsidRPr="00AA550B">
              <w:rPr>
                <w:bCs/>
              </w:rPr>
              <w:instrText xml:space="preserve"> PAGE </w:instrText>
            </w:r>
            <w:r w:rsidRPr="00AA550B">
              <w:rPr>
                <w:bCs/>
                <w:szCs w:val="24"/>
              </w:rPr>
              <w:fldChar w:fldCharType="separate"/>
            </w:r>
            <w:r w:rsidR="00E563A7">
              <w:rPr>
                <w:bCs/>
                <w:noProof/>
              </w:rPr>
              <w:t>2</w:t>
            </w:r>
            <w:r w:rsidRPr="00AA550B">
              <w:rPr>
                <w:bCs/>
                <w:szCs w:val="24"/>
              </w:rPr>
              <w:fldChar w:fldCharType="end"/>
            </w:r>
            <w:r w:rsidR="00F73C4F">
              <w:rPr>
                <w:bCs/>
                <w:szCs w:val="24"/>
              </w:rPr>
              <w:t xml:space="preserve"> </w:t>
            </w:r>
            <w:r w:rsidRPr="00AA550B">
              <w:rPr>
                <w:bCs/>
                <w:szCs w:val="24"/>
              </w:rPr>
              <w:t xml:space="preserve">no </w:t>
            </w:r>
            <w:r w:rsidRPr="00AA550B">
              <w:rPr>
                <w:bCs/>
                <w:szCs w:val="24"/>
              </w:rPr>
              <w:fldChar w:fldCharType="begin"/>
            </w:r>
            <w:r w:rsidRPr="00AA550B">
              <w:rPr>
                <w:bCs/>
              </w:rPr>
              <w:instrText xml:space="preserve"> NUMPAGES  </w:instrText>
            </w:r>
            <w:r w:rsidRPr="00AA550B">
              <w:rPr>
                <w:bCs/>
                <w:szCs w:val="24"/>
              </w:rPr>
              <w:fldChar w:fldCharType="separate"/>
            </w:r>
            <w:r w:rsidR="00E563A7">
              <w:rPr>
                <w:bCs/>
                <w:noProof/>
              </w:rPr>
              <w:t>4</w:t>
            </w:r>
            <w:r w:rsidRPr="00AA550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34DEE" w14:textId="77777777" w:rsidR="00C13418" w:rsidRDefault="00C13418" w:rsidP="00AA550B">
      <w:pPr>
        <w:spacing w:after="0" w:line="240" w:lineRule="auto"/>
      </w:pPr>
      <w:r>
        <w:separator/>
      </w:r>
    </w:p>
  </w:footnote>
  <w:footnote w:type="continuationSeparator" w:id="0">
    <w:p w14:paraId="3EB84624" w14:textId="77777777" w:rsidR="00C13418" w:rsidRDefault="00C13418" w:rsidP="00AA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22C9062"/>
    <w:lvl w:ilvl="0">
      <w:start w:val="1"/>
      <w:numFmt w:val="decimal"/>
      <w:pStyle w:val="Style1"/>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pStyle w:val="Style2"/>
      <w:lvlText w:val="[%1.%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A"/>
    <w:rsid w:val="000002F9"/>
    <w:rsid w:val="000049EB"/>
    <w:rsid w:val="00016F54"/>
    <w:rsid w:val="00021EAA"/>
    <w:rsid w:val="00026575"/>
    <w:rsid w:val="00030B60"/>
    <w:rsid w:val="00037748"/>
    <w:rsid w:val="0004384C"/>
    <w:rsid w:val="00064952"/>
    <w:rsid w:val="00065417"/>
    <w:rsid w:val="00065FA7"/>
    <w:rsid w:val="000840C9"/>
    <w:rsid w:val="00086438"/>
    <w:rsid w:val="00091881"/>
    <w:rsid w:val="00092A0C"/>
    <w:rsid w:val="000A0791"/>
    <w:rsid w:val="000B170D"/>
    <w:rsid w:val="000B74BF"/>
    <w:rsid w:val="000C0924"/>
    <w:rsid w:val="000C33B2"/>
    <w:rsid w:val="000D4F9B"/>
    <w:rsid w:val="000D6615"/>
    <w:rsid w:val="000E1E65"/>
    <w:rsid w:val="000E4413"/>
    <w:rsid w:val="000F7884"/>
    <w:rsid w:val="00106D9C"/>
    <w:rsid w:val="001176FF"/>
    <w:rsid w:val="00121408"/>
    <w:rsid w:val="00126ED2"/>
    <w:rsid w:val="0015734C"/>
    <w:rsid w:val="00160162"/>
    <w:rsid w:val="00163663"/>
    <w:rsid w:val="00163BD2"/>
    <w:rsid w:val="00163CA2"/>
    <w:rsid w:val="00165BDF"/>
    <w:rsid w:val="0016682B"/>
    <w:rsid w:val="00180193"/>
    <w:rsid w:val="0018268F"/>
    <w:rsid w:val="00192170"/>
    <w:rsid w:val="001B20E2"/>
    <w:rsid w:val="001B6E41"/>
    <w:rsid w:val="001C6D16"/>
    <w:rsid w:val="001D003E"/>
    <w:rsid w:val="001D27C3"/>
    <w:rsid w:val="001D3477"/>
    <w:rsid w:val="001D6C7D"/>
    <w:rsid w:val="001E5DAB"/>
    <w:rsid w:val="001E5F8D"/>
    <w:rsid w:val="001E65E0"/>
    <w:rsid w:val="001E71C3"/>
    <w:rsid w:val="00206BCC"/>
    <w:rsid w:val="00210AF0"/>
    <w:rsid w:val="00210C14"/>
    <w:rsid w:val="00226925"/>
    <w:rsid w:val="00227C1A"/>
    <w:rsid w:val="0023196C"/>
    <w:rsid w:val="002375CD"/>
    <w:rsid w:val="00245B3B"/>
    <w:rsid w:val="00250EF8"/>
    <w:rsid w:val="002514B2"/>
    <w:rsid w:val="0027029B"/>
    <w:rsid w:val="002708BC"/>
    <w:rsid w:val="00271391"/>
    <w:rsid w:val="00272C91"/>
    <w:rsid w:val="002879BA"/>
    <w:rsid w:val="002A00B6"/>
    <w:rsid w:val="002A18AC"/>
    <w:rsid w:val="002A6AE0"/>
    <w:rsid w:val="002B1C01"/>
    <w:rsid w:val="002B5BC0"/>
    <w:rsid w:val="002C1C9D"/>
    <w:rsid w:val="002C53D4"/>
    <w:rsid w:val="002D4EC1"/>
    <w:rsid w:val="002E22D8"/>
    <w:rsid w:val="002F0BFA"/>
    <w:rsid w:val="002F44D7"/>
    <w:rsid w:val="00300594"/>
    <w:rsid w:val="00313FEB"/>
    <w:rsid w:val="00323258"/>
    <w:rsid w:val="0032457A"/>
    <w:rsid w:val="00326BF4"/>
    <w:rsid w:val="00335C2C"/>
    <w:rsid w:val="00336DE5"/>
    <w:rsid w:val="00354C80"/>
    <w:rsid w:val="003761D5"/>
    <w:rsid w:val="003879BF"/>
    <w:rsid w:val="00390E1A"/>
    <w:rsid w:val="00394644"/>
    <w:rsid w:val="003A1D6F"/>
    <w:rsid w:val="003A5E60"/>
    <w:rsid w:val="003A707D"/>
    <w:rsid w:val="003B0490"/>
    <w:rsid w:val="003B0F02"/>
    <w:rsid w:val="003C0900"/>
    <w:rsid w:val="003C1DDE"/>
    <w:rsid w:val="003C73ED"/>
    <w:rsid w:val="003D1654"/>
    <w:rsid w:val="003E3300"/>
    <w:rsid w:val="003F3BFB"/>
    <w:rsid w:val="003F6C52"/>
    <w:rsid w:val="004111E4"/>
    <w:rsid w:val="004302D4"/>
    <w:rsid w:val="00434782"/>
    <w:rsid w:val="00437DCC"/>
    <w:rsid w:val="00453828"/>
    <w:rsid w:val="00467781"/>
    <w:rsid w:val="0047257D"/>
    <w:rsid w:val="004762D9"/>
    <w:rsid w:val="00484E53"/>
    <w:rsid w:val="004919A8"/>
    <w:rsid w:val="004A34F3"/>
    <w:rsid w:val="004B2EA7"/>
    <w:rsid w:val="004C4863"/>
    <w:rsid w:val="004C68E9"/>
    <w:rsid w:val="004D08BA"/>
    <w:rsid w:val="00543DF3"/>
    <w:rsid w:val="00556C7C"/>
    <w:rsid w:val="005575AF"/>
    <w:rsid w:val="00560C88"/>
    <w:rsid w:val="00562376"/>
    <w:rsid w:val="00570F42"/>
    <w:rsid w:val="005745CA"/>
    <w:rsid w:val="00586E6A"/>
    <w:rsid w:val="00594490"/>
    <w:rsid w:val="005A5BEE"/>
    <w:rsid w:val="005A7083"/>
    <w:rsid w:val="005B4F54"/>
    <w:rsid w:val="005B690E"/>
    <w:rsid w:val="005C4FE7"/>
    <w:rsid w:val="005C589C"/>
    <w:rsid w:val="005C7BDF"/>
    <w:rsid w:val="005E30FB"/>
    <w:rsid w:val="005F2561"/>
    <w:rsid w:val="00601A24"/>
    <w:rsid w:val="00602172"/>
    <w:rsid w:val="006122C7"/>
    <w:rsid w:val="0061469F"/>
    <w:rsid w:val="00625BC5"/>
    <w:rsid w:val="006275CE"/>
    <w:rsid w:val="00634FF2"/>
    <w:rsid w:val="00642133"/>
    <w:rsid w:val="006621F5"/>
    <w:rsid w:val="006A4E51"/>
    <w:rsid w:val="006B0593"/>
    <w:rsid w:val="006B1FC9"/>
    <w:rsid w:val="006B3EA2"/>
    <w:rsid w:val="006B636F"/>
    <w:rsid w:val="006C5F4D"/>
    <w:rsid w:val="006D0DC9"/>
    <w:rsid w:val="006E24C1"/>
    <w:rsid w:val="006E2F6F"/>
    <w:rsid w:val="006E4147"/>
    <w:rsid w:val="00722A1F"/>
    <w:rsid w:val="00740141"/>
    <w:rsid w:val="00741279"/>
    <w:rsid w:val="00750FF5"/>
    <w:rsid w:val="007672D4"/>
    <w:rsid w:val="007730BD"/>
    <w:rsid w:val="007753A5"/>
    <w:rsid w:val="007772DE"/>
    <w:rsid w:val="00783D8D"/>
    <w:rsid w:val="00795D1C"/>
    <w:rsid w:val="007B2FBB"/>
    <w:rsid w:val="007B3982"/>
    <w:rsid w:val="007B55AB"/>
    <w:rsid w:val="007B693D"/>
    <w:rsid w:val="007B7E56"/>
    <w:rsid w:val="007C7AA3"/>
    <w:rsid w:val="007F1457"/>
    <w:rsid w:val="00812130"/>
    <w:rsid w:val="008145F7"/>
    <w:rsid w:val="00823405"/>
    <w:rsid w:val="00826B50"/>
    <w:rsid w:val="00827E39"/>
    <w:rsid w:val="008314BC"/>
    <w:rsid w:val="00834586"/>
    <w:rsid w:val="00861306"/>
    <w:rsid w:val="008614BA"/>
    <w:rsid w:val="008733C7"/>
    <w:rsid w:val="00874F8F"/>
    <w:rsid w:val="00883A33"/>
    <w:rsid w:val="00894A6E"/>
    <w:rsid w:val="008951F1"/>
    <w:rsid w:val="008965B8"/>
    <w:rsid w:val="008A772E"/>
    <w:rsid w:val="008C4709"/>
    <w:rsid w:val="008C49F1"/>
    <w:rsid w:val="008C5C1D"/>
    <w:rsid w:val="008C69A3"/>
    <w:rsid w:val="008D30EF"/>
    <w:rsid w:val="008D608F"/>
    <w:rsid w:val="008F011F"/>
    <w:rsid w:val="008F33BD"/>
    <w:rsid w:val="008F46CF"/>
    <w:rsid w:val="008F5852"/>
    <w:rsid w:val="00911A3B"/>
    <w:rsid w:val="00912A61"/>
    <w:rsid w:val="009321FD"/>
    <w:rsid w:val="009528E0"/>
    <w:rsid w:val="009573EB"/>
    <w:rsid w:val="009600FB"/>
    <w:rsid w:val="00960998"/>
    <w:rsid w:val="0096395C"/>
    <w:rsid w:val="00970CEC"/>
    <w:rsid w:val="00974AFE"/>
    <w:rsid w:val="00986036"/>
    <w:rsid w:val="009879E9"/>
    <w:rsid w:val="009A5CE3"/>
    <w:rsid w:val="009B7572"/>
    <w:rsid w:val="009C0AB8"/>
    <w:rsid w:val="009C5B92"/>
    <w:rsid w:val="009D2C3C"/>
    <w:rsid w:val="009D3BEF"/>
    <w:rsid w:val="009E1BF7"/>
    <w:rsid w:val="009E52D0"/>
    <w:rsid w:val="009F0864"/>
    <w:rsid w:val="00A04925"/>
    <w:rsid w:val="00A05B94"/>
    <w:rsid w:val="00A1142F"/>
    <w:rsid w:val="00A1417E"/>
    <w:rsid w:val="00A33CB0"/>
    <w:rsid w:val="00A35B22"/>
    <w:rsid w:val="00A438E8"/>
    <w:rsid w:val="00A5282A"/>
    <w:rsid w:val="00A72442"/>
    <w:rsid w:val="00A725E5"/>
    <w:rsid w:val="00A75A7D"/>
    <w:rsid w:val="00A8216D"/>
    <w:rsid w:val="00AA1C39"/>
    <w:rsid w:val="00AA2B6D"/>
    <w:rsid w:val="00AA550B"/>
    <w:rsid w:val="00AB02D9"/>
    <w:rsid w:val="00AB5EEA"/>
    <w:rsid w:val="00AB74F0"/>
    <w:rsid w:val="00AC0F68"/>
    <w:rsid w:val="00AC5D5F"/>
    <w:rsid w:val="00AD37DA"/>
    <w:rsid w:val="00AE07BA"/>
    <w:rsid w:val="00AE254B"/>
    <w:rsid w:val="00B3185B"/>
    <w:rsid w:val="00B3290A"/>
    <w:rsid w:val="00B42B8A"/>
    <w:rsid w:val="00B47A0B"/>
    <w:rsid w:val="00B52B50"/>
    <w:rsid w:val="00B546FE"/>
    <w:rsid w:val="00B5772D"/>
    <w:rsid w:val="00B61C2F"/>
    <w:rsid w:val="00B64662"/>
    <w:rsid w:val="00B656A9"/>
    <w:rsid w:val="00B71A31"/>
    <w:rsid w:val="00B71D93"/>
    <w:rsid w:val="00B80653"/>
    <w:rsid w:val="00B90A71"/>
    <w:rsid w:val="00B9408F"/>
    <w:rsid w:val="00BA4242"/>
    <w:rsid w:val="00BB6CED"/>
    <w:rsid w:val="00BC0C80"/>
    <w:rsid w:val="00BC43B1"/>
    <w:rsid w:val="00BD426F"/>
    <w:rsid w:val="00BE3E7D"/>
    <w:rsid w:val="00BF49BE"/>
    <w:rsid w:val="00C057A1"/>
    <w:rsid w:val="00C13418"/>
    <w:rsid w:val="00C15598"/>
    <w:rsid w:val="00C36639"/>
    <w:rsid w:val="00C37E6E"/>
    <w:rsid w:val="00C472A1"/>
    <w:rsid w:val="00C4780B"/>
    <w:rsid w:val="00C50825"/>
    <w:rsid w:val="00C5111D"/>
    <w:rsid w:val="00C5610A"/>
    <w:rsid w:val="00C65C4F"/>
    <w:rsid w:val="00C66D30"/>
    <w:rsid w:val="00C675C5"/>
    <w:rsid w:val="00C8323D"/>
    <w:rsid w:val="00C85EA8"/>
    <w:rsid w:val="00C90408"/>
    <w:rsid w:val="00C975CD"/>
    <w:rsid w:val="00CA6D36"/>
    <w:rsid w:val="00CC769C"/>
    <w:rsid w:val="00CC78C2"/>
    <w:rsid w:val="00CD1E89"/>
    <w:rsid w:val="00CD6076"/>
    <w:rsid w:val="00CE4643"/>
    <w:rsid w:val="00CE4E6D"/>
    <w:rsid w:val="00CE64F2"/>
    <w:rsid w:val="00CE6F80"/>
    <w:rsid w:val="00D033E1"/>
    <w:rsid w:val="00D10313"/>
    <w:rsid w:val="00D255DB"/>
    <w:rsid w:val="00D25EF1"/>
    <w:rsid w:val="00D32468"/>
    <w:rsid w:val="00D37594"/>
    <w:rsid w:val="00D44CB6"/>
    <w:rsid w:val="00D53707"/>
    <w:rsid w:val="00D6021D"/>
    <w:rsid w:val="00D63787"/>
    <w:rsid w:val="00D6456E"/>
    <w:rsid w:val="00D7373D"/>
    <w:rsid w:val="00D859C6"/>
    <w:rsid w:val="00D9495C"/>
    <w:rsid w:val="00D94E0F"/>
    <w:rsid w:val="00D975A7"/>
    <w:rsid w:val="00DA49D7"/>
    <w:rsid w:val="00DB40F6"/>
    <w:rsid w:val="00DB7C62"/>
    <w:rsid w:val="00DE103F"/>
    <w:rsid w:val="00DE5DC5"/>
    <w:rsid w:val="00DF11CE"/>
    <w:rsid w:val="00DF5ADE"/>
    <w:rsid w:val="00E0246F"/>
    <w:rsid w:val="00E038A5"/>
    <w:rsid w:val="00E04A07"/>
    <w:rsid w:val="00E052C3"/>
    <w:rsid w:val="00E06EED"/>
    <w:rsid w:val="00E2039E"/>
    <w:rsid w:val="00E21C50"/>
    <w:rsid w:val="00E23CD6"/>
    <w:rsid w:val="00E244C5"/>
    <w:rsid w:val="00E2472B"/>
    <w:rsid w:val="00E31C16"/>
    <w:rsid w:val="00E3257B"/>
    <w:rsid w:val="00E35AA3"/>
    <w:rsid w:val="00E47C82"/>
    <w:rsid w:val="00E50B54"/>
    <w:rsid w:val="00E563A7"/>
    <w:rsid w:val="00E56F68"/>
    <w:rsid w:val="00E62CC1"/>
    <w:rsid w:val="00E63375"/>
    <w:rsid w:val="00E636A6"/>
    <w:rsid w:val="00EA40FF"/>
    <w:rsid w:val="00EA7128"/>
    <w:rsid w:val="00EB047B"/>
    <w:rsid w:val="00EB20B5"/>
    <w:rsid w:val="00EB225B"/>
    <w:rsid w:val="00EB4199"/>
    <w:rsid w:val="00EB490C"/>
    <w:rsid w:val="00EB7E5F"/>
    <w:rsid w:val="00EC0441"/>
    <w:rsid w:val="00EC140F"/>
    <w:rsid w:val="00EC17AD"/>
    <w:rsid w:val="00ED072D"/>
    <w:rsid w:val="00EE4354"/>
    <w:rsid w:val="00EE4F4F"/>
    <w:rsid w:val="00EF6469"/>
    <w:rsid w:val="00F01CFD"/>
    <w:rsid w:val="00F04A13"/>
    <w:rsid w:val="00F1069F"/>
    <w:rsid w:val="00F10D71"/>
    <w:rsid w:val="00F12997"/>
    <w:rsid w:val="00F23631"/>
    <w:rsid w:val="00F31570"/>
    <w:rsid w:val="00F33793"/>
    <w:rsid w:val="00F406C2"/>
    <w:rsid w:val="00F4393D"/>
    <w:rsid w:val="00F43B5F"/>
    <w:rsid w:val="00F45AC8"/>
    <w:rsid w:val="00F54D21"/>
    <w:rsid w:val="00F5766C"/>
    <w:rsid w:val="00F57E11"/>
    <w:rsid w:val="00F62143"/>
    <w:rsid w:val="00F667E8"/>
    <w:rsid w:val="00F701B6"/>
    <w:rsid w:val="00F73C4F"/>
    <w:rsid w:val="00F82EE1"/>
    <w:rsid w:val="00F872B7"/>
    <w:rsid w:val="00FC0137"/>
    <w:rsid w:val="00FC5D57"/>
    <w:rsid w:val="00FC6C91"/>
    <w:rsid w:val="00FC73F1"/>
    <w:rsid w:val="00FD430C"/>
    <w:rsid w:val="00FD7A0B"/>
    <w:rsid w:val="00FE3EE4"/>
    <w:rsid w:val="00FE5C29"/>
    <w:rsid w:val="00FF1BA7"/>
    <w:rsid w:val="00FF2E05"/>
    <w:rsid w:val="00FF6A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57A"/>
    <w:pPr>
      <w:spacing w:after="0" w:line="240" w:lineRule="auto"/>
      <w:jc w:val="left"/>
    </w:pPr>
    <w:rPr>
      <w:rFonts w:eastAsia="Times New Roman" w:cs="Times New Roman"/>
      <w:szCs w:val="24"/>
      <w:lang w:eastAsia="lv-LV"/>
    </w:rPr>
  </w:style>
  <w:style w:type="character" w:styleId="Emphasis">
    <w:name w:val="Emphasis"/>
    <w:basedOn w:val="DefaultParagraphFont"/>
    <w:uiPriority w:val="20"/>
    <w:qFormat/>
    <w:rsid w:val="0032457A"/>
    <w:rPr>
      <w:i/>
      <w:iCs/>
    </w:rPr>
  </w:style>
  <w:style w:type="character" w:styleId="Hyperlink">
    <w:name w:val="Hyperlink"/>
    <w:basedOn w:val="DefaultParagraphFont"/>
    <w:uiPriority w:val="99"/>
    <w:unhideWhenUsed/>
    <w:rsid w:val="0032457A"/>
    <w:rPr>
      <w:color w:val="0000FF"/>
      <w:u w:val="single"/>
    </w:rPr>
  </w:style>
  <w:style w:type="paragraph" w:customStyle="1" w:styleId="Style1">
    <w:name w:val="Style1"/>
    <w:basedOn w:val="Normal"/>
    <w:next w:val="Normal"/>
    <w:link w:val="Style1Char"/>
    <w:qFormat/>
    <w:rsid w:val="00AA550B"/>
    <w:pPr>
      <w:widowControl w:val="0"/>
      <w:numPr>
        <w:numId w:val="1"/>
      </w:numPr>
      <w:tabs>
        <w:tab w:val="left" w:pos="1134"/>
      </w:tabs>
      <w:spacing w:after="0" w:line="300" w:lineRule="auto"/>
      <w:ind w:firstLine="720"/>
    </w:pPr>
    <w:rPr>
      <w:rFonts w:eastAsia="Times New Roman" w:cs="Times New Roman"/>
      <w:color w:val="000000"/>
      <w:szCs w:val="20"/>
      <w:lang w:val="ru-RU" w:eastAsia="lv-LV"/>
    </w:rPr>
  </w:style>
  <w:style w:type="character" w:customStyle="1" w:styleId="Style1Char">
    <w:name w:val="Style1 Char"/>
    <w:basedOn w:val="DefaultParagraphFont"/>
    <w:link w:val="Style1"/>
    <w:rsid w:val="00AA550B"/>
    <w:rPr>
      <w:rFonts w:ascii="Times New Roman" w:eastAsia="Times New Roman" w:hAnsi="Times New Roman" w:cs="Times New Roman"/>
      <w:color w:val="000000"/>
      <w:sz w:val="24"/>
      <w:szCs w:val="20"/>
      <w:lang w:val="ru-RU" w:eastAsia="lv-LV"/>
    </w:rPr>
  </w:style>
  <w:style w:type="paragraph" w:customStyle="1" w:styleId="Style2">
    <w:name w:val="Style2"/>
    <w:basedOn w:val="Style1"/>
    <w:next w:val="Normal"/>
    <w:qFormat/>
    <w:rsid w:val="00AA550B"/>
    <w:pPr>
      <w:numPr>
        <w:ilvl w:val="1"/>
      </w:numPr>
      <w:tabs>
        <w:tab w:val="num" w:pos="360"/>
      </w:tabs>
    </w:pPr>
  </w:style>
  <w:style w:type="paragraph" w:styleId="BalloonText">
    <w:name w:val="Balloon Text"/>
    <w:basedOn w:val="Normal"/>
    <w:link w:val="BalloonTextChar"/>
    <w:uiPriority w:val="99"/>
    <w:semiHidden/>
    <w:unhideWhenUsed/>
    <w:rsid w:val="00A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0B"/>
    <w:rPr>
      <w:rFonts w:ascii="Tahoma" w:hAnsi="Tahoma" w:cs="Tahoma"/>
      <w:sz w:val="16"/>
      <w:szCs w:val="16"/>
    </w:rPr>
  </w:style>
  <w:style w:type="paragraph" w:styleId="Header">
    <w:name w:val="header"/>
    <w:basedOn w:val="Normal"/>
    <w:link w:val="HeaderChar"/>
    <w:uiPriority w:val="99"/>
    <w:unhideWhenUsed/>
    <w:rsid w:val="00AA5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50B"/>
    <w:rPr>
      <w:rFonts w:ascii="Times New Roman" w:hAnsi="Times New Roman"/>
      <w:sz w:val="24"/>
    </w:rPr>
  </w:style>
  <w:style w:type="paragraph" w:styleId="Footer">
    <w:name w:val="footer"/>
    <w:basedOn w:val="Normal"/>
    <w:link w:val="FooterChar"/>
    <w:uiPriority w:val="99"/>
    <w:unhideWhenUsed/>
    <w:rsid w:val="00AA550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A550B"/>
    <w:rPr>
      <w:rFonts w:ascii="Times New Roman" w:hAnsi="Times New Roman"/>
      <w:sz w:val="24"/>
    </w:rPr>
  </w:style>
  <w:style w:type="paragraph" w:styleId="BodyText2">
    <w:name w:val="Body Text 2"/>
    <w:basedOn w:val="Normal"/>
    <w:link w:val="BodyText2Char"/>
    <w:rsid w:val="007772DE"/>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72DE"/>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021EAA"/>
    <w:rPr>
      <w:sz w:val="16"/>
      <w:szCs w:val="16"/>
    </w:rPr>
  </w:style>
  <w:style w:type="paragraph" w:styleId="CommentText">
    <w:name w:val="annotation text"/>
    <w:basedOn w:val="Normal"/>
    <w:link w:val="CommentTextChar"/>
    <w:uiPriority w:val="99"/>
    <w:semiHidden/>
    <w:unhideWhenUsed/>
    <w:rsid w:val="00021EAA"/>
    <w:pPr>
      <w:spacing w:line="240" w:lineRule="auto"/>
    </w:pPr>
    <w:rPr>
      <w:sz w:val="20"/>
      <w:szCs w:val="20"/>
    </w:rPr>
  </w:style>
  <w:style w:type="character" w:customStyle="1" w:styleId="CommentTextChar">
    <w:name w:val="Comment Text Char"/>
    <w:basedOn w:val="DefaultParagraphFont"/>
    <w:link w:val="CommentText"/>
    <w:uiPriority w:val="99"/>
    <w:semiHidden/>
    <w:rsid w:val="00021E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EAA"/>
    <w:rPr>
      <w:b/>
      <w:bCs/>
    </w:rPr>
  </w:style>
  <w:style w:type="character" w:customStyle="1" w:styleId="CommentSubjectChar">
    <w:name w:val="Comment Subject Char"/>
    <w:basedOn w:val="CommentTextChar"/>
    <w:link w:val="CommentSubject"/>
    <w:uiPriority w:val="99"/>
    <w:semiHidden/>
    <w:rsid w:val="00021EAA"/>
    <w:rPr>
      <w:rFonts w:ascii="Times New Roman" w:hAnsi="Times New Roman"/>
      <w:b/>
      <w:bCs/>
      <w:sz w:val="20"/>
      <w:szCs w:val="20"/>
    </w:rPr>
  </w:style>
  <w:style w:type="paragraph" w:customStyle="1" w:styleId="tv213">
    <w:name w:val="tv213"/>
    <w:basedOn w:val="Normal"/>
    <w:rsid w:val="00B80653"/>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796">
      <w:bodyDiv w:val="1"/>
      <w:marLeft w:val="0"/>
      <w:marRight w:val="0"/>
      <w:marTop w:val="0"/>
      <w:marBottom w:val="0"/>
      <w:divBdr>
        <w:top w:val="none" w:sz="0" w:space="0" w:color="auto"/>
        <w:left w:val="none" w:sz="0" w:space="0" w:color="auto"/>
        <w:bottom w:val="none" w:sz="0" w:space="0" w:color="auto"/>
        <w:right w:val="none" w:sz="0" w:space="0" w:color="auto"/>
      </w:divBdr>
    </w:div>
    <w:div w:id="282813478">
      <w:bodyDiv w:val="1"/>
      <w:marLeft w:val="0"/>
      <w:marRight w:val="0"/>
      <w:marTop w:val="0"/>
      <w:marBottom w:val="0"/>
      <w:divBdr>
        <w:top w:val="none" w:sz="0" w:space="0" w:color="auto"/>
        <w:left w:val="none" w:sz="0" w:space="0" w:color="auto"/>
        <w:bottom w:val="none" w:sz="0" w:space="0" w:color="auto"/>
        <w:right w:val="none" w:sz="0" w:space="0" w:color="auto"/>
      </w:divBdr>
    </w:div>
    <w:div w:id="349989284">
      <w:bodyDiv w:val="1"/>
      <w:marLeft w:val="0"/>
      <w:marRight w:val="0"/>
      <w:marTop w:val="0"/>
      <w:marBottom w:val="0"/>
      <w:divBdr>
        <w:top w:val="none" w:sz="0" w:space="0" w:color="auto"/>
        <w:left w:val="none" w:sz="0" w:space="0" w:color="auto"/>
        <w:bottom w:val="none" w:sz="0" w:space="0" w:color="auto"/>
        <w:right w:val="none" w:sz="0" w:space="0" w:color="auto"/>
      </w:divBdr>
    </w:div>
    <w:div w:id="575361366">
      <w:bodyDiv w:val="1"/>
      <w:marLeft w:val="0"/>
      <w:marRight w:val="0"/>
      <w:marTop w:val="0"/>
      <w:marBottom w:val="0"/>
      <w:divBdr>
        <w:top w:val="none" w:sz="0" w:space="0" w:color="auto"/>
        <w:left w:val="none" w:sz="0" w:space="0" w:color="auto"/>
        <w:bottom w:val="none" w:sz="0" w:space="0" w:color="auto"/>
        <w:right w:val="none" w:sz="0" w:space="0" w:color="auto"/>
      </w:divBdr>
    </w:div>
    <w:div w:id="617494252">
      <w:bodyDiv w:val="1"/>
      <w:marLeft w:val="0"/>
      <w:marRight w:val="0"/>
      <w:marTop w:val="0"/>
      <w:marBottom w:val="0"/>
      <w:divBdr>
        <w:top w:val="none" w:sz="0" w:space="0" w:color="auto"/>
        <w:left w:val="none" w:sz="0" w:space="0" w:color="auto"/>
        <w:bottom w:val="none" w:sz="0" w:space="0" w:color="auto"/>
        <w:right w:val="none" w:sz="0" w:space="0" w:color="auto"/>
      </w:divBdr>
    </w:div>
    <w:div w:id="655260266">
      <w:bodyDiv w:val="1"/>
      <w:marLeft w:val="0"/>
      <w:marRight w:val="0"/>
      <w:marTop w:val="0"/>
      <w:marBottom w:val="0"/>
      <w:divBdr>
        <w:top w:val="none" w:sz="0" w:space="0" w:color="auto"/>
        <w:left w:val="none" w:sz="0" w:space="0" w:color="auto"/>
        <w:bottom w:val="none" w:sz="0" w:space="0" w:color="auto"/>
        <w:right w:val="none" w:sz="0" w:space="0" w:color="auto"/>
      </w:divBdr>
    </w:div>
    <w:div w:id="667444331">
      <w:bodyDiv w:val="1"/>
      <w:marLeft w:val="0"/>
      <w:marRight w:val="0"/>
      <w:marTop w:val="0"/>
      <w:marBottom w:val="0"/>
      <w:divBdr>
        <w:top w:val="none" w:sz="0" w:space="0" w:color="auto"/>
        <w:left w:val="none" w:sz="0" w:space="0" w:color="auto"/>
        <w:bottom w:val="none" w:sz="0" w:space="0" w:color="auto"/>
        <w:right w:val="none" w:sz="0" w:space="0" w:color="auto"/>
      </w:divBdr>
    </w:div>
    <w:div w:id="1504314715">
      <w:bodyDiv w:val="1"/>
      <w:marLeft w:val="0"/>
      <w:marRight w:val="0"/>
      <w:marTop w:val="0"/>
      <w:marBottom w:val="0"/>
      <w:divBdr>
        <w:top w:val="none" w:sz="0" w:space="0" w:color="auto"/>
        <w:left w:val="none" w:sz="0" w:space="0" w:color="auto"/>
        <w:bottom w:val="none" w:sz="0" w:space="0" w:color="auto"/>
        <w:right w:val="none" w:sz="0" w:space="0" w:color="auto"/>
      </w:divBdr>
    </w:div>
    <w:div w:id="1514875895">
      <w:bodyDiv w:val="1"/>
      <w:marLeft w:val="0"/>
      <w:marRight w:val="0"/>
      <w:marTop w:val="0"/>
      <w:marBottom w:val="0"/>
      <w:divBdr>
        <w:top w:val="none" w:sz="0" w:space="0" w:color="auto"/>
        <w:left w:val="none" w:sz="0" w:space="0" w:color="auto"/>
        <w:bottom w:val="none" w:sz="0" w:space="0" w:color="auto"/>
        <w:right w:val="none" w:sz="0" w:space="0" w:color="auto"/>
      </w:divBdr>
    </w:div>
    <w:div w:id="18501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28.SKA068222.5.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4B37-9D46-471C-A95B-F46060C3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7990</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2022-08-04T10:09:00Z</dcterms:created>
  <dcterms:modified xsi:type="dcterms:W3CDTF">2022-08-04T10:09:00Z</dcterms:modified>
</cp:coreProperties>
</file>