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349CA" w14:textId="77777777" w:rsidR="00777F7A" w:rsidRDefault="00777F7A" w:rsidP="007A2744">
      <w:pPr>
        <w:spacing w:line="276" w:lineRule="auto"/>
        <w:jc w:val="both"/>
        <w:rPr>
          <w:rFonts w:ascii="TimesNewRomanPSMT" w:hAnsi="TimesNewRomanPSMT"/>
          <w:b/>
          <w:bCs/>
          <w:lang w:eastAsia="en-US"/>
        </w:rPr>
      </w:pPr>
      <w:bookmarkStart w:id="0" w:name="_Hlk21594869"/>
      <w:bookmarkStart w:id="1" w:name="_Hlk21699152"/>
      <w:bookmarkStart w:id="2" w:name="_Hlk95291658"/>
      <w:r>
        <w:rPr>
          <w:rFonts w:ascii="TimesNewRomanPSMT" w:hAnsi="TimesNewRomanPSMT"/>
          <w:b/>
          <w:bCs/>
        </w:rPr>
        <w:t xml:space="preserve">Apsarga tiesības aizturēt personu, kas izdarījusi administratīvo pārkāpumu, lai personu nodotu policijai  </w:t>
      </w:r>
    </w:p>
    <w:p w14:paraId="5822BB13" w14:textId="77777777" w:rsidR="00777F7A" w:rsidRDefault="00777F7A" w:rsidP="007A2744">
      <w:pPr>
        <w:autoSpaceDE w:val="0"/>
        <w:autoSpaceDN w:val="0"/>
        <w:spacing w:line="276" w:lineRule="auto"/>
        <w:jc w:val="both"/>
        <w:rPr>
          <w:rFonts w:ascii="TimesNewRomanPSMT" w:hAnsi="TimesNewRomanPSMT"/>
        </w:rPr>
      </w:pPr>
      <w:r>
        <w:rPr>
          <w:rFonts w:ascii="TimesNewRomanPSMT" w:hAnsi="TimesNewRomanPSMT"/>
        </w:rPr>
        <w:t xml:space="preserve">Ģenerālprokurora rīkojums, ar kuru prokuratūras telpās ir noteikts filmēšanas un fotografēšanas aizliegums, ir vispārīgais administratīvais akts. Vispārīgajā administratīvajā aktā iekļautās prasības prokuratūras apmeklētājiem ir jāievēro. </w:t>
      </w:r>
      <w:r>
        <w:rPr>
          <w:rFonts w:ascii="TimesNewRomanPSMT" w:hAnsi="TimesNewRomanPSMT"/>
          <w:color w:val="000000"/>
        </w:rPr>
        <w:t xml:space="preserve">Ja persona prokuratūras telpās veic darbības, kas liek domāt, ka tiek veikta filmēšana - tiek izdarīts administratīvais pārkāpums - </w:t>
      </w:r>
      <w:r>
        <w:rPr>
          <w:rFonts w:ascii="TimesNewRomanPSMT" w:hAnsi="TimesNewRomanPSMT"/>
        </w:rPr>
        <w:t xml:space="preserve">prokuratūras apsargam ir tiesības šo personu aizturēt, nekavējoties informējot par to Valsts policiju.  </w:t>
      </w:r>
    </w:p>
    <w:p w14:paraId="476FA8EF" w14:textId="77777777" w:rsidR="00777F7A" w:rsidRDefault="00777F7A" w:rsidP="007A2744">
      <w:pPr>
        <w:autoSpaceDE w:val="0"/>
        <w:autoSpaceDN w:val="0"/>
        <w:spacing w:line="276" w:lineRule="auto"/>
        <w:jc w:val="both"/>
        <w:rPr>
          <w:rFonts w:ascii="TimesNewRomanPSMT" w:hAnsi="TimesNewRomanPSMT"/>
        </w:rPr>
      </w:pPr>
      <w:r>
        <w:rPr>
          <w:rFonts w:ascii="TimesNewRomanPSMT" w:hAnsi="TimesNewRomanPSMT"/>
        </w:rPr>
        <w:t>Šādā situācijā, aizturēšana, ko veic apsargs, nav uzskatāma par administratīvo aizturēšanu, kuras ilgums noteikts Latvijas Administratīvo pārkāpumu kodeksā. Normatīvie akti paredz gan administratīvo aizturēšanu, ko veic polic</w:t>
      </w:r>
      <w:bookmarkStart w:id="3" w:name="_GoBack"/>
      <w:bookmarkEnd w:id="3"/>
      <w:r>
        <w:rPr>
          <w:rFonts w:ascii="TimesNewRomanPSMT" w:hAnsi="TimesNewRomanPSMT"/>
        </w:rPr>
        <w:t>ija, gan aizturēšanu, ko veic apsargs, lai nodotu likumpārkāpēju policijai.</w:t>
      </w:r>
    </w:p>
    <w:p w14:paraId="21B0BB48" w14:textId="77777777" w:rsidR="00777F7A" w:rsidRDefault="00777F7A" w:rsidP="007A2744">
      <w:pPr>
        <w:autoSpaceDE w:val="0"/>
        <w:autoSpaceDN w:val="0"/>
        <w:spacing w:line="276" w:lineRule="auto"/>
        <w:jc w:val="both"/>
        <w:rPr>
          <w:rFonts w:ascii="TimesNewRomanPSMT" w:hAnsi="TimesNewRomanPSMT"/>
        </w:rPr>
      </w:pPr>
      <w:r>
        <w:rPr>
          <w:rFonts w:ascii="TimesNewRomanPSMT" w:hAnsi="TimesNewRomanPSMT"/>
        </w:rPr>
        <w:t xml:space="preserve">Tiesību normas nenosaka laiku, cik ilgi personu var aizturēt apsargs. Taču ir svarīgi, lai laiks starp šādu aizturēšanu un policijas ierašanos būtu saprātīgs. Proti, personas brīvību var ierobežot apsargs, ja ir pamats domāt, ka persona ir izdarījusi administratīvo pārkāpumu, lai nodotu šo personu policijai, un šo laiku neieskaita administratīvās aizturēšanas laikā. </w:t>
      </w:r>
    </w:p>
    <w:bookmarkEnd w:id="0"/>
    <w:p w14:paraId="07949519" w14:textId="140D868F" w:rsidR="00435790" w:rsidRPr="00B47609" w:rsidRDefault="00435790" w:rsidP="007A2744">
      <w:pPr>
        <w:spacing w:line="276" w:lineRule="auto"/>
        <w:rPr>
          <w:color w:val="000000"/>
        </w:rPr>
      </w:pPr>
    </w:p>
    <w:p w14:paraId="6A28A65D" w14:textId="656B6297" w:rsidR="00435790" w:rsidRPr="007A2744" w:rsidRDefault="00777F7A" w:rsidP="007A2744">
      <w:pPr>
        <w:spacing w:line="276" w:lineRule="auto"/>
        <w:jc w:val="center"/>
        <w:rPr>
          <w:b/>
        </w:rPr>
      </w:pPr>
      <w:r w:rsidRPr="007A2744">
        <w:rPr>
          <w:b/>
        </w:rPr>
        <w:t>Latvijas Republikas Senāta</w:t>
      </w:r>
      <w:r w:rsidRPr="007A2744">
        <w:rPr>
          <w:b/>
        </w:rPr>
        <w:br/>
        <w:t>Administratīvo lietu departamenta</w:t>
      </w:r>
    </w:p>
    <w:p w14:paraId="1ECF7EEA" w14:textId="194486BD" w:rsidR="007A2744" w:rsidRPr="007A2744" w:rsidRDefault="007A2744" w:rsidP="007A2744">
      <w:pPr>
        <w:spacing w:line="276" w:lineRule="auto"/>
        <w:jc w:val="center"/>
        <w:rPr>
          <w:b/>
        </w:rPr>
      </w:pPr>
      <w:r w:rsidRPr="007A2744">
        <w:rPr>
          <w:b/>
        </w:rPr>
        <w:t>2022.gada 11.marta</w:t>
      </w:r>
    </w:p>
    <w:p w14:paraId="34832629" w14:textId="77777777" w:rsidR="00435790" w:rsidRPr="007A2744" w:rsidRDefault="00435790" w:rsidP="007A2744">
      <w:pPr>
        <w:spacing w:line="276" w:lineRule="auto"/>
        <w:jc w:val="center"/>
        <w:rPr>
          <w:b/>
        </w:rPr>
      </w:pPr>
      <w:r w:rsidRPr="007A2744">
        <w:rPr>
          <w:b/>
        </w:rPr>
        <w:t>SPRIEDUMS</w:t>
      </w:r>
    </w:p>
    <w:p w14:paraId="300125F6" w14:textId="63B238F5" w:rsidR="007A2744" w:rsidRPr="007A2744" w:rsidRDefault="007A2744" w:rsidP="007A2744">
      <w:pPr>
        <w:spacing w:line="276" w:lineRule="auto"/>
        <w:ind w:firstLine="851"/>
        <w:rPr>
          <w:b/>
        </w:rPr>
      </w:pPr>
      <w:r w:rsidRPr="007A2744">
        <w:rPr>
          <w:b/>
        </w:rPr>
        <w:t xml:space="preserve">                             </w:t>
      </w:r>
      <w:r w:rsidRPr="007A2744">
        <w:rPr>
          <w:b/>
        </w:rPr>
        <w:t>Lieta Nr. A420236618, SKA-220/2022</w:t>
      </w:r>
    </w:p>
    <w:p w14:paraId="74F1CF2F" w14:textId="2D6DB953" w:rsidR="007A2744" w:rsidRPr="007A2744" w:rsidRDefault="007A2744" w:rsidP="007A2744">
      <w:pPr>
        <w:spacing w:line="276" w:lineRule="auto"/>
        <w:jc w:val="center"/>
      </w:pPr>
      <w:hyperlink r:id="rId8" w:history="1">
        <w:r w:rsidRPr="007A2744">
          <w:rPr>
            <w:rStyle w:val="Hyperlink"/>
          </w:rPr>
          <w:t>ECLI:LV:AT:2022:0311.A420236618.13.S</w:t>
        </w:r>
      </w:hyperlink>
      <w:r w:rsidRPr="007A2744">
        <w:t xml:space="preserve"> </w:t>
      </w:r>
    </w:p>
    <w:p w14:paraId="2AEF784A" w14:textId="77777777" w:rsidR="00435790" w:rsidRPr="004F096F" w:rsidRDefault="00435790" w:rsidP="007A2744">
      <w:pPr>
        <w:spacing w:line="276" w:lineRule="auto"/>
        <w:jc w:val="center"/>
      </w:pPr>
    </w:p>
    <w:p w14:paraId="3FE67910" w14:textId="67A501DC" w:rsidR="00435790" w:rsidRPr="004F096F" w:rsidRDefault="00435790" w:rsidP="007A2744">
      <w:pPr>
        <w:spacing w:line="276" w:lineRule="auto"/>
        <w:ind w:firstLine="567"/>
        <w:jc w:val="both"/>
      </w:pPr>
      <w:r w:rsidRPr="00E1461F">
        <w:t>Tiesa šādā sastāvā: senator</w:t>
      </w:r>
      <w:r>
        <w:t>es Jautrīte Briede</w:t>
      </w:r>
      <w:r w:rsidRPr="00E1461F">
        <w:t xml:space="preserve">, </w:t>
      </w:r>
      <w:r w:rsidR="003E7440">
        <w:t>Veronika Krūmiņa</w:t>
      </w:r>
      <w:r w:rsidRPr="00E1461F">
        <w:t xml:space="preserve"> un </w:t>
      </w:r>
      <w:r w:rsidR="005F048F">
        <w:t>Lauma Paegļkalna</w:t>
      </w:r>
    </w:p>
    <w:p w14:paraId="07BF2DE9" w14:textId="77777777" w:rsidR="00435790" w:rsidRDefault="00435790" w:rsidP="007A2744">
      <w:pPr>
        <w:spacing w:line="276" w:lineRule="auto"/>
      </w:pPr>
    </w:p>
    <w:p w14:paraId="3A141585" w14:textId="6F10B5B0" w:rsidR="005F048F" w:rsidRDefault="00435790" w:rsidP="007A2744">
      <w:pPr>
        <w:spacing w:line="276" w:lineRule="auto"/>
        <w:ind w:firstLine="567"/>
        <w:jc w:val="both"/>
      </w:pPr>
      <w:bookmarkStart w:id="4" w:name="_Hlk21594894"/>
      <w:r w:rsidRPr="004F096F">
        <w:t xml:space="preserve">rakstveida procesā izskatīja administratīvo lietu, kas ierosināta, </w:t>
      </w:r>
      <w:bookmarkEnd w:id="1"/>
      <w:r w:rsidR="0092755B" w:rsidRPr="00DB7CFD">
        <w:t xml:space="preserve">pamatojoties uz </w:t>
      </w:r>
      <w:r w:rsidR="00ED7050" w:rsidRPr="00ED7050">
        <w:t xml:space="preserve">biedrības </w:t>
      </w:r>
      <w:r w:rsidR="00D5010E" w:rsidRPr="00E439CA">
        <w:rPr>
          <w:bCs/>
          <w:lang w:val="af-ZA"/>
        </w:rPr>
        <w:t>„</w:t>
      </w:r>
      <w:r w:rsidR="00ED7050" w:rsidRPr="00ED7050">
        <w:t>Latvijas Pilsoniskā Cilvēktiesību Komisija” pieteikum</w:t>
      </w:r>
      <w:r w:rsidR="00BD4628">
        <w:t>u</w:t>
      </w:r>
      <w:r w:rsidR="00ED7050" w:rsidRPr="00ED7050">
        <w:t xml:space="preserve"> par labvēlīga administratīvā akta, ar kuru </w:t>
      </w:r>
      <w:r w:rsidR="007A2744">
        <w:t xml:space="preserve">[pers. A] </w:t>
      </w:r>
      <w:r w:rsidR="00ED7050" w:rsidRPr="00ED7050">
        <w:t xml:space="preserve">tiktu atlīdzināti </w:t>
      </w:r>
      <w:r w:rsidR="00DC59BE" w:rsidRPr="00ED7050">
        <w:t>zaudējum</w:t>
      </w:r>
      <w:r w:rsidR="00DC59BE">
        <w:t>i</w:t>
      </w:r>
      <w:r w:rsidR="00DC59BE" w:rsidRPr="00ED7050">
        <w:t xml:space="preserve"> </w:t>
      </w:r>
      <w:r w:rsidR="00ED7050" w:rsidRPr="00ED7050">
        <w:t>42,19</w:t>
      </w:r>
      <w:r w:rsidR="00DC59BE">
        <w:t> </w:t>
      </w:r>
      <w:r w:rsidR="00ED7050" w:rsidRPr="002709DA">
        <w:rPr>
          <w:i/>
          <w:iCs/>
        </w:rPr>
        <w:t>euro</w:t>
      </w:r>
      <w:r w:rsidR="00ED7050" w:rsidRPr="00ED7050">
        <w:t xml:space="preserve"> un nemantiskais kaitējums 6000</w:t>
      </w:r>
      <w:r w:rsidR="00DC59BE">
        <w:t> </w:t>
      </w:r>
      <w:r w:rsidR="00ED7050" w:rsidRPr="002709DA">
        <w:rPr>
          <w:i/>
          <w:iCs/>
        </w:rPr>
        <w:t>euro</w:t>
      </w:r>
      <w:r w:rsidR="005F048F" w:rsidRPr="005F048F">
        <w:t xml:space="preserve">, sakarā ar </w:t>
      </w:r>
      <w:r w:rsidR="007A2744">
        <w:t xml:space="preserve">[pers. A] </w:t>
      </w:r>
      <w:r w:rsidR="005F048F" w:rsidRPr="005F048F">
        <w:t xml:space="preserve">kasācijas sūdzību par Administratīvās apgabaltiesas </w:t>
      </w:r>
      <w:r w:rsidR="002407F3" w:rsidRPr="005F048F">
        <w:t>20</w:t>
      </w:r>
      <w:r w:rsidR="002407F3">
        <w:t>20</w:t>
      </w:r>
      <w:r w:rsidR="005F048F" w:rsidRPr="005F048F">
        <w:t xml:space="preserve">.gada </w:t>
      </w:r>
      <w:r w:rsidR="002407F3">
        <w:t>9.aprīļa</w:t>
      </w:r>
      <w:r w:rsidR="005F048F" w:rsidRPr="005F048F">
        <w:t xml:space="preserve"> spriedumu.</w:t>
      </w:r>
    </w:p>
    <w:p w14:paraId="5BABF4D5" w14:textId="77777777" w:rsidR="0092755B" w:rsidRDefault="0092755B" w:rsidP="007A2744">
      <w:pPr>
        <w:spacing w:line="276" w:lineRule="auto"/>
        <w:ind w:firstLine="567"/>
        <w:jc w:val="both"/>
      </w:pPr>
      <w:bookmarkStart w:id="5" w:name="_Hlk21594932"/>
      <w:bookmarkEnd w:id="4"/>
    </w:p>
    <w:p w14:paraId="6EDC889C" w14:textId="77777777" w:rsidR="0092755B" w:rsidRPr="004F096F" w:rsidRDefault="0092755B" w:rsidP="007A2744">
      <w:pPr>
        <w:spacing w:line="276" w:lineRule="auto"/>
        <w:jc w:val="center"/>
        <w:rPr>
          <w:b/>
        </w:rPr>
      </w:pPr>
      <w:r w:rsidRPr="004F096F">
        <w:rPr>
          <w:b/>
        </w:rPr>
        <w:t>Aprakstošā daļa</w:t>
      </w:r>
    </w:p>
    <w:p w14:paraId="1D71C4D5" w14:textId="77777777" w:rsidR="0092755B" w:rsidRDefault="0092755B" w:rsidP="007A2744">
      <w:pPr>
        <w:spacing w:line="276" w:lineRule="auto"/>
        <w:ind w:firstLine="567"/>
        <w:jc w:val="both"/>
      </w:pPr>
    </w:p>
    <w:p w14:paraId="24728DBC" w14:textId="6120A4B5" w:rsidR="00ED7050" w:rsidRDefault="005F048F" w:rsidP="007A2744">
      <w:pPr>
        <w:spacing w:line="276" w:lineRule="auto"/>
        <w:ind w:firstLine="567"/>
        <w:jc w:val="both"/>
      </w:pPr>
      <w:bookmarkStart w:id="6" w:name="_Hlk21594996"/>
      <w:bookmarkEnd w:id="5"/>
      <w:r>
        <w:t xml:space="preserve">[1] </w:t>
      </w:r>
      <w:r w:rsidR="003C1062">
        <w:t>P</w:t>
      </w:r>
      <w:r w:rsidR="008A51F8">
        <w:t xml:space="preserve">ieteicējs </w:t>
      </w:r>
      <w:r w:rsidR="007A2744">
        <w:t xml:space="preserve">[pers. A] </w:t>
      </w:r>
      <w:r w:rsidR="003C1062">
        <w:t xml:space="preserve">atradās </w:t>
      </w:r>
      <w:r w:rsidR="001A6C21">
        <w:t>prokuratūras telpās</w:t>
      </w:r>
      <w:r w:rsidR="003C1062">
        <w:t xml:space="preserve"> un veica darbības, no kurām varēja saprast, ka viņš filmē. Tā kā filmēšana bez atļaujas prokuratūrā ir aizliegta (ir izliktas arī brīdinājuma zīmes)</w:t>
      </w:r>
      <w:r w:rsidR="008A51F8">
        <w:t>,</w:t>
      </w:r>
      <w:r w:rsidR="001A6C21">
        <w:t xml:space="preserve"> </w:t>
      </w:r>
      <w:r w:rsidR="00C93030">
        <w:t xml:space="preserve">prokuratūras </w:t>
      </w:r>
      <w:r w:rsidR="001A6C21">
        <w:t xml:space="preserve">apsargs </w:t>
      </w:r>
      <w:r w:rsidR="008A51F8">
        <w:t>izsauca policiju un neļāva pieteicējam doties prom no prokuratūras līdz policijas ie</w:t>
      </w:r>
      <w:r w:rsidR="006E5643">
        <w:t>r</w:t>
      </w:r>
      <w:r w:rsidR="008A51F8">
        <w:t xml:space="preserve">ašanās brīdim. Valsts policijas darbinieki nogādāja </w:t>
      </w:r>
      <w:r w:rsidR="007500A8">
        <w:t>pieteicēju</w:t>
      </w:r>
      <w:r w:rsidR="008A51F8">
        <w:t xml:space="preserve"> policijas iecirknī administratīvā pārkāpuma protokola noformēša</w:t>
      </w:r>
      <w:r w:rsidR="006E0CF4">
        <w:t xml:space="preserve">nai. </w:t>
      </w:r>
      <w:r w:rsidR="006116BB">
        <w:t>Pieteicējam</w:t>
      </w:r>
      <w:r w:rsidR="006E0CF4">
        <w:t xml:space="preserve"> izņemti divi telefoni un videokamera. Uzskatot, ka pieteicējs pārkāpis Fizisko personu datu aizsardzības likuma normas, policija sastādīja administratīvā pārkāpuma protokolu</w:t>
      </w:r>
      <w:r w:rsidR="001A1196">
        <w:t xml:space="preserve">, kuru kopā ar izņemtajām mantām nodeva Datu valsts inspekcijai (turpmāk – inspekcija). Inspekcija secināja, ka videokamerā nav </w:t>
      </w:r>
      <w:r w:rsidR="002E3B47">
        <w:t xml:space="preserve">saglabātu </w:t>
      </w:r>
      <w:r w:rsidR="001A1196">
        <w:t>failu</w:t>
      </w:r>
      <w:r w:rsidR="003617E2">
        <w:t xml:space="preserve">, bet telefonu saturam nevar </w:t>
      </w:r>
      <w:r w:rsidR="003C1062">
        <w:t>piekļūt</w:t>
      </w:r>
      <w:r w:rsidR="003617E2">
        <w:t>,</w:t>
      </w:r>
      <w:r w:rsidR="001A1196">
        <w:t xml:space="preserve"> un izbeidza lietvedību administratīvā pārkāpuma </w:t>
      </w:r>
      <w:r w:rsidR="000F6452">
        <w:t xml:space="preserve">sastāva </w:t>
      </w:r>
      <w:r w:rsidR="001A1196">
        <w:t>trūkuma dēļ. Mantas tika atdotas pieteicējam.</w:t>
      </w:r>
    </w:p>
    <w:p w14:paraId="197A7FF0" w14:textId="3BA4FFFA" w:rsidR="001A1196" w:rsidRDefault="001A1196" w:rsidP="007A2744">
      <w:pPr>
        <w:spacing w:line="276" w:lineRule="auto"/>
        <w:ind w:firstLine="567"/>
        <w:jc w:val="both"/>
      </w:pPr>
      <w:r>
        <w:t>Pieteicējs</w:t>
      </w:r>
      <w:r w:rsidR="006E5643">
        <w:t xml:space="preserve"> </w:t>
      </w:r>
      <w:r w:rsidR="006116BB">
        <w:t>lūdza inspekciju atlīdzināt administratīvā pārkāpuma lietvedībā nodarīto nemantisko kaitējumu 300</w:t>
      </w:r>
      <w:r w:rsidR="00DC59BE">
        <w:t> </w:t>
      </w:r>
      <w:r w:rsidR="006116BB">
        <w:rPr>
          <w:i/>
          <w:iCs/>
        </w:rPr>
        <w:t xml:space="preserve">euro </w:t>
      </w:r>
      <w:r w:rsidR="006116BB">
        <w:t xml:space="preserve">un </w:t>
      </w:r>
      <w:r w:rsidR="000F6452">
        <w:t>zaudējumus</w:t>
      </w:r>
      <w:r w:rsidR="006116BB">
        <w:t xml:space="preserve"> 42,19</w:t>
      </w:r>
      <w:r w:rsidR="00DC59BE">
        <w:t> </w:t>
      </w:r>
      <w:r w:rsidR="006116BB">
        <w:rPr>
          <w:i/>
          <w:iCs/>
        </w:rPr>
        <w:t>euro</w:t>
      </w:r>
      <w:r w:rsidR="003C1062" w:rsidRPr="003C1062">
        <w:t xml:space="preserve"> </w:t>
      </w:r>
      <w:r w:rsidR="003C1062">
        <w:t>par nepamatoti ierobežotu brīvību un tiesību uz privāto dzīvi aizskārumu</w:t>
      </w:r>
      <w:r w:rsidR="006116BB">
        <w:rPr>
          <w:i/>
          <w:iCs/>
        </w:rPr>
        <w:t xml:space="preserve">. </w:t>
      </w:r>
      <w:r w:rsidR="006116BB">
        <w:t xml:space="preserve">Inspekcija lūgumu noraidīja. </w:t>
      </w:r>
    </w:p>
    <w:p w14:paraId="66F4891B" w14:textId="5C2A66AD" w:rsidR="005F048F" w:rsidRDefault="006E5643" w:rsidP="007A2744">
      <w:pPr>
        <w:spacing w:line="276" w:lineRule="auto"/>
        <w:ind w:firstLine="567"/>
        <w:jc w:val="both"/>
      </w:pPr>
      <w:r>
        <w:t xml:space="preserve">Biedrība </w:t>
      </w:r>
      <w:r w:rsidR="00D5010E" w:rsidRPr="00E439CA">
        <w:rPr>
          <w:bCs/>
          <w:lang w:val="af-ZA"/>
        </w:rPr>
        <w:t>„</w:t>
      </w:r>
      <w:r w:rsidRPr="00ED7050">
        <w:t xml:space="preserve">Latvijas Pilsoniskā Cilvēktiesību Komisija” </w:t>
      </w:r>
      <w:r>
        <w:t>pieteicēja vārdā</w:t>
      </w:r>
      <w:r w:rsidR="005F048F">
        <w:t xml:space="preserve"> vērsās ar pieteikumu</w:t>
      </w:r>
      <w:r>
        <w:t xml:space="preserve"> administratīvajā tiesā</w:t>
      </w:r>
      <w:r w:rsidR="005F048F">
        <w:t>.</w:t>
      </w:r>
    </w:p>
    <w:p w14:paraId="199A68EE" w14:textId="77777777" w:rsidR="009D206A" w:rsidRDefault="009D206A" w:rsidP="007A2744">
      <w:pPr>
        <w:spacing w:line="276" w:lineRule="auto"/>
        <w:ind w:firstLine="567"/>
        <w:jc w:val="both"/>
      </w:pPr>
    </w:p>
    <w:p w14:paraId="2511BC10" w14:textId="5BE4174B" w:rsidR="004F1E9C" w:rsidRDefault="005F048F" w:rsidP="007A2744">
      <w:pPr>
        <w:spacing w:line="276" w:lineRule="auto"/>
        <w:ind w:firstLine="567"/>
        <w:jc w:val="both"/>
      </w:pPr>
      <w:r>
        <w:t xml:space="preserve">[2] Administratīvā </w:t>
      </w:r>
      <w:r w:rsidR="006E5643">
        <w:t xml:space="preserve">rajona tiesa atzina, ka </w:t>
      </w:r>
      <w:r w:rsidR="00B23D1C">
        <w:t xml:space="preserve">nebija pamata aizturēt pieteicēju, lai sastādītu </w:t>
      </w:r>
      <w:r w:rsidR="000F6452">
        <w:t xml:space="preserve">administratīvā pārkāpuma </w:t>
      </w:r>
      <w:r w:rsidR="00B23D1C">
        <w:t xml:space="preserve">protokolu, tāpēc </w:t>
      </w:r>
      <w:r w:rsidR="006E5643">
        <w:t>pieteicējam atlīdzināms nemantiskais k</w:t>
      </w:r>
      <w:r w:rsidR="004F1E9C">
        <w:t>ai</w:t>
      </w:r>
      <w:r w:rsidR="006E5643">
        <w:t>tējums 16</w:t>
      </w:r>
      <w:r w:rsidR="00DC59BE">
        <w:t> </w:t>
      </w:r>
      <w:r w:rsidR="006E5643" w:rsidRPr="004F1E9C">
        <w:rPr>
          <w:i/>
          <w:iCs/>
        </w:rPr>
        <w:t>euro</w:t>
      </w:r>
      <w:r w:rsidR="00B23D1C">
        <w:t>. P</w:t>
      </w:r>
      <w:r w:rsidR="004F1E9C">
        <w:t>ārējā daļā pieteikumu</w:t>
      </w:r>
      <w:r w:rsidR="00B23D1C">
        <w:t xml:space="preserve"> tiesa</w:t>
      </w:r>
      <w:r w:rsidR="004F1E9C">
        <w:t xml:space="preserve"> noraidīja. </w:t>
      </w:r>
    </w:p>
    <w:p w14:paraId="6AA6CB71" w14:textId="14D1C969" w:rsidR="005F048F" w:rsidRDefault="004F1E9C" w:rsidP="007A2744">
      <w:pPr>
        <w:spacing w:line="276" w:lineRule="auto"/>
        <w:ind w:firstLine="567"/>
        <w:jc w:val="both"/>
      </w:pPr>
      <w:r>
        <w:t>A</w:t>
      </w:r>
      <w:r w:rsidR="005F048F" w:rsidRPr="006E5643">
        <w:t>pgabaltiesa</w:t>
      </w:r>
      <w:r>
        <w:t>, izskatot pieteicēja apelācijas sūdzību, pārsūdzētajā daļā</w:t>
      </w:r>
      <w:r w:rsidR="005F048F">
        <w:t xml:space="preserve"> pieteikumu noraidīja. </w:t>
      </w:r>
      <w:r w:rsidR="001B454E">
        <w:t>Spriedumā</w:t>
      </w:r>
      <w:r w:rsidR="005F048F">
        <w:t xml:space="preserve">, </w:t>
      </w:r>
      <w:r w:rsidR="003C1062">
        <w:t xml:space="preserve">daļēji </w:t>
      </w:r>
      <w:r w:rsidR="005F048F">
        <w:t xml:space="preserve">pievienojoties arī pirmās instances tiesas argumentācijai, </w:t>
      </w:r>
      <w:r w:rsidR="00B23D1C">
        <w:t>tiesa atzina</w:t>
      </w:r>
      <w:r w:rsidR="005F048F">
        <w:t xml:space="preserve">, ka </w:t>
      </w:r>
      <w:r w:rsidR="00B23D1C">
        <w:t>pieteicējs tika aizturēts, jo veica neatļautas darbības</w:t>
      </w:r>
      <w:r w:rsidR="009725B6">
        <w:t xml:space="preserve"> arī pēc tam, kad viņam tika prasīts to pārtraukt</w:t>
      </w:r>
      <w:r w:rsidR="00B23D1C">
        <w:t xml:space="preserve">. Lietā nav strīda, ka uz prokuratūras durvīm ir </w:t>
      </w:r>
      <w:r w:rsidR="009725B6">
        <w:t xml:space="preserve">norādīts, ka filmēt un fotografēt nedrīkst. Pieteicējs šādas darbības </w:t>
      </w:r>
      <w:r w:rsidR="000F6452">
        <w:t xml:space="preserve">bija </w:t>
      </w:r>
      <w:r w:rsidR="009725B6">
        <w:t>veicis jau iepriekš.</w:t>
      </w:r>
      <w:r w:rsidR="00943B9B">
        <w:t xml:space="preserve"> P</w:t>
      </w:r>
      <w:r w:rsidR="00943B9B" w:rsidRPr="00943B9B">
        <w:t xml:space="preserve">ieteicēja rīcība bija </w:t>
      </w:r>
      <w:r w:rsidR="00943B9B" w:rsidRPr="00943B9B">
        <w:lastRenderedPageBreak/>
        <w:t xml:space="preserve">acīmredzami ļaunprātīga un provocējoša, </w:t>
      </w:r>
      <w:r w:rsidR="00A253ED" w:rsidRPr="00943B9B">
        <w:t>lai izraisītu</w:t>
      </w:r>
      <w:r w:rsidR="00943B9B" w:rsidRPr="00943B9B">
        <w:t xml:space="preserve"> konfliktsituāciju</w:t>
      </w:r>
      <w:r w:rsidR="007500A8">
        <w:t xml:space="preserve"> un</w:t>
      </w:r>
      <w:r w:rsidR="00943B9B" w:rsidRPr="00943B9B">
        <w:t xml:space="preserve"> </w:t>
      </w:r>
      <w:r w:rsidR="00A253ED">
        <w:t>prasītu</w:t>
      </w:r>
      <w:r w:rsidR="00943B9B" w:rsidRPr="00943B9B">
        <w:t xml:space="preserve"> zaudējumu atlīdzināšanu</w:t>
      </w:r>
      <w:r w:rsidR="00943B9B">
        <w:t xml:space="preserve">. </w:t>
      </w:r>
      <w:r w:rsidR="00A253ED">
        <w:t>P</w:t>
      </w:r>
      <w:r w:rsidR="00943B9B">
        <w:t>ieteicēja rīcībā ir saskatāmas vairāku pārkāpumu, arī huligānisma pazīmes, tāpēc ir konstatējama pieteicēja līdzatbildība</w:t>
      </w:r>
      <w:r w:rsidR="00B038D0">
        <w:t>.</w:t>
      </w:r>
    </w:p>
    <w:p w14:paraId="5BCC2BF8" w14:textId="24FACDDC" w:rsidR="00B038D0" w:rsidRDefault="00B038D0" w:rsidP="007A2744">
      <w:pPr>
        <w:spacing w:line="276" w:lineRule="auto"/>
        <w:ind w:firstLine="567"/>
        <w:jc w:val="both"/>
      </w:pPr>
      <w:r w:rsidRPr="00B038D0">
        <w:t>Atbilstoši Apsardzes darbības likum</w:t>
      </w:r>
      <w:r w:rsidR="002407F3">
        <w:t>a</w:t>
      </w:r>
      <w:r w:rsidR="007500A8">
        <w:t xml:space="preserve"> normām</w:t>
      </w:r>
      <w:r w:rsidRPr="00B038D0">
        <w:t xml:space="preserve"> apsargam ir pienākums veikt nepieciešamos pasākumus, lai novērstu pret apsargājamo objektu vērstus likumpārkāpumus.</w:t>
      </w:r>
      <w:r>
        <w:t xml:space="preserve"> Lai arī apsargam nebija sertifikāta, viņš oficiāli pildīja prokuratūras apsarga pienākumus un viņam bija tiesības </w:t>
      </w:r>
      <w:r w:rsidR="00F51E3C">
        <w:t xml:space="preserve">un arī pienākums </w:t>
      </w:r>
      <w:r>
        <w:t>ierobežot pieteicēja brīvību un izsaukt policiju. To nemaina fakts, ka vēlāk policij</w:t>
      </w:r>
      <w:r w:rsidR="007500A8">
        <w:t>ā</w:t>
      </w:r>
      <w:r>
        <w:t xml:space="preserve"> procesuālie dokumenti tika noformēti kļūdaini</w:t>
      </w:r>
      <w:r w:rsidR="00F51E3C">
        <w:t>. P</w:t>
      </w:r>
      <w:r w:rsidR="00F51E3C" w:rsidRPr="00F51E3C">
        <w:t>ieteicēj</w:t>
      </w:r>
      <w:r w:rsidR="002407F3">
        <w:t>s</w:t>
      </w:r>
      <w:r w:rsidR="00F51E3C" w:rsidRPr="00F51E3C">
        <w:t xml:space="preserve"> </w:t>
      </w:r>
      <w:r w:rsidR="00F51E3C">
        <w:t>nebūtu</w:t>
      </w:r>
      <w:r w:rsidR="00F51E3C" w:rsidRPr="00F51E3C">
        <w:t xml:space="preserve"> aizturē</w:t>
      </w:r>
      <w:r w:rsidR="00F51E3C">
        <w:t>ts</w:t>
      </w:r>
      <w:r w:rsidR="00F51E3C" w:rsidRPr="00F51E3C">
        <w:t xml:space="preserve">, ja būtu </w:t>
      </w:r>
      <w:r w:rsidR="00D03385">
        <w:t>ievērojis</w:t>
      </w:r>
      <w:r w:rsidR="00F51E3C" w:rsidRPr="00F51E3C">
        <w:t xml:space="preserve"> apsarga aizrādījumu</w:t>
      </w:r>
      <w:r w:rsidR="00F51E3C">
        <w:t>.</w:t>
      </w:r>
    </w:p>
    <w:p w14:paraId="1E691283" w14:textId="4221CFF5" w:rsidR="00023E80" w:rsidRDefault="00023E80" w:rsidP="007A2744">
      <w:pPr>
        <w:spacing w:line="276" w:lineRule="auto"/>
        <w:ind w:firstLine="567"/>
        <w:jc w:val="both"/>
      </w:pPr>
      <w:r w:rsidRPr="00023E80">
        <w:t>Ir jānošķir pieteicēja aizturēšana, ko veica prokuratūras apsargs, no Valsts policijas darbinieku veiktās pieteicēja aizturēšanas</w:t>
      </w:r>
      <w:r>
        <w:t>. M</w:t>
      </w:r>
      <w:r w:rsidRPr="00023E80">
        <w:t>inētās darbības reglamentē atšķirīgi normatīvie akti</w:t>
      </w:r>
      <w:r>
        <w:t xml:space="preserve"> </w:t>
      </w:r>
      <w:r w:rsidR="00D03385">
        <w:t xml:space="preserve">(sk. arī </w:t>
      </w:r>
      <w:r w:rsidR="00D03385" w:rsidRPr="00023E80">
        <w:t>likum</w:t>
      </w:r>
      <w:r w:rsidR="00D03385">
        <w:t>u</w:t>
      </w:r>
      <w:r w:rsidR="00D03385" w:rsidRPr="00023E80">
        <w:t xml:space="preserve"> </w:t>
      </w:r>
      <w:r w:rsidR="00D5010E" w:rsidRPr="00E439CA">
        <w:rPr>
          <w:bCs/>
          <w:lang w:val="af-ZA"/>
        </w:rPr>
        <w:t>„</w:t>
      </w:r>
      <w:r w:rsidRPr="00023E80">
        <w:t>Par policiju”</w:t>
      </w:r>
      <w:r w:rsidR="003C1062">
        <w:t xml:space="preserve"> un</w:t>
      </w:r>
      <w:r w:rsidRPr="00023E80">
        <w:t xml:space="preserve"> L</w:t>
      </w:r>
      <w:r>
        <w:t xml:space="preserve">atvijas Administratīvo pārkāpumu </w:t>
      </w:r>
      <w:r w:rsidR="00D03385">
        <w:t>kodeksu)</w:t>
      </w:r>
      <w:r w:rsidR="007500A8">
        <w:t>.</w:t>
      </w:r>
      <w:r w:rsidRPr="00023E80">
        <w:t xml:space="preserve"> </w:t>
      </w:r>
      <w:r w:rsidR="00597184" w:rsidRPr="00597184">
        <w:t xml:space="preserve">Kriminālprocesā un administratīvo pārkāpumu lietvedībā nodarītā kaitējuma atlīdzināšanas </w:t>
      </w:r>
      <w:r w:rsidR="00597184">
        <w:t xml:space="preserve">likums (turpmāk </w:t>
      </w:r>
      <w:r w:rsidR="00DC59BE">
        <w:t>–</w:t>
      </w:r>
      <w:r w:rsidR="005E7B87">
        <w:t xml:space="preserve"> </w:t>
      </w:r>
      <w:r w:rsidRPr="00023E80">
        <w:t>Atlīdzināšanas likum</w:t>
      </w:r>
      <w:r>
        <w:t>s</w:t>
      </w:r>
      <w:r w:rsidR="00597184">
        <w:t>)</w:t>
      </w:r>
      <w:r>
        <w:t xml:space="preserve"> </w:t>
      </w:r>
      <w:r w:rsidRPr="00023E80">
        <w:t>paredz atlīdzinājumu par administratīvo aizturēšanu</w:t>
      </w:r>
      <w:r>
        <w:t>. Apsarga veiktā pieteicēja aizturēšana nav uzskatāma par administratīvo aizturēšanu. Administratīvās aizturēšanas termiņš netika pārkāpts.</w:t>
      </w:r>
    </w:p>
    <w:p w14:paraId="244A3237" w14:textId="2CD7F906" w:rsidR="00497DEB" w:rsidRDefault="00497DEB" w:rsidP="007A2744">
      <w:pPr>
        <w:spacing w:line="276" w:lineRule="auto"/>
        <w:ind w:firstLine="567"/>
        <w:jc w:val="both"/>
      </w:pPr>
      <w:r>
        <w:t>Brīdī, kad pieteicējs tika aizturēts</w:t>
      </w:r>
      <w:r w:rsidR="003C1062">
        <w:t>,</w:t>
      </w:r>
      <w:r>
        <w:t xml:space="preserve"> nebija zināms, ka pieteicējs, iespējams, nav filmējis trešās personas. Tāpēc policijai bija tiesības izņemt pieteicēja mantas, kas bija uzskatāmas par pārkāpuma rīku.</w:t>
      </w:r>
    </w:p>
    <w:p w14:paraId="1B686A55" w14:textId="79DF6E83" w:rsidR="00497DEB" w:rsidRDefault="00497DEB" w:rsidP="007A2744">
      <w:pPr>
        <w:spacing w:line="276" w:lineRule="auto"/>
        <w:ind w:firstLine="567"/>
        <w:jc w:val="both"/>
      </w:pPr>
      <w:r>
        <w:t>Tā kā pieteicējs jau</w:t>
      </w:r>
      <w:r w:rsidR="009D6B8B">
        <w:t xml:space="preserve"> </w:t>
      </w:r>
      <w:r w:rsidR="007500A8">
        <w:t xml:space="preserve">iepriekš ir </w:t>
      </w:r>
      <w:r w:rsidR="009D6B8B">
        <w:t>bijis aizturēts par neatļautu filmēšanu prokuratūras telpās, jau p</w:t>
      </w:r>
      <w:r>
        <w:t xml:space="preserve">irms ierašanās </w:t>
      </w:r>
      <w:r w:rsidR="007500A8">
        <w:t>viņš</w:t>
      </w:r>
      <w:r>
        <w:t xml:space="preserve"> zināja</w:t>
      </w:r>
      <w:r w:rsidR="009D6B8B">
        <w:t>, ka tiks prasīta kārtības ievērošana. Ja viņa nolūks būtu labticīgs, viņš būtu lūdzis atļauju filmēt. Turklāt no apsarga iesnieguma izriet, ka viņš ir filmējis ar telefonu, bet telefona saturs vēlāk netika apskatīts (tam nevarēja piekļūt). Pierādījumi tika vērtēti par labu pieteicējam.</w:t>
      </w:r>
    </w:p>
    <w:p w14:paraId="74B19A07" w14:textId="29ADD176" w:rsidR="009D6B8B" w:rsidRDefault="009D6B8B" w:rsidP="007A2744">
      <w:pPr>
        <w:spacing w:line="276" w:lineRule="auto"/>
        <w:ind w:firstLine="567"/>
        <w:jc w:val="both"/>
      </w:pPr>
      <w:r>
        <w:t xml:space="preserve">Nav konstatējams, ka aizturēšanas laikā pieteicējs būtu </w:t>
      </w:r>
      <w:r w:rsidR="00601792">
        <w:t>turēts</w:t>
      </w:r>
      <w:r>
        <w:t xml:space="preserve"> neatbilstošos apstākļos.</w:t>
      </w:r>
      <w:r w:rsidR="00B1765F">
        <w:t xml:space="preserve"> </w:t>
      </w:r>
      <w:r w:rsidR="00B1765F" w:rsidRPr="00B1765F">
        <w:t>Lietā konstatētajos apstākļos pārkāpuma (nepilnības procesuālo dokumentu noformēšanā, apstākļu noskaidrošanā, pierādījumu nostiprināšanā un pārbaudē, kā rezultātā administratīvā pārkāpuma lieta tika izbeigta) konstatēšana ir pietiekams atlīdzinājums par nemantisko kaitējumu</w:t>
      </w:r>
      <w:r w:rsidR="00B1765F">
        <w:t>.</w:t>
      </w:r>
    </w:p>
    <w:p w14:paraId="48B007E3" w14:textId="77777777" w:rsidR="009D206A" w:rsidRDefault="009D206A" w:rsidP="007A2744">
      <w:pPr>
        <w:spacing w:line="276" w:lineRule="auto"/>
        <w:ind w:firstLine="567"/>
        <w:jc w:val="both"/>
      </w:pPr>
    </w:p>
    <w:p w14:paraId="4108A250" w14:textId="7DFC6EC6" w:rsidR="00BE7AD0" w:rsidRPr="00914FBB" w:rsidRDefault="005F048F" w:rsidP="007A2744">
      <w:pPr>
        <w:spacing w:line="276" w:lineRule="auto"/>
        <w:ind w:firstLine="567"/>
        <w:jc w:val="both"/>
        <w:rPr>
          <w:color w:val="000000"/>
        </w:rPr>
      </w:pPr>
      <w:r>
        <w:t>[3] Pieteicējs iesniedzis kasācijas sūdzību par apgabaltiesas spriedumu</w:t>
      </w:r>
      <w:r w:rsidR="00612118">
        <w:t>. Sūdzībā norādīts, ka ģ</w:t>
      </w:r>
      <w:r w:rsidR="00F6142C">
        <w:t>enerālprokurors nav pilnvarots izdot ārējo normatīvo aktu, ierobežo</w:t>
      </w:r>
      <w:r w:rsidR="00A47371">
        <w:t>jot</w:t>
      </w:r>
      <w:r w:rsidR="00F6142C">
        <w:t xml:space="preserve"> vārda brīvību.</w:t>
      </w:r>
      <w:r w:rsidR="000B5818">
        <w:t xml:space="preserve"> </w:t>
      </w:r>
      <w:r w:rsidR="00016848">
        <w:t>Ar to, ka p</w:t>
      </w:r>
      <w:r w:rsidR="000B5818">
        <w:t xml:space="preserve">irmās instances tiesa bija atzinusi aizturēšanas prettiesiskumu, pietiek, lai saņemtu </w:t>
      </w:r>
      <w:r w:rsidR="00D5010E">
        <w:t xml:space="preserve">prasīto </w:t>
      </w:r>
      <w:r w:rsidR="000B5818">
        <w:t>atlīdzinājumu.</w:t>
      </w:r>
      <w:r w:rsidR="000B5818">
        <w:rPr>
          <w:bCs/>
          <w:color w:val="000000"/>
        </w:rPr>
        <w:t xml:space="preserve"> Nav saprotams, n</w:t>
      </w:r>
      <w:r w:rsidR="00CA2F0F">
        <w:rPr>
          <w:bCs/>
          <w:color w:val="000000"/>
        </w:rPr>
        <w:t xml:space="preserve">o kā tiesa </w:t>
      </w:r>
      <w:r w:rsidR="00972405">
        <w:rPr>
          <w:bCs/>
          <w:color w:val="000000"/>
        </w:rPr>
        <w:t>secinājusi</w:t>
      </w:r>
      <w:r w:rsidR="00CA2F0F">
        <w:rPr>
          <w:bCs/>
          <w:color w:val="000000"/>
        </w:rPr>
        <w:t xml:space="preserve">, ka policijas darbinieki vairākkārtīgi prasīja pārtraukt pārkāpumu. </w:t>
      </w:r>
      <w:r w:rsidR="005A0288">
        <w:rPr>
          <w:bCs/>
          <w:color w:val="000000"/>
        </w:rPr>
        <w:t xml:space="preserve">Tiesa </w:t>
      </w:r>
      <w:r w:rsidR="00972405">
        <w:rPr>
          <w:bCs/>
          <w:color w:val="000000"/>
        </w:rPr>
        <w:t xml:space="preserve">neesot </w:t>
      </w:r>
      <w:r w:rsidR="005A0288">
        <w:rPr>
          <w:bCs/>
          <w:color w:val="000000"/>
        </w:rPr>
        <w:t>ņēmusi vērā, ka apsarga ziņojumā norādīts, ka pieteicējs pēc filmēšanas ir vēlējies doties prom</w:t>
      </w:r>
      <w:r w:rsidR="00016848">
        <w:rPr>
          <w:bCs/>
          <w:color w:val="000000"/>
        </w:rPr>
        <w:t>, bet a</w:t>
      </w:r>
      <w:r w:rsidR="005A0288">
        <w:rPr>
          <w:bCs/>
          <w:color w:val="000000"/>
        </w:rPr>
        <w:t xml:space="preserve">psargs </w:t>
      </w:r>
      <w:r w:rsidR="00016848">
        <w:rPr>
          <w:bCs/>
          <w:color w:val="000000"/>
        </w:rPr>
        <w:t>to nav ļāvis.</w:t>
      </w:r>
      <w:r w:rsidR="005A0288">
        <w:rPr>
          <w:bCs/>
          <w:color w:val="000000"/>
        </w:rPr>
        <w:t xml:space="preserve"> </w:t>
      </w:r>
      <w:r w:rsidR="00BE7AD0">
        <w:rPr>
          <w:bCs/>
          <w:color w:val="000000"/>
        </w:rPr>
        <w:t xml:space="preserve">Aizturēšana bija </w:t>
      </w:r>
      <w:r w:rsidR="006D0F6F">
        <w:rPr>
          <w:bCs/>
          <w:color w:val="000000"/>
        </w:rPr>
        <w:t xml:space="preserve">prettiesiska </w:t>
      </w:r>
      <w:r w:rsidR="00BE7AD0">
        <w:rPr>
          <w:bCs/>
          <w:color w:val="000000"/>
        </w:rPr>
        <w:t xml:space="preserve">arī tāpēc, ka pieteicēja rīcībā nebija likumpārkāpuma. </w:t>
      </w:r>
      <w:r w:rsidR="00016848">
        <w:rPr>
          <w:bCs/>
          <w:color w:val="000000"/>
        </w:rPr>
        <w:t>A</w:t>
      </w:r>
      <w:r w:rsidR="00BE7AD0">
        <w:rPr>
          <w:bCs/>
          <w:color w:val="000000"/>
        </w:rPr>
        <w:t>psarg</w:t>
      </w:r>
      <w:r w:rsidR="00016848">
        <w:rPr>
          <w:bCs/>
          <w:color w:val="000000"/>
        </w:rPr>
        <w:t>s</w:t>
      </w:r>
      <w:r w:rsidR="00BE7AD0">
        <w:rPr>
          <w:bCs/>
          <w:color w:val="000000"/>
        </w:rPr>
        <w:t xml:space="preserve"> atzīstams par valsts pārstāvi. Aizturēšanas laika skaitīšanā bija jāpiemēro Eiropas Cilvēktiesību tiesas judikatūra.</w:t>
      </w:r>
      <w:r w:rsidR="007976F6">
        <w:rPr>
          <w:bCs/>
          <w:color w:val="000000"/>
        </w:rPr>
        <w:t xml:space="preserve"> </w:t>
      </w:r>
      <w:r w:rsidR="00F47074">
        <w:rPr>
          <w:bCs/>
          <w:color w:val="000000"/>
        </w:rPr>
        <w:t>Tiesiskais regulējums</w:t>
      </w:r>
      <w:r w:rsidR="00F47074" w:rsidRPr="008866A1">
        <w:rPr>
          <w:bCs/>
          <w:color w:val="000000"/>
        </w:rPr>
        <w:t xml:space="preserve"> </w:t>
      </w:r>
      <w:r w:rsidR="00972405">
        <w:rPr>
          <w:bCs/>
          <w:color w:val="000000"/>
        </w:rPr>
        <w:t>esot</w:t>
      </w:r>
      <w:r w:rsidR="00972405" w:rsidRPr="008866A1">
        <w:rPr>
          <w:bCs/>
          <w:color w:val="000000"/>
        </w:rPr>
        <w:t xml:space="preserve"> </w:t>
      </w:r>
      <w:r w:rsidR="007976F6" w:rsidRPr="008866A1">
        <w:rPr>
          <w:bCs/>
          <w:color w:val="000000"/>
        </w:rPr>
        <w:t>mainījies</w:t>
      </w:r>
      <w:r w:rsidR="00F47074">
        <w:rPr>
          <w:bCs/>
          <w:color w:val="000000"/>
        </w:rPr>
        <w:t>,</w:t>
      </w:r>
      <w:r w:rsidR="007976F6">
        <w:rPr>
          <w:bCs/>
          <w:color w:val="000000"/>
        </w:rPr>
        <w:t xml:space="preserve"> un t</w:t>
      </w:r>
      <w:r w:rsidR="007976F6" w:rsidRPr="008866A1">
        <w:rPr>
          <w:bCs/>
          <w:color w:val="000000"/>
        </w:rPr>
        <w:t>agad administratīv</w:t>
      </w:r>
      <w:r w:rsidR="00D51C32">
        <w:rPr>
          <w:bCs/>
          <w:color w:val="000000"/>
        </w:rPr>
        <w:t>ā</w:t>
      </w:r>
      <w:r w:rsidR="007976F6" w:rsidRPr="008866A1">
        <w:rPr>
          <w:bCs/>
          <w:color w:val="000000"/>
        </w:rPr>
        <w:t xml:space="preserve"> pārkāpuma liet</w:t>
      </w:r>
      <w:r w:rsidR="007976F6">
        <w:rPr>
          <w:bCs/>
          <w:color w:val="000000"/>
        </w:rPr>
        <w:t>ā</w:t>
      </w:r>
      <w:r w:rsidR="007976F6" w:rsidRPr="008866A1">
        <w:rPr>
          <w:bCs/>
          <w:color w:val="000000"/>
        </w:rPr>
        <w:t xml:space="preserve">s </w:t>
      </w:r>
      <w:r w:rsidR="007976F6" w:rsidRPr="007976F6">
        <w:rPr>
          <w:color w:val="000000"/>
        </w:rPr>
        <w:t>aizliegts piemērot objektīvas izmeklēšanas principus</w:t>
      </w:r>
      <w:r w:rsidR="007976F6">
        <w:rPr>
          <w:color w:val="000000"/>
        </w:rPr>
        <w:t>. Inspekcijai bija jāsaņem materiāl</w:t>
      </w:r>
      <w:r w:rsidR="00016848">
        <w:rPr>
          <w:color w:val="000000"/>
        </w:rPr>
        <w:t>i</w:t>
      </w:r>
      <w:r w:rsidR="007976F6">
        <w:rPr>
          <w:color w:val="000000"/>
        </w:rPr>
        <w:t xml:space="preserve"> un tā varēja sastādīt administratīvo pārkāpumu protokolu. Šādā aspektā bija jāpiemēro Eiropas Cilvēka tiesību un pamatbrīvību aizsardzības konvencijas</w:t>
      </w:r>
      <w:r w:rsidR="004D535C">
        <w:rPr>
          <w:color w:val="000000"/>
        </w:rPr>
        <w:t xml:space="preserve"> (turpmāk – konvencija)</w:t>
      </w:r>
      <w:r w:rsidR="007976F6">
        <w:rPr>
          <w:color w:val="000000"/>
        </w:rPr>
        <w:t xml:space="preserve"> 6.pantā nostiprinātās tiesības uz taisnīgu tiesu.</w:t>
      </w:r>
      <w:r w:rsidR="008C6540">
        <w:rPr>
          <w:color w:val="000000"/>
        </w:rPr>
        <w:t xml:space="preserve"> Tiesa nepareizi </w:t>
      </w:r>
      <w:r w:rsidR="00972405">
        <w:rPr>
          <w:color w:val="000000"/>
        </w:rPr>
        <w:t xml:space="preserve">piemērojusi </w:t>
      </w:r>
      <w:r w:rsidR="008C6540">
        <w:rPr>
          <w:color w:val="000000"/>
        </w:rPr>
        <w:t>konvencijas 8.pantu, jo bez piekrišanas, bez prokuratūras un tiesas lēmuma pārbaudīja videokameras saturu.</w:t>
      </w:r>
      <w:r w:rsidR="008C6540" w:rsidRPr="008C6540">
        <w:rPr>
          <w:bCs/>
          <w:color w:val="000000"/>
        </w:rPr>
        <w:t xml:space="preserve"> </w:t>
      </w:r>
      <w:r w:rsidR="008C6540" w:rsidRPr="008866A1">
        <w:rPr>
          <w:bCs/>
          <w:color w:val="000000"/>
        </w:rPr>
        <w:t xml:space="preserve">Tas, ka tajā nebija konstatētas datnes, nenozīmē, ka </w:t>
      </w:r>
      <w:r w:rsidR="008C6540" w:rsidRPr="008C6540">
        <w:rPr>
          <w:bCs/>
          <w:i/>
          <w:iCs/>
          <w:color w:val="000000"/>
        </w:rPr>
        <w:t>ielaušan</w:t>
      </w:r>
      <w:r w:rsidR="00A125AE">
        <w:rPr>
          <w:bCs/>
          <w:i/>
          <w:iCs/>
          <w:color w:val="000000"/>
        </w:rPr>
        <w:t>ā</w:t>
      </w:r>
      <w:r w:rsidR="008C6540" w:rsidRPr="008C6540">
        <w:rPr>
          <w:bCs/>
          <w:i/>
          <w:iCs/>
          <w:color w:val="000000"/>
        </w:rPr>
        <w:t>s privāt</w:t>
      </w:r>
      <w:r w:rsidR="00D51C32">
        <w:rPr>
          <w:bCs/>
          <w:i/>
          <w:iCs/>
          <w:color w:val="000000"/>
        </w:rPr>
        <w:t>ā</w:t>
      </w:r>
      <w:r w:rsidR="008C6540" w:rsidRPr="008C6540">
        <w:rPr>
          <w:bCs/>
          <w:i/>
          <w:iCs/>
          <w:color w:val="000000"/>
        </w:rPr>
        <w:t xml:space="preserve"> teritorijā nav notikusi</w:t>
      </w:r>
      <w:r w:rsidR="008C6540">
        <w:rPr>
          <w:bCs/>
          <w:i/>
          <w:iCs/>
          <w:color w:val="000000"/>
        </w:rPr>
        <w:t>.</w:t>
      </w:r>
      <w:r w:rsidR="008C6540">
        <w:rPr>
          <w:bCs/>
          <w:color w:val="000000"/>
        </w:rPr>
        <w:t xml:space="preserve"> Policija varēja izņemt tikai pārkāpuma rīku, </w:t>
      </w:r>
      <w:r w:rsidR="00772EF7">
        <w:rPr>
          <w:bCs/>
          <w:color w:val="000000"/>
        </w:rPr>
        <w:t>nav</w:t>
      </w:r>
      <w:r w:rsidR="008C6540">
        <w:rPr>
          <w:bCs/>
          <w:color w:val="000000"/>
        </w:rPr>
        <w:t xml:space="preserve"> </w:t>
      </w:r>
      <w:r w:rsidR="00772EF7">
        <w:rPr>
          <w:bCs/>
          <w:color w:val="000000"/>
        </w:rPr>
        <w:t>n</w:t>
      </w:r>
      <w:r w:rsidR="008C6540">
        <w:rPr>
          <w:bCs/>
          <w:color w:val="000000"/>
        </w:rPr>
        <w:t>orādī</w:t>
      </w:r>
      <w:r w:rsidR="00772EF7">
        <w:rPr>
          <w:bCs/>
          <w:color w:val="000000"/>
        </w:rPr>
        <w:t>ts</w:t>
      </w:r>
      <w:r w:rsidR="008C6540">
        <w:rPr>
          <w:bCs/>
          <w:color w:val="000000"/>
        </w:rPr>
        <w:t xml:space="preserve">, kāpēc kamera par tādu atzīta. Tas, ka kāda ierīce </w:t>
      </w:r>
      <w:r w:rsidR="008C6540">
        <w:rPr>
          <w:bCs/>
          <w:color w:val="000000"/>
        </w:rPr>
        <w:lastRenderedPageBreak/>
        <w:t>atrodas pie cilvēka, nenozīmē, ka tā ir pārkāpuma rīks</w:t>
      </w:r>
      <w:r w:rsidR="00772EF7">
        <w:rPr>
          <w:bCs/>
          <w:color w:val="000000"/>
        </w:rPr>
        <w:t>,</w:t>
      </w:r>
      <w:r w:rsidR="00772EF7" w:rsidRPr="00772EF7">
        <w:rPr>
          <w:bCs/>
          <w:color w:val="000000"/>
        </w:rPr>
        <w:t xml:space="preserve"> </w:t>
      </w:r>
      <w:r w:rsidR="00772EF7">
        <w:rPr>
          <w:bCs/>
          <w:color w:val="000000"/>
        </w:rPr>
        <w:t>ka notiek filmēšana</w:t>
      </w:r>
      <w:r w:rsidR="008C6540">
        <w:rPr>
          <w:bCs/>
          <w:color w:val="000000"/>
        </w:rPr>
        <w:t>.</w:t>
      </w:r>
      <w:r w:rsidR="004D535C">
        <w:rPr>
          <w:bCs/>
          <w:color w:val="000000"/>
        </w:rPr>
        <w:t xml:space="preserve"> </w:t>
      </w:r>
      <w:r w:rsidR="00772EF7">
        <w:rPr>
          <w:bCs/>
          <w:color w:val="000000"/>
        </w:rPr>
        <w:t xml:space="preserve">Ar viedtālruni var mērīt </w:t>
      </w:r>
      <w:r w:rsidR="00772EF7" w:rsidRPr="004D535C">
        <w:t xml:space="preserve">gaismas spilgtumu, attālumu un </w:t>
      </w:r>
      <w:r w:rsidR="00772EF7">
        <w:t xml:space="preserve">veikt </w:t>
      </w:r>
      <w:r w:rsidR="00772EF7" w:rsidRPr="004D535C">
        <w:t>citas darbības</w:t>
      </w:r>
      <w:r w:rsidR="00772EF7">
        <w:t xml:space="preserve">. </w:t>
      </w:r>
      <w:r w:rsidR="004D535C">
        <w:rPr>
          <w:bCs/>
          <w:color w:val="000000"/>
        </w:rPr>
        <w:t xml:space="preserve">Tiesai bija jāpiemēro konvencijas 1.protokola 1.pants. </w:t>
      </w:r>
      <w:r w:rsidR="004D535C">
        <w:t>Pieteicējam nebija jāpierāda viņa nevainīgums.</w:t>
      </w:r>
      <w:r w:rsidR="00FF0065">
        <w:t xml:space="preserve"> </w:t>
      </w:r>
      <w:r w:rsidR="00FF0065">
        <w:rPr>
          <w:bCs/>
          <w:color w:val="000000"/>
        </w:rPr>
        <w:t>N</w:t>
      </w:r>
      <w:r w:rsidR="00FF0065" w:rsidRPr="008866A1">
        <w:rPr>
          <w:bCs/>
          <w:color w:val="000000"/>
        </w:rPr>
        <w:t>orma</w:t>
      </w:r>
      <w:r w:rsidR="00FF0065">
        <w:rPr>
          <w:bCs/>
          <w:color w:val="000000"/>
        </w:rPr>
        <w:t>,</w:t>
      </w:r>
      <w:r w:rsidR="00FF0065" w:rsidRPr="008866A1">
        <w:rPr>
          <w:bCs/>
          <w:color w:val="000000"/>
        </w:rPr>
        <w:t xml:space="preserve"> kura paredzēja administratīvās aizturēšanas, personas apskates, mantu un dokumentu apskates un izņemšanas pārsūdzēšanu</w:t>
      </w:r>
      <w:r w:rsidR="00504C94">
        <w:rPr>
          <w:bCs/>
          <w:color w:val="000000"/>
        </w:rPr>
        <w:t>,</w:t>
      </w:r>
      <w:r w:rsidR="00FF0065" w:rsidRPr="008866A1">
        <w:rPr>
          <w:bCs/>
          <w:color w:val="000000"/>
        </w:rPr>
        <w:t xml:space="preserve"> izslēgta no </w:t>
      </w:r>
      <w:r w:rsidR="00FF0065">
        <w:rPr>
          <w:bCs/>
          <w:color w:val="000000"/>
        </w:rPr>
        <w:t>likuma</w:t>
      </w:r>
      <w:r w:rsidR="00FF0065" w:rsidRPr="008866A1">
        <w:rPr>
          <w:bCs/>
          <w:color w:val="000000"/>
        </w:rPr>
        <w:t xml:space="preserve"> 2007.gadā.</w:t>
      </w:r>
      <w:r w:rsidR="00FF0065">
        <w:rPr>
          <w:bCs/>
          <w:color w:val="000000"/>
        </w:rPr>
        <w:t xml:space="preserve"> Pieteicējam nebija ļauts </w:t>
      </w:r>
      <w:r w:rsidR="00B21580">
        <w:rPr>
          <w:bCs/>
          <w:color w:val="000000"/>
        </w:rPr>
        <w:t xml:space="preserve">izdarīt </w:t>
      </w:r>
      <w:r w:rsidR="00FF0065">
        <w:rPr>
          <w:bCs/>
          <w:color w:val="000000"/>
        </w:rPr>
        <w:t xml:space="preserve">piezīmes uz protokola. Eiropas Cilvēktiesību tiesa </w:t>
      </w:r>
      <w:r w:rsidR="00972405">
        <w:rPr>
          <w:bCs/>
          <w:color w:val="000000"/>
        </w:rPr>
        <w:t xml:space="preserve">esot </w:t>
      </w:r>
      <w:r w:rsidR="00FF0065">
        <w:rPr>
          <w:bCs/>
          <w:color w:val="000000"/>
        </w:rPr>
        <w:t xml:space="preserve">norādījusi, ka </w:t>
      </w:r>
      <w:r w:rsidR="00FF0065" w:rsidRPr="008866A1">
        <w:t>atlīdzinājums nevar būt būtiski zemāk</w:t>
      </w:r>
      <w:r w:rsidR="00FF0065">
        <w:t xml:space="preserve">s nekā </w:t>
      </w:r>
      <w:r w:rsidR="00FF0065" w:rsidRPr="008866A1">
        <w:t>līdzīg</w:t>
      </w:r>
      <w:r w:rsidR="00FF0065">
        <w:t>ā</w:t>
      </w:r>
      <w:r w:rsidR="00FF0065" w:rsidRPr="008866A1">
        <w:t>s</w:t>
      </w:r>
      <w:r w:rsidR="00FF0065">
        <w:t xml:space="preserve"> šīs tiesas</w:t>
      </w:r>
      <w:r w:rsidR="00FF0065" w:rsidRPr="008866A1">
        <w:t xml:space="preserve"> liet</w:t>
      </w:r>
      <w:r w:rsidR="00FF0065">
        <w:t>ā</w:t>
      </w:r>
      <w:r w:rsidR="00FF0065" w:rsidRPr="008866A1">
        <w:t>s</w:t>
      </w:r>
      <w:r w:rsidR="00FF0065">
        <w:t>.</w:t>
      </w:r>
      <w:r w:rsidR="00914FBB">
        <w:t xml:space="preserve"> 16</w:t>
      </w:r>
      <w:r w:rsidR="00DC59BE">
        <w:t> </w:t>
      </w:r>
      <w:r w:rsidR="00914FBB">
        <w:rPr>
          <w:i/>
          <w:iCs/>
        </w:rPr>
        <w:t>euro</w:t>
      </w:r>
      <w:r w:rsidR="00914FBB">
        <w:t xml:space="preserve"> ir pārāk niecīg</w:t>
      </w:r>
      <w:r w:rsidR="003C5711">
        <w:t>s atlīdzinājums</w:t>
      </w:r>
      <w:r w:rsidR="00914FBB">
        <w:t>.</w:t>
      </w:r>
    </w:p>
    <w:p w14:paraId="6A9D4D48" w14:textId="037D00B4" w:rsidR="00B1562F" w:rsidRDefault="00F84C98" w:rsidP="007A2744">
      <w:pPr>
        <w:spacing w:line="276" w:lineRule="auto"/>
        <w:ind w:firstLine="567"/>
        <w:jc w:val="both"/>
        <w:rPr>
          <w:rFonts w:eastAsia="Lucida Sans Unicode"/>
          <w:kern w:val="2"/>
        </w:rPr>
      </w:pPr>
      <w:r>
        <w:rPr>
          <w:bCs/>
          <w:color w:val="000000"/>
        </w:rPr>
        <w:t>Kasācijas sūdzībā norādīts uz vairākiem Eiropas Cilvēktiesību tiesas spriedumiem, kuru atziņas</w:t>
      </w:r>
      <w:r w:rsidR="00A125AE">
        <w:rPr>
          <w:bCs/>
          <w:color w:val="000000"/>
        </w:rPr>
        <w:t xml:space="preserve"> pieteicēja ieskatā</w:t>
      </w:r>
      <w:r>
        <w:rPr>
          <w:bCs/>
          <w:color w:val="000000"/>
        </w:rPr>
        <w:t xml:space="preserve"> tiesai </w:t>
      </w:r>
      <w:r w:rsidR="00A125AE">
        <w:rPr>
          <w:bCs/>
          <w:color w:val="000000"/>
        </w:rPr>
        <w:t>b</w:t>
      </w:r>
      <w:r>
        <w:rPr>
          <w:bCs/>
          <w:color w:val="000000"/>
        </w:rPr>
        <w:t>ij</w:t>
      </w:r>
      <w:r w:rsidR="00A125AE">
        <w:rPr>
          <w:bCs/>
          <w:color w:val="000000"/>
        </w:rPr>
        <w:t>a</w:t>
      </w:r>
      <w:r>
        <w:rPr>
          <w:bCs/>
          <w:color w:val="000000"/>
        </w:rPr>
        <w:t xml:space="preserve"> jāpiemēro.</w:t>
      </w:r>
      <w:r w:rsidR="00BE7AD0">
        <w:rPr>
          <w:bCs/>
          <w:color w:val="000000"/>
        </w:rPr>
        <w:t xml:space="preserve"> </w:t>
      </w:r>
      <w:bookmarkEnd w:id="6"/>
    </w:p>
    <w:p w14:paraId="44D07533" w14:textId="77777777" w:rsidR="00B1562F" w:rsidRDefault="00B1562F" w:rsidP="007A2744">
      <w:pPr>
        <w:spacing w:line="276" w:lineRule="auto"/>
        <w:ind w:firstLine="567"/>
        <w:jc w:val="both"/>
        <w:rPr>
          <w:rFonts w:eastAsia="Lucida Sans Unicode"/>
          <w:kern w:val="2"/>
        </w:rPr>
      </w:pPr>
    </w:p>
    <w:p w14:paraId="15EA6A8A" w14:textId="431BA241" w:rsidR="00F84C98" w:rsidRPr="00B1562F" w:rsidRDefault="00B1562F" w:rsidP="007A2744">
      <w:pPr>
        <w:spacing w:line="276" w:lineRule="auto"/>
        <w:ind w:firstLine="567"/>
        <w:jc w:val="both"/>
        <w:rPr>
          <w:rFonts w:eastAsia="Lucida Sans Unicode"/>
          <w:kern w:val="2"/>
        </w:rPr>
      </w:pPr>
      <w:r>
        <w:rPr>
          <w:bCs/>
          <w:color w:val="000000"/>
        </w:rPr>
        <w:t>[4] Inspekcija</w:t>
      </w:r>
      <w:r w:rsidR="005E7B87">
        <w:rPr>
          <w:bCs/>
          <w:color w:val="000000"/>
        </w:rPr>
        <w:t>s</w:t>
      </w:r>
      <w:r>
        <w:rPr>
          <w:bCs/>
          <w:color w:val="000000"/>
        </w:rPr>
        <w:t xml:space="preserve"> paskaidrojum</w:t>
      </w:r>
      <w:r w:rsidR="00504C94">
        <w:rPr>
          <w:bCs/>
          <w:color w:val="000000"/>
        </w:rPr>
        <w:t>o</w:t>
      </w:r>
      <w:r>
        <w:rPr>
          <w:bCs/>
          <w:color w:val="000000"/>
        </w:rPr>
        <w:t>s norād</w:t>
      </w:r>
      <w:r w:rsidR="00334C45">
        <w:rPr>
          <w:bCs/>
          <w:color w:val="000000"/>
        </w:rPr>
        <w:t>īts</w:t>
      </w:r>
      <w:r>
        <w:rPr>
          <w:bCs/>
          <w:color w:val="000000"/>
        </w:rPr>
        <w:t>, ka apgabaltiesas spriedums ir pareizs.</w:t>
      </w:r>
    </w:p>
    <w:p w14:paraId="196CCB88" w14:textId="77777777" w:rsidR="00F84C98" w:rsidRDefault="00F84C98" w:rsidP="007A2744">
      <w:pPr>
        <w:spacing w:line="276" w:lineRule="auto"/>
        <w:jc w:val="both"/>
        <w:rPr>
          <w:rFonts w:eastAsia="Lucida Sans Unicode"/>
          <w:kern w:val="2"/>
        </w:rPr>
      </w:pPr>
    </w:p>
    <w:p w14:paraId="772810B7" w14:textId="77777777" w:rsidR="00530B85" w:rsidRDefault="00530B85" w:rsidP="007A2744">
      <w:pPr>
        <w:spacing w:line="276" w:lineRule="auto"/>
        <w:jc w:val="center"/>
      </w:pPr>
      <w:r>
        <w:rPr>
          <w:b/>
        </w:rPr>
        <w:t>Motīvu daļa</w:t>
      </w:r>
    </w:p>
    <w:p w14:paraId="5716235B" w14:textId="77777777" w:rsidR="000A2A9C" w:rsidRDefault="000A2A9C" w:rsidP="007A2744">
      <w:pPr>
        <w:spacing w:line="276" w:lineRule="auto"/>
      </w:pPr>
    </w:p>
    <w:p w14:paraId="2129A9E1" w14:textId="1EABC408" w:rsidR="00A47371" w:rsidRDefault="009D206A" w:rsidP="007A2744">
      <w:pPr>
        <w:spacing w:line="276" w:lineRule="auto"/>
        <w:ind w:firstLine="567"/>
        <w:jc w:val="both"/>
        <w:rPr>
          <w:bCs/>
          <w:color w:val="000000"/>
        </w:rPr>
      </w:pPr>
      <w:r>
        <w:t>[</w:t>
      </w:r>
      <w:r w:rsidR="002407F3">
        <w:t>5</w:t>
      </w:r>
      <w:r>
        <w:t>]</w:t>
      </w:r>
      <w:r w:rsidR="00A253ED">
        <w:t xml:space="preserve"> </w:t>
      </w:r>
      <w:r w:rsidR="00D03385" w:rsidRPr="00D03385">
        <w:t xml:space="preserve">Lietā vispirms izšķirams jautājums, vai </w:t>
      </w:r>
      <w:r w:rsidR="00075E3C">
        <w:rPr>
          <w:bCs/>
          <w:color w:val="000000"/>
        </w:rPr>
        <w:t>laik</w:t>
      </w:r>
      <w:r w:rsidR="0080728B">
        <w:rPr>
          <w:bCs/>
          <w:color w:val="000000"/>
        </w:rPr>
        <w:t>s</w:t>
      </w:r>
      <w:r w:rsidR="00075E3C">
        <w:rPr>
          <w:bCs/>
          <w:color w:val="000000"/>
        </w:rPr>
        <w:t xml:space="preserve">, kurā pieteicēju aizturēja apsargs, bija jāieskaita administratīvās aizturēšanas termiņā, kas bija paredzēts </w:t>
      </w:r>
      <w:r w:rsidR="00075E3C" w:rsidRPr="00023E80">
        <w:t>L</w:t>
      </w:r>
      <w:r w:rsidR="00075E3C">
        <w:t>atvijas Administratīvo pārkāpumu kodeksa 255</w:t>
      </w:r>
      <w:r w:rsidR="00A47371">
        <w:rPr>
          <w:bCs/>
          <w:color w:val="000000"/>
        </w:rPr>
        <w:t>.</w:t>
      </w:r>
      <w:r w:rsidR="00075E3C">
        <w:rPr>
          <w:bCs/>
          <w:color w:val="000000"/>
        </w:rPr>
        <w:t>pantā (personu drīkst aizturēt ne ilgāk kā uz četrām stundām).</w:t>
      </w:r>
    </w:p>
    <w:p w14:paraId="46E45BD7" w14:textId="77777777" w:rsidR="00075E3C" w:rsidRDefault="00075E3C" w:rsidP="007A2744">
      <w:pPr>
        <w:spacing w:line="276" w:lineRule="auto"/>
        <w:ind w:firstLine="567"/>
        <w:jc w:val="both"/>
      </w:pPr>
    </w:p>
    <w:p w14:paraId="154BEF92" w14:textId="21E5C173" w:rsidR="00772EF7" w:rsidRDefault="00075E3C" w:rsidP="007A2744">
      <w:pPr>
        <w:spacing w:line="276" w:lineRule="auto"/>
        <w:ind w:firstLine="567"/>
        <w:jc w:val="both"/>
      </w:pPr>
      <w:r>
        <w:t xml:space="preserve">[6] </w:t>
      </w:r>
      <w:r w:rsidR="00772EF7">
        <w:t xml:space="preserve">Atbilstoši </w:t>
      </w:r>
      <w:r w:rsidR="00163F52">
        <w:t>k</w:t>
      </w:r>
      <w:r w:rsidR="00772EF7">
        <w:t>onvencijas 5.panta</w:t>
      </w:r>
      <w:r w:rsidR="00EC666E">
        <w:t>m</w:t>
      </w:r>
      <w:r w:rsidR="00772EF7">
        <w:t xml:space="preserve"> nevienam nedrīkst atņemt brīvību, izņemot </w:t>
      </w:r>
      <w:r w:rsidR="006075B6">
        <w:t>šajā pantā norādītos</w:t>
      </w:r>
      <w:r w:rsidR="00772EF7">
        <w:t xml:space="preserve"> gadījumos un </w:t>
      </w:r>
      <w:r w:rsidR="00772EF7" w:rsidRPr="00346FD9">
        <w:rPr>
          <w:i/>
          <w:iCs/>
        </w:rPr>
        <w:t>saskaņā ar likumā noteikto kārtību</w:t>
      </w:r>
      <w:r w:rsidR="00EC666E">
        <w:t>. Atbilstoši 5.panta</w:t>
      </w:r>
      <w:r w:rsidR="00772EF7">
        <w:t xml:space="preserve"> </w:t>
      </w:r>
      <w:r w:rsidR="00EC666E" w:rsidRPr="00E439CA">
        <w:rPr>
          <w:bCs/>
          <w:lang w:val="af-ZA"/>
        </w:rPr>
        <w:t>„</w:t>
      </w:r>
      <w:r w:rsidR="00EC666E">
        <w:t>c”</w:t>
      </w:r>
      <w:r w:rsidR="00B21580">
        <w:t> </w:t>
      </w:r>
      <w:r w:rsidR="00EC666E">
        <w:t xml:space="preserve">punktam personas brīvību var ierobežot, </w:t>
      </w:r>
      <w:r w:rsidR="00772EF7">
        <w:t xml:space="preserve">ja persona tiek </w:t>
      </w:r>
      <w:r w:rsidR="00772EF7" w:rsidRPr="00163F52">
        <w:rPr>
          <w:i/>
          <w:iCs/>
        </w:rPr>
        <w:t>tiesiski aizturēta ar nolūku nodot viņu kompetentām tiesību aizsardzības iestādēm, balstoties uz pamatotām aizdomām, ka šī persona ir izdarījusi sodāmu nodarījumu</w:t>
      </w:r>
      <w:r w:rsidR="00772EF7">
        <w:t xml:space="preserve">, vai ja ir pamatots iemesls uzskatīt par nepieciešamu aizkavēt viņu izdarīt likumpārkāpumu vai </w:t>
      </w:r>
      <w:r w:rsidR="00772EF7" w:rsidRPr="00163F52">
        <w:rPr>
          <w:i/>
          <w:iCs/>
        </w:rPr>
        <w:t>nepieļaut viņa bēgšanu pēc likumpārkāpuma izdarīšanas</w:t>
      </w:r>
      <w:r w:rsidR="00772EF7">
        <w:t>.</w:t>
      </w:r>
    </w:p>
    <w:p w14:paraId="41A0A781" w14:textId="77777777" w:rsidR="00EC666E" w:rsidRDefault="00EC666E" w:rsidP="007A2744">
      <w:pPr>
        <w:spacing w:line="276" w:lineRule="auto"/>
        <w:ind w:firstLine="567"/>
        <w:jc w:val="both"/>
      </w:pPr>
      <w:r>
        <w:t xml:space="preserve">Konvencija nenosaka ne aizturēšanas ilgumu, ne to, kā aizturēšanas ilgums aprēķināms. Tam jābūt noteiktam attiecīgās dalībvalsts normatīvajos aktos. </w:t>
      </w:r>
    </w:p>
    <w:p w14:paraId="10FBA331" w14:textId="77777777" w:rsidR="00163F52" w:rsidRDefault="00163F52" w:rsidP="007A2744">
      <w:pPr>
        <w:spacing w:line="276" w:lineRule="auto"/>
        <w:ind w:firstLine="567"/>
        <w:jc w:val="both"/>
      </w:pPr>
    </w:p>
    <w:p w14:paraId="69B23C9D" w14:textId="3E18D622" w:rsidR="004749E9" w:rsidRDefault="00163F52" w:rsidP="007A2744">
      <w:pPr>
        <w:spacing w:line="276" w:lineRule="auto"/>
        <w:ind w:firstLine="567"/>
        <w:jc w:val="both"/>
        <w:rPr>
          <w:bCs/>
          <w:color w:val="000000"/>
        </w:rPr>
      </w:pPr>
      <w:r>
        <w:t xml:space="preserve">[7] </w:t>
      </w:r>
      <w:r w:rsidR="004749E9">
        <w:t xml:space="preserve">Lietā faktiski nav strīda, ka </w:t>
      </w:r>
      <w:r w:rsidR="004749E9">
        <w:rPr>
          <w:bCs/>
          <w:color w:val="000000"/>
        </w:rPr>
        <w:t>prokuratūras apsargs, neļaujot pieteicējam atstāt prokuratūru,</w:t>
      </w:r>
      <w:r w:rsidR="004749E9">
        <w:t xml:space="preserve"> pildīja prokuratūras apsarga pienākumus, tādējādi apsarga veiktā aizturēšana ir uzskatāma par valsts rīcību.</w:t>
      </w:r>
    </w:p>
    <w:p w14:paraId="79C95094" w14:textId="063B2ECD" w:rsidR="006075B6" w:rsidRDefault="004749E9" w:rsidP="007A2744">
      <w:pPr>
        <w:spacing w:line="276" w:lineRule="auto"/>
        <w:ind w:firstLine="567"/>
        <w:jc w:val="both"/>
        <w:rPr>
          <w:bCs/>
          <w:color w:val="000000"/>
        </w:rPr>
      </w:pPr>
      <w:r>
        <w:rPr>
          <w:bCs/>
          <w:color w:val="000000"/>
        </w:rPr>
        <w:t xml:space="preserve">Tas atbilst arī </w:t>
      </w:r>
      <w:r w:rsidR="006075B6">
        <w:t xml:space="preserve">Eiropas Cilvēktiesību tiesas </w:t>
      </w:r>
      <w:r>
        <w:t>atziņām</w:t>
      </w:r>
      <w:r w:rsidR="006075B6">
        <w:t>, ka valsts ir atbildīga par cilvēktiesību pārkāpumiem, ko izraisījušas darbības, ko veikuši tās pārstāvji, pildot savus pienākumus. Galvenie kritēriji, kas izmantojami, lai noteiktu, vai valsts ir atbildīga par personas darbībām, neatkarīgi no tā, vai tā formāli ir valsts amatpersona vai nav, ir šādi: amatā iecelšanas veids, uzraudzība un atbildība, attiecīgās personas mērķi, pilnvaras un funkcijas (</w:t>
      </w:r>
      <w:r w:rsidR="006075B6">
        <w:rPr>
          <w:i/>
          <w:iCs/>
        </w:rPr>
        <w:t xml:space="preserve">Eiropas Cilvēktiesību tiesas 2019. gada 18. jūnija spriedums apvienotajās lietās </w:t>
      </w:r>
      <w:r w:rsidR="00075E3C" w:rsidRPr="00075E3C">
        <w:rPr>
          <w:bCs/>
          <w:i/>
          <w:iCs/>
          <w:lang w:val="af-ZA"/>
        </w:rPr>
        <w:t>„</w:t>
      </w:r>
      <w:r w:rsidR="006075B6">
        <w:rPr>
          <w:i/>
          <w:iCs/>
        </w:rPr>
        <w:t>Chernega and Others v. Ukraine”, iesnieguma Nr. </w:t>
      </w:r>
      <w:hyperlink r:id="rId9" w:history="1">
        <w:r w:rsidR="006075B6" w:rsidRPr="005E7B87">
          <w:rPr>
            <w:rStyle w:val="Hyperlink"/>
            <w:i/>
            <w:iCs/>
            <w:color w:val="auto"/>
            <w:u w:val="none"/>
          </w:rPr>
          <w:t>74768/10</w:t>
        </w:r>
      </w:hyperlink>
      <w:r w:rsidR="006075B6">
        <w:rPr>
          <w:i/>
          <w:iCs/>
        </w:rPr>
        <w:t>, 125.–126.punkts</w:t>
      </w:r>
      <w:r w:rsidR="006075B6">
        <w:t>).</w:t>
      </w:r>
    </w:p>
    <w:p w14:paraId="6F1DC209" w14:textId="77777777" w:rsidR="00C43E52" w:rsidRDefault="00C43E52" w:rsidP="007A2744">
      <w:pPr>
        <w:spacing w:line="276" w:lineRule="auto"/>
        <w:ind w:firstLine="567"/>
        <w:jc w:val="both"/>
        <w:rPr>
          <w:bCs/>
          <w:color w:val="000000"/>
        </w:rPr>
      </w:pPr>
    </w:p>
    <w:p w14:paraId="22DE55EF" w14:textId="58842009" w:rsidR="00E02C75" w:rsidRDefault="00E02C75" w:rsidP="007A2744">
      <w:pPr>
        <w:spacing w:line="276" w:lineRule="auto"/>
        <w:ind w:firstLine="567"/>
        <w:jc w:val="both"/>
      </w:pPr>
      <w:r>
        <w:t>[</w:t>
      </w:r>
      <w:r w:rsidR="004749E9">
        <w:t>8</w:t>
      </w:r>
      <w:r>
        <w:t xml:space="preserve">] Tomēr </w:t>
      </w:r>
      <w:r w:rsidR="00A47371">
        <w:t xml:space="preserve">tas, ka </w:t>
      </w:r>
      <w:r w:rsidR="00A47371">
        <w:rPr>
          <w:bCs/>
          <w:color w:val="000000"/>
        </w:rPr>
        <w:t xml:space="preserve">apsargs bija atzīstams par valsts pārstāvi, </w:t>
      </w:r>
      <w:r>
        <w:rPr>
          <w:bCs/>
          <w:color w:val="000000"/>
        </w:rPr>
        <w:t xml:space="preserve">vienlaikus </w:t>
      </w:r>
      <w:r w:rsidR="00A47371">
        <w:rPr>
          <w:bCs/>
          <w:color w:val="000000"/>
        </w:rPr>
        <w:t xml:space="preserve">nenozīmē, ka </w:t>
      </w:r>
      <w:r w:rsidR="00A47371">
        <w:t>aizturēšana, ko veica apsargs, uzskatāma par administratīvo aizturēšanu, k</w:t>
      </w:r>
      <w:r w:rsidR="00EC666E">
        <w:t>uras ilgums noteikts</w:t>
      </w:r>
      <w:r w:rsidR="00A47371">
        <w:t xml:space="preserve"> </w:t>
      </w:r>
      <w:r w:rsidR="00A47371" w:rsidRPr="00023E80">
        <w:t>L</w:t>
      </w:r>
      <w:r w:rsidR="00A47371">
        <w:t>atvijas Administratīvo pārkāpumu kodeks</w:t>
      </w:r>
      <w:r>
        <w:t>a 255.pantā.</w:t>
      </w:r>
      <w:r w:rsidRPr="00E02C75">
        <w:t xml:space="preserve"> </w:t>
      </w:r>
    </w:p>
    <w:p w14:paraId="710876F2" w14:textId="277F0FAB" w:rsidR="00EC666E" w:rsidRDefault="00A47371" w:rsidP="007A2744">
      <w:pPr>
        <w:spacing w:line="276" w:lineRule="auto"/>
        <w:ind w:firstLine="567"/>
        <w:jc w:val="both"/>
        <w:rPr>
          <w:bCs/>
          <w:color w:val="000000"/>
        </w:rPr>
      </w:pPr>
      <w:r>
        <w:rPr>
          <w:bCs/>
          <w:color w:val="000000"/>
        </w:rPr>
        <w:t xml:space="preserve">Atbilstoši </w:t>
      </w:r>
      <w:r w:rsidRPr="00355333">
        <w:rPr>
          <w:bCs/>
          <w:color w:val="000000"/>
        </w:rPr>
        <w:t>Apsardzes darbības likum</w:t>
      </w:r>
      <w:r>
        <w:rPr>
          <w:bCs/>
          <w:color w:val="000000"/>
        </w:rPr>
        <w:t>a 18.panta pirmās daļas 4.punktam a</w:t>
      </w:r>
      <w:r w:rsidRPr="00355333">
        <w:rPr>
          <w:bCs/>
          <w:color w:val="000000"/>
        </w:rPr>
        <w:t>psardzes darbiniekam, veicot apsardzes darbību, ir pienākums</w:t>
      </w:r>
      <w:r>
        <w:rPr>
          <w:bCs/>
          <w:color w:val="000000"/>
        </w:rPr>
        <w:t xml:space="preserve"> </w:t>
      </w:r>
      <w:r w:rsidRPr="00355333">
        <w:rPr>
          <w:bCs/>
          <w:color w:val="000000"/>
        </w:rPr>
        <w:t xml:space="preserve">aizturēt personu, par kuru </w:t>
      </w:r>
      <w:r w:rsidR="004749E9">
        <w:rPr>
          <w:bCs/>
          <w:color w:val="000000"/>
        </w:rPr>
        <w:t>ir</w:t>
      </w:r>
      <w:r w:rsidRPr="00355333">
        <w:rPr>
          <w:bCs/>
          <w:color w:val="000000"/>
        </w:rPr>
        <w:t xml:space="preserve"> aizdomas, ka tā apsargājamā objektā ir izdarījusi administratīvo pārkāpumu, un nekavējoties par to informēt Valsts policiju</w:t>
      </w:r>
      <w:r>
        <w:rPr>
          <w:bCs/>
          <w:color w:val="000000"/>
        </w:rPr>
        <w:t xml:space="preserve">. </w:t>
      </w:r>
    </w:p>
    <w:p w14:paraId="553C05C9" w14:textId="6D1FB536" w:rsidR="00EC666E" w:rsidRDefault="00EC666E" w:rsidP="007A2744">
      <w:pPr>
        <w:spacing w:line="276" w:lineRule="auto"/>
        <w:ind w:firstLine="567"/>
        <w:jc w:val="both"/>
      </w:pPr>
      <w:r>
        <w:t>Tādējādi Latvijas normatīvie akti paredz gan administratīvo aizturēšanu, ko veic policija, gan aizturēšanu, ko veic apsargs, lai nodotu likumpārkāpēju policijai.</w:t>
      </w:r>
    </w:p>
    <w:p w14:paraId="2D800DAC" w14:textId="246F24B4" w:rsidR="00A47371" w:rsidRDefault="00431416" w:rsidP="007A2744">
      <w:pPr>
        <w:spacing w:line="276" w:lineRule="auto"/>
        <w:ind w:firstLine="567"/>
        <w:jc w:val="both"/>
        <w:rPr>
          <w:bCs/>
          <w:color w:val="000000"/>
        </w:rPr>
      </w:pPr>
      <w:r>
        <w:rPr>
          <w:bCs/>
          <w:color w:val="000000"/>
        </w:rPr>
        <w:t>Apsardzes l</w:t>
      </w:r>
      <w:r w:rsidR="00A47371">
        <w:rPr>
          <w:bCs/>
          <w:color w:val="000000"/>
        </w:rPr>
        <w:t>ikums nenosaka laiku, cik ilg</w:t>
      </w:r>
      <w:r>
        <w:rPr>
          <w:bCs/>
          <w:color w:val="000000"/>
        </w:rPr>
        <w:t>i</w:t>
      </w:r>
      <w:r w:rsidR="00A47371">
        <w:rPr>
          <w:bCs/>
          <w:color w:val="000000"/>
        </w:rPr>
        <w:t xml:space="preserve"> personu var aizturēt</w:t>
      </w:r>
      <w:r w:rsidR="00EC666E">
        <w:rPr>
          <w:bCs/>
          <w:color w:val="000000"/>
        </w:rPr>
        <w:t xml:space="preserve"> apsargs</w:t>
      </w:r>
      <w:r w:rsidR="00A47371">
        <w:rPr>
          <w:bCs/>
          <w:color w:val="000000"/>
        </w:rPr>
        <w:t>, vien to, ka policija ir jāinformē nekavējoties.</w:t>
      </w:r>
      <w:r w:rsidR="00163F52">
        <w:rPr>
          <w:bCs/>
          <w:color w:val="000000"/>
        </w:rPr>
        <w:t xml:space="preserve"> Svarīgi, lai laiks starp šādu aizturēšanu un policijas ierašanos būtu saprātīgs.</w:t>
      </w:r>
    </w:p>
    <w:p w14:paraId="62F39F6E" w14:textId="76359AF5" w:rsidR="00163F52" w:rsidRDefault="004749E9" w:rsidP="007A2744">
      <w:pPr>
        <w:spacing w:line="276" w:lineRule="auto"/>
        <w:ind w:firstLine="567"/>
        <w:jc w:val="both"/>
      </w:pPr>
      <w:r>
        <w:rPr>
          <w:bCs/>
          <w:color w:val="000000"/>
        </w:rPr>
        <w:t>Tātad</w:t>
      </w:r>
      <w:r w:rsidR="00431416">
        <w:rPr>
          <w:bCs/>
          <w:color w:val="000000"/>
        </w:rPr>
        <w:t xml:space="preserve"> </w:t>
      </w:r>
      <w:r w:rsidR="00A47371">
        <w:rPr>
          <w:bCs/>
          <w:color w:val="000000"/>
        </w:rPr>
        <w:t>personas brīvību var ierobežot</w:t>
      </w:r>
      <w:r w:rsidR="00431416">
        <w:rPr>
          <w:bCs/>
          <w:color w:val="000000"/>
        </w:rPr>
        <w:t xml:space="preserve"> apsargs</w:t>
      </w:r>
      <w:r w:rsidR="00A47371">
        <w:rPr>
          <w:bCs/>
          <w:color w:val="000000"/>
        </w:rPr>
        <w:t xml:space="preserve">, ja ir pamats domāt, ka </w:t>
      </w:r>
      <w:r w:rsidR="00431416">
        <w:rPr>
          <w:bCs/>
          <w:color w:val="000000"/>
        </w:rPr>
        <w:t>persona ir</w:t>
      </w:r>
      <w:r w:rsidR="00A47371">
        <w:rPr>
          <w:bCs/>
          <w:color w:val="000000"/>
        </w:rPr>
        <w:t xml:space="preserve"> izdarījusi administratīvo pārkāpumu, lai nodotu</w:t>
      </w:r>
      <w:r w:rsidR="00431416">
        <w:rPr>
          <w:bCs/>
          <w:color w:val="000000"/>
        </w:rPr>
        <w:t xml:space="preserve"> šo</w:t>
      </w:r>
      <w:r w:rsidR="00A47371">
        <w:rPr>
          <w:bCs/>
          <w:color w:val="000000"/>
        </w:rPr>
        <w:t xml:space="preserve"> personu policijai, un šo laiku neieskaita administratīvās aizturēšanas laikā. Kā minēts </w:t>
      </w:r>
      <w:r w:rsidR="00431416">
        <w:rPr>
          <w:bCs/>
          <w:color w:val="000000"/>
        </w:rPr>
        <w:t xml:space="preserve">arī </w:t>
      </w:r>
      <w:r w:rsidR="00A47371">
        <w:rPr>
          <w:bCs/>
          <w:color w:val="000000"/>
        </w:rPr>
        <w:t>p</w:t>
      </w:r>
      <w:r w:rsidR="00A47371">
        <w:t xml:space="preserve">olicijas ziņojumā par notikumu, </w:t>
      </w:r>
      <w:r w:rsidR="00431416">
        <w:t>pieteicējs</w:t>
      </w:r>
      <w:r w:rsidR="00A47371">
        <w:t xml:space="preserve"> ir bij</w:t>
      </w:r>
      <w:r w:rsidR="00431416">
        <w:t>is</w:t>
      </w:r>
      <w:r w:rsidR="00A47371">
        <w:t xml:space="preserve"> </w:t>
      </w:r>
      <w:r w:rsidR="008A2844">
        <w:t>„</w:t>
      </w:r>
      <w:r w:rsidR="00A47371">
        <w:t>aizkavēt</w:t>
      </w:r>
      <w:r w:rsidR="00431416">
        <w:t>s</w:t>
      </w:r>
      <w:r w:rsidR="00A47371">
        <w:t>” (</w:t>
      </w:r>
      <w:r w:rsidR="00A47371" w:rsidRPr="00B6408C">
        <w:rPr>
          <w:i/>
          <w:iCs/>
        </w:rPr>
        <w:t>1.sējuma 48.lp</w:t>
      </w:r>
      <w:r w:rsidR="00A47371">
        <w:rPr>
          <w:i/>
          <w:iCs/>
        </w:rPr>
        <w:t>.</w:t>
      </w:r>
      <w:r w:rsidR="00A47371">
        <w:t>), nevis aizturēt</w:t>
      </w:r>
      <w:r w:rsidR="00431416">
        <w:t>s</w:t>
      </w:r>
      <w:r w:rsidR="00A47371">
        <w:t xml:space="preserve">. Acīmredzot </w:t>
      </w:r>
      <w:r w:rsidR="00431416">
        <w:t>šāds apzīmējums lietots</w:t>
      </w:r>
      <w:r w:rsidR="00A47371">
        <w:t xml:space="preserve">, lai nošķirtu administratīvo aizturēšanu no </w:t>
      </w:r>
      <w:r>
        <w:t xml:space="preserve">darbībām, ko veica </w:t>
      </w:r>
      <w:r w:rsidR="00A47371">
        <w:t>apsarg</w:t>
      </w:r>
      <w:r>
        <w:t>s</w:t>
      </w:r>
      <w:r w:rsidR="00A47371">
        <w:t>.</w:t>
      </w:r>
    </w:p>
    <w:p w14:paraId="04B491A2" w14:textId="726BCB7C" w:rsidR="004749E9" w:rsidRDefault="00A47371" w:rsidP="007A2744">
      <w:pPr>
        <w:spacing w:line="276" w:lineRule="auto"/>
        <w:ind w:firstLine="567"/>
        <w:jc w:val="both"/>
        <w:rPr>
          <w:bCs/>
          <w:color w:val="000000"/>
        </w:rPr>
      </w:pPr>
      <w:r>
        <w:rPr>
          <w:bCs/>
          <w:color w:val="000000"/>
        </w:rPr>
        <w:t>Senāts arī atzīst, ka gadījumā, ja apsargs pieteicēju būtu aizturējis nepamatoti</w:t>
      </w:r>
      <w:r w:rsidR="00163F52">
        <w:rPr>
          <w:bCs/>
          <w:color w:val="000000"/>
        </w:rPr>
        <w:t>,</w:t>
      </w:r>
      <w:r>
        <w:rPr>
          <w:bCs/>
          <w:color w:val="000000"/>
        </w:rPr>
        <w:t xml:space="preserve"> būtu kavējies ar policijas izsaukšanu</w:t>
      </w:r>
      <w:r w:rsidR="00163F52">
        <w:rPr>
          <w:bCs/>
          <w:color w:val="000000"/>
        </w:rPr>
        <w:t xml:space="preserve"> vai laiks līdz policijas ierašanās brīdim būtu</w:t>
      </w:r>
      <w:r w:rsidR="00D03385">
        <w:rPr>
          <w:bCs/>
          <w:color w:val="000000"/>
        </w:rPr>
        <w:t xml:space="preserve"> nesamērīgi</w:t>
      </w:r>
      <w:r w:rsidR="00163F52">
        <w:rPr>
          <w:bCs/>
          <w:color w:val="000000"/>
        </w:rPr>
        <w:t xml:space="preserve"> </w:t>
      </w:r>
      <w:r w:rsidR="004749E9">
        <w:rPr>
          <w:bCs/>
          <w:color w:val="000000"/>
        </w:rPr>
        <w:t>ilgs</w:t>
      </w:r>
      <w:r>
        <w:rPr>
          <w:bCs/>
          <w:color w:val="000000"/>
        </w:rPr>
        <w:t>, tad arī laiks līdz policijas veiktajai aizturēšanai būtu jāieskaita laikā, kurā pieteicēja brīvība tiek ierobežota nepamatoti. Taču konkrētajā lietā tiesa secināja, ka apsargam bija pamats ierobežot pieteicēja brīvību. Lietā nav apstākļu, kas liktu domāt, ka apsargs būtu kavējies ar policijas izsaukšanu</w:t>
      </w:r>
      <w:r w:rsidR="00163F52">
        <w:rPr>
          <w:bCs/>
          <w:color w:val="000000"/>
        </w:rPr>
        <w:t xml:space="preserve"> vai policijas gaidīšanas laiks būtu nesamērīgi ilgs</w:t>
      </w:r>
      <w:r>
        <w:rPr>
          <w:bCs/>
          <w:color w:val="000000"/>
        </w:rPr>
        <w:t xml:space="preserve">. </w:t>
      </w:r>
    </w:p>
    <w:p w14:paraId="3ACB4539" w14:textId="5B0D8FBB" w:rsidR="00A47371" w:rsidRDefault="00A47371" w:rsidP="007A2744">
      <w:pPr>
        <w:spacing w:line="276" w:lineRule="auto"/>
        <w:ind w:firstLine="567"/>
        <w:jc w:val="both"/>
        <w:rPr>
          <w:bCs/>
          <w:color w:val="000000"/>
        </w:rPr>
      </w:pPr>
      <w:r>
        <w:rPr>
          <w:bCs/>
          <w:color w:val="000000"/>
        </w:rPr>
        <w:t>Tāpēc</w:t>
      </w:r>
      <w:r w:rsidR="004749E9">
        <w:rPr>
          <w:bCs/>
          <w:color w:val="000000"/>
        </w:rPr>
        <w:t xml:space="preserve"> ir pareizs</w:t>
      </w:r>
      <w:r>
        <w:rPr>
          <w:bCs/>
          <w:color w:val="000000"/>
        </w:rPr>
        <w:t xml:space="preserve"> </w:t>
      </w:r>
      <w:r w:rsidR="004749E9">
        <w:rPr>
          <w:bCs/>
          <w:color w:val="000000"/>
        </w:rPr>
        <w:t xml:space="preserve">apgabaltiesas secinājums, ka konkrētajā lietā </w:t>
      </w:r>
      <w:r>
        <w:rPr>
          <w:bCs/>
          <w:color w:val="000000"/>
        </w:rPr>
        <w:t>laiks līdz brīdim, kad prokuratūrā ieradās policija, nav jāņem vērā, nosakot pieteicēja brīvības nepamatotās ierobežošanas ilgumu.</w:t>
      </w:r>
      <w:r w:rsidR="004749E9">
        <w:rPr>
          <w:bCs/>
          <w:color w:val="000000"/>
        </w:rPr>
        <w:t xml:space="preserve"> </w:t>
      </w:r>
    </w:p>
    <w:p w14:paraId="328500EC" w14:textId="33813327" w:rsidR="002A1AA0" w:rsidRDefault="002A1AA0" w:rsidP="007A2744">
      <w:pPr>
        <w:spacing w:line="276" w:lineRule="auto"/>
        <w:ind w:firstLine="567"/>
        <w:jc w:val="both"/>
      </w:pPr>
    </w:p>
    <w:p w14:paraId="3131CEE1" w14:textId="137582BA" w:rsidR="002A1AA0" w:rsidRDefault="002A1AA0" w:rsidP="007A2744">
      <w:pPr>
        <w:spacing w:line="276" w:lineRule="auto"/>
        <w:ind w:firstLine="567"/>
        <w:jc w:val="both"/>
      </w:pPr>
      <w:r>
        <w:t>[</w:t>
      </w:r>
      <w:r w:rsidR="004749E9">
        <w:t>9</w:t>
      </w:r>
      <w:r>
        <w:t xml:space="preserve">] </w:t>
      </w:r>
      <w:r w:rsidR="00431416">
        <w:t>Kasācijas s</w:t>
      </w:r>
      <w:r>
        <w:t>ūdzībā norādīts, ka ģenerālprokurors nav pilnvarots izdot ārējo normatīvo aktu, viņš ar rīkojumu nevar ierobežot vārda brīvību.</w:t>
      </w:r>
    </w:p>
    <w:p w14:paraId="5187CE06" w14:textId="23C82183" w:rsidR="002A1AA0" w:rsidRDefault="002A1AA0" w:rsidP="007A2744">
      <w:pPr>
        <w:spacing w:line="276" w:lineRule="auto"/>
        <w:ind w:firstLine="567"/>
        <w:jc w:val="both"/>
      </w:pPr>
      <w:r>
        <w:t>Senāts piekrīt pieteicējam, ka ģenerālprokurors nav pilnvarots izdot ārējo normatīvo aktu</w:t>
      </w:r>
      <w:r w:rsidR="004C2FB0">
        <w:t>. T</w:t>
      </w:r>
      <w:r>
        <w:t xml:space="preserve">aču ģenerālprokurora rīkojums, ar kuru noteikts filmēšanas un fotografēšanas aizliegums, nav uzskatāms par ārējo normatīvo aktu. </w:t>
      </w:r>
      <w:r w:rsidR="00BA12C6">
        <w:t xml:space="preserve">Ģenerālprokurora rīkojums </w:t>
      </w:r>
      <w:r w:rsidR="00C64519">
        <w:t xml:space="preserve">ir vispārīgais administratīvais akts, kas </w:t>
      </w:r>
      <w:r w:rsidR="00BA12C6" w:rsidRPr="00BA12C6">
        <w:t>izdo</w:t>
      </w:r>
      <w:r w:rsidR="00BA12C6">
        <w:t>ts</w:t>
      </w:r>
      <w:r w:rsidR="00BA12C6" w:rsidRPr="00BA12C6">
        <w:t xml:space="preserve"> attiecībā uz individuāli nenoteiktu personu loku, kas atrodas konkrētos apstākļos</w:t>
      </w:r>
      <w:r w:rsidR="00396E92">
        <w:t xml:space="preserve"> (Administratīvā procesa likuma 1.panta trešā daļa). Proti, tas nosaka filmēšanas un fotografēšanas aizliegumu personām</w:t>
      </w:r>
      <w:r w:rsidR="00C64519">
        <w:t xml:space="preserve">, </w:t>
      </w:r>
      <w:r w:rsidR="00396E92">
        <w:t xml:space="preserve">kuras </w:t>
      </w:r>
      <w:r w:rsidR="00C64519">
        <w:t>atrodas p</w:t>
      </w:r>
      <w:r w:rsidR="00BA12C6">
        <w:t>rokuratūras telpās. Vispārīgais administratīvais akts ir spēkā</w:t>
      </w:r>
      <w:r w:rsidR="00504C94">
        <w:t>,</w:t>
      </w:r>
      <w:r w:rsidR="00BA12C6">
        <w:t xml:space="preserve"> un </w:t>
      </w:r>
      <w:r w:rsidR="00981E75">
        <w:t xml:space="preserve">tajā iekļautās prasības prokuratūras apmeklētājiem </w:t>
      </w:r>
      <w:r w:rsidR="00BA12C6">
        <w:t>ir jāievēro</w:t>
      </w:r>
      <w:r w:rsidR="00981E75">
        <w:t>.</w:t>
      </w:r>
      <w:r w:rsidR="00FE70D2">
        <w:t xml:space="preserve"> Apgabaltiesas apsvērumi par to, ka ģenerālprokurors tādu varēja izdot, ir pareizi.</w:t>
      </w:r>
    </w:p>
    <w:p w14:paraId="77241FB7" w14:textId="77777777" w:rsidR="002A1AA0" w:rsidRDefault="002A1AA0" w:rsidP="007A2744">
      <w:pPr>
        <w:spacing w:line="276" w:lineRule="auto"/>
        <w:ind w:firstLine="567"/>
        <w:jc w:val="both"/>
      </w:pPr>
    </w:p>
    <w:p w14:paraId="11BE0004" w14:textId="052E7349" w:rsidR="00CD34DF" w:rsidRDefault="00516374" w:rsidP="007A2744">
      <w:pPr>
        <w:spacing w:line="276" w:lineRule="auto"/>
        <w:ind w:firstLine="567"/>
        <w:jc w:val="both"/>
      </w:pPr>
      <w:r>
        <w:t>[</w:t>
      </w:r>
      <w:r w:rsidR="00431416">
        <w:t>1</w:t>
      </w:r>
      <w:r w:rsidR="004749E9">
        <w:t>0</w:t>
      </w:r>
      <w:r>
        <w:t>] Pieteicējs norādījis, ka p</w:t>
      </w:r>
      <w:r w:rsidR="002A1AA0">
        <w:t>irmās instances tiesa bija atzinusi aizturēšanas prettiesiskumu</w:t>
      </w:r>
      <w:r>
        <w:t>. Viņaprāt,</w:t>
      </w:r>
      <w:r w:rsidR="002A1AA0">
        <w:t xml:space="preserve"> ar to pietiek, lai saņemtu prasīto atlīdzinājumu.</w:t>
      </w:r>
      <w:r w:rsidR="00CD34DF">
        <w:t xml:space="preserve"> </w:t>
      </w:r>
    </w:p>
    <w:p w14:paraId="0CF8009D" w14:textId="2D5F60CB" w:rsidR="00597184" w:rsidRDefault="00B876A8" w:rsidP="007A2744">
      <w:pPr>
        <w:spacing w:line="276" w:lineRule="auto"/>
        <w:ind w:firstLine="567"/>
        <w:jc w:val="both"/>
      </w:pPr>
      <w:r>
        <w:t xml:space="preserve">Senāts </w:t>
      </w:r>
      <w:r w:rsidR="00396E92">
        <w:t xml:space="preserve">vērš pieteicēja uzmanību </w:t>
      </w:r>
      <w:r w:rsidR="00CD34DF">
        <w:t>Atlīdzināšanas likuma 15.panta pirmajai daļai</w:t>
      </w:r>
      <w:r w:rsidR="00396E92">
        <w:t>, kurā norādīts, ka</w:t>
      </w:r>
      <w:r w:rsidR="00CD34DF">
        <w:t xml:space="preserve"> n</w:t>
      </w:r>
      <w:r w:rsidR="00CD34DF" w:rsidRPr="00597184">
        <w:t>emantisko kaitējumu nosaka atbilstoši aizskarto tiesību un ar likumu aizsargāto interešu nozīmīgumam un konkrētā aizskāruma smagumam, ņemot vērā iestādes rīcības raksturu</w:t>
      </w:r>
      <w:r w:rsidR="00CD34DF">
        <w:t>,</w:t>
      </w:r>
      <w:r w:rsidR="00CD34DF" w:rsidRPr="00597184">
        <w:t xml:space="preserve"> fiziskās personas personību un rīcību, līdzatbildību, kā arī citus konkrētajā gadījumā būtiskus apstākļus</w:t>
      </w:r>
      <w:r w:rsidR="00CD34DF">
        <w:t>. Tādējādi a</w:t>
      </w:r>
      <w:r>
        <w:t xml:space="preserve">pgabaltiesai, izskatot pieteicēja apelācijas sūdzību, lai lemtu par pieteikuma apmierināšanu vai noraidīšanu pārsūdzētajā daļā, </w:t>
      </w:r>
      <w:r w:rsidR="00334C45">
        <w:t xml:space="preserve">pašai pēc būtības </w:t>
      </w:r>
      <w:r>
        <w:t>bija jāvērtē pieteicēja aizturēšanas apstākļi</w:t>
      </w:r>
      <w:r w:rsidR="00F32305">
        <w:t xml:space="preserve">, </w:t>
      </w:r>
      <w:r>
        <w:t xml:space="preserve">prokuratūras apsarga, policijas darbinieku un </w:t>
      </w:r>
      <w:r w:rsidR="00CD34DF">
        <w:t xml:space="preserve">kā </w:t>
      </w:r>
      <w:r w:rsidR="00F32305">
        <w:t xml:space="preserve">arī </w:t>
      </w:r>
      <w:r>
        <w:t>paša</w:t>
      </w:r>
      <w:r w:rsidR="00F32305">
        <w:t xml:space="preserve"> pieteicēja rīcība</w:t>
      </w:r>
      <w:r>
        <w:t>.</w:t>
      </w:r>
      <w:r w:rsidR="00597184">
        <w:t xml:space="preserve"> </w:t>
      </w:r>
    </w:p>
    <w:p w14:paraId="2FAE0670" w14:textId="47BE816E" w:rsidR="00023C8F" w:rsidRDefault="00CD34DF" w:rsidP="007A2744">
      <w:pPr>
        <w:spacing w:line="276" w:lineRule="auto"/>
        <w:ind w:firstLine="567"/>
        <w:jc w:val="both"/>
      </w:pPr>
      <w:r>
        <w:t>Senāts nesaskata kļūdas ap</w:t>
      </w:r>
      <w:r w:rsidR="00FD0B19">
        <w:t>gabaltiesa</w:t>
      </w:r>
      <w:r>
        <w:t xml:space="preserve">s secinātajā, ka </w:t>
      </w:r>
      <w:r w:rsidR="00396E92">
        <w:t>p</w:t>
      </w:r>
      <w:r w:rsidRPr="00943B9B">
        <w:t>ieteicēja rīcība bija acīmredzami ļaunprātīga un provocējoša</w:t>
      </w:r>
      <w:r w:rsidR="009D2346">
        <w:t>.</w:t>
      </w:r>
      <w:r w:rsidR="00023C8F" w:rsidRPr="00023C8F">
        <w:t xml:space="preserve"> </w:t>
      </w:r>
      <w:r w:rsidR="00023C8F">
        <w:t xml:space="preserve">Apgabaltiesa attiecīgi ir secinājusi, ka pieteicēja aizturēšana kā tāda bija pamatota, jo gan prokuratūras apsargam, gan policijas darbiniekiem bija pamats domāt, ka pieteicējs izdara administratīvo pārkāpumu. Tādējādi pamatots ir secinājums, ka pieteicēja aizturēšanu izraisīja paša pieteicēja darbības. </w:t>
      </w:r>
    </w:p>
    <w:p w14:paraId="55DD236A" w14:textId="0186AE61" w:rsidR="00023C8F" w:rsidRDefault="009D2346" w:rsidP="007A2744">
      <w:pPr>
        <w:spacing w:line="276" w:lineRule="auto"/>
        <w:ind w:firstLine="567"/>
        <w:jc w:val="both"/>
      </w:pPr>
      <w:r>
        <w:t>Tas, ka pirmās instances tiesa secināja, ka nebija pamata pieteicēju nogādāt policijas iecirknī, nenozīmē, ka pieteicēja aizturēšana vispār bija nepamatota.</w:t>
      </w:r>
      <w:r w:rsidR="00C103A0">
        <w:t xml:space="preserve"> </w:t>
      </w:r>
      <w:r>
        <w:t xml:space="preserve">Senāts </w:t>
      </w:r>
      <w:r w:rsidR="00FE70D2">
        <w:t xml:space="preserve">arī </w:t>
      </w:r>
      <w:r>
        <w:t xml:space="preserve">atzīst, ka </w:t>
      </w:r>
      <w:r w:rsidR="007D3979">
        <w:t xml:space="preserve">administratīvās </w:t>
      </w:r>
      <w:r>
        <w:t xml:space="preserve">rajona tiesas secinātais par aizturēšanas ilgumu ir nedaudz pretrunīgs. No tiesas sprieduma secināms, ka pieteicēja aizturēšana protokola sastādīšanai vispār bija pieļaujama, taču protokolu varēja sastādīt prokuratūras telpās. </w:t>
      </w:r>
      <w:r w:rsidR="00FE70D2">
        <w:t xml:space="preserve">Tātad </w:t>
      </w:r>
      <w:r w:rsidR="00023C8F">
        <w:t xml:space="preserve">pieteicējs nepamatoti tika aizturēts tikai tik ilgi, </w:t>
      </w:r>
      <w:r w:rsidR="008A2844">
        <w:t xml:space="preserve">kamēr </w:t>
      </w:r>
      <w:r w:rsidR="00023C8F">
        <w:t>tika nogādāts policijas iecirknī.</w:t>
      </w:r>
      <w:r w:rsidR="00FE70D2">
        <w:t xml:space="preserve"> </w:t>
      </w:r>
      <w:r w:rsidR="00023C8F">
        <w:t>Rajona</w:t>
      </w:r>
      <w:r>
        <w:t xml:space="preserve"> tiesa nav iedziļinājusies, cik ilgu laiku ir prasījusi pieteicēja nogādāšana uz policijas telpām, </w:t>
      </w:r>
      <w:r w:rsidR="00C103A0">
        <w:t xml:space="preserve">un kļūdaini </w:t>
      </w:r>
      <w:r>
        <w:t xml:space="preserve">visu laiku kopš policijas ierašanās ierēķinājusi </w:t>
      </w:r>
      <w:r w:rsidR="006607C2">
        <w:t>nepamatotās aizturēšanas laikā.</w:t>
      </w:r>
      <w:r w:rsidR="00023C8F">
        <w:t xml:space="preserve"> </w:t>
      </w:r>
    </w:p>
    <w:p w14:paraId="4CD92B85" w14:textId="77777777" w:rsidR="00023C8F" w:rsidRDefault="00023C8F" w:rsidP="007A2744">
      <w:pPr>
        <w:spacing w:line="276" w:lineRule="auto"/>
        <w:ind w:firstLine="567"/>
        <w:jc w:val="both"/>
        <w:rPr>
          <w:bCs/>
          <w:color w:val="000000"/>
        </w:rPr>
      </w:pPr>
    </w:p>
    <w:p w14:paraId="2BE7B5EA" w14:textId="76846215" w:rsidR="00023C8F" w:rsidRPr="00914FBB" w:rsidRDefault="00023C8F" w:rsidP="007A2744">
      <w:pPr>
        <w:spacing w:line="276" w:lineRule="auto"/>
        <w:ind w:firstLine="567"/>
        <w:jc w:val="both"/>
        <w:rPr>
          <w:color w:val="000000"/>
        </w:rPr>
      </w:pPr>
      <w:r>
        <w:rPr>
          <w:bCs/>
          <w:color w:val="000000"/>
        </w:rPr>
        <w:t>[1</w:t>
      </w:r>
      <w:r w:rsidR="004B636F">
        <w:rPr>
          <w:bCs/>
          <w:color w:val="000000"/>
        </w:rPr>
        <w:t>1</w:t>
      </w:r>
      <w:r>
        <w:rPr>
          <w:bCs/>
          <w:color w:val="000000"/>
        </w:rPr>
        <w:t xml:space="preserve">] Pieteicēja ieskatā </w:t>
      </w:r>
      <w:r>
        <w:t>16 </w:t>
      </w:r>
      <w:r>
        <w:rPr>
          <w:i/>
          <w:iCs/>
        </w:rPr>
        <w:t>euro</w:t>
      </w:r>
      <w:r>
        <w:t xml:space="preserve"> atlīdzinājums ir pārāk niecīgs.</w:t>
      </w:r>
      <w:r w:rsidRPr="00792C3D">
        <w:rPr>
          <w:bCs/>
          <w:color w:val="000000"/>
        </w:rPr>
        <w:t xml:space="preserve"> </w:t>
      </w:r>
      <w:r>
        <w:rPr>
          <w:bCs/>
          <w:color w:val="000000"/>
        </w:rPr>
        <w:t xml:space="preserve">Eiropas Cilvēktiesību tiesa ir norādījusi, ka </w:t>
      </w:r>
      <w:r w:rsidRPr="008866A1">
        <w:t>atlīdzinājums nevar būt būtiski zemāk</w:t>
      </w:r>
      <w:r>
        <w:t xml:space="preserve">s nekā </w:t>
      </w:r>
      <w:r w:rsidRPr="008866A1">
        <w:t>līdzīg</w:t>
      </w:r>
      <w:r>
        <w:t>ā</w:t>
      </w:r>
      <w:r w:rsidRPr="008866A1">
        <w:t>s</w:t>
      </w:r>
      <w:r>
        <w:t xml:space="preserve"> šīs tiesas</w:t>
      </w:r>
      <w:r w:rsidRPr="008866A1">
        <w:t xml:space="preserve"> liet</w:t>
      </w:r>
      <w:r>
        <w:t>ā</w:t>
      </w:r>
      <w:r w:rsidRPr="008866A1">
        <w:t>s</w:t>
      </w:r>
      <w:r>
        <w:t>.</w:t>
      </w:r>
    </w:p>
    <w:p w14:paraId="12D1C299" w14:textId="6A5012C8" w:rsidR="004B636F" w:rsidRDefault="004B636F" w:rsidP="007A2744">
      <w:pPr>
        <w:spacing w:line="276" w:lineRule="auto"/>
        <w:ind w:firstLine="567"/>
        <w:jc w:val="both"/>
      </w:pPr>
      <w:r>
        <w:t xml:space="preserve">Nav noliedzams, ka policijas darbinieki ir rīkojušies prettiesiski, jo nevajadzīgi uz ilgāku laiku aizturējuši pieteicēju. Tomēr apgabaltiesa, ņemot vērā visus apstākļus kopumā, pamatoti ir secinājusi, ka pieteicējs saņēma taisnīgu gandarījumu par savu tiesību aizskārumu. </w:t>
      </w:r>
      <w:r w:rsidRPr="00D43B73">
        <w:t xml:space="preserve">Senāts pievienojas </w:t>
      </w:r>
      <w:r>
        <w:t>apgabaltiesas</w:t>
      </w:r>
      <w:r w:rsidRPr="00D43B73">
        <w:t xml:space="preserve"> secinātajam.</w:t>
      </w:r>
    </w:p>
    <w:p w14:paraId="733A92BE" w14:textId="57128BFF" w:rsidR="00023C8F" w:rsidRDefault="00023C8F" w:rsidP="007A2744">
      <w:pPr>
        <w:spacing w:line="276" w:lineRule="auto"/>
        <w:ind w:firstLine="567"/>
        <w:jc w:val="both"/>
        <w:rPr>
          <w:bCs/>
          <w:color w:val="000000"/>
        </w:rPr>
      </w:pPr>
      <w:r>
        <w:rPr>
          <w:bCs/>
          <w:color w:val="000000"/>
        </w:rPr>
        <w:t>Iepazīstoties ar Eiropas Cilvēktiesību tiesas spriedumiem, kurus norādījis pieteicējs, Senāts nesaskata tādu faktisko apstākļu sakritību, kāds konstatēts konkrētajā lietā un kur personai būtu piešķirts lielāks atlīdzinājums.</w:t>
      </w:r>
    </w:p>
    <w:p w14:paraId="45871DF5" w14:textId="3B9E75FD" w:rsidR="00023C8F" w:rsidRDefault="00023C8F" w:rsidP="007A2744">
      <w:pPr>
        <w:spacing w:line="276" w:lineRule="auto"/>
        <w:ind w:firstLine="567"/>
        <w:jc w:val="both"/>
      </w:pPr>
      <w:r>
        <w:t>Arī Senāts jau iepriekš ir atzinis, ka valsts rīcības prettiesiskuma konstatēšana un novēršana pati par sevi var būt atbilstīgs atlīdzinājums (</w:t>
      </w:r>
      <w:r w:rsidRPr="00A36C49">
        <w:rPr>
          <w:i/>
          <w:iCs/>
        </w:rPr>
        <w:t>Senāta 2018.gada 9.novembra spriedums lietā Nr. SKA-395/2018 (</w:t>
      </w:r>
      <w:hyperlink r:id="rId10" w:history="1">
        <w:r w:rsidRPr="005279C4">
          <w:rPr>
            <w:rStyle w:val="Hyperlink"/>
            <w:i/>
            <w:iCs/>
            <w:color w:val="auto"/>
            <w:u w:val="none"/>
          </w:rPr>
          <w:t>ECLI:LV:AT:2018:1109.A420385514.3.S</w:t>
        </w:r>
      </w:hyperlink>
      <w:r w:rsidRPr="00A36C49">
        <w:rPr>
          <w:i/>
          <w:iCs/>
        </w:rPr>
        <w:t>)</w:t>
      </w:r>
      <w:r>
        <w:t>).</w:t>
      </w:r>
    </w:p>
    <w:p w14:paraId="23121866" w14:textId="6D2702F5" w:rsidR="007565B0" w:rsidRDefault="007565B0" w:rsidP="007A2744">
      <w:pPr>
        <w:spacing w:line="276" w:lineRule="auto"/>
        <w:ind w:firstLine="567"/>
        <w:jc w:val="both"/>
      </w:pPr>
    </w:p>
    <w:p w14:paraId="06B5F698" w14:textId="30ED352F" w:rsidR="005E0FC6" w:rsidRDefault="007565B0" w:rsidP="007A2744">
      <w:pPr>
        <w:spacing w:line="276" w:lineRule="auto"/>
        <w:ind w:firstLine="567"/>
        <w:jc w:val="both"/>
        <w:rPr>
          <w:bCs/>
          <w:color w:val="000000"/>
        </w:rPr>
      </w:pPr>
      <w:r>
        <w:rPr>
          <w:bCs/>
          <w:color w:val="000000"/>
        </w:rPr>
        <w:t>[</w:t>
      </w:r>
      <w:r w:rsidR="00431416">
        <w:rPr>
          <w:bCs/>
          <w:color w:val="000000"/>
        </w:rPr>
        <w:t>1</w:t>
      </w:r>
      <w:r w:rsidR="004B636F">
        <w:rPr>
          <w:bCs/>
          <w:color w:val="000000"/>
        </w:rPr>
        <w:t>2</w:t>
      </w:r>
      <w:r>
        <w:rPr>
          <w:bCs/>
          <w:color w:val="000000"/>
        </w:rPr>
        <w:t xml:space="preserve">] </w:t>
      </w:r>
      <w:r w:rsidR="00E33EDF">
        <w:rPr>
          <w:bCs/>
          <w:color w:val="000000"/>
        </w:rPr>
        <w:t xml:space="preserve">Senāts </w:t>
      </w:r>
      <w:r>
        <w:rPr>
          <w:bCs/>
          <w:color w:val="000000"/>
        </w:rPr>
        <w:t>nesaskata</w:t>
      </w:r>
      <w:r w:rsidR="004B636F">
        <w:rPr>
          <w:bCs/>
          <w:color w:val="000000"/>
        </w:rPr>
        <w:t xml:space="preserve"> n</w:t>
      </w:r>
      <w:r>
        <w:rPr>
          <w:bCs/>
          <w:color w:val="000000"/>
        </w:rPr>
        <w:t>ozīmi pieteicēja argumentam, ka no tiesas sprieduma nav saprotams,</w:t>
      </w:r>
      <w:r w:rsidR="002A1AA0">
        <w:rPr>
          <w:bCs/>
          <w:color w:val="000000"/>
        </w:rPr>
        <w:t xml:space="preserve"> no kā tiesa secināja, ka policijas darbinieki </w:t>
      </w:r>
      <w:r w:rsidR="002A1AA0" w:rsidRPr="004B636F">
        <w:rPr>
          <w:bCs/>
          <w:i/>
          <w:iCs/>
          <w:color w:val="000000"/>
        </w:rPr>
        <w:t>vairākkārtīgi</w:t>
      </w:r>
      <w:r w:rsidR="002A1AA0">
        <w:rPr>
          <w:bCs/>
          <w:color w:val="000000"/>
        </w:rPr>
        <w:t xml:space="preserve"> prasīja pārtraukt pārkāpumu. </w:t>
      </w:r>
    </w:p>
    <w:p w14:paraId="3D33A4F6" w14:textId="245D7309" w:rsidR="007565B0" w:rsidRDefault="007565B0" w:rsidP="007A2744">
      <w:pPr>
        <w:spacing w:line="276" w:lineRule="auto"/>
        <w:ind w:firstLine="567"/>
        <w:jc w:val="both"/>
        <w:rPr>
          <w:bCs/>
          <w:color w:val="000000"/>
        </w:rPr>
      </w:pPr>
      <w:r>
        <w:rPr>
          <w:bCs/>
          <w:color w:val="000000"/>
        </w:rPr>
        <w:t xml:space="preserve">Pārkāpums tika izdarīts, neievērojot noteikto kārtību. Kā </w:t>
      </w:r>
      <w:r w:rsidR="005C3322">
        <w:rPr>
          <w:bCs/>
          <w:color w:val="000000"/>
        </w:rPr>
        <w:t xml:space="preserve">norādījusi </w:t>
      </w:r>
      <w:r>
        <w:rPr>
          <w:bCs/>
          <w:color w:val="000000"/>
        </w:rPr>
        <w:t>apgabaltiesa</w:t>
      </w:r>
      <w:r w:rsidR="005C3322">
        <w:rPr>
          <w:bCs/>
          <w:color w:val="000000"/>
        </w:rPr>
        <w:t>, un pieteicējs to nav apstrīdējis, pieteicējam bija zināms, ka filmēšana prokuratūras telpās ir aizliegta</w:t>
      </w:r>
      <w:r w:rsidR="005E0FC6">
        <w:rPr>
          <w:bCs/>
          <w:color w:val="000000"/>
        </w:rPr>
        <w:t xml:space="preserve">. </w:t>
      </w:r>
      <w:r w:rsidR="005C3322">
        <w:rPr>
          <w:bCs/>
          <w:color w:val="000000"/>
        </w:rPr>
        <w:t xml:space="preserve">Neraugoties uz to, </w:t>
      </w:r>
      <w:r w:rsidR="005E0FC6">
        <w:rPr>
          <w:bCs/>
          <w:color w:val="000000"/>
        </w:rPr>
        <w:t>pieteicējs</w:t>
      </w:r>
      <w:r w:rsidR="005C3322">
        <w:rPr>
          <w:bCs/>
          <w:color w:val="000000"/>
        </w:rPr>
        <w:t xml:space="preserve"> </w:t>
      </w:r>
      <w:r w:rsidR="00CD4628">
        <w:rPr>
          <w:bCs/>
          <w:color w:val="000000"/>
        </w:rPr>
        <w:t>rīkojās tādā veidā</w:t>
      </w:r>
      <w:r w:rsidR="005C3322">
        <w:rPr>
          <w:bCs/>
          <w:color w:val="000000"/>
        </w:rPr>
        <w:t>, kas saprātīgam vērotājam li</w:t>
      </w:r>
      <w:r w:rsidR="006A4C90">
        <w:rPr>
          <w:bCs/>
          <w:color w:val="000000"/>
        </w:rPr>
        <w:t>ek domāt</w:t>
      </w:r>
      <w:r w:rsidR="005C3322">
        <w:rPr>
          <w:bCs/>
          <w:color w:val="000000"/>
        </w:rPr>
        <w:t xml:space="preserve">, ka </w:t>
      </w:r>
      <w:r w:rsidR="005E0FC6">
        <w:rPr>
          <w:bCs/>
          <w:color w:val="000000"/>
        </w:rPr>
        <w:t>pieteicējs</w:t>
      </w:r>
      <w:r w:rsidR="005C3322">
        <w:rPr>
          <w:bCs/>
          <w:color w:val="000000"/>
        </w:rPr>
        <w:t xml:space="preserve"> neievēro šo aizliegumu.</w:t>
      </w:r>
    </w:p>
    <w:p w14:paraId="09A5FE26" w14:textId="02BA62DB" w:rsidR="00E47F6B" w:rsidRDefault="005C3322" w:rsidP="007A2744">
      <w:pPr>
        <w:spacing w:line="276" w:lineRule="auto"/>
        <w:ind w:firstLine="567"/>
        <w:jc w:val="both"/>
        <w:rPr>
          <w:bCs/>
          <w:color w:val="000000"/>
        </w:rPr>
      </w:pPr>
      <w:r>
        <w:rPr>
          <w:bCs/>
          <w:color w:val="000000"/>
        </w:rPr>
        <w:t>Tādējādi Senāts nesaskata kļūdas apgabaltiesas secinājumā, ka gan prokuratūras apsargs, gan policijas darbinieki pieteicēja darbībās varēja saskatīt pārkāpumu un viņi varēja veikt darbības, kuru mērķis bija administratīvās atbildības piemērošana.</w:t>
      </w:r>
    </w:p>
    <w:p w14:paraId="1F752136" w14:textId="77777777" w:rsidR="00DB7089" w:rsidRDefault="00DB7089" w:rsidP="007A2744">
      <w:pPr>
        <w:spacing w:line="276" w:lineRule="auto"/>
        <w:jc w:val="both"/>
        <w:rPr>
          <w:bCs/>
          <w:color w:val="000000"/>
        </w:rPr>
      </w:pPr>
    </w:p>
    <w:p w14:paraId="4E2A8D0D" w14:textId="5B0DFFF4" w:rsidR="005B68CA" w:rsidRDefault="00DB7089" w:rsidP="007A2744">
      <w:pPr>
        <w:spacing w:line="276" w:lineRule="auto"/>
        <w:ind w:firstLine="567"/>
        <w:jc w:val="both"/>
      </w:pPr>
      <w:r>
        <w:rPr>
          <w:bCs/>
          <w:color w:val="000000"/>
        </w:rPr>
        <w:t>[</w:t>
      </w:r>
      <w:r w:rsidR="002407F3">
        <w:rPr>
          <w:bCs/>
          <w:color w:val="000000"/>
        </w:rPr>
        <w:t>1</w:t>
      </w:r>
      <w:r w:rsidR="004B636F">
        <w:rPr>
          <w:bCs/>
          <w:color w:val="000000"/>
        </w:rPr>
        <w:t>3</w:t>
      </w:r>
      <w:r>
        <w:rPr>
          <w:bCs/>
          <w:color w:val="000000"/>
        </w:rPr>
        <w:t xml:space="preserve">] </w:t>
      </w:r>
      <w:r w:rsidR="00AF5A55">
        <w:rPr>
          <w:bCs/>
          <w:color w:val="000000"/>
        </w:rPr>
        <w:t>Nav nozīmes ka</w:t>
      </w:r>
      <w:r>
        <w:rPr>
          <w:bCs/>
          <w:color w:val="000000"/>
        </w:rPr>
        <w:t>sācijas sūdzīb</w:t>
      </w:r>
      <w:r w:rsidR="00AF5A55">
        <w:rPr>
          <w:bCs/>
          <w:color w:val="000000"/>
        </w:rPr>
        <w:t xml:space="preserve">ā minētajam argumentam, ka administratīvo pārkāpumu </w:t>
      </w:r>
      <w:r w:rsidR="00A07417">
        <w:rPr>
          <w:bCs/>
          <w:color w:val="000000"/>
        </w:rPr>
        <w:t>tiesiskais regulējums</w:t>
      </w:r>
      <w:r w:rsidR="00A07417" w:rsidRPr="008866A1">
        <w:rPr>
          <w:bCs/>
          <w:color w:val="000000"/>
        </w:rPr>
        <w:t xml:space="preserve"> </w:t>
      </w:r>
      <w:r w:rsidR="002A1AA0" w:rsidRPr="008866A1">
        <w:rPr>
          <w:bCs/>
          <w:color w:val="000000"/>
        </w:rPr>
        <w:t>ir mainījie</w:t>
      </w:r>
      <w:r w:rsidR="00AF5A55">
        <w:rPr>
          <w:bCs/>
          <w:color w:val="000000"/>
        </w:rPr>
        <w:t>s</w:t>
      </w:r>
      <w:r w:rsidR="002A1AA0">
        <w:rPr>
          <w:color w:val="000000"/>
        </w:rPr>
        <w:t>.</w:t>
      </w:r>
      <w:r w:rsidR="00AF5A55">
        <w:rPr>
          <w:color w:val="000000"/>
        </w:rPr>
        <w:t xml:space="preserve"> </w:t>
      </w:r>
      <w:r w:rsidR="00AF5A55">
        <w:t xml:space="preserve">Tiesai </w:t>
      </w:r>
      <w:r w:rsidR="00AF5A55">
        <w:rPr>
          <w:color w:val="000000"/>
        </w:rPr>
        <w:t xml:space="preserve">administratīvo pārkāpumu lietvedībā iesaistīto </w:t>
      </w:r>
      <w:r w:rsidR="00AF5A55">
        <w:t>iestāžu un amatpersonu rīcības tiesiskums bija jāpārbauda</w:t>
      </w:r>
      <w:r w:rsidR="00AF5A55">
        <w:rPr>
          <w:color w:val="000000"/>
        </w:rPr>
        <w:t xml:space="preserve"> </w:t>
      </w:r>
      <w:r w:rsidR="005B68CA">
        <w:rPr>
          <w:color w:val="000000"/>
        </w:rPr>
        <w:t>atbilstoši</w:t>
      </w:r>
      <w:r w:rsidR="00AF5A55">
        <w:rPr>
          <w:color w:val="000000"/>
        </w:rPr>
        <w:t xml:space="preserve"> </w:t>
      </w:r>
      <w:r w:rsidR="00AF5A55" w:rsidRPr="00023E80">
        <w:t>L</w:t>
      </w:r>
      <w:r w:rsidR="00AF5A55">
        <w:t>atvijas Administratīvo pārkāpumu kodeksa norm</w:t>
      </w:r>
      <w:r w:rsidR="005B68CA">
        <w:t>ām. Administratīvā apgabaltiesa</w:t>
      </w:r>
      <w:r w:rsidR="0060130A">
        <w:t xml:space="preserve">, pievienojoties rajona tiesas sprieduma motivācijai, </w:t>
      </w:r>
      <w:r w:rsidR="005B68CA">
        <w:t>to ir darījusi.</w:t>
      </w:r>
    </w:p>
    <w:p w14:paraId="0202D50D" w14:textId="77777777" w:rsidR="0060130A" w:rsidRDefault="0060130A" w:rsidP="007A2744">
      <w:pPr>
        <w:spacing w:line="276" w:lineRule="auto"/>
        <w:ind w:firstLine="567"/>
        <w:jc w:val="both"/>
        <w:rPr>
          <w:color w:val="000000"/>
        </w:rPr>
      </w:pPr>
    </w:p>
    <w:p w14:paraId="6D3313FF" w14:textId="5CA1E8BF" w:rsidR="0044699C" w:rsidRDefault="0060130A" w:rsidP="007A2744">
      <w:pPr>
        <w:spacing w:line="276" w:lineRule="auto"/>
        <w:ind w:firstLine="567"/>
        <w:jc w:val="both"/>
      </w:pPr>
      <w:r>
        <w:rPr>
          <w:color w:val="000000"/>
        </w:rPr>
        <w:t>[</w:t>
      </w:r>
      <w:r w:rsidR="002407F3">
        <w:rPr>
          <w:color w:val="000000"/>
        </w:rPr>
        <w:t>1</w:t>
      </w:r>
      <w:r w:rsidR="004B636F">
        <w:rPr>
          <w:color w:val="000000"/>
        </w:rPr>
        <w:t>4</w:t>
      </w:r>
      <w:r>
        <w:rPr>
          <w:color w:val="000000"/>
        </w:rPr>
        <w:t xml:space="preserve">] </w:t>
      </w:r>
      <w:r w:rsidR="000A2DD0">
        <w:rPr>
          <w:color w:val="000000"/>
        </w:rPr>
        <w:t>Senāts piekrīt pieteicējam</w:t>
      </w:r>
      <w:r w:rsidR="002A1AA0">
        <w:rPr>
          <w:bCs/>
          <w:color w:val="000000"/>
        </w:rPr>
        <w:t>, ka kāda</w:t>
      </w:r>
      <w:r w:rsidR="000A2DD0">
        <w:rPr>
          <w:bCs/>
          <w:color w:val="000000"/>
        </w:rPr>
        <w:t>s</w:t>
      </w:r>
      <w:r w:rsidR="002A1AA0">
        <w:rPr>
          <w:bCs/>
          <w:color w:val="000000"/>
        </w:rPr>
        <w:t xml:space="preserve"> ierīce</w:t>
      </w:r>
      <w:r w:rsidR="000A2DD0">
        <w:rPr>
          <w:bCs/>
          <w:color w:val="000000"/>
        </w:rPr>
        <w:t>s</w:t>
      </w:r>
      <w:r w:rsidR="002A1AA0">
        <w:rPr>
          <w:bCs/>
          <w:color w:val="000000"/>
        </w:rPr>
        <w:t xml:space="preserve"> atr</w:t>
      </w:r>
      <w:r w:rsidR="000A2DD0">
        <w:rPr>
          <w:bCs/>
          <w:color w:val="000000"/>
        </w:rPr>
        <w:t>ašanās</w:t>
      </w:r>
      <w:r w:rsidR="002A1AA0">
        <w:rPr>
          <w:bCs/>
          <w:color w:val="000000"/>
        </w:rPr>
        <w:t xml:space="preserve"> pie cilvēka notikuma brīdī, nenozīmē, ka </w:t>
      </w:r>
      <w:r w:rsidR="0044699C">
        <w:rPr>
          <w:bCs/>
          <w:color w:val="000000"/>
        </w:rPr>
        <w:t>tiek</w:t>
      </w:r>
      <w:r w:rsidR="002A1AA0">
        <w:rPr>
          <w:bCs/>
          <w:color w:val="000000"/>
        </w:rPr>
        <w:t xml:space="preserve"> veikta filmēšana.</w:t>
      </w:r>
    </w:p>
    <w:p w14:paraId="530AB3BE" w14:textId="27235A17" w:rsidR="000A2DD0" w:rsidRDefault="00D4195B" w:rsidP="007A2744">
      <w:pPr>
        <w:spacing w:line="276" w:lineRule="auto"/>
        <w:ind w:firstLine="567"/>
        <w:jc w:val="both"/>
        <w:rPr>
          <w:bCs/>
          <w:color w:val="000000"/>
        </w:rPr>
      </w:pPr>
      <w:r>
        <w:t>Pieteicēja lietā lietvedība tika izbeigta, jo</w:t>
      </w:r>
      <w:r w:rsidR="00A07417">
        <w:t>,</w:t>
      </w:r>
      <w:r>
        <w:t xml:space="preserve"> iegūstot vairāk informācijas, iestāde pārliecinājās, ka kamerā nav uzfilmētā materiāla, bet telefon</w:t>
      </w:r>
      <w:r w:rsidR="00431416">
        <w:t>u</w:t>
      </w:r>
      <w:r>
        <w:t xml:space="preserve"> saturu neizdevās pārbaudīt, tāpēc šaubas tika tulkotas par labu pieteicējam.</w:t>
      </w:r>
    </w:p>
    <w:p w14:paraId="1C07AFFF" w14:textId="2006865B" w:rsidR="005B0D08" w:rsidRPr="00E446C3" w:rsidRDefault="00BA14CF" w:rsidP="007A2744">
      <w:pPr>
        <w:spacing w:line="276" w:lineRule="auto"/>
        <w:ind w:firstLine="567"/>
        <w:jc w:val="both"/>
        <w:rPr>
          <w:rStyle w:val="sb8d990e2"/>
          <w:shd w:val="clear" w:color="auto" w:fill="FFFFFF"/>
        </w:rPr>
      </w:pPr>
      <w:r>
        <w:t xml:space="preserve">Taču, ja persona veic tādas darbības, kas saprātīgam vērotājam no malas liek domāt, ka filmēšana notiek, tātad </w:t>
      </w:r>
      <w:r w:rsidR="005E0FC6">
        <w:t xml:space="preserve">tiek </w:t>
      </w:r>
      <w:r>
        <w:t>izdar</w:t>
      </w:r>
      <w:r w:rsidR="005E0FC6">
        <w:t>īts</w:t>
      </w:r>
      <w:r>
        <w:t xml:space="preserve"> administratīv</w:t>
      </w:r>
      <w:r w:rsidR="005E0FC6">
        <w:t>ais</w:t>
      </w:r>
      <w:r>
        <w:t xml:space="preserve"> pārkāpum</w:t>
      </w:r>
      <w:r w:rsidR="005E0FC6">
        <w:t>s</w:t>
      </w:r>
      <w:r>
        <w:t xml:space="preserve">, turklāt ir zināms, ka persona šādu pārkāpumu ir jau iepriekš pieļāvusi, ir pamats ierosināt administratīvā pārkāpuma </w:t>
      </w:r>
      <w:r w:rsidR="00CD48F5">
        <w:t>lietvedību</w:t>
      </w:r>
      <w:r>
        <w:t xml:space="preserve"> un </w:t>
      </w:r>
      <w:r w:rsidR="00F47F47">
        <w:t xml:space="preserve">pārbaudīt lietas apstākļus, </w:t>
      </w:r>
      <w:r w:rsidR="00CD48F5">
        <w:t xml:space="preserve">kā arī </w:t>
      </w:r>
      <w:r w:rsidR="00F47F47">
        <w:t xml:space="preserve">izņemt priekšmetus, ar kuriem, iespējams, </w:t>
      </w:r>
      <w:r w:rsidR="00CD48F5">
        <w:t xml:space="preserve">izdarīts </w:t>
      </w:r>
      <w:r w:rsidR="00F47F47">
        <w:t>administratīvais pārkāpums.</w:t>
      </w:r>
    </w:p>
    <w:p w14:paraId="5DDF9E5F" w14:textId="1B657063" w:rsidR="00477AA2" w:rsidRDefault="00CC46E6" w:rsidP="007A2744">
      <w:pPr>
        <w:spacing w:line="276" w:lineRule="auto"/>
        <w:ind w:firstLine="567"/>
        <w:jc w:val="both"/>
        <w:rPr>
          <w:rStyle w:val="sb8d990e2"/>
          <w:shd w:val="clear" w:color="auto" w:fill="FFFFFF"/>
        </w:rPr>
      </w:pPr>
      <w:r>
        <w:t xml:space="preserve">Tas atbilst arī </w:t>
      </w:r>
      <w:r w:rsidR="00BA14CF" w:rsidRPr="00E446C3">
        <w:t xml:space="preserve">Eiropas </w:t>
      </w:r>
      <w:r w:rsidR="00BA14CF" w:rsidRPr="00E446C3">
        <w:rPr>
          <w:bCs/>
          <w:color w:val="000000"/>
        </w:rPr>
        <w:t>Cilvēktiesību</w:t>
      </w:r>
      <w:r w:rsidR="00BA14CF" w:rsidRPr="00E446C3">
        <w:t xml:space="preserve"> tiesas 2000.gada 10.oktobra</w:t>
      </w:r>
      <w:r w:rsidR="00BA14CF" w:rsidRPr="00E446C3">
        <w:rPr>
          <w:bCs/>
          <w:color w:val="000000"/>
        </w:rPr>
        <w:t xml:space="preserve"> </w:t>
      </w:r>
      <w:r w:rsidR="00BA14CF" w:rsidRPr="00E446C3">
        <w:rPr>
          <w:rStyle w:val="WW8Num1z2"/>
        </w:rPr>
        <w:t>spriedum</w:t>
      </w:r>
      <w:r>
        <w:rPr>
          <w:rStyle w:val="WW8Num1z2"/>
        </w:rPr>
        <w:t>ā</w:t>
      </w:r>
      <w:r w:rsidR="00BA14CF" w:rsidRPr="00E446C3">
        <w:rPr>
          <w:rStyle w:val="WW8Num1z2"/>
        </w:rPr>
        <w:t xml:space="preserve"> lietā „</w:t>
      </w:r>
      <w:r w:rsidR="00BA14CF" w:rsidRPr="00AE6829">
        <w:rPr>
          <w:rStyle w:val="WW8Num1z2"/>
        </w:rPr>
        <w:t>W</w:t>
      </w:r>
      <w:r w:rsidR="005B0D08" w:rsidRPr="00AE6829">
        <w:rPr>
          <w:rStyle w:val="WW8Num1z2"/>
        </w:rPr>
        <w:t>loch</w:t>
      </w:r>
      <w:r w:rsidR="00BA14CF" w:rsidRPr="00AE6829">
        <w:rPr>
          <w:rStyle w:val="WW8Num1z2"/>
        </w:rPr>
        <w:t xml:space="preserve"> v. P</w:t>
      </w:r>
      <w:r w:rsidR="005B0D08" w:rsidRPr="00AE6829">
        <w:rPr>
          <w:rStyle w:val="WW8Num1z2"/>
        </w:rPr>
        <w:t>oland</w:t>
      </w:r>
      <w:r w:rsidR="00BA14CF" w:rsidRPr="00E446C3">
        <w:rPr>
          <w:rStyle w:val="WW8Num1z2"/>
        </w:rPr>
        <w:t xml:space="preserve">”, </w:t>
      </w:r>
      <w:r w:rsidR="00BA14CF" w:rsidRPr="00E446C3">
        <w:t>iesnieguma</w:t>
      </w:r>
      <w:r w:rsidR="00BA14CF" w:rsidRPr="00E446C3">
        <w:rPr>
          <w:rStyle w:val="WW8Num1z2"/>
        </w:rPr>
        <w:t xml:space="preserve"> Nr.</w:t>
      </w:r>
      <w:r w:rsidR="00BA14CF" w:rsidRPr="00E446C3">
        <w:t> </w:t>
      </w:r>
      <w:hyperlink r:id="rId11" w:anchor="{%22languageisocode%22:[%22ENG%22],%22appno%22:[%2227785/95%22],%22documentcollectionid2%22:[%22CHAMBER%22],%22itemid%22:[%22001-58893%22]}" w:history="1">
        <w:r w:rsidR="00BA14CF" w:rsidRPr="005B0D08">
          <w:rPr>
            <w:rStyle w:val="Hyperlink"/>
            <w:bCs/>
            <w:color w:val="auto"/>
            <w:u w:val="none"/>
            <w:shd w:val="clear" w:color="auto" w:fill="FFFFFF"/>
          </w:rPr>
          <w:t>27785/95</w:t>
        </w:r>
      </w:hyperlink>
      <w:r w:rsidR="00F47F47">
        <w:t xml:space="preserve"> (lieta, uz kuru kasācijas sūdzībā atsaucas arī pieteicējs)</w:t>
      </w:r>
      <w:r w:rsidR="00E120AF">
        <w:t>,</w:t>
      </w:r>
      <w:r w:rsidR="00F47F47">
        <w:t xml:space="preserve"> </w:t>
      </w:r>
      <w:r>
        <w:t>secinātajam. Sprieduma</w:t>
      </w:r>
      <w:r w:rsidR="00A07417">
        <w:t xml:space="preserve"> </w:t>
      </w:r>
      <w:r w:rsidR="00BA14CF" w:rsidRPr="00E446C3">
        <w:rPr>
          <w:rStyle w:val="sb8d990e2"/>
          <w:shd w:val="clear" w:color="auto" w:fill="FFFFFF"/>
        </w:rPr>
        <w:t>108.punktā noteikts, ka brīvības atņemšanas pamatu uzskaitījums</w:t>
      </w:r>
      <w:r w:rsidR="00F47F47">
        <w:rPr>
          <w:rStyle w:val="sb8d990e2"/>
          <w:shd w:val="clear" w:color="auto" w:fill="FFFFFF"/>
        </w:rPr>
        <w:t xml:space="preserve"> ir </w:t>
      </w:r>
      <w:r w:rsidR="00BA14CF" w:rsidRPr="00E446C3">
        <w:rPr>
          <w:rStyle w:val="sb8d990e2"/>
          <w:shd w:val="clear" w:color="auto" w:fill="FFFFFF"/>
        </w:rPr>
        <w:t>jāinterpretē šauri. Person</w:t>
      </w:r>
      <w:r w:rsidR="00F47F47">
        <w:rPr>
          <w:rStyle w:val="sb8d990e2"/>
          <w:shd w:val="clear" w:color="auto" w:fill="FFFFFF"/>
        </w:rPr>
        <w:t>as brīvību</w:t>
      </w:r>
      <w:r w:rsidR="00BA14CF" w:rsidRPr="00E446C3">
        <w:rPr>
          <w:rStyle w:val="sb8d990e2"/>
          <w:shd w:val="clear" w:color="auto" w:fill="FFFFFF"/>
        </w:rPr>
        <w:t xml:space="preserve"> var </w:t>
      </w:r>
      <w:r w:rsidR="00F47F47">
        <w:rPr>
          <w:rStyle w:val="sb8d990e2"/>
          <w:shd w:val="clear" w:color="auto" w:fill="FFFFFF"/>
        </w:rPr>
        <w:t>ierobežot</w:t>
      </w:r>
      <w:r w:rsidR="00BA14CF" w:rsidRPr="00E446C3">
        <w:rPr>
          <w:rStyle w:val="sb8d990e2"/>
          <w:shd w:val="clear" w:color="auto" w:fill="FFFFFF"/>
        </w:rPr>
        <w:t xml:space="preserve"> tikai, lai, balstoties uz aizdomām par </w:t>
      </w:r>
      <w:r>
        <w:rPr>
          <w:rStyle w:val="sb8d990e2"/>
          <w:shd w:val="clear" w:color="auto" w:fill="FFFFFF"/>
        </w:rPr>
        <w:t>pārkāpuma</w:t>
      </w:r>
      <w:r w:rsidR="00BA14CF" w:rsidRPr="00E446C3">
        <w:rPr>
          <w:rStyle w:val="sb8d990e2"/>
          <w:shd w:val="clear" w:color="auto" w:fill="FFFFFF"/>
        </w:rPr>
        <w:t xml:space="preserve"> izdarīšanu, nodotu kompetentajai iestādei. </w:t>
      </w:r>
      <w:r w:rsidR="00515B01">
        <w:rPr>
          <w:rStyle w:val="sb8d990e2"/>
          <w:shd w:val="clear" w:color="auto" w:fill="FFFFFF"/>
        </w:rPr>
        <w:t>Lai būtu</w:t>
      </w:r>
      <w:r w:rsidR="005B0D08">
        <w:rPr>
          <w:rStyle w:val="sb8d990e2"/>
          <w:shd w:val="clear" w:color="auto" w:fill="FFFFFF"/>
        </w:rPr>
        <w:t xml:space="preserve"> </w:t>
      </w:r>
      <w:r w:rsidR="005B0D08" w:rsidRPr="00515B01">
        <w:rPr>
          <w:rStyle w:val="sb8d990e2"/>
          <w:i/>
          <w:iCs/>
          <w:shd w:val="clear" w:color="auto" w:fill="FFFFFF"/>
        </w:rPr>
        <w:t>p</w:t>
      </w:r>
      <w:r w:rsidR="00BA14CF" w:rsidRPr="00515B01">
        <w:rPr>
          <w:rStyle w:val="sb8d990e2"/>
          <w:i/>
          <w:iCs/>
          <w:shd w:val="clear" w:color="auto" w:fill="FFFFFF"/>
        </w:rPr>
        <w:t>amatot</w:t>
      </w:r>
      <w:r w:rsidR="00515B01" w:rsidRPr="00515B01">
        <w:rPr>
          <w:rStyle w:val="sb8d990e2"/>
          <w:i/>
          <w:iCs/>
          <w:shd w:val="clear" w:color="auto" w:fill="FFFFFF"/>
        </w:rPr>
        <w:t>as</w:t>
      </w:r>
      <w:r w:rsidR="00BA14CF" w:rsidRPr="00515B01">
        <w:rPr>
          <w:rStyle w:val="sb8d990e2"/>
          <w:i/>
          <w:iCs/>
          <w:shd w:val="clear" w:color="auto" w:fill="FFFFFF"/>
        </w:rPr>
        <w:t xml:space="preserve"> aizdom</w:t>
      </w:r>
      <w:r w:rsidR="00515B01" w:rsidRPr="00515B01">
        <w:rPr>
          <w:rStyle w:val="sb8d990e2"/>
          <w:i/>
          <w:iCs/>
          <w:shd w:val="clear" w:color="auto" w:fill="FFFFFF"/>
        </w:rPr>
        <w:t>as</w:t>
      </w:r>
      <w:r w:rsidR="00515B01">
        <w:rPr>
          <w:rStyle w:val="sb8d990e2"/>
          <w:shd w:val="clear" w:color="auto" w:fill="FFFFFF"/>
        </w:rPr>
        <w:t>,</w:t>
      </w:r>
      <w:r w:rsidR="00BA14CF" w:rsidRPr="00E446C3">
        <w:rPr>
          <w:rStyle w:val="sb8d990e2"/>
          <w:shd w:val="clear" w:color="auto" w:fill="FFFFFF"/>
        </w:rPr>
        <w:t xml:space="preserve"> ka ir </w:t>
      </w:r>
      <w:r>
        <w:rPr>
          <w:rStyle w:val="sb8d990e2"/>
          <w:shd w:val="clear" w:color="auto" w:fill="FFFFFF"/>
        </w:rPr>
        <w:t>izdarīts pārkāpums</w:t>
      </w:r>
      <w:r w:rsidR="00BA14CF" w:rsidRPr="00E446C3">
        <w:rPr>
          <w:rStyle w:val="sb8d990e2"/>
          <w:shd w:val="clear" w:color="auto" w:fill="FFFFFF"/>
        </w:rPr>
        <w:t xml:space="preserve">, </w:t>
      </w:r>
      <w:r w:rsidR="00515B01">
        <w:rPr>
          <w:rStyle w:val="sb8d990e2"/>
          <w:shd w:val="clear" w:color="auto" w:fill="FFFFFF"/>
        </w:rPr>
        <w:t>ir jābūt</w:t>
      </w:r>
      <w:r w:rsidR="00BA14CF" w:rsidRPr="00E446C3">
        <w:rPr>
          <w:rStyle w:val="sb8d990e2"/>
          <w:shd w:val="clear" w:color="auto" w:fill="FFFFFF"/>
        </w:rPr>
        <w:t xml:space="preserve"> fakt</w:t>
      </w:r>
      <w:r w:rsidR="00515B01">
        <w:rPr>
          <w:rStyle w:val="sb8d990e2"/>
          <w:shd w:val="clear" w:color="auto" w:fill="FFFFFF"/>
        </w:rPr>
        <w:t>iem</w:t>
      </w:r>
      <w:r w:rsidR="00BA14CF" w:rsidRPr="00E446C3">
        <w:rPr>
          <w:rStyle w:val="sb8d990e2"/>
          <w:shd w:val="clear" w:color="auto" w:fill="FFFFFF"/>
        </w:rPr>
        <w:t xml:space="preserve"> vai informācija</w:t>
      </w:r>
      <w:r w:rsidR="00515B01">
        <w:rPr>
          <w:rStyle w:val="sb8d990e2"/>
          <w:shd w:val="clear" w:color="auto" w:fill="FFFFFF"/>
        </w:rPr>
        <w:t>i</w:t>
      </w:r>
      <w:r w:rsidR="00BA14CF" w:rsidRPr="00E446C3">
        <w:rPr>
          <w:rStyle w:val="sb8d990e2"/>
          <w:shd w:val="clear" w:color="auto" w:fill="FFFFFF"/>
        </w:rPr>
        <w:t>, kas objektīvu</w:t>
      </w:r>
      <w:r w:rsidR="00477AA2">
        <w:rPr>
          <w:rStyle w:val="sb8d990e2"/>
          <w:shd w:val="clear" w:color="auto" w:fill="FFFFFF"/>
        </w:rPr>
        <w:t xml:space="preserve"> </w:t>
      </w:r>
      <w:r w:rsidR="00BA14CF" w:rsidRPr="00E446C3">
        <w:rPr>
          <w:rStyle w:val="sb8d990e2"/>
          <w:shd w:val="clear" w:color="auto" w:fill="FFFFFF"/>
        </w:rPr>
        <w:t>vērotāju pārliecin</w:t>
      </w:r>
      <w:r w:rsidR="00141C92">
        <w:rPr>
          <w:rStyle w:val="sb8d990e2"/>
          <w:shd w:val="clear" w:color="auto" w:fill="FFFFFF"/>
        </w:rPr>
        <w:t>a</w:t>
      </w:r>
      <w:r w:rsidR="00BA14CF" w:rsidRPr="00E446C3">
        <w:rPr>
          <w:rStyle w:val="sb8d990e2"/>
          <w:shd w:val="clear" w:color="auto" w:fill="FFFFFF"/>
        </w:rPr>
        <w:t xml:space="preserve"> par to, ka persona izdarījusi </w:t>
      </w:r>
      <w:r w:rsidR="00141C92">
        <w:rPr>
          <w:rStyle w:val="sb8d990e2"/>
          <w:shd w:val="clear" w:color="auto" w:fill="FFFFFF"/>
        </w:rPr>
        <w:t>pārkāpumu</w:t>
      </w:r>
      <w:r w:rsidR="00BA14CF" w:rsidRPr="00E446C3">
        <w:rPr>
          <w:rStyle w:val="sb8d990e2"/>
          <w:shd w:val="clear" w:color="auto" w:fill="FFFFFF"/>
        </w:rPr>
        <w:t>. Sprieduma 109.punktā noteikts, ka</w:t>
      </w:r>
      <w:r>
        <w:rPr>
          <w:rStyle w:val="sb8d990e2"/>
          <w:shd w:val="clear" w:color="auto" w:fill="FFFFFF"/>
        </w:rPr>
        <w:t xml:space="preserve"> </w:t>
      </w:r>
      <w:r w:rsidR="00BA14CF" w:rsidRPr="00E446C3">
        <w:rPr>
          <w:rStyle w:val="sb8d990e2"/>
          <w:shd w:val="clear" w:color="auto" w:fill="FFFFFF"/>
        </w:rPr>
        <w:t>pamatotu aizdomu</w:t>
      </w:r>
      <w:r w:rsidR="00141C92" w:rsidRPr="00141C92">
        <w:rPr>
          <w:rStyle w:val="sb8d990e2"/>
          <w:shd w:val="clear" w:color="auto" w:fill="FFFFFF"/>
        </w:rPr>
        <w:t xml:space="preserve"> </w:t>
      </w:r>
      <w:r w:rsidR="00141C92" w:rsidRPr="00141C92">
        <w:rPr>
          <w:rStyle w:val="sb8d990e2"/>
          <w:i/>
          <w:iCs/>
          <w:shd w:val="clear" w:color="auto" w:fill="FFFFFF"/>
        </w:rPr>
        <w:t>nevar būt</w:t>
      </w:r>
      <w:r w:rsidR="00BA14CF" w:rsidRPr="00E446C3">
        <w:rPr>
          <w:rStyle w:val="sb8d990e2"/>
          <w:shd w:val="clear" w:color="auto" w:fill="FFFFFF"/>
        </w:rPr>
        <w:t xml:space="preserve">, ja darbības vai fakti neveido valsts </w:t>
      </w:r>
      <w:r w:rsidR="00141C92">
        <w:rPr>
          <w:rStyle w:val="sb8d990e2"/>
          <w:shd w:val="clear" w:color="auto" w:fill="FFFFFF"/>
        </w:rPr>
        <w:t>normatīvajos aktos</w:t>
      </w:r>
      <w:r w:rsidR="00BA14CF" w:rsidRPr="00E446C3">
        <w:rPr>
          <w:rStyle w:val="sb8d990e2"/>
          <w:shd w:val="clear" w:color="auto" w:fill="FFFFFF"/>
        </w:rPr>
        <w:t xml:space="preserve"> paredzētu </w:t>
      </w:r>
      <w:r w:rsidR="00141C92">
        <w:rPr>
          <w:rStyle w:val="sb8d990e2"/>
          <w:shd w:val="clear" w:color="auto" w:fill="FFFFFF"/>
        </w:rPr>
        <w:t>pārkāpumu</w:t>
      </w:r>
      <w:r w:rsidR="00BA14CF" w:rsidRPr="00E446C3">
        <w:rPr>
          <w:rStyle w:val="sb8d990e2"/>
          <w:shd w:val="clear" w:color="auto" w:fill="FFFFFF"/>
        </w:rPr>
        <w:t>.</w:t>
      </w:r>
    </w:p>
    <w:p w14:paraId="15050BA0" w14:textId="72AB6D69" w:rsidR="00BA14CF" w:rsidRPr="00E446C3" w:rsidRDefault="00141C92" w:rsidP="007A2744">
      <w:pPr>
        <w:spacing w:line="276" w:lineRule="auto"/>
        <w:ind w:firstLine="567"/>
        <w:jc w:val="both"/>
        <w:rPr>
          <w:rStyle w:val="sb8d990e2"/>
          <w:shd w:val="clear" w:color="auto" w:fill="FFFFFF"/>
        </w:rPr>
      </w:pPr>
      <w:r>
        <w:rPr>
          <w:rStyle w:val="sb8d990e2"/>
          <w:shd w:val="clear" w:color="auto" w:fill="FFFFFF"/>
        </w:rPr>
        <w:t xml:space="preserve">Lietā nav strīda, ka atbildība par </w:t>
      </w:r>
      <w:r w:rsidR="001C0DDC">
        <w:rPr>
          <w:rStyle w:val="sb8d990e2"/>
          <w:shd w:val="clear" w:color="auto" w:fill="FFFFFF"/>
        </w:rPr>
        <w:t>pārkāpumu</w:t>
      </w:r>
      <w:r>
        <w:rPr>
          <w:rStyle w:val="sb8d990e2"/>
          <w:shd w:val="clear" w:color="auto" w:fill="FFFFFF"/>
        </w:rPr>
        <w:t xml:space="preserve">, par kuru bija uzsākta administratīvo pārkāpumu lietvedība, bija </w:t>
      </w:r>
      <w:r w:rsidR="001C0DDC">
        <w:rPr>
          <w:rStyle w:val="sb8d990e2"/>
          <w:shd w:val="clear" w:color="auto" w:fill="FFFFFF"/>
        </w:rPr>
        <w:t xml:space="preserve">paredzēta </w:t>
      </w:r>
      <w:r w:rsidRPr="00023E80">
        <w:t>L</w:t>
      </w:r>
      <w:r>
        <w:t>atvijas Administratīvo pārkāpumu kodeksā.</w:t>
      </w:r>
    </w:p>
    <w:p w14:paraId="24D813C0" w14:textId="77777777" w:rsidR="003C5711" w:rsidRPr="00DB1775" w:rsidRDefault="003C5711" w:rsidP="007A2744">
      <w:pPr>
        <w:spacing w:line="276" w:lineRule="auto"/>
        <w:ind w:firstLine="567"/>
        <w:jc w:val="both"/>
      </w:pPr>
    </w:p>
    <w:p w14:paraId="08E98BAA" w14:textId="6BF9D186" w:rsidR="0013042A" w:rsidRDefault="002A11A0" w:rsidP="007A2744">
      <w:pPr>
        <w:spacing w:line="276" w:lineRule="auto"/>
        <w:ind w:firstLine="567"/>
        <w:jc w:val="both"/>
      </w:pPr>
      <w:r>
        <w:t>[</w:t>
      </w:r>
      <w:r w:rsidR="002407F3">
        <w:t>1</w:t>
      </w:r>
      <w:r w:rsidR="004749E9">
        <w:t>5</w:t>
      </w:r>
      <w:r>
        <w:t>] Pieteicējs lūdzis izskatīt lietu</w:t>
      </w:r>
      <w:r w:rsidRPr="008866A1">
        <w:t xml:space="preserve"> tiesas sēdē</w:t>
      </w:r>
      <w:r>
        <w:t xml:space="preserve"> mutvārdu procesā.</w:t>
      </w:r>
      <w:r w:rsidRPr="008866A1">
        <w:t xml:space="preserve"> </w:t>
      </w:r>
      <w:r>
        <w:t>Atbilstoši Administratīvā procesa likuma 339.panta pirmajai daļai l</w:t>
      </w:r>
      <w:r w:rsidRPr="00466AA5">
        <w:t>ietu kasācijas instancē izskata rakstveida procesā.</w:t>
      </w:r>
      <w:r>
        <w:t xml:space="preserve"> Senāts nesaskata </w:t>
      </w:r>
      <w:r w:rsidR="001E0309">
        <w:t xml:space="preserve">pamatu </w:t>
      </w:r>
      <w:r>
        <w:t>konkrēto lietu izskatīt mutvārdu procesā.</w:t>
      </w:r>
    </w:p>
    <w:p w14:paraId="69E7E87B" w14:textId="3A2C511C" w:rsidR="0013042A" w:rsidRDefault="0013042A" w:rsidP="007A2744">
      <w:pPr>
        <w:spacing w:line="276" w:lineRule="auto"/>
        <w:ind w:firstLine="567"/>
        <w:jc w:val="both"/>
      </w:pPr>
    </w:p>
    <w:p w14:paraId="51306215" w14:textId="6980F025" w:rsidR="0013042A" w:rsidRDefault="0013042A" w:rsidP="007A2744">
      <w:pPr>
        <w:spacing w:line="276" w:lineRule="auto"/>
        <w:ind w:firstLine="567"/>
        <w:jc w:val="both"/>
      </w:pPr>
      <w:r>
        <w:t xml:space="preserve">[16] </w:t>
      </w:r>
      <w:r w:rsidR="00593AB6" w:rsidRPr="00593AB6">
        <w:t>Pieteicējs sūdzībā vispārīgi lūdzis nenodot lietu izskatīšanai konkrētiem senatoriem, arī J.</w:t>
      </w:r>
      <w:r w:rsidR="00593AB6">
        <w:t> </w:t>
      </w:r>
      <w:r w:rsidR="00593AB6" w:rsidRPr="00593AB6">
        <w:t>Briedei. Tomēr pieteicējs tam noteiktajā termiņā noraidījuma pieteikšanai nav iesniedzis motivētu noraidījumu. Līdz ar to Senāts atzīst, ka noraidījums nav pieteikts.</w:t>
      </w:r>
    </w:p>
    <w:p w14:paraId="096C5D0A" w14:textId="77777777" w:rsidR="000A2A9C" w:rsidRDefault="000A2A9C" w:rsidP="007A2744">
      <w:pPr>
        <w:spacing w:line="276" w:lineRule="auto"/>
        <w:jc w:val="both"/>
        <w:rPr>
          <w:highlight w:val="yellow"/>
        </w:rPr>
      </w:pPr>
    </w:p>
    <w:p w14:paraId="1D39F2BF" w14:textId="77777777" w:rsidR="00530B85" w:rsidRDefault="00530B85" w:rsidP="007A2744">
      <w:pPr>
        <w:spacing w:line="276" w:lineRule="auto"/>
        <w:jc w:val="center"/>
        <w:rPr>
          <w:b/>
        </w:rPr>
      </w:pPr>
      <w:r>
        <w:rPr>
          <w:b/>
        </w:rPr>
        <w:t>Rezolutīvā daļa</w:t>
      </w:r>
    </w:p>
    <w:p w14:paraId="53224002" w14:textId="77777777" w:rsidR="00530B85" w:rsidRPr="008E0544" w:rsidRDefault="00530B85" w:rsidP="007A2744">
      <w:pPr>
        <w:spacing w:line="276" w:lineRule="auto"/>
        <w:ind w:firstLine="567"/>
        <w:jc w:val="both"/>
      </w:pPr>
    </w:p>
    <w:p w14:paraId="5E4E0C22" w14:textId="23BC524F" w:rsidR="009D206A" w:rsidRDefault="009D206A" w:rsidP="007A2744">
      <w:pPr>
        <w:spacing w:line="276" w:lineRule="auto"/>
        <w:ind w:firstLine="567"/>
        <w:jc w:val="both"/>
      </w:pPr>
      <w:r w:rsidRPr="009D206A">
        <w:t>Pamatojoties uz Administratīvā procesa likuma 348.panta pirmās daļas 1.punktu un 351.pantu, Senāts</w:t>
      </w:r>
      <w:bookmarkStart w:id="7" w:name="Dropdown14"/>
    </w:p>
    <w:p w14:paraId="69C1DF4A" w14:textId="77777777" w:rsidR="009D206A" w:rsidRDefault="009D206A" w:rsidP="007A2744">
      <w:pPr>
        <w:spacing w:line="276" w:lineRule="auto"/>
        <w:ind w:firstLine="567"/>
        <w:jc w:val="both"/>
      </w:pPr>
    </w:p>
    <w:p w14:paraId="46113C6F" w14:textId="7947AC47" w:rsidR="00530B85" w:rsidRDefault="00530B85" w:rsidP="007A2744">
      <w:pPr>
        <w:spacing w:line="276" w:lineRule="auto"/>
        <w:jc w:val="center"/>
        <w:rPr>
          <w:b/>
        </w:rPr>
      </w:pPr>
      <w:r w:rsidRPr="008E0544">
        <w:rPr>
          <w:b/>
        </w:rPr>
        <w:t>nosprieda</w:t>
      </w:r>
      <w:bookmarkEnd w:id="7"/>
    </w:p>
    <w:p w14:paraId="4DA92863" w14:textId="7D8EC7E2" w:rsidR="009D206A" w:rsidRDefault="009D206A" w:rsidP="007A2744">
      <w:pPr>
        <w:spacing w:line="276" w:lineRule="auto"/>
        <w:ind w:firstLine="567"/>
        <w:jc w:val="both"/>
        <w:rPr>
          <w:b/>
        </w:rPr>
      </w:pPr>
    </w:p>
    <w:p w14:paraId="66C462C3" w14:textId="4A19E4A7" w:rsidR="009D206A" w:rsidRPr="009D206A" w:rsidRDefault="009D206A" w:rsidP="007A2744">
      <w:pPr>
        <w:spacing w:line="276" w:lineRule="auto"/>
        <w:ind w:firstLine="567"/>
        <w:jc w:val="both"/>
        <w:rPr>
          <w:bCs/>
        </w:rPr>
      </w:pPr>
      <w:r w:rsidRPr="009D206A">
        <w:rPr>
          <w:bCs/>
        </w:rPr>
        <w:t xml:space="preserve">atstāt negrozītu Administratīvās apgabaltiesas </w:t>
      </w:r>
      <w:r w:rsidR="002407F3" w:rsidRPr="005F048F">
        <w:t>20</w:t>
      </w:r>
      <w:r w:rsidR="002407F3">
        <w:t>20</w:t>
      </w:r>
      <w:r w:rsidR="00ED7050" w:rsidRPr="005F048F">
        <w:t xml:space="preserve">.gada </w:t>
      </w:r>
      <w:r w:rsidR="002407F3">
        <w:t>9.aprīļa</w:t>
      </w:r>
      <w:r w:rsidR="00ED7050" w:rsidRPr="005F048F">
        <w:t xml:space="preserve"> </w:t>
      </w:r>
      <w:r w:rsidRPr="009D206A">
        <w:rPr>
          <w:bCs/>
        </w:rPr>
        <w:t xml:space="preserve">spriedumu, bet </w:t>
      </w:r>
      <w:r w:rsidR="007A2744">
        <w:t>[pers. A</w:t>
      </w:r>
      <w:r w:rsidR="007A2744">
        <w:t>]</w:t>
      </w:r>
      <w:r w:rsidRPr="009D206A">
        <w:rPr>
          <w:bCs/>
        </w:rPr>
        <w:t xml:space="preserve"> kasācijas sūdzību noraidīt.</w:t>
      </w:r>
    </w:p>
    <w:p w14:paraId="034D1963" w14:textId="77777777" w:rsidR="009D206A" w:rsidRPr="009D206A" w:rsidRDefault="009D206A" w:rsidP="007A2744">
      <w:pPr>
        <w:spacing w:line="276" w:lineRule="auto"/>
        <w:ind w:firstLine="567"/>
        <w:rPr>
          <w:bCs/>
        </w:rPr>
      </w:pPr>
      <w:r w:rsidRPr="009D206A">
        <w:rPr>
          <w:bCs/>
        </w:rPr>
        <w:t>Spriedums nav pārsūdzams.</w:t>
      </w:r>
    </w:p>
    <w:p w14:paraId="330DB6C3" w14:textId="77777777" w:rsidR="009D206A" w:rsidRPr="009D206A" w:rsidRDefault="009D206A" w:rsidP="00C241FC">
      <w:pPr>
        <w:spacing w:line="276" w:lineRule="auto"/>
        <w:rPr>
          <w:b/>
        </w:rPr>
      </w:pPr>
    </w:p>
    <w:bookmarkEnd w:id="2"/>
    <w:p w14:paraId="6BF5F3DE" w14:textId="5623A607" w:rsidR="00530B85" w:rsidRDefault="00530B85" w:rsidP="00C241FC">
      <w:pPr>
        <w:tabs>
          <w:tab w:val="center" w:pos="1701"/>
          <w:tab w:val="center" w:pos="4536"/>
          <w:tab w:val="center" w:pos="7371"/>
        </w:tabs>
        <w:spacing w:line="276" w:lineRule="auto"/>
        <w:jc w:val="both"/>
        <w:rPr>
          <w:lang w:eastAsia="ru-RU"/>
        </w:rPr>
      </w:pPr>
    </w:p>
    <w:sectPr w:rsidR="00530B85" w:rsidSect="005051A8">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27278" w14:textId="77777777" w:rsidR="009F1E31" w:rsidRDefault="009F1E31" w:rsidP="006529EF">
      <w:r>
        <w:separator/>
      </w:r>
    </w:p>
  </w:endnote>
  <w:endnote w:type="continuationSeparator" w:id="0">
    <w:p w14:paraId="68EEE20C" w14:textId="77777777" w:rsidR="009F1E31" w:rsidRDefault="009F1E31"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14:paraId="4131B3A0" w14:textId="3F75F61B" w:rsidR="00E7795D" w:rsidRDefault="00E7795D" w:rsidP="00FD7F62">
        <w:pPr>
          <w:pStyle w:val="Footer"/>
          <w:jc w:val="center"/>
        </w:pPr>
        <w:r w:rsidRPr="007310B0">
          <w:rPr>
            <w:bCs/>
          </w:rPr>
          <w:fldChar w:fldCharType="begin"/>
        </w:r>
        <w:r w:rsidRPr="007310B0">
          <w:rPr>
            <w:bCs/>
          </w:rPr>
          <w:instrText xml:space="preserve"> PAGE </w:instrText>
        </w:r>
        <w:r w:rsidRPr="007310B0">
          <w:rPr>
            <w:bCs/>
          </w:rPr>
          <w:fldChar w:fldCharType="separate"/>
        </w:r>
        <w:r w:rsidR="00307AB4">
          <w:rPr>
            <w:bCs/>
            <w:noProof/>
          </w:rPr>
          <w:t>1</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307AB4">
          <w:rPr>
            <w:bCs/>
            <w:noProof/>
          </w:rPr>
          <w:t>6</w:t>
        </w:r>
        <w:r w:rsidRPr="007310B0">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B6DA2" w14:textId="77777777" w:rsidR="009F1E31" w:rsidRDefault="009F1E31" w:rsidP="006529EF">
      <w:r>
        <w:separator/>
      </w:r>
    </w:p>
  </w:footnote>
  <w:footnote w:type="continuationSeparator" w:id="0">
    <w:p w14:paraId="58D0DACB" w14:textId="77777777" w:rsidR="009F1E31" w:rsidRDefault="009F1E31" w:rsidP="00652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7150BAB"/>
    <w:multiLevelType w:val="hybridMultilevel"/>
    <w:tmpl w:val="3728613C"/>
    <w:lvl w:ilvl="0" w:tplc="A3AA5076">
      <w:start w:val="1"/>
      <w:numFmt w:val="decimal"/>
      <w:lvlText w:val="%1."/>
      <w:lvlJc w:val="left"/>
      <w:pPr>
        <w:ind w:left="360" w:hanging="360"/>
      </w:pPr>
      <w:rPr>
        <w:b/>
        <w:bCs w:val="0"/>
      </w:rPr>
    </w:lvl>
    <w:lvl w:ilvl="1" w:tplc="ADBEFB20">
      <w:start w:val="1"/>
      <w:numFmt w:val="lowerLetter"/>
      <w:lvlText w:val="%2."/>
      <w:lvlJc w:val="left"/>
      <w:pPr>
        <w:ind w:left="1080" w:hanging="360"/>
      </w:pPr>
      <w:rPr>
        <w:rFonts w:hint="default"/>
        <w:b/>
        <w:bCs/>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6"/>
    <w:rsid w:val="00007F32"/>
    <w:rsid w:val="00010231"/>
    <w:rsid w:val="00016848"/>
    <w:rsid w:val="00023C8F"/>
    <w:rsid w:val="00023E80"/>
    <w:rsid w:val="00023EF7"/>
    <w:rsid w:val="00024732"/>
    <w:rsid w:val="00031336"/>
    <w:rsid w:val="00033DAD"/>
    <w:rsid w:val="00040161"/>
    <w:rsid w:val="00040DF1"/>
    <w:rsid w:val="000539D7"/>
    <w:rsid w:val="000651E0"/>
    <w:rsid w:val="00075E3C"/>
    <w:rsid w:val="00083B99"/>
    <w:rsid w:val="00090932"/>
    <w:rsid w:val="000970F2"/>
    <w:rsid w:val="000A2A9C"/>
    <w:rsid w:val="000A2DD0"/>
    <w:rsid w:val="000A56AF"/>
    <w:rsid w:val="000B1025"/>
    <w:rsid w:val="000B5818"/>
    <w:rsid w:val="000B7CC0"/>
    <w:rsid w:val="000C19AB"/>
    <w:rsid w:val="000C784E"/>
    <w:rsid w:val="000D29E4"/>
    <w:rsid w:val="000E3AD4"/>
    <w:rsid w:val="000F6452"/>
    <w:rsid w:val="00101175"/>
    <w:rsid w:val="00124F8D"/>
    <w:rsid w:val="0013042A"/>
    <w:rsid w:val="00141C92"/>
    <w:rsid w:val="0014757B"/>
    <w:rsid w:val="00154D54"/>
    <w:rsid w:val="00157A60"/>
    <w:rsid w:val="00157E42"/>
    <w:rsid w:val="00163F52"/>
    <w:rsid w:val="00164D76"/>
    <w:rsid w:val="00173659"/>
    <w:rsid w:val="00174AD2"/>
    <w:rsid w:val="0017578F"/>
    <w:rsid w:val="0017760A"/>
    <w:rsid w:val="00190B1D"/>
    <w:rsid w:val="001A02AD"/>
    <w:rsid w:val="001A1196"/>
    <w:rsid w:val="001A6350"/>
    <w:rsid w:val="001A6C21"/>
    <w:rsid w:val="001B454E"/>
    <w:rsid w:val="001C0DDC"/>
    <w:rsid w:val="001D6A88"/>
    <w:rsid w:val="001E0309"/>
    <w:rsid w:val="001E523B"/>
    <w:rsid w:val="0021592F"/>
    <w:rsid w:val="00217C4C"/>
    <w:rsid w:val="00217FCC"/>
    <w:rsid w:val="00221F2F"/>
    <w:rsid w:val="00233D63"/>
    <w:rsid w:val="0023779D"/>
    <w:rsid w:val="002407F3"/>
    <w:rsid w:val="00244C25"/>
    <w:rsid w:val="00250DF6"/>
    <w:rsid w:val="002709DA"/>
    <w:rsid w:val="002712A0"/>
    <w:rsid w:val="0027172D"/>
    <w:rsid w:val="002763F4"/>
    <w:rsid w:val="002802AD"/>
    <w:rsid w:val="00290D0A"/>
    <w:rsid w:val="002A11A0"/>
    <w:rsid w:val="002A1AA0"/>
    <w:rsid w:val="002D76F1"/>
    <w:rsid w:val="002E2F27"/>
    <w:rsid w:val="002E3B47"/>
    <w:rsid w:val="002E5E20"/>
    <w:rsid w:val="002F096E"/>
    <w:rsid w:val="00307AB4"/>
    <w:rsid w:val="003132A5"/>
    <w:rsid w:val="00315E14"/>
    <w:rsid w:val="00334C45"/>
    <w:rsid w:val="00346FD9"/>
    <w:rsid w:val="00347794"/>
    <w:rsid w:val="00353780"/>
    <w:rsid w:val="00355333"/>
    <w:rsid w:val="003617E2"/>
    <w:rsid w:val="0037100A"/>
    <w:rsid w:val="003805A0"/>
    <w:rsid w:val="00384F49"/>
    <w:rsid w:val="00387262"/>
    <w:rsid w:val="00390C7A"/>
    <w:rsid w:val="0039171C"/>
    <w:rsid w:val="00396E92"/>
    <w:rsid w:val="003C011B"/>
    <w:rsid w:val="003C0235"/>
    <w:rsid w:val="003C1062"/>
    <w:rsid w:val="003C1F0A"/>
    <w:rsid w:val="003C5711"/>
    <w:rsid w:val="003D65DB"/>
    <w:rsid w:val="003E4374"/>
    <w:rsid w:val="003E7440"/>
    <w:rsid w:val="003F4DC6"/>
    <w:rsid w:val="003F690F"/>
    <w:rsid w:val="00401F9B"/>
    <w:rsid w:val="0041287B"/>
    <w:rsid w:val="00416C02"/>
    <w:rsid w:val="00431416"/>
    <w:rsid w:val="00435790"/>
    <w:rsid w:val="00437359"/>
    <w:rsid w:val="00442BD2"/>
    <w:rsid w:val="0044699C"/>
    <w:rsid w:val="00457E70"/>
    <w:rsid w:val="00466AA5"/>
    <w:rsid w:val="00470F4B"/>
    <w:rsid w:val="004749E9"/>
    <w:rsid w:val="00475501"/>
    <w:rsid w:val="00476DBB"/>
    <w:rsid w:val="00477AA2"/>
    <w:rsid w:val="00497DEB"/>
    <w:rsid w:val="004A0315"/>
    <w:rsid w:val="004A083A"/>
    <w:rsid w:val="004A1D76"/>
    <w:rsid w:val="004A4C40"/>
    <w:rsid w:val="004B636F"/>
    <w:rsid w:val="004B699C"/>
    <w:rsid w:val="004C2FB0"/>
    <w:rsid w:val="004D535C"/>
    <w:rsid w:val="004D6A21"/>
    <w:rsid w:val="004F1E9C"/>
    <w:rsid w:val="004F7763"/>
    <w:rsid w:val="00504C94"/>
    <w:rsid w:val="005051A8"/>
    <w:rsid w:val="00515B01"/>
    <w:rsid w:val="00516374"/>
    <w:rsid w:val="0051687C"/>
    <w:rsid w:val="005256EA"/>
    <w:rsid w:val="005279C4"/>
    <w:rsid w:val="00530A50"/>
    <w:rsid w:val="00530B85"/>
    <w:rsid w:val="00533198"/>
    <w:rsid w:val="00544068"/>
    <w:rsid w:val="00545022"/>
    <w:rsid w:val="00553AC1"/>
    <w:rsid w:val="005558AA"/>
    <w:rsid w:val="00562F11"/>
    <w:rsid w:val="00574147"/>
    <w:rsid w:val="00574167"/>
    <w:rsid w:val="005902BE"/>
    <w:rsid w:val="00593AB6"/>
    <w:rsid w:val="00597184"/>
    <w:rsid w:val="005A0288"/>
    <w:rsid w:val="005A2801"/>
    <w:rsid w:val="005B0D08"/>
    <w:rsid w:val="005B68CA"/>
    <w:rsid w:val="005C3322"/>
    <w:rsid w:val="005C677D"/>
    <w:rsid w:val="005E0F69"/>
    <w:rsid w:val="005E0FC6"/>
    <w:rsid w:val="005E3D82"/>
    <w:rsid w:val="005E4FE9"/>
    <w:rsid w:val="005E7B87"/>
    <w:rsid w:val="005F048F"/>
    <w:rsid w:val="005F11E0"/>
    <w:rsid w:val="005F38CA"/>
    <w:rsid w:val="0060130A"/>
    <w:rsid w:val="00601792"/>
    <w:rsid w:val="00601D88"/>
    <w:rsid w:val="00602A77"/>
    <w:rsid w:val="00605C6B"/>
    <w:rsid w:val="006075B6"/>
    <w:rsid w:val="006116BB"/>
    <w:rsid w:val="00612118"/>
    <w:rsid w:val="0062052D"/>
    <w:rsid w:val="00625832"/>
    <w:rsid w:val="006325D9"/>
    <w:rsid w:val="00633F29"/>
    <w:rsid w:val="006465BD"/>
    <w:rsid w:val="006509BD"/>
    <w:rsid w:val="006529EF"/>
    <w:rsid w:val="00656EB2"/>
    <w:rsid w:val="006607C2"/>
    <w:rsid w:val="00672059"/>
    <w:rsid w:val="00683EC0"/>
    <w:rsid w:val="006875D1"/>
    <w:rsid w:val="006907D7"/>
    <w:rsid w:val="006A4C90"/>
    <w:rsid w:val="006C231B"/>
    <w:rsid w:val="006C3989"/>
    <w:rsid w:val="006C68CA"/>
    <w:rsid w:val="006C705C"/>
    <w:rsid w:val="006D0F6F"/>
    <w:rsid w:val="006D2191"/>
    <w:rsid w:val="006E0CF4"/>
    <w:rsid w:val="006E5643"/>
    <w:rsid w:val="006F1A3E"/>
    <w:rsid w:val="00700972"/>
    <w:rsid w:val="00704AC0"/>
    <w:rsid w:val="0071726F"/>
    <w:rsid w:val="007205E4"/>
    <w:rsid w:val="00734255"/>
    <w:rsid w:val="007374FE"/>
    <w:rsid w:val="0074535A"/>
    <w:rsid w:val="007455EA"/>
    <w:rsid w:val="0074688A"/>
    <w:rsid w:val="007500A8"/>
    <w:rsid w:val="007526F5"/>
    <w:rsid w:val="007529BC"/>
    <w:rsid w:val="0075620D"/>
    <w:rsid w:val="007565B0"/>
    <w:rsid w:val="00765638"/>
    <w:rsid w:val="00765D77"/>
    <w:rsid w:val="00772EF7"/>
    <w:rsid w:val="00776AD8"/>
    <w:rsid w:val="00777F7A"/>
    <w:rsid w:val="00787CDD"/>
    <w:rsid w:val="00792C3D"/>
    <w:rsid w:val="007976F6"/>
    <w:rsid w:val="007A2744"/>
    <w:rsid w:val="007B640D"/>
    <w:rsid w:val="007C0373"/>
    <w:rsid w:val="007C2522"/>
    <w:rsid w:val="007D3979"/>
    <w:rsid w:val="00805A73"/>
    <w:rsid w:val="0080728B"/>
    <w:rsid w:val="008148DD"/>
    <w:rsid w:val="00826625"/>
    <w:rsid w:val="00830430"/>
    <w:rsid w:val="00833C72"/>
    <w:rsid w:val="00841EB1"/>
    <w:rsid w:val="0084647D"/>
    <w:rsid w:val="00855847"/>
    <w:rsid w:val="00861227"/>
    <w:rsid w:val="00873803"/>
    <w:rsid w:val="00875CB2"/>
    <w:rsid w:val="00884005"/>
    <w:rsid w:val="0089419C"/>
    <w:rsid w:val="008A2844"/>
    <w:rsid w:val="008A51F8"/>
    <w:rsid w:val="008A758E"/>
    <w:rsid w:val="008B055F"/>
    <w:rsid w:val="008B1E91"/>
    <w:rsid w:val="008C3708"/>
    <w:rsid w:val="008C6540"/>
    <w:rsid w:val="008C7E97"/>
    <w:rsid w:val="008D1044"/>
    <w:rsid w:val="008D62E0"/>
    <w:rsid w:val="008E0544"/>
    <w:rsid w:val="008E4BB0"/>
    <w:rsid w:val="008E59E4"/>
    <w:rsid w:val="008F691E"/>
    <w:rsid w:val="00902554"/>
    <w:rsid w:val="00907A52"/>
    <w:rsid w:val="00910430"/>
    <w:rsid w:val="009132F4"/>
    <w:rsid w:val="00914FBB"/>
    <w:rsid w:val="009166EB"/>
    <w:rsid w:val="0092755B"/>
    <w:rsid w:val="009403D2"/>
    <w:rsid w:val="00943B9B"/>
    <w:rsid w:val="009441DD"/>
    <w:rsid w:val="00945284"/>
    <w:rsid w:val="009454F1"/>
    <w:rsid w:val="0094740D"/>
    <w:rsid w:val="00950A46"/>
    <w:rsid w:val="009567AE"/>
    <w:rsid w:val="00972405"/>
    <w:rsid w:val="009725B6"/>
    <w:rsid w:val="00977D2B"/>
    <w:rsid w:val="00981E75"/>
    <w:rsid w:val="0098644F"/>
    <w:rsid w:val="009A252C"/>
    <w:rsid w:val="009A28EF"/>
    <w:rsid w:val="009A7E14"/>
    <w:rsid w:val="009C2CE4"/>
    <w:rsid w:val="009C71B7"/>
    <w:rsid w:val="009D1568"/>
    <w:rsid w:val="009D206A"/>
    <w:rsid w:val="009D2346"/>
    <w:rsid w:val="009D6B8B"/>
    <w:rsid w:val="009E4D74"/>
    <w:rsid w:val="009F0BE4"/>
    <w:rsid w:val="009F1E31"/>
    <w:rsid w:val="009F4E9E"/>
    <w:rsid w:val="00A00E45"/>
    <w:rsid w:val="00A07417"/>
    <w:rsid w:val="00A12002"/>
    <w:rsid w:val="00A125AE"/>
    <w:rsid w:val="00A233A8"/>
    <w:rsid w:val="00A253ED"/>
    <w:rsid w:val="00A271BD"/>
    <w:rsid w:val="00A36C49"/>
    <w:rsid w:val="00A47371"/>
    <w:rsid w:val="00A508A9"/>
    <w:rsid w:val="00A66A0A"/>
    <w:rsid w:val="00A74C25"/>
    <w:rsid w:val="00A812DA"/>
    <w:rsid w:val="00A84A7B"/>
    <w:rsid w:val="00A86715"/>
    <w:rsid w:val="00AA1D78"/>
    <w:rsid w:val="00AC2D3D"/>
    <w:rsid w:val="00AC3247"/>
    <w:rsid w:val="00AC575D"/>
    <w:rsid w:val="00AE4E93"/>
    <w:rsid w:val="00AE6829"/>
    <w:rsid w:val="00AF10AB"/>
    <w:rsid w:val="00AF5A55"/>
    <w:rsid w:val="00B01AED"/>
    <w:rsid w:val="00B038D0"/>
    <w:rsid w:val="00B1244B"/>
    <w:rsid w:val="00B1562F"/>
    <w:rsid w:val="00B1682B"/>
    <w:rsid w:val="00B1765F"/>
    <w:rsid w:val="00B20D7E"/>
    <w:rsid w:val="00B21580"/>
    <w:rsid w:val="00B23D1C"/>
    <w:rsid w:val="00B25D5D"/>
    <w:rsid w:val="00B47609"/>
    <w:rsid w:val="00B55096"/>
    <w:rsid w:val="00B61683"/>
    <w:rsid w:val="00B6408C"/>
    <w:rsid w:val="00B83A9F"/>
    <w:rsid w:val="00B876A8"/>
    <w:rsid w:val="00B93AA6"/>
    <w:rsid w:val="00B94327"/>
    <w:rsid w:val="00BA12C6"/>
    <w:rsid w:val="00BA1477"/>
    <w:rsid w:val="00BA14CF"/>
    <w:rsid w:val="00BA457A"/>
    <w:rsid w:val="00BC32BB"/>
    <w:rsid w:val="00BD4628"/>
    <w:rsid w:val="00BE38F7"/>
    <w:rsid w:val="00BE5885"/>
    <w:rsid w:val="00BE7AD0"/>
    <w:rsid w:val="00BF1B65"/>
    <w:rsid w:val="00BF40A7"/>
    <w:rsid w:val="00C012DE"/>
    <w:rsid w:val="00C059B9"/>
    <w:rsid w:val="00C0660E"/>
    <w:rsid w:val="00C06C94"/>
    <w:rsid w:val="00C103A0"/>
    <w:rsid w:val="00C121C8"/>
    <w:rsid w:val="00C1358D"/>
    <w:rsid w:val="00C241FC"/>
    <w:rsid w:val="00C31E43"/>
    <w:rsid w:val="00C43E52"/>
    <w:rsid w:val="00C44704"/>
    <w:rsid w:val="00C54574"/>
    <w:rsid w:val="00C573F3"/>
    <w:rsid w:val="00C60D81"/>
    <w:rsid w:val="00C64519"/>
    <w:rsid w:val="00C71F79"/>
    <w:rsid w:val="00C74FC4"/>
    <w:rsid w:val="00C907F5"/>
    <w:rsid w:val="00C93030"/>
    <w:rsid w:val="00C962A1"/>
    <w:rsid w:val="00CA2F0F"/>
    <w:rsid w:val="00CA7662"/>
    <w:rsid w:val="00CB5B86"/>
    <w:rsid w:val="00CC2A12"/>
    <w:rsid w:val="00CC46E6"/>
    <w:rsid w:val="00CC77DB"/>
    <w:rsid w:val="00CD34DF"/>
    <w:rsid w:val="00CD4628"/>
    <w:rsid w:val="00CD48F5"/>
    <w:rsid w:val="00CF1DE4"/>
    <w:rsid w:val="00CF2320"/>
    <w:rsid w:val="00D03385"/>
    <w:rsid w:val="00D061FF"/>
    <w:rsid w:val="00D07B65"/>
    <w:rsid w:val="00D15055"/>
    <w:rsid w:val="00D168CC"/>
    <w:rsid w:val="00D22CAE"/>
    <w:rsid w:val="00D4195B"/>
    <w:rsid w:val="00D43B73"/>
    <w:rsid w:val="00D5010E"/>
    <w:rsid w:val="00D51C32"/>
    <w:rsid w:val="00D54022"/>
    <w:rsid w:val="00D6785A"/>
    <w:rsid w:val="00D67A3D"/>
    <w:rsid w:val="00D708C7"/>
    <w:rsid w:val="00D743AC"/>
    <w:rsid w:val="00D83D4C"/>
    <w:rsid w:val="00D938D4"/>
    <w:rsid w:val="00D943A5"/>
    <w:rsid w:val="00DA2629"/>
    <w:rsid w:val="00DA26C4"/>
    <w:rsid w:val="00DB0CE0"/>
    <w:rsid w:val="00DB1775"/>
    <w:rsid w:val="00DB657E"/>
    <w:rsid w:val="00DB7089"/>
    <w:rsid w:val="00DC59BE"/>
    <w:rsid w:val="00DD2B81"/>
    <w:rsid w:val="00DE4A08"/>
    <w:rsid w:val="00DF3427"/>
    <w:rsid w:val="00E01BD3"/>
    <w:rsid w:val="00E02680"/>
    <w:rsid w:val="00E02C75"/>
    <w:rsid w:val="00E10107"/>
    <w:rsid w:val="00E120AF"/>
    <w:rsid w:val="00E14D62"/>
    <w:rsid w:val="00E26516"/>
    <w:rsid w:val="00E33EDF"/>
    <w:rsid w:val="00E344AB"/>
    <w:rsid w:val="00E357E1"/>
    <w:rsid w:val="00E42802"/>
    <w:rsid w:val="00E47F6B"/>
    <w:rsid w:val="00E53CA7"/>
    <w:rsid w:val="00E61940"/>
    <w:rsid w:val="00E64A9F"/>
    <w:rsid w:val="00E73F35"/>
    <w:rsid w:val="00E760C9"/>
    <w:rsid w:val="00E7795D"/>
    <w:rsid w:val="00E82CB6"/>
    <w:rsid w:val="00E85BEB"/>
    <w:rsid w:val="00E90055"/>
    <w:rsid w:val="00E966D3"/>
    <w:rsid w:val="00E97950"/>
    <w:rsid w:val="00EA0292"/>
    <w:rsid w:val="00EA534A"/>
    <w:rsid w:val="00EA547A"/>
    <w:rsid w:val="00EA6184"/>
    <w:rsid w:val="00EB22FF"/>
    <w:rsid w:val="00EB3649"/>
    <w:rsid w:val="00EC0EDB"/>
    <w:rsid w:val="00EC47C3"/>
    <w:rsid w:val="00EC666E"/>
    <w:rsid w:val="00EC6A72"/>
    <w:rsid w:val="00EC74F2"/>
    <w:rsid w:val="00EC799B"/>
    <w:rsid w:val="00ED7050"/>
    <w:rsid w:val="00EE7A56"/>
    <w:rsid w:val="00EF58D2"/>
    <w:rsid w:val="00F10994"/>
    <w:rsid w:val="00F207D9"/>
    <w:rsid w:val="00F23E5A"/>
    <w:rsid w:val="00F25E35"/>
    <w:rsid w:val="00F27428"/>
    <w:rsid w:val="00F32198"/>
    <w:rsid w:val="00F32305"/>
    <w:rsid w:val="00F41E0F"/>
    <w:rsid w:val="00F425D6"/>
    <w:rsid w:val="00F47074"/>
    <w:rsid w:val="00F47F47"/>
    <w:rsid w:val="00F50756"/>
    <w:rsid w:val="00F51E3C"/>
    <w:rsid w:val="00F54CA5"/>
    <w:rsid w:val="00F5592E"/>
    <w:rsid w:val="00F579D7"/>
    <w:rsid w:val="00F6142C"/>
    <w:rsid w:val="00F616CF"/>
    <w:rsid w:val="00F627DE"/>
    <w:rsid w:val="00F83E25"/>
    <w:rsid w:val="00F84C98"/>
    <w:rsid w:val="00F8526B"/>
    <w:rsid w:val="00F87BDE"/>
    <w:rsid w:val="00FA4CAD"/>
    <w:rsid w:val="00FA6AF0"/>
    <w:rsid w:val="00FB6A85"/>
    <w:rsid w:val="00FB6B9E"/>
    <w:rsid w:val="00FC061E"/>
    <w:rsid w:val="00FC3928"/>
    <w:rsid w:val="00FC766A"/>
    <w:rsid w:val="00FD0B19"/>
    <w:rsid w:val="00FD22EA"/>
    <w:rsid w:val="00FD2543"/>
    <w:rsid w:val="00FD53A0"/>
    <w:rsid w:val="00FD7F62"/>
    <w:rsid w:val="00FE2900"/>
    <w:rsid w:val="00FE70D2"/>
    <w:rsid w:val="00FF00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iPriority w:val="99"/>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17C4C"/>
    <w:rPr>
      <w:sz w:val="16"/>
      <w:szCs w:val="16"/>
    </w:rPr>
  </w:style>
  <w:style w:type="paragraph" w:styleId="CommentText">
    <w:name w:val="annotation text"/>
    <w:basedOn w:val="Normal"/>
    <w:link w:val="CommentTextChar"/>
    <w:uiPriority w:val="99"/>
    <w:semiHidden/>
    <w:unhideWhenUsed/>
    <w:rsid w:val="00217C4C"/>
    <w:rPr>
      <w:sz w:val="20"/>
      <w:szCs w:val="20"/>
    </w:rPr>
  </w:style>
  <w:style w:type="character" w:customStyle="1" w:styleId="CommentTextChar">
    <w:name w:val="Comment Text Char"/>
    <w:basedOn w:val="DefaultParagraphFont"/>
    <w:link w:val="CommentText"/>
    <w:uiPriority w:val="99"/>
    <w:semiHidden/>
    <w:rsid w:val="00217C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17C4C"/>
    <w:rPr>
      <w:b/>
      <w:bCs/>
    </w:rPr>
  </w:style>
  <w:style w:type="character" w:customStyle="1" w:styleId="CommentSubjectChar">
    <w:name w:val="Comment Subject Char"/>
    <w:basedOn w:val="CommentTextChar"/>
    <w:link w:val="CommentSubject"/>
    <w:uiPriority w:val="99"/>
    <w:semiHidden/>
    <w:rsid w:val="00217C4C"/>
    <w:rPr>
      <w:rFonts w:ascii="Times New Roman" w:eastAsia="Times New Roman" w:hAnsi="Times New Roman" w:cs="Times New Roman"/>
      <w:b/>
      <w:bCs/>
      <w:sz w:val="20"/>
      <w:szCs w:val="20"/>
      <w:lang w:eastAsia="lv-LV"/>
    </w:rPr>
  </w:style>
  <w:style w:type="character" w:customStyle="1" w:styleId="UnresolvedMention">
    <w:name w:val="Unresolved Mention"/>
    <w:basedOn w:val="DefaultParagraphFont"/>
    <w:uiPriority w:val="99"/>
    <w:semiHidden/>
    <w:unhideWhenUsed/>
    <w:rsid w:val="00DA26C4"/>
    <w:rPr>
      <w:color w:val="605E5C"/>
      <w:shd w:val="clear" w:color="auto" w:fill="E1DFDD"/>
    </w:rPr>
  </w:style>
  <w:style w:type="character" w:customStyle="1" w:styleId="WW8Num1z2">
    <w:name w:val="WW8Num1z2"/>
    <w:rsid w:val="00DB1775"/>
  </w:style>
  <w:style w:type="character" w:customStyle="1" w:styleId="sb8d990e2">
    <w:name w:val="sb8d990e2"/>
    <w:basedOn w:val="DefaultParagraphFont"/>
    <w:rsid w:val="00DB1775"/>
  </w:style>
  <w:style w:type="paragraph" w:styleId="NoSpacing">
    <w:name w:val="No Spacing"/>
    <w:uiPriority w:val="1"/>
    <w:qFormat/>
    <w:rsid w:val="00DB1775"/>
    <w:pPr>
      <w:spacing w:after="0" w:line="240" w:lineRule="auto"/>
      <w:jc w:val="both"/>
    </w:pPr>
    <w:rPr>
      <w:rFonts w:ascii="Times New Roman" w:eastAsia="Calibri" w:hAnsi="Times New Roman" w:cs="Times New Roman"/>
    </w:rPr>
  </w:style>
  <w:style w:type="character" w:customStyle="1" w:styleId="fontstyle01">
    <w:name w:val="fontstyle01"/>
    <w:rsid w:val="00DB1775"/>
    <w:rPr>
      <w:rFonts w:ascii="TimesNewRomanPSMT" w:hAnsi="TimesNewRomanPSMT" w:cs="TimesNewRomanPSMT" w:hint="default"/>
      <w:b w:val="0"/>
      <w:bCs w:val="0"/>
      <w:i w:val="0"/>
      <w:iCs w:val="0"/>
      <w:color w:val="000000"/>
      <w:sz w:val="22"/>
      <w:szCs w:val="22"/>
    </w:rPr>
  </w:style>
  <w:style w:type="character" w:customStyle="1" w:styleId="fontstyle11">
    <w:name w:val="fontstyle11"/>
    <w:rsid w:val="00DB1775"/>
    <w:rPr>
      <w:rFonts w:ascii="TimesNewRomanPS-ItalicMT" w:hAnsi="TimesNewRomanPS-ItalicMT" w:cs="TimesNewRomanPS-ItalicMT" w:hint="default"/>
      <w:b w:val="0"/>
      <w:bCs w:val="0"/>
      <w:i/>
      <w:iCs/>
      <w:color w:val="000000"/>
      <w:sz w:val="24"/>
      <w:szCs w:val="24"/>
    </w:rPr>
  </w:style>
  <w:style w:type="paragraph" w:customStyle="1" w:styleId="Default">
    <w:name w:val="Default"/>
    <w:rsid w:val="00DB1775"/>
    <w:pPr>
      <w:suppressAutoHyphens/>
      <w:autoSpaceDE w:val="0"/>
      <w:spacing w:after="0" w:line="240" w:lineRule="auto"/>
    </w:pPr>
    <w:rPr>
      <w:rFonts w:ascii="Times New Roman" w:eastAsia="Calibri" w:hAnsi="Times New Roman" w:cs="Times New Roman"/>
      <w:color w:val="000000"/>
      <w:kern w:val="2"/>
      <w:sz w:val="24"/>
      <w:szCs w:val="24"/>
      <w:lang w:eastAsia="zh-CN"/>
    </w:rPr>
  </w:style>
  <w:style w:type="paragraph" w:customStyle="1" w:styleId="Style4">
    <w:name w:val="Style 4"/>
    <w:basedOn w:val="Normal"/>
    <w:rsid w:val="00DB1775"/>
    <w:pPr>
      <w:widowControl w:val="0"/>
      <w:shd w:val="clear" w:color="auto" w:fill="FFFFFF"/>
      <w:suppressAutoHyphens/>
      <w:spacing w:before="60" w:after="240" w:line="298" w:lineRule="exact"/>
      <w:ind w:hanging="360"/>
      <w:jc w:val="center"/>
    </w:pPr>
    <w:rPr>
      <w:sz w:val="23"/>
      <w:szCs w:val="23"/>
      <w:u w:val="single"/>
      <w:lang w:val="x-none" w:eastAsia="zh-CN"/>
    </w:rPr>
  </w:style>
  <w:style w:type="character" w:customStyle="1" w:styleId="fontstyle21">
    <w:name w:val="fontstyle21"/>
    <w:rsid w:val="00DB1775"/>
    <w:rPr>
      <w:rFonts w:ascii="TimesNewRomanPS-ItalicMT" w:hAnsi="TimesNewRomanPS-ItalicMT" w:hint="default"/>
      <w:b w:val="0"/>
      <w:bCs w:val="0"/>
      <w:i/>
      <w:iCs/>
      <w:color w:val="000000"/>
      <w:sz w:val="22"/>
      <w:szCs w:val="22"/>
    </w:rPr>
  </w:style>
  <w:style w:type="character" w:customStyle="1" w:styleId="WW8Num1z0">
    <w:name w:val="WW8Num1z0"/>
    <w:rsid w:val="00BA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301380156">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11.A420236618.13.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18:1109.A420385514.3.S" TargetMode="External"/><Relationship Id="rId4" Type="http://schemas.openxmlformats.org/officeDocument/2006/relationships/settings" Target="settings.xml"/><Relationship Id="rId9" Type="http://schemas.openxmlformats.org/officeDocument/2006/relationships/hyperlink" Target="https://hudoc.echr.coe.int/eng?i=002-125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5F812-40E9-441E-B6FF-EEA35815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3011</Words>
  <Characters>17169</Characters>
  <Application>Microsoft Office Word</Application>
  <DocSecurity>0</DocSecurity>
  <Lines>143</Lines>
  <Paragraphs>40</Paragraphs>
  <ScaleCrop>false</ScaleCrop>
  <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2022-08-05T07:57:00Z</dcterms:created>
  <dcterms:modified xsi:type="dcterms:W3CDTF">2022-08-05T07:57:00Z</dcterms:modified>
</cp:coreProperties>
</file>