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762B54" w14:textId="77777777" w:rsidR="00BD261A" w:rsidRPr="00900EE5" w:rsidRDefault="00BD261A" w:rsidP="00BD261A">
      <w:pPr>
        <w:tabs>
          <w:tab w:val="left" w:pos="3318"/>
        </w:tabs>
        <w:spacing w:after="0" w:line="276" w:lineRule="auto"/>
        <w:jc w:val="both"/>
        <w:rPr>
          <w:rFonts w:cs="Times New Roman"/>
          <w:b/>
          <w:bCs/>
          <w:szCs w:val="24"/>
        </w:rPr>
      </w:pPr>
      <w:r w:rsidRPr="00900EE5">
        <w:rPr>
          <w:rFonts w:cs="Times New Roman"/>
          <w:b/>
          <w:bCs/>
          <w:szCs w:val="24"/>
        </w:rPr>
        <w:t>Pieļaujami un pierādāmi veidi saziņai ar komersantu</w:t>
      </w:r>
    </w:p>
    <w:p w14:paraId="7B68F43A" w14:textId="6908B1A2" w:rsidR="00BD261A" w:rsidRPr="00900EE5" w:rsidRDefault="00BD261A" w:rsidP="00BD261A">
      <w:pPr>
        <w:tabs>
          <w:tab w:val="left" w:pos="3318"/>
        </w:tabs>
        <w:spacing w:after="0" w:line="276" w:lineRule="auto"/>
        <w:jc w:val="both"/>
        <w:rPr>
          <w:rFonts w:cs="Times New Roman"/>
          <w:szCs w:val="24"/>
        </w:rPr>
      </w:pPr>
      <w:r w:rsidRPr="00900EE5">
        <w:rPr>
          <w:rFonts w:cs="Times New Roman"/>
          <w:szCs w:val="24"/>
        </w:rPr>
        <w:t xml:space="preserve">Komerclikuma </w:t>
      </w:r>
      <w:proofErr w:type="gramStart"/>
      <w:r w:rsidRPr="00900EE5">
        <w:rPr>
          <w:rFonts w:cs="Times New Roman"/>
          <w:szCs w:val="24"/>
        </w:rPr>
        <w:t>12.panta</w:t>
      </w:r>
      <w:proofErr w:type="gramEnd"/>
      <w:r w:rsidRPr="00900EE5">
        <w:rPr>
          <w:rFonts w:cs="Times New Roman"/>
          <w:szCs w:val="24"/>
        </w:rPr>
        <w:t xml:space="preserve"> ceturtā daļa nenodrošina komersantam iespēju atsaukties uz korespondences nesaņemšanas faktu, ja komersants to saņēmis citā pieļaujamā un pier</w:t>
      </w:r>
      <w:r>
        <w:rPr>
          <w:rFonts w:cs="Times New Roman"/>
          <w:szCs w:val="24"/>
        </w:rPr>
        <w:t>ā</w:t>
      </w:r>
      <w:r w:rsidRPr="00900EE5">
        <w:rPr>
          <w:rFonts w:cs="Times New Roman"/>
          <w:szCs w:val="24"/>
        </w:rPr>
        <w:t>dāmā saziņas veidā. Šī norma neierobežo tiesības īstenot saziņu ar komersantu elektroniskā formā arī tad, ja puses nav vienojušās par savstarpējo elektronisko saziņu.</w:t>
      </w:r>
    </w:p>
    <w:p w14:paraId="22A48111" w14:textId="7BFDE4CF" w:rsidR="001F378C" w:rsidRPr="00B8082A" w:rsidRDefault="001F378C" w:rsidP="00B8082A">
      <w:pPr>
        <w:spacing w:after="0" w:line="276" w:lineRule="auto"/>
        <w:ind w:right="-1"/>
        <w:jc w:val="center"/>
        <w:rPr>
          <w:rFonts w:eastAsia="Times New Roman" w:cs="Times New Roman"/>
          <w:szCs w:val="24"/>
          <w:lang w:eastAsia="lv-LV"/>
        </w:rPr>
      </w:pPr>
    </w:p>
    <w:p w14:paraId="1BF8341B" w14:textId="07F88DB6" w:rsidR="001F378C" w:rsidRPr="00336DDF" w:rsidRDefault="001F378C" w:rsidP="00B8082A">
      <w:pPr>
        <w:spacing w:after="0" w:line="276" w:lineRule="auto"/>
        <w:ind w:right="2"/>
        <w:jc w:val="center"/>
        <w:rPr>
          <w:rFonts w:eastAsia="Times New Roman" w:cs="Times New Roman"/>
          <w:b/>
          <w:szCs w:val="24"/>
          <w:lang w:eastAsia="lv-LV"/>
        </w:rPr>
      </w:pPr>
      <w:r w:rsidRPr="00336DDF">
        <w:rPr>
          <w:rFonts w:eastAsia="Times New Roman" w:cs="Times New Roman"/>
          <w:b/>
          <w:szCs w:val="24"/>
          <w:lang w:eastAsia="lv-LV"/>
        </w:rPr>
        <w:t>Latvijas Republikas Senāt</w:t>
      </w:r>
      <w:r w:rsidR="00B8082A" w:rsidRPr="00336DDF">
        <w:rPr>
          <w:rFonts w:eastAsia="Times New Roman" w:cs="Times New Roman"/>
          <w:b/>
          <w:szCs w:val="24"/>
          <w:lang w:eastAsia="lv-LV"/>
        </w:rPr>
        <w:t>a</w:t>
      </w:r>
    </w:p>
    <w:p w14:paraId="65612D7F" w14:textId="3BE750FA" w:rsidR="00B8082A" w:rsidRPr="00336DDF" w:rsidRDefault="00B8082A" w:rsidP="00B8082A">
      <w:pPr>
        <w:spacing w:after="0" w:line="276" w:lineRule="auto"/>
        <w:ind w:right="2"/>
        <w:jc w:val="center"/>
        <w:rPr>
          <w:rFonts w:eastAsia="Times New Roman" w:cs="Times New Roman"/>
          <w:b/>
          <w:szCs w:val="24"/>
          <w:lang w:eastAsia="lv-LV"/>
        </w:rPr>
      </w:pPr>
      <w:r w:rsidRPr="00336DDF">
        <w:rPr>
          <w:rFonts w:eastAsia="Times New Roman" w:cs="Times New Roman"/>
          <w:b/>
          <w:szCs w:val="24"/>
          <w:lang w:eastAsia="lv-LV"/>
        </w:rPr>
        <w:t>Civillietu departamenta</w:t>
      </w:r>
    </w:p>
    <w:p w14:paraId="341A50A0" w14:textId="76545DF8" w:rsidR="00B8082A" w:rsidRPr="00336DDF" w:rsidRDefault="00B8082A" w:rsidP="00B8082A">
      <w:pPr>
        <w:spacing w:after="0" w:line="276" w:lineRule="auto"/>
        <w:ind w:right="2"/>
        <w:jc w:val="center"/>
        <w:rPr>
          <w:rFonts w:eastAsia="Times New Roman" w:cs="Times New Roman"/>
          <w:b/>
          <w:szCs w:val="24"/>
          <w:lang w:eastAsia="lv-LV"/>
        </w:rPr>
      </w:pPr>
      <w:proofErr w:type="gramStart"/>
      <w:r w:rsidRPr="00336DDF">
        <w:rPr>
          <w:rFonts w:eastAsia="Times New Roman" w:cs="Times New Roman"/>
          <w:b/>
          <w:szCs w:val="24"/>
          <w:lang w:eastAsia="lv-LV"/>
        </w:rPr>
        <w:t>2022.gada</w:t>
      </w:r>
      <w:proofErr w:type="gramEnd"/>
      <w:r w:rsidRPr="00336DDF">
        <w:rPr>
          <w:rFonts w:eastAsia="Times New Roman" w:cs="Times New Roman"/>
          <w:b/>
          <w:szCs w:val="24"/>
          <w:lang w:eastAsia="lv-LV"/>
        </w:rPr>
        <w:t xml:space="preserve"> 20.jūlija</w:t>
      </w:r>
    </w:p>
    <w:p w14:paraId="1BF3BBDD" w14:textId="77777777" w:rsidR="001F378C" w:rsidRPr="00336DDF" w:rsidRDefault="001F378C" w:rsidP="00B8082A">
      <w:pPr>
        <w:spacing w:after="0" w:line="276" w:lineRule="auto"/>
        <w:ind w:right="2"/>
        <w:jc w:val="center"/>
        <w:rPr>
          <w:rFonts w:eastAsia="Times New Roman" w:cs="Times New Roman"/>
          <w:b/>
          <w:szCs w:val="24"/>
          <w:lang w:eastAsia="lv-LV"/>
        </w:rPr>
      </w:pPr>
      <w:r w:rsidRPr="00336DDF">
        <w:rPr>
          <w:rFonts w:eastAsia="Times New Roman" w:cs="Times New Roman"/>
          <w:b/>
          <w:szCs w:val="24"/>
          <w:lang w:eastAsia="lv-LV"/>
        </w:rPr>
        <w:t>SPRIEDUMS</w:t>
      </w:r>
    </w:p>
    <w:p w14:paraId="12A77688" w14:textId="3D7AF79A" w:rsidR="00B8082A" w:rsidRPr="00336DDF" w:rsidRDefault="00B8082A" w:rsidP="00B8082A">
      <w:pPr>
        <w:spacing w:after="0" w:line="276" w:lineRule="auto"/>
        <w:ind w:right="-1"/>
        <w:jc w:val="center"/>
        <w:rPr>
          <w:rFonts w:eastAsia="Times New Roman" w:cs="Times New Roman"/>
          <w:b/>
          <w:bCs/>
          <w:szCs w:val="24"/>
          <w:lang w:eastAsia="lv-LV"/>
        </w:rPr>
      </w:pPr>
      <w:r w:rsidRPr="00336DDF">
        <w:rPr>
          <w:rFonts w:eastAsia="Times New Roman" w:cs="Times New Roman"/>
          <w:b/>
          <w:bCs/>
          <w:szCs w:val="24"/>
          <w:lang w:eastAsia="lv-LV"/>
        </w:rPr>
        <w:t>Lieta Nr. C75002721, SKC-672/2022</w:t>
      </w:r>
    </w:p>
    <w:p w14:paraId="3179B1A1" w14:textId="2C051A17" w:rsidR="00B8082A" w:rsidRPr="00336DDF" w:rsidRDefault="00BD261A" w:rsidP="00B8082A">
      <w:pPr>
        <w:spacing w:after="0" w:line="276" w:lineRule="auto"/>
        <w:ind w:right="-1"/>
        <w:jc w:val="center"/>
        <w:rPr>
          <w:rFonts w:eastAsia="Times New Roman" w:cs="Times New Roman"/>
          <w:b/>
          <w:bCs/>
          <w:szCs w:val="24"/>
          <w:lang w:eastAsia="lv-LV"/>
        </w:rPr>
      </w:pPr>
      <w:hyperlink r:id="rId7" w:history="1">
        <w:r w:rsidR="00B8082A" w:rsidRPr="00336DDF">
          <w:rPr>
            <w:rStyle w:val="Hyperlink"/>
            <w:rFonts w:cs="Times New Roman"/>
            <w:szCs w:val="24"/>
            <w:shd w:val="clear" w:color="auto" w:fill="FFFFFF"/>
          </w:rPr>
          <w:t>ECLI:LV:AT:2022:0720.C75002721.10.S</w:t>
        </w:r>
      </w:hyperlink>
    </w:p>
    <w:p w14:paraId="4967C99B" w14:textId="77777777" w:rsidR="00B42394" w:rsidRPr="00336DDF" w:rsidRDefault="00B42394" w:rsidP="00B8082A">
      <w:pPr>
        <w:spacing w:after="0" w:line="276" w:lineRule="auto"/>
        <w:ind w:right="-1"/>
        <w:jc w:val="center"/>
        <w:rPr>
          <w:rFonts w:eastAsia="Times New Roman" w:cs="Times New Roman"/>
          <w:szCs w:val="24"/>
          <w:lang w:eastAsia="lv-LV"/>
        </w:rPr>
      </w:pPr>
    </w:p>
    <w:p w14:paraId="325B5254" w14:textId="77777777" w:rsidR="001F378C" w:rsidRPr="00336DDF" w:rsidRDefault="001F378C" w:rsidP="00B8082A">
      <w:pPr>
        <w:spacing w:after="0" w:line="276" w:lineRule="auto"/>
        <w:ind w:right="-1"/>
        <w:jc w:val="both"/>
        <w:rPr>
          <w:rFonts w:eastAsia="Times New Roman" w:cs="Times New Roman"/>
          <w:szCs w:val="24"/>
          <w:lang w:eastAsia="lv-LV"/>
        </w:rPr>
      </w:pPr>
      <w:r w:rsidRPr="00336DDF">
        <w:rPr>
          <w:rFonts w:eastAsia="Times New Roman" w:cs="Times New Roman"/>
          <w:szCs w:val="24"/>
          <w:lang w:eastAsia="lv-LV"/>
        </w:rPr>
        <w:t>Senāts šādā sastāvā:</w:t>
      </w:r>
    </w:p>
    <w:p w14:paraId="7472369B" w14:textId="77777777" w:rsidR="001F378C" w:rsidRPr="00336DDF" w:rsidRDefault="001F378C" w:rsidP="00B8082A">
      <w:pPr>
        <w:spacing w:after="0" w:line="276" w:lineRule="auto"/>
        <w:ind w:right="-1" w:firstLine="720"/>
        <w:jc w:val="both"/>
        <w:rPr>
          <w:rFonts w:eastAsia="Times New Roman" w:cs="Times New Roman"/>
          <w:szCs w:val="24"/>
          <w:lang w:eastAsia="lv-LV"/>
        </w:rPr>
      </w:pPr>
      <w:bookmarkStart w:id="0" w:name="_Hlk71812598"/>
      <w:r w:rsidRPr="00336DDF">
        <w:rPr>
          <w:rFonts w:eastAsia="Times New Roman" w:cs="Times New Roman"/>
          <w:szCs w:val="24"/>
          <w:lang w:eastAsia="lv-LV"/>
        </w:rPr>
        <w:t>senators referents Intars Bisters,</w:t>
      </w:r>
    </w:p>
    <w:p w14:paraId="5CA5CD32" w14:textId="6BBA9081" w:rsidR="001F378C" w:rsidRPr="00336DDF" w:rsidRDefault="00A2449F" w:rsidP="00B8082A">
      <w:pPr>
        <w:spacing w:after="0" w:line="276" w:lineRule="auto"/>
        <w:ind w:right="143" w:firstLine="720"/>
        <w:jc w:val="both"/>
        <w:rPr>
          <w:rFonts w:eastAsia="Times New Roman" w:cs="Times New Roman"/>
          <w:szCs w:val="24"/>
          <w:lang w:eastAsia="lv-LV"/>
        </w:rPr>
      </w:pPr>
      <w:r w:rsidRPr="00336DDF">
        <w:rPr>
          <w:rFonts w:eastAsia="Times New Roman" w:cs="Times New Roman"/>
          <w:szCs w:val="24"/>
          <w:lang w:eastAsia="lv-LV"/>
        </w:rPr>
        <w:t>senatore Dzintra Balta</w:t>
      </w:r>
      <w:r w:rsidR="001F378C" w:rsidRPr="00336DDF">
        <w:rPr>
          <w:rFonts w:eastAsia="Times New Roman" w:cs="Times New Roman"/>
          <w:szCs w:val="24"/>
          <w:lang w:eastAsia="lv-LV"/>
        </w:rPr>
        <w:t>,</w:t>
      </w:r>
    </w:p>
    <w:p w14:paraId="5FBDDECA" w14:textId="0A294617" w:rsidR="001F378C" w:rsidRPr="00336DDF" w:rsidRDefault="001F378C" w:rsidP="00B8082A">
      <w:pPr>
        <w:spacing w:after="0" w:line="276" w:lineRule="auto"/>
        <w:ind w:right="143" w:firstLine="720"/>
        <w:jc w:val="both"/>
        <w:rPr>
          <w:rFonts w:eastAsia="Times New Roman" w:cs="Times New Roman"/>
          <w:szCs w:val="24"/>
          <w:lang w:eastAsia="lv-LV"/>
        </w:rPr>
      </w:pPr>
      <w:r w:rsidRPr="00336DDF">
        <w:rPr>
          <w:rFonts w:eastAsia="Times New Roman" w:cs="Times New Roman"/>
          <w:szCs w:val="24"/>
          <w:lang w:eastAsia="lv-LV"/>
        </w:rPr>
        <w:t xml:space="preserve">senatore </w:t>
      </w:r>
      <w:r w:rsidR="00A2449F" w:rsidRPr="00336DDF">
        <w:rPr>
          <w:rFonts w:eastAsia="Times New Roman" w:cs="Times New Roman"/>
          <w:szCs w:val="24"/>
          <w:lang w:eastAsia="lv-LV"/>
        </w:rPr>
        <w:t>Kristīne Zīle</w:t>
      </w:r>
    </w:p>
    <w:bookmarkEnd w:id="0"/>
    <w:p w14:paraId="19198199" w14:textId="506A9983" w:rsidR="00D875EE" w:rsidRPr="00336DDF" w:rsidRDefault="001F378C" w:rsidP="00B8082A">
      <w:pPr>
        <w:spacing w:after="0" w:line="276" w:lineRule="auto"/>
        <w:ind w:right="-1"/>
        <w:jc w:val="both"/>
        <w:rPr>
          <w:rFonts w:cs="Times New Roman"/>
          <w:szCs w:val="24"/>
        </w:rPr>
      </w:pPr>
      <w:r w:rsidRPr="00336DDF">
        <w:rPr>
          <w:rFonts w:cs="Times New Roman"/>
          <w:szCs w:val="24"/>
        </w:rPr>
        <w:t xml:space="preserve">izskatīja rakstveida procesā </w:t>
      </w:r>
      <w:r w:rsidR="007A7B35" w:rsidRPr="00336DDF">
        <w:rPr>
          <w:rFonts w:cs="Times New Roman"/>
          <w:szCs w:val="24"/>
        </w:rPr>
        <w:t xml:space="preserve">prasītājas AS ,,BDO </w:t>
      </w:r>
      <w:proofErr w:type="spellStart"/>
      <w:r w:rsidR="007A7B35" w:rsidRPr="00336DDF">
        <w:rPr>
          <w:rFonts w:cs="Times New Roman"/>
          <w:szCs w:val="24"/>
        </w:rPr>
        <w:t>Latvia</w:t>
      </w:r>
      <w:proofErr w:type="spellEnd"/>
      <w:r w:rsidR="007A7B35" w:rsidRPr="00336DDF">
        <w:rPr>
          <w:rFonts w:cs="Times New Roman"/>
          <w:szCs w:val="24"/>
        </w:rPr>
        <w:t>”</w:t>
      </w:r>
      <w:r w:rsidRPr="00336DDF">
        <w:rPr>
          <w:rFonts w:cs="Times New Roman"/>
          <w:szCs w:val="24"/>
        </w:rPr>
        <w:t xml:space="preserve"> </w:t>
      </w:r>
      <w:r w:rsidR="007A7B35" w:rsidRPr="00336DDF">
        <w:rPr>
          <w:rFonts w:cs="Times New Roman"/>
          <w:szCs w:val="24"/>
        </w:rPr>
        <w:t>pret</w:t>
      </w:r>
      <w:r w:rsidRPr="00336DDF">
        <w:rPr>
          <w:rFonts w:cs="Times New Roman"/>
          <w:szCs w:val="24"/>
        </w:rPr>
        <w:t xml:space="preserve">sūdzību par </w:t>
      </w:r>
      <w:r w:rsidR="007A7B35" w:rsidRPr="00336DDF">
        <w:rPr>
          <w:rFonts w:cs="Times New Roman"/>
          <w:szCs w:val="24"/>
        </w:rPr>
        <w:t>Rīgas</w:t>
      </w:r>
      <w:r w:rsidR="00B42394" w:rsidRPr="00336DDF">
        <w:rPr>
          <w:rFonts w:cs="Times New Roman"/>
          <w:szCs w:val="24"/>
        </w:rPr>
        <w:t xml:space="preserve"> apgabaltiesas Civillietu tiesas kolēģijas </w:t>
      </w:r>
      <w:proofErr w:type="gramStart"/>
      <w:r w:rsidR="00B42394" w:rsidRPr="00336DDF">
        <w:rPr>
          <w:rFonts w:cs="Times New Roman"/>
          <w:szCs w:val="24"/>
        </w:rPr>
        <w:t>2022.gada</w:t>
      </w:r>
      <w:proofErr w:type="gramEnd"/>
      <w:r w:rsidR="00B42394" w:rsidRPr="00336DDF">
        <w:rPr>
          <w:rFonts w:cs="Times New Roman"/>
          <w:szCs w:val="24"/>
        </w:rPr>
        <w:t xml:space="preserve"> </w:t>
      </w:r>
      <w:r w:rsidR="007A7B35" w:rsidRPr="00336DDF">
        <w:rPr>
          <w:rFonts w:cs="Times New Roman"/>
          <w:szCs w:val="24"/>
        </w:rPr>
        <w:t>7.marta</w:t>
      </w:r>
      <w:r w:rsidRPr="00336DDF">
        <w:rPr>
          <w:rFonts w:cs="Times New Roman"/>
          <w:szCs w:val="24"/>
        </w:rPr>
        <w:t xml:space="preserve"> spriedumu civillietā</w:t>
      </w:r>
      <w:r w:rsidR="00EC0ABF" w:rsidRPr="00336DDF">
        <w:rPr>
          <w:rFonts w:cs="Times New Roman"/>
          <w:szCs w:val="24"/>
        </w:rPr>
        <w:t xml:space="preserve"> </w:t>
      </w:r>
      <w:r w:rsidR="007A7B35" w:rsidRPr="00336DDF">
        <w:rPr>
          <w:rFonts w:cs="Times New Roman"/>
          <w:szCs w:val="24"/>
        </w:rPr>
        <w:t xml:space="preserve">AS ,,BDO </w:t>
      </w:r>
      <w:proofErr w:type="spellStart"/>
      <w:r w:rsidR="007A7B35" w:rsidRPr="00336DDF">
        <w:rPr>
          <w:rFonts w:cs="Times New Roman"/>
          <w:szCs w:val="24"/>
        </w:rPr>
        <w:t>Latvia</w:t>
      </w:r>
      <w:proofErr w:type="spellEnd"/>
      <w:r w:rsidR="007A7B35" w:rsidRPr="00336DDF">
        <w:rPr>
          <w:rFonts w:cs="Times New Roman"/>
          <w:szCs w:val="24"/>
        </w:rPr>
        <w:t>” prasībā pret SIA ,,</w:t>
      </w:r>
      <w:proofErr w:type="spellStart"/>
      <w:r w:rsidR="007A7B35" w:rsidRPr="00336DDF">
        <w:rPr>
          <w:rFonts w:cs="Times New Roman"/>
          <w:szCs w:val="24"/>
        </w:rPr>
        <w:t>Baltic</w:t>
      </w:r>
      <w:proofErr w:type="spellEnd"/>
      <w:r w:rsidR="007A7B35" w:rsidRPr="00336DDF">
        <w:rPr>
          <w:rFonts w:cs="Times New Roman"/>
          <w:szCs w:val="24"/>
        </w:rPr>
        <w:t xml:space="preserve"> </w:t>
      </w:r>
      <w:proofErr w:type="spellStart"/>
      <w:r w:rsidR="007A7B35" w:rsidRPr="00336DDF">
        <w:rPr>
          <w:rFonts w:cs="Times New Roman"/>
          <w:szCs w:val="24"/>
        </w:rPr>
        <w:t>Audit</w:t>
      </w:r>
      <w:proofErr w:type="spellEnd"/>
      <w:r w:rsidR="007A7B35" w:rsidRPr="00336DDF">
        <w:rPr>
          <w:rFonts w:cs="Times New Roman"/>
          <w:szCs w:val="24"/>
        </w:rPr>
        <w:t>” par dalībnieku sapulces protokola izsniegšanu</w:t>
      </w:r>
      <w:r w:rsidR="00D875EE" w:rsidRPr="00336DDF">
        <w:rPr>
          <w:rFonts w:cs="Times New Roman"/>
          <w:szCs w:val="24"/>
        </w:rPr>
        <w:t xml:space="preserve">. </w:t>
      </w:r>
    </w:p>
    <w:p w14:paraId="5C867F8A" w14:textId="37BF73C7" w:rsidR="001F378C" w:rsidRPr="00336DDF" w:rsidRDefault="001F378C" w:rsidP="00B8082A">
      <w:pPr>
        <w:spacing w:after="0" w:line="276" w:lineRule="auto"/>
        <w:ind w:right="-1"/>
        <w:jc w:val="both"/>
        <w:rPr>
          <w:rFonts w:eastAsia="Times New Roman" w:cs="Times New Roman"/>
          <w:szCs w:val="24"/>
          <w:lang w:eastAsia="lv-LV"/>
        </w:rPr>
      </w:pPr>
    </w:p>
    <w:p w14:paraId="2ED7BDEE" w14:textId="77777777" w:rsidR="001F378C" w:rsidRPr="00336DDF" w:rsidRDefault="001F378C" w:rsidP="00B8082A">
      <w:pPr>
        <w:spacing w:after="0" w:line="276" w:lineRule="auto"/>
        <w:ind w:right="-1"/>
        <w:jc w:val="center"/>
        <w:rPr>
          <w:rFonts w:eastAsia="Times New Roman" w:cs="Times New Roman"/>
          <w:b/>
          <w:szCs w:val="24"/>
          <w:lang w:eastAsia="lv-LV"/>
        </w:rPr>
      </w:pPr>
      <w:r w:rsidRPr="00336DDF">
        <w:rPr>
          <w:rFonts w:eastAsia="Times New Roman" w:cs="Times New Roman"/>
          <w:b/>
          <w:szCs w:val="24"/>
          <w:lang w:eastAsia="lv-LV"/>
        </w:rPr>
        <w:t>Aprakstošā daļa</w:t>
      </w:r>
    </w:p>
    <w:p w14:paraId="259E2369" w14:textId="77777777" w:rsidR="001F378C" w:rsidRPr="00336DDF" w:rsidRDefault="001F378C" w:rsidP="00B8082A">
      <w:pPr>
        <w:spacing w:after="0" w:line="276" w:lineRule="auto"/>
        <w:ind w:right="-1"/>
        <w:jc w:val="center"/>
        <w:rPr>
          <w:rFonts w:eastAsia="Times New Roman" w:cs="Times New Roman"/>
          <w:b/>
          <w:szCs w:val="24"/>
          <w:lang w:eastAsia="lv-LV"/>
        </w:rPr>
      </w:pPr>
    </w:p>
    <w:p w14:paraId="249005DE" w14:textId="078B68A9" w:rsidR="007A7B35" w:rsidRPr="00336DDF" w:rsidRDefault="00D875EE" w:rsidP="00B8082A">
      <w:pPr>
        <w:spacing w:after="0" w:line="276" w:lineRule="auto"/>
        <w:ind w:firstLine="567"/>
        <w:jc w:val="both"/>
        <w:rPr>
          <w:rFonts w:cs="Times New Roman"/>
          <w:szCs w:val="24"/>
        </w:rPr>
      </w:pPr>
      <w:r w:rsidRPr="00336DDF">
        <w:rPr>
          <w:rFonts w:cs="Times New Roman"/>
          <w:szCs w:val="24"/>
        </w:rPr>
        <w:t>[1]</w:t>
      </w:r>
      <w:r w:rsidR="00EC0ABF" w:rsidRPr="00336DDF">
        <w:rPr>
          <w:rFonts w:cs="Times New Roman"/>
          <w:szCs w:val="24"/>
        </w:rPr>
        <w:t> </w:t>
      </w:r>
      <w:r w:rsidR="007A7B35" w:rsidRPr="00336DDF">
        <w:rPr>
          <w:rFonts w:cs="Times New Roman"/>
          <w:szCs w:val="24"/>
        </w:rPr>
        <w:t xml:space="preserve">Ar Rīgas apgabaltiesas Civillietu tiesas kolēģijas </w:t>
      </w:r>
      <w:proofErr w:type="gramStart"/>
      <w:r w:rsidR="007A7B35" w:rsidRPr="00336DDF">
        <w:rPr>
          <w:rFonts w:cs="Times New Roman"/>
          <w:szCs w:val="24"/>
        </w:rPr>
        <w:t>2022.gada</w:t>
      </w:r>
      <w:proofErr w:type="gramEnd"/>
      <w:r w:rsidR="007A7B35" w:rsidRPr="00336DDF">
        <w:rPr>
          <w:rFonts w:cs="Times New Roman"/>
          <w:szCs w:val="24"/>
        </w:rPr>
        <w:t xml:space="preserve"> 7.marta spriedumu apmierināta AS ,,BDO </w:t>
      </w:r>
      <w:proofErr w:type="spellStart"/>
      <w:r w:rsidR="007A7B35" w:rsidRPr="00336DDF">
        <w:rPr>
          <w:rFonts w:cs="Times New Roman"/>
          <w:szCs w:val="24"/>
        </w:rPr>
        <w:t>Latvia</w:t>
      </w:r>
      <w:proofErr w:type="spellEnd"/>
      <w:r w:rsidR="007A7B35" w:rsidRPr="00336DDF">
        <w:rPr>
          <w:rFonts w:cs="Times New Roman"/>
          <w:szCs w:val="24"/>
        </w:rPr>
        <w:t>” prasība pret SIA ,,</w:t>
      </w:r>
      <w:proofErr w:type="spellStart"/>
      <w:r w:rsidR="007A7B35" w:rsidRPr="00336DDF">
        <w:rPr>
          <w:rFonts w:cs="Times New Roman"/>
          <w:szCs w:val="24"/>
        </w:rPr>
        <w:t>Baltic</w:t>
      </w:r>
      <w:proofErr w:type="spellEnd"/>
      <w:r w:rsidR="007A7B35" w:rsidRPr="00336DDF">
        <w:rPr>
          <w:rFonts w:cs="Times New Roman"/>
          <w:szCs w:val="24"/>
        </w:rPr>
        <w:t xml:space="preserve"> </w:t>
      </w:r>
      <w:proofErr w:type="spellStart"/>
      <w:r w:rsidR="007A7B35" w:rsidRPr="00336DDF">
        <w:rPr>
          <w:rFonts w:cs="Times New Roman"/>
          <w:szCs w:val="24"/>
        </w:rPr>
        <w:t>Audit</w:t>
      </w:r>
      <w:proofErr w:type="spellEnd"/>
      <w:r w:rsidR="007A7B35" w:rsidRPr="00336DDF">
        <w:rPr>
          <w:rFonts w:cs="Times New Roman"/>
          <w:szCs w:val="24"/>
        </w:rPr>
        <w:t xml:space="preserve">” par dalībnieku </w:t>
      </w:r>
      <w:r w:rsidR="00AD54BA" w:rsidRPr="00336DDF">
        <w:rPr>
          <w:rFonts w:cs="Times New Roman"/>
          <w:szCs w:val="24"/>
        </w:rPr>
        <w:t xml:space="preserve">sapulces protokola izsniegšanu, noraidot lūgumu par tiesāšanās izdevumu atlīdzināšanu. </w:t>
      </w:r>
    </w:p>
    <w:p w14:paraId="2FD784A6" w14:textId="1F0D4A87" w:rsidR="007A7B35" w:rsidRPr="00336DDF" w:rsidRDefault="007A7B35" w:rsidP="00B8082A">
      <w:pPr>
        <w:spacing w:after="0" w:line="276" w:lineRule="auto"/>
        <w:ind w:firstLine="567"/>
        <w:jc w:val="both"/>
        <w:rPr>
          <w:rFonts w:cs="Times New Roman"/>
          <w:szCs w:val="24"/>
        </w:rPr>
      </w:pPr>
      <w:r w:rsidRPr="00336DDF">
        <w:rPr>
          <w:rFonts w:cs="Times New Roman"/>
          <w:szCs w:val="24"/>
        </w:rPr>
        <w:t xml:space="preserve">Ar senatoru kolēģijas </w:t>
      </w:r>
      <w:proofErr w:type="gramStart"/>
      <w:r w:rsidRPr="00336DDF">
        <w:rPr>
          <w:rFonts w:cs="Times New Roman"/>
          <w:szCs w:val="24"/>
        </w:rPr>
        <w:t>2022.gada</w:t>
      </w:r>
      <w:proofErr w:type="gramEnd"/>
      <w:r w:rsidRPr="00336DDF">
        <w:rPr>
          <w:rFonts w:cs="Times New Roman"/>
          <w:szCs w:val="24"/>
        </w:rPr>
        <w:t xml:space="preserve"> 5.jūlija lēmumu kasācijas tiesvedība ierosināta daļā par tiesāšanās izdevumiem.</w:t>
      </w:r>
    </w:p>
    <w:p w14:paraId="2B0BB792" w14:textId="2A885887" w:rsidR="007A7B35" w:rsidRPr="00336DDF" w:rsidRDefault="007A7B35" w:rsidP="00B8082A">
      <w:pPr>
        <w:spacing w:after="0" w:line="276" w:lineRule="auto"/>
        <w:ind w:firstLine="567"/>
        <w:jc w:val="both"/>
        <w:rPr>
          <w:rFonts w:cs="Times New Roman"/>
          <w:szCs w:val="24"/>
        </w:rPr>
      </w:pPr>
      <w:r w:rsidRPr="00336DDF">
        <w:rPr>
          <w:rFonts w:cs="Times New Roman"/>
          <w:szCs w:val="24"/>
        </w:rPr>
        <w:t xml:space="preserve">Apgabaltiesas spriedums </w:t>
      </w:r>
      <w:r w:rsidR="00F32537" w:rsidRPr="00336DDF">
        <w:rPr>
          <w:rFonts w:cs="Times New Roman"/>
          <w:szCs w:val="24"/>
        </w:rPr>
        <w:t xml:space="preserve">jautājumā, kas vērtējams kasācijas instancē, </w:t>
      </w:r>
      <w:r w:rsidRPr="00336DDF">
        <w:rPr>
          <w:rFonts w:cs="Times New Roman"/>
          <w:szCs w:val="24"/>
        </w:rPr>
        <w:t>pamatots ar turpmāk norādītajiem argumentiem.</w:t>
      </w:r>
    </w:p>
    <w:p w14:paraId="4A078BE5" w14:textId="77777777" w:rsidR="003E786C" w:rsidRPr="00336DDF" w:rsidRDefault="007A7B35" w:rsidP="00B8082A">
      <w:pPr>
        <w:spacing w:after="0" w:line="276" w:lineRule="auto"/>
        <w:ind w:firstLine="567"/>
        <w:jc w:val="both"/>
        <w:rPr>
          <w:rFonts w:cs="Times New Roman"/>
          <w:szCs w:val="24"/>
        </w:rPr>
      </w:pPr>
      <w:r w:rsidRPr="00336DDF">
        <w:rPr>
          <w:rFonts w:cs="Times New Roman"/>
          <w:szCs w:val="24"/>
        </w:rPr>
        <w:t>[1.1] </w:t>
      </w:r>
      <w:r w:rsidR="003E786C" w:rsidRPr="00336DDF">
        <w:rPr>
          <w:rFonts w:cs="Times New Roman"/>
          <w:szCs w:val="24"/>
        </w:rPr>
        <w:t>Prasītāja tiesību aizskārumu pamato ar faktu, ka pieprasījums par dalībnieku sapulces protokola izsniegšanu tika nosūtīts uz atbildētājas elektroniskajām pasta adresēm, kas ir publiski pieejamas vai izmantotas tiesvedības gaitā.</w:t>
      </w:r>
    </w:p>
    <w:p w14:paraId="7EAC6440" w14:textId="0974CDCF" w:rsidR="007A7B35" w:rsidRPr="00336DDF" w:rsidRDefault="003E786C" w:rsidP="00B8082A">
      <w:pPr>
        <w:spacing w:after="0" w:line="276" w:lineRule="auto"/>
        <w:ind w:firstLine="567"/>
        <w:jc w:val="both"/>
        <w:rPr>
          <w:rFonts w:cs="Times New Roman"/>
          <w:szCs w:val="24"/>
        </w:rPr>
      </w:pPr>
      <w:r w:rsidRPr="00336DDF">
        <w:rPr>
          <w:rFonts w:cs="Times New Roman"/>
          <w:szCs w:val="24"/>
        </w:rPr>
        <w:t xml:space="preserve">Ievērojot minēto, </w:t>
      </w:r>
      <w:r w:rsidR="00407B81" w:rsidRPr="00336DDF">
        <w:rPr>
          <w:rFonts w:cs="Times New Roman"/>
          <w:szCs w:val="24"/>
        </w:rPr>
        <w:t>jautājums par tiesāšanās izdevumu atlīdzināšanu</w:t>
      </w:r>
      <w:r w:rsidR="00791615" w:rsidRPr="00336DDF">
        <w:rPr>
          <w:rFonts w:cs="Times New Roman"/>
          <w:szCs w:val="24"/>
        </w:rPr>
        <w:t xml:space="preserve"> ir atkarīgas no tā, vai prasītāja</w:t>
      </w:r>
      <w:r w:rsidR="00D86143" w:rsidRPr="00336DDF">
        <w:rPr>
          <w:rFonts w:cs="Times New Roman"/>
          <w:szCs w:val="24"/>
        </w:rPr>
        <w:t xml:space="preserve"> </w:t>
      </w:r>
      <w:r w:rsidR="00070FA9" w:rsidRPr="00336DDF">
        <w:rPr>
          <w:rFonts w:cs="Times New Roman"/>
          <w:szCs w:val="24"/>
        </w:rPr>
        <w:t xml:space="preserve">šādā veidā ir īstenojusi </w:t>
      </w:r>
      <w:r w:rsidR="00D86143" w:rsidRPr="00336DDF">
        <w:rPr>
          <w:rFonts w:cs="Times New Roman"/>
          <w:szCs w:val="24"/>
        </w:rPr>
        <w:t>savas tiesības</w:t>
      </w:r>
      <w:r w:rsidR="00791615" w:rsidRPr="00336DDF">
        <w:rPr>
          <w:rFonts w:cs="Times New Roman"/>
          <w:szCs w:val="24"/>
        </w:rPr>
        <w:t xml:space="preserve"> likumā noteiktajā kārtībā.</w:t>
      </w:r>
      <w:r w:rsidR="00070FA9" w:rsidRPr="00336DDF">
        <w:rPr>
          <w:rFonts w:cs="Times New Roman"/>
          <w:szCs w:val="24"/>
        </w:rPr>
        <w:t xml:space="preserve"> </w:t>
      </w:r>
    </w:p>
    <w:p w14:paraId="434F1C69" w14:textId="55126D39" w:rsidR="00791615" w:rsidRPr="00336DDF" w:rsidRDefault="00791615" w:rsidP="00B8082A">
      <w:pPr>
        <w:spacing w:after="0" w:line="276" w:lineRule="auto"/>
        <w:ind w:firstLine="567"/>
        <w:jc w:val="both"/>
        <w:rPr>
          <w:rFonts w:cs="Times New Roman"/>
          <w:szCs w:val="24"/>
        </w:rPr>
      </w:pPr>
      <w:r w:rsidRPr="00336DDF">
        <w:rPr>
          <w:rFonts w:cs="Times New Roman"/>
          <w:szCs w:val="24"/>
        </w:rPr>
        <w:t>[1.2]</w:t>
      </w:r>
      <w:r w:rsidR="003E786C" w:rsidRPr="00336DDF">
        <w:rPr>
          <w:rFonts w:cs="Times New Roman"/>
          <w:szCs w:val="24"/>
        </w:rPr>
        <w:t> </w:t>
      </w:r>
      <w:r w:rsidRPr="00336DDF">
        <w:rPr>
          <w:rFonts w:cs="Times New Roman"/>
          <w:szCs w:val="24"/>
        </w:rPr>
        <w:t xml:space="preserve">No Komerclikuma </w:t>
      </w:r>
      <w:proofErr w:type="gramStart"/>
      <w:r w:rsidR="00D63CA7" w:rsidRPr="00336DDF">
        <w:rPr>
          <w:rFonts w:cs="Times New Roman"/>
          <w:szCs w:val="24"/>
        </w:rPr>
        <w:t>139.panta</w:t>
      </w:r>
      <w:proofErr w:type="gramEnd"/>
      <w:r w:rsidR="00D63CA7" w:rsidRPr="00336DDF">
        <w:rPr>
          <w:rFonts w:cs="Times New Roman"/>
          <w:szCs w:val="24"/>
        </w:rPr>
        <w:t xml:space="preserve"> </w:t>
      </w:r>
      <w:r w:rsidR="00B75E2D" w:rsidRPr="00336DDF">
        <w:rPr>
          <w:rFonts w:cs="Times New Roman"/>
          <w:szCs w:val="24"/>
        </w:rPr>
        <w:t>tiesiskā regulējuma</w:t>
      </w:r>
      <w:r w:rsidR="00C11518" w:rsidRPr="00336DDF">
        <w:rPr>
          <w:rFonts w:cs="Times New Roman"/>
          <w:szCs w:val="24"/>
        </w:rPr>
        <w:t xml:space="preserve"> </w:t>
      </w:r>
      <w:r w:rsidRPr="00336DDF">
        <w:rPr>
          <w:rFonts w:cs="Times New Roman"/>
          <w:szCs w:val="24"/>
        </w:rPr>
        <w:t xml:space="preserve">izriet, ka </w:t>
      </w:r>
      <w:r w:rsidR="00D63CA7" w:rsidRPr="00336DDF">
        <w:rPr>
          <w:rFonts w:cs="Times New Roman"/>
          <w:szCs w:val="24"/>
        </w:rPr>
        <w:t xml:space="preserve">vispārīgi </w:t>
      </w:r>
      <w:r w:rsidRPr="00336DDF">
        <w:rPr>
          <w:rFonts w:cs="Times New Roman"/>
          <w:szCs w:val="24"/>
        </w:rPr>
        <w:t xml:space="preserve">saziņa ar </w:t>
      </w:r>
      <w:r w:rsidR="00C11518" w:rsidRPr="00336DDF">
        <w:rPr>
          <w:rFonts w:cs="Times New Roman"/>
          <w:szCs w:val="24"/>
        </w:rPr>
        <w:t>komercsabiedrību</w:t>
      </w:r>
      <w:r w:rsidRPr="00336DDF">
        <w:rPr>
          <w:rFonts w:cs="Times New Roman"/>
          <w:szCs w:val="24"/>
        </w:rPr>
        <w:t xml:space="preserve"> īstenojama, izmantojot </w:t>
      </w:r>
      <w:r w:rsidR="00C11518" w:rsidRPr="00336DDF">
        <w:rPr>
          <w:rFonts w:cs="Times New Roman"/>
          <w:szCs w:val="24"/>
        </w:rPr>
        <w:t xml:space="preserve">tās </w:t>
      </w:r>
      <w:r w:rsidRPr="00336DDF">
        <w:rPr>
          <w:rFonts w:cs="Times New Roman"/>
          <w:szCs w:val="24"/>
        </w:rPr>
        <w:t xml:space="preserve">juridisko adresi. </w:t>
      </w:r>
    </w:p>
    <w:p w14:paraId="70420469" w14:textId="4AA17743" w:rsidR="00D86143" w:rsidRPr="00336DDF" w:rsidRDefault="00D86143" w:rsidP="00B8082A">
      <w:pPr>
        <w:spacing w:after="0" w:line="276" w:lineRule="auto"/>
        <w:ind w:firstLine="567"/>
        <w:jc w:val="both"/>
        <w:rPr>
          <w:rFonts w:cs="Times New Roman"/>
          <w:szCs w:val="24"/>
        </w:rPr>
      </w:pPr>
      <w:r w:rsidRPr="00336DDF">
        <w:rPr>
          <w:rFonts w:cs="Times New Roman"/>
          <w:szCs w:val="24"/>
        </w:rPr>
        <w:t>Oficiālās elektroniskās adreses likum</w:t>
      </w:r>
      <w:r w:rsidR="00F90193" w:rsidRPr="00336DDF">
        <w:rPr>
          <w:rFonts w:cs="Times New Roman"/>
          <w:szCs w:val="24"/>
        </w:rPr>
        <w:t>a</w:t>
      </w:r>
      <w:r w:rsidRPr="00336DDF">
        <w:rPr>
          <w:rFonts w:cs="Times New Roman"/>
          <w:szCs w:val="24"/>
        </w:rPr>
        <w:t xml:space="preserve"> un Elektronisko dokumentu likuma noteikumi nav piemērojami tiesiskajās attiecībās starp divām </w:t>
      </w:r>
      <w:r w:rsidR="003E786C" w:rsidRPr="00336DDF">
        <w:rPr>
          <w:rFonts w:cs="Times New Roman"/>
          <w:szCs w:val="24"/>
        </w:rPr>
        <w:t xml:space="preserve">privātpersonām, līdz ar to </w:t>
      </w:r>
      <w:r w:rsidRPr="00336DDF">
        <w:rPr>
          <w:rFonts w:cs="Times New Roman"/>
          <w:szCs w:val="24"/>
        </w:rPr>
        <w:t xml:space="preserve">elektroniska saziņa starp pusēm būtu pieļaujama vienīgi gadījumā, </w:t>
      </w:r>
      <w:r w:rsidR="00BA1A0E" w:rsidRPr="00336DDF">
        <w:rPr>
          <w:rFonts w:cs="Times New Roman"/>
          <w:szCs w:val="24"/>
        </w:rPr>
        <w:t>ja par to būtu noslēgta</w:t>
      </w:r>
      <w:r w:rsidRPr="00336DDF">
        <w:rPr>
          <w:rFonts w:cs="Times New Roman"/>
          <w:szCs w:val="24"/>
        </w:rPr>
        <w:t xml:space="preserve"> rakstveida vienošan</w:t>
      </w:r>
      <w:r w:rsidR="003E786C" w:rsidRPr="00336DDF">
        <w:rPr>
          <w:rFonts w:cs="Times New Roman"/>
          <w:szCs w:val="24"/>
        </w:rPr>
        <w:t>ās</w:t>
      </w:r>
      <w:r w:rsidRPr="00336DDF">
        <w:rPr>
          <w:rFonts w:cs="Times New Roman"/>
          <w:szCs w:val="24"/>
        </w:rPr>
        <w:t xml:space="preserve">. Sakarā ar šo apsvērumu </w:t>
      </w:r>
      <w:r w:rsidR="00556D85" w:rsidRPr="00336DDF">
        <w:rPr>
          <w:rFonts w:cs="Times New Roman"/>
          <w:szCs w:val="24"/>
        </w:rPr>
        <w:t>jāņem vērā</w:t>
      </w:r>
      <w:r w:rsidRPr="00336DDF">
        <w:rPr>
          <w:rFonts w:cs="Times New Roman"/>
          <w:szCs w:val="24"/>
        </w:rPr>
        <w:t xml:space="preserve">, ka </w:t>
      </w:r>
      <w:r w:rsidR="00556D85" w:rsidRPr="00336DDF">
        <w:rPr>
          <w:rFonts w:cs="Times New Roman"/>
          <w:szCs w:val="24"/>
        </w:rPr>
        <w:t xml:space="preserve">atbildētājas valdes locekles elektroniskās pasta adreses norādīšana uzņēmuma interneta mājaslapā nenozīmē, ka atbildētāja ir izteikusi piekrišanu saņemt </w:t>
      </w:r>
      <w:r w:rsidR="00BA1A0E" w:rsidRPr="00336DDF">
        <w:rPr>
          <w:rFonts w:cs="Times New Roman"/>
          <w:szCs w:val="24"/>
        </w:rPr>
        <w:t>uz to sūtīto</w:t>
      </w:r>
      <w:r w:rsidR="00556D85" w:rsidRPr="00336DDF">
        <w:rPr>
          <w:rFonts w:cs="Times New Roman"/>
          <w:szCs w:val="24"/>
        </w:rPr>
        <w:t xml:space="preserve"> korespondenci no pilnīgi visām personām. </w:t>
      </w:r>
    </w:p>
    <w:p w14:paraId="6940A0D5" w14:textId="61083F89" w:rsidR="00556D85" w:rsidRPr="00336DDF" w:rsidRDefault="00556D85" w:rsidP="00B8082A">
      <w:pPr>
        <w:spacing w:after="0" w:line="276" w:lineRule="auto"/>
        <w:ind w:firstLine="567"/>
        <w:jc w:val="both"/>
        <w:rPr>
          <w:rFonts w:cs="Times New Roman"/>
          <w:szCs w:val="24"/>
        </w:rPr>
      </w:pPr>
      <w:r w:rsidRPr="00336DDF">
        <w:rPr>
          <w:rFonts w:cs="Times New Roman"/>
          <w:szCs w:val="24"/>
        </w:rPr>
        <w:lastRenderedPageBreak/>
        <w:t xml:space="preserve">Šādos apstākļos secināms, ka spriedumā nodibinātajos apstākļos </w:t>
      </w:r>
      <w:r w:rsidR="00C24A3D" w:rsidRPr="00336DDF">
        <w:rPr>
          <w:rFonts w:cs="Times New Roman"/>
          <w:szCs w:val="24"/>
        </w:rPr>
        <w:t xml:space="preserve">elektroniska </w:t>
      </w:r>
      <w:r w:rsidRPr="00336DDF">
        <w:rPr>
          <w:rFonts w:cs="Times New Roman"/>
          <w:szCs w:val="24"/>
        </w:rPr>
        <w:t>pieprasījuma nosūtī</w:t>
      </w:r>
      <w:r w:rsidR="00C24A3D" w:rsidRPr="00336DDF">
        <w:rPr>
          <w:rFonts w:cs="Times New Roman"/>
          <w:szCs w:val="24"/>
        </w:rPr>
        <w:t xml:space="preserve">šana </w:t>
      </w:r>
      <w:r w:rsidRPr="00336DDF">
        <w:rPr>
          <w:rFonts w:cs="Times New Roman"/>
          <w:szCs w:val="24"/>
        </w:rPr>
        <w:t xml:space="preserve">nedod pamatu </w:t>
      </w:r>
      <w:r w:rsidR="00C24A3D" w:rsidRPr="00336DDF">
        <w:rPr>
          <w:rFonts w:cs="Times New Roman"/>
          <w:szCs w:val="24"/>
        </w:rPr>
        <w:t xml:space="preserve">atbilstoši Komerclikuma </w:t>
      </w:r>
      <w:proofErr w:type="gramStart"/>
      <w:r w:rsidR="00C24A3D" w:rsidRPr="00336DDF">
        <w:rPr>
          <w:rFonts w:cs="Times New Roman"/>
          <w:szCs w:val="24"/>
        </w:rPr>
        <w:t>12.panta</w:t>
      </w:r>
      <w:proofErr w:type="gramEnd"/>
      <w:r w:rsidR="00C24A3D" w:rsidRPr="00336DDF">
        <w:rPr>
          <w:rFonts w:cs="Times New Roman"/>
          <w:szCs w:val="24"/>
        </w:rPr>
        <w:t xml:space="preserve"> ceturtajai daļai </w:t>
      </w:r>
      <w:r w:rsidRPr="00336DDF">
        <w:rPr>
          <w:rFonts w:cs="Times New Roman"/>
          <w:szCs w:val="24"/>
        </w:rPr>
        <w:t>prezumēt, ka atbildētāja to ir saņ</w:t>
      </w:r>
      <w:r w:rsidR="00C24A3D" w:rsidRPr="00336DDF">
        <w:rPr>
          <w:rFonts w:cs="Times New Roman"/>
          <w:szCs w:val="24"/>
        </w:rPr>
        <w:t xml:space="preserve">ēmusi, līdz ar to prasītājai minētais fakts ir jāpierāda. </w:t>
      </w:r>
    </w:p>
    <w:p w14:paraId="2582E9A4" w14:textId="6FAFCFF0" w:rsidR="00C24A3D" w:rsidRPr="00336DDF" w:rsidRDefault="00C24A3D" w:rsidP="00B8082A">
      <w:pPr>
        <w:spacing w:after="0" w:line="276" w:lineRule="auto"/>
        <w:ind w:firstLine="567"/>
        <w:jc w:val="both"/>
        <w:rPr>
          <w:rFonts w:cs="Times New Roman"/>
          <w:szCs w:val="24"/>
        </w:rPr>
      </w:pPr>
      <w:r w:rsidRPr="00336DDF">
        <w:rPr>
          <w:rFonts w:cs="Times New Roman"/>
          <w:szCs w:val="24"/>
        </w:rPr>
        <w:t xml:space="preserve">[1.3] Prasītāja nepamatoti atsaucas uz Senāta </w:t>
      </w:r>
      <w:proofErr w:type="gramStart"/>
      <w:r w:rsidRPr="00336DDF">
        <w:rPr>
          <w:rFonts w:cs="Times New Roman"/>
          <w:szCs w:val="24"/>
        </w:rPr>
        <w:t>2019.gada</w:t>
      </w:r>
      <w:proofErr w:type="gramEnd"/>
      <w:r w:rsidRPr="00336DDF">
        <w:rPr>
          <w:rFonts w:cs="Times New Roman"/>
          <w:szCs w:val="24"/>
        </w:rPr>
        <w:t xml:space="preserve"> 22.marta spriedumā lietā Nr. SKC-115/2019 izteiktajām atziņām, jo </w:t>
      </w:r>
      <w:r w:rsidR="006C6A75" w:rsidRPr="00336DDF">
        <w:rPr>
          <w:rFonts w:cs="Times New Roman"/>
          <w:szCs w:val="24"/>
        </w:rPr>
        <w:t xml:space="preserve">konstatējamas būtiskas faktisko apstākļu atšķirības, proti, šajā lietā korespondence vienlaikus </w:t>
      </w:r>
      <w:r w:rsidR="00070FA9" w:rsidRPr="00336DDF">
        <w:rPr>
          <w:rFonts w:cs="Times New Roman"/>
          <w:szCs w:val="24"/>
        </w:rPr>
        <w:t xml:space="preserve">tika </w:t>
      </w:r>
      <w:r w:rsidR="006C6A75" w:rsidRPr="00336DDF">
        <w:rPr>
          <w:rFonts w:cs="Times New Roman"/>
          <w:szCs w:val="24"/>
        </w:rPr>
        <w:t>nosūtīta ierakstītā pasta sūtījumā un puses bija vienojušās par saziņu elektroniskā pasta sūtījum</w:t>
      </w:r>
      <w:r w:rsidR="0008381C" w:rsidRPr="00336DDF">
        <w:rPr>
          <w:rFonts w:cs="Times New Roman"/>
          <w:szCs w:val="24"/>
        </w:rPr>
        <w:t>u</w:t>
      </w:r>
      <w:r w:rsidR="006C6A75" w:rsidRPr="00336DDF">
        <w:rPr>
          <w:rFonts w:cs="Times New Roman"/>
          <w:szCs w:val="24"/>
        </w:rPr>
        <w:t xml:space="preserve"> veidā. </w:t>
      </w:r>
    </w:p>
    <w:p w14:paraId="4F35E362" w14:textId="0F02069D" w:rsidR="00C24A3D" w:rsidRPr="00336DDF" w:rsidRDefault="00C24A3D" w:rsidP="00B8082A">
      <w:pPr>
        <w:spacing w:after="0" w:line="276" w:lineRule="auto"/>
        <w:ind w:firstLine="567"/>
        <w:jc w:val="both"/>
        <w:rPr>
          <w:rFonts w:cs="Times New Roman"/>
          <w:szCs w:val="24"/>
        </w:rPr>
      </w:pPr>
      <w:r w:rsidRPr="00336DDF">
        <w:rPr>
          <w:rFonts w:cs="Times New Roman"/>
          <w:szCs w:val="24"/>
        </w:rPr>
        <w:t>[1.4] Tā kā atbildētāja nav devusi iemeslu prasības celšanai, prasītājas lūgums atlīdzināt tiesāšanās izdevumus ir noraidāms.</w:t>
      </w:r>
    </w:p>
    <w:p w14:paraId="0E954197" w14:textId="77777777" w:rsidR="00C24A3D" w:rsidRPr="00336DDF" w:rsidRDefault="00C24A3D" w:rsidP="00B8082A">
      <w:pPr>
        <w:spacing w:after="0" w:line="276" w:lineRule="auto"/>
        <w:ind w:firstLine="567"/>
        <w:jc w:val="both"/>
        <w:rPr>
          <w:rFonts w:cs="Times New Roman"/>
          <w:szCs w:val="24"/>
        </w:rPr>
      </w:pPr>
    </w:p>
    <w:p w14:paraId="68B70BB1" w14:textId="133A4AC2" w:rsidR="00C24A3D" w:rsidRPr="00336DDF" w:rsidRDefault="00C24A3D" w:rsidP="00B8082A">
      <w:pPr>
        <w:spacing w:after="0" w:line="276" w:lineRule="auto"/>
        <w:ind w:firstLine="567"/>
        <w:jc w:val="both"/>
        <w:rPr>
          <w:rFonts w:cs="Times New Roman"/>
          <w:szCs w:val="24"/>
        </w:rPr>
      </w:pPr>
      <w:r w:rsidRPr="00336DDF">
        <w:rPr>
          <w:rFonts w:cs="Times New Roman"/>
          <w:szCs w:val="24"/>
        </w:rPr>
        <w:t xml:space="preserve">[2] Par minēto spriedumu prasītāja iesniedza pretsūdzību, </w:t>
      </w:r>
      <w:r w:rsidR="009B6778" w:rsidRPr="00336DDF">
        <w:rPr>
          <w:rFonts w:cs="Times New Roman"/>
          <w:szCs w:val="24"/>
        </w:rPr>
        <w:t>kurā lūdz</w:t>
      </w:r>
      <w:r w:rsidRPr="00336DDF">
        <w:rPr>
          <w:rFonts w:cs="Times New Roman"/>
          <w:szCs w:val="24"/>
        </w:rPr>
        <w:t xml:space="preserve"> </w:t>
      </w:r>
      <w:r w:rsidR="00D63CA7" w:rsidRPr="00336DDF">
        <w:rPr>
          <w:rFonts w:cs="Times New Roman"/>
          <w:szCs w:val="24"/>
        </w:rPr>
        <w:t>spriedumu</w:t>
      </w:r>
      <w:r w:rsidRPr="00336DDF">
        <w:rPr>
          <w:rFonts w:cs="Times New Roman"/>
          <w:szCs w:val="24"/>
        </w:rPr>
        <w:t xml:space="preserve"> par tiesāšanās izdevumiem</w:t>
      </w:r>
      <w:r w:rsidR="009B6778" w:rsidRPr="00336DDF">
        <w:rPr>
          <w:rFonts w:cs="Times New Roman"/>
          <w:szCs w:val="24"/>
        </w:rPr>
        <w:t xml:space="preserve"> </w:t>
      </w:r>
      <w:r w:rsidR="00D63CA7" w:rsidRPr="00336DDF">
        <w:rPr>
          <w:rFonts w:cs="Times New Roman"/>
          <w:szCs w:val="24"/>
        </w:rPr>
        <w:t xml:space="preserve">atcelt </w:t>
      </w:r>
      <w:r w:rsidR="009B6778" w:rsidRPr="00336DDF">
        <w:rPr>
          <w:rFonts w:cs="Times New Roman"/>
          <w:szCs w:val="24"/>
        </w:rPr>
        <w:t xml:space="preserve">šādu apsvērumu dēļ. </w:t>
      </w:r>
    </w:p>
    <w:p w14:paraId="686DBA68" w14:textId="1E62B5C8" w:rsidR="00D7249C" w:rsidRPr="00336DDF" w:rsidRDefault="00C24A3D" w:rsidP="00B8082A">
      <w:pPr>
        <w:spacing w:after="0" w:line="276" w:lineRule="auto"/>
        <w:ind w:firstLine="567"/>
        <w:jc w:val="both"/>
        <w:rPr>
          <w:rFonts w:cs="Times New Roman"/>
          <w:szCs w:val="24"/>
        </w:rPr>
      </w:pPr>
      <w:r w:rsidRPr="00336DDF">
        <w:rPr>
          <w:rFonts w:cs="Times New Roman"/>
          <w:szCs w:val="24"/>
        </w:rPr>
        <w:t>[2.1]</w:t>
      </w:r>
      <w:r w:rsidR="0050629B" w:rsidRPr="00336DDF">
        <w:rPr>
          <w:rFonts w:cs="Times New Roman"/>
          <w:szCs w:val="24"/>
        </w:rPr>
        <w:t> </w:t>
      </w:r>
      <w:r w:rsidR="003E786C" w:rsidRPr="00336DDF">
        <w:rPr>
          <w:rFonts w:cs="Times New Roman"/>
          <w:szCs w:val="24"/>
        </w:rPr>
        <w:t xml:space="preserve">Komerclikuma </w:t>
      </w:r>
      <w:proofErr w:type="gramStart"/>
      <w:r w:rsidR="003E786C" w:rsidRPr="00336DDF">
        <w:rPr>
          <w:rFonts w:cs="Times New Roman"/>
          <w:szCs w:val="24"/>
        </w:rPr>
        <w:t>12.panta</w:t>
      </w:r>
      <w:proofErr w:type="gramEnd"/>
      <w:r w:rsidR="003E786C" w:rsidRPr="00336DDF">
        <w:rPr>
          <w:rFonts w:cs="Times New Roman"/>
          <w:szCs w:val="24"/>
        </w:rPr>
        <w:t xml:space="preserve"> ceturt</w:t>
      </w:r>
      <w:r w:rsidR="00BA1A0E" w:rsidRPr="00336DDF">
        <w:rPr>
          <w:rFonts w:cs="Times New Roman"/>
          <w:szCs w:val="24"/>
        </w:rPr>
        <w:t>aj</w:t>
      </w:r>
      <w:r w:rsidR="003E786C" w:rsidRPr="00336DDF">
        <w:rPr>
          <w:rFonts w:cs="Times New Roman"/>
          <w:szCs w:val="24"/>
        </w:rPr>
        <w:t>ā da</w:t>
      </w:r>
      <w:r w:rsidR="00BA1A0E" w:rsidRPr="00336DDF">
        <w:rPr>
          <w:rFonts w:cs="Times New Roman"/>
          <w:szCs w:val="24"/>
        </w:rPr>
        <w:t>ļ</w:t>
      </w:r>
      <w:r w:rsidR="004863E2" w:rsidRPr="00336DDF">
        <w:rPr>
          <w:rFonts w:cs="Times New Roman"/>
          <w:szCs w:val="24"/>
        </w:rPr>
        <w:t xml:space="preserve">ai nav nozīmes izskatāmajā lietā, jo tajā </w:t>
      </w:r>
      <w:r w:rsidR="00BA1A0E" w:rsidRPr="00336DDF">
        <w:rPr>
          <w:rFonts w:cs="Times New Roman"/>
          <w:szCs w:val="24"/>
        </w:rPr>
        <w:t>iekļautā prezumpcija neuzliek</w:t>
      </w:r>
      <w:r w:rsidR="00C86E15" w:rsidRPr="00336DDF">
        <w:rPr>
          <w:rFonts w:cs="Times New Roman"/>
          <w:szCs w:val="24"/>
        </w:rPr>
        <w:t xml:space="preserve"> </w:t>
      </w:r>
      <w:r w:rsidR="00BA1A0E" w:rsidRPr="00336DDF">
        <w:rPr>
          <w:rFonts w:cs="Times New Roman"/>
          <w:szCs w:val="24"/>
        </w:rPr>
        <w:t>pienākumu</w:t>
      </w:r>
      <w:r w:rsidR="00C86E15" w:rsidRPr="00336DDF">
        <w:rPr>
          <w:rFonts w:cs="Times New Roman"/>
          <w:szCs w:val="24"/>
        </w:rPr>
        <w:t xml:space="preserve"> </w:t>
      </w:r>
      <w:r w:rsidR="00BA1A0E" w:rsidRPr="00336DDF">
        <w:rPr>
          <w:rFonts w:cs="Times New Roman"/>
          <w:szCs w:val="24"/>
        </w:rPr>
        <w:t>paziņojumus</w:t>
      </w:r>
      <w:r w:rsidR="00C86E15" w:rsidRPr="00336DDF">
        <w:rPr>
          <w:rFonts w:cs="Times New Roman"/>
          <w:szCs w:val="24"/>
        </w:rPr>
        <w:t xml:space="preserve"> </w:t>
      </w:r>
      <w:r w:rsidR="00BA1A0E" w:rsidRPr="00336DDF">
        <w:rPr>
          <w:rFonts w:cs="Times New Roman"/>
          <w:szCs w:val="24"/>
        </w:rPr>
        <w:t>komersant</w:t>
      </w:r>
      <w:r w:rsidR="00C86E15" w:rsidRPr="00336DDF">
        <w:rPr>
          <w:rFonts w:cs="Times New Roman"/>
          <w:szCs w:val="24"/>
        </w:rPr>
        <w:t>am</w:t>
      </w:r>
      <w:r w:rsidR="00BA1A0E" w:rsidRPr="00336DDF">
        <w:rPr>
          <w:rFonts w:cs="Times New Roman"/>
          <w:szCs w:val="24"/>
        </w:rPr>
        <w:t xml:space="preserve"> </w:t>
      </w:r>
      <w:r w:rsidR="00C86E15" w:rsidRPr="00336DDF">
        <w:rPr>
          <w:rFonts w:cs="Times New Roman"/>
          <w:szCs w:val="24"/>
        </w:rPr>
        <w:t xml:space="preserve">sūtīt </w:t>
      </w:r>
      <w:r w:rsidR="00BA1A0E" w:rsidRPr="00336DDF">
        <w:rPr>
          <w:rFonts w:cs="Times New Roman"/>
          <w:szCs w:val="24"/>
        </w:rPr>
        <w:t xml:space="preserve">uz </w:t>
      </w:r>
      <w:r w:rsidR="00C86E15" w:rsidRPr="00336DDF">
        <w:rPr>
          <w:rFonts w:cs="Times New Roman"/>
          <w:szCs w:val="24"/>
        </w:rPr>
        <w:t xml:space="preserve">tās </w:t>
      </w:r>
      <w:r w:rsidR="003E786C" w:rsidRPr="00336DDF">
        <w:rPr>
          <w:rFonts w:cs="Times New Roman"/>
          <w:szCs w:val="24"/>
        </w:rPr>
        <w:t xml:space="preserve">juridisko adresi. Minētās tiesību normas mērķis ir atbrīvot </w:t>
      </w:r>
      <w:r w:rsidR="00D63CA7" w:rsidRPr="00336DDF">
        <w:rPr>
          <w:rFonts w:cs="Times New Roman"/>
          <w:szCs w:val="24"/>
        </w:rPr>
        <w:t xml:space="preserve">trešo </w:t>
      </w:r>
      <w:r w:rsidR="003E786C" w:rsidRPr="00336DDF">
        <w:rPr>
          <w:rFonts w:cs="Times New Roman"/>
          <w:szCs w:val="24"/>
        </w:rPr>
        <w:t xml:space="preserve">personu no </w:t>
      </w:r>
      <w:r w:rsidR="00D63CA7" w:rsidRPr="00336DDF">
        <w:rPr>
          <w:rFonts w:cs="Times New Roman"/>
          <w:szCs w:val="24"/>
        </w:rPr>
        <w:t xml:space="preserve">pienākuma </w:t>
      </w:r>
      <w:r w:rsidR="003E786C" w:rsidRPr="00336DDF">
        <w:rPr>
          <w:rFonts w:cs="Times New Roman"/>
          <w:szCs w:val="24"/>
        </w:rPr>
        <w:t>pierādī</w:t>
      </w:r>
      <w:r w:rsidR="00D63CA7" w:rsidRPr="00336DDF">
        <w:rPr>
          <w:rFonts w:cs="Times New Roman"/>
          <w:szCs w:val="24"/>
        </w:rPr>
        <w:t>t paziņošanas</w:t>
      </w:r>
      <w:r w:rsidR="00C86E15" w:rsidRPr="00336DDF">
        <w:rPr>
          <w:rFonts w:cs="Times New Roman"/>
          <w:szCs w:val="24"/>
        </w:rPr>
        <w:t xml:space="preserve"> faktu</w:t>
      </w:r>
      <w:r w:rsidR="00D63CA7" w:rsidRPr="00336DDF">
        <w:rPr>
          <w:rFonts w:cs="Times New Roman"/>
          <w:szCs w:val="24"/>
        </w:rPr>
        <w:t>, ja paziņojums ir nosūtīts</w:t>
      </w:r>
      <w:r w:rsidR="00C86E15" w:rsidRPr="00336DDF">
        <w:rPr>
          <w:rFonts w:cs="Times New Roman"/>
          <w:szCs w:val="24"/>
        </w:rPr>
        <w:t xml:space="preserve"> š</w:t>
      </w:r>
      <w:r w:rsidR="009C325D" w:rsidRPr="00336DDF">
        <w:rPr>
          <w:rFonts w:cs="Times New Roman"/>
          <w:szCs w:val="24"/>
        </w:rPr>
        <w:t>ādā</w:t>
      </w:r>
      <w:r w:rsidR="00C86E15" w:rsidRPr="00336DDF">
        <w:rPr>
          <w:rFonts w:cs="Times New Roman"/>
          <w:szCs w:val="24"/>
        </w:rPr>
        <w:t xml:space="preserve"> kārtībā.</w:t>
      </w:r>
      <w:r w:rsidR="00AC68D0" w:rsidRPr="00336DDF">
        <w:rPr>
          <w:rFonts w:cs="Times New Roman"/>
          <w:szCs w:val="24"/>
        </w:rPr>
        <w:t xml:space="preserve"> </w:t>
      </w:r>
      <w:r w:rsidR="00C86E15" w:rsidRPr="00336DDF">
        <w:rPr>
          <w:rFonts w:cs="Times New Roman"/>
          <w:szCs w:val="24"/>
        </w:rPr>
        <w:t>I</w:t>
      </w:r>
      <w:r w:rsidR="00070FA9" w:rsidRPr="00336DDF">
        <w:rPr>
          <w:rFonts w:cs="Times New Roman"/>
          <w:szCs w:val="24"/>
        </w:rPr>
        <w:t>zmantojot citas saziņas metodes</w:t>
      </w:r>
      <w:r w:rsidR="00D7249C" w:rsidRPr="00336DDF">
        <w:rPr>
          <w:rFonts w:cs="Times New Roman"/>
          <w:szCs w:val="24"/>
        </w:rPr>
        <w:t xml:space="preserve">, nosūtītājam </w:t>
      </w:r>
      <w:r w:rsidR="00C86E15" w:rsidRPr="00336DDF">
        <w:rPr>
          <w:rFonts w:cs="Times New Roman"/>
          <w:szCs w:val="24"/>
        </w:rPr>
        <w:t xml:space="preserve">ir </w:t>
      </w:r>
      <w:r w:rsidR="00D7249C" w:rsidRPr="00336DDF">
        <w:rPr>
          <w:rFonts w:cs="Times New Roman"/>
          <w:szCs w:val="24"/>
        </w:rPr>
        <w:t xml:space="preserve">jāpierāda, ka komersants šādā veidā ir bijis sasniedzams. </w:t>
      </w:r>
    </w:p>
    <w:p w14:paraId="58303ABC" w14:textId="30D5DF6B" w:rsidR="00F80F00" w:rsidRPr="00336DDF" w:rsidRDefault="00692F64" w:rsidP="00B8082A">
      <w:pPr>
        <w:spacing w:after="0" w:line="276" w:lineRule="auto"/>
        <w:ind w:firstLine="567"/>
        <w:jc w:val="both"/>
        <w:rPr>
          <w:rFonts w:cs="Times New Roman"/>
          <w:szCs w:val="24"/>
        </w:rPr>
      </w:pPr>
      <w:r w:rsidRPr="00336DDF">
        <w:rPr>
          <w:rFonts w:cs="Times New Roman"/>
          <w:szCs w:val="24"/>
        </w:rPr>
        <w:t>Apstāklis, ka elektroniskās saziņas īstenošana nav tieši noregulēta, nenozīmē, ka tā nav pie</w:t>
      </w:r>
      <w:r w:rsidR="004863E2" w:rsidRPr="00336DDF">
        <w:rPr>
          <w:rFonts w:cs="Times New Roman"/>
          <w:szCs w:val="24"/>
        </w:rPr>
        <w:t>ļaujama</w:t>
      </w:r>
      <w:r w:rsidR="001854D1" w:rsidRPr="00336DDF">
        <w:rPr>
          <w:rFonts w:cs="Times New Roman"/>
          <w:szCs w:val="24"/>
        </w:rPr>
        <w:t>,</w:t>
      </w:r>
      <w:r w:rsidR="004863E2" w:rsidRPr="00336DDF">
        <w:rPr>
          <w:rFonts w:cs="Times New Roman"/>
          <w:szCs w:val="24"/>
        </w:rPr>
        <w:t xml:space="preserve"> jo</w:t>
      </w:r>
      <w:r w:rsidRPr="00336DDF">
        <w:rPr>
          <w:rFonts w:cs="Times New Roman"/>
          <w:szCs w:val="24"/>
        </w:rPr>
        <w:t xml:space="preserve"> </w:t>
      </w:r>
      <w:r w:rsidR="004863E2" w:rsidRPr="00336DDF">
        <w:rPr>
          <w:rFonts w:cs="Times New Roman"/>
          <w:szCs w:val="24"/>
        </w:rPr>
        <w:t>šādu aizliegumu</w:t>
      </w:r>
      <w:r w:rsidR="001854D1" w:rsidRPr="00336DDF">
        <w:rPr>
          <w:rFonts w:cs="Times New Roman"/>
          <w:szCs w:val="24"/>
        </w:rPr>
        <w:t xml:space="preserve"> normatīvais regulējums nepar</w:t>
      </w:r>
      <w:r w:rsidR="009C325D" w:rsidRPr="00336DDF">
        <w:rPr>
          <w:rFonts w:cs="Times New Roman"/>
          <w:szCs w:val="24"/>
        </w:rPr>
        <w:t>e</w:t>
      </w:r>
      <w:r w:rsidR="001854D1" w:rsidRPr="00336DDF">
        <w:rPr>
          <w:rFonts w:cs="Times New Roman"/>
          <w:szCs w:val="24"/>
        </w:rPr>
        <w:t>dz</w:t>
      </w:r>
      <w:r w:rsidR="004863E2" w:rsidRPr="00336DDF">
        <w:rPr>
          <w:rFonts w:cs="Times New Roman"/>
          <w:szCs w:val="24"/>
        </w:rPr>
        <w:t>.</w:t>
      </w:r>
      <w:r w:rsidR="00D7249C" w:rsidRPr="00336DDF">
        <w:rPr>
          <w:rFonts w:cs="Times New Roman"/>
          <w:szCs w:val="24"/>
        </w:rPr>
        <w:t xml:space="preserve"> Secinājums par pretējo</w:t>
      </w:r>
      <w:r w:rsidR="00B127A3" w:rsidRPr="00336DDF">
        <w:rPr>
          <w:rFonts w:cs="Times New Roman"/>
          <w:szCs w:val="24"/>
        </w:rPr>
        <w:t xml:space="preserve"> </w:t>
      </w:r>
      <w:r w:rsidR="00D7249C" w:rsidRPr="00336DDF">
        <w:rPr>
          <w:rFonts w:cs="Times New Roman"/>
          <w:szCs w:val="24"/>
        </w:rPr>
        <w:t>neatbilst</w:t>
      </w:r>
      <w:r w:rsidR="00B127A3" w:rsidRPr="00336DDF">
        <w:rPr>
          <w:rFonts w:cs="Times New Roman"/>
          <w:szCs w:val="24"/>
        </w:rPr>
        <w:t xml:space="preserve"> mūsdienu tehnoloģiskajiem apstāk</w:t>
      </w:r>
      <w:r w:rsidR="00110999" w:rsidRPr="00336DDF">
        <w:rPr>
          <w:rFonts w:cs="Times New Roman"/>
          <w:szCs w:val="24"/>
        </w:rPr>
        <w:t>ļiem</w:t>
      </w:r>
      <w:r w:rsidRPr="00336DDF">
        <w:rPr>
          <w:rFonts w:cs="Times New Roman"/>
          <w:szCs w:val="24"/>
        </w:rPr>
        <w:t xml:space="preserve">, </w:t>
      </w:r>
      <w:r w:rsidR="004863E2" w:rsidRPr="00336DDF">
        <w:rPr>
          <w:rFonts w:cs="Times New Roman"/>
          <w:szCs w:val="24"/>
        </w:rPr>
        <w:t>jo informācijas aprite biežāk notiek tieši elektronis</w:t>
      </w:r>
      <w:r w:rsidR="00070FA9" w:rsidRPr="00336DDF">
        <w:rPr>
          <w:rFonts w:cs="Times New Roman"/>
          <w:szCs w:val="24"/>
        </w:rPr>
        <w:t xml:space="preserve">ki. </w:t>
      </w:r>
      <w:r w:rsidR="009B6778" w:rsidRPr="00336DDF">
        <w:rPr>
          <w:rFonts w:cs="Times New Roman"/>
          <w:szCs w:val="24"/>
        </w:rPr>
        <w:t xml:space="preserve">Arī Komerclikuma </w:t>
      </w:r>
      <w:proofErr w:type="gramStart"/>
      <w:r w:rsidR="009B6778" w:rsidRPr="00336DDF">
        <w:rPr>
          <w:rFonts w:cs="Times New Roman"/>
          <w:szCs w:val="24"/>
        </w:rPr>
        <w:t>285.panta</w:t>
      </w:r>
      <w:proofErr w:type="gramEnd"/>
      <w:r w:rsidR="009B6778" w:rsidRPr="00336DDF">
        <w:rPr>
          <w:rFonts w:cs="Times New Roman"/>
          <w:szCs w:val="24"/>
        </w:rPr>
        <w:t xml:space="preserve"> ceturtā daļa neparedz īpašu kārtību, kādā sabiedrības dalībnieki pieprasa</w:t>
      </w:r>
      <w:r w:rsidR="001854D1" w:rsidRPr="00336DDF">
        <w:rPr>
          <w:rFonts w:cs="Times New Roman"/>
          <w:szCs w:val="24"/>
        </w:rPr>
        <w:t xml:space="preserve"> sabiedrības dalībnieku sapulces</w:t>
      </w:r>
      <w:r w:rsidR="009B6778" w:rsidRPr="00336DDF">
        <w:rPr>
          <w:rFonts w:cs="Times New Roman"/>
          <w:szCs w:val="24"/>
        </w:rPr>
        <w:t xml:space="preserve"> protokolu</w:t>
      </w:r>
      <w:r w:rsidR="001854D1" w:rsidRPr="00336DDF">
        <w:rPr>
          <w:rFonts w:cs="Times New Roman"/>
          <w:szCs w:val="24"/>
        </w:rPr>
        <w:t>. C</w:t>
      </w:r>
      <w:r w:rsidR="009B6778" w:rsidRPr="00336DDF">
        <w:rPr>
          <w:rFonts w:cs="Times New Roman"/>
          <w:szCs w:val="24"/>
        </w:rPr>
        <w:t>iviltiesībās raksturīgs</w:t>
      </w:r>
      <w:r w:rsidR="0008381C" w:rsidRPr="00336DDF">
        <w:rPr>
          <w:rFonts w:cs="Times New Roman"/>
          <w:szCs w:val="24"/>
        </w:rPr>
        <w:t xml:space="preserve"> ir</w:t>
      </w:r>
      <w:r w:rsidR="009B6778" w:rsidRPr="00336DDF">
        <w:rPr>
          <w:rFonts w:cs="Times New Roman"/>
          <w:szCs w:val="24"/>
        </w:rPr>
        <w:t xml:space="preserve"> princips, ka viss, kas nav aizliegts, ir atļauts. </w:t>
      </w:r>
    </w:p>
    <w:p w14:paraId="36685823" w14:textId="6962DF33" w:rsidR="0050629B" w:rsidRPr="00336DDF" w:rsidRDefault="0050629B" w:rsidP="00B8082A">
      <w:pPr>
        <w:spacing w:after="0" w:line="276" w:lineRule="auto"/>
        <w:ind w:firstLine="567"/>
        <w:jc w:val="both"/>
        <w:rPr>
          <w:rFonts w:cs="Times New Roman"/>
          <w:szCs w:val="24"/>
        </w:rPr>
      </w:pPr>
      <w:r w:rsidRPr="00336DDF">
        <w:rPr>
          <w:rFonts w:cs="Times New Roman"/>
          <w:szCs w:val="24"/>
        </w:rPr>
        <w:t>Iev</w:t>
      </w:r>
      <w:r w:rsidR="00070FA9" w:rsidRPr="00336DDF">
        <w:rPr>
          <w:rFonts w:cs="Times New Roman"/>
          <w:szCs w:val="24"/>
        </w:rPr>
        <w:t>ērojot minēto, elektroniska saziņa ar komersantu ir pieļaujama</w:t>
      </w:r>
      <w:r w:rsidR="0048688E" w:rsidRPr="00336DDF">
        <w:rPr>
          <w:rFonts w:cs="Times New Roman"/>
          <w:szCs w:val="24"/>
        </w:rPr>
        <w:t>, neatkarīgi no tā, vai starp pusēm ir noslēgta vienošanās</w:t>
      </w:r>
      <w:r w:rsidRPr="00336DDF">
        <w:rPr>
          <w:rFonts w:cs="Times New Roman"/>
          <w:szCs w:val="24"/>
        </w:rPr>
        <w:t xml:space="preserve">. </w:t>
      </w:r>
      <w:r w:rsidR="0048688E" w:rsidRPr="00336DDF">
        <w:rPr>
          <w:rFonts w:cs="Times New Roman"/>
          <w:szCs w:val="24"/>
        </w:rPr>
        <w:t>Vienošanās neesība nevar būt patstāvīgs pamats, lai atzītu, ka adresāts elektronisko sūtījumu nav saņēmis.</w:t>
      </w:r>
    </w:p>
    <w:p w14:paraId="6E3D75AF" w14:textId="5AAE5F34" w:rsidR="00F80F00" w:rsidRPr="00336DDF" w:rsidRDefault="00F80F00" w:rsidP="00B8082A">
      <w:pPr>
        <w:spacing w:after="0" w:line="276" w:lineRule="auto"/>
        <w:ind w:firstLine="567"/>
        <w:jc w:val="both"/>
        <w:rPr>
          <w:rFonts w:cs="Times New Roman"/>
          <w:szCs w:val="24"/>
        </w:rPr>
      </w:pPr>
      <w:r w:rsidRPr="00336DDF">
        <w:rPr>
          <w:rFonts w:cs="Times New Roman"/>
          <w:szCs w:val="24"/>
        </w:rPr>
        <w:t>[</w:t>
      </w:r>
      <w:r w:rsidR="00D7249C" w:rsidRPr="00336DDF">
        <w:rPr>
          <w:rFonts w:cs="Times New Roman"/>
          <w:szCs w:val="24"/>
        </w:rPr>
        <w:t>2.2</w:t>
      </w:r>
      <w:r w:rsidRPr="00336DDF">
        <w:rPr>
          <w:rFonts w:cs="Times New Roman"/>
          <w:szCs w:val="24"/>
        </w:rPr>
        <w:t>] </w:t>
      </w:r>
      <w:r w:rsidR="00AC68D0" w:rsidRPr="00336DDF">
        <w:rPr>
          <w:rFonts w:cs="Times New Roman"/>
          <w:szCs w:val="24"/>
        </w:rPr>
        <w:t>Konkrētajā gadījumā jākonstatē vienīgi pieprasījuma nonākšana atbildētājas varas sfēr</w:t>
      </w:r>
      <w:r w:rsidR="00F90193" w:rsidRPr="00336DDF">
        <w:rPr>
          <w:rFonts w:cs="Times New Roman"/>
          <w:szCs w:val="24"/>
        </w:rPr>
        <w:t xml:space="preserve">ā, līdz ar to </w:t>
      </w:r>
      <w:r w:rsidR="00110999" w:rsidRPr="00336DDF">
        <w:rPr>
          <w:rFonts w:cs="Times New Roman"/>
          <w:szCs w:val="24"/>
        </w:rPr>
        <w:t xml:space="preserve">būtiski ņemt vērā </w:t>
      </w:r>
      <w:r w:rsidR="00070FA9" w:rsidRPr="00336DDF">
        <w:rPr>
          <w:rFonts w:cs="Times New Roman"/>
          <w:szCs w:val="24"/>
        </w:rPr>
        <w:t xml:space="preserve">Senāta </w:t>
      </w:r>
      <w:proofErr w:type="gramStart"/>
      <w:r w:rsidR="00070FA9" w:rsidRPr="00336DDF">
        <w:rPr>
          <w:rFonts w:cs="Times New Roman"/>
          <w:szCs w:val="24"/>
        </w:rPr>
        <w:t>2019.gada</w:t>
      </w:r>
      <w:proofErr w:type="gramEnd"/>
      <w:r w:rsidR="00070FA9" w:rsidRPr="00336DDF">
        <w:rPr>
          <w:rFonts w:cs="Times New Roman"/>
          <w:szCs w:val="24"/>
        </w:rPr>
        <w:t xml:space="preserve"> 22.marta spriedumā lietā Nr. SKC</w:t>
      </w:r>
      <w:r w:rsidR="00070FA9" w:rsidRPr="00336DDF">
        <w:rPr>
          <w:rFonts w:cs="Times New Roman"/>
          <w:szCs w:val="24"/>
        </w:rPr>
        <w:noBreakHyphen/>
        <w:t>115/2019</w:t>
      </w:r>
      <w:r w:rsidR="00110999" w:rsidRPr="00336DDF">
        <w:rPr>
          <w:rFonts w:cs="Times New Roman"/>
          <w:szCs w:val="24"/>
        </w:rPr>
        <w:t xml:space="preserve"> atziņas</w:t>
      </w:r>
      <w:r w:rsidR="00070FA9" w:rsidRPr="00336DDF">
        <w:rPr>
          <w:rFonts w:cs="Times New Roman"/>
          <w:szCs w:val="24"/>
        </w:rPr>
        <w:t xml:space="preserve"> par</w:t>
      </w:r>
      <w:r w:rsidR="00F90193" w:rsidRPr="00336DDF">
        <w:rPr>
          <w:rFonts w:cs="Times New Roman"/>
          <w:szCs w:val="24"/>
        </w:rPr>
        <w:t xml:space="preserve"> elek</w:t>
      </w:r>
      <w:r w:rsidR="00070FA9" w:rsidRPr="00336DDF">
        <w:rPr>
          <w:rFonts w:cs="Times New Roman"/>
          <w:szCs w:val="24"/>
        </w:rPr>
        <w:t xml:space="preserve">troniskā pasta saņemšanu. </w:t>
      </w:r>
    </w:p>
    <w:p w14:paraId="7873AF91" w14:textId="77777777" w:rsidR="004863E2" w:rsidRPr="00336DDF" w:rsidRDefault="00D7249C" w:rsidP="00B8082A">
      <w:pPr>
        <w:spacing w:after="0" w:line="276" w:lineRule="auto"/>
        <w:ind w:firstLine="567"/>
        <w:jc w:val="both"/>
        <w:rPr>
          <w:rFonts w:cs="Times New Roman"/>
          <w:szCs w:val="24"/>
        </w:rPr>
      </w:pPr>
      <w:r w:rsidRPr="00336DDF">
        <w:rPr>
          <w:rFonts w:cs="Times New Roman"/>
          <w:szCs w:val="24"/>
        </w:rPr>
        <w:t xml:space="preserve">Civillikuma </w:t>
      </w:r>
      <w:proofErr w:type="gramStart"/>
      <w:r w:rsidRPr="00336DDF">
        <w:rPr>
          <w:rFonts w:cs="Times New Roman"/>
          <w:szCs w:val="24"/>
        </w:rPr>
        <w:t>1432.panta</w:t>
      </w:r>
      <w:proofErr w:type="gramEnd"/>
      <w:r w:rsidRPr="00336DDF">
        <w:rPr>
          <w:rFonts w:cs="Times New Roman"/>
          <w:szCs w:val="24"/>
        </w:rPr>
        <w:t xml:space="preserve"> izpratnē e</w:t>
      </w:r>
      <w:r w:rsidR="00B127A3" w:rsidRPr="00336DDF">
        <w:rPr>
          <w:rFonts w:cs="Times New Roman"/>
          <w:szCs w:val="24"/>
        </w:rPr>
        <w:t>lektroniskās pasta adreses ievietošana uzņēmuma oficiālajā mājaslapā</w:t>
      </w:r>
      <w:r w:rsidRPr="00336DDF">
        <w:rPr>
          <w:rFonts w:cs="Times New Roman"/>
          <w:szCs w:val="24"/>
        </w:rPr>
        <w:t>, neparedzot nevienu atrunu par tās izmantošanas ierobežojumiem,</w:t>
      </w:r>
      <w:r w:rsidR="00B127A3" w:rsidRPr="00336DDF">
        <w:rPr>
          <w:rFonts w:cs="Times New Roman"/>
          <w:szCs w:val="24"/>
        </w:rPr>
        <w:t xml:space="preserve"> ir uzskatāma par nepārprotamu piekrišanu to izmantot </w:t>
      </w:r>
      <w:r w:rsidR="0050629B" w:rsidRPr="00336DDF">
        <w:rPr>
          <w:rFonts w:cs="Times New Roman"/>
          <w:szCs w:val="24"/>
        </w:rPr>
        <w:t>saziņai ar jebkuru personu</w:t>
      </w:r>
      <w:r w:rsidRPr="00336DDF">
        <w:rPr>
          <w:rFonts w:cs="Times New Roman"/>
          <w:szCs w:val="24"/>
        </w:rPr>
        <w:t xml:space="preserve">. Šāda akcepta atsaukšanas pamats nevar būt </w:t>
      </w:r>
      <w:r w:rsidR="00B127A3" w:rsidRPr="00336DDF">
        <w:rPr>
          <w:rFonts w:cs="Times New Roman"/>
          <w:szCs w:val="24"/>
        </w:rPr>
        <w:t>nevēlē</w:t>
      </w:r>
      <w:r w:rsidRPr="00336DDF">
        <w:rPr>
          <w:rFonts w:cs="Times New Roman"/>
          <w:szCs w:val="24"/>
        </w:rPr>
        <w:t>šanā</w:t>
      </w:r>
      <w:r w:rsidR="00B127A3" w:rsidRPr="00336DDF">
        <w:rPr>
          <w:rFonts w:cs="Times New Roman"/>
          <w:szCs w:val="24"/>
        </w:rPr>
        <w:t>s saņemt dalībnieku sūtī</w:t>
      </w:r>
      <w:r w:rsidRPr="00336DDF">
        <w:rPr>
          <w:rFonts w:cs="Times New Roman"/>
          <w:szCs w:val="24"/>
        </w:rPr>
        <w:t xml:space="preserve">jumus, </w:t>
      </w:r>
      <w:r w:rsidR="00692F64" w:rsidRPr="00336DDF">
        <w:rPr>
          <w:rFonts w:cs="Times New Roman"/>
          <w:szCs w:val="24"/>
        </w:rPr>
        <w:t xml:space="preserve">jo tas apdraud tiesisko stabilitāti un pieļauj subjektīvo tiesību īstenošanu pretēji labas ticības principam, </w:t>
      </w:r>
      <w:r w:rsidRPr="00336DDF">
        <w:rPr>
          <w:rFonts w:cs="Times New Roman"/>
          <w:szCs w:val="24"/>
        </w:rPr>
        <w:t xml:space="preserve"> </w:t>
      </w:r>
      <w:r w:rsidR="00692F64" w:rsidRPr="00336DDF">
        <w:rPr>
          <w:rFonts w:cs="Times New Roman"/>
          <w:szCs w:val="24"/>
        </w:rPr>
        <w:t xml:space="preserve">komersantam </w:t>
      </w:r>
      <w:r w:rsidR="00110999" w:rsidRPr="00336DDF">
        <w:rPr>
          <w:rFonts w:cs="Times New Roman"/>
          <w:szCs w:val="24"/>
        </w:rPr>
        <w:t xml:space="preserve">patvaļīgi </w:t>
      </w:r>
      <w:r w:rsidRPr="00336DDF">
        <w:rPr>
          <w:rFonts w:cs="Times New Roman"/>
          <w:szCs w:val="24"/>
        </w:rPr>
        <w:t>izvēl</w:t>
      </w:r>
      <w:r w:rsidR="00110999" w:rsidRPr="00336DDF">
        <w:rPr>
          <w:rFonts w:cs="Times New Roman"/>
          <w:szCs w:val="24"/>
        </w:rPr>
        <w:t>oties</w:t>
      </w:r>
      <w:r w:rsidRPr="00336DDF">
        <w:rPr>
          <w:rFonts w:cs="Times New Roman"/>
          <w:szCs w:val="24"/>
        </w:rPr>
        <w:t>, kuru sūtījumu saņemšana tam nav izdevīga.</w:t>
      </w:r>
    </w:p>
    <w:p w14:paraId="5521119C" w14:textId="71DA3FEC" w:rsidR="00B127A3" w:rsidRPr="00336DDF" w:rsidRDefault="00CC7B42" w:rsidP="00B8082A">
      <w:pPr>
        <w:spacing w:after="0" w:line="276" w:lineRule="auto"/>
        <w:ind w:firstLine="567"/>
        <w:jc w:val="both"/>
        <w:rPr>
          <w:rFonts w:cs="Times New Roman"/>
          <w:szCs w:val="24"/>
        </w:rPr>
      </w:pPr>
      <w:r w:rsidRPr="00336DDF">
        <w:rPr>
          <w:rFonts w:cs="Times New Roman"/>
          <w:szCs w:val="24"/>
        </w:rPr>
        <w:t>Šāds</w:t>
      </w:r>
      <w:r w:rsidR="004863E2" w:rsidRPr="00336DDF">
        <w:rPr>
          <w:rFonts w:cs="Times New Roman"/>
          <w:szCs w:val="24"/>
        </w:rPr>
        <w:t xml:space="preserve"> apgabaltiesas spriedums veicina </w:t>
      </w:r>
      <w:r w:rsidRPr="00336DDF">
        <w:rPr>
          <w:rFonts w:cs="Times New Roman"/>
          <w:szCs w:val="24"/>
        </w:rPr>
        <w:t xml:space="preserve">tiesisko </w:t>
      </w:r>
      <w:r w:rsidR="004863E2" w:rsidRPr="00336DDF">
        <w:rPr>
          <w:rFonts w:cs="Times New Roman"/>
          <w:szCs w:val="24"/>
        </w:rPr>
        <w:t>nenoteiktību</w:t>
      </w:r>
      <w:r w:rsidRPr="00336DDF">
        <w:rPr>
          <w:rFonts w:cs="Times New Roman"/>
          <w:szCs w:val="24"/>
        </w:rPr>
        <w:t xml:space="preserve"> un </w:t>
      </w:r>
      <w:proofErr w:type="spellStart"/>
      <w:r w:rsidRPr="00336DDF">
        <w:rPr>
          <w:rFonts w:cs="Times New Roman"/>
          <w:szCs w:val="24"/>
        </w:rPr>
        <w:t>negodprātību</w:t>
      </w:r>
      <w:proofErr w:type="spellEnd"/>
      <w:r w:rsidRPr="00336DDF">
        <w:rPr>
          <w:rFonts w:cs="Times New Roman"/>
          <w:szCs w:val="24"/>
        </w:rPr>
        <w:t>.</w:t>
      </w:r>
    </w:p>
    <w:p w14:paraId="1DE5FDE5" w14:textId="77777777" w:rsidR="0048688E" w:rsidRPr="00336DDF" w:rsidRDefault="0048688E" w:rsidP="00B8082A">
      <w:pPr>
        <w:spacing w:after="0" w:line="276" w:lineRule="auto"/>
        <w:jc w:val="center"/>
        <w:rPr>
          <w:rFonts w:cs="Times New Roman"/>
          <w:b/>
          <w:szCs w:val="24"/>
        </w:rPr>
      </w:pPr>
    </w:p>
    <w:p w14:paraId="07D81130" w14:textId="111997EC" w:rsidR="00B10CFE" w:rsidRPr="00336DDF" w:rsidRDefault="00B10CFE" w:rsidP="00B8082A">
      <w:pPr>
        <w:spacing w:after="0" w:line="276" w:lineRule="auto"/>
        <w:jc w:val="center"/>
        <w:rPr>
          <w:rFonts w:cs="Times New Roman"/>
          <w:b/>
          <w:szCs w:val="24"/>
        </w:rPr>
      </w:pPr>
      <w:r w:rsidRPr="00336DDF">
        <w:rPr>
          <w:rFonts w:cs="Times New Roman"/>
          <w:b/>
          <w:szCs w:val="24"/>
        </w:rPr>
        <w:t>Motīvu daļa</w:t>
      </w:r>
    </w:p>
    <w:p w14:paraId="2CAD96AF" w14:textId="77777777" w:rsidR="00B10CFE" w:rsidRPr="00336DDF" w:rsidRDefault="00B10CFE" w:rsidP="00B8082A">
      <w:pPr>
        <w:spacing w:after="0" w:line="276" w:lineRule="auto"/>
        <w:jc w:val="center"/>
        <w:rPr>
          <w:rFonts w:cs="Times New Roman"/>
          <w:b/>
          <w:szCs w:val="24"/>
        </w:rPr>
      </w:pPr>
    </w:p>
    <w:p w14:paraId="54B790F6" w14:textId="58DDB589" w:rsidR="00C21D88" w:rsidRPr="00336DDF" w:rsidRDefault="00B10CFE" w:rsidP="00B8082A">
      <w:pPr>
        <w:spacing w:after="0" w:line="276" w:lineRule="auto"/>
        <w:ind w:firstLine="567"/>
        <w:jc w:val="both"/>
        <w:rPr>
          <w:rFonts w:cs="Times New Roman"/>
          <w:szCs w:val="24"/>
        </w:rPr>
      </w:pPr>
      <w:r w:rsidRPr="00336DDF">
        <w:rPr>
          <w:rFonts w:cs="Times New Roman"/>
          <w:szCs w:val="24"/>
        </w:rPr>
        <w:t>[</w:t>
      </w:r>
      <w:r w:rsidR="007673D2" w:rsidRPr="00336DDF">
        <w:rPr>
          <w:rFonts w:cs="Times New Roman"/>
          <w:szCs w:val="24"/>
        </w:rPr>
        <w:t>3</w:t>
      </w:r>
      <w:r w:rsidR="005A64DF" w:rsidRPr="00336DDF">
        <w:rPr>
          <w:rFonts w:cs="Times New Roman"/>
          <w:szCs w:val="24"/>
        </w:rPr>
        <w:t xml:space="preserve">] Pārbaudījis sprieduma likumību attiecībā uz personu, kura to pārsūdzējusi, un attiecībā uz argumentiem, kas minēti </w:t>
      </w:r>
      <w:r w:rsidR="00D838B2" w:rsidRPr="00336DDF">
        <w:rPr>
          <w:rFonts w:cs="Times New Roman"/>
          <w:szCs w:val="24"/>
        </w:rPr>
        <w:t>pret</w:t>
      </w:r>
      <w:r w:rsidR="005A64DF" w:rsidRPr="00336DDF">
        <w:rPr>
          <w:rFonts w:cs="Times New Roman"/>
          <w:szCs w:val="24"/>
        </w:rPr>
        <w:t xml:space="preserve">sūdzībā, kā to nosaka Civilprocesa likuma </w:t>
      </w:r>
      <w:proofErr w:type="gramStart"/>
      <w:r w:rsidR="005A64DF" w:rsidRPr="00336DDF">
        <w:rPr>
          <w:rFonts w:cs="Times New Roman"/>
          <w:szCs w:val="24"/>
        </w:rPr>
        <w:t>473.panta</w:t>
      </w:r>
      <w:proofErr w:type="gramEnd"/>
      <w:r w:rsidR="005A64DF" w:rsidRPr="00336DDF">
        <w:rPr>
          <w:rFonts w:cs="Times New Roman"/>
          <w:szCs w:val="24"/>
        </w:rPr>
        <w:t xml:space="preserve"> pirmā daļa, Senāts atzīst, ka spriedums </w:t>
      </w:r>
      <w:r w:rsidRPr="00336DDF">
        <w:rPr>
          <w:rFonts w:cs="Times New Roman"/>
          <w:szCs w:val="24"/>
        </w:rPr>
        <w:t xml:space="preserve">daļā par </w:t>
      </w:r>
      <w:r w:rsidR="004863E2" w:rsidRPr="00336DDF">
        <w:rPr>
          <w:rFonts w:cs="Times New Roman"/>
          <w:szCs w:val="24"/>
        </w:rPr>
        <w:t xml:space="preserve">tiesāšanās izdevumiem </w:t>
      </w:r>
      <w:r w:rsidRPr="00336DDF">
        <w:rPr>
          <w:rFonts w:cs="Times New Roman"/>
          <w:szCs w:val="24"/>
        </w:rPr>
        <w:t xml:space="preserve">ir </w:t>
      </w:r>
      <w:r w:rsidR="005A64DF" w:rsidRPr="00336DDF">
        <w:rPr>
          <w:rFonts w:cs="Times New Roman"/>
          <w:szCs w:val="24"/>
        </w:rPr>
        <w:t>atceļams.</w:t>
      </w:r>
    </w:p>
    <w:p w14:paraId="56C9CD68" w14:textId="77777777" w:rsidR="00C21D88" w:rsidRPr="00336DDF" w:rsidRDefault="00C21D88" w:rsidP="00B8082A">
      <w:pPr>
        <w:spacing w:after="0" w:line="276" w:lineRule="auto"/>
        <w:ind w:firstLine="567"/>
        <w:jc w:val="both"/>
        <w:rPr>
          <w:rFonts w:cs="Times New Roman"/>
          <w:szCs w:val="24"/>
        </w:rPr>
      </w:pPr>
    </w:p>
    <w:p w14:paraId="74D9670A" w14:textId="6CC163F0" w:rsidR="00F8031C" w:rsidRPr="00336DDF" w:rsidRDefault="00B10CFE" w:rsidP="00B8082A">
      <w:pPr>
        <w:spacing w:after="0" w:line="276" w:lineRule="auto"/>
        <w:ind w:firstLine="567"/>
        <w:jc w:val="both"/>
        <w:rPr>
          <w:rFonts w:cs="Times New Roman"/>
          <w:szCs w:val="24"/>
        </w:rPr>
      </w:pPr>
      <w:r w:rsidRPr="00336DDF">
        <w:rPr>
          <w:rFonts w:cs="Times New Roman"/>
          <w:szCs w:val="24"/>
        </w:rPr>
        <w:t>[</w:t>
      </w:r>
      <w:r w:rsidR="007673D2" w:rsidRPr="00336DDF">
        <w:rPr>
          <w:rFonts w:cs="Times New Roman"/>
          <w:szCs w:val="24"/>
        </w:rPr>
        <w:t>4</w:t>
      </w:r>
      <w:r w:rsidR="005A64DF" w:rsidRPr="00336DDF">
        <w:rPr>
          <w:rFonts w:cs="Times New Roman"/>
          <w:szCs w:val="24"/>
        </w:rPr>
        <w:t>]</w:t>
      </w:r>
      <w:r w:rsidR="00C21D88" w:rsidRPr="00336DDF">
        <w:rPr>
          <w:rFonts w:cs="Times New Roman"/>
          <w:szCs w:val="24"/>
        </w:rPr>
        <w:t> </w:t>
      </w:r>
      <w:r w:rsidR="00F8031C" w:rsidRPr="00336DDF">
        <w:rPr>
          <w:rFonts w:cs="Times New Roman"/>
          <w:szCs w:val="24"/>
        </w:rPr>
        <w:t>Pretsūdzībā pamatoti norādīts, ka korespondences nosūtīšana uz juridisko adresi nav vienīgais pieļaujamais saziņas veids ar komercsabiedrību.</w:t>
      </w:r>
    </w:p>
    <w:p w14:paraId="5C85C9A7" w14:textId="77777777" w:rsidR="0011763D" w:rsidRPr="00336DDF" w:rsidRDefault="00F8031C" w:rsidP="00B8082A">
      <w:pPr>
        <w:spacing w:after="0" w:line="276" w:lineRule="auto"/>
        <w:ind w:firstLine="567"/>
        <w:jc w:val="both"/>
        <w:rPr>
          <w:rFonts w:cs="Times New Roman"/>
          <w:szCs w:val="24"/>
        </w:rPr>
      </w:pPr>
      <w:r w:rsidRPr="00336DDF">
        <w:rPr>
          <w:rFonts w:cs="Times New Roman"/>
          <w:szCs w:val="24"/>
        </w:rPr>
        <w:lastRenderedPageBreak/>
        <w:t xml:space="preserve">Komerclikuma </w:t>
      </w:r>
      <w:proofErr w:type="gramStart"/>
      <w:r w:rsidRPr="00336DDF">
        <w:rPr>
          <w:rFonts w:cs="Times New Roman"/>
          <w:szCs w:val="24"/>
        </w:rPr>
        <w:t>12.panta</w:t>
      </w:r>
      <w:proofErr w:type="gramEnd"/>
      <w:r w:rsidRPr="00336DDF">
        <w:rPr>
          <w:rFonts w:cs="Times New Roman"/>
          <w:szCs w:val="24"/>
        </w:rPr>
        <w:t xml:space="preserve"> ceturtā daļa paredz:</w:t>
      </w:r>
      <w:r w:rsidRPr="00336DDF">
        <w:rPr>
          <w:rFonts w:cs="Times New Roman"/>
          <w:szCs w:val="24"/>
          <w:shd w:val="clear" w:color="auto" w:fill="FFFFFF"/>
        </w:rPr>
        <w:t xml:space="preserve"> </w:t>
      </w:r>
      <w:r w:rsidRPr="00336DDF">
        <w:rPr>
          <w:rFonts w:cs="Times New Roman"/>
          <w:szCs w:val="24"/>
        </w:rPr>
        <w:t>,,</w:t>
      </w:r>
      <w:r w:rsidRPr="00336DDF">
        <w:rPr>
          <w:rFonts w:cs="Times New Roman"/>
          <w:szCs w:val="24"/>
          <w:shd w:val="clear" w:color="auto" w:fill="FFFFFF"/>
        </w:rPr>
        <w:t>Ja komersantam tiek nosūtītas ziņas, dokumenti vai cita korespondence uz komercreģistrā ierakstīto tā juridisko adresi, uzskatāms, ka komersants šos dokumentus, ziņas vai citu korespondenci ir saņēmis, ja nosūtītājs dokumentāri pierādījis, ka šāda nosūtīšana ir veikta”.</w:t>
      </w:r>
      <w:r w:rsidRPr="00336DDF">
        <w:rPr>
          <w:rFonts w:cs="Times New Roman"/>
          <w:szCs w:val="24"/>
        </w:rPr>
        <w:t xml:space="preserve"> </w:t>
      </w:r>
    </w:p>
    <w:p w14:paraId="00D60126" w14:textId="57421C4C" w:rsidR="00834CAC" w:rsidRPr="00336DDF" w:rsidRDefault="0011763D" w:rsidP="00B8082A">
      <w:pPr>
        <w:spacing w:after="0" w:line="276" w:lineRule="auto"/>
        <w:ind w:firstLine="567"/>
        <w:jc w:val="both"/>
        <w:rPr>
          <w:rFonts w:cs="Times New Roman"/>
          <w:szCs w:val="24"/>
        </w:rPr>
      </w:pPr>
      <w:r w:rsidRPr="00336DDF">
        <w:rPr>
          <w:rFonts w:cs="Times New Roman"/>
          <w:szCs w:val="24"/>
        </w:rPr>
        <w:t xml:space="preserve">Minētajā normas mērķis ir nodrošināt </w:t>
      </w:r>
      <w:r w:rsidR="002E0756" w:rsidRPr="00336DDF">
        <w:rPr>
          <w:rFonts w:cs="Times New Roman"/>
          <w:szCs w:val="24"/>
        </w:rPr>
        <w:t xml:space="preserve">tieši </w:t>
      </w:r>
      <w:r w:rsidRPr="00336DDF">
        <w:rPr>
          <w:rFonts w:cs="Times New Roman"/>
          <w:szCs w:val="24"/>
        </w:rPr>
        <w:t>kreditora</w:t>
      </w:r>
      <w:r w:rsidR="002E0756" w:rsidRPr="00336DDF">
        <w:rPr>
          <w:rFonts w:cs="Times New Roman"/>
          <w:szCs w:val="24"/>
        </w:rPr>
        <w:t xml:space="preserve"> (trešās personas)</w:t>
      </w:r>
      <w:r w:rsidRPr="00336DDF">
        <w:rPr>
          <w:rFonts w:cs="Times New Roman"/>
          <w:szCs w:val="24"/>
        </w:rPr>
        <w:t xml:space="preserve"> intereses, liedzot komersantam atsaukties uz korespondences nesaņemšanas faktu gadījumā, kad tā nosūtīta uz paša komersanta reģistrēto juridisko adresi. </w:t>
      </w:r>
      <w:r w:rsidR="008D3A38" w:rsidRPr="00336DDF">
        <w:rPr>
          <w:rFonts w:cs="Times New Roman"/>
          <w:szCs w:val="24"/>
        </w:rPr>
        <w:t>Š</w:t>
      </w:r>
      <w:r w:rsidR="009C5A8A" w:rsidRPr="00336DDF">
        <w:rPr>
          <w:rFonts w:cs="Times New Roman"/>
          <w:szCs w:val="24"/>
        </w:rPr>
        <w:t>ī norma</w:t>
      </w:r>
      <w:r w:rsidR="008D3A38" w:rsidRPr="00336DDF">
        <w:rPr>
          <w:rFonts w:cs="Times New Roman"/>
          <w:szCs w:val="24"/>
        </w:rPr>
        <w:t>, pretēji tiesas sniegtajam tulkojumam</w:t>
      </w:r>
      <w:r w:rsidR="00136170" w:rsidRPr="00336DDF">
        <w:rPr>
          <w:rFonts w:cs="Times New Roman"/>
          <w:szCs w:val="24"/>
        </w:rPr>
        <w:t>,</w:t>
      </w:r>
      <w:r w:rsidR="009C5A8A" w:rsidRPr="00336DDF">
        <w:rPr>
          <w:rFonts w:cs="Times New Roman"/>
          <w:szCs w:val="24"/>
        </w:rPr>
        <w:t xml:space="preserve"> nenodrošina komersantam iespēju atsaukties uz korespondences nesaņemšanas faktu gadījumā, ja </w:t>
      </w:r>
      <w:r w:rsidR="009C5A8A" w:rsidRPr="00336DDF">
        <w:rPr>
          <w:rFonts w:cs="Times New Roman"/>
          <w:szCs w:val="24"/>
          <w:shd w:val="clear" w:color="auto" w:fill="FFFFFF"/>
        </w:rPr>
        <w:t xml:space="preserve">komersants </w:t>
      </w:r>
      <w:r w:rsidR="00770BC4" w:rsidRPr="00336DDF">
        <w:rPr>
          <w:rFonts w:cs="Times New Roman"/>
          <w:szCs w:val="24"/>
          <w:shd w:val="clear" w:color="auto" w:fill="FFFFFF"/>
        </w:rPr>
        <w:t>to saņēmis citā</w:t>
      </w:r>
      <w:r w:rsidR="008D3A38" w:rsidRPr="00336DDF">
        <w:rPr>
          <w:rFonts w:cs="Times New Roman"/>
          <w:szCs w:val="24"/>
          <w:shd w:val="clear" w:color="auto" w:fill="FFFFFF"/>
        </w:rPr>
        <w:t xml:space="preserve"> pieļaujamā un pieradāmā saziņas veidā</w:t>
      </w:r>
      <w:r w:rsidR="00333225" w:rsidRPr="00336DDF">
        <w:rPr>
          <w:rFonts w:cs="Times New Roman"/>
          <w:szCs w:val="24"/>
          <w:shd w:val="clear" w:color="auto" w:fill="FFFFFF"/>
        </w:rPr>
        <w:t>, tāpēc tā neierobežo</w:t>
      </w:r>
      <w:r w:rsidR="002E0756" w:rsidRPr="00336DDF">
        <w:rPr>
          <w:rFonts w:cs="Times New Roman"/>
          <w:szCs w:val="24"/>
        </w:rPr>
        <w:t xml:space="preserve"> kreditora </w:t>
      </w:r>
      <w:r w:rsidR="00677FB4" w:rsidRPr="00336DDF">
        <w:rPr>
          <w:rFonts w:cs="Times New Roman"/>
          <w:szCs w:val="24"/>
        </w:rPr>
        <w:t>tiesības</w:t>
      </w:r>
      <w:r w:rsidR="002E0756" w:rsidRPr="00336DDF">
        <w:rPr>
          <w:rFonts w:cs="Times New Roman"/>
          <w:szCs w:val="24"/>
        </w:rPr>
        <w:t xml:space="preserve"> īstenot saziņu ar komersantu </w:t>
      </w:r>
      <w:r w:rsidR="00715918" w:rsidRPr="00336DDF">
        <w:rPr>
          <w:rFonts w:cs="Times New Roman"/>
          <w:szCs w:val="24"/>
        </w:rPr>
        <w:t xml:space="preserve">arī </w:t>
      </w:r>
      <w:r w:rsidR="00834CAC" w:rsidRPr="00336DDF">
        <w:rPr>
          <w:rFonts w:cs="Times New Roman"/>
          <w:szCs w:val="24"/>
        </w:rPr>
        <w:t xml:space="preserve">elektroniskā </w:t>
      </w:r>
      <w:r w:rsidR="002E0756" w:rsidRPr="00336DDF">
        <w:rPr>
          <w:rFonts w:cs="Times New Roman"/>
          <w:szCs w:val="24"/>
        </w:rPr>
        <w:t>formā</w:t>
      </w:r>
      <w:r w:rsidR="00834CAC" w:rsidRPr="00336DDF">
        <w:rPr>
          <w:rFonts w:cs="Times New Roman"/>
          <w:szCs w:val="24"/>
        </w:rPr>
        <w:t>.</w:t>
      </w:r>
    </w:p>
    <w:p w14:paraId="18E061BC" w14:textId="3F2F465F" w:rsidR="00F649CB" w:rsidRPr="00336DDF" w:rsidRDefault="00780DF2" w:rsidP="00B8082A">
      <w:pPr>
        <w:spacing w:after="0" w:line="276" w:lineRule="auto"/>
        <w:ind w:firstLine="567"/>
        <w:jc w:val="both"/>
        <w:rPr>
          <w:rFonts w:cs="Times New Roman"/>
          <w:szCs w:val="24"/>
        </w:rPr>
      </w:pPr>
      <w:r w:rsidRPr="00336DDF">
        <w:rPr>
          <w:rFonts w:cs="Times New Roman"/>
          <w:szCs w:val="24"/>
        </w:rPr>
        <w:t>Lietā nodibināts, ka prasītāj</w:t>
      </w:r>
      <w:r w:rsidR="003316C7" w:rsidRPr="00336DDF">
        <w:rPr>
          <w:rFonts w:cs="Times New Roman"/>
          <w:szCs w:val="24"/>
        </w:rPr>
        <w:t>a</w:t>
      </w:r>
      <w:r w:rsidRPr="00336DDF">
        <w:rPr>
          <w:rFonts w:cs="Times New Roman"/>
          <w:szCs w:val="24"/>
        </w:rPr>
        <w:t xml:space="preserve"> informācijas pieprasījumu par dalībnieku sapulci nosūtīja uz </w:t>
      </w:r>
      <w:r w:rsidR="00B7094A" w:rsidRPr="00336DDF">
        <w:rPr>
          <w:rFonts w:cs="Times New Roman"/>
          <w:szCs w:val="24"/>
        </w:rPr>
        <w:t>atbildētājas</w:t>
      </w:r>
      <w:r w:rsidRPr="00336DDF">
        <w:rPr>
          <w:rFonts w:cs="Times New Roman"/>
          <w:szCs w:val="24"/>
        </w:rPr>
        <w:t xml:space="preserve"> mājaslapā </w:t>
      </w:r>
      <w:r w:rsidR="003316C7" w:rsidRPr="00336DDF">
        <w:rPr>
          <w:rFonts w:cs="Times New Roman"/>
          <w:szCs w:val="24"/>
        </w:rPr>
        <w:t>publiskoto</w:t>
      </w:r>
      <w:r w:rsidRPr="00336DDF">
        <w:rPr>
          <w:rFonts w:cs="Times New Roman"/>
          <w:szCs w:val="24"/>
        </w:rPr>
        <w:t xml:space="preserve"> un </w:t>
      </w:r>
      <w:r w:rsidR="00B7094A" w:rsidRPr="00336DDF">
        <w:rPr>
          <w:rFonts w:cs="Times New Roman"/>
          <w:szCs w:val="24"/>
        </w:rPr>
        <w:t>saziņai ar tiesu izmantoto atbildētājas elektroniskā pasta adresi</w:t>
      </w:r>
      <w:r w:rsidR="004C66A1" w:rsidRPr="00336DDF">
        <w:rPr>
          <w:rFonts w:cs="Times New Roman"/>
          <w:szCs w:val="24"/>
        </w:rPr>
        <w:t>.</w:t>
      </w:r>
    </w:p>
    <w:p w14:paraId="3EEC188E" w14:textId="77777777" w:rsidR="004C66A1" w:rsidRPr="00336DDF" w:rsidRDefault="004C66A1" w:rsidP="00B8082A">
      <w:pPr>
        <w:spacing w:after="0" w:line="276" w:lineRule="auto"/>
        <w:ind w:firstLine="567"/>
        <w:jc w:val="both"/>
        <w:rPr>
          <w:rFonts w:cs="Times New Roman"/>
          <w:szCs w:val="24"/>
        </w:rPr>
      </w:pPr>
      <w:r w:rsidRPr="00336DDF">
        <w:rPr>
          <w:rFonts w:cs="Times New Roman"/>
          <w:szCs w:val="24"/>
        </w:rPr>
        <w:t xml:space="preserve">Komerclikuma </w:t>
      </w:r>
      <w:proofErr w:type="gramStart"/>
      <w:r w:rsidRPr="00336DDF">
        <w:rPr>
          <w:rFonts w:cs="Times New Roman"/>
          <w:szCs w:val="24"/>
        </w:rPr>
        <w:t>213.panta</w:t>
      </w:r>
      <w:proofErr w:type="gramEnd"/>
      <w:r w:rsidRPr="00336DDF">
        <w:rPr>
          <w:rFonts w:cs="Times New Roman"/>
          <w:szCs w:val="24"/>
        </w:rPr>
        <w:t xml:space="preserve"> sestajā daļā un 285.panta ceturtajā daļā paredzētās dalībnieka tiesības iepazīties ar sabiedrības dalībnieku protokolu un tam pievienotajiem dokumentiem tiek aizskartas brīdī, kad dalībniekam nepamatoti liegta piekļuve tiem.</w:t>
      </w:r>
    </w:p>
    <w:p w14:paraId="28DC78E2" w14:textId="77777777" w:rsidR="00EE54C0" w:rsidRPr="00336DDF" w:rsidRDefault="007667A4" w:rsidP="00B8082A">
      <w:pPr>
        <w:spacing w:after="0" w:line="276" w:lineRule="auto"/>
        <w:ind w:firstLine="567"/>
        <w:jc w:val="both"/>
        <w:rPr>
          <w:rFonts w:cs="Times New Roman"/>
          <w:szCs w:val="24"/>
        </w:rPr>
      </w:pPr>
      <w:r w:rsidRPr="00336DDF">
        <w:rPr>
          <w:rFonts w:cs="Times New Roman"/>
          <w:szCs w:val="24"/>
        </w:rPr>
        <w:t>Tiesas atzinums, ka</w:t>
      </w:r>
      <w:r w:rsidR="00C4591A" w:rsidRPr="00336DDF">
        <w:rPr>
          <w:rFonts w:cs="Times New Roman"/>
          <w:szCs w:val="24"/>
        </w:rPr>
        <w:t xml:space="preserve"> lietas apstākļu būtiskās atšķirības dēļ </w:t>
      </w:r>
      <w:r w:rsidRPr="00336DDF">
        <w:rPr>
          <w:rFonts w:cs="Times New Roman"/>
          <w:szCs w:val="24"/>
        </w:rPr>
        <w:t xml:space="preserve">nebija izmantojamas Senāta </w:t>
      </w:r>
      <w:proofErr w:type="gramStart"/>
      <w:r w:rsidRPr="00336DDF">
        <w:rPr>
          <w:rFonts w:cs="Times New Roman"/>
          <w:szCs w:val="24"/>
        </w:rPr>
        <w:t>2019.gada</w:t>
      </w:r>
      <w:proofErr w:type="gramEnd"/>
      <w:r w:rsidRPr="00336DDF">
        <w:rPr>
          <w:rFonts w:cs="Times New Roman"/>
          <w:szCs w:val="24"/>
        </w:rPr>
        <w:t xml:space="preserve"> 22.marta spriedumā lietā Nr. SKC-115/2019 paustās atziņas, ir kļūdains, jo </w:t>
      </w:r>
      <w:r w:rsidR="00F649CB" w:rsidRPr="00336DDF">
        <w:rPr>
          <w:rFonts w:cs="Times New Roman"/>
          <w:szCs w:val="24"/>
        </w:rPr>
        <w:t>tas</w:t>
      </w:r>
      <w:r w:rsidR="00736787" w:rsidRPr="00336DDF">
        <w:rPr>
          <w:rFonts w:cs="Times New Roman"/>
          <w:szCs w:val="24"/>
        </w:rPr>
        <w:t xml:space="preserve">, ka starp pusēm šajā lietā nav vienošanās par savstarpējo </w:t>
      </w:r>
      <w:r w:rsidR="00F649CB" w:rsidRPr="00336DDF">
        <w:rPr>
          <w:rFonts w:cs="Times New Roman"/>
          <w:szCs w:val="24"/>
        </w:rPr>
        <w:t xml:space="preserve">elektronisko </w:t>
      </w:r>
      <w:r w:rsidR="00736787" w:rsidRPr="00336DDF">
        <w:rPr>
          <w:rFonts w:cs="Times New Roman"/>
          <w:szCs w:val="24"/>
        </w:rPr>
        <w:t>saziņu, nekādā veidā neietekmē</w:t>
      </w:r>
      <w:r w:rsidR="00F649CB" w:rsidRPr="00336DDF">
        <w:rPr>
          <w:rFonts w:cs="Times New Roman"/>
          <w:szCs w:val="24"/>
        </w:rPr>
        <w:t xml:space="preserve"> </w:t>
      </w:r>
      <w:r w:rsidR="00C4591A" w:rsidRPr="00336DDF">
        <w:rPr>
          <w:rFonts w:cs="Times New Roman"/>
          <w:szCs w:val="24"/>
        </w:rPr>
        <w:t xml:space="preserve">vispārināmu </w:t>
      </w:r>
      <w:r w:rsidR="00F649CB" w:rsidRPr="00336DDF">
        <w:rPr>
          <w:rFonts w:cs="Times New Roman"/>
          <w:szCs w:val="24"/>
        </w:rPr>
        <w:t>atziņ</w:t>
      </w:r>
      <w:r w:rsidR="00C4591A" w:rsidRPr="00336DDF">
        <w:rPr>
          <w:rFonts w:cs="Times New Roman"/>
          <w:szCs w:val="24"/>
        </w:rPr>
        <w:t>u</w:t>
      </w:r>
      <w:r w:rsidR="00F649CB" w:rsidRPr="00336DDF">
        <w:rPr>
          <w:rFonts w:cs="Times New Roman"/>
          <w:szCs w:val="24"/>
        </w:rPr>
        <w:t xml:space="preserve"> par elektroniskā pasta saņemšanas brīdi</w:t>
      </w:r>
      <w:r w:rsidR="00C4591A" w:rsidRPr="00336DDF">
        <w:rPr>
          <w:rFonts w:cs="Times New Roman"/>
          <w:szCs w:val="24"/>
        </w:rPr>
        <w:t>, jo tā izriet no dzīvē gūtiem novērojumiem.</w:t>
      </w:r>
    </w:p>
    <w:p w14:paraId="32DE870F" w14:textId="48EFD7D8" w:rsidR="00C4591A" w:rsidRPr="00336DDF" w:rsidRDefault="0077221B" w:rsidP="00B8082A">
      <w:pPr>
        <w:spacing w:after="0" w:line="276" w:lineRule="auto"/>
        <w:ind w:firstLine="567"/>
        <w:jc w:val="both"/>
        <w:rPr>
          <w:rFonts w:cs="Times New Roman"/>
          <w:szCs w:val="24"/>
        </w:rPr>
      </w:pPr>
      <w:r w:rsidRPr="00336DDF">
        <w:rPr>
          <w:rFonts w:cs="Times New Roman"/>
          <w:szCs w:val="24"/>
        </w:rPr>
        <w:t xml:space="preserve">Komerclikuma </w:t>
      </w:r>
      <w:proofErr w:type="gramStart"/>
      <w:r w:rsidRPr="00336DDF">
        <w:rPr>
          <w:rFonts w:cs="Times New Roman"/>
          <w:szCs w:val="24"/>
        </w:rPr>
        <w:t>12.panta</w:t>
      </w:r>
      <w:proofErr w:type="gramEnd"/>
      <w:r w:rsidRPr="00336DDF">
        <w:rPr>
          <w:rFonts w:cs="Times New Roman"/>
          <w:szCs w:val="24"/>
        </w:rPr>
        <w:t xml:space="preserve"> ceturtās daļas nepareiza iztulkošana un piemērošana nav novedusi pie lietas nepareizas izskatīšanas pēc būtības, taču, vērtējot pienākumu atlīdzināt tiesāšanās izdevumus, tiesa nonākusi pie kļūdaina secinājuma, ka atbildētāja nav devusi iemeslu prasības celšanai.</w:t>
      </w:r>
    </w:p>
    <w:p w14:paraId="3A7B4965" w14:textId="77777777" w:rsidR="0020210C" w:rsidRPr="00336DDF" w:rsidRDefault="0020210C" w:rsidP="00B8082A">
      <w:pPr>
        <w:spacing w:after="0" w:line="276" w:lineRule="auto"/>
        <w:ind w:firstLine="567"/>
        <w:jc w:val="both"/>
        <w:rPr>
          <w:rFonts w:eastAsia="Times New Roman" w:cs="Times New Roman"/>
          <w:szCs w:val="24"/>
          <w:lang w:eastAsia="lv-LV"/>
        </w:rPr>
      </w:pPr>
    </w:p>
    <w:p w14:paraId="052CDAEE" w14:textId="5E1D6C98" w:rsidR="005A64DF" w:rsidRPr="00336DDF" w:rsidRDefault="000C22E8" w:rsidP="00B8082A">
      <w:pPr>
        <w:spacing w:after="0" w:line="276" w:lineRule="auto"/>
        <w:ind w:firstLine="567"/>
        <w:jc w:val="both"/>
        <w:rPr>
          <w:rFonts w:cs="Times New Roman"/>
          <w:szCs w:val="24"/>
        </w:rPr>
      </w:pPr>
      <w:r w:rsidRPr="00336DDF">
        <w:rPr>
          <w:rFonts w:cs="Times New Roman"/>
          <w:szCs w:val="24"/>
        </w:rPr>
        <w:t>[</w:t>
      </w:r>
      <w:r w:rsidR="007D72EB" w:rsidRPr="00336DDF">
        <w:rPr>
          <w:rFonts w:cs="Times New Roman"/>
          <w:szCs w:val="24"/>
        </w:rPr>
        <w:t>5</w:t>
      </w:r>
      <w:r w:rsidR="00F72029" w:rsidRPr="00336DDF">
        <w:rPr>
          <w:rFonts w:cs="Times New Roman"/>
          <w:szCs w:val="24"/>
        </w:rPr>
        <w:t>]</w:t>
      </w:r>
      <w:r w:rsidR="00EE4F06">
        <w:rPr>
          <w:rFonts w:cs="Times New Roman"/>
          <w:szCs w:val="24"/>
        </w:rPr>
        <w:t xml:space="preserve"> </w:t>
      </w:r>
      <w:r w:rsidR="00B31DA8" w:rsidRPr="00336DDF">
        <w:rPr>
          <w:rFonts w:cs="Times New Roman"/>
          <w:szCs w:val="24"/>
        </w:rPr>
        <w:t xml:space="preserve">Saskaņā ar Civilprocesa likuma </w:t>
      </w:r>
      <w:proofErr w:type="gramStart"/>
      <w:r w:rsidR="00B31DA8" w:rsidRPr="00336DDF">
        <w:rPr>
          <w:rFonts w:cs="Times New Roman"/>
          <w:szCs w:val="24"/>
        </w:rPr>
        <w:t>458.panta</w:t>
      </w:r>
      <w:proofErr w:type="gramEnd"/>
      <w:r w:rsidR="00B31DA8" w:rsidRPr="00336DDF">
        <w:rPr>
          <w:rFonts w:cs="Times New Roman"/>
          <w:szCs w:val="24"/>
        </w:rPr>
        <w:t xml:space="preserve"> otro daļu </w:t>
      </w:r>
      <w:r w:rsidR="006C6A75" w:rsidRPr="00336DDF">
        <w:rPr>
          <w:rFonts w:cs="Times New Roman"/>
          <w:szCs w:val="24"/>
        </w:rPr>
        <w:t>prasītājai</w:t>
      </w:r>
      <w:r w:rsidR="00B31DA8" w:rsidRPr="00336DDF">
        <w:rPr>
          <w:rFonts w:cs="Times New Roman"/>
          <w:szCs w:val="24"/>
        </w:rPr>
        <w:t xml:space="preserve"> atmaksājama drošības nauda.</w:t>
      </w:r>
    </w:p>
    <w:p w14:paraId="24D7848D" w14:textId="77777777" w:rsidR="005A64DF" w:rsidRPr="00336DDF" w:rsidRDefault="005A64DF" w:rsidP="00B8082A">
      <w:pPr>
        <w:widowControl w:val="0"/>
        <w:kinsoku w:val="0"/>
        <w:overflowPunct w:val="0"/>
        <w:autoSpaceDE w:val="0"/>
        <w:autoSpaceDN w:val="0"/>
        <w:adjustRightInd w:val="0"/>
        <w:spacing w:after="0" w:line="276" w:lineRule="auto"/>
        <w:ind w:right="-6"/>
        <w:jc w:val="center"/>
        <w:rPr>
          <w:rFonts w:eastAsiaTheme="minorEastAsia" w:cs="Times New Roman"/>
          <w:b/>
          <w:bCs/>
          <w:szCs w:val="24"/>
          <w:lang w:eastAsia="lv-LV"/>
        </w:rPr>
      </w:pPr>
      <w:r w:rsidRPr="00336DDF">
        <w:rPr>
          <w:rFonts w:eastAsiaTheme="minorEastAsia" w:cs="Times New Roman"/>
          <w:b/>
          <w:bCs/>
          <w:szCs w:val="24"/>
          <w:lang w:eastAsia="lv-LV"/>
        </w:rPr>
        <w:t>Rezolutīvā daļa</w:t>
      </w:r>
    </w:p>
    <w:p w14:paraId="7B04CF83" w14:textId="77777777" w:rsidR="005A64DF" w:rsidRPr="00336DDF" w:rsidRDefault="005A64DF" w:rsidP="00B8082A">
      <w:pPr>
        <w:widowControl w:val="0"/>
        <w:kinsoku w:val="0"/>
        <w:overflowPunct w:val="0"/>
        <w:autoSpaceDE w:val="0"/>
        <w:autoSpaceDN w:val="0"/>
        <w:adjustRightInd w:val="0"/>
        <w:spacing w:after="0" w:line="276" w:lineRule="auto"/>
        <w:ind w:right="-6" w:firstLine="567"/>
        <w:jc w:val="both"/>
        <w:rPr>
          <w:rFonts w:eastAsiaTheme="minorEastAsia" w:cs="Times New Roman"/>
          <w:b/>
          <w:bCs/>
          <w:spacing w:val="-1"/>
          <w:szCs w:val="24"/>
          <w:lang w:eastAsia="lv-LV"/>
        </w:rPr>
      </w:pPr>
    </w:p>
    <w:p w14:paraId="0299E0EF" w14:textId="13666319" w:rsidR="005A64DF" w:rsidRPr="00336DDF" w:rsidRDefault="005A64DF" w:rsidP="00B8082A">
      <w:pPr>
        <w:widowControl w:val="0"/>
        <w:kinsoku w:val="0"/>
        <w:overflowPunct w:val="0"/>
        <w:autoSpaceDE w:val="0"/>
        <w:autoSpaceDN w:val="0"/>
        <w:adjustRightInd w:val="0"/>
        <w:spacing w:after="0" w:line="276" w:lineRule="auto"/>
        <w:ind w:right="-6" w:firstLine="567"/>
        <w:jc w:val="both"/>
        <w:rPr>
          <w:rFonts w:eastAsiaTheme="minorEastAsia" w:cs="Times New Roman"/>
          <w:spacing w:val="-1"/>
          <w:szCs w:val="24"/>
          <w:lang w:eastAsia="lv-LV"/>
        </w:rPr>
      </w:pPr>
      <w:r w:rsidRPr="00336DDF">
        <w:rPr>
          <w:rFonts w:eastAsiaTheme="minorEastAsia" w:cs="Times New Roman"/>
          <w:spacing w:val="-1"/>
          <w:szCs w:val="24"/>
          <w:lang w:eastAsia="lv-LV"/>
        </w:rPr>
        <w:t>Pamatojoties uz Civ</w:t>
      </w:r>
      <w:r w:rsidR="0016722C" w:rsidRPr="00336DDF">
        <w:rPr>
          <w:rFonts w:eastAsiaTheme="minorEastAsia" w:cs="Times New Roman"/>
          <w:spacing w:val="-1"/>
          <w:szCs w:val="24"/>
          <w:lang w:eastAsia="lv-LV"/>
        </w:rPr>
        <w:t xml:space="preserve">ilprocesa likuma </w:t>
      </w:r>
      <w:proofErr w:type="gramStart"/>
      <w:r w:rsidR="0016722C" w:rsidRPr="00336DDF">
        <w:rPr>
          <w:rFonts w:eastAsiaTheme="minorEastAsia" w:cs="Times New Roman"/>
          <w:spacing w:val="-1"/>
          <w:szCs w:val="24"/>
          <w:lang w:eastAsia="lv-LV"/>
        </w:rPr>
        <w:t>474.</w:t>
      </w:r>
      <w:r w:rsidRPr="00336DDF">
        <w:rPr>
          <w:rFonts w:eastAsiaTheme="minorEastAsia" w:cs="Times New Roman"/>
          <w:spacing w:val="-1"/>
          <w:szCs w:val="24"/>
          <w:lang w:eastAsia="lv-LV"/>
        </w:rPr>
        <w:t>panta</w:t>
      </w:r>
      <w:proofErr w:type="gramEnd"/>
      <w:r w:rsidRPr="00336DDF">
        <w:rPr>
          <w:rFonts w:eastAsiaTheme="minorEastAsia" w:cs="Times New Roman"/>
          <w:spacing w:val="-1"/>
          <w:szCs w:val="24"/>
          <w:lang w:eastAsia="lv-LV"/>
        </w:rPr>
        <w:t xml:space="preserve"> 2</w:t>
      </w:r>
      <w:r w:rsidR="0016722C" w:rsidRPr="00336DDF">
        <w:rPr>
          <w:rFonts w:eastAsiaTheme="minorEastAsia" w:cs="Times New Roman"/>
          <w:spacing w:val="-1"/>
          <w:szCs w:val="24"/>
          <w:lang w:eastAsia="lv-LV"/>
        </w:rPr>
        <w:t>.</w:t>
      </w:r>
      <w:r w:rsidRPr="00336DDF">
        <w:rPr>
          <w:rFonts w:eastAsiaTheme="minorEastAsia" w:cs="Times New Roman"/>
          <w:spacing w:val="-1"/>
          <w:szCs w:val="24"/>
          <w:lang w:eastAsia="lv-LV"/>
        </w:rPr>
        <w:t>punktu, Senāts</w:t>
      </w:r>
    </w:p>
    <w:p w14:paraId="6456EC8A" w14:textId="77777777" w:rsidR="005A64DF" w:rsidRPr="00336DDF" w:rsidRDefault="005A64DF" w:rsidP="00B8082A">
      <w:pPr>
        <w:widowControl w:val="0"/>
        <w:kinsoku w:val="0"/>
        <w:overflowPunct w:val="0"/>
        <w:autoSpaceDE w:val="0"/>
        <w:autoSpaceDN w:val="0"/>
        <w:adjustRightInd w:val="0"/>
        <w:spacing w:after="0" w:line="276" w:lineRule="auto"/>
        <w:ind w:right="-6"/>
        <w:jc w:val="both"/>
        <w:rPr>
          <w:rFonts w:eastAsiaTheme="minorEastAsia" w:cs="Times New Roman"/>
          <w:spacing w:val="-1"/>
          <w:szCs w:val="24"/>
          <w:lang w:eastAsia="lv-LV"/>
        </w:rPr>
      </w:pPr>
    </w:p>
    <w:p w14:paraId="75BD616B" w14:textId="77777777" w:rsidR="005A64DF" w:rsidRPr="00336DDF" w:rsidRDefault="005A64DF" w:rsidP="00B8082A">
      <w:pPr>
        <w:widowControl w:val="0"/>
        <w:kinsoku w:val="0"/>
        <w:overflowPunct w:val="0"/>
        <w:autoSpaceDE w:val="0"/>
        <w:autoSpaceDN w:val="0"/>
        <w:adjustRightInd w:val="0"/>
        <w:spacing w:after="0" w:line="276" w:lineRule="auto"/>
        <w:ind w:right="-6"/>
        <w:jc w:val="center"/>
        <w:rPr>
          <w:rFonts w:eastAsiaTheme="minorEastAsia" w:cs="Times New Roman"/>
          <w:b/>
          <w:bCs/>
          <w:spacing w:val="-1"/>
          <w:szCs w:val="24"/>
          <w:lang w:eastAsia="lv-LV"/>
        </w:rPr>
      </w:pPr>
      <w:r w:rsidRPr="00336DDF">
        <w:rPr>
          <w:rFonts w:eastAsiaTheme="minorEastAsia" w:cs="Times New Roman"/>
          <w:b/>
          <w:bCs/>
          <w:spacing w:val="-1"/>
          <w:szCs w:val="24"/>
          <w:lang w:eastAsia="lv-LV"/>
        </w:rPr>
        <w:t>nosprieda</w:t>
      </w:r>
    </w:p>
    <w:p w14:paraId="7D4F3D4E" w14:textId="77777777" w:rsidR="005A64DF" w:rsidRPr="00336DDF" w:rsidRDefault="005A64DF" w:rsidP="00B8082A">
      <w:pPr>
        <w:widowControl w:val="0"/>
        <w:kinsoku w:val="0"/>
        <w:overflowPunct w:val="0"/>
        <w:autoSpaceDE w:val="0"/>
        <w:autoSpaceDN w:val="0"/>
        <w:adjustRightInd w:val="0"/>
        <w:spacing w:after="0" w:line="276" w:lineRule="auto"/>
        <w:ind w:right="-6" w:firstLine="567"/>
        <w:jc w:val="both"/>
        <w:rPr>
          <w:rFonts w:eastAsiaTheme="minorEastAsia" w:cs="Times New Roman"/>
          <w:b/>
          <w:bCs/>
          <w:spacing w:val="-1"/>
          <w:szCs w:val="24"/>
          <w:lang w:eastAsia="lv-LV"/>
        </w:rPr>
      </w:pPr>
    </w:p>
    <w:p w14:paraId="4EE61B32" w14:textId="36698059" w:rsidR="00B31DA8" w:rsidRPr="00336DDF" w:rsidRDefault="006C6A75" w:rsidP="00B8082A">
      <w:pPr>
        <w:widowControl w:val="0"/>
        <w:kinsoku w:val="0"/>
        <w:overflowPunct w:val="0"/>
        <w:autoSpaceDE w:val="0"/>
        <w:autoSpaceDN w:val="0"/>
        <w:adjustRightInd w:val="0"/>
        <w:spacing w:after="0" w:line="276" w:lineRule="auto"/>
        <w:ind w:right="-8" w:firstLine="567"/>
        <w:jc w:val="both"/>
        <w:rPr>
          <w:rFonts w:cs="Times New Roman"/>
          <w:szCs w:val="24"/>
        </w:rPr>
      </w:pPr>
      <w:r w:rsidRPr="00336DDF">
        <w:rPr>
          <w:rFonts w:cs="Times New Roman"/>
          <w:szCs w:val="24"/>
        </w:rPr>
        <w:t xml:space="preserve">Rīgas apgabaltiesas Civillietu tiesas kolēģijas </w:t>
      </w:r>
      <w:proofErr w:type="gramStart"/>
      <w:r w:rsidRPr="00336DDF">
        <w:rPr>
          <w:rFonts w:cs="Times New Roman"/>
          <w:szCs w:val="24"/>
        </w:rPr>
        <w:t>2022.gada</w:t>
      </w:r>
      <w:proofErr w:type="gramEnd"/>
      <w:r w:rsidRPr="00336DDF">
        <w:rPr>
          <w:rFonts w:cs="Times New Roman"/>
          <w:szCs w:val="24"/>
        </w:rPr>
        <w:t xml:space="preserve"> 7.marta spriedumu </w:t>
      </w:r>
      <w:r w:rsidR="0063690C" w:rsidRPr="00336DDF">
        <w:rPr>
          <w:rFonts w:cs="Times New Roman"/>
          <w:szCs w:val="24"/>
        </w:rPr>
        <w:t>daļā</w:t>
      </w:r>
      <w:r w:rsidRPr="00336DDF">
        <w:rPr>
          <w:rFonts w:cs="Times New Roman"/>
          <w:szCs w:val="24"/>
        </w:rPr>
        <w:t xml:space="preserve"> par tiesāšanās izdevumiem </w:t>
      </w:r>
      <w:r w:rsidR="0016722C" w:rsidRPr="00336DDF">
        <w:rPr>
          <w:rFonts w:cs="Times New Roman"/>
          <w:szCs w:val="24"/>
        </w:rPr>
        <w:t xml:space="preserve">atcelt un lietu šajā daļā nodot jaunai izskatīšanai </w:t>
      </w:r>
      <w:r w:rsidR="0077221B" w:rsidRPr="00336DDF">
        <w:rPr>
          <w:rFonts w:cs="Times New Roman"/>
          <w:szCs w:val="24"/>
        </w:rPr>
        <w:t>apelācijas instances ties</w:t>
      </w:r>
      <w:r w:rsidR="004B26CE" w:rsidRPr="00336DDF">
        <w:rPr>
          <w:rFonts w:cs="Times New Roman"/>
          <w:szCs w:val="24"/>
        </w:rPr>
        <w:t>ā</w:t>
      </w:r>
      <w:r w:rsidR="0016722C" w:rsidRPr="00336DDF">
        <w:rPr>
          <w:rFonts w:cs="Times New Roman"/>
          <w:szCs w:val="24"/>
        </w:rPr>
        <w:t>.</w:t>
      </w:r>
    </w:p>
    <w:p w14:paraId="5DF0BF19" w14:textId="3D6C8F1F" w:rsidR="00B31DA8" w:rsidRPr="00336DDF" w:rsidRDefault="00B31DA8" w:rsidP="00B8082A">
      <w:pPr>
        <w:widowControl w:val="0"/>
        <w:kinsoku w:val="0"/>
        <w:overflowPunct w:val="0"/>
        <w:autoSpaceDE w:val="0"/>
        <w:autoSpaceDN w:val="0"/>
        <w:adjustRightInd w:val="0"/>
        <w:spacing w:after="0" w:line="276" w:lineRule="auto"/>
        <w:ind w:right="-8" w:firstLine="567"/>
        <w:jc w:val="both"/>
        <w:rPr>
          <w:rFonts w:cs="Times New Roman"/>
          <w:szCs w:val="24"/>
        </w:rPr>
      </w:pPr>
      <w:r w:rsidRPr="00336DDF">
        <w:rPr>
          <w:rFonts w:cs="Times New Roman"/>
          <w:szCs w:val="24"/>
        </w:rPr>
        <w:t xml:space="preserve">Atmaksāt </w:t>
      </w:r>
      <w:r w:rsidR="006C6A75" w:rsidRPr="00336DDF">
        <w:rPr>
          <w:rFonts w:cs="Times New Roman"/>
          <w:szCs w:val="24"/>
        </w:rPr>
        <w:t xml:space="preserve">AS ,,BDO </w:t>
      </w:r>
      <w:proofErr w:type="spellStart"/>
      <w:r w:rsidR="006C6A75" w:rsidRPr="00336DDF">
        <w:rPr>
          <w:rFonts w:cs="Times New Roman"/>
          <w:szCs w:val="24"/>
        </w:rPr>
        <w:t>Latvia</w:t>
      </w:r>
      <w:proofErr w:type="spellEnd"/>
      <w:r w:rsidR="006C6A75" w:rsidRPr="00336DDF">
        <w:rPr>
          <w:rFonts w:cs="Times New Roman"/>
          <w:szCs w:val="24"/>
        </w:rPr>
        <w:t>”</w:t>
      </w:r>
      <w:r w:rsidRPr="00336DDF">
        <w:rPr>
          <w:rFonts w:cs="Times New Roman"/>
          <w:szCs w:val="24"/>
        </w:rPr>
        <w:t xml:space="preserve"> drošības naudu 300 </w:t>
      </w:r>
      <w:proofErr w:type="spellStart"/>
      <w:r w:rsidRPr="00336DDF">
        <w:rPr>
          <w:rFonts w:cs="Times New Roman"/>
          <w:i/>
          <w:szCs w:val="24"/>
        </w:rPr>
        <w:t>euro</w:t>
      </w:r>
      <w:proofErr w:type="spellEnd"/>
      <w:r w:rsidRPr="00336DDF">
        <w:rPr>
          <w:rFonts w:cs="Times New Roman"/>
          <w:szCs w:val="24"/>
        </w:rPr>
        <w:t>.</w:t>
      </w:r>
    </w:p>
    <w:p w14:paraId="4FB26320" w14:textId="7D3389B4" w:rsidR="00A00F9B" w:rsidRDefault="006E5E6F" w:rsidP="00336DDF">
      <w:pPr>
        <w:widowControl w:val="0"/>
        <w:kinsoku w:val="0"/>
        <w:overflowPunct w:val="0"/>
        <w:autoSpaceDE w:val="0"/>
        <w:autoSpaceDN w:val="0"/>
        <w:adjustRightInd w:val="0"/>
        <w:spacing w:after="0" w:line="276" w:lineRule="auto"/>
        <w:ind w:right="-8" w:firstLine="567"/>
        <w:jc w:val="both"/>
        <w:rPr>
          <w:rFonts w:cs="Times New Roman"/>
          <w:szCs w:val="24"/>
        </w:rPr>
      </w:pPr>
      <w:r w:rsidRPr="00336DDF">
        <w:rPr>
          <w:rFonts w:cs="Times New Roman"/>
          <w:szCs w:val="24"/>
        </w:rPr>
        <w:t>Spriedums nav pārsūdzams.</w:t>
      </w:r>
    </w:p>
    <w:sectPr w:rsidR="00A00F9B" w:rsidSect="00B8082A">
      <w:footerReference w:type="default" r:id="rId8"/>
      <w:pgSz w:w="11906" w:h="16838"/>
      <w:pgMar w:top="1134" w:right="1134"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226AE1" w14:textId="77777777" w:rsidR="006A5851" w:rsidRDefault="006A5851">
      <w:pPr>
        <w:spacing w:after="0" w:line="240" w:lineRule="auto"/>
      </w:pPr>
      <w:r>
        <w:separator/>
      </w:r>
    </w:p>
  </w:endnote>
  <w:endnote w:type="continuationSeparator" w:id="0">
    <w:p w14:paraId="4D4FE2AB" w14:textId="77777777" w:rsidR="006A5851" w:rsidRDefault="006A585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611BC5" w14:textId="550122D2" w:rsidR="00185214" w:rsidRPr="00544865" w:rsidRDefault="00185214" w:rsidP="00185214">
    <w:pPr>
      <w:pStyle w:val="Footer"/>
      <w:jc w:val="center"/>
      <w:rPr>
        <w:szCs w:val="24"/>
      </w:rPr>
    </w:pPr>
    <w:r w:rsidRPr="00544865">
      <w:rPr>
        <w:szCs w:val="24"/>
      </w:rPr>
      <w:fldChar w:fldCharType="begin"/>
    </w:r>
    <w:r w:rsidRPr="00544865">
      <w:rPr>
        <w:szCs w:val="24"/>
      </w:rPr>
      <w:instrText xml:space="preserve"> PAGE   \* MERGEFORMAT </w:instrText>
    </w:r>
    <w:r w:rsidRPr="00544865">
      <w:rPr>
        <w:szCs w:val="24"/>
      </w:rPr>
      <w:fldChar w:fldCharType="separate"/>
    </w:r>
    <w:r w:rsidR="00D838B2">
      <w:rPr>
        <w:noProof/>
        <w:szCs w:val="24"/>
      </w:rPr>
      <w:t>3</w:t>
    </w:r>
    <w:r w:rsidRPr="00544865">
      <w:rPr>
        <w:noProof/>
        <w:szCs w:val="24"/>
      </w:rPr>
      <w:fldChar w:fldCharType="end"/>
    </w:r>
    <w:r w:rsidR="00D07915" w:rsidRPr="00544865">
      <w:rPr>
        <w:szCs w:val="24"/>
      </w:rPr>
      <w:t xml:space="preserve"> no </w:t>
    </w:r>
    <w:r w:rsidR="00AC7052">
      <w:rPr>
        <w:szCs w:val="24"/>
      </w:rPr>
      <w:t>3</w:t>
    </w:r>
  </w:p>
  <w:p w14:paraId="737325DC" w14:textId="77777777" w:rsidR="00185214" w:rsidRDefault="0018521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1C365D" w14:textId="77777777" w:rsidR="006A5851" w:rsidRDefault="006A5851">
      <w:pPr>
        <w:spacing w:after="0" w:line="240" w:lineRule="auto"/>
      </w:pPr>
      <w:r>
        <w:separator/>
      </w:r>
    </w:p>
  </w:footnote>
  <w:footnote w:type="continuationSeparator" w:id="0">
    <w:p w14:paraId="033B0E87" w14:textId="77777777" w:rsidR="006A5851" w:rsidRDefault="006A5851">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efaultTabStop w:val="720"/>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F378C"/>
    <w:rsid w:val="00003434"/>
    <w:rsid w:val="00012BD2"/>
    <w:rsid w:val="00013337"/>
    <w:rsid w:val="00016C5D"/>
    <w:rsid w:val="00041896"/>
    <w:rsid w:val="0005207B"/>
    <w:rsid w:val="00057DED"/>
    <w:rsid w:val="00070FA9"/>
    <w:rsid w:val="0008381C"/>
    <w:rsid w:val="000B054E"/>
    <w:rsid w:val="000C22E8"/>
    <w:rsid w:val="000D1AED"/>
    <w:rsid w:val="00110999"/>
    <w:rsid w:val="00115696"/>
    <w:rsid w:val="0011763D"/>
    <w:rsid w:val="00124DB6"/>
    <w:rsid w:val="001272B1"/>
    <w:rsid w:val="00130241"/>
    <w:rsid w:val="00136170"/>
    <w:rsid w:val="001436AC"/>
    <w:rsid w:val="00153BD8"/>
    <w:rsid w:val="0016722C"/>
    <w:rsid w:val="00167255"/>
    <w:rsid w:val="0016765E"/>
    <w:rsid w:val="00170E39"/>
    <w:rsid w:val="0017236F"/>
    <w:rsid w:val="00185214"/>
    <w:rsid w:val="001854D1"/>
    <w:rsid w:val="001A3703"/>
    <w:rsid w:val="001A3A64"/>
    <w:rsid w:val="001A4F70"/>
    <w:rsid w:val="001B4EB0"/>
    <w:rsid w:val="001B5180"/>
    <w:rsid w:val="001C3987"/>
    <w:rsid w:val="001D5A10"/>
    <w:rsid w:val="001F378C"/>
    <w:rsid w:val="0020210C"/>
    <w:rsid w:val="00206676"/>
    <w:rsid w:val="002069A9"/>
    <w:rsid w:val="002074EA"/>
    <w:rsid w:val="00211C2A"/>
    <w:rsid w:val="00221F02"/>
    <w:rsid w:val="00243B9C"/>
    <w:rsid w:val="002445D0"/>
    <w:rsid w:val="00254B11"/>
    <w:rsid w:val="00255278"/>
    <w:rsid w:val="00261465"/>
    <w:rsid w:val="002700BD"/>
    <w:rsid w:val="0028168F"/>
    <w:rsid w:val="00286E77"/>
    <w:rsid w:val="002A3011"/>
    <w:rsid w:val="002B4F72"/>
    <w:rsid w:val="002B62A2"/>
    <w:rsid w:val="002B7A37"/>
    <w:rsid w:val="002C3D2E"/>
    <w:rsid w:val="002C7093"/>
    <w:rsid w:val="002D5F8B"/>
    <w:rsid w:val="002E0756"/>
    <w:rsid w:val="002E20EE"/>
    <w:rsid w:val="002E31F1"/>
    <w:rsid w:val="002F3479"/>
    <w:rsid w:val="00301A7B"/>
    <w:rsid w:val="00303F40"/>
    <w:rsid w:val="00305BE3"/>
    <w:rsid w:val="00306F93"/>
    <w:rsid w:val="00320A46"/>
    <w:rsid w:val="003316C7"/>
    <w:rsid w:val="00333225"/>
    <w:rsid w:val="00336DDF"/>
    <w:rsid w:val="00347F91"/>
    <w:rsid w:val="00354103"/>
    <w:rsid w:val="00363CC5"/>
    <w:rsid w:val="00382AA0"/>
    <w:rsid w:val="00383739"/>
    <w:rsid w:val="00390466"/>
    <w:rsid w:val="003B0F3A"/>
    <w:rsid w:val="003B6E14"/>
    <w:rsid w:val="003C324B"/>
    <w:rsid w:val="003D16B9"/>
    <w:rsid w:val="003E0574"/>
    <w:rsid w:val="003E786C"/>
    <w:rsid w:val="0040442E"/>
    <w:rsid w:val="00407B81"/>
    <w:rsid w:val="00420665"/>
    <w:rsid w:val="00424F27"/>
    <w:rsid w:val="0044355D"/>
    <w:rsid w:val="004437D2"/>
    <w:rsid w:val="00446144"/>
    <w:rsid w:val="004619A0"/>
    <w:rsid w:val="00466CCB"/>
    <w:rsid w:val="00467649"/>
    <w:rsid w:val="00471581"/>
    <w:rsid w:val="00477645"/>
    <w:rsid w:val="004863E2"/>
    <w:rsid w:val="0048688E"/>
    <w:rsid w:val="004B26CE"/>
    <w:rsid w:val="004B7967"/>
    <w:rsid w:val="004C1A95"/>
    <w:rsid w:val="004C66A1"/>
    <w:rsid w:val="004D30C2"/>
    <w:rsid w:val="004D6522"/>
    <w:rsid w:val="005011FA"/>
    <w:rsid w:val="0050156C"/>
    <w:rsid w:val="0050629B"/>
    <w:rsid w:val="00514225"/>
    <w:rsid w:val="005150AB"/>
    <w:rsid w:val="005153C2"/>
    <w:rsid w:val="00516194"/>
    <w:rsid w:val="00523EC8"/>
    <w:rsid w:val="0052630F"/>
    <w:rsid w:val="0052682E"/>
    <w:rsid w:val="00535C18"/>
    <w:rsid w:val="005371AF"/>
    <w:rsid w:val="00544865"/>
    <w:rsid w:val="0055221B"/>
    <w:rsid w:val="005535A9"/>
    <w:rsid w:val="00556D85"/>
    <w:rsid w:val="005712F2"/>
    <w:rsid w:val="00577579"/>
    <w:rsid w:val="00581134"/>
    <w:rsid w:val="00583EDE"/>
    <w:rsid w:val="005850E6"/>
    <w:rsid w:val="005A3F0F"/>
    <w:rsid w:val="005A64DF"/>
    <w:rsid w:val="005B14F9"/>
    <w:rsid w:val="005B1B0B"/>
    <w:rsid w:val="005B340A"/>
    <w:rsid w:val="005B3E7D"/>
    <w:rsid w:val="005D5978"/>
    <w:rsid w:val="005D5D3E"/>
    <w:rsid w:val="005D610A"/>
    <w:rsid w:val="0061726E"/>
    <w:rsid w:val="00617B65"/>
    <w:rsid w:val="00627294"/>
    <w:rsid w:val="0063690C"/>
    <w:rsid w:val="00643368"/>
    <w:rsid w:val="006561AE"/>
    <w:rsid w:val="00660471"/>
    <w:rsid w:val="00677FB4"/>
    <w:rsid w:val="00692F64"/>
    <w:rsid w:val="006A4392"/>
    <w:rsid w:val="006A44BE"/>
    <w:rsid w:val="006A5851"/>
    <w:rsid w:val="006A7F40"/>
    <w:rsid w:val="006B1113"/>
    <w:rsid w:val="006C5137"/>
    <w:rsid w:val="006C6A75"/>
    <w:rsid w:val="006D494C"/>
    <w:rsid w:val="006D6C8C"/>
    <w:rsid w:val="006E5E6F"/>
    <w:rsid w:val="00704702"/>
    <w:rsid w:val="00704F36"/>
    <w:rsid w:val="007062D6"/>
    <w:rsid w:val="00710FA0"/>
    <w:rsid w:val="00715918"/>
    <w:rsid w:val="00717D12"/>
    <w:rsid w:val="007248B8"/>
    <w:rsid w:val="00736787"/>
    <w:rsid w:val="00737237"/>
    <w:rsid w:val="00744820"/>
    <w:rsid w:val="007479C8"/>
    <w:rsid w:val="00756E88"/>
    <w:rsid w:val="00765212"/>
    <w:rsid w:val="007667A4"/>
    <w:rsid w:val="007673D2"/>
    <w:rsid w:val="00770BC4"/>
    <w:rsid w:val="0077221B"/>
    <w:rsid w:val="00776460"/>
    <w:rsid w:val="00776B2E"/>
    <w:rsid w:val="00780DF2"/>
    <w:rsid w:val="007820F9"/>
    <w:rsid w:val="00784E40"/>
    <w:rsid w:val="007858E6"/>
    <w:rsid w:val="00787DD8"/>
    <w:rsid w:val="00791615"/>
    <w:rsid w:val="00795445"/>
    <w:rsid w:val="007A7B35"/>
    <w:rsid w:val="007B3787"/>
    <w:rsid w:val="007B3A92"/>
    <w:rsid w:val="007C40E0"/>
    <w:rsid w:val="007C49C7"/>
    <w:rsid w:val="007D2099"/>
    <w:rsid w:val="007D72EB"/>
    <w:rsid w:val="007E1F5A"/>
    <w:rsid w:val="007F5C86"/>
    <w:rsid w:val="008023AF"/>
    <w:rsid w:val="00807A2A"/>
    <w:rsid w:val="0083110A"/>
    <w:rsid w:val="00834CAC"/>
    <w:rsid w:val="00836460"/>
    <w:rsid w:val="00837325"/>
    <w:rsid w:val="0084078B"/>
    <w:rsid w:val="008408B1"/>
    <w:rsid w:val="008450F8"/>
    <w:rsid w:val="0085362C"/>
    <w:rsid w:val="008542E8"/>
    <w:rsid w:val="008572D5"/>
    <w:rsid w:val="008757B2"/>
    <w:rsid w:val="00882B34"/>
    <w:rsid w:val="00884181"/>
    <w:rsid w:val="008A453D"/>
    <w:rsid w:val="008B00AF"/>
    <w:rsid w:val="008B51F3"/>
    <w:rsid w:val="008D3A38"/>
    <w:rsid w:val="008E0BFF"/>
    <w:rsid w:val="00901885"/>
    <w:rsid w:val="00912D55"/>
    <w:rsid w:val="009301E2"/>
    <w:rsid w:val="00934275"/>
    <w:rsid w:val="00955353"/>
    <w:rsid w:val="009635E7"/>
    <w:rsid w:val="0097066E"/>
    <w:rsid w:val="00971B6A"/>
    <w:rsid w:val="00980DE4"/>
    <w:rsid w:val="00982E6A"/>
    <w:rsid w:val="00984F71"/>
    <w:rsid w:val="00986C6F"/>
    <w:rsid w:val="009A2F29"/>
    <w:rsid w:val="009A6424"/>
    <w:rsid w:val="009B6778"/>
    <w:rsid w:val="009C147A"/>
    <w:rsid w:val="009C325D"/>
    <w:rsid w:val="009C5A8A"/>
    <w:rsid w:val="009F053C"/>
    <w:rsid w:val="00A00F9B"/>
    <w:rsid w:val="00A022BD"/>
    <w:rsid w:val="00A2449F"/>
    <w:rsid w:val="00A25716"/>
    <w:rsid w:val="00A36E22"/>
    <w:rsid w:val="00A47223"/>
    <w:rsid w:val="00A60801"/>
    <w:rsid w:val="00A62640"/>
    <w:rsid w:val="00A62A76"/>
    <w:rsid w:val="00A80547"/>
    <w:rsid w:val="00A81B43"/>
    <w:rsid w:val="00A93A36"/>
    <w:rsid w:val="00A974E0"/>
    <w:rsid w:val="00AA1420"/>
    <w:rsid w:val="00AA2EBA"/>
    <w:rsid w:val="00AB05F8"/>
    <w:rsid w:val="00AB28DE"/>
    <w:rsid w:val="00AB353F"/>
    <w:rsid w:val="00AC3C22"/>
    <w:rsid w:val="00AC68D0"/>
    <w:rsid w:val="00AC7052"/>
    <w:rsid w:val="00AD54BA"/>
    <w:rsid w:val="00AE3A82"/>
    <w:rsid w:val="00AE3E19"/>
    <w:rsid w:val="00AF03DC"/>
    <w:rsid w:val="00AF6CA1"/>
    <w:rsid w:val="00B10CFE"/>
    <w:rsid w:val="00B12265"/>
    <w:rsid w:val="00B127A3"/>
    <w:rsid w:val="00B22600"/>
    <w:rsid w:val="00B31DA8"/>
    <w:rsid w:val="00B412BC"/>
    <w:rsid w:val="00B42394"/>
    <w:rsid w:val="00B52254"/>
    <w:rsid w:val="00B55B7F"/>
    <w:rsid w:val="00B67414"/>
    <w:rsid w:val="00B7094A"/>
    <w:rsid w:val="00B70B1F"/>
    <w:rsid w:val="00B75E2D"/>
    <w:rsid w:val="00B8082A"/>
    <w:rsid w:val="00B84BAF"/>
    <w:rsid w:val="00B90F24"/>
    <w:rsid w:val="00B976B4"/>
    <w:rsid w:val="00BA1A0E"/>
    <w:rsid w:val="00BA3D14"/>
    <w:rsid w:val="00BA7F42"/>
    <w:rsid w:val="00BC36F9"/>
    <w:rsid w:val="00BD261A"/>
    <w:rsid w:val="00BD46CB"/>
    <w:rsid w:val="00BD7B31"/>
    <w:rsid w:val="00BE1FB1"/>
    <w:rsid w:val="00BF0729"/>
    <w:rsid w:val="00BF6427"/>
    <w:rsid w:val="00C10CCF"/>
    <w:rsid w:val="00C11518"/>
    <w:rsid w:val="00C1798E"/>
    <w:rsid w:val="00C21D88"/>
    <w:rsid w:val="00C24A3D"/>
    <w:rsid w:val="00C34717"/>
    <w:rsid w:val="00C36C4D"/>
    <w:rsid w:val="00C422E3"/>
    <w:rsid w:val="00C4591A"/>
    <w:rsid w:val="00C86E15"/>
    <w:rsid w:val="00C93C8E"/>
    <w:rsid w:val="00C9499B"/>
    <w:rsid w:val="00C972AC"/>
    <w:rsid w:val="00CA3E9C"/>
    <w:rsid w:val="00CA61D1"/>
    <w:rsid w:val="00CB163E"/>
    <w:rsid w:val="00CB5051"/>
    <w:rsid w:val="00CC7B42"/>
    <w:rsid w:val="00CE45CD"/>
    <w:rsid w:val="00CF07D2"/>
    <w:rsid w:val="00D03FD1"/>
    <w:rsid w:val="00D07915"/>
    <w:rsid w:val="00D16FF7"/>
    <w:rsid w:val="00D215CB"/>
    <w:rsid w:val="00D2256A"/>
    <w:rsid w:val="00D34E7D"/>
    <w:rsid w:val="00D354BF"/>
    <w:rsid w:val="00D35EF0"/>
    <w:rsid w:val="00D46DE2"/>
    <w:rsid w:val="00D474B4"/>
    <w:rsid w:val="00D63CA7"/>
    <w:rsid w:val="00D662D7"/>
    <w:rsid w:val="00D7249C"/>
    <w:rsid w:val="00D74E72"/>
    <w:rsid w:val="00D822B8"/>
    <w:rsid w:val="00D838B2"/>
    <w:rsid w:val="00D858FF"/>
    <w:rsid w:val="00D86143"/>
    <w:rsid w:val="00D875EE"/>
    <w:rsid w:val="00D919EB"/>
    <w:rsid w:val="00D95094"/>
    <w:rsid w:val="00DA01AA"/>
    <w:rsid w:val="00DB0673"/>
    <w:rsid w:val="00DC0AF2"/>
    <w:rsid w:val="00DC506D"/>
    <w:rsid w:val="00DD3A6A"/>
    <w:rsid w:val="00DF1DE5"/>
    <w:rsid w:val="00DF4AA6"/>
    <w:rsid w:val="00E06417"/>
    <w:rsid w:val="00E114D2"/>
    <w:rsid w:val="00E20358"/>
    <w:rsid w:val="00E21C58"/>
    <w:rsid w:val="00E27C11"/>
    <w:rsid w:val="00E326AA"/>
    <w:rsid w:val="00E35DF7"/>
    <w:rsid w:val="00E55B9A"/>
    <w:rsid w:val="00E57690"/>
    <w:rsid w:val="00EC0ABF"/>
    <w:rsid w:val="00EC191F"/>
    <w:rsid w:val="00EC2028"/>
    <w:rsid w:val="00ED02E8"/>
    <w:rsid w:val="00ED0A4C"/>
    <w:rsid w:val="00ED22A1"/>
    <w:rsid w:val="00ED782B"/>
    <w:rsid w:val="00EE4F06"/>
    <w:rsid w:val="00EE54C0"/>
    <w:rsid w:val="00F03464"/>
    <w:rsid w:val="00F04148"/>
    <w:rsid w:val="00F263BE"/>
    <w:rsid w:val="00F31D30"/>
    <w:rsid w:val="00F32537"/>
    <w:rsid w:val="00F34449"/>
    <w:rsid w:val="00F40842"/>
    <w:rsid w:val="00F42219"/>
    <w:rsid w:val="00F649CB"/>
    <w:rsid w:val="00F7183B"/>
    <w:rsid w:val="00F72029"/>
    <w:rsid w:val="00F769B6"/>
    <w:rsid w:val="00F8031C"/>
    <w:rsid w:val="00F80F00"/>
    <w:rsid w:val="00F90193"/>
    <w:rsid w:val="00F96407"/>
    <w:rsid w:val="00F9794A"/>
    <w:rsid w:val="00FB6637"/>
    <w:rsid w:val="00FC3E6C"/>
    <w:rsid w:val="00FC4C75"/>
    <w:rsid w:val="00FD37CC"/>
    <w:rsid w:val="00FE4850"/>
    <w:rsid w:val="00FF7E87"/>
  </w:rsids>
  <m:mathPr>
    <m:mathFont m:val="Cambria Math"/>
    <m:brkBin m:val="before"/>
    <m:brkBinSub m:val="--"/>
    <m:smallFrac m:val="0"/>
    <m:dispDef/>
    <m:lMargin m:val="0"/>
    <m:rMargin m:val="0"/>
    <m:defJc m:val="centerGroup"/>
    <m:wrapIndent m:val="1440"/>
    <m:intLim m:val="subSup"/>
    <m:naryLim m:val="undOvr"/>
  </m:mathPr>
  <w:themeFontLang w:val="lv-LV"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91AA2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4"/>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F378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1F378C"/>
    <w:pPr>
      <w:tabs>
        <w:tab w:val="center" w:pos="4153"/>
        <w:tab w:val="right" w:pos="8306"/>
      </w:tabs>
      <w:spacing w:after="0" w:line="240" w:lineRule="auto"/>
    </w:pPr>
  </w:style>
  <w:style w:type="character" w:customStyle="1" w:styleId="FooterChar">
    <w:name w:val="Footer Char"/>
    <w:basedOn w:val="DefaultParagraphFont"/>
    <w:link w:val="Footer"/>
    <w:uiPriority w:val="99"/>
    <w:rsid w:val="001F378C"/>
  </w:style>
  <w:style w:type="paragraph" w:styleId="Header">
    <w:name w:val="header"/>
    <w:basedOn w:val="Normal"/>
    <w:link w:val="HeaderChar"/>
    <w:uiPriority w:val="99"/>
    <w:unhideWhenUsed/>
    <w:rsid w:val="00012BD2"/>
    <w:pPr>
      <w:tabs>
        <w:tab w:val="center" w:pos="4320"/>
        <w:tab w:val="right" w:pos="8640"/>
      </w:tabs>
      <w:spacing w:after="0" w:line="240" w:lineRule="auto"/>
    </w:pPr>
  </w:style>
  <w:style w:type="character" w:customStyle="1" w:styleId="HeaderChar">
    <w:name w:val="Header Char"/>
    <w:basedOn w:val="DefaultParagraphFont"/>
    <w:link w:val="Header"/>
    <w:uiPriority w:val="99"/>
    <w:rsid w:val="00012BD2"/>
  </w:style>
  <w:style w:type="paragraph" w:styleId="BalloonText">
    <w:name w:val="Balloon Text"/>
    <w:basedOn w:val="Normal"/>
    <w:link w:val="BalloonTextChar"/>
    <w:uiPriority w:val="99"/>
    <w:semiHidden/>
    <w:unhideWhenUsed/>
    <w:rsid w:val="009301E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301E2"/>
    <w:rPr>
      <w:rFonts w:ascii="Segoe UI" w:hAnsi="Segoe UI" w:cs="Segoe UI"/>
      <w:sz w:val="18"/>
      <w:szCs w:val="18"/>
    </w:rPr>
  </w:style>
  <w:style w:type="paragraph" w:customStyle="1" w:styleId="tv213">
    <w:name w:val="tv213"/>
    <w:basedOn w:val="Normal"/>
    <w:rsid w:val="00B31DA8"/>
    <w:pPr>
      <w:spacing w:before="100" w:beforeAutospacing="1" w:after="100" w:afterAutospacing="1" w:line="240" w:lineRule="auto"/>
    </w:pPr>
    <w:rPr>
      <w:rFonts w:eastAsia="Times New Roman" w:cs="Times New Roman"/>
      <w:szCs w:val="24"/>
      <w:lang w:eastAsia="lv-LV"/>
    </w:rPr>
  </w:style>
  <w:style w:type="paragraph" w:styleId="Revision">
    <w:name w:val="Revision"/>
    <w:hidden/>
    <w:uiPriority w:val="99"/>
    <w:semiHidden/>
    <w:rsid w:val="004B7967"/>
    <w:pPr>
      <w:spacing w:after="0" w:line="240" w:lineRule="auto"/>
    </w:pPr>
  </w:style>
  <w:style w:type="character" w:styleId="CommentReference">
    <w:name w:val="annotation reference"/>
    <w:basedOn w:val="DefaultParagraphFont"/>
    <w:uiPriority w:val="99"/>
    <w:semiHidden/>
    <w:unhideWhenUsed/>
    <w:rsid w:val="00E57690"/>
    <w:rPr>
      <w:sz w:val="16"/>
      <w:szCs w:val="16"/>
    </w:rPr>
  </w:style>
  <w:style w:type="paragraph" w:styleId="CommentText">
    <w:name w:val="annotation text"/>
    <w:basedOn w:val="Normal"/>
    <w:link w:val="CommentTextChar"/>
    <w:uiPriority w:val="99"/>
    <w:semiHidden/>
    <w:unhideWhenUsed/>
    <w:rsid w:val="00E57690"/>
    <w:pPr>
      <w:spacing w:line="240" w:lineRule="auto"/>
    </w:pPr>
    <w:rPr>
      <w:sz w:val="20"/>
      <w:szCs w:val="20"/>
    </w:rPr>
  </w:style>
  <w:style w:type="character" w:customStyle="1" w:styleId="CommentTextChar">
    <w:name w:val="Comment Text Char"/>
    <w:basedOn w:val="DefaultParagraphFont"/>
    <w:link w:val="CommentText"/>
    <w:uiPriority w:val="99"/>
    <w:semiHidden/>
    <w:rsid w:val="00E57690"/>
    <w:rPr>
      <w:sz w:val="20"/>
      <w:szCs w:val="20"/>
    </w:rPr>
  </w:style>
  <w:style w:type="paragraph" w:styleId="CommentSubject">
    <w:name w:val="annotation subject"/>
    <w:basedOn w:val="CommentText"/>
    <w:next w:val="CommentText"/>
    <w:link w:val="CommentSubjectChar"/>
    <w:uiPriority w:val="99"/>
    <w:semiHidden/>
    <w:unhideWhenUsed/>
    <w:rsid w:val="00E57690"/>
    <w:rPr>
      <w:b/>
      <w:bCs/>
    </w:rPr>
  </w:style>
  <w:style w:type="character" w:customStyle="1" w:styleId="CommentSubjectChar">
    <w:name w:val="Comment Subject Char"/>
    <w:basedOn w:val="CommentTextChar"/>
    <w:link w:val="CommentSubject"/>
    <w:uiPriority w:val="99"/>
    <w:semiHidden/>
    <w:rsid w:val="00E57690"/>
    <w:rPr>
      <w:b/>
      <w:bCs/>
      <w:sz w:val="20"/>
      <w:szCs w:val="20"/>
    </w:rPr>
  </w:style>
  <w:style w:type="character" w:styleId="Hyperlink">
    <w:name w:val="Hyperlink"/>
    <w:basedOn w:val="DefaultParagraphFont"/>
    <w:uiPriority w:val="99"/>
    <w:semiHidden/>
    <w:unhideWhenUsed/>
    <w:rsid w:val="00B8082A"/>
    <w:rPr>
      <w:color w:val="0000FF"/>
      <w:u w:val="single"/>
    </w:rPr>
  </w:style>
  <w:style w:type="character" w:customStyle="1" w:styleId="CommentTextChar1">
    <w:name w:val="Comment Text Char1"/>
    <w:basedOn w:val="DefaultParagraphFont"/>
    <w:uiPriority w:val="99"/>
    <w:semiHidden/>
    <w:rsid w:val="00BD261A"/>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990602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manas.tiesas.lv/eTiesasMvc/lv/nolemumi"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E9A95CC-2003-4F92-9F4A-D80D8B3741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5201</Words>
  <Characters>2965</Characters>
  <Application>Microsoft Office Word</Application>
  <DocSecurity>0</DocSecurity>
  <Lines>24</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2022-08-30T06:01:00Z</dcterms:created>
  <dcterms:modified xsi:type="dcterms:W3CDTF">2022-09-21T11:57:00Z</dcterms:modified>
</cp:coreProperties>
</file>