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464D" w14:textId="12125E9C" w:rsidR="0003766C" w:rsidRPr="00CD0705" w:rsidRDefault="0003766C" w:rsidP="0003766C">
      <w:pPr>
        <w:tabs>
          <w:tab w:val="left" w:pos="3318"/>
        </w:tabs>
        <w:spacing w:after="0" w:line="276" w:lineRule="auto"/>
        <w:jc w:val="both"/>
        <w:rPr>
          <w:rFonts w:ascii="Times New Roman" w:hAnsi="Times New Roman" w:cs="Times New Roman"/>
          <w:b/>
          <w:bCs/>
          <w:sz w:val="24"/>
          <w:szCs w:val="24"/>
        </w:rPr>
      </w:pPr>
      <w:r w:rsidRPr="00CD0705">
        <w:rPr>
          <w:rFonts w:ascii="Times New Roman" w:hAnsi="Times New Roman" w:cs="Times New Roman"/>
          <w:b/>
          <w:bCs/>
          <w:sz w:val="24"/>
          <w:szCs w:val="24"/>
        </w:rPr>
        <w:t>Pilnvarojuma noformēšana lietās par starptautisko bērnu nolaupīšanu (Hāgas konvencijas par starptautiskās bērnu nolaupīšanas civiltiesiskajiem aspektiem 28.pants)</w:t>
      </w:r>
    </w:p>
    <w:p w14:paraId="1A12E6CB" w14:textId="77777777" w:rsidR="0003766C" w:rsidRDefault="0003766C" w:rsidP="0003766C">
      <w:pPr>
        <w:tabs>
          <w:tab w:val="left" w:pos="3318"/>
        </w:tabs>
        <w:spacing w:after="0" w:line="276" w:lineRule="auto"/>
        <w:jc w:val="both"/>
        <w:rPr>
          <w:rFonts w:ascii="Times New Roman" w:hAnsi="Times New Roman" w:cs="Times New Roman"/>
          <w:sz w:val="24"/>
          <w:szCs w:val="24"/>
        </w:rPr>
      </w:pPr>
      <w:r w:rsidRPr="006814AE">
        <w:rPr>
          <w:rFonts w:ascii="Times New Roman" w:hAnsi="Times New Roman" w:cs="Times New Roman"/>
          <w:sz w:val="24"/>
          <w:szCs w:val="24"/>
        </w:rPr>
        <w:t>1980.</w:t>
      </w:r>
      <w:r>
        <w:rPr>
          <w:rFonts w:ascii="Times New Roman" w:hAnsi="Times New Roman" w:cs="Times New Roman"/>
          <w:sz w:val="24"/>
          <w:szCs w:val="24"/>
        </w:rPr>
        <w:t> </w:t>
      </w:r>
      <w:r w:rsidRPr="006814AE">
        <w:rPr>
          <w:rFonts w:ascii="Times New Roman" w:hAnsi="Times New Roman" w:cs="Times New Roman"/>
          <w:sz w:val="24"/>
          <w:szCs w:val="24"/>
        </w:rPr>
        <w:t>gada 25.</w:t>
      </w:r>
      <w:r>
        <w:rPr>
          <w:rFonts w:ascii="Times New Roman" w:hAnsi="Times New Roman" w:cs="Times New Roman"/>
          <w:sz w:val="24"/>
          <w:szCs w:val="24"/>
        </w:rPr>
        <w:t> </w:t>
      </w:r>
      <w:r w:rsidRPr="006814AE">
        <w:rPr>
          <w:rFonts w:ascii="Times New Roman" w:hAnsi="Times New Roman" w:cs="Times New Roman"/>
          <w:sz w:val="24"/>
          <w:szCs w:val="24"/>
        </w:rPr>
        <w:t>oktobra Hāgas konvencija par starptautiskās bērnu nolaupīšanas civiltiesiskajiem aspektiem noteic speciālu pārstāvja iecelšanas (pilnvarošanas) kārtību</w:t>
      </w:r>
      <w:r>
        <w:rPr>
          <w:rFonts w:ascii="Times New Roman" w:hAnsi="Times New Roman" w:cs="Times New Roman"/>
          <w:sz w:val="24"/>
          <w:szCs w:val="24"/>
        </w:rPr>
        <w:t>,</w:t>
      </w:r>
      <w:r w:rsidRPr="006814AE">
        <w:rPr>
          <w:rFonts w:ascii="Times New Roman" w:hAnsi="Times New Roman" w:cs="Times New Roman"/>
          <w:sz w:val="24"/>
          <w:szCs w:val="24"/>
        </w:rPr>
        <w:t xml:space="preserve"> un nacionālās tiesību normas par pilnvarojumu nevar sašaurināt tās tvērumu, tostarp attiecībā uz advokāta pilnvarojumu. Nav pieļaujams tāds Advokātu lietvedības noteikumu tulkojums, kas liedz pārstāvamajam tiesības uz tiesas aizsardzību pārsūdzības kārtībā situācijā, kad advokāta orderī nav norādīta institūcija, kurā zvērināts advokāts pilda uzdevumu, ja lietā iesniegta speciālajam ārējam normatīvajam aktam – Hāgas konvencijai – atbilstoša pieteicēja pārstāvja pilnvara.</w:t>
      </w:r>
    </w:p>
    <w:p w14:paraId="55A45B2E" w14:textId="41521756" w:rsidR="00EE2453" w:rsidRPr="00CC021F" w:rsidRDefault="00EE2453" w:rsidP="0003766C">
      <w:pPr>
        <w:pStyle w:val="NoSpacing"/>
        <w:spacing w:line="276" w:lineRule="auto"/>
        <w:jc w:val="both"/>
        <w:rPr>
          <w:rFonts w:ascii="Times New Roman" w:hAnsi="Times New Roman"/>
          <w:noProof/>
          <w:szCs w:val="24"/>
          <w:lang w:val="en-US" w:eastAsia="en-US"/>
        </w:rPr>
      </w:pPr>
    </w:p>
    <w:p w14:paraId="294C14AE" w14:textId="77777777" w:rsidR="009F7D0A" w:rsidRPr="00CC021F" w:rsidRDefault="009F7D0A" w:rsidP="009F7D0A">
      <w:pPr>
        <w:pStyle w:val="NoSpacing"/>
        <w:spacing w:line="276" w:lineRule="auto"/>
        <w:jc w:val="center"/>
        <w:rPr>
          <w:rFonts w:ascii="Times New Roman" w:hAnsi="Times New Roman"/>
          <w:b/>
          <w:szCs w:val="24"/>
        </w:rPr>
      </w:pPr>
      <w:r w:rsidRPr="00CC021F">
        <w:rPr>
          <w:rFonts w:ascii="Times New Roman" w:hAnsi="Times New Roman"/>
          <w:b/>
          <w:szCs w:val="24"/>
        </w:rPr>
        <w:t>Latvijas Republikas Senāta</w:t>
      </w:r>
    </w:p>
    <w:p w14:paraId="66C22CED" w14:textId="77777777" w:rsidR="009F7D0A" w:rsidRPr="00CC021F" w:rsidRDefault="009F7D0A" w:rsidP="009F7D0A">
      <w:pPr>
        <w:pStyle w:val="NoSpacing"/>
        <w:spacing w:line="276" w:lineRule="auto"/>
        <w:jc w:val="center"/>
        <w:rPr>
          <w:rFonts w:ascii="Times New Roman" w:hAnsi="Times New Roman"/>
          <w:b/>
          <w:szCs w:val="24"/>
        </w:rPr>
      </w:pPr>
      <w:r w:rsidRPr="00CC021F">
        <w:rPr>
          <w:rFonts w:ascii="Times New Roman" w:hAnsi="Times New Roman"/>
          <w:b/>
          <w:szCs w:val="24"/>
        </w:rPr>
        <w:t>Civillietu departamenta</w:t>
      </w:r>
    </w:p>
    <w:p w14:paraId="42427882" w14:textId="77777777" w:rsidR="009F7D0A" w:rsidRPr="00CC021F" w:rsidRDefault="009F7D0A" w:rsidP="009F7D0A">
      <w:pPr>
        <w:pStyle w:val="NoSpacing"/>
        <w:spacing w:line="276" w:lineRule="auto"/>
        <w:jc w:val="center"/>
        <w:rPr>
          <w:rFonts w:ascii="Times New Roman" w:hAnsi="Times New Roman"/>
          <w:b/>
          <w:bCs/>
          <w:szCs w:val="24"/>
        </w:rPr>
      </w:pPr>
      <w:proofErr w:type="gramStart"/>
      <w:r w:rsidRPr="00CC021F">
        <w:rPr>
          <w:rFonts w:ascii="Times New Roman" w:hAnsi="Times New Roman"/>
          <w:b/>
          <w:bCs/>
          <w:szCs w:val="24"/>
        </w:rPr>
        <w:t>2022.gada</w:t>
      </w:r>
      <w:proofErr w:type="gramEnd"/>
      <w:r w:rsidRPr="00CC021F">
        <w:rPr>
          <w:rFonts w:ascii="Times New Roman" w:hAnsi="Times New Roman"/>
          <w:b/>
          <w:bCs/>
          <w:szCs w:val="24"/>
        </w:rPr>
        <w:t xml:space="preserve"> [..]</w:t>
      </w:r>
    </w:p>
    <w:p w14:paraId="0B15E919" w14:textId="3101E9ED" w:rsidR="009F7D0A" w:rsidRPr="00CC021F" w:rsidRDefault="009F7D0A" w:rsidP="009F7D0A">
      <w:pPr>
        <w:spacing w:after="0" w:line="276" w:lineRule="auto"/>
        <w:jc w:val="center"/>
        <w:rPr>
          <w:rFonts w:ascii="Times New Roman" w:hAnsi="Times New Roman" w:cs="Times New Roman"/>
          <w:b/>
          <w:sz w:val="24"/>
          <w:szCs w:val="24"/>
        </w:rPr>
      </w:pPr>
      <w:r w:rsidRPr="00CC021F">
        <w:rPr>
          <w:rFonts w:ascii="Times New Roman" w:hAnsi="Times New Roman" w:cs="Times New Roman"/>
          <w:b/>
          <w:sz w:val="24"/>
          <w:szCs w:val="24"/>
        </w:rPr>
        <w:t>LĒMUMS</w:t>
      </w:r>
      <w:r w:rsidRPr="00CC021F">
        <w:rPr>
          <w:rStyle w:val="FootnoteReference"/>
          <w:rFonts w:ascii="Times New Roman" w:hAnsi="Times New Roman" w:cs="Times New Roman"/>
          <w:b/>
          <w:sz w:val="24"/>
          <w:szCs w:val="24"/>
        </w:rPr>
        <w:footnoteReference w:id="1"/>
      </w:r>
    </w:p>
    <w:p w14:paraId="629C1DB3" w14:textId="4A7BAC57" w:rsidR="009F7D0A" w:rsidRPr="00CC021F" w:rsidRDefault="009F7D0A" w:rsidP="009F7D0A">
      <w:pPr>
        <w:spacing w:after="0" w:line="276" w:lineRule="auto"/>
        <w:jc w:val="center"/>
        <w:rPr>
          <w:rFonts w:ascii="Times New Roman" w:hAnsi="Times New Roman" w:cs="Times New Roman"/>
          <w:b/>
          <w:sz w:val="24"/>
          <w:szCs w:val="24"/>
        </w:rPr>
      </w:pPr>
      <w:r w:rsidRPr="00CC021F">
        <w:rPr>
          <w:rFonts w:ascii="Times New Roman" w:hAnsi="Times New Roman" w:cs="Times New Roman"/>
          <w:b/>
          <w:sz w:val="24"/>
          <w:szCs w:val="24"/>
        </w:rPr>
        <w:t>Lieta Nr. [..], SKC</w:t>
      </w:r>
      <w:r w:rsidRPr="00CC021F">
        <w:rPr>
          <w:rFonts w:ascii="Times New Roman" w:hAnsi="Times New Roman" w:cs="Times New Roman"/>
          <w:b/>
          <w:sz w:val="24"/>
          <w:szCs w:val="24"/>
        </w:rPr>
        <w:noBreakHyphen/>
        <w:t>[E]/2022</w:t>
      </w:r>
    </w:p>
    <w:p w14:paraId="1A2C5005" w14:textId="77777777" w:rsidR="009F7D0A" w:rsidRPr="00CC021F" w:rsidRDefault="0003766C" w:rsidP="009F7D0A">
      <w:pPr>
        <w:pStyle w:val="NoSpacing"/>
        <w:spacing w:line="276" w:lineRule="auto"/>
        <w:jc w:val="center"/>
        <w:rPr>
          <w:rFonts w:ascii="Times New Roman" w:hAnsi="Times New Roman"/>
          <w:szCs w:val="24"/>
        </w:rPr>
      </w:pPr>
      <w:hyperlink r:id="rId6" w:tgtFrame="_blank" w:history="1">
        <w:r w:rsidR="009F7D0A" w:rsidRPr="00CC021F">
          <w:rPr>
            <w:rStyle w:val="Hyperlink"/>
            <w:rFonts w:ascii="Times New Roman" w:hAnsi="Times New Roman"/>
            <w:szCs w:val="24"/>
          </w:rPr>
          <w:t>ECLI:LV:AT:2022:</w:t>
        </w:r>
      </w:hyperlink>
      <w:r w:rsidR="009F7D0A" w:rsidRPr="00CC021F">
        <w:rPr>
          <w:rFonts w:ascii="Times New Roman" w:hAnsi="Times New Roman"/>
          <w:szCs w:val="24"/>
        </w:rPr>
        <w:t>[</w:t>
      </w:r>
      <w:r w:rsidR="009F7D0A" w:rsidRPr="00CC021F">
        <w:rPr>
          <w:rFonts w:ascii="Times New Roman" w:hAnsi="Times New Roman"/>
          <w:color w:val="000000"/>
          <w:szCs w:val="24"/>
        </w:rPr>
        <w:t>..]</w:t>
      </w:r>
    </w:p>
    <w:p w14:paraId="055606C7" w14:textId="77777777" w:rsidR="009F7D0A" w:rsidRPr="00CC021F" w:rsidRDefault="009F7D0A" w:rsidP="009F7D0A">
      <w:pPr>
        <w:pStyle w:val="NoSpacing"/>
        <w:spacing w:line="276" w:lineRule="auto"/>
        <w:jc w:val="center"/>
        <w:rPr>
          <w:rFonts w:ascii="Times New Roman" w:hAnsi="Times New Roman"/>
          <w:noProof/>
          <w:szCs w:val="24"/>
        </w:rPr>
      </w:pPr>
    </w:p>
    <w:p w14:paraId="2F433F9F" w14:textId="77777777" w:rsidR="00A04262" w:rsidRPr="00CC021F" w:rsidRDefault="00EE245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Senāts šādā sastāvā:</w:t>
      </w:r>
    </w:p>
    <w:p w14:paraId="7420C09D" w14:textId="77777777" w:rsidR="00A04262" w:rsidRPr="00CC021F" w:rsidRDefault="00EE245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senatore Dzintra Balta, </w:t>
      </w:r>
    </w:p>
    <w:p w14:paraId="7050AE96" w14:textId="77777777" w:rsidR="00A04262" w:rsidRPr="00CC021F" w:rsidRDefault="00332FF5"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senatore Anda Briede</w:t>
      </w:r>
      <w:r w:rsidR="00EE2453" w:rsidRPr="00CC021F">
        <w:rPr>
          <w:rFonts w:ascii="Times New Roman" w:hAnsi="Times New Roman"/>
          <w:szCs w:val="24"/>
        </w:rPr>
        <w:t>,</w:t>
      </w:r>
    </w:p>
    <w:p w14:paraId="1787DF90" w14:textId="62469C9D" w:rsidR="00EE2453" w:rsidRPr="00CC021F" w:rsidRDefault="00A93626"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senators Aivars Keišs</w:t>
      </w:r>
      <w:r w:rsidR="00330AEE" w:rsidRPr="00CC021F">
        <w:rPr>
          <w:rFonts w:ascii="Times New Roman" w:hAnsi="Times New Roman"/>
          <w:szCs w:val="24"/>
        </w:rPr>
        <w:t xml:space="preserve"> </w:t>
      </w:r>
    </w:p>
    <w:p w14:paraId="52985594" w14:textId="77777777" w:rsidR="00EE2453" w:rsidRPr="00CC021F" w:rsidRDefault="00EE2453" w:rsidP="009F7D0A">
      <w:pPr>
        <w:pStyle w:val="NoSpacing"/>
        <w:spacing w:line="276" w:lineRule="auto"/>
        <w:rPr>
          <w:rFonts w:ascii="Times New Roman" w:hAnsi="Times New Roman"/>
          <w:szCs w:val="24"/>
        </w:rPr>
      </w:pPr>
    </w:p>
    <w:p w14:paraId="6BB3C7D9" w14:textId="48613119" w:rsidR="00FF3986" w:rsidRPr="00CC021F" w:rsidRDefault="00EE2453" w:rsidP="009F7D0A">
      <w:pPr>
        <w:pStyle w:val="NoSpacing"/>
        <w:spacing w:line="276" w:lineRule="auto"/>
        <w:ind w:firstLine="567"/>
        <w:jc w:val="both"/>
        <w:rPr>
          <w:rFonts w:ascii="Times New Roman" w:hAnsi="Times New Roman"/>
          <w:szCs w:val="24"/>
        </w:rPr>
      </w:pPr>
      <w:r w:rsidRPr="00CC021F">
        <w:rPr>
          <w:rFonts w:ascii="Times New Roman" w:hAnsi="Times New Roman"/>
          <w:szCs w:val="24"/>
          <w:lang w:val="lt-LT"/>
        </w:rPr>
        <w:t xml:space="preserve">rakstveida procesā izskatīja </w:t>
      </w:r>
      <w:r w:rsidR="009F7D0A" w:rsidRPr="00CC021F">
        <w:rPr>
          <w:rFonts w:ascii="Times New Roman" w:eastAsiaTheme="minorHAnsi" w:hAnsi="Times New Roman"/>
          <w:color w:val="000000"/>
          <w:szCs w:val="24"/>
          <w:lang w:val="lt-LT" w:eastAsia="en-US" w:bidi="bn-IN"/>
        </w:rPr>
        <w:t>[pers. A</w:t>
      </w:r>
      <w:r w:rsidR="00FF3986" w:rsidRPr="00CC021F">
        <w:rPr>
          <w:rFonts w:ascii="Times New Roman" w:eastAsiaTheme="minorHAnsi" w:hAnsi="Times New Roman"/>
          <w:color w:val="000000"/>
          <w:szCs w:val="24"/>
          <w:lang w:val="lt-LT" w:eastAsia="en-US" w:bidi="bn-IN"/>
        </w:rPr>
        <w:t xml:space="preserve"> (</w:t>
      </w:r>
      <w:r w:rsidR="009F7D0A" w:rsidRPr="00CC021F">
        <w:rPr>
          <w:rFonts w:ascii="Times New Roman" w:eastAsiaTheme="minorHAnsi" w:hAnsi="Times New Roman"/>
          <w:i/>
          <w:iCs/>
          <w:color w:val="000000"/>
          <w:szCs w:val="24"/>
          <w:lang w:val="lt-LT" w:eastAsia="en-US" w:bidi="bn-IN"/>
        </w:rPr>
        <w:t>[..]</w:t>
      </w:r>
      <w:r w:rsidR="00FF3986" w:rsidRPr="00CC021F">
        <w:rPr>
          <w:rFonts w:ascii="Times New Roman" w:eastAsiaTheme="minorHAnsi" w:hAnsi="Times New Roman"/>
          <w:color w:val="000000"/>
          <w:szCs w:val="24"/>
          <w:lang w:val="lt-LT" w:eastAsia="en-US" w:bidi="bn-IN"/>
        </w:rPr>
        <w:t xml:space="preserve">) pārstāves zvērinātas advokātes Antras Kalējas blakus sūdzību par </w:t>
      </w:r>
      <w:r w:rsidR="009F7D0A" w:rsidRPr="00CC021F">
        <w:rPr>
          <w:rFonts w:ascii="Times New Roman" w:eastAsiaTheme="minorHAnsi" w:hAnsi="Times New Roman"/>
          <w:color w:val="000000"/>
          <w:szCs w:val="24"/>
          <w:lang w:val="lt-LT" w:eastAsia="en-US" w:bidi="bn-IN"/>
        </w:rPr>
        <w:t>[..]</w:t>
      </w:r>
      <w:r w:rsidR="00FF3986" w:rsidRPr="00CC021F">
        <w:rPr>
          <w:rFonts w:ascii="Times New Roman" w:eastAsiaTheme="minorHAnsi" w:hAnsi="Times New Roman"/>
          <w:color w:val="000000"/>
          <w:szCs w:val="24"/>
          <w:lang w:val="lt-LT" w:eastAsia="en-US" w:bidi="bn-IN"/>
        </w:rPr>
        <w:t xml:space="preserve"> apgabaltiesas Civillietu tiesas kolēģijas tiesneša 2022.gada </w:t>
      </w:r>
      <w:r w:rsidR="00B41DFB" w:rsidRPr="00CC021F">
        <w:rPr>
          <w:rFonts w:ascii="Times New Roman" w:eastAsiaTheme="minorHAnsi" w:hAnsi="Times New Roman"/>
          <w:color w:val="000000"/>
          <w:szCs w:val="24"/>
          <w:lang w:val="lt-LT" w:eastAsia="en-US" w:bidi="bn-IN"/>
        </w:rPr>
        <w:t>[..]</w:t>
      </w:r>
      <w:r w:rsidR="00FF3986" w:rsidRPr="00CC021F">
        <w:rPr>
          <w:rFonts w:ascii="Times New Roman" w:eastAsiaTheme="minorHAnsi" w:hAnsi="Times New Roman"/>
          <w:color w:val="000000"/>
          <w:szCs w:val="24"/>
          <w:lang w:val="lt-LT" w:eastAsia="en-US" w:bidi="bn-IN"/>
        </w:rPr>
        <w:t xml:space="preserve"> lēmumu</w:t>
      </w:r>
      <w:r w:rsidR="00FF3986" w:rsidRPr="00CC021F">
        <w:rPr>
          <w:rFonts w:ascii="Times New Roman" w:eastAsiaTheme="minorHAnsi" w:hAnsi="Times New Roman"/>
          <w:color w:val="000000"/>
          <w:szCs w:val="24"/>
          <w:lang w:eastAsia="en-US" w:bidi="bn-IN"/>
        </w:rPr>
        <w:t>.</w:t>
      </w:r>
    </w:p>
    <w:p w14:paraId="64EFF7BB" w14:textId="77777777" w:rsidR="00154404" w:rsidRPr="00CC021F" w:rsidRDefault="00154404" w:rsidP="009F7D0A">
      <w:pPr>
        <w:pStyle w:val="NoSpacing"/>
        <w:spacing w:line="276" w:lineRule="auto"/>
        <w:jc w:val="center"/>
        <w:rPr>
          <w:rFonts w:ascii="Times New Roman" w:hAnsi="Times New Roman"/>
          <w:b/>
          <w:szCs w:val="24"/>
        </w:rPr>
      </w:pPr>
    </w:p>
    <w:p w14:paraId="64FF9EBE" w14:textId="77777777" w:rsidR="00EE2453" w:rsidRPr="00CC021F" w:rsidRDefault="00EE2453" w:rsidP="009F7D0A">
      <w:pPr>
        <w:pStyle w:val="NoSpacing"/>
        <w:spacing w:line="276" w:lineRule="auto"/>
        <w:jc w:val="center"/>
        <w:rPr>
          <w:rFonts w:ascii="Times New Roman" w:hAnsi="Times New Roman"/>
          <w:szCs w:val="24"/>
        </w:rPr>
      </w:pPr>
      <w:r w:rsidRPr="00CC021F">
        <w:rPr>
          <w:rFonts w:ascii="Times New Roman" w:hAnsi="Times New Roman"/>
          <w:b/>
          <w:szCs w:val="24"/>
        </w:rPr>
        <w:t>Aprakstošā daļa</w:t>
      </w:r>
    </w:p>
    <w:p w14:paraId="3D79C8BF" w14:textId="77777777" w:rsidR="00EE2453" w:rsidRPr="00CC021F" w:rsidRDefault="00EE2453" w:rsidP="009F7D0A">
      <w:pPr>
        <w:pStyle w:val="NoSpacing"/>
        <w:spacing w:line="276" w:lineRule="auto"/>
        <w:rPr>
          <w:rFonts w:ascii="Times New Roman" w:hAnsi="Times New Roman"/>
          <w:szCs w:val="24"/>
          <w:lang w:val="lt-LT"/>
        </w:rPr>
      </w:pPr>
    </w:p>
    <w:p w14:paraId="4C9B25A2" w14:textId="3972BD4D" w:rsidR="00FF3986" w:rsidRPr="00CC021F" w:rsidRDefault="00EE2453" w:rsidP="009F7D0A">
      <w:pPr>
        <w:autoSpaceDE w:val="0"/>
        <w:autoSpaceDN w:val="0"/>
        <w:adjustRightInd w:val="0"/>
        <w:spacing w:after="0" w:line="276" w:lineRule="auto"/>
        <w:ind w:firstLine="567"/>
        <w:jc w:val="both"/>
        <w:rPr>
          <w:rFonts w:ascii="Times New Roman" w:hAnsi="Times New Roman" w:cs="Times New Roman"/>
          <w:sz w:val="24"/>
          <w:szCs w:val="24"/>
          <w:lang w:val="lt-LT"/>
        </w:rPr>
      </w:pPr>
      <w:r w:rsidRPr="00CC021F">
        <w:rPr>
          <w:rFonts w:ascii="Times New Roman" w:hAnsi="Times New Roman" w:cs="Times New Roman"/>
          <w:sz w:val="24"/>
          <w:szCs w:val="24"/>
          <w:lang w:val="lt-LT"/>
        </w:rPr>
        <w:t>[1] </w:t>
      </w:r>
      <w:r w:rsidR="00E243AD" w:rsidRPr="00CC021F">
        <w:rPr>
          <w:rFonts w:ascii="Times New Roman" w:hAnsi="Times New Roman" w:cs="Times New Roman"/>
          <w:sz w:val="24"/>
          <w:szCs w:val="24"/>
        </w:rPr>
        <w:t xml:space="preserve">Ar </w:t>
      </w:r>
      <w:r w:rsidR="009F7D0A" w:rsidRPr="00CC021F">
        <w:rPr>
          <w:rFonts w:ascii="Times New Roman" w:hAnsi="Times New Roman" w:cs="Times New Roman"/>
          <w:sz w:val="24"/>
          <w:szCs w:val="24"/>
        </w:rPr>
        <w:t>[..]</w:t>
      </w:r>
      <w:r w:rsidR="00C9364B" w:rsidRPr="00CC021F">
        <w:rPr>
          <w:rFonts w:ascii="Times New Roman" w:hAnsi="Times New Roman" w:cs="Times New Roman"/>
          <w:sz w:val="24"/>
          <w:szCs w:val="24"/>
        </w:rPr>
        <w:t xml:space="preserve"> tiesas </w:t>
      </w:r>
      <w:proofErr w:type="gramStart"/>
      <w:r w:rsidR="00C9364B" w:rsidRPr="00CC021F">
        <w:rPr>
          <w:rFonts w:ascii="Times New Roman" w:hAnsi="Times New Roman" w:cs="Times New Roman"/>
          <w:sz w:val="24"/>
          <w:szCs w:val="24"/>
        </w:rPr>
        <w:t>2022.</w:t>
      </w:r>
      <w:r w:rsidR="00E243AD" w:rsidRPr="00CC021F">
        <w:rPr>
          <w:rFonts w:ascii="Times New Roman" w:hAnsi="Times New Roman" w:cs="Times New Roman"/>
          <w:sz w:val="24"/>
          <w:szCs w:val="24"/>
        </w:rPr>
        <w:t>gada</w:t>
      </w:r>
      <w:proofErr w:type="gramEnd"/>
      <w:r w:rsidR="00E243AD" w:rsidRPr="00CC021F">
        <w:rPr>
          <w:rFonts w:ascii="Times New Roman" w:hAnsi="Times New Roman" w:cs="Times New Roman"/>
          <w:sz w:val="24"/>
          <w:szCs w:val="24"/>
        </w:rPr>
        <w:t xml:space="preserve"> </w:t>
      </w:r>
      <w:r w:rsidR="009F7D0A" w:rsidRPr="00CC021F">
        <w:rPr>
          <w:rFonts w:ascii="Times New Roman" w:hAnsi="Times New Roman" w:cs="Times New Roman"/>
          <w:sz w:val="24"/>
          <w:szCs w:val="24"/>
        </w:rPr>
        <w:t>[..]</w:t>
      </w:r>
      <w:r w:rsidR="00E243AD" w:rsidRPr="00CC021F">
        <w:rPr>
          <w:rFonts w:ascii="Times New Roman" w:hAnsi="Times New Roman" w:cs="Times New Roman"/>
          <w:sz w:val="24"/>
          <w:szCs w:val="24"/>
        </w:rPr>
        <w:t xml:space="preserve">.aprīļa lēmumu noraidīts </w:t>
      </w:r>
      <w:r w:rsidR="00675CDC" w:rsidRPr="00CC021F">
        <w:rPr>
          <w:rFonts w:ascii="Times New Roman" w:hAnsi="Times New Roman" w:cs="Times New Roman"/>
          <w:sz w:val="24"/>
          <w:szCs w:val="24"/>
        </w:rPr>
        <w:t xml:space="preserve">[pers. A] </w:t>
      </w:r>
      <w:r w:rsidR="00FF3986" w:rsidRPr="00CC021F">
        <w:rPr>
          <w:rFonts w:ascii="Times New Roman" w:hAnsi="Times New Roman" w:cs="Times New Roman"/>
          <w:sz w:val="24"/>
          <w:szCs w:val="24"/>
          <w:lang w:val="lt-LT" w:bidi="bn-IN"/>
        </w:rPr>
        <w:t>(</w:t>
      </w:r>
      <w:r w:rsidR="00675CDC" w:rsidRPr="00CC021F">
        <w:rPr>
          <w:rFonts w:ascii="Times New Roman" w:hAnsi="Times New Roman" w:cs="Times New Roman"/>
          <w:sz w:val="24"/>
          <w:szCs w:val="24"/>
          <w:lang w:val="lt-LT" w:bidi="bn-IN"/>
        </w:rPr>
        <w:t>[..]</w:t>
      </w:r>
      <w:r w:rsidR="00FF3986" w:rsidRPr="00CC021F">
        <w:rPr>
          <w:rFonts w:ascii="Times New Roman" w:hAnsi="Times New Roman" w:cs="Times New Roman"/>
          <w:sz w:val="24"/>
          <w:szCs w:val="24"/>
          <w:lang w:val="lt-LT" w:bidi="bn-IN"/>
        </w:rPr>
        <w:t>)</w:t>
      </w:r>
      <w:r w:rsidR="00FF3986" w:rsidRPr="00CC021F">
        <w:rPr>
          <w:rFonts w:ascii="Times New Roman" w:hAnsi="Times New Roman" w:cs="Times New Roman"/>
          <w:sz w:val="24"/>
          <w:szCs w:val="24"/>
          <w:lang w:val="lt-LT"/>
        </w:rPr>
        <w:t xml:space="preserve"> </w:t>
      </w:r>
      <w:r w:rsidR="00E243AD" w:rsidRPr="00CC021F">
        <w:rPr>
          <w:rFonts w:ascii="Times New Roman" w:hAnsi="Times New Roman" w:cs="Times New Roman"/>
          <w:sz w:val="24"/>
          <w:szCs w:val="24"/>
          <w:lang w:val="lt-LT" w:bidi="bn-IN"/>
        </w:rPr>
        <w:t>pieteikums</w:t>
      </w:r>
      <w:r w:rsidR="00FF3986" w:rsidRPr="00CC021F">
        <w:rPr>
          <w:rFonts w:ascii="Times New Roman" w:hAnsi="Times New Roman" w:cs="Times New Roman"/>
          <w:sz w:val="24"/>
          <w:szCs w:val="24"/>
          <w:lang w:val="lt-LT" w:bidi="bn-IN"/>
        </w:rPr>
        <w:t xml:space="preserve"> par </w:t>
      </w:r>
      <w:r w:rsidR="001A5741" w:rsidRPr="00CC021F">
        <w:rPr>
          <w:rFonts w:ascii="Times New Roman" w:hAnsi="Times New Roman" w:cs="Times New Roman"/>
          <w:sz w:val="24"/>
          <w:szCs w:val="24"/>
          <w:lang w:val="lt-LT" w:bidi="bn-IN"/>
        </w:rPr>
        <w:t xml:space="preserve">pieteicēja un </w:t>
      </w:r>
      <w:r w:rsidR="00675CDC" w:rsidRPr="00CC021F">
        <w:rPr>
          <w:rFonts w:ascii="Times New Roman" w:hAnsi="Times New Roman" w:cs="Times New Roman"/>
          <w:sz w:val="24"/>
          <w:szCs w:val="24"/>
          <w:lang w:val="lt-LT" w:bidi="bn-IN"/>
        </w:rPr>
        <w:t>[pers. B]</w:t>
      </w:r>
      <w:r w:rsidR="001A5741" w:rsidRPr="00CC021F">
        <w:rPr>
          <w:rFonts w:ascii="Times New Roman" w:hAnsi="Times New Roman" w:cs="Times New Roman"/>
          <w:sz w:val="24"/>
          <w:szCs w:val="24"/>
          <w:lang w:val="lt-LT" w:bidi="bn-IN"/>
        </w:rPr>
        <w:t xml:space="preserve"> </w:t>
      </w:r>
      <w:r w:rsidR="00675CDC" w:rsidRPr="00CC021F">
        <w:rPr>
          <w:rFonts w:ascii="Times New Roman" w:hAnsi="Times New Roman" w:cs="Times New Roman"/>
          <w:sz w:val="24"/>
          <w:szCs w:val="24"/>
          <w:lang w:val="lt-LT" w:bidi="bn-IN"/>
        </w:rPr>
        <w:t>bērnu</w:t>
      </w:r>
      <w:r w:rsidR="00FF3986" w:rsidRPr="00CC021F">
        <w:rPr>
          <w:rFonts w:ascii="Times New Roman" w:hAnsi="Times New Roman" w:cs="Times New Roman"/>
          <w:sz w:val="24"/>
          <w:szCs w:val="24"/>
          <w:lang w:val="lt-LT" w:bidi="bn-IN"/>
        </w:rPr>
        <w:t xml:space="preserve">: </w:t>
      </w:r>
      <w:r w:rsidR="00675CDC" w:rsidRPr="00CC021F">
        <w:rPr>
          <w:rFonts w:ascii="Times New Roman" w:hAnsi="Times New Roman" w:cs="Times New Roman"/>
          <w:sz w:val="24"/>
          <w:szCs w:val="24"/>
          <w:lang w:val="lt-LT" w:bidi="bn-IN"/>
        </w:rPr>
        <w:t>[pers. C]</w:t>
      </w:r>
      <w:r w:rsidR="00C9364B" w:rsidRPr="00CC021F">
        <w:rPr>
          <w:rFonts w:ascii="Times New Roman" w:hAnsi="Times New Roman" w:cs="Times New Roman"/>
          <w:sz w:val="24"/>
          <w:szCs w:val="24"/>
          <w:lang w:val="lt-LT" w:bidi="bn-IN"/>
        </w:rPr>
        <w:t xml:space="preserve">, dzimuša </w:t>
      </w:r>
      <w:r w:rsidR="00675CDC" w:rsidRPr="00CC021F">
        <w:rPr>
          <w:rFonts w:ascii="Times New Roman" w:hAnsi="Times New Roman" w:cs="Times New Roman"/>
          <w:sz w:val="24"/>
          <w:szCs w:val="24"/>
          <w:lang w:val="lt-LT" w:bidi="bn-IN"/>
        </w:rPr>
        <w:t>[..]</w:t>
      </w:r>
      <w:r w:rsidR="00FF3986" w:rsidRPr="00CC021F">
        <w:rPr>
          <w:rFonts w:ascii="Times New Roman" w:hAnsi="Times New Roman" w:cs="Times New Roman"/>
          <w:sz w:val="24"/>
          <w:szCs w:val="24"/>
          <w:lang w:val="lt-LT" w:bidi="bn-IN"/>
        </w:rPr>
        <w:t>, un</w:t>
      </w:r>
      <w:r w:rsidR="00675CDC" w:rsidRPr="00CC021F">
        <w:rPr>
          <w:rFonts w:ascii="Times New Roman" w:hAnsi="Times New Roman" w:cs="Times New Roman"/>
          <w:sz w:val="24"/>
          <w:szCs w:val="24"/>
          <w:lang w:val="lt-LT" w:bidi="bn-IN"/>
        </w:rPr>
        <w:t>[pers. D]</w:t>
      </w:r>
      <w:r w:rsidR="00C9364B" w:rsidRPr="00CC021F">
        <w:rPr>
          <w:rFonts w:ascii="Times New Roman" w:hAnsi="Times New Roman" w:cs="Times New Roman"/>
          <w:sz w:val="24"/>
          <w:szCs w:val="24"/>
          <w:lang w:val="lt-LT" w:bidi="bn-IN"/>
        </w:rPr>
        <w:t>, dzimuša</w:t>
      </w:r>
      <w:r w:rsidR="00675CDC" w:rsidRPr="00CC021F">
        <w:rPr>
          <w:rFonts w:ascii="Times New Roman" w:hAnsi="Times New Roman" w:cs="Times New Roman"/>
          <w:sz w:val="24"/>
          <w:szCs w:val="24"/>
          <w:lang w:val="lt-LT" w:bidi="bn-IN"/>
        </w:rPr>
        <w:t xml:space="preserve"> [..]</w:t>
      </w:r>
      <w:r w:rsidR="00FF3986" w:rsidRPr="00CC021F">
        <w:rPr>
          <w:rFonts w:ascii="Times New Roman" w:hAnsi="Times New Roman" w:cs="Times New Roman"/>
          <w:sz w:val="24"/>
          <w:szCs w:val="24"/>
          <w:lang w:val="lt-LT" w:bidi="bn-IN"/>
        </w:rPr>
        <w:t>, atgriešan</w:t>
      </w:r>
      <w:r w:rsidR="00797D5D" w:rsidRPr="00CC021F">
        <w:rPr>
          <w:rFonts w:ascii="Times New Roman" w:hAnsi="Times New Roman" w:cs="Times New Roman"/>
          <w:sz w:val="24"/>
          <w:szCs w:val="24"/>
          <w:lang w:val="lt-LT" w:bidi="bn-IN"/>
        </w:rPr>
        <w:t>u</w:t>
      </w:r>
      <w:r w:rsidR="00FF3986" w:rsidRPr="00CC021F">
        <w:rPr>
          <w:rFonts w:ascii="Times New Roman" w:hAnsi="Times New Roman" w:cs="Times New Roman"/>
          <w:sz w:val="24"/>
          <w:szCs w:val="24"/>
          <w:lang w:val="lt-LT" w:bidi="bn-IN"/>
        </w:rPr>
        <w:t xml:space="preserve"> no Latvijas</w:t>
      </w:r>
      <w:r w:rsidR="00FF3986" w:rsidRPr="00CC021F">
        <w:rPr>
          <w:rFonts w:ascii="Times New Roman" w:hAnsi="Times New Roman" w:cs="Times New Roman"/>
          <w:sz w:val="24"/>
          <w:szCs w:val="24"/>
          <w:lang w:val="lt-LT"/>
        </w:rPr>
        <w:t xml:space="preserve"> </w:t>
      </w:r>
      <w:r w:rsidR="00FF3986" w:rsidRPr="00CC021F">
        <w:rPr>
          <w:rFonts w:ascii="Times New Roman" w:hAnsi="Times New Roman" w:cs="Times New Roman"/>
          <w:sz w:val="24"/>
          <w:szCs w:val="24"/>
          <w:lang w:val="lt-LT" w:bidi="bn-IN"/>
        </w:rPr>
        <w:t xml:space="preserve">Skotijā saskaņā ar </w:t>
      </w:r>
      <w:bookmarkStart w:id="0" w:name="_Hlk109133262"/>
      <w:r w:rsidR="00C9364B" w:rsidRPr="00CC021F">
        <w:rPr>
          <w:rFonts w:ascii="Times New Roman" w:hAnsi="Times New Roman" w:cs="Times New Roman"/>
          <w:sz w:val="24"/>
          <w:szCs w:val="24"/>
          <w:lang w:val="lt-LT" w:bidi="bn-IN"/>
        </w:rPr>
        <w:t>1980.gada 25.</w:t>
      </w:r>
      <w:r w:rsidR="00FF3986" w:rsidRPr="00CC021F">
        <w:rPr>
          <w:rFonts w:ascii="Times New Roman" w:hAnsi="Times New Roman" w:cs="Times New Roman"/>
          <w:sz w:val="24"/>
          <w:szCs w:val="24"/>
          <w:lang w:val="lt-LT" w:bidi="bn-IN"/>
        </w:rPr>
        <w:t>oktobra Hāgas konvenciju par starptautiskās bērnu nolaupīšanas</w:t>
      </w:r>
      <w:r w:rsidR="00FF3986" w:rsidRPr="00CC021F">
        <w:rPr>
          <w:rFonts w:ascii="Times New Roman" w:hAnsi="Times New Roman" w:cs="Times New Roman"/>
          <w:sz w:val="24"/>
          <w:szCs w:val="24"/>
          <w:lang w:val="lt-LT"/>
        </w:rPr>
        <w:t xml:space="preserve"> </w:t>
      </w:r>
      <w:r w:rsidR="00FF3986" w:rsidRPr="00CC021F">
        <w:rPr>
          <w:rFonts w:ascii="Times New Roman" w:hAnsi="Times New Roman" w:cs="Times New Roman"/>
          <w:sz w:val="24"/>
          <w:szCs w:val="24"/>
          <w:lang w:val="lt-LT" w:bidi="bn-IN"/>
        </w:rPr>
        <w:t xml:space="preserve">civiltiesiskajiem aspektiem (turpmāk – </w:t>
      </w:r>
      <w:r w:rsidR="00900474" w:rsidRPr="00CC021F">
        <w:rPr>
          <w:rFonts w:ascii="Times New Roman" w:hAnsi="Times New Roman" w:cs="Times New Roman"/>
          <w:sz w:val="24"/>
          <w:szCs w:val="24"/>
          <w:lang w:val="lt-LT" w:bidi="bn-IN"/>
        </w:rPr>
        <w:t>Hāgas k</w:t>
      </w:r>
      <w:r w:rsidR="00FF3986" w:rsidRPr="00CC021F">
        <w:rPr>
          <w:rFonts w:ascii="Times New Roman" w:hAnsi="Times New Roman" w:cs="Times New Roman"/>
          <w:sz w:val="24"/>
          <w:szCs w:val="24"/>
          <w:lang w:val="lt-LT" w:bidi="bn-IN"/>
        </w:rPr>
        <w:t>onvencija)</w:t>
      </w:r>
      <w:bookmarkEnd w:id="0"/>
      <w:r w:rsidR="00FF3986" w:rsidRPr="00CC021F">
        <w:rPr>
          <w:rFonts w:ascii="Times New Roman" w:hAnsi="Times New Roman" w:cs="Times New Roman"/>
          <w:sz w:val="24"/>
          <w:szCs w:val="24"/>
          <w:lang w:val="lt-LT" w:bidi="bn-IN"/>
        </w:rPr>
        <w:t>.</w:t>
      </w:r>
    </w:p>
    <w:p w14:paraId="1753EAE8" w14:textId="77777777" w:rsidR="00B30AB8" w:rsidRPr="00CC021F" w:rsidRDefault="00B30AB8" w:rsidP="009F7D0A">
      <w:pPr>
        <w:autoSpaceDE w:val="0"/>
        <w:autoSpaceDN w:val="0"/>
        <w:adjustRightInd w:val="0"/>
        <w:spacing w:after="0" w:line="276" w:lineRule="auto"/>
        <w:jc w:val="both"/>
        <w:rPr>
          <w:rFonts w:ascii="Times New Roman" w:hAnsi="Times New Roman" w:cs="Times New Roman"/>
          <w:sz w:val="24"/>
          <w:szCs w:val="24"/>
        </w:rPr>
      </w:pPr>
    </w:p>
    <w:p w14:paraId="26E9C693" w14:textId="41882BB6" w:rsidR="00B55C6C" w:rsidRPr="00CC021F" w:rsidRDefault="00B22968"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[2] </w:t>
      </w:r>
      <w:r w:rsidR="00797D5D" w:rsidRPr="00CC021F">
        <w:rPr>
          <w:rFonts w:ascii="Times New Roman" w:hAnsi="Times New Roman"/>
          <w:szCs w:val="24"/>
        </w:rPr>
        <w:t xml:space="preserve">Ar </w:t>
      </w:r>
      <w:r w:rsidR="00675CDC" w:rsidRPr="00CC021F">
        <w:rPr>
          <w:rFonts w:ascii="Times New Roman" w:hAnsi="Times New Roman"/>
          <w:szCs w:val="24"/>
        </w:rPr>
        <w:t>[..]</w:t>
      </w:r>
      <w:r w:rsidR="00797D5D" w:rsidRPr="00CC021F">
        <w:rPr>
          <w:rFonts w:ascii="Times New Roman" w:hAnsi="Times New Roman"/>
          <w:szCs w:val="24"/>
        </w:rPr>
        <w:t xml:space="preserve"> apgabaltiesas tiesnese</w:t>
      </w:r>
      <w:r w:rsidR="00C9364B" w:rsidRPr="00CC021F">
        <w:rPr>
          <w:rFonts w:ascii="Times New Roman" w:hAnsi="Times New Roman"/>
          <w:szCs w:val="24"/>
        </w:rPr>
        <w:t xml:space="preserve">s </w:t>
      </w:r>
      <w:proofErr w:type="gramStart"/>
      <w:r w:rsidR="00C9364B" w:rsidRPr="00CC021F">
        <w:rPr>
          <w:rFonts w:ascii="Times New Roman" w:hAnsi="Times New Roman"/>
          <w:szCs w:val="24"/>
        </w:rPr>
        <w:t>2022.gada</w:t>
      </w:r>
      <w:proofErr w:type="gramEnd"/>
      <w:r w:rsidR="00C9364B" w:rsidRPr="00CC021F">
        <w:rPr>
          <w:rFonts w:ascii="Times New Roman" w:hAnsi="Times New Roman"/>
          <w:szCs w:val="24"/>
        </w:rPr>
        <w:t xml:space="preserve"> </w:t>
      </w:r>
      <w:r w:rsidR="00675CDC" w:rsidRPr="00CC021F">
        <w:rPr>
          <w:rFonts w:ascii="Times New Roman" w:hAnsi="Times New Roman"/>
          <w:szCs w:val="24"/>
        </w:rPr>
        <w:t xml:space="preserve">[..] </w:t>
      </w:r>
      <w:r w:rsidR="00797D5D" w:rsidRPr="00CC021F">
        <w:rPr>
          <w:rFonts w:ascii="Times New Roman" w:hAnsi="Times New Roman"/>
          <w:szCs w:val="24"/>
        </w:rPr>
        <w:t>maij</w:t>
      </w:r>
      <w:r w:rsidR="00D7791E" w:rsidRPr="00CC021F">
        <w:rPr>
          <w:rFonts w:ascii="Times New Roman" w:hAnsi="Times New Roman"/>
          <w:szCs w:val="24"/>
        </w:rPr>
        <w:t>a</w:t>
      </w:r>
      <w:r w:rsidR="00797D5D" w:rsidRPr="00CC021F">
        <w:rPr>
          <w:rFonts w:ascii="Times New Roman" w:hAnsi="Times New Roman"/>
          <w:szCs w:val="24"/>
        </w:rPr>
        <w:t xml:space="preserve"> lēmumu atteikts ierosināt apelācijas tiesvedību sakarā ar </w:t>
      </w:r>
      <w:r w:rsidR="00860776" w:rsidRPr="00CC021F">
        <w:rPr>
          <w:rFonts w:ascii="Times New Roman" w:hAnsi="Times New Roman"/>
          <w:szCs w:val="24"/>
          <w:lang w:val="lt-LT" w:bidi="bn-IN"/>
        </w:rPr>
        <w:t xml:space="preserve">pieteicēja </w:t>
      </w:r>
      <w:r w:rsidR="00E243AD" w:rsidRPr="00CC021F">
        <w:rPr>
          <w:rFonts w:ascii="Times New Roman" w:hAnsi="Times New Roman"/>
          <w:color w:val="000000"/>
          <w:szCs w:val="24"/>
          <w:lang w:val="lt-LT" w:bidi="bn-IN"/>
        </w:rPr>
        <w:t>blakus sūdzīb</w:t>
      </w:r>
      <w:r w:rsidR="00797D5D" w:rsidRPr="00CC021F">
        <w:rPr>
          <w:rFonts w:ascii="Times New Roman" w:hAnsi="Times New Roman"/>
          <w:color w:val="000000"/>
          <w:szCs w:val="24"/>
          <w:lang w:val="lt-LT" w:bidi="bn-IN"/>
        </w:rPr>
        <w:t>u</w:t>
      </w:r>
      <w:r w:rsidR="00E243AD" w:rsidRPr="00CC021F">
        <w:rPr>
          <w:rFonts w:ascii="Times New Roman" w:hAnsi="Times New Roman"/>
          <w:color w:val="000000"/>
          <w:szCs w:val="24"/>
          <w:lang w:val="lt-LT" w:bidi="bn-IN"/>
        </w:rPr>
        <w:t xml:space="preserve"> par minēto lēmumu</w:t>
      </w:r>
      <w:r w:rsidR="00BE4508" w:rsidRPr="00CC021F">
        <w:rPr>
          <w:rFonts w:ascii="Times New Roman" w:hAnsi="Times New Roman"/>
          <w:color w:val="000000"/>
          <w:szCs w:val="24"/>
          <w:lang w:val="lt-LT" w:bidi="bn-IN"/>
        </w:rPr>
        <w:t xml:space="preserve">, kā arī sūdzību </w:t>
      </w:r>
      <w:r w:rsidR="00BE4508" w:rsidRPr="00CC021F">
        <w:rPr>
          <w:rFonts w:ascii="Times New Roman" w:hAnsi="Times New Roman"/>
          <w:szCs w:val="24"/>
          <w:lang w:bidi="bn-IN"/>
        </w:rPr>
        <w:t xml:space="preserve">kopā ar lietu </w:t>
      </w:r>
      <w:r w:rsidR="00BE4508" w:rsidRPr="00CC021F">
        <w:rPr>
          <w:rFonts w:ascii="Times New Roman" w:hAnsi="Times New Roman"/>
          <w:color w:val="000000"/>
          <w:szCs w:val="24"/>
          <w:lang w:val="lt-LT" w:bidi="bn-IN"/>
        </w:rPr>
        <w:t>nolemts</w:t>
      </w:r>
      <w:r w:rsidR="00BE4508" w:rsidRPr="00CC021F">
        <w:rPr>
          <w:rFonts w:ascii="Times New Roman" w:hAnsi="Times New Roman"/>
          <w:szCs w:val="24"/>
          <w:lang w:bidi="bn-IN"/>
        </w:rPr>
        <w:t xml:space="preserve"> nosūtīt pirmās instances tiesai, kurai sūdzība jāatdod iesniedzējai</w:t>
      </w:r>
      <w:r w:rsidR="00797D5D" w:rsidRPr="00CC021F">
        <w:rPr>
          <w:rFonts w:ascii="Times New Roman" w:hAnsi="Times New Roman"/>
          <w:color w:val="000000"/>
          <w:szCs w:val="24"/>
          <w:lang w:val="lt-LT" w:bidi="bn-IN"/>
        </w:rPr>
        <w:t xml:space="preserve">. Lēmums </w:t>
      </w:r>
      <w:r w:rsidR="00900176" w:rsidRPr="00CC021F">
        <w:rPr>
          <w:rFonts w:ascii="Times New Roman" w:hAnsi="Times New Roman"/>
          <w:szCs w:val="24"/>
        </w:rPr>
        <w:t xml:space="preserve">pamatots </w:t>
      </w:r>
      <w:r w:rsidR="00797D5D" w:rsidRPr="00CC021F">
        <w:rPr>
          <w:rFonts w:ascii="Times New Roman" w:hAnsi="Times New Roman"/>
          <w:szCs w:val="24"/>
        </w:rPr>
        <w:t>ar</w:t>
      </w:r>
      <w:r w:rsidR="00900176" w:rsidRPr="00CC021F">
        <w:rPr>
          <w:rFonts w:ascii="Times New Roman" w:hAnsi="Times New Roman"/>
          <w:szCs w:val="24"/>
        </w:rPr>
        <w:t xml:space="preserve"> </w:t>
      </w:r>
      <w:r w:rsidR="00BE43A8" w:rsidRPr="00CC021F">
        <w:rPr>
          <w:rFonts w:ascii="Times New Roman" w:hAnsi="Times New Roman"/>
          <w:szCs w:val="24"/>
        </w:rPr>
        <w:t xml:space="preserve">šādiem </w:t>
      </w:r>
      <w:r w:rsidR="008D2D98" w:rsidRPr="00CC021F">
        <w:rPr>
          <w:rFonts w:ascii="Times New Roman" w:hAnsi="Times New Roman"/>
          <w:szCs w:val="24"/>
        </w:rPr>
        <w:t>argumentiem</w:t>
      </w:r>
      <w:r w:rsidR="00B55C6C" w:rsidRPr="00CC021F">
        <w:rPr>
          <w:rFonts w:ascii="Times New Roman" w:hAnsi="Times New Roman"/>
          <w:szCs w:val="24"/>
        </w:rPr>
        <w:t>.</w:t>
      </w:r>
    </w:p>
    <w:p w14:paraId="1E66EE53" w14:textId="32F73299" w:rsidR="00860776" w:rsidRPr="00CC021F" w:rsidRDefault="00E243AD" w:rsidP="009F7D0A">
      <w:pPr>
        <w:pStyle w:val="Style1"/>
        <w:ind w:firstLine="567"/>
        <w:rPr>
          <w:lang w:val="lt-LT" w:bidi="bn-IN"/>
        </w:rPr>
      </w:pPr>
      <w:r w:rsidRPr="00CC021F">
        <w:t>[2</w:t>
      </w:r>
      <w:r w:rsidR="00900176" w:rsidRPr="00CC021F">
        <w:t>.</w:t>
      </w:r>
      <w:r w:rsidR="008D61A5" w:rsidRPr="00CC021F">
        <w:t>1</w:t>
      </w:r>
      <w:r w:rsidR="00900652" w:rsidRPr="00CC021F">
        <w:t>]</w:t>
      </w:r>
      <w:r w:rsidR="00310554" w:rsidRPr="00CC021F">
        <w:t xml:space="preserve"> B</w:t>
      </w:r>
      <w:r w:rsidR="00610AC6" w:rsidRPr="00CC021F">
        <w:rPr>
          <w:lang w:val="lt-LT" w:bidi="bn-IN"/>
        </w:rPr>
        <w:t xml:space="preserve">lakus sūdzību par </w:t>
      </w:r>
      <w:r w:rsidR="0010422D" w:rsidRPr="00CC021F">
        <w:rPr>
          <w:lang w:val="lt-LT" w:bidi="bn-IN"/>
        </w:rPr>
        <w:t xml:space="preserve">pirmās instances tiesas lēmumu </w:t>
      </w:r>
      <w:r w:rsidR="00860776" w:rsidRPr="00CC021F">
        <w:rPr>
          <w:lang w:val="lt-LT" w:bidi="bn-IN"/>
        </w:rPr>
        <w:t xml:space="preserve">pieteicēja </w:t>
      </w:r>
      <w:r w:rsidR="00610AC6" w:rsidRPr="00CC021F">
        <w:rPr>
          <w:lang w:val="lt-LT" w:bidi="bn-IN"/>
        </w:rPr>
        <w:t>vārdā</w:t>
      </w:r>
      <w:r w:rsidR="0010422D" w:rsidRPr="00CC021F">
        <w:rPr>
          <w:lang w:val="lt-LT" w:bidi="bn-IN"/>
        </w:rPr>
        <w:t xml:space="preserve"> </w:t>
      </w:r>
      <w:r w:rsidR="00610AC6" w:rsidRPr="00CC021F">
        <w:rPr>
          <w:lang w:val="lt-LT" w:bidi="bn-IN"/>
        </w:rPr>
        <w:t xml:space="preserve">parakstījusi </w:t>
      </w:r>
      <w:r w:rsidR="00310554" w:rsidRPr="00CC021F">
        <w:rPr>
          <w:lang w:val="lt-LT" w:bidi="bn-IN"/>
        </w:rPr>
        <w:t xml:space="preserve">viņa </w:t>
      </w:r>
      <w:r w:rsidR="00610AC6" w:rsidRPr="00CC021F">
        <w:rPr>
          <w:lang w:val="lt-LT" w:bidi="bn-IN"/>
        </w:rPr>
        <w:t>pārstāve zvērināta advokāte Antra Kalēja.</w:t>
      </w:r>
    </w:p>
    <w:p w14:paraId="403B331D" w14:textId="77777777" w:rsidR="00205C40" w:rsidRPr="00CC021F" w:rsidRDefault="00610AC6" w:rsidP="009F7D0A">
      <w:pPr>
        <w:pStyle w:val="Style1"/>
        <w:ind w:firstLine="567"/>
        <w:rPr>
          <w:lang w:bidi="bn-IN"/>
        </w:rPr>
      </w:pPr>
      <w:r w:rsidRPr="00CC021F">
        <w:rPr>
          <w:lang w:val="lt-LT" w:bidi="bn-IN"/>
        </w:rPr>
        <w:t>Liet</w:t>
      </w:r>
      <w:r w:rsidR="00860776" w:rsidRPr="00CC021F">
        <w:rPr>
          <w:lang w:val="lt-LT" w:bidi="bn-IN"/>
        </w:rPr>
        <w:t xml:space="preserve">ā </w:t>
      </w:r>
      <w:r w:rsidRPr="00CC021F">
        <w:rPr>
          <w:lang w:val="lt-LT" w:bidi="bn-IN"/>
        </w:rPr>
        <w:t>atrodas pilnvara, kas apliecina, ka Tieslietu ministrija</w:t>
      </w:r>
      <w:r w:rsidR="00D2505F" w:rsidRPr="00CC021F">
        <w:rPr>
          <w:lang w:val="lt-LT" w:bidi="bn-IN"/>
        </w:rPr>
        <w:t xml:space="preserve"> </w:t>
      </w:r>
      <w:r w:rsidRPr="00CC021F">
        <w:rPr>
          <w:lang w:val="lt-LT" w:bidi="bn-IN"/>
        </w:rPr>
        <w:t xml:space="preserve">saskaņā ar </w:t>
      </w:r>
      <w:bookmarkStart w:id="1" w:name="_Hlk114486415"/>
      <w:r w:rsidRPr="00CC021F">
        <w:rPr>
          <w:lang w:val="lt-LT" w:bidi="bn-IN"/>
        </w:rPr>
        <w:t>Ministru kabineta</w:t>
      </w:r>
      <w:r w:rsidR="0010422D" w:rsidRPr="00CC021F">
        <w:rPr>
          <w:lang w:val="lt-LT" w:bidi="bn-IN"/>
        </w:rPr>
        <w:t xml:space="preserve"> </w:t>
      </w:r>
      <w:r w:rsidR="00C9364B" w:rsidRPr="00CC021F">
        <w:rPr>
          <w:lang w:val="lt-LT" w:bidi="bn-IN"/>
        </w:rPr>
        <w:t>2007.</w:t>
      </w:r>
      <w:r w:rsidRPr="00CC021F">
        <w:rPr>
          <w:lang w:val="lt-LT" w:bidi="bn-IN"/>
        </w:rPr>
        <w:t>ga</w:t>
      </w:r>
      <w:r w:rsidR="00C9364B" w:rsidRPr="00CC021F">
        <w:rPr>
          <w:lang w:val="lt-LT" w:bidi="bn-IN"/>
        </w:rPr>
        <w:t>da 15.maija noteikumu Nr.</w:t>
      </w:r>
      <w:r w:rsidR="0010422D" w:rsidRPr="00CC021F">
        <w:rPr>
          <w:lang w:val="lt-LT" w:bidi="bn-IN"/>
        </w:rPr>
        <w:t xml:space="preserve">322 </w:t>
      </w:r>
      <w:r w:rsidR="00BE43A8" w:rsidRPr="00CC021F">
        <w:rPr>
          <w:lang w:val="lt-LT"/>
        </w:rPr>
        <w:t>„</w:t>
      </w:r>
      <w:r w:rsidRPr="00CC021F">
        <w:rPr>
          <w:lang w:val="lt-LT" w:bidi="bn-IN"/>
        </w:rPr>
        <w:t>Kārtība, kādā Latvijas centrālā iestāde atbilstoši</w:t>
      </w:r>
      <w:r w:rsidR="00C9364B" w:rsidRPr="00CC021F">
        <w:rPr>
          <w:lang w:val="lt-LT" w:bidi="bn-IN"/>
        </w:rPr>
        <w:t xml:space="preserve"> </w:t>
      </w:r>
      <w:bookmarkStart w:id="2" w:name="_Hlk114486120"/>
      <w:r w:rsidR="00C9364B" w:rsidRPr="00CC021F">
        <w:rPr>
          <w:lang w:val="lt-LT" w:bidi="bn-IN"/>
        </w:rPr>
        <w:t>1980.gada 25.</w:t>
      </w:r>
      <w:r w:rsidRPr="00CC021F">
        <w:rPr>
          <w:lang w:val="lt-LT" w:bidi="bn-IN"/>
        </w:rPr>
        <w:t>oktobra Hāgas konvencijai par starptautiskās bērnu nolaupīšanas civiltiesiskajiem</w:t>
      </w:r>
      <w:r w:rsidR="0010422D" w:rsidRPr="00CC021F">
        <w:rPr>
          <w:lang w:val="lt-LT" w:bidi="bn-IN"/>
        </w:rPr>
        <w:t xml:space="preserve"> </w:t>
      </w:r>
      <w:r w:rsidRPr="00CC021F">
        <w:rPr>
          <w:lang w:val="lt-LT" w:bidi="bn-IN"/>
        </w:rPr>
        <w:t xml:space="preserve">aspektiem </w:t>
      </w:r>
      <w:bookmarkEnd w:id="2"/>
      <w:r w:rsidRPr="00CC021F">
        <w:rPr>
          <w:lang w:val="lt-LT" w:bidi="bn-IN"/>
        </w:rPr>
        <w:t xml:space="preserve">veic tajā minētās darbības un sadarbojas ar citām valsts un </w:t>
      </w:r>
      <w:r w:rsidRPr="00CC021F">
        <w:rPr>
          <w:lang w:val="lt-LT" w:bidi="bn-IN"/>
        </w:rPr>
        <w:lastRenderedPageBreak/>
        <w:t xml:space="preserve">pašvaldības iestādēm” </w:t>
      </w:r>
      <w:bookmarkEnd w:id="1"/>
      <w:r w:rsidRPr="00CC021F">
        <w:rPr>
          <w:lang w:val="lt-LT" w:bidi="bn-IN"/>
        </w:rPr>
        <w:t xml:space="preserve">15.punktu </w:t>
      </w:r>
      <w:r w:rsidR="00900474" w:rsidRPr="00CC021F">
        <w:rPr>
          <w:lang w:val="lt-LT" w:bidi="bn-IN"/>
        </w:rPr>
        <w:t xml:space="preserve">(turpmāk – </w:t>
      </w:r>
      <w:bookmarkStart w:id="3" w:name="_Hlk108624934"/>
      <w:r w:rsidR="00900474" w:rsidRPr="00CC021F">
        <w:rPr>
          <w:lang w:val="lt-LT" w:bidi="bn-IN"/>
        </w:rPr>
        <w:t xml:space="preserve">Ministru kabineta </w:t>
      </w:r>
      <w:bookmarkEnd w:id="3"/>
      <w:r w:rsidR="00C9364B" w:rsidRPr="00CC021F">
        <w:rPr>
          <w:lang w:val="lt-LT" w:bidi="bn-IN"/>
        </w:rPr>
        <w:t>noteikumi Nr.</w:t>
      </w:r>
      <w:r w:rsidR="00900474" w:rsidRPr="00CC021F">
        <w:rPr>
          <w:lang w:val="lt-LT" w:bidi="bn-IN"/>
        </w:rPr>
        <w:t xml:space="preserve">322) </w:t>
      </w:r>
      <w:r w:rsidR="0010422D" w:rsidRPr="00CC021F">
        <w:rPr>
          <w:lang w:val="lt-LT" w:bidi="bn-IN"/>
        </w:rPr>
        <w:t>pilnvarojusi</w:t>
      </w:r>
      <w:r w:rsidRPr="00CC021F">
        <w:rPr>
          <w:lang w:val="lt-LT" w:bidi="bn-IN"/>
        </w:rPr>
        <w:t xml:space="preserve"> </w:t>
      </w:r>
      <w:r w:rsidR="00900474" w:rsidRPr="00CC021F">
        <w:rPr>
          <w:lang w:val="lt-LT" w:bidi="bn-IN"/>
        </w:rPr>
        <w:t xml:space="preserve">norādīto </w:t>
      </w:r>
      <w:r w:rsidRPr="00CC021F">
        <w:rPr>
          <w:lang w:val="lt-LT" w:bidi="bn-IN"/>
        </w:rPr>
        <w:t xml:space="preserve">advokāti pārstāvēt </w:t>
      </w:r>
      <w:r w:rsidR="00D2505F" w:rsidRPr="00CC021F">
        <w:rPr>
          <w:lang w:val="lt-LT" w:bidi="bn-IN"/>
        </w:rPr>
        <w:t>pieteicēj</w:t>
      </w:r>
      <w:r w:rsidRPr="00CC021F">
        <w:rPr>
          <w:lang w:val="lt-LT" w:bidi="bn-IN"/>
        </w:rPr>
        <w:t>u</w:t>
      </w:r>
      <w:r w:rsidR="0010422D" w:rsidRPr="00CC021F">
        <w:rPr>
          <w:lang w:val="lt-LT" w:bidi="bn-IN"/>
        </w:rPr>
        <w:t xml:space="preserve"> </w:t>
      </w:r>
      <w:r w:rsidRPr="00CC021F">
        <w:rPr>
          <w:lang w:val="lt-LT" w:bidi="bn-IN"/>
        </w:rPr>
        <w:t>administratīvajās iestādēs</w:t>
      </w:r>
      <w:r w:rsidRPr="00CC021F">
        <w:rPr>
          <w:lang w:bidi="bn-IN"/>
        </w:rPr>
        <w:t xml:space="preserve"> un visās tiesu instancēs</w:t>
      </w:r>
      <w:r w:rsidR="00777890" w:rsidRPr="00CC021F">
        <w:rPr>
          <w:lang w:bidi="bn-IN"/>
        </w:rPr>
        <w:t>,</w:t>
      </w:r>
      <w:r w:rsidRPr="00CC021F">
        <w:rPr>
          <w:lang w:bidi="bn-IN"/>
        </w:rPr>
        <w:t xml:space="preserve"> pārsūdzēt tiesas nolēmumus apelācijas un</w:t>
      </w:r>
      <w:r w:rsidR="0010422D" w:rsidRPr="00CC021F">
        <w:rPr>
          <w:lang w:bidi="bn-IN"/>
        </w:rPr>
        <w:t xml:space="preserve"> </w:t>
      </w:r>
      <w:r w:rsidRPr="00CC021F">
        <w:rPr>
          <w:lang w:bidi="bn-IN"/>
        </w:rPr>
        <w:t>kasācijas kārtībā un iesniegt izpilddokumentus piedziņai lietā par nepilngadīgo bērnu atgriešanos</w:t>
      </w:r>
      <w:r w:rsidR="0010422D" w:rsidRPr="00CC021F">
        <w:rPr>
          <w:lang w:bidi="bn-IN"/>
        </w:rPr>
        <w:t xml:space="preserve"> no Latvijas Skotijā</w:t>
      </w:r>
      <w:r w:rsidRPr="00CC021F">
        <w:rPr>
          <w:lang w:bidi="bn-IN"/>
        </w:rPr>
        <w:t>.</w:t>
      </w:r>
    </w:p>
    <w:p w14:paraId="24851CF3" w14:textId="34F9EFFD" w:rsidR="00205C40" w:rsidRPr="00CC021F" w:rsidRDefault="0010422D" w:rsidP="009F7D0A">
      <w:pPr>
        <w:pStyle w:val="Style1"/>
        <w:ind w:firstLine="567"/>
        <w:rPr>
          <w:lang w:bidi="bn-IN"/>
        </w:rPr>
      </w:pPr>
      <w:r w:rsidRPr="00CC021F">
        <w:rPr>
          <w:lang w:bidi="bn-IN"/>
        </w:rPr>
        <w:t xml:space="preserve">Taču </w:t>
      </w:r>
      <w:r w:rsidR="00777890" w:rsidRPr="00CC021F">
        <w:rPr>
          <w:lang w:bidi="bn-IN"/>
        </w:rPr>
        <w:t xml:space="preserve">nav iesniegts </w:t>
      </w:r>
      <w:r w:rsidRPr="00CC021F">
        <w:rPr>
          <w:lang w:bidi="bn-IN"/>
        </w:rPr>
        <w:t>orderis pārstāv</w:t>
      </w:r>
      <w:r w:rsidR="00206C79" w:rsidRPr="00CC021F">
        <w:rPr>
          <w:lang w:bidi="bn-IN"/>
        </w:rPr>
        <w:t>ībai apelācijas instances tiesā.</w:t>
      </w:r>
    </w:p>
    <w:p w14:paraId="302121AE" w14:textId="77777777" w:rsidR="00205C40" w:rsidRPr="00CC021F" w:rsidRDefault="00206C79" w:rsidP="009F7D0A">
      <w:pPr>
        <w:pStyle w:val="Style1"/>
        <w:ind w:firstLine="567"/>
        <w:rPr>
          <w:lang w:bidi="bn-IN"/>
        </w:rPr>
      </w:pPr>
      <w:r w:rsidRPr="00CC021F">
        <w:rPr>
          <w:lang w:bidi="bn-IN"/>
        </w:rPr>
        <w:t>Attiecībā uz advokātu kā tiesu sistēmai piederīgas personas pilnvarojumu gan Civ</w:t>
      </w:r>
      <w:r w:rsidR="00C9364B" w:rsidRPr="00CC021F">
        <w:rPr>
          <w:lang w:bidi="bn-IN"/>
        </w:rPr>
        <w:t>ilprocesa likums (</w:t>
      </w:r>
      <w:proofErr w:type="gramStart"/>
      <w:r w:rsidR="00C9364B" w:rsidRPr="00CC021F">
        <w:rPr>
          <w:lang w:bidi="bn-IN"/>
        </w:rPr>
        <w:t>85.</w:t>
      </w:r>
      <w:r w:rsidRPr="00CC021F">
        <w:rPr>
          <w:lang w:bidi="bn-IN"/>
        </w:rPr>
        <w:t>panta</w:t>
      </w:r>
      <w:proofErr w:type="gramEnd"/>
      <w:r w:rsidRPr="00CC021F">
        <w:rPr>
          <w:lang w:bidi="bn-IN"/>
        </w:rPr>
        <w:t xml:space="preserve"> trešā daļa), gan </w:t>
      </w:r>
      <w:r w:rsidR="006104FB" w:rsidRPr="00CC021F">
        <w:rPr>
          <w:lang w:bidi="bn-IN"/>
        </w:rPr>
        <w:t xml:space="preserve">Latvijas Republikas </w:t>
      </w:r>
      <w:r w:rsidRPr="00CC021F">
        <w:rPr>
          <w:lang w:bidi="bn-IN"/>
        </w:rPr>
        <w:t>Advokatūras likum</w:t>
      </w:r>
      <w:r w:rsidR="006104FB" w:rsidRPr="00CC021F">
        <w:rPr>
          <w:lang w:bidi="bn-IN"/>
        </w:rPr>
        <w:t>a (turpmāk – Advokatūras likums)</w:t>
      </w:r>
      <w:r w:rsidR="00C9364B" w:rsidRPr="00CC021F">
        <w:rPr>
          <w:lang w:bidi="bn-IN"/>
        </w:rPr>
        <w:t xml:space="preserve"> 48. un 48.</w:t>
      </w:r>
      <w:r w:rsidRPr="00CC021F">
        <w:rPr>
          <w:vertAlign w:val="superscript"/>
          <w:lang w:bidi="bn-IN"/>
        </w:rPr>
        <w:t>1</w:t>
      </w:r>
      <w:r w:rsidRPr="00CC021F">
        <w:rPr>
          <w:lang w:bidi="bn-IN"/>
        </w:rPr>
        <w:t xml:space="preserve"> pants nosaka īpašu pilnvarojuma noformēšanas kārtību – vienkāršu rakstveida pilnvaru kopā ar orderi (sk. </w:t>
      </w:r>
      <w:r w:rsidRPr="00CC021F">
        <w:rPr>
          <w:i/>
          <w:iCs/>
          <w:lang w:bidi="bn-IN"/>
        </w:rPr>
        <w:t xml:space="preserve">Augstākās tiesas </w:t>
      </w:r>
      <w:r w:rsidR="00C9364B" w:rsidRPr="00CC021F">
        <w:rPr>
          <w:i/>
          <w:iCs/>
          <w:lang w:bidi="bn-IN"/>
        </w:rPr>
        <w:t>2016.gada 17.</w:t>
      </w:r>
      <w:r w:rsidR="002A5D54" w:rsidRPr="00CC021F">
        <w:rPr>
          <w:i/>
          <w:iCs/>
          <w:lang w:bidi="bn-IN"/>
        </w:rPr>
        <w:t xml:space="preserve">jūnija </w:t>
      </w:r>
      <w:r w:rsidRPr="00CC021F">
        <w:rPr>
          <w:i/>
          <w:iCs/>
          <w:lang w:bidi="bn-IN"/>
        </w:rPr>
        <w:t>lēmumu lietā</w:t>
      </w:r>
      <w:r w:rsidRPr="00CC021F">
        <w:rPr>
          <w:lang w:bidi="bn-IN"/>
        </w:rPr>
        <w:t xml:space="preserve"> </w:t>
      </w:r>
      <w:r w:rsidR="00C9364B" w:rsidRPr="00CC021F">
        <w:rPr>
          <w:i/>
          <w:iCs/>
          <w:lang w:bidi="bn-IN"/>
        </w:rPr>
        <w:t xml:space="preserve">Nr. </w:t>
      </w:r>
      <w:r w:rsidRPr="00CC021F">
        <w:rPr>
          <w:i/>
          <w:iCs/>
          <w:lang w:bidi="bn-IN"/>
        </w:rPr>
        <w:t xml:space="preserve">SKC-1788/2016 (C29539915) un </w:t>
      </w:r>
      <w:r w:rsidR="00C9364B" w:rsidRPr="00CC021F">
        <w:rPr>
          <w:i/>
          <w:iCs/>
          <w:lang w:bidi="bn-IN"/>
        </w:rPr>
        <w:t>2015.gada 26.</w:t>
      </w:r>
      <w:r w:rsidR="002A5D54" w:rsidRPr="00CC021F">
        <w:rPr>
          <w:i/>
          <w:iCs/>
          <w:lang w:bidi="bn-IN"/>
        </w:rPr>
        <w:t xml:space="preserve">novembra lēmumu lietā </w:t>
      </w:r>
      <w:r w:rsidRPr="00CC021F">
        <w:rPr>
          <w:i/>
          <w:iCs/>
          <w:lang w:bidi="bn-IN"/>
        </w:rPr>
        <w:t>Nr. SKC-2391/2015</w:t>
      </w:r>
      <w:r w:rsidRPr="00CC021F">
        <w:rPr>
          <w:lang w:bidi="bn-IN"/>
        </w:rPr>
        <w:t xml:space="preserve"> (</w:t>
      </w:r>
      <w:r w:rsidRPr="00CC021F">
        <w:rPr>
          <w:i/>
          <w:iCs/>
          <w:lang w:bidi="bn-IN"/>
        </w:rPr>
        <w:t>C51001314)</w:t>
      </w:r>
      <w:r w:rsidRPr="00CC021F">
        <w:rPr>
          <w:lang w:bidi="bn-IN"/>
        </w:rPr>
        <w:t>)</w:t>
      </w:r>
      <w:r w:rsidRPr="00CC021F">
        <w:rPr>
          <w:i/>
          <w:iCs/>
          <w:lang w:bidi="bn-IN"/>
        </w:rPr>
        <w:t>.</w:t>
      </w:r>
      <w:r w:rsidR="00900474" w:rsidRPr="00CC021F">
        <w:rPr>
          <w:lang w:bidi="bn-IN"/>
        </w:rPr>
        <w:t xml:space="preserve"> </w:t>
      </w:r>
      <w:r w:rsidRPr="00CC021F">
        <w:rPr>
          <w:lang w:bidi="bn-IN"/>
        </w:rPr>
        <w:t>T</w:t>
      </w:r>
      <w:r w:rsidR="0010422D" w:rsidRPr="00CC021F">
        <w:rPr>
          <w:lang w:bidi="bn-IN"/>
        </w:rPr>
        <w:t>urklāt orderim</w:t>
      </w:r>
      <w:r w:rsidR="00310554" w:rsidRPr="00CC021F">
        <w:rPr>
          <w:lang w:bidi="bn-IN"/>
        </w:rPr>
        <w:t xml:space="preserve"> </w:t>
      </w:r>
      <w:r w:rsidR="0010422D" w:rsidRPr="00CC021F">
        <w:rPr>
          <w:lang w:bidi="bn-IN"/>
        </w:rPr>
        <w:t>jābūt</w:t>
      </w:r>
      <w:r w:rsidR="00BE43A8" w:rsidRPr="00CC021F">
        <w:rPr>
          <w:lang w:bidi="bn-IN"/>
        </w:rPr>
        <w:t xml:space="preserve"> noformētam </w:t>
      </w:r>
      <w:r w:rsidR="0010422D" w:rsidRPr="00CC021F">
        <w:rPr>
          <w:lang w:bidi="bn-IN"/>
        </w:rPr>
        <w:t xml:space="preserve">veidā, lai tiesai rastos pārliecība, ka advokāts ir pilnvarots pārstāvībai </w:t>
      </w:r>
      <w:r w:rsidR="00310554" w:rsidRPr="00CC021F">
        <w:rPr>
          <w:lang w:bidi="bn-IN"/>
        </w:rPr>
        <w:t xml:space="preserve">konkrēti </w:t>
      </w:r>
      <w:r w:rsidR="0010422D" w:rsidRPr="00CC021F">
        <w:rPr>
          <w:lang w:bidi="bn-IN"/>
        </w:rPr>
        <w:t>apelācijas instances tiesā.</w:t>
      </w:r>
    </w:p>
    <w:p w14:paraId="1AA2065F" w14:textId="77777777" w:rsidR="00205C40" w:rsidRPr="00CC021F" w:rsidRDefault="00C9364B" w:rsidP="009F7D0A">
      <w:pPr>
        <w:pStyle w:val="Style1"/>
        <w:ind w:firstLine="567"/>
        <w:rPr>
          <w:lang w:bidi="bn-IN"/>
        </w:rPr>
      </w:pPr>
      <w:r w:rsidRPr="00CC021F">
        <w:rPr>
          <w:lang w:bidi="bn-IN"/>
        </w:rPr>
        <w:t xml:space="preserve">Ne Hāgas konvencijas </w:t>
      </w:r>
      <w:proofErr w:type="gramStart"/>
      <w:r w:rsidRPr="00CC021F">
        <w:rPr>
          <w:lang w:bidi="bn-IN"/>
        </w:rPr>
        <w:t>7.</w:t>
      </w:r>
      <w:r w:rsidR="00610AC6" w:rsidRPr="00CC021F">
        <w:rPr>
          <w:lang w:bidi="bn-IN"/>
        </w:rPr>
        <w:t>panta</w:t>
      </w:r>
      <w:proofErr w:type="gramEnd"/>
      <w:r w:rsidR="00610AC6" w:rsidRPr="00CC021F">
        <w:rPr>
          <w:lang w:bidi="bn-IN"/>
        </w:rPr>
        <w:t xml:space="preserve"> g) apakšpunktā, ne Ministru kabineta </w:t>
      </w:r>
      <w:r w:rsidRPr="00CC021F">
        <w:rPr>
          <w:lang w:bidi="bn-IN"/>
        </w:rPr>
        <w:t>noteikumu Nr.</w:t>
      </w:r>
      <w:r w:rsidR="00BE43A8" w:rsidRPr="00CC021F">
        <w:rPr>
          <w:lang w:bidi="bn-IN"/>
        </w:rPr>
        <w:t xml:space="preserve">322 </w:t>
      </w:r>
      <w:r w:rsidRPr="00CC021F">
        <w:rPr>
          <w:lang w:bidi="bn-IN"/>
        </w:rPr>
        <w:t>15.</w:t>
      </w:r>
      <w:r w:rsidR="00777890" w:rsidRPr="00CC021F">
        <w:rPr>
          <w:lang w:bidi="bn-IN"/>
        </w:rPr>
        <w:t xml:space="preserve">punktā, </w:t>
      </w:r>
      <w:r w:rsidR="001C66A1" w:rsidRPr="00CC021F">
        <w:rPr>
          <w:lang w:bidi="bn-IN"/>
        </w:rPr>
        <w:t xml:space="preserve">uz kuriem </w:t>
      </w:r>
      <w:r w:rsidR="00777890" w:rsidRPr="00CC021F">
        <w:rPr>
          <w:lang w:bidi="bn-IN"/>
        </w:rPr>
        <w:t xml:space="preserve">pamatojoties </w:t>
      </w:r>
      <w:r w:rsidR="00610AC6" w:rsidRPr="00CC021F">
        <w:rPr>
          <w:lang w:bidi="bn-IN"/>
        </w:rPr>
        <w:t>Tieslietu ministrija</w:t>
      </w:r>
      <w:r w:rsidR="001C66A1" w:rsidRPr="00CC021F">
        <w:rPr>
          <w:lang w:bidi="bn-IN"/>
        </w:rPr>
        <w:t xml:space="preserve"> pilnvaroja </w:t>
      </w:r>
      <w:r w:rsidR="00610AC6" w:rsidRPr="00CC021F">
        <w:rPr>
          <w:lang w:bidi="bn-IN"/>
        </w:rPr>
        <w:t>zvērinātu advok</w:t>
      </w:r>
      <w:r w:rsidR="00900474" w:rsidRPr="00CC021F">
        <w:rPr>
          <w:lang w:bidi="bn-IN"/>
        </w:rPr>
        <w:t>āti pārstāvēt lietā pieteicēju,</w:t>
      </w:r>
      <w:r w:rsidR="00777890" w:rsidRPr="00CC021F">
        <w:rPr>
          <w:lang w:bidi="bn-IN"/>
        </w:rPr>
        <w:t xml:space="preserve"> </w:t>
      </w:r>
      <w:r w:rsidR="00610AC6" w:rsidRPr="00CC021F">
        <w:rPr>
          <w:lang w:bidi="bn-IN"/>
        </w:rPr>
        <w:t>nav atrunas, ka</w:t>
      </w:r>
      <w:r w:rsidR="00777890" w:rsidRPr="00CC021F">
        <w:rPr>
          <w:lang w:bidi="bn-IN"/>
        </w:rPr>
        <w:t xml:space="preserve"> </w:t>
      </w:r>
      <w:r w:rsidR="00310554" w:rsidRPr="00CC021F">
        <w:rPr>
          <w:lang w:bidi="bn-IN"/>
        </w:rPr>
        <w:t>advokātei</w:t>
      </w:r>
      <w:r w:rsidR="00610AC6" w:rsidRPr="00CC021F">
        <w:rPr>
          <w:lang w:bidi="bn-IN"/>
        </w:rPr>
        <w:t xml:space="preserve"> pieteicēja pārstāvībai tiesā nav nepieciešams iesniegt orderi.</w:t>
      </w:r>
      <w:r w:rsidR="00777890" w:rsidRPr="00CC021F">
        <w:rPr>
          <w:lang w:bidi="bn-IN"/>
        </w:rPr>
        <w:t xml:space="preserve"> </w:t>
      </w:r>
      <w:r w:rsidR="00BE4508" w:rsidRPr="00CC021F">
        <w:rPr>
          <w:lang w:bidi="bn-IN"/>
        </w:rPr>
        <w:t>Tātad blakus sūdzību iesniegusi persona, kura nav pilnvarota pārsūdzēt tiesas nolēmumu.</w:t>
      </w:r>
    </w:p>
    <w:p w14:paraId="75630C36" w14:textId="77777777" w:rsidR="00205C40" w:rsidRPr="00CC021F" w:rsidRDefault="00777890" w:rsidP="009F7D0A">
      <w:pPr>
        <w:pStyle w:val="Style1"/>
        <w:ind w:firstLine="567"/>
        <w:rPr>
          <w:lang w:bidi="bn-IN"/>
        </w:rPr>
      </w:pPr>
      <w:r w:rsidRPr="00CC021F">
        <w:rPr>
          <w:lang w:bidi="bn-IN"/>
        </w:rPr>
        <w:t xml:space="preserve">Līdz ar to </w:t>
      </w:r>
      <w:r w:rsidR="00610AC6" w:rsidRPr="00CC021F">
        <w:rPr>
          <w:lang w:bidi="bn-IN"/>
        </w:rPr>
        <w:t xml:space="preserve">blakus sūdzība </w:t>
      </w:r>
      <w:r w:rsidRPr="00CC021F">
        <w:rPr>
          <w:lang w:bidi="bn-IN"/>
        </w:rPr>
        <w:t>apgabaltiesai ir</w:t>
      </w:r>
      <w:r w:rsidR="00610AC6" w:rsidRPr="00CC021F">
        <w:rPr>
          <w:lang w:bidi="bn-IN"/>
        </w:rPr>
        <w:t xml:space="preserve"> nosūtīta nepamatoti, neievērojot</w:t>
      </w:r>
      <w:r w:rsidRPr="00CC021F">
        <w:rPr>
          <w:lang w:bidi="bn-IN"/>
        </w:rPr>
        <w:t xml:space="preserve"> </w:t>
      </w:r>
      <w:r w:rsidR="00610AC6" w:rsidRPr="00CC021F">
        <w:rPr>
          <w:lang w:bidi="bn-IN"/>
        </w:rPr>
        <w:t xml:space="preserve">Civilprocesa likuma </w:t>
      </w:r>
      <w:proofErr w:type="gramStart"/>
      <w:r w:rsidR="00C9364B" w:rsidRPr="00CC021F">
        <w:rPr>
          <w:lang w:bidi="bn-IN"/>
        </w:rPr>
        <w:t>445.</w:t>
      </w:r>
      <w:r w:rsidRPr="00CC021F">
        <w:rPr>
          <w:lang w:bidi="bn-IN"/>
        </w:rPr>
        <w:t>panta</w:t>
      </w:r>
      <w:proofErr w:type="gramEnd"/>
      <w:r w:rsidRPr="00CC021F">
        <w:rPr>
          <w:lang w:bidi="bn-IN"/>
        </w:rPr>
        <w:t xml:space="preserve"> otro daļu (</w:t>
      </w:r>
      <w:r w:rsidR="00610AC6" w:rsidRPr="00CC021F">
        <w:rPr>
          <w:i/>
          <w:iCs/>
          <w:lang w:bidi="bn-IN"/>
        </w:rPr>
        <w:t>pirmās instances tiesas tiesnesis</w:t>
      </w:r>
      <w:r w:rsidRPr="00CC021F">
        <w:rPr>
          <w:i/>
          <w:iCs/>
          <w:lang w:bidi="bn-IN"/>
        </w:rPr>
        <w:t xml:space="preserve"> </w:t>
      </w:r>
      <w:r w:rsidR="00610AC6" w:rsidRPr="00CC021F">
        <w:rPr>
          <w:i/>
          <w:iCs/>
          <w:lang w:bidi="bn-IN"/>
        </w:rPr>
        <w:t>pieņem lēmumu par atteikšanos pieņemt blakus sūdzību, ja blakus sūdzībai nav pievienota pilnvara vai cits dokuments, kas apliecina pārstāvja pilnvarojumu pārsūdzēt tiesas lēmumu</w:t>
      </w:r>
      <w:r w:rsidRPr="00CC021F">
        <w:rPr>
          <w:lang w:bidi="bn-IN"/>
        </w:rPr>
        <w:t>).</w:t>
      </w:r>
      <w:r w:rsidR="00610AC6" w:rsidRPr="00CC021F">
        <w:rPr>
          <w:lang w:bidi="bn-IN"/>
        </w:rPr>
        <w:t xml:space="preserve"> </w:t>
      </w:r>
    </w:p>
    <w:p w14:paraId="5D5D15E0" w14:textId="73D87158" w:rsidR="00E243AD" w:rsidRPr="00CC021F" w:rsidRDefault="00BE4508" w:rsidP="009F7D0A">
      <w:pPr>
        <w:pStyle w:val="Style1"/>
        <w:ind w:firstLine="567"/>
        <w:rPr>
          <w:lang w:bidi="bn-IN"/>
        </w:rPr>
      </w:pPr>
      <w:r w:rsidRPr="00CC021F">
        <w:rPr>
          <w:lang w:bidi="bn-IN"/>
        </w:rPr>
        <w:t>Tādēļ a</w:t>
      </w:r>
      <w:r w:rsidR="00610AC6" w:rsidRPr="00CC021F">
        <w:rPr>
          <w:lang w:bidi="bn-IN"/>
        </w:rPr>
        <w:t>t</w:t>
      </w:r>
      <w:r w:rsidR="00777890" w:rsidRPr="00CC021F">
        <w:rPr>
          <w:lang w:bidi="bn-IN"/>
        </w:rPr>
        <w:t xml:space="preserve">bilstoši </w:t>
      </w:r>
      <w:r w:rsidR="00C9364B" w:rsidRPr="00CC021F">
        <w:rPr>
          <w:lang w:bidi="bn-IN"/>
        </w:rPr>
        <w:t xml:space="preserve">Civilprocesa likuma </w:t>
      </w:r>
      <w:proofErr w:type="gramStart"/>
      <w:r w:rsidR="00C9364B" w:rsidRPr="00CC021F">
        <w:rPr>
          <w:lang w:bidi="bn-IN"/>
        </w:rPr>
        <w:t>5.</w:t>
      </w:r>
      <w:r w:rsidR="00610AC6" w:rsidRPr="00CC021F">
        <w:rPr>
          <w:lang w:bidi="bn-IN"/>
        </w:rPr>
        <w:t>panta</w:t>
      </w:r>
      <w:proofErr w:type="gramEnd"/>
      <w:r w:rsidR="00610AC6" w:rsidRPr="00CC021F">
        <w:rPr>
          <w:lang w:bidi="bn-IN"/>
        </w:rPr>
        <w:t xml:space="preserve"> piektajai daļai </w:t>
      </w:r>
      <w:r w:rsidR="00777890" w:rsidRPr="00CC021F">
        <w:rPr>
          <w:lang w:bidi="bn-IN"/>
        </w:rPr>
        <w:t xml:space="preserve">ir </w:t>
      </w:r>
      <w:r w:rsidR="00610AC6" w:rsidRPr="00CC021F">
        <w:rPr>
          <w:lang w:bidi="bn-IN"/>
        </w:rPr>
        <w:t>piemērojams Civilprocesa</w:t>
      </w:r>
      <w:r w:rsidR="00777890" w:rsidRPr="00CC021F">
        <w:rPr>
          <w:lang w:bidi="bn-IN"/>
        </w:rPr>
        <w:t xml:space="preserve"> </w:t>
      </w:r>
      <w:r w:rsidR="00610AC6" w:rsidRPr="00CC021F">
        <w:rPr>
          <w:lang w:bidi="bn-IN"/>
        </w:rPr>
        <w:t>l</w:t>
      </w:r>
      <w:r w:rsidR="00C9364B" w:rsidRPr="00CC021F">
        <w:rPr>
          <w:lang w:bidi="bn-IN"/>
        </w:rPr>
        <w:t>ikuma 425.panta otrās daļas 1.</w:t>
      </w:r>
      <w:r w:rsidR="00610AC6" w:rsidRPr="00CC021F">
        <w:rPr>
          <w:lang w:bidi="bn-IN"/>
        </w:rPr>
        <w:t xml:space="preserve">punkts, kas regulē līdzīgas tiesiskās attiecības </w:t>
      </w:r>
      <w:r w:rsidR="00777890" w:rsidRPr="00CC021F">
        <w:rPr>
          <w:lang w:bidi="bn-IN"/>
        </w:rPr>
        <w:t>(proti,</w:t>
      </w:r>
      <w:r w:rsidR="00610AC6" w:rsidRPr="00CC021F">
        <w:rPr>
          <w:lang w:bidi="bn-IN"/>
        </w:rPr>
        <w:t xml:space="preserve"> apelācijas</w:t>
      </w:r>
      <w:r w:rsidR="00777890" w:rsidRPr="00CC021F">
        <w:rPr>
          <w:lang w:bidi="bn-IN"/>
        </w:rPr>
        <w:t xml:space="preserve"> </w:t>
      </w:r>
      <w:r w:rsidR="00610AC6" w:rsidRPr="00CC021F">
        <w:rPr>
          <w:lang w:bidi="bn-IN"/>
        </w:rPr>
        <w:t>tiesvedības ierosināšanu sakarā ar apelācijas sūdzību</w:t>
      </w:r>
      <w:r w:rsidR="00777890" w:rsidRPr="00CC021F">
        <w:rPr>
          <w:lang w:bidi="bn-IN"/>
        </w:rPr>
        <w:t>)</w:t>
      </w:r>
      <w:r w:rsidR="00610AC6" w:rsidRPr="00CC021F">
        <w:rPr>
          <w:lang w:bidi="bn-IN"/>
        </w:rPr>
        <w:t xml:space="preserve"> un jāatsaka ierosināt apelācijas tiesvedību</w:t>
      </w:r>
      <w:r w:rsidR="00777890" w:rsidRPr="00CC021F">
        <w:rPr>
          <w:lang w:bidi="bn-IN"/>
        </w:rPr>
        <w:t xml:space="preserve"> </w:t>
      </w:r>
      <w:r w:rsidR="00610AC6" w:rsidRPr="00CC021F">
        <w:rPr>
          <w:lang w:bidi="bn-IN"/>
        </w:rPr>
        <w:t xml:space="preserve">sakarā ar zvērinātas advokātes Antras Kalējas iesniegto blakus sūdzību. </w:t>
      </w:r>
    </w:p>
    <w:p w14:paraId="571D0E03" w14:textId="77777777" w:rsidR="00E243AD" w:rsidRPr="00CC021F" w:rsidRDefault="00E243AD" w:rsidP="009F7D0A">
      <w:pPr>
        <w:pStyle w:val="Style1"/>
      </w:pPr>
    </w:p>
    <w:p w14:paraId="46BCE0FE" w14:textId="767BAB3D" w:rsidR="009263C0" w:rsidRPr="00CC021F" w:rsidRDefault="00BE43A8" w:rsidP="009F7D0A">
      <w:pPr>
        <w:pStyle w:val="Style1"/>
        <w:ind w:firstLine="567"/>
        <w:rPr>
          <w:color w:val="000000" w:themeColor="text1"/>
        </w:rPr>
      </w:pPr>
      <w:r w:rsidRPr="00CC021F">
        <w:t xml:space="preserve">[3] </w:t>
      </w:r>
      <w:r w:rsidR="004502E8" w:rsidRPr="00CC021F">
        <w:t xml:space="preserve">Par </w:t>
      </w:r>
      <w:r w:rsidR="00EE2453" w:rsidRPr="00CC021F">
        <w:t xml:space="preserve">apgabaltiesas </w:t>
      </w:r>
      <w:r w:rsidR="00C9364B" w:rsidRPr="00CC021F">
        <w:t xml:space="preserve">tiesneses </w:t>
      </w:r>
      <w:proofErr w:type="gramStart"/>
      <w:r w:rsidR="00C9364B" w:rsidRPr="00CC021F">
        <w:t>2022.gada</w:t>
      </w:r>
      <w:proofErr w:type="gramEnd"/>
      <w:r w:rsidR="00C9364B" w:rsidRPr="00CC021F">
        <w:t xml:space="preserve"> </w:t>
      </w:r>
      <w:r w:rsidR="00B41DFB" w:rsidRPr="00CC021F">
        <w:t>[..]</w:t>
      </w:r>
      <w:r w:rsidRPr="00CC021F">
        <w:t xml:space="preserve"> </w:t>
      </w:r>
      <w:r w:rsidR="00A61D34" w:rsidRPr="00CC021F">
        <w:t xml:space="preserve">lēmumu </w:t>
      </w:r>
      <w:r w:rsidR="00D2505F" w:rsidRPr="00CC021F">
        <w:t xml:space="preserve">pieteicēja pārstāve </w:t>
      </w:r>
      <w:r w:rsidRPr="00CC021F">
        <w:rPr>
          <w:color w:val="000000"/>
          <w:lang w:val="lt-LT" w:bidi="bn-IN"/>
        </w:rPr>
        <w:t xml:space="preserve">zvērināta advokāte Antra Kalēja </w:t>
      </w:r>
      <w:r w:rsidR="00A61D34" w:rsidRPr="00CC021F">
        <w:t>iesniegusi blakus sūdzību</w:t>
      </w:r>
      <w:r w:rsidR="00EE2453" w:rsidRPr="00CC021F">
        <w:t xml:space="preserve">, </w:t>
      </w:r>
      <w:r w:rsidR="005A20EC" w:rsidRPr="00CC021F">
        <w:t>norād</w:t>
      </w:r>
      <w:r w:rsidR="00D7791E" w:rsidRPr="00CC021F">
        <w:t>ot</w:t>
      </w:r>
      <w:r w:rsidR="005A20EC" w:rsidRPr="00CC021F">
        <w:t xml:space="preserve"> šād</w:t>
      </w:r>
      <w:r w:rsidR="00D7791E" w:rsidRPr="00CC021F">
        <w:t>us</w:t>
      </w:r>
      <w:r w:rsidR="00EE2453" w:rsidRPr="00CC021F">
        <w:t xml:space="preserve"> a</w:t>
      </w:r>
      <w:r w:rsidR="005A20EC" w:rsidRPr="00CC021F">
        <w:t>psvērum</w:t>
      </w:r>
      <w:r w:rsidR="00D7791E" w:rsidRPr="00CC021F">
        <w:t>us</w:t>
      </w:r>
      <w:r w:rsidR="005A20EC" w:rsidRPr="00CC021F">
        <w:t>.</w:t>
      </w:r>
    </w:p>
    <w:p w14:paraId="30664831" w14:textId="4221808E" w:rsidR="00DC0A4B" w:rsidRPr="00CC021F" w:rsidRDefault="00BE43A8" w:rsidP="009F7D0A">
      <w:pPr>
        <w:pStyle w:val="Style1"/>
        <w:ind w:firstLine="567"/>
        <w:rPr>
          <w:rFonts w:eastAsia="Calibri"/>
          <w:color w:val="000000" w:themeColor="text1"/>
          <w:lang w:val="lt-LT"/>
        </w:rPr>
      </w:pPr>
      <w:r w:rsidRPr="00CC021F">
        <w:rPr>
          <w:color w:val="000000" w:themeColor="text1"/>
        </w:rPr>
        <w:t>[3</w:t>
      </w:r>
      <w:r w:rsidR="00900474" w:rsidRPr="00CC021F">
        <w:rPr>
          <w:color w:val="000000" w:themeColor="text1"/>
          <w:lang w:val="lt-LT"/>
        </w:rPr>
        <w:t>.1] </w:t>
      </w:r>
      <w:r w:rsidR="00206C79" w:rsidRPr="00CC021F">
        <w:rPr>
          <w:rFonts w:eastAsia="Calibri"/>
          <w:color w:val="000000" w:themeColor="text1"/>
          <w:lang w:val="lt-LT"/>
        </w:rPr>
        <w:t>Tiesa</w:t>
      </w:r>
      <w:r w:rsidR="00B47FE8" w:rsidRPr="00CC021F">
        <w:rPr>
          <w:rFonts w:eastAsia="Calibri"/>
          <w:color w:val="000000" w:themeColor="text1"/>
          <w:lang w:val="lt-LT"/>
        </w:rPr>
        <w:t xml:space="preserve"> kļūdaini </w:t>
      </w:r>
      <w:r w:rsidR="00206C79" w:rsidRPr="00CC021F">
        <w:rPr>
          <w:rFonts w:eastAsia="Calibri"/>
          <w:color w:val="000000" w:themeColor="text1"/>
          <w:lang w:val="lt-LT"/>
        </w:rPr>
        <w:t xml:space="preserve">piemēroja Civilprocesa likuma </w:t>
      </w:r>
      <w:bookmarkStart w:id="4" w:name="_Hlk105428225"/>
      <w:proofErr w:type="gramStart"/>
      <w:r w:rsidR="00C9364B" w:rsidRPr="00CC021F">
        <w:rPr>
          <w:rFonts w:eastAsia="Calibri"/>
          <w:color w:val="000000" w:themeColor="text1"/>
          <w:lang w:val="lt-LT"/>
        </w:rPr>
        <w:t>85.</w:t>
      </w:r>
      <w:r w:rsidR="00206C79" w:rsidRPr="00CC021F">
        <w:rPr>
          <w:rFonts w:eastAsia="Calibri"/>
          <w:color w:val="000000" w:themeColor="text1"/>
          <w:lang w:val="lt-LT"/>
        </w:rPr>
        <w:t>panta</w:t>
      </w:r>
      <w:proofErr w:type="gramEnd"/>
      <w:r w:rsidR="00206C79" w:rsidRPr="00CC021F">
        <w:rPr>
          <w:rFonts w:eastAsia="Calibri"/>
          <w:color w:val="000000" w:themeColor="text1"/>
          <w:lang w:val="lt-LT"/>
        </w:rPr>
        <w:t xml:space="preserve"> trešo daļu</w:t>
      </w:r>
      <w:bookmarkEnd w:id="4"/>
      <w:r w:rsidR="00B47FE8" w:rsidRPr="00CC021F">
        <w:rPr>
          <w:rFonts w:eastAsia="Calibri"/>
          <w:color w:val="000000" w:themeColor="text1"/>
          <w:lang w:val="lt-LT"/>
        </w:rPr>
        <w:t xml:space="preserve">. </w:t>
      </w:r>
      <w:r w:rsidR="00D7791E" w:rsidRPr="00CC021F">
        <w:rPr>
          <w:rFonts w:eastAsia="Calibri"/>
          <w:color w:val="000000" w:themeColor="text1"/>
          <w:lang w:val="lt-LT"/>
        </w:rPr>
        <w:t>Tās vietā bija jāp</w:t>
      </w:r>
      <w:r w:rsidR="00B47FE8" w:rsidRPr="00CC021F">
        <w:rPr>
          <w:rFonts w:eastAsia="Calibri"/>
          <w:color w:val="000000" w:themeColor="text1"/>
          <w:lang w:val="lt-LT"/>
        </w:rPr>
        <w:t xml:space="preserve">iemēro </w:t>
      </w:r>
      <w:r w:rsidR="00C9364B" w:rsidRPr="00CC021F">
        <w:rPr>
          <w:rFonts w:eastAsia="Calibri"/>
          <w:color w:val="000000" w:themeColor="text1"/>
          <w:lang w:val="lt-LT"/>
        </w:rPr>
        <w:t>Civilprocesa likuma 85.</w:t>
      </w:r>
      <w:r w:rsidR="00B006DB" w:rsidRPr="00CC021F">
        <w:rPr>
          <w:rFonts w:eastAsia="Calibri"/>
          <w:color w:val="000000" w:themeColor="text1"/>
          <w:lang w:val="lt-LT"/>
        </w:rPr>
        <w:t>panta treš</w:t>
      </w:r>
      <w:r w:rsidR="00B47FE8" w:rsidRPr="00CC021F">
        <w:rPr>
          <w:rFonts w:eastAsia="Calibri"/>
          <w:color w:val="000000" w:themeColor="text1"/>
          <w:lang w:val="lt-LT"/>
        </w:rPr>
        <w:t>ā</w:t>
      </w:r>
      <w:r w:rsidR="00206C79" w:rsidRPr="00CC021F">
        <w:rPr>
          <w:rFonts w:eastAsia="Calibri"/>
          <w:color w:val="000000" w:themeColor="text1"/>
          <w:vertAlign w:val="superscript"/>
          <w:lang w:val="lt-LT"/>
        </w:rPr>
        <w:t xml:space="preserve">1 </w:t>
      </w:r>
      <w:r w:rsidR="00206C79" w:rsidRPr="00CC021F">
        <w:rPr>
          <w:rFonts w:eastAsia="Calibri"/>
          <w:color w:val="000000" w:themeColor="text1"/>
          <w:lang w:val="lt-LT"/>
        </w:rPr>
        <w:t>daļ</w:t>
      </w:r>
      <w:r w:rsidR="00B47FE8" w:rsidRPr="00CC021F">
        <w:rPr>
          <w:rFonts w:eastAsia="Calibri"/>
          <w:color w:val="000000" w:themeColor="text1"/>
          <w:lang w:val="lt-LT"/>
        </w:rPr>
        <w:t>a</w:t>
      </w:r>
      <w:r w:rsidR="00206C79" w:rsidRPr="00CC021F">
        <w:rPr>
          <w:rFonts w:eastAsia="Calibri"/>
          <w:color w:val="000000" w:themeColor="text1"/>
          <w:lang w:val="lt-LT"/>
        </w:rPr>
        <w:t>, jo pārstāve lietā darboj</w:t>
      </w:r>
      <w:r w:rsidR="00900474" w:rsidRPr="00CC021F">
        <w:rPr>
          <w:rFonts w:eastAsia="Calibri"/>
          <w:color w:val="000000" w:themeColor="text1"/>
          <w:lang w:val="lt-LT"/>
        </w:rPr>
        <w:t>a</w:t>
      </w:r>
      <w:r w:rsidR="00206C79" w:rsidRPr="00CC021F">
        <w:rPr>
          <w:rFonts w:eastAsia="Calibri"/>
          <w:color w:val="000000" w:themeColor="text1"/>
          <w:lang w:val="lt-LT"/>
        </w:rPr>
        <w:t>s kā valsts nodrošināt</w:t>
      </w:r>
      <w:r w:rsidR="00B47FE8" w:rsidRPr="00CC021F">
        <w:rPr>
          <w:rFonts w:eastAsia="Calibri"/>
          <w:color w:val="000000" w:themeColor="text1"/>
          <w:lang w:val="lt-LT"/>
        </w:rPr>
        <w:t>a</w:t>
      </w:r>
      <w:r w:rsidR="00206C79" w:rsidRPr="00CC021F">
        <w:rPr>
          <w:rFonts w:eastAsia="Calibri"/>
          <w:color w:val="000000" w:themeColor="text1"/>
          <w:lang w:val="lt-LT"/>
        </w:rPr>
        <w:t>s juridiskās palīdzības sniedzēj</w:t>
      </w:r>
      <w:r w:rsidR="00B47FE8" w:rsidRPr="00CC021F">
        <w:rPr>
          <w:rFonts w:eastAsia="Calibri"/>
          <w:color w:val="000000" w:themeColor="text1"/>
          <w:lang w:val="lt-LT"/>
        </w:rPr>
        <w:t>a</w:t>
      </w:r>
      <w:r w:rsidR="00DC0A4B" w:rsidRPr="00CC021F">
        <w:rPr>
          <w:rFonts w:eastAsia="Calibri"/>
          <w:color w:val="000000" w:themeColor="text1"/>
          <w:lang w:val="lt-LT"/>
        </w:rPr>
        <w:t>.</w:t>
      </w:r>
    </w:p>
    <w:p w14:paraId="519722B4" w14:textId="4D7C67F0" w:rsidR="00276EBA" w:rsidRPr="00CC021F" w:rsidRDefault="00276EBA" w:rsidP="009F7D0A">
      <w:pPr>
        <w:pStyle w:val="Style1"/>
        <w:ind w:firstLine="567"/>
        <w:rPr>
          <w:color w:val="000000" w:themeColor="text1"/>
          <w:shd w:val="clear" w:color="auto" w:fill="FFFFFF"/>
          <w:lang w:val="lt-LT"/>
        </w:rPr>
      </w:pPr>
      <w:r w:rsidRPr="00CC021F">
        <w:rPr>
          <w:color w:val="000000" w:themeColor="text1"/>
          <w:shd w:val="clear" w:color="auto" w:fill="FFFFFF"/>
          <w:lang w:val="lt-LT"/>
        </w:rPr>
        <w:t>Pārstāve ar  pieteicēju nav noslēgusi civiltiesisku vienošanos par pārstāvību tiesā. Pieteicējam nav pienākums izsniegt notariāli apliecinātu vai vienkāršu p</w:t>
      </w:r>
      <w:r w:rsidR="00C9364B" w:rsidRPr="00CC021F">
        <w:rPr>
          <w:color w:val="000000" w:themeColor="text1"/>
          <w:shd w:val="clear" w:color="auto" w:fill="FFFFFF"/>
          <w:lang w:val="lt-LT"/>
        </w:rPr>
        <w:t>ilnvaru Civilprocesa likuma 85.</w:t>
      </w:r>
      <w:r w:rsidRPr="00CC021F">
        <w:rPr>
          <w:color w:val="000000" w:themeColor="text1"/>
          <w:shd w:val="clear" w:color="auto" w:fill="FFFFFF"/>
          <w:lang w:val="lt-LT"/>
        </w:rPr>
        <w:t>panta pirmās daļas un trešās daļas izpratnē un viņš pats sev pārstāvi neizvēlas.</w:t>
      </w:r>
      <w:r w:rsidR="005A4098" w:rsidRPr="00CC021F">
        <w:rPr>
          <w:color w:val="000000" w:themeColor="text1"/>
          <w:shd w:val="clear" w:color="auto" w:fill="FFFFFF"/>
          <w:lang w:val="lt-LT"/>
        </w:rPr>
        <w:t xml:space="preserve"> Pārstāve ir norīkota pārstāvēt pietiecēju un sniedz juridiskos pakalpojumus bez atlīdzības (</w:t>
      </w:r>
      <w:r w:rsidR="005A4098" w:rsidRPr="00CC021F">
        <w:rPr>
          <w:i/>
          <w:iCs/>
          <w:color w:val="000000" w:themeColor="text1"/>
          <w:shd w:val="clear" w:color="auto" w:fill="FFFFFF"/>
          <w:lang w:val="lt-LT"/>
        </w:rPr>
        <w:t>pro bono</w:t>
      </w:r>
      <w:r w:rsidR="005A4098" w:rsidRPr="00CC021F">
        <w:rPr>
          <w:color w:val="000000" w:themeColor="text1"/>
          <w:shd w:val="clear" w:color="auto" w:fill="FFFFFF"/>
          <w:lang w:val="lt-LT"/>
        </w:rPr>
        <w:t>).</w:t>
      </w:r>
    </w:p>
    <w:p w14:paraId="6691EA8C" w14:textId="7FDB889B" w:rsidR="00276EBA" w:rsidRPr="00CC021F" w:rsidRDefault="00276EBA" w:rsidP="009F7D0A">
      <w:pPr>
        <w:pStyle w:val="Style1"/>
        <w:ind w:firstLine="567"/>
        <w:rPr>
          <w:color w:val="000000" w:themeColor="text1"/>
          <w:shd w:val="clear" w:color="auto" w:fill="FFFFFF"/>
          <w:lang w:val="lt-LT"/>
        </w:rPr>
      </w:pPr>
      <w:r w:rsidRPr="00CC021F">
        <w:rPr>
          <w:rFonts w:eastAsia="Calibri"/>
          <w:color w:val="000000" w:themeColor="text1"/>
          <w:lang w:val="lt-LT"/>
        </w:rPr>
        <w:t>A</w:t>
      </w:r>
      <w:r w:rsidR="00900474" w:rsidRPr="00CC021F">
        <w:rPr>
          <w:rFonts w:eastAsia="Calibri"/>
          <w:color w:val="000000" w:themeColor="text1"/>
          <w:lang w:val="lt-LT"/>
        </w:rPr>
        <w:t xml:space="preserve">tbilstoši tiesiskajam regulējumam, </w:t>
      </w:r>
      <w:r w:rsidR="00206C79" w:rsidRPr="00CC021F">
        <w:rPr>
          <w:rFonts w:eastAsia="Calibri"/>
          <w:color w:val="000000" w:themeColor="text1"/>
          <w:lang w:val="lt-LT"/>
        </w:rPr>
        <w:t xml:space="preserve">kas </w:t>
      </w:r>
      <w:r w:rsidR="00900474" w:rsidRPr="00CC021F">
        <w:rPr>
          <w:rFonts w:eastAsia="Calibri"/>
          <w:color w:val="000000" w:themeColor="text1"/>
          <w:lang w:val="lt-LT"/>
        </w:rPr>
        <w:t xml:space="preserve">izriet no </w:t>
      </w:r>
      <w:r w:rsidR="00206C79" w:rsidRPr="00CC021F">
        <w:rPr>
          <w:rFonts w:eastAsia="Calibri"/>
          <w:color w:val="000000" w:themeColor="text1"/>
          <w:lang w:val="lt-LT"/>
        </w:rPr>
        <w:t xml:space="preserve">Hāgas </w:t>
      </w:r>
      <w:r w:rsidR="00900474" w:rsidRPr="00CC021F">
        <w:rPr>
          <w:rFonts w:eastAsia="Calibri"/>
          <w:color w:val="000000" w:themeColor="text1"/>
          <w:lang w:val="lt-LT"/>
        </w:rPr>
        <w:t xml:space="preserve">konvencijas </w:t>
      </w:r>
      <w:r w:rsidR="00C9364B" w:rsidRPr="00CC021F">
        <w:rPr>
          <w:color w:val="000000" w:themeColor="text1"/>
          <w:shd w:val="clear" w:color="auto" w:fill="FFFFFF"/>
          <w:lang w:val="lt-LT"/>
        </w:rPr>
        <w:t>7.</w:t>
      </w:r>
      <w:r w:rsidR="00900474" w:rsidRPr="00CC021F">
        <w:rPr>
          <w:color w:val="000000" w:themeColor="text1"/>
          <w:shd w:val="clear" w:color="auto" w:fill="FFFFFF"/>
          <w:lang w:val="lt-LT"/>
        </w:rPr>
        <w:t>panta otrās daļas g) punkta, 8., 26. un 28.</w:t>
      </w:r>
      <w:r w:rsidR="00206C79" w:rsidRPr="00CC021F">
        <w:rPr>
          <w:color w:val="000000" w:themeColor="text1"/>
          <w:shd w:val="clear" w:color="auto" w:fill="FFFFFF"/>
          <w:lang w:val="lt-LT"/>
        </w:rPr>
        <w:t>pant</w:t>
      </w:r>
      <w:r w:rsidR="00900474" w:rsidRPr="00CC021F">
        <w:rPr>
          <w:color w:val="000000" w:themeColor="text1"/>
          <w:shd w:val="clear" w:color="auto" w:fill="FFFFFF"/>
          <w:lang w:val="lt-LT"/>
        </w:rPr>
        <w:t>a</w:t>
      </w:r>
      <w:r w:rsidR="00900474" w:rsidRPr="00CC021F">
        <w:rPr>
          <w:i/>
          <w:iCs/>
          <w:color w:val="000000" w:themeColor="text1"/>
          <w:shd w:val="clear" w:color="auto" w:fill="FFFFFF"/>
          <w:lang w:val="lt-LT"/>
        </w:rPr>
        <w:t xml:space="preserve"> </w:t>
      </w:r>
      <w:r w:rsidR="00900474" w:rsidRPr="00CC021F">
        <w:rPr>
          <w:color w:val="000000" w:themeColor="text1"/>
          <w:shd w:val="clear" w:color="auto" w:fill="FFFFFF"/>
          <w:lang w:val="lt-LT"/>
        </w:rPr>
        <w:t>un</w:t>
      </w:r>
      <w:r w:rsidR="00900474" w:rsidRPr="00CC021F">
        <w:rPr>
          <w:i/>
          <w:iCs/>
          <w:color w:val="000000" w:themeColor="text1"/>
          <w:shd w:val="clear" w:color="auto" w:fill="FFFFFF"/>
          <w:lang w:val="lt-LT"/>
        </w:rPr>
        <w:t xml:space="preserve">  </w:t>
      </w:r>
      <w:r w:rsidR="00900474" w:rsidRPr="00CC021F">
        <w:rPr>
          <w:color w:val="000000" w:themeColor="text1"/>
          <w:shd w:val="clear" w:color="auto" w:fill="FFFFFF"/>
          <w:lang w:val="lt-LT"/>
        </w:rPr>
        <w:t>Ministru k</w:t>
      </w:r>
      <w:r w:rsidR="00206C79" w:rsidRPr="00CC021F">
        <w:rPr>
          <w:color w:val="000000" w:themeColor="text1"/>
          <w:shd w:val="clear" w:color="auto" w:fill="FFFFFF"/>
          <w:lang w:val="lt-LT"/>
        </w:rPr>
        <w:t xml:space="preserve">abineta </w:t>
      </w:r>
      <w:r w:rsidR="00C9364B" w:rsidRPr="00CC021F">
        <w:rPr>
          <w:color w:val="000000" w:themeColor="text1"/>
          <w:shd w:val="clear" w:color="auto" w:fill="FFFFFF"/>
          <w:lang w:val="lt-LT"/>
        </w:rPr>
        <w:t>noteikumu Nr.322 15.</w:t>
      </w:r>
      <w:r w:rsidR="00DC0A4B" w:rsidRPr="00CC021F">
        <w:rPr>
          <w:color w:val="000000" w:themeColor="text1"/>
          <w:shd w:val="clear" w:color="auto" w:fill="FFFFFF"/>
          <w:lang w:val="lt-LT"/>
        </w:rPr>
        <w:t>punkta</w:t>
      </w:r>
      <w:r w:rsidR="00B006DB" w:rsidRPr="00CC021F">
        <w:rPr>
          <w:color w:val="000000" w:themeColor="text1"/>
          <w:shd w:val="clear" w:color="auto" w:fill="FFFFFF"/>
          <w:lang w:val="lt-LT"/>
        </w:rPr>
        <w:t xml:space="preserve">, Centrālai iestādei </w:t>
      </w:r>
      <w:r w:rsidR="00B47FE8" w:rsidRPr="00CC021F">
        <w:rPr>
          <w:color w:val="000000" w:themeColor="text1"/>
          <w:shd w:val="clear" w:color="auto" w:fill="FFFFFF"/>
          <w:lang w:val="lt-LT"/>
        </w:rPr>
        <w:t xml:space="preserve">ir </w:t>
      </w:r>
      <w:r w:rsidR="00B006DB" w:rsidRPr="00CC021F">
        <w:rPr>
          <w:color w:val="000000" w:themeColor="text1"/>
          <w:shd w:val="clear" w:color="auto" w:fill="FFFFFF"/>
          <w:lang w:val="lt-LT"/>
        </w:rPr>
        <w:t>pienākum</w:t>
      </w:r>
      <w:r w:rsidR="00B47FE8" w:rsidRPr="00CC021F">
        <w:rPr>
          <w:color w:val="000000" w:themeColor="text1"/>
          <w:shd w:val="clear" w:color="auto" w:fill="FFFFFF"/>
          <w:lang w:val="lt-LT"/>
        </w:rPr>
        <w:t>s</w:t>
      </w:r>
      <w:r w:rsidR="00206C79" w:rsidRPr="00CC021F">
        <w:rPr>
          <w:color w:val="000000" w:themeColor="text1"/>
          <w:shd w:val="clear" w:color="auto" w:fill="FFFFFF"/>
          <w:lang w:val="lt-LT"/>
        </w:rPr>
        <w:t xml:space="preserve"> nodrošināt pieteicējam juridisko pārstāvi</w:t>
      </w:r>
      <w:r w:rsidR="00B47FE8" w:rsidRPr="00CC021F">
        <w:rPr>
          <w:color w:val="000000" w:themeColor="text1"/>
          <w:shd w:val="clear" w:color="auto" w:fill="FFFFFF"/>
          <w:lang w:val="lt-LT"/>
        </w:rPr>
        <w:t xml:space="preserve">. Ievērojot minēto, </w:t>
      </w:r>
      <w:r w:rsidR="00206C79" w:rsidRPr="00CC021F">
        <w:rPr>
          <w:color w:val="000000" w:themeColor="text1"/>
          <w:shd w:val="clear" w:color="auto" w:fill="FFFFFF"/>
          <w:lang w:val="lt-LT"/>
        </w:rPr>
        <w:t xml:space="preserve"> Tieslietu ministrija </w:t>
      </w:r>
      <w:r w:rsidR="00B47FE8" w:rsidRPr="00CC021F">
        <w:rPr>
          <w:color w:val="000000" w:themeColor="text1"/>
          <w:shd w:val="clear" w:color="auto" w:fill="FFFFFF"/>
          <w:lang w:val="lt-LT"/>
        </w:rPr>
        <w:t xml:space="preserve">pilnvaroja </w:t>
      </w:r>
      <w:r w:rsidR="00206C79" w:rsidRPr="00CC021F">
        <w:rPr>
          <w:color w:val="000000" w:themeColor="text1"/>
          <w:shd w:val="clear" w:color="auto" w:fill="FFFFFF"/>
          <w:lang w:val="lt-LT"/>
        </w:rPr>
        <w:t>zvērinātu advokāti Ant</w:t>
      </w:r>
      <w:r w:rsidR="00DC0A4B" w:rsidRPr="00CC021F">
        <w:rPr>
          <w:color w:val="000000" w:themeColor="text1"/>
          <w:shd w:val="clear" w:color="auto" w:fill="FFFFFF"/>
          <w:lang w:val="lt-LT"/>
        </w:rPr>
        <w:t>ru Kalēju pārstāvēt pieteicēju</w:t>
      </w:r>
      <w:r w:rsidR="001C66A1" w:rsidRPr="00CC021F">
        <w:rPr>
          <w:color w:val="000000" w:themeColor="text1"/>
          <w:shd w:val="clear" w:color="auto" w:fill="FFFFFF"/>
          <w:lang w:val="lt-LT"/>
        </w:rPr>
        <w:t>.</w:t>
      </w:r>
      <w:r w:rsidR="00EE73C1" w:rsidRPr="00CC021F">
        <w:rPr>
          <w:color w:val="000000" w:themeColor="text1"/>
          <w:shd w:val="clear" w:color="auto" w:fill="FFFFFF"/>
          <w:lang w:val="lt-LT"/>
        </w:rPr>
        <w:t xml:space="preserve"> </w:t>
      </w:r>
    </w:p>
    <w:p w14:paraId="5455BBFD" w14:textId="77777777" w:rsidR="005A4098" w:rsidRPr="00CC021F" w:rsidRDefault="005A4098" w:rsidP="009F7D0A">
      <w:pPr>
        <w:pStyle w:val="Style1"/>
        <w:ind w:firstLine="567"/>
        <w:rPr>
          <w:shd w:val="clear" w:color="auto" w:fill="FFFFFF"/>
        </w:rPr>
      </w:pPr>
      <w:r w:rsidRPr="00CC021F">
        <w:rPr>
          <w:shd w:val="clear" w:color="auto" w:fill="FFFFFF"/>
        </w:rPr>
        <w:t>Pārstāvja pilnvarojumu apliecina atbildīgās valsts institūcijas norīkojums (Tieslietu ministrijas izdota pilnvara), un ar to ir pietiekami blakus sūdzības iesniegšanai. Netiek paredzēts, ka valsts noteiktiem juridiskās palīdzības sniedzējiem pilnvara būtu jāizsniedz atsevišķi katrai tiesu instancei.</w:t>
      </w:r>
    </w:p>
    <w:p w14:paraId="5ED39140" w14:textId="123347CA" w:rsidR="00276EBA" w:rsidRPr="00CC021F" w:rsidRDefault="00276EBA" w:rsidP="009F7D0A">
      <w:pPr>
        <w:pStyle w:val="Style1"/>
        <w:ind w:firstLine="567"/>
        <w:rPr>
          <w:rFonts w:eastAsia="Calibri"/>
          <w:color w:val="000000" w:themeColor="text1"/>
        </w:rPr>
      </w:pPr>
      <w:r w:rsidRPr="00CC021F">
        <w:rPr>
          <w:rFonts w:eastAsia="Calibri"/>
          <w:color w:val="000000" w:themeColor="text1"/>
        </w:rPr>
        <w:lastRenderedPageBreak/>
        <w:t>[3.2] T</w:t>
      </w:r>
      <w:r w:rsidR="00B006DB" w:rsidRPr="00CC021F">
        <w:rPr>
          <w:rFonts w:eastAsia="Calibri"/>
          <w:color w:val="000000" w:themeColor="text1"/>
        </w:rPr>
        <w:t>iesa nepamatoti atsaucās</w:t>
      </w:r>
      <w:r w:rsidR="00206C79" w:rsidRPr="00CC021F">
        <w:rPr>
          <w:rFonts w:eastAsia="Calibri"/>
          <w:color w:val="000000" w:themeColor="text1"/>
        </w:rPr>
        <w:t xml:space="preserve"> uz Augstākās tiesas </w:t>
      </w:r>
      <w:r w:rsidR="001C66A1" w:rsidRPr="00CC021F">
        <w:rPr>
          <w:rFonts w:eastAsia="Calibri"/>
          <w:color w:val="000000" w:themeColor="text1"/>
        </w:rPr>
        <w:t>lēmumiem</w:t>
      </w:r>
      <w:r w:rsidR="00206C79" w:rsidRPr="00CC021F">
        <w:rPr>
          <w:rFonts w:eastAsia="Calibri"/>
          <w:color w:val="000000" w:themeColor="text1"/>
        </w:rPr>
        <w:t xml:space="preserve"> lietā</w:t>
      </w:r>
      <w:r w:rsidR="001C66A1" w:rsidRPr="00CC021F">
        <w:rPr>
          <w:rFonts w:eastAsia="Calibri"/>
          <w:color w:val="000000" w:themeColor="text1"/>
        </w:rPr>
        <w:t>s Nr. </w:t>
      </w:r>
      <w:r w:rsidR="00206C79" w:rsidRPr="00CC021F">
        <w:rPr>
          <w:rFonts w:eastAsia="Calibri"/>
          <w:color w:val="000000" w:themeColor="text1"/>
        </w:rPr>
        <w:t>SK</w:t>
      </w:r>
      <w:r w:rsidR="001C66A1" w:rsidRPr="00CC021F">
        <w:rPr>
          <w:rFonts w:eastAsia="Calibri"/>
          <w:color w:val="000000" w:themeColor="text1"/>
        </w:rPr>
        <w:t>C </w:t>
      </w:r>
      <w:r w:rsidR="001C66A1" w:rsidRPr="00CC021F">
        <w:rPr>
          <w:rFonts w:eastAsia="Calibri"/>
          <w:color w:val="000000" w:themeColor="text1"/>
        </w:rPr>
        <w:noBreakHyphen/>
        <w:t> 2391/2015 (</w:t>
      </w:r>
      <w:r w:rsidR="00206C79" w:rsidRPr="00CC021F">
        <w:rPr>
          <w:rFonts w:eastAsia="Calibri"/>
          <w:color w:val="000000" w:themeColor="text1"/>
        </w:rPr>
        <w:t>C51001314</w:t>
      </w:r>
      <w:r w:rsidR="001C66A1" w:rsidRPr="00CC021F">
        <w:rPr>
          <w:rFonts w:eastAsia="Calibri"/>
          <w:color w:val="000000" w:themeColor="text1"/>
        </w:rPr>
        <w:t>)</w:t>
      </w:r>
      <w:r w:rsidR="00206C79" w:rsidRPr="00CC021F">
        <w:rPr>
          <w:rFonts w:eastAsia="Calibri"/>
          <w:color w:val="000000" w:themeColor="text1"/>
        </w:rPr>
        <w:t xml:space="preserve"> un </w:t>
      </w:r>
      <w:r w:rsidR="001C66A1" w:rsidRPr="00CC021F">
        <w:rPr>
          <w:rFonts w:eastAsia="Calibri"/>
          <w:color w:val="000000" w:themeColor="text1"/>
        </w:rPr>
        <w:t>Nr. SKC-1788/2016 (C29539915),</w:t>
      </w:r>
      <w:r w:rsidR="005A4098" w:rsidRPr="00CC021F">
        <w:rPr>
          <w:rFonts w:eastAsia="Calibri"/>
          <w:color w:val="000000" w:themeColor="text1"/>
        </w:rPr>
        <w:t xml:space="preserve"> jo tajās </w:t>
      </w:r>
      <w:r w:rsidR="00206C79" w:rsidRPr="00CC021F">
        <w:rPr>
          <w:rFonts w:eastAsia="Calibri"/>
          <w:color w:val="000000" w:themeColor="text1"/>
        </w:rPr>
        <w:t xml:space="preserve">ir atšķirīgi </w:t>
      </w:r>
      <w:r w:rsidR="001C66A1" w:rsidRPr="00CC021F">
        <w:rPr>
          <w:rFonts w:eastAsia="Calibri"/>
          <w:color w:val="000000" w:themeColor="text1"/>
        </w:rPr>
        <w:t>faktiskie un tiesiskie apstākļi.</w:t>
      </w:r>
    </w:p>
    <w:p w14:paraId="68A7F0CB" w14:textId="5496A577" w:rsidR="006608BC" w:rsidRPr="00CC021F" w:rsidRDefault="001C66A1" w:rsidP="009F7D0A">
      <w:pPr>
        <w:pStyle w:val="Style1"/>
        <w:ind w:firstLine="567"/>
        <w:rPr>
          <w:rFonts w:eastAsia="Calibri"/>
        </w:rPr>
      </w:pPr>
      <w:r w:rsidRPr="00CC021F">
        <w:t>[3.</w:t>
      </w:r>
      <w:r w:rsidR="00276EBA" w:rsidRPr="00CC021F">
        <w:t>3</w:t>
      </w:r>
      <w:r w:rsidRPr="00CC021F">
        <w:t xml:space="preserve">] </w:t>
      </w:r>
      <w:r w:rsidR="00D7791E" w:rsidRPr="00CC021F">
        <w:rPr>
          <w:rFonts w:eastAsia="Calibri"/>
          <w:lang w:eastAsia="lv-LV"/>
        </w:rPr>
        <w:t>N</w:t>
      </w:r>
      <w:r w:rsidR="00B006DB" w:rsidRPr="00CC021F">
        <w:rPr>
          <w:rFonts w:eastAsia="Calibri"/>
          <w:lang w:eastAsia="lv-LV"/>
        </w:rPr>
        <w:t xml:space="preserve">epamatoti </w:t>
      </w:r>
      <w:r w:rsidR="00D7791E" w:rsidRPr="00CC021F">
        <w:rPr>
          <w:rFonts w:eastAsia="Calibri"/>
          <w:lang w:eastAsia="lv-LV"/>
        </w:rPr>
        <w:t xml:space="preserve">tika </w:t>
      </w:r>
      <w:r w:rsidR="00B006DB" w:rsidRPr="00CC021F">
        <w:rPr>
          <w:rFonts w:eastAsia="Calibri"/>
          <w:lang w:eastAsia="lv-LV"/>
        </w:rPr>
        <w:t>pie</w:t>
      </w:r>
      <w:r w:rsidR="00C9364B" w:rsidRPr="00CC021F">
        <w:rPr>
          <w:rFonts w:eastAsia="Calibri"/>
          <w:lang w:eastAsia="lv-LV"/>
        </w:rPr>
        <w:t>mēro</w:t>
      </w:r>
      <w:r w:rsidR="00D7791E" w:rsidRPr="00CC021F">
        <w:rPr>
          <w:rFonts w:eastAsia="Calibri"/>
          <w:lang w:eastAsia="lv-LV"/>
        </w:rPr>
        <w:t>t</w:t>
      </w:r>
      <w:r w:rsidR="00C9364B" w:rsidRPr="00CC021F">
        <w:rPr>
          <w:rFonts w:eastAsia="Calibri"/>
          <w:lang w:eastAsia="lv-LV"/>
        </w:rPr>
        <w:t xml:space="preserve">a Civilprocesa likuma </w:t>
      </w:r>
      <w:proofErr w:type="gramStart"/>
      <w:r w:rsidR="00C9364B" w:rsidRPr="00CC021F">
        <w:rPr>
          <w:rFonts w:eastAsia="Calibri"/>
          <w:lang w:eastAsia="lv-LV"/>
        </w:rPr>
        <w:t>445.</w:t>
      </w:r>
      <w:r w:rsidR="00B006DB" w:rsidRPr="00CC021F">
        <w:rPr>
          <w:rFonts w:eastAsia="Calibri"/>
          <w:lang w:eastAsia="lv-LV"/>
        </w:rPr>
        <w:t>panta</w:t>
      </w:r>
      <w:proofErr w:type="gramEnd"/>
      <w:r w:rsidR="00B006DB" w:rsidRPr="00CC021F">
        <w:rPr>
          <w:rFonts w:eastAsia="Calibri"/>
          <w:lang w:eastAsia="lv-LV"/>
        </w:rPr>
        <w:t xml:space="preserve"> otr</w:t>
      </w:r>
      <w:r w:rsidR="00D7791E" w:rsidRPr="00CC021F">
        <w:rPr>
          <w:rFonts w:eastAsia="Calibri"/>
          <w:lang w:eastAsia="lv-LV"/>
        </w:rPr>
        <w:t xml:space="preserve">ā </w:t>
      </w:r>
      <w:r w:rsidR="00B006DB" w:rsidRPr="00CC021F">
        <w:rPr>
          <w:rFonts w:eastAsia="Calibri"/>
          <w:lang w:eastAsia="lv-LV"/>
        </w:rPr>
        <w:t>daļ</w:t>
      </w:r>
      <w:r w:rsidR="00D7791E" w:rsidRPr="00CC021F">
        <w:rPr>
          <w:rFonts w:eastAsia="Calibri"/>
          <w:lang w:eastAsia="lv-LV"/>
        </w:rPr>
        <w:t xml:space="preserve">a un ar to </w:t>
      </w:r>
      <w:r w:rsidR="006608BC" w:rsidRPr="00CC021F">
        <w:rPr>
          <w:rFonts w:eastAsia="Calibri"/>
        </w:rPr>
        <w:t>pieteicējam radīts nesamērīgs pamattiesību uz taisnīgu tiesu ierobežojums.</w:t>
      </w:r>
    </w:p>
    <w:p w14:paraId="3A7DE760" w14:textId="020BD95B" w:rsidR="006608BC" w:rsidRPr="00CC021F" w:rsidRDefault="006608BC" w:rsidP="009F7D0A">
      <w:pPr>
        <w:pStyle w:val="Style1"/>
        <w:ind w:firstLine="567"/>
        <w:rPr>
          <w:rFonts w:eastAsia="Calibri"/>
          <w:color w:val="4472C4" w:themeColor="accent5"/>
        </w:rPr>
      </w:pPr>
      <w:r w:rsidRPr="00CC021F">
        <w:rPr>
          <w:rFonts w:eastAsia="Calibri"/>
          <w:lang w:eastAsia="lv-LV"/>
        </w:rPr>
        <w:t xml:space="preserve">Tiesa </w:t>
      </w:r>
      <w:r w:rsidR="00455BA6" w:rsidRPr="00CC021F">
        <w:rPr>
          <w:rFonts w:eastAsia="Calibri"/>
          <w:lang w:eastAsia="lv-LV"/>
        </w:rPr>
        <w:t xml:space="preserve">nevarēja </w:t>
      </w:r>
      <w:r w:rsidR="00B006DB" w:rsidRPr="00CC021F">
        <w:rPr>
          <w:rFonts w:eastAsia="Calibri"/>
        </w:rPr>
        <w:t>atsau</w:t>
      </w:r>
      <w:r w:rsidR="00455BA6" w:rsidRPr="00CC021F">
        <w:rPr>
          <w:rFonts w:eastAsia="Calibri"/>
        </w:rPr>
        <w:t xml:space="preserve">kties </w:t>
      </w:r>
      <w:r w:rsidR="00B006DB" w:rsidRPr="00CC021F">
        <w:rPr>
          <w:rFonts w:eastAsia="Calibri"/>
        </w:rPr>
        <w:t xml:space="preserve">uz Augstākās tiesas lēmumu lietā Nr. SKC-2391/2015, C51001314, </w:t>
      </w:r>
      <w:r w:rsidR="00D65B90" w:rsidRPr="00CC021F">
        <w:rPr>
          <w:rFonts w:eastAsia="Calibri"/>
        </w:rPr>
        <w:t>kur</w:t>
      </w:r>
      <w:r w:rsidR="003E0A6C" w:rsidRPr="00CC021F">
        <w:rPr>
          <w:rFonts w:eastAsia="Calibri"/>
        </w:rPr>
        <w:t xml:space="preserve">ā </w:t>
      </w:r>
      <w:r w:rsidR="00B006DB" w:rsidRPr="00CC021F">
        <w:rPr>
          <w:rFonts w:eastAsia="Calibri"/>
        </w:rPr>
        <w:t xml:space="preserve">izskatīta blakus sūdzība par </w:t>
      </w:r>
      <w:r w:rsidR="00D65B90" w:rsidRPr="00CC021F">
        <w:rPr>
          <w:rFonts w:eastAsia="Calibri"/>
        </w:rPr>
        <w:t>apgabaltiesas lēmumu, kas</w:t>
      </w:r>
      <w:r w:rsidR="00C9364B" w:rsidRPr="00CC021F">
        <w:rPr>
          <w:rFonts w:eastAsia="Calibri"/>
        </w:rPr>
        <w:t xml:space="preserve"> pieņemts </w:t>
      </w:r>
      <w:proofErr w:type="gramStart"/>
      <w:r w:rsidR="00C9364B" w:rsidRPr="00CC021F">
        <w:rPr>
          <w:rFonts w:eastAsia="Calibri"/>
        </w:rPr>
        <w:t>2015.</w:t>
      </w:r>
      <w:r w:rsidR="00B006DB" w:rsidRPr="00CC021F">
        <w:rPr>
          <w:rFonts w:eastAsia="Calibri"/>
        </w:rPr>
        <w:t>gada</w:t>
      </w:r>
      <w:proofErr w:type="gramEnd"/>
      <w:r w:rsidR="00B006DB" w:rsidRPr="00CC021F">
        <w:rPr>
          <w:rFonts w:eastAsia="Calibri"/>
        </w:rPr>
        <w:t xml:space="preserve"> </w:t>
      </w:r>
      <w:r w:rsidR="00C9364B" w:rsidRPr="00CC021F">
        <w:rPr>
          <w:rFonts w:eastAsia="Calibri"/>
        </w:rPr>
        <w:t>26.</w:t>
      </w:r>
      <w:r w:rsidR="00D65B90" w:rsidRPr="00CC021F">
        <w:rPr>
          <w:rFonts w:eastAsia="Calibri"/>
        </w:rPr>
        <w:t xml:space="preserve">februārī, </w:t>
      </w:r>
      <w:r w:rsidR="00DD23C0" w:rsidRPr="00CC021F">
        <w:rPr>
          <w:rFonts w:eastAsia="Calibri"/>
        </w:rPr>
        <w:t>jo t</w:t>
      </w:r>
      <w:r w:rsidR="00D65B90" w:rsidRPr="00CC021F">
        <w:rPr>
          <w:rFonts w:eastAsia="Calibri"/>
        </w:rPr>
        <w:t xml:space="preserve">ad </w:t>
      </w:r>
      <w:r w:rsidR="00B006DB" w:rsidRPr="00CC021F">
        <w:rPr>
          <w:rFonts w:eastAsia="Calibri"/>
        </w:rPr>
        <w:t>Civilprocesa likuma 445</w:t>
      </w:r>
      <w:r w:rsidR="00C9364B" w:rsidRPr="00CC021F">
        <w:rPr>
          <w:rFonts w:eastAsia="Calibri"/>
        </w:rPr>
        <w:t>.</w:t>
      </w:r>
      <w:r w:rsidR="00DC0A4B" w:rsidRPr="00CC021F">
        <w:rPr>
          <w:rFonts w:eastAsia="Calibri"/>
        </w:rPr>
        <w:t>pants vēl nebija izteikts</w:t>
      </w:r>
      <w:r w:rsidR="003E0A6C" w:rsidRPr="00CC021F">
        <w:rPr>
          <w:rFonts w:eastAsia="Calibri"/>
        </w:rPr>
        <w:t xml:space="preserve"> </w:t>
      </w:r>
      <w:r w:rsidR="00D65B90" w:rsidRPr="00CC021F">
        <w:rPr>
          <w:rFonts w:eastAsia="Calibri"/>
        </w:rPr>
        <w:t>pašr</w:t>
      </w:r>
      <w:r w:rsidR="003E0A6C" w:rsidRPr="00CC021F">
        <w:rPr>
          <w:rFonts w:eastAsia="Calibri"/>
        </w:rPr>
        <w:t>eizējā redakcijā</w:t>
      </w:r>
      <w:r w:rsidR="00DD23C0" w:rsidRPr="00CC021F">
        <w:rPr>
          <w:rFonts w:eastAsia="Calibri"/>
        </w:rPr>
        <w:t xml:space="preserve">, proti, </w:t>
      </w:r>
      <w:r w:rsidR="00DC0A4B" w:rsidRPr="00CC021F">
        <w:rPr>
          <w:rFonts w:eastAsia="Calibri"/>
        </w:rPr>
        <w:t xml:space="preserve">tajā </w:t>
      </w:r>
      <w:r w:rsidR="00B006DB" w:rsidRPr="00CC021F">
        <w:rPr>
          <w:rFonts w:eastAsia="Calibri"/>
        </w:rPr>
        <w:t>nebija ie</w:t>
      </w:r>
      <w:r w:rsidR="00DC0A4B" w:rsidRPr="00CC021F">
        <w:rPr>
          <w:rFonts w:eastAsia="Calibri"/>
        </w:rPr>
        <w:t xml:space="preserve">tverta </w:t>
      </w:r>
      <w:r w:rsidR="00D65B90" w:rsidRPr="00CC021F">
        <w:rPr>
          <w:rFonts w:eastAsia="Calibri"/>
        </w:rPr>
        <w:t xml:space="preserve">ceturtā </w:t>
      </w:r>
      <w:r w:rsidR="00B006DB" w:rsidRPr="00CC021F">
        <w:rPr>
          <w:rFonts w:eastAsia="Calibri"/>
        </w:rPr>
        <w:t>daļa, saskaņā ar kuru blakus sūdzību var atstāt bez virzības, ja no pievienotajiem dokumentiem neizriet pilnvarojuma apjoms.</w:t>
      </w:r>
      <w:r w:rsidRPr="00CC021F">
        <w:rPr>
          <w:rFonts w:eastAsia="Calibri"/>
        </w:rPr>
        <w:t xml:space="preserve"> </w:t>
      </w:r>
    </w:p>
    <w:p w14:paraId="6323F519" w14:textId="4B104459" w:rsidR="006608BC" w:rsidRPr="00CC021F" w:rsidRDefault="00B006DB" w:rsidP="009F7D0A">
      <w:pPr>
        <w:pStyle w:val="Style1"/>
        <w:ind w:firstLine="567"/>
        <w:rPr>
          <w:rFonts w:eastAsia="Calibri"/>
        </w:rPr>
      </w:pPr>
      <w:r w:rsidRPr="00CC021F">
        <w:rPr>
          <w:rFonts w:eastAsia="Calibri"/>
        </w:rPr>
        <w:t xml:space="preserve">Civilprocesa likuma </w:t>
      </w:r>
      <w:proofErr w:type="gramStart"/>
      <w:r w:rsidR="00C9364B" w:rsidRPr="00CC021F">
        <w:rPr>
          <w:rFonts w:eastAsia="Calibri"/>
        </w:rPr>
        <w:t>445.</w:t>
      </w:r>
      <w:r w:rsidRPr="00CC021F">
        <w:rPr>
          <w:rFonts w:eastAsia="Calibri"/>
        </w:rPr>
        <w:t>pants</w:t>
      </w:r>
      <w:proofErr w:type="gramEnd"/>
      <w:r w:rsidRPr="00CC021F">
        <w:rPr>
          <w:rFonts w:eastAsia="Calibri"/>
        </w:rPr>
        <w:t xml:space="preserve"> izteikts jaunā redakcijā, tostarp, paredzot otrās un ceturtās daļas noteikumus, </w:t>
      </w:r>
      <w:r w:rsidR="003E0A6C" w:rsidRPr="00CC021F">
        <w:rPr>
          <w:rFonts w:eastAsia="Calibri"/>
        </w:rPr>
        <w:t xml:space="preserve">tikai </w:t>
      </w:r>
      <w:r w:rsidRPr="00CC021F">
        <w:rPr>
          <w:rFonts w:eastAsia="Calibri"/>
        </w:rPr>
        <w:t>ar</w:t>
      </w:r>
      <w:r w:rsidR="00C9364B" w:rsidRPr="00CC021F">
        <w:rPr>
          <w:rFonts w:eastAsia="Calibri"/>
        </w:rPr>
        <w:t xml:space="preserve"> 2015.gada 23.</w:t>
      </w:r>
      <w:r w:rsidR="00DC0A4B" w:rsidRPr="00CC021F">
        <w:rPr>
          <w:rFonts w:eastAsia="Calibri"/>
        </w:rPr>
        <w:t>aprīļa likum</w:t>
      </w:r>
      <w:r w:rsidR="006608BC" w:rsidRPr="00CC021F">
        <w:rPr>
          <w:rFonts w:eastAsia="Calibri"/>
        </w:rPr>
        <w:t>a grozījumiem</w:t>
      </w:r>
      <w:r w:rsidR="003E0A6C" w:rsidRPr="00CC021F">
        <w:rPr>
          <w:rFonts w:eastAsia="Calibri"/>
        </w:rPr>
        <w:t>. No </w:t>
      </w:r>
      <w:r w:rsidRPr="00CC021F">
        <w:rPr>
          <w:rFonts w:eastAsia="Calibri"/>
        </w:rPr>
        <w:t xml:space="preserve">priekšlikumiem likumprojektam, konstatējams, ka Civilprocesa likuma </w:t>
      </w:r>
      <w:proofErr w:type="gramStart"/>
      <w:r w:rsidR="00C9364B" w:rsidRPr="00CC021F">
        <w:rPr>
          <w:rFonts w:eastAsia="Calibri"/>
        </w:rPr>
        <w:t>445.</w:t>
      </w:r>
      <w:r w:rsidR="00D65B90" w:rsidRPr="00CC021F">
        <w:rPr>
          <w:rFonts w:eastAsia="Calibri"/>
        </w:rPr>
        <w:t>panta</w:t>
      </w:r>
      <w:proofErr w:type="gramEnd"/>
      <w:r w:rsidR="00D65B90" w:rsidRPr="00CC021F">
        <w:rPr>
          <w:rFonts w:eastAsia="Calibri"/>
        </w:rPr>
        <w:t xml:space="preserve"> otrā daļa piemērojama</w:t>
      </w:r>
      <w:r w:rsidRPr="00CC021F">
        <w:rPr>
          <w:rFonts w:eastAsia="Calibri"/>
        </w:rPr>
        <w:t xml:space="preserve"> gadījumos, ja pilnvarojuma nav vispār (tas nav pievienots sūdzībai un par to nav informācija</w:t>
      </w:r>
      <w:r w:rsidR="003E0A6C" w:rsidRPr="00CC021F">
        <w:rPr>
          <w:rFonts w:eastAsia="Calibri"/>
        </w:rPr>
        <w:t>s</w:t>
      </w:r>
      <w:r w:rsidRPr="00CC021F">
        <w:rPr>
          <w:rFonts w:eastAsia="Calibri"/>
        </w:rPr>
        <w:t xml:space="preserve"> lietas materiālos, normas mērķis ir novērst negodprātīgu lietas novilcināšanu), </w:t>
      </w:r>
      <w:r w:rsidR="00D65B90" w:rsidRPr="00CC021F">
        <w:rPr>
          <w:rFonts w:eastAsia="Calibri"/>
        </w:rPr>
        <w:t xml:space="preserve">bet </w:t>
      </w:r>
      <w:r w:rsidR="00DC0A4B" w:rsidRPr="00CC021F">
        <w:rPr>
          <w:rFonts w:eastAsia="Calibri"/>
        </w:rPr>
        <w:t xml:space="preserve">ceturtā daļa, </w:t>
      </w:r>
      <w:r w:rsidRPr="00CC021F">
        <w:rPr>
          <w:rFonts w:eastAsia="Calibri"/>
        </w:rPr>
        <w:t>ja pilnvarojums ir pievienots, bet no tā nav konstatējams pilnvarojuma apjoms.</w:t>
      </w:r>
    </w:p>
    <w:p w14:paraId="193F123B" w14:textId="630B84C0" w:rsidR="006608BC" w:rsidRPr="00CC021F" w:rsidRDefault="006608BC" w:rsidP="009F7D0A">
      <w:pPr>
        <w:pStyle w:val="Style1"/>
        <w:ind w:firstLine="567"/>
        <w:rPr>
          <w:rFonts w:eastAsia="Calibri"/>
        </w:rPr>
      </w:pPr>
      <w:r w:rsidRPr="00CC021F">
        <w:rPr>
          <w:rFonts w:eastAsia="Calibri"/>
        </w:rPr>
        <w:t xml:space="preserve">Lietas materiālos ir pieteicēja pārstāves pilnvarojums: 1) Tieslietu ministrijas izdota pilnvara; 2) advokāta orderis ar uzdevumu veikt pārstāvību civillietā. Iestāde, kurā pārstāvība realizējama, norādīta </w:t>
      </w:r>
      <w:r w:rsidR="0047619C" w:rsidRPr="00CC021F">
        <w:t>[..] pilsētas [..]</w:t>
      </w:r>
      <w:r w:rsidRPr="00CC021F">
        <w:rPr>
          <w:rFonts w:eastAsia="Calibri"/>
        </w:rPr>
        <w:t xml:space="preserve"> tiesa.</w:t>
      </w:r>
    </w:p>
    <w:p w14:paraId="4EE1E11C" w14:textId="01BCA3BF" w:rsidR="00DD23C0" w:rsidRPr="00CC021F" w:rsidRDefault="00DD23C0" w:rsidP="009F7D0A">
      <w:pPr>
        <w:pStyle w:val="Style1"/>
        <w:ind w:firstLine="567"/>
        <w:rPr>
          <w:rFonts w:eastAsia="Calibri"/>
        </w:rPr>
      </w:pPr>
      <w:r w:rsidRPr="00CC021F">
        <w:rPr>
          <w:rFonts w:eastAsia="Calibri"/>
        </w:rPr>
        <w:t>Pilnvarojums vērtējams arī kont</w:t>
      </w:r>
      <w:r w:rsidR="00C9364B" w:rsidRPr="00CC021F">
        <w:rPr>
          <w:rFonts w:eastAsia="Calibri"/>
        </w:rPr>
        <w:t xml:space="preserve">ekstā ar Advokatūras likuma </w:t>
      </w:r>
      <w:proofErr w:type="gramStart"/>
      <w:r w:rsidR="00C9364B" w:rsidRPr="00CC021F">
        <w:rPr>
          <w:rFonts w:eastAsia="Calibri"/>
        </w:rPr>
        <w:t>55.</w:t>
      </w:r>
      <w:r w:rsidRPr="00CC021F">
        <w:rPr>
          <w:rFonts w:eastAsia="Calibri"/>
        </w:rPr>
        <w:t>pantu</w:t>
      </w:r>
      <w:proofErr w:type="gramEnd"/>
      <w:r w:rsidRPr="00CC021F">
        <w:rPr>
          <w:rFonts w:eastAsia="Calibri"/>
        </w:rPr>
        <w:t xml:space="preserve"> un Latvijas Zvērinātu advokātu ētikas kodeksa 3.4</w:t>
      </w:r>
      <w:r w:rsidR="00CD1B67" w:rsidRPr="00CC021F">
        <w:rPr>
          <w:rFonts w:eastAsia="Calibri"/>
        </w:rPr>
        <w:t>.</w:t>
      </w:r>
      <w:r w:rsidRPr="00CC021F">
        <w:rPr>
          <w:rFonts w:eastAsia="Calibri"/>
        </w:rPr>
        <w:t>punktu, kas uzliek advokātam pienākumu turpināt klienta pārstāvību, īpaši, ja tā saistīta ar valsts nodrošināto juridisko palīdzību.</w:t>
      </w:r>
    </w:p>
    <w:p w14:paraId="57BFD402" w14:textId="4461345D" w:rsidR="006608BC" w:rsidRPr="00CC021F" w:rsidRDefault="006608BC" w:rsidP="009F7D0A">
      <w:pPr>
        <w:pStyle w:val="Style1"/>
        <w:ind w:firstLine="567"/>
        <w:rPr>
          <w:rFonts w:eastAsia="Calibri"/>
        </w:rPr>
      </w:pPr>
      <w:r w:rsidRPr="00CC021F">
        <w:rPr>
          <w:rFonts w:eastAsia="Calibri"/>
        </w:rPr>
        <w:t>Blakus sūdzība iesniegta pirmās instances tiesā. Nav ziņas, ka pilnvarojums būtu atsaukts.</w:t>
      </w:r>
      <w:r w:rsidR="00DD23C0" w:rsidRPr="00CC021F">
        <w:rPr>
          <w:rFonts w:eastAsia="Calibri"/>
        </w:rPr>
        <w:t xml:space="preserve"> </w:t>
      </w:r>
      <w:r w:rsidRPr="00CC021F">
        <w:rPr>
          <w:rFonts w:eastAsia="Calibri"/>
        </w:rPr>
        <w:t>Nepastāvēja apstākļi, kas ļautu apšaubīt faktu, ka pieteicēja pārstāve ir pilnvarota arī turpmāk realizēt pieteicēja pārstāvību.</w:t>
      </w:r>
    </w:p>
    <w:p w14:paraId="4211ADD8" w14:textId="77777777" w:rsidR="006608BC" w:rsidRPr="00CC021F" w:rsidRDefault="006608BC" w:rsidP="009F7D0A">
      <w:pPr>
        <w:pStyle w:val="Style1"/>
        <w:ind w:firstLine="567"/>
        <w:rPr>
          <w:rFonts w:eastAsia="Calibri"/>
        </w:rPr>
      </w:pPr>
      <w:r w:rsidRPr="00CC021F">
        <w:rPr>
          <w:rFonts w:eastAsia="Calibri"/>
        </w:rPr>
        <w:t xml:space="preserve">Turklāt pieteicējs izdevis arī notariāli apliecinātu pilnvaru, lai apliecinātu, ka ir vēlējies turpināt procesu apelācijas kārtībā un nav atteicies no nodrošinātā juridiskā pārstāvja (kopija pievienota blakus sūdzībai). </w:t>
      </w:r>
    </w:p>
    <w:p w14:paraId="44E27A79" w14:textId="3CE274F5" w:rsidR="00DD23C0" w:rsidRPr="00CC021F" w:rsidRDefault="00B006DB" w:rsidP="009F7D0A">
      <w:pPr>
        <w:pStyle w:val="Style1"/>
        <w:ind w:firstLine="567"/>
        <w:rPr>
          <w:rFonts w:eastAsia="Calibri"/>
        </w:rPr>
      </w:pPr>
      <w:r w:rsidRPr="00CC021F">
        <w:rPr>
          <w:rFonts w:eastAsia="Calibri"/>
        </w:rPr>
        <w:t xml:space="preserve">Lai gūtu pārliecību par pilnvarojuma apjomu, atbilstoši Civilprocesa likuma </w:t>
      </w:r>
      <w:proofErr w:type="gramStart"/>
      <w:r w:rsidRPr="00CC021F">
        <w:rPr>
          <w:rFonts w:eastAsia="Calibri"/>
        </w:rPr>
        <w:t>445.panta</w:t>
      </w:r>
      <w:proofErr w:type="gramEnd"/>
      <w:r w:rsidR="003E0A6C" w:rsidRPr="00CC021F">
        <w:rPr>
          <w:rFonts w:eastAsia="Calibri"/>
        </w:rPr>
        <w:t xml:space="preserve"> ceturtās </w:t>
      </w:r>
      <w:r w:rsidRPr="00CC021F">
        <w:rPr>
          <w:rFonts w:eastAsia="Calibri"/>
        </w:rPr>
        <w:t>daļas regulējumam</w:t>
      </w:r>
      <w:r w:rsidR="007202E2" w:rsidRPr="00CC021F">
        <w:rPr>
          <w:rFonts w:eastAsia="Calibri"/>
        </w:rPr>
        <w:t>,</w:t>
      </w:r>
      <w:r w:rsidRPr="00CC021F">
        <w:rPr>
          <w:rFonts w:eastAsia="Calibri"/>
        </w:rPr>
        <w:t xml:space="preserve"> sūdzība</w:t>
      </w:r>
      <w:r w:rsidR="00934A00" w:rsidRPr="00CC021F">
        <w:rPr>
          <w:rFonts w:eastAsia="Calibri"/>
        </w:rPr>
        <w:t xml:space="preserve"> bija atstājama </w:t>
      </w:r>
      <w:r w:rsidRPr="00CC021F">
        <w:rPr>
          <w:rFonts w:eastAsia="Calibri"/>
        </w:rPr>
        <w:t>bez virzības, dodot laiku trūkumu novēršanai.</w:t>
      </w:r>
      <w:r w:rsidR="00DD23C0" w:rsidRPr="00CC021F">
        <w:rPr>
          <w:rFonts w:eastAsia="Calibri"/>
        </w:rPr>
        <w:t xml:space="preserve"> Atteikties pieņemt blakus sūdzību šādos gadījumos likums neparedz.</w:t>
      </w:r>
    </w:p>
    <w:p w14:paraId="4A3EDE1C" w14:textId="62050B9B" w:rsidR="00934A00" w:rsidRPr="00CC021F" w:rsidRDefault="003E0A6C" w:rsidP="009F7D0A">
      <w:pPr>
        <w:pStyle w:val="Style1"/>
        <w:ind w:firstLine="567"/>
        <w:rPr>
          <w:rFonts w:eastAsia="Calibri"/>
          <w:color w:val="000000" w:themeColor="text1"/>
        </w:rPr>
      </w:pPr>
      <w:r w:rsidRPr="00CC021F">
        <w:rPr>
          <w:color w:val="000000" w:themeColor="text1"/>
        </w:rPr>
        <w:t xml:space="preserve">[3.3] </w:t>
      </w:r>
      <w:r w:rsidRPr="00CC021F">
        <w:rPr>
          <w:rFonts w:eastAsia="Calibri"/>
          <w:color w:val="000000" w:themeColor="text1"/>
        </w:rPr>
        <w:t>Tiesa nepamatoti piemēroj</w:t>
      </w:r>
      <w:r w:rsidR="00C9364B" w:rsidRPr="00CC021F">
        <w:rPr>
          <w:rFonts w:eastAsia="Calibri"/>
          <w:color w:val="000000" w:themeColor="text1"/>
        </w:rPr>
        <w:t xml:space="preserve">usi Civilprocesa likuma </w:t>
      </w:r>
      <w:proofErr w:type="gramStart"/>
      <w:r w:rsidR="00C9364B" w:rsidRPr="00CC021F">
        <w:rPr>
          <w:rFonts w:eastAsia="Calibri"/>
          <w:color w:val="000000" w:themeColor="text1"/>
        </w:rPr>
        <w:t>425.panta</w:t>
      </w:r>
      <w:proofErr w:type="gramEnd"/>
      <w:r w:rsidR="00C9364B" w:rsidRPr="00CC021F">
        <w:rPr>
          <w:rFonts w:eastAsia="Calibri"/>
          <w:color w:val="000000" w:themeColor="text1"/>
        </w:rPr>
        <w:t xml:space="preserve"> otrās daļas 1.</w:t>
      </w:r>
      <w:r w:rsidR="00A744FC" w:rsidRPr="00CC021F">
        <w:rPr>
          <w:rFonts w:eastAsia="Calibri"/>
          <w:color w:val="000000" w:themeColor="text1"/>
        </w:rPr>
        <w:t xml:space="preserve">punktu, izmantojot </w:t>
      </w:r>
      <w:r w:rsidRPr="00CC021F">
        <w:rPr>
          <w:rFonts w:eastAsia="Calibri"/>
          <w:color w:val="000000" w:themeColor="text1"/>
        </w:rPr>
        <w:t>analoģ</w:t>
      </w:r>
      <w:r w:rsidR="00934A00" w:rsidRPr="00CC021F">
        <w:rPr>
          <w:rFonts w:eastAsia="Calibri"/>
          <w:color w:val="000000" w:themeColor="text1"/>
        </w:rPr>
        <w:t>iju</w:t>
      </w:r>
      <w:r w:rsidR="00A744FC" w:rsidRPr="00CC021F">
        <w:rPr>
          <w:rFonts w:eastAsia="Calibri"/>
          <w:color w:val="000000" w:themeColor="text1"/>
        </w:rPr>
        <w:t>.</w:t>
      </w:r>
      <w:r w:rsidRPr="00CC021F">
        <w:rPr>
          <w:rFonts w:eastAsia="Calibri"/>
          <w:color w:val="000000" w:themeColor="text1"/>
        </w:rPr>
        <w:t xml:space="preserve"> </w:t>
      </w:r>
      <w:r w:rsidR="00EE73C1" w:rsidRPr="00CC021F">
        <w:rPr>
          <w:rFonts w:eastAsia="Calibri"/>
          <w:color w:val="000000" w:themeColor="text1"/>
        </w:rPr>
        <w:t>Tas aizskar pieteicēja pamattiesības.</w:t>
      </w:r>
    </w:p>
    <w:p w14:paraId="4119B00C" w14:textId="77777777" w:rsidR="00A744FC" w:rsidRPr="00CC021F" w:rsidRDefault="00A744FC" w:rsidP="009F7D0A">
      <w:pPr>
        <w:pStyle w:val="Style1"/>
        <w:ind w:firstLine="567"/>
        <w:rPr>
          <w:rFonts w:eastAsia="Calibri"/>
          <w:color w:val="000000" w:themeColor="text1"/>
        </w:rPr>
      </w:pPr>
      <w:r w:rsidRPr="00CC021F">
        <w:rPr>
          <w:rFonts w:eastAsia="Calibri"/>
          <w:color w:val="000000" w:themeColor="text1"/>
        </w:rPr>
        <w:t>Ir jānošķir apelācijas sūdzības izskatīšanas kārtība no blakus sūdzības izskatīšanas kārtības.</w:t>
      </w:r>
    </w:p>
    <w:p w14:paraId="552C6FBD" w14:textId="496DFC07" w:rsidR="00A744FC" w:rsidRPr="00CC021F" w:rsidRDefault="003E0A6C" w:rsidP="009F7D0A">
      <w:pPr>
        <w:pStyle w:val="Style1"/>
        <w:ind w:firstLine="567"/>
        <w:rPr>
          <w:rFonts w:eastAsia="Calibri"/>
          <w:color w:val="000000" w:themeColor="text1"/>
        </w:rPr>
      </w:pPr>
      <w:r w:rsidRPr="00CC021F">
        <w:rPr>
          <w:rFonts w:eastAsia="Calibri"/>
          <w:color w:val="000000" w:themeColor="text1"/>
        </w:rPr>
        <w:t>Civilprocesa</w:t>
      </w:r>
      <w:r w:rsidR="00C9364B" w:rsidRPr="00CC021F">
        <w:rPr>
          <w:rFonts w:eastAsia="Calibri"/>
          <w:color w:val="000000" w:themeColor="text1"/>
        </w:rPr>
        <w:t xml:space="preserve"> likuma </w:t>
      </w:r>
      <w:proofErr w:type="gramStart"/>
      <w:r w:rsidR="00C9364B" w:rsidRPr="00CC021F">
        <w:rPr>
          <w:rFonts w:eastAsia="Calibri"/>
          <w:color w:val="000000" w:themeColor="text1"/>
        </w:rPr>
        <w:t>425.panta</w:t>
      </w:r>
      <w:proofErr w:type="gramEnd"/>
      <w:r w:rsidR="00C9364B" w:rsidRPr="00CC021F">
        <w:rPr>
          <w:rFonts w:eastAsia="Calibri"/>
          <w:color w:val="000000" w:themeColor="text1"/>
        </w:rPr>
        <w:t xml:space="preserve"> otrās daļas 1.</w:t>
      </w:r>
      <w:r w:rsidR="00934A00" w:rsidRPr="00CC021F">
        <w:rPr>
          <w:rFonts w:eastAsia="Calibri"/>
          <w:color w:val="000000" w:themeColor="text1"/>
        </w:rPr>
        <w:t>punkts</w:t>
      </w:r>
      <w:r w:rsidRPr="00CC021F">
        <w:rPr>
          <w:rFonts w:eastAsia="Calibri"/>
          <w:color w:val="000000" w:themeColor="text1"/>
        </w:rPr>
        <w:t xml:space="preserve"> attiecas uz apelācijas</w:t>
      </w:r>
      <w:r w:rsidR="00934A00" w:rsidRPr="00CC021F">
        <w:rPr>
          <w:rFonts w:eastAsia="Calibri"/>
          <w:color w:val="000000" w:themeColor="text1"/>
        </w:rPr>
        <w:t xml:space="preserve"> sūdzības izskatīšanas kārtību</w:t>
      </w:r>
      <w:r w:rsidR="00A744FC" w:rsidRPr="00CC021F">
        <w:rPr>
          <w:rFonts w:eastAsia="Calibri"/>
          <w:color w:val="000000" w:themeColor="text1"/>
        </w:rPr>
        <w:t xml:space="preserve">, kas </w:t>
      </w:r>
      <w:r w:rsidRPr="00CC021F">
        <w:rPr>
          <w:rFonts w:eastAsia="Calibri"/>
          <w:color w:val="000000" w:themeColor="text1"/>
        </w:rPr>
        <w:t>noteikta Civilprocesa lik</w:t>
      </w:r>
      <w:r w:rsidR="00C9364B" w:rsidRPr="00CC021F">
        <w:rPr>
          <w:rFonts w:eastAsia="Calibri"/>
          <w:color w:val="000000" w:themeColor="text1"/>
        </w:rPr>
        <w:t>uma C daļas astotās sadaļas 52.</w:t>
      </w:r>
      <w:r w:rsidR="00404E02" w:rsidRPr="00CC021F">
        <w:rPr>
          <w:rFonts w:eastAsia="Calibri"/>
          <w:color w:val="000000" w:themeColor="text1"/>
        </w:rPr>
        <w:t>nodaļā „</w:t>
      </w:r>
      <w:r w:rsidRPr="00CC021F">
        <w:rPr>
          <w:rFonts w:eastAsia="Calibri"/>
          <w:color w:val="000000" w:themeColor="text1"/>
        </w:rPr>
        <w:t>Apelācijas tiesvedība”.</w:t>
      </w:r>
    </w:p>
    <w:p w14:paraId="44E8295A" w14:textId="79564820" w:rsidR="003E0A6C" w:rsidRPr="00CC021F" w:rsidRDefault="003E0A6C" w:rsidP="009F7D0A">
      <w:pPr>
        <w:pStyle w:val="Style1"/>
        <w:ind w:firstLine="567"/>
        <w:rPr>
          <w:rFonts w:eastAsia="Calibri"/>
          <w:color w:val="000000" w:themeColor="text1"/>
        </w:rPr>
      </w:pPr>
      <w:r w:rsidRPr="00CC021F">
        <w:rPr>
          <w:rFonts w:eastAsia="Calibri"/>
          <w:color w:val="000000" w:themeColor="text1"/>
        </w:rPr>
        <w:t>Uz tiesas lēmumu pārsūdzību attiecināma blakus sū</w:t>
      </w:r>
      <w:r w:rsidR="00934A00" w:rsidRPr="00CC021F">
        <w:rPr>
          <w:rFonts w:eastAsia="Calibri"/>
          <w:color w:val="000000" w:themeColor="text1"/>
        </w:rPr>
        <w:t>dzības izskatīšanas kārtība, k</w:t>
      </w:r>
      <w:r w:rsidRPr="00CC021F">
        <w:rPr>
          <w:rFonts w:eastAsia="Calibri"/>
          <w:color w:val="000000" w:themeColor="text1"/>
        </w:rPr>
        <w:t>a</w:t>
      </w:r>
      <w:r w:rsidR="00934A00" w:rsidRPr="00CC021F">
        <w:rPr>
          <w:rFonts w:eastAsia="Calibri"/>
          <w:color w:val="000000" w:themeColor="text1"/>
        </w:rPr>
        <w:t>s</w:t>
      </w:r>
      <w:r w:rsidRPr="00CC021F">
        <w:rPr>
          <w:rFonts w:eastAsia="Calibri"/>
          <w:color w:val="000000" w:themeColor="text1"/>
        </w:rPr>
        <w:t xml:space="preserve"> noteikta Civilprocesa lik</w:t>
      </w:r>
      <w:r w:rsidR="00C9364B" w:rsidRPr="00CC021F">
        <w:rPr>
          <w:rFonts w:eastAsia="Calibri"/>
          <w:color w:val="000000" w:themeColor="text1"/>
        </w:rPr>
        <w:t>uma C daļas devītās sadaļas 55.</w:t>
      </w:r>
      <w:r w:rsidRPr="00CC021F">
        <w:rPr>
          <w:rFonts w:eastAsia="Calibri"/>
          <w:color w:val="000000" w:themeColor="text1"/>
        </w:rPr>
        <w:t>nodaļā „Blakus sūdzības iesniegšana un izskatīšana”</w:t>
      </w:r>
      <w:r w:rsidR="00EE73C1" w:rsidRPr="00CC021F">
        <w:rPr>
          <w:rFonts w:eastAsia="Calibri"/>
          <w:color w:val="000000" w:themeColor="text1"/>
        </w:rPr>
        <w:t xml:space="preserve">. Tajā </w:t>
      </w:r>
      <w:r w:rsidRPr="00CC021F">
        <w:rPr>
          <w:rFonts w:eastAsia="Calibri"/>
          <w:color w:val="000000" w:themeColor="text1"/>
        </w:rPr>
        <w:t xml:space="preserve">nav paredzētas augstākas instances tiesas tiesības atteikt ierosināt apelācijas tiesvedību. </w:t>
      </w:r>
    </w:p>
    <w:p w14:paraId="51999CAC" w14:textId="77777777" w:rsidR="00803849" w:rsidRPr="00CC021F" w:rsidRDefault="00803849" w:rsidP="009F7D0A">
      <w:pPr>
        <w:pStyle w:val="NoSpacing"/>
        <w:spacing w:line="276" w:lineRule="auto"/>
        <w:jc w:val="center"/>
        <w:rPr>
          <w:rFonts w:ascii="Times New Roman" w:hAnsi="Times New Roman"/>
          <w:b/>
          <w:szCs w:val="24"/>
        </w:rPr>
      </w:pPr>
    </w:p>
    <w:p w14:paraId="5117C55C" w14:textId="2C40EB8F" w:rsidR="00EE2453" w:rsidRPr="00CC021F" w:rsidRDefault="00EE2453" w:rsidP="009F7D0A">
      <w:pPr>
        <w:pStyle w:val="NoSpacing"/>
        <w:spacing w:line="276" w:lineRule="auto"/>
        <w:jc w:val="center"/>
        <w:rPr>
          <w:rFonts w:ascii="Times New Roman" w:hAnsi="Times New Roman"/>
          <w:b/>
          <w:szCs w:val="24"/>
        </w:rPr>
      </w:pPr>
      <w:r w:rsidRPr="00CC021F">
        <w:rPr>
          <w:rFonts w:ascii="Times New Roman" w:hAnsi="Times New Roman"/>
          <w:b/>
          <w:szCs w:val="24"/>
        </w:rPr>
        <w:t>Motīvu daļa</w:t>
      </w:r>
    </w:p>
    <w:p w14:paraId="75B9746E" w14:textId="77777777" w:rsidR="00C5776E" w:rsidRPr="00CC021F" w:rsidRDefault="00C5776E" w:rsidP="009F7D0A">
      <w:pPr>
        <w:pStyle w:val="NoSpacing"/>
        <w:spacing w:line="276" w:lineRule="auto"/>
        <w:ind w:firstLine="720"/>
        <w:jc w:val="both"/>
        <w:rPr>
          <w:rFonts w:ascii="Times New Roman" w:hAnsi="Times New Roman"/>
          <w:szCs w:val="24"/>
        </w:rPr>
      </w:pPr>
    </w:p>
    <w:p w14:paraId="4F47E5AF" w14:textId="4334A0E8" w:rsidR="00C5776E" w:rsidRPr="00CC021F" w:rsidRDefault="003E0A6C"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lastRenderedPageBreak/>
        <w:t>[4</w:t>
      </w:r>
      <w:r w:rsidR="00EE2453" w:rsidRPr="00CC021F">
        <w:rPr>
          <w:rFonts w:ascii="Times New Roman" w:hAnsi="Times New Roman"/>
          <w:szCs w:val="24"/>
        </w:rPr>
        <w:t>] Pārbaudījis lietas materi</w:t>
      </w:r>
      <w:r w:rsidR="00A61D34" w:rsidRPr="00CC021F">
        <w:rPr>
          <w:rFonts w:ascii="Times New Roman" w:hAnsi="Times New Roman"/>
          <w:szCs w:val="24"/>
        </w:rPr>
        <w:t>ālus un apsvēris blakus sūdzības</w:t>
      </w:r>
      <w:r w:rsidR="00EE2453" w:rsidRPr="00CC021F">
        <w:rPr>
          <w:rFonts w:ascii="Times New Roman" w:hAnsi="Times New Roman"/>
          <w:szCs w:val="24"/>
        </w:rPr>
        <w:t xml:space="preserve"> argumentus, Senāts atzīst, ka pārsūdzēt</w:t>
      </w:r>
      <w:r w:rsidR="004502E8" w:rsidRPr="00CC021F">
        <w:rPr>
          <w:rFonts w:ascii="Times New Roman" w:hAnsi="Times New Roman"/>
          <w:szCs w:val="24"/>
        </w:rPr>
        <w:t xml:space="preserve">ais </w:t>
      </w:r>
      <w:r w:rsidR="00AB4EE1" w:rsidRPr="00CC021F">
        <w:rPr>
          <w:rFonts w:ascii="Times New Roman" w:hAnsi="Times New Roman"/>
          <w:szCs w:val="24"/>
        </w:rPr>
        <w:t>lēmums atceļams</w:t>
      </w:r>
      <w:r w:rsidR="00BE43A8" w:rsidRPr="00CC021F">
        <w:rPr>
          <w:rFonts w:ascii="Times New Roman" w:hAnsi="Times New Roman"/>
          <w:szCs w:val="24"/>
        </w:rPr>
        <w:t>.</w:t>
      </w:r>
    </w:p>
    <w:p w14:paraId="550DB461" w14:textId="276E981B" w:rsidR="001D5F71" w:rsidRPr="00CC021F" w:rsidRDefault="006073E0"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Senātam jāatbild uz jautājumu, kādi </w:t>
      </w:r>
      <w:r w:rsidR="001D5F71" w:rsidRPr="00CC021F">
        <w:rPr>
          <w:rFonts w:ascii="Times New Roman" w:hAnsi="Times New Roman"/>
          <w:szCs w:val="24"/>
        </w:rPr>
        <w:t xml:space="preserve">dokumenti apliecina pārstāvja, kas vienlaikus ir zvērināts advokāts, pilnvarojumu pārsūdzēt tiesas lēmumu, ja viņš pilnvarots pārstāvēt personu atbilstoši prasībām, kas noteiktas </w:t>
      </w:r>
      <w:r w:rsidR="00A6654B" w:rsidRPr="00CC021F">
        <w:rPr>
          <w:rFonts w:ascii="Times New Roman" w:hAnsi="Times New Roman"/>
          <w:szCs w:val="24"/>
        </w:rPr>
        <w:t>Hāgas konvencijā</w:t>
      </w:r>
      <w:r w:rsidR="001D5F71" w:rsidRPr="00CC021F">
        <w:rPr>
          <w:rFonts w:ascii="Times New Roman" w:hAnsi="Times New Roman"/>
          <w:szCs w:val="24"/>
        </w:rPr>
        <w:t>.</w:t>
      </w:r>
    </w:p>
    <w:p w14:paraId="72B225DA" w14:textId="3B82FEFD" w:rsidR="00C5776E" w:rsidRPr="00CC021F" w:rsidRDefault="00234662"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C40D11" w:rsidRPr="00CC021F">
        <w:rPr>
          <w:rFonts w:ascii="Times New Roman" w:hAnsi="Times New Roman"/>
          <w:szCs w:val="24"/>
        </w:rPr>
        <w:t xml:space="preserve"> </w:t>
      </w:r>
      <w:r w:rsidR="00B85D08" w:rsidRPr="00CC021F">
        <w:rPr>
          <w:rFonts w:ascii="Times New Roman" w:hAnsi="Times New Roman"/>
          <w:szCs w:val="24"/>
        </w:rPr>
        <w:t xml:space="preserve">Senāts </w:t>
      </w:r>
      <w:r w:rsidR="00C40D11" w:rsidRPr="00CC021F">
        <w:rPr>
          <w:rFonts w:ascii="Times New Roman" w:hAnsi="Times New Roman"/>
          <w:szCs w:val="24"/>
        </w:rPr>
        <w:t xml:space="preserve">atzīst, ka apgabaltiesas tiesnese, norādot uz </w:t>
      </w:r>
      <w:r w:rsidR="00B85D08" w:rsidRPr="00CC021F">
        <w:rPr>
          <w:rFonts w:ascii="Times New Roman" w:hAnsi="Times New Roman"/>
          <w:szCs w:val="24"/>
        </w:rPr>
        <w:t xml:space="preserve">pieteicēja pārstāves pilnvarojuma </w:t>
      </w:r>
      <w:r w:rsidR="00C40D11" w:rsidRPr="00CC021F">
        <w:rPr>
          <w:rFonts w:ascii="Times New Roman" w:hAnsi="Times New Roman"/>
          <w:szCs w:val="24"/>
        </w:rPr>
        <w:t xml:space="preserve">neatbilstību </w:t>
      </w:r>
      <w:r w:rsidR="00B85D08" w:rsidRPr="00CC021F">
        <w:rPr>
          <w:rFonts w:ascii="Times New Roman" w:hAnsi="Times New Roman"/>
          <w:szCs w:val="24"/>
        </w:rPr>
        <w:t xml:space="preserve">Civilprocesa likuma </w:t>
      </w:r>
      <w:r w:rsidR="00C40D11" w:rsidRPr="00CC021F">
        <w:rPr>
          <w:rFonts w:ascii="Times New Roman" w:hAnsi="Times New Roman"/>
          <w:szCs w:val="24"/>
        </w:rPr>
        <w:t>un Advokatūras likuma noteikumiem</w:t>
      </w:r>
      <w:r w:rsidR="00423996" w:rsidRPr="00CC021F">
        <w:rPr>
          <w:rFonts w:ascii="Times New Roman" w:hAnsi="Times New Roman"/>
          <w:szCs w:val="24"/>
        </w:rPr>
        <w:t xml:space="preserve"> ar atsauci uz judikatūras atziņām</w:t>
      </w:r>
      <w:r w:rsidR="00B85D08" w:rsidRPr="00CC021F">
        <w:rPr>
          <w:rFonts w:ascii="Times New Roman" w:hAnsi="Times New Roman"/>
          <w:szCs w:val="24"/>
        </w:rPr>
        <w:t xml:space="preserve">, bez pietiekamas vērības </w:t>
      </w:r>
      <w:r w:rsidR="00C40D11" w:rsidRPr="00CC021F">
        <w:rPr>
          <w:rFonts w:ascii="Times New Roman" w:hAnsi="Times New Roman"/>
          <w:szCs w:val="24"/>
        </w:rPr>
        <w:t xml:space="preserve">atstājusi </w:t>
      </w:r>
      <w:r w:rsidR="00B85D08" w:rsidRPr="00CC021F">
        <w:rPr>
          <w:rFonts w:ascii="Times New Roman" w:hAnsi="Times New Roman"/>
          <w:szCs w:val="24"/>
        </w:rPr>
        <w:t>speciālās tiesību normas.</w:t>
      </w:r>
    </w:p>
    <w:p w14:paraId="6C5DDBAA" w14:textId="7E19EEBB" w:rsidR="001D5F71" w:rsidRPr="00CC021F" w:rsidRDefault="009F04AB"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363A03" w:rsidRPr="00CC021F">
        <w:rPr>
          <w:rFonts w:ascii="Times New Roman" w:hAnsi="Times New Roman"/>
          <w:szCs w:val="24"/>
        </w:rPr>
        <w:t>1</w:t>
      </w:r>
      <w:r w:rsidRPr="00CC021F">
        <w:rPr>
          <w:rFonts w:ascii="Times New Roman" w:hAnsi="Times New Roman"/>
          <w:szCs w:val="24"/>
        </w:rPr>
        <w:t xml:space="preserve">] </w:t>
      </w:r>
      <w:bookmarkStart w:id="5" w:name="_Hlk114485938"/>
      <w:r w:rsidR="003C02F9" w:rsidRPr="00CC021F">
        <w:rPr>
          <w:rFonts w:ascii="Times New Roman" w:hAnsi="Times New Roman"/>
          <w:szCs w:val="24"/>
        </w:rPr>
        <w:t xml:space="preserve">Civilprocesa likuma </w:t>
      </w:r>
      <w:proofErr w:type="gramStart"/>
      <w:r w:rsidR="007F6BFA" w:rsidRPr="00CC021F">
        <w:rPr>
          <w:rFonts w:ascii="Times New Roman" w:hAnsi="Times New Roman"/>
          <w:szCs w:val="24"/>
        </w:rPr>
        <w:t>85.panta</w:t>
      </w:r>
      <w:proofErr w:type="gramEnd"/>
      <w:r w:rsidR="007F6BFA" w:rsidRPr="00CC021F">
        <w:rPr>
          <w:rFonts w:ascii="Times New Roman" w:hAnsi="Times New Roman"/>
          <w:szCs w:val="24"/>
        </w:rPr>
        <w:t xml:space="preserve"> </w:t>
      </w:r>
      <w:bookmarkEnd w:id="5"/>
      <w:r w:rsidR="003C02F9" w:rsidRPr="00CC021F">
        <w:rPr>
          <w:rFonts w:ascii="Times New Roman" w:hAnsi="Times New Roman"/>
          <w:szCs w:val="24"/>
        </w:rPr>
        <w:t xml:space="preserve">noteikumi </w:t>
      </w:r>
      <w:r w:rsidR="007F6BFA" w:rsidRPr="00CC021F">
        <w:rPr>
          <w:rFonts w:ascii="Times New Roman" w:hAnsi="Times New Roman"/>
          <w:szCs w:val="24"/>
        </w:rPr>
        <w:t>par pārstāvības noformēšanu</w:t>
      </w:r>
      <w:r w:rsidR="003B1F39" w:rsidRPr="00CC021F">
        <w:rPr>
          <w:rFonts w:ascii="Times New Roman" w:hAnsi="Times New Roman"/>
          <w:szCs w:val="24"/>
        </w:rPr>
        <w:t xml:space="preserve"> ir vērsti uz to, lai tiesa var pārliecināties par personas, kura ved lietu pieteicēja vārdā</w:t>
      </w:r>
      <w:r w:rsidR="00822681" w:rsidRPr="00CC021F">
        <w:rPr>
          <w:rFonts w:ascii="Times New Roman" w:hAnsi="Times New Roman"/>
          <w:szCs w:val="24"/>
        </w:rPr>
        <w:t>,</w:t>
      </w:r>
      <w:r w:rsidR="003B1F39" w:rsidRPr="00CC021F">
        <w:rPr>
          <w:rFonts w:ascii="Times New Roman" w:hAnsi="Times New Roman"/>
          <w:szCs w:val="24"/>
        </w:rPr>
        <w:t xml:space="preserve"> pārstāvības tiesībām. </w:t>
      </w:r>
    </w:p>
    <w:p w14:paraId="51386A4C" w14:textId="43E8668F" w:rsidR="001D5F71" w:rsidRPr="00CC021F" w:rsidRDefault="001D5F71"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Civilprocesa likuma </w:t>
      </w:r>
      <w:proofErr w:type="gramStart"/>
      <w:r w:rsidRPr="00CC021F">
        <w:rPr>
          <w:rFonts w:ascii="Times New Roman" w:hAnsi="Times New Roman"/>
          <w:szCs w:val="24"/>
        </w:rPr>
        <w:t>85.panta</w:t>
      </w:r>
      <w:proofErr w:type="gramEnd"/>
      <w:r w:rsidRPr="00CC021F">
        <w:rPr>
          <w:rFonts w:ascii="Times New Roman" w:hAnsi="Times New Roman"/>
          <w:szCs w:val="24"/>
        </w:rPr>
        <w:t xml:space="preserve"> </w:t>
      </w:r>
      <w:r w:rsidR="00870828" w:rsidRPr="00CC021F">
        <w:rPr>
          <w:rFonts w:ascii="Times New Roman" w:hAnsi="Times New Roman"/>
          <w:szCs w:val="24"/>
        </w:rPr>
        <w:t xml:space="preserve">trešajā daļā ir ietvertas divas tiesību normas. Viena noteic, ka advokāta pilnvarojumu juridiskās palīdzības sniegšanai apliecina orderis. Savukārt otra noteic, ja advokāts uzstājas kā puses pilnvarots </w:t>
      </w:r>
      <w:r w:rsidR="006770AF" w:rsidRPr="00CC021F">
        <w:rPr>
          <w:rFonts w:ascii="Times New Roman" w:hAnsi="Times New Roman"/>
          <w:szCs w:val="24"/>
        </w:rPr>
        <w:t>pārstāvis, šo pilnvarojumu apliecina rakstveida pilnvara.</w:t>
      </w:r>
    </w:p>
    <w:p w14:paraId="3CE84E02" w14:textId="074DC235" w:rsidR="006B7C59" w:rsidRPr="00CC021F" w:rsidRDefault="006770AF"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Faktiski identisk</w:t>
      </w:r>
      <w:r w:rsidR="006B7C59" w:rsidRPr="00CC021F">
        <w:rPr>
          <w:rFonts w:ascii="Times New Roman" w:hAnsi="Times New Roman"/>
          <w:szCs w:val="24"/>
        </w:rPr>
        <w:t>s regulējums ietverts</w:t>
      </w:r>
      <w:r w:rsidR="00623F45" w:rsidRPr="00CC021F">
        <w:rPr>
          <w:rFonts w:ascii="Times New Roman" w:hAnsi="Times New Roman"/>
          <w:szCs w:val="24"/>
        </w:rPr>
        <w:t xml:space="preserve"> </w:t>
      </w:r>
      <w:r w:rsidRPr="00CC021F">
        <w:rPr>
          <w:rFonts w:ascii="Times New Roman" w:hAnsi="Times New Roman"/>
          <w:szCs w:val="24"/>
        </w:rPr>
        <w:t>Advokatūras likum</w:t>
      </w:r>
      <w:r w:rsidR="006B7C59" w:rsidRPr="00CC021F">
        <w:rPr>
          <w:rFonts w:ascii="Times New Roman" w:hAnsi="Times New Roman"/>
          <w:szCs w:val="24"/>
        </w:rPr>
        <w:t>ā: no</w:t>
      </w:r>
      <w:r w:rsidRPr="00CC021F">
        <w:rPr>
          <w:rFonts w:ascii="Times New Roman" w:hAnsi="Times New Roman"/>
          <w:szCs w:val="24"/>
        </w:rPr>
        <w:t xml:space="preserve"> 48.</w:t>
      </w:r>
      <w:r w:rsidRPr="00CC021F">
        <w:rPr>
          <w:rFonts w:ascii="Times New Roman" w:hAnsi="Times New Roman"/>
          <w:szCs w:val="24"/>
          <w:vertAlign w:val="superscript"/>
        </w:rPr>
        <w:t>1</w:t>
      </w:r>
      <w:r w:rsidRPr="00CC021F">
        <w:rPr>
          <w:rFonts w:ascii="Times New Roman" w:hAnsi="Times New Roman"/>
          <w:szCs w:val="24"/>
        </w:rPr>
        <w:t> panta kopsaka</w:t>
      </w:r>
      <w:r w:rsidR="00C9364B" w:rsidRPr="00CC021F">
        <w:rPr>
          <w:rFonts w:ascii="Times New Roman" w:hAnsi="Times New Roman"/>
          <w:szCs w:val="24"/>
        </w:rPr>
        <w:t xml:space="preserve">rā ar </w:t>
      </w:r>
      <w:proofErr w:type="gramStart"/>
      <w:r w:rsidR="00C9364B" w:rsidRPr="00CC021F">
        <w:rPr>
          <w:rFonts w:ascii="Times New Roman" w:hAnsi="Times New Roman"/>
          <w:szCs w:val="24"/>
        </w:rPr>
        <w:t>48.panta</w:t>
      </w:r>
      <w:proofErr w:type="gramEnd"/>
      <w:r w:rsidR="00C9364B" w:rsidRPr="00CC021F">
        <w:rPr>
          <w:rFonts w:ascii="Times New Roman" w:hAnsi="Times New Roman"/>
          <w:szCs w:val="24"/>
        </w:rPr>
        <w:t xml:space="preserve"> pirmās daļas 1.</w:t>
      </w:r>
      <w:r w:rsidRPr="00CC021F">
        <w:rPr>
          <w:rFonts w:ascii="Times New Roman" w:hAnsi="Times New Roman"/>
          <w:szCs w:val="24"/>
        </w:rPr>
        <w:t xml:space="preserve">punktu izriet, ka orderis apliecina zvērināta advokāta pilnvarojumu un tā apjomu, aizstāvot un pārstāvot juridisko palīdzību lūgušo personu un tās tiesības un likumiskās intereses visās tiesās. </w:t>
      </w:r>
    </w:p>
    <w:p w14:paraId="069EFA6D" w14:textId="70BE8975" w:rsidR="006770AF" w:rsidRPr="00CC021F" w:rsidRDefault="006770AF"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No </w:t>
      </w:r>
      <w:r w:rsidR="00623F45" w:rsidRPr="00CC021F">
        <w:rPr>
          <w:rFonts w:ascii="Times New Roman" w:hAnsi="Times New Roman"/>
          <w:szCs w:val="24"/>
        </w:rPr>
        <w:t xml:space="preserve">tā </w:t>
      </w:r>
      <w:r w:rsidRPr="00CC021F">
        <w:rPr>
          <w:rFonts w:ascii="Times New Roman" w:hAnsi="Times New Roman"/>
          <w:szCs w:val="24"/>
        </w:rPr>
        <w:t xml:space="preserve">izriet, ka ordera iesniegšanas mērķis </w:t>
      </w:r>
      <w:r w:rsidR="00623F45" w:rsidRPr="00CC021F">
        <w:rPr>
          <w:rFonts w:ascii="Times New Roman" w:hAnsi="Times New Roman"/>
          <w:szCs w:val="24"/>
        </w:rPr>
        <w:t xml:space="preserve">citastarp </w:t>
      </w:r>
      <w:r w:rsidRPr="00CC021F">
        <w:rPr>
          <w:rFonts w:ascii="Times New Roman" w:hAnsi="Times New Roman"/>
          <w:szCs w:val="24"/>
        </w:rPr>
        <w:t>ir pārliecināties, ka pārstāvis ir zvērināts advokāts un noteikt zvērināta advokāta pilnvarojuma apjomu.</w:t>
      </w:r>
    </w:p>
    <w:p w14:paraId="373B63FB" w14:textId="1B286FE9" w:rsidR="00C40D11" w:rsidRPr="00CC021F" w:rsidRDefault="003B1F39"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Tomēr </w:t>
      </w:r>
      <w:r w:rsidR="006770AF" w:rsidRPr="00CC021F">
        <w:rPr>
          <w:rFonts w:ascii="Times New Roman" w:hAnsi="Times New Roman"/>
          <w:szCs w:val="24"/>
        </w:rPr>
        <w:t xml:space="preserve">ar minēto normu </w:t>
      </w:r>
      <w:r w:rsidR="00D16C73" w:rsidRPr="00CC021F">
        <w:rPr>
          <w:rFonts w:ascii="Times New Roman" w:hAnsi="Times New Roman"/>
          <w:szCs w:val="24"/>
        </w:rPr>
        <w:t xml:space="preserve">tvēruma </w:t>
      </w:r>
      <w:r w:rsidR="006770AF" w:rsidRPr="00CC021F">
        <w:rPr>
          <w:rFonts w:ascii="Times New Roman" w:hAnsi="Times New Roman"/>
          <w:szCs w:val="24"/>
        </w:rPr>
        <w:t xml:space="preserve">noskaidrošanu </w:t>
      </w:r>
      <w:r w:rsidRPr="00CC021F">
        <w:rPr>
          <w:rFonts w:ascii="Times New Roman" w:hAnsi="Times New Roman"/>
          <w:szCs w:val="24"/>
        </w:rPr>
        <w:t xml:space="preserve">nav </w:t>
      </w:r>
      <w:r w:rsidR="006770AF" w:rsidRPr="00CC021F">
        <w:rPr>
          <w:rFonts w:ascii="Times New Roman" w:hAnsi="Times New Roman"/>
          <w:szCs w:val="24"/>
        </w:rPr>
        <w:t xml:space="preserve">pietiekami. </w:t>
      </w:r>
      <w:r w:rsidRPr="00CC021F">
        <w:rPr>
          <w:rFonts w:ascii="Times New Roman" w:hAnsi="Times New Roman"/>
          <w:szCs w:val="24"/>
        </w:rPr>
        <w:t>Ties</w:t>
      </w:r>
      <w:r w:rsidR="006770AF" w:rsidRPr="00CC021F">
        <w:rPr>
          <w:rFonts w:ascii="Times New Roman" w:hAnsi="Times New Roman"/>
          <w:szCs w:val="24"/>
        </w:rPr>
        <w:t xml:space="preserve">nesim </w:t>
      </w:r>
      <w:r w:rsidR="00822681" w:rsidRPr="00CC021F">
        <w:rPr>
          <w:rFonts w:ascii="Times New Roman" w:hAnsi="Times New Roman"/>
          <w:szCs w:val="24"/>
        </w:rPr>
        <w:t xml:space="preserve">jānoskaidro, vai nav citas tiesību normas, kas attiecībā pret Civilprocesa likuma </w:t>
      </w:r>
      <w:r w:rsidR="00A6654B" w:rsidRPr="00CC021F">
        <w:rPr>
          <w:rFonts w:ascii="Times New Roman" w:hAnsi="Times New Roman"/>
          <w:szCs w:val="24"/>
        </w:rPr>
        <w:t xml:space="preserve">un Advokatūras likuma </w:t>
      </w:r>
      <w:r w:rsidR="00822681" w:rsidRPr="00CC021F">
        <w:rPr>
          <w:rFonts w:ascii="Times New Roman" w:hAnsi="Times New Roman"/>
          <w:szCs w:val="24"/>
        </w:rPr>
        <w:t>normām ir speciālas.</w:t>
      </w:r>
      <w:r w:rsidRPr="00CC021F">
        <w:rPr>
          <w:rFonts w:ascii="Times New Roman" w:hAnsi="Times New Roman"/>
          <w:szCs w:val="24"/>
        </w:rPr>
        <w:t xml:space="preserve"> </w:t>
      </w:r>
    </w:p>
    <w:p w14:paraId="4A89FFA2" w14:textId="65A0AE16" w:rsidR="00D2505F" w:rsidRPr="00CC021F" w:rsidRDefault="009F04AB"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363A03" w:rsidRPr="00CC021F">
        <w:rPr>
          <w:rFonts w:ascii="Times New Roman" w:hAnsi="Times New Roman"/>
          <w:szCs w:val="24"/>
        </w:rPr>
        <w:t>2</w:t>
      </w:r>
      <w:r w:rsidRPr="00CC021F">
        <w:rPr>
          <w:rFonts w:ascii="Times New Roman" w:hAnsi="Times New Roman"/>
          <w:szCs w:val="24"/>
        </w:rPr>
        <w:t xml:space="preserve">] </w:t>
      </w:r>
      <w:r w:rsidR="00C9364B" w:rsidRPr="00CC021F">
        <w:rPr>
          <w:rFonts w:ascii="Times New Roman" w:hAnsi="Times New Roman"/>
          <w:szCs w:val="24"/>
        </w:rPr>
        <w:t xml:space="preserve">Hāgas konvencijas </w:t>
      </w:r>
      <w:proofErr w:type="gramStart"/>
      <w:r w:rsidR="00C9364B" w:rsidRPr="00CC021F">
        <w:rPr>
          <w:rFonts w:ascii="Times New Roman" w:hAnsi="Times New Roman"/>
          <w:szCs w:val="24"/>
        </w:rPr>
        <w:t>6.</w:t>
      </w:r>
      <w:r w:rsidR="00C5776E" w:rsidRPr="00CC021F">
        <w:rPr>
          <w:rFonts w:ascii="Times New Roman" w:hAnsi="Times New Roman"/>
          <w:szCs w:val="24"/>
        </w:rPr>
        <w:t>panta</w:t>
      </w:r>
      <w:proofErr w:type="gramEnd"/>
      <w:r w:rsidR="00C5776E" w:rsidRPr="00CC021F">
        <w:rPr>
          <w:rFonts w:ascii="Times New Roman" w:hAnsi="Times New Roman"/>
          <w:szCs w:val="24"/>
        </w:rPr>
        <w:t xml:space="preserve"> pirmā daļa noteic, ka līgumslēdzējai pusei ir jānozīmē centrālā iestāde, kas veic pienākumus, kuri saskaņā ar konvenciju jāpilda šādām iestādēm.</w:t>
      </w:r>
    </w:p>
    <w:p w14:paraId="55BC6CC6" w14:textId="5C2F96A5" w:rsidR="00C5776E" w:rsidRPr="00CC021F" w:rsidRDefault="0026329E"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Hāgas k</w:t>
      </w:r>
      <w:r w:rsidR="00C9364B" w:rsidRPr="00CC021F">
        <w:rPr>
          <w:rFonts w:ascii="Times New Roman" w:hAnsi="Times New Roman"/>
          <w:szCs w:val="24"/>
        </w:rPr>
        <w:t xml:space="preserve">onvencijas </w:t>
      </w:r>
      <w:proofErr w:type="gramStart"/>
      <w:r w:rsidR="00C9364B" w:rsidRPr="00CC021F">
        <w:rPr>
          <w:rFonts w:ascii="Times New Roman" w:hAnsi="Times New Roman"/>
          <w:szCs w:val="24"/>
        </w:rPr>
        <w:t>7.</w:t>
      </w:r>
      <w:r w:rsidR="00C5776E" w:rsidRPr="00CC021F">
        <w:rPr>
          <w:rFonts w:ascii="Times New Roman" w:hAnsi="Times New Roman"/>
          <w:szCs w:val="24"/>
        </w:rPr>
        <w:t>panta</w:t>
      </w:r>
      <w:proofErr w:type="gramEnd"/>
      <w:r w:rsidR="00C5776E" w:rsidRPr="00CC021F">
        <w:rPr>
          <w:rFonts w:ascii="Times New Roman" w:hAnsi="Times New Roman"/>
          <w:szCs w:val="24"/>
        </w:rPr>
        <w:t xml:space="preserve"> otrās daļas „g” apakšpunkts paredz, ka centrālajām iestādēm ir jādrošina vai jāveicina juridiskās palīdzības un konsultāciju sniegšana, ieskaitot juriskonsultu vai padomnieku piedalīšanos, ja to pieprasa apstākļi. </w:t>
      </w:r>
      <w:r w:rsidRPr="00CC021F">
        <w:rPr>
          <w:rFonts w:ascii="Times New Roman" w:hAnsi="Times New Roman"/>
          <w:szCs w:val="24"/>
        </w:rPr>
        <w:t>Hāgas k</w:t>
      </w:r>
      <w:r w:rsidR="00C5776E" w:rsidRPr="00CC021F">
        <w:rPr>
          <w:rFonts w:ascii="Times New Roman" w:hAnsi="Times New Roman"/>
          <w:szCs w:val="24"/>
        </w:rPr>
        <w:t xml:space="preserve">onvencijas </w:t>
      </w:r>
      <w:proofErr w:type="gramStart"/>
      <w:r w:rsidR="00C5776E" w:rsidRPr="00CC021F">
        <w:rPr>
          <w:rFonts w:ascii="Times New Roman" w:hAnsi="Times New Roman"/>
          <w:szCs w:val="24"/>
        </w:rPr>
        <w:t>8.pants</w:t>
      </w:r>
      <w:proofErr w:type="gramEnd"/>
      <w:r w:rsidR="00C5776E" w:rsidRPr="00CC021F">
        <w:rPr>
          <w:rFonts w:ascii="Times New Roman" w:hAnsi="Times New Roman"/>
          <w:szCs w:val="24"/>
        </w:rPr>
        <w:t xml:space="preserve"> paredz, ka jebkura persona, kas paziņo par bērna aizvešanu vai aizturēšanu, pārkāpjot tiesības uz aizbildnību, var iesniegt pieteikumu palīdzības saņemšanai bērna pastāvīgās dzīvesvietas centrālajai iestādei vai jebkuras citas līgumslēdzējas puses centrālajai iestādei, lai nodrošinātu bērna atgriešanos. Savukārt</w:t>
      </w:r>
      <w:r w:rsidRPr="00CC021F">
        <w:rPr>
          <w:rFonts w:ascii="Times New Roman" w:hAnsi="Times New Roman"/>
          <w:szCs w:val="24"/>
        </w:rPr>
        <w:t xml:space="preserve"> Hāgas</w:t>
      </w:r>
      <w:r w:rsidR="00C5776E" w:rsidRPr="00CC021F">
        <w:rPr>
          <w:rFonts w:ascii="Times New Roman" w:hAnsi="Times New Roman"/>
          <w:szCs w:val="24"/>
        </w:rPr>
        <w:t xml:space="preserve"> konvencijas 26. panta pirmā daļa noteic, ka Centrālās iestādes nav tiesīgas pieprasīt nekādus maksājumus no pieteikuma iesniedzēja par lietas izmaksām un izdevumiem </w:t>
      </w:r>
      <w:proofErr w:type="gramStart"/>
      <w:r w:rsidR="00C5776E" w:rsidRPr="00CC021F">
        <w:rPr>
          <w:rFonts w:ascii="Times New Roman" w:hAnsi="Times New Roman"/>
          <w:szCs w:val="24"/>
        </w:rPr>
        <w:t>vai,</w:t>
      </w:r>
      <w:proofErr w:type="gramEnd"/>
      <w:r w:rsidR="00C5776E" w:rsidRPr="00CC021F">
        <w:rPr>
          <w:rFonts w:ascii="Times New Roman" w:hAnsi="Times New Roman"/>
          <w:szCs w:val="24"/>
        </w:rPr>
        <w:t xml:space="preserve"> ja tas ir iespējams, par tām izmaksām, kas rodas sakarā ar juriskonsulta vai padomnieku piedalīšanos.</w:t>
      </w:r>
    </w:p>
    <w:p w14:paraId="4715F162" w14:textId="48151F46" w:rsidR="00C5776E" w:rsidRPr="00CC021F" w:rsidRDefault="00C9364B"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Likuma „</w:t>
      </w:r>
      <w:bookmarkStart w:id="6" w:name="_Hlk114486319"/>
      <w:r w:rsidR="00C5776E" w:rsidRPr="00CC021F">
        <w:rPr>
          <w:rFonts w:ascii="Times New Roman" w:hAnsi="Times New Roman"/>
          <w:szCs w:val="24"/>
        </w:rPr>
        <w:t xml:space="preserve">Par Hāgas konvenciju par starptautiskās bērnu nolaupīšanas </w:t>
      </w:r>
      <w:r w:rsidRPr="00CC021F">
        <w:rPr>
          <w:rFonts w:ascii="Times New Roman" w:hAnsi="Times New Roman"/>
          <w:szCs w:val="24"/>
        </w:rPr>
        <w:t xml:space="preserve">civiltiesiskajiem aspektiem” </w:t>
      </w:r>
      <w:proofErr w:type="gramStart"/>
      <w:r w:rsidRPr="00CC021F">
        <w:rPr>
          <w:rFonts w:ascii="Times New Roman" w:hAnsi="Times New Roman"/>
          <w:szCs w:val="24"/>
        </w:rPr>
        <w:t>2.</w:t>
      </w:r>
      <w:r w:rsidR="00C5776E" w:rsidRPr="00CC021F">
        <w:rPr>
          <w:rFonts w:ascii="Times New Roman" w:hAnsi="Times New Roman"/>
          <w:szCs w:val="24"/>
        </w:rPr>
        <w:t>pants</w:t>
      </w:r>
      <w:proofErr w:type="gramEnd"/>
      <w:r w:rsidR="00C5776E" w:rsidRPr="00CC021F">
        <w:rPr>
          <w:rFonts w:ascii="Times New Roman" w:hAnsi="Times New Roman"/>
          <w:szCs w:val="24"/>
        </w:rPr>
        <w:t xml:space="preserve"> </w:t>
      </w:r>
      <w:bookmarkEnd w:id="6"/>
      <w:r w:rsidR="00C5776E" w:rsidRPr="00CC021F">
        <w:rPr>
          <w:rFonts w:ascii="Times New Roman" w:hAnsi="Times New Roman"/>
          <w:szCs w:val="24"/>
        </w:rPr>
        <w:t xml:space="preserve">paredz, ka saskaņā ar Hāgas konvencijas 6.pantu atbildīgā institūcija Latvijas Republikā ir Tieslietu ministrija. </w:t>
      </w:r>
    </w:p>
    <w:p w14:paraId="14E521E2" w14:textId="4F68B24C" w:rsidR="00C5776E" w:rsidRPr="00CC021F" w:rsidRDefault="00C5776E"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Savukārt saskaņā ar </w:t>
      </w:r>
      <w:r w:rsidR="008129CA" w:rsidRPr="00CC021F">
        <w:rPr>
          <w:rFonts w:ascii="Times New Roman" w:hAnsi="Times New Roman"/>
          <w:szCs w:val="24"/>
        </w:rPr>
        <w:t xml:space="preserve">Ministru kabineta </w:t>
      </w:r>
      <w:bookmarkStart w:id="7" w:name="_Hlk108624960"/>
      <w:r w:rsidR="008129CA" w:rsidRPr="00CC021F">
        <w:rPr>
          <w:rFonts w:ascii="Times New Roman" w:hAnsi="Times New Roman"/>
          <w:szCs w:val="24"/>
        </w:rPr>
        <w:t>n</w:t>
      </w:r>
      <w:r w:rsidR="00C9364B" w:rsidRPr="00CC021F">
        <w:rPr>
          <w:rFonts w:ascii="Times New Roman" w:hAnsi="Times New Roman"/>
          <w:szCs w:val="24"/>
        </w:rPr>
        <w:t>oteikumu Nr.</w:t>
      </w:r>
      <w:r w:rsidRPr="00CC021F">
        <w:rPr>
          <w:rFonts w:ascii="Times New Roman" w:hAnsi="Times New Roman"/>
          <w:szCs w:val="24"/>
        </w:rPr>
        <w:t xml:space="preserve">322 </w:t>
      </w:r>
      <w:bookmarkEnd w:id="7"/>
      <w:r w:rsidR="00C9364B" w:rsidRPr="00CC021F">
        <w:rPr>
          <w:rFonts w:ascii="Times New Roman" w:hAnsi="Times New Roman"/>
          <w:szCs w:val="24"/>
        </w:rPr>
        <w:t>15.</w:t>
      </w:r>
      <w:r w:rsidRPr="00CC021F">
        <w:rPr>
          <w:rFonts w:ascii="Times New Roman" w:hAnsi="Times New Roman"/>
          <w:szCs w:val="24"/>
        </w:rPr>
        <w:t xml:space="preserve">punktu Tieslietu ministrija kā centrālā iestāde pieprasījuma iesniedzējam par prettiesiski uz Latviju pārvietota vai Latvijā aizturēta bērna atgriešanos citā valstī atbilstoši </w:t>
      </w:r>
      <w:r w:rsidR="00F26749" w:rsidRPr="00CC021F">
        <w:rPr>
          <w:rFonts w:ascii="Times New Roman" w:hAnsi="Times New Roman"/>
          <w:szCs w:val="24"/>
        </w:rPr>
        <w:t xml:space="preserve">Hāgas </w:t>
      </w:r>
      <w:r w:rsidRPr="00CC021F">
        <w:rPr>
          <w:rFonts w:ascii="Times New Roman" w:hAnsi="Times New Roman"/>
          <w:szCs w:val="24"/>
        </w:rPr>
        <w:t xml:space="preserve">konvencijas </w:t>
      </w:r>
      <w:proofErr w:type="gramStart"/>
      <w:r w:rsidRPr="00CC021F">
        <w:rPr>
          <w:rFonts w:ascii="Times New Roman" w:hAnsi="Times New Roman"/>
          <w:szCs w:val="24"/>
        </w:rPr>
        <w:t>8.pantam</w:t>
      </w:r>
      <w:proofErr w:type="gramEnd"/>
      <w:r w:rsidRPr="00CC021F">
        <w:rPr>
          <w:rFonts w:ascii="Times New Roman" w:hAnsi="Times New Roman"/>
          <w:szCs w:val="24"/>
        </w:rPr>
        <w:t xml:space="preserve"> ieceļ juridisko pārstāvi a</w:t>
      </w:r>
      <w:r w:rsidR="00C9364B" w:rsidRPr="00CC021F">
        <w:rPr>
          <w:rFonts w:ascii="Times New Roman" w:hAnsi="Times New Roman"/>
          <w:szCs w:val="24"/>
        </w:rPr>
        <w:t>tbilstoši konvencijas 7. un 26.</w:t>
      </w:r>
      <w:r w:rsidRPr="00CC021F">
        <w:rPr>
          <w:rFonts w:ascii="Times New Roman" w:hAnsi="Times New Roman"/>
          <w:szCs w:val="24"/>
        </w:rPr>
        <w:t>pantam. Juridiskais pārstāvis, ja nepieciešams, sniedz konsultācijas un pārstāv pieprasījuma iesniedzēju tiesā.</w:t>
      </w:r>
    </w:p>
    <w:p w14:paraId="36A3E944" w14:textId="3E0710C6" w:rsidR="00B85D08" w:rsidRPr="00CC021F" w:rsidRDefault="00B85D08"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Līdz ar to minētajā tiesiskajā regulējumā ir paredzēta speciāla pārstāvja iecelšanas (pilnvarošanas) kārtība.</w:t>
      </w:r>
    </w:p>
    <w:p w14:paraId="76C3BFB7" w14:textId="488D2474" w:rsidR="008919D1" w:rsidRPr="00CC021F" w:rsidRDefault="008919D1"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lastRenderedPageBreak/>
        <w:t>[5.</w:t>
      </w:r>
      <w:r w:rsidR="00363A03" w:rsidRPr="00CC021F">
        <w:rPr>
          <w:rFonts w:ascii="Times New Roman" w:hAnsi="Times New Roman"/>
          <w:szCs w:val="24"/>
        </w:rPr>
        <w:t>3</w:t>
      </w:r>
      <w:r w:rsidRPr="00CC021F">
        <w:rPr>
          <w:rFonts w:ascii="Times New Roman" w:hAnsi="Times New Roman"/>
          <w:szCs w:val="24"/>
        </w:rPr>
        <w:t>] Piemērojot Hāgas konvenciju, tostarp jautājumā par pilnvarojumu, jāņem vērā tajā ietvertie principi.</w:t>
      </w:r>
    </w:p>
    <w:p w14:paraId="094495C9" w14:textId="0EA65B78" w:rsidR="008919D1" w:rsidRPr="00CC021F" w:rsidRDefault="00A718F4"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363A03" w:rsidRPr="00CC021F">
        <w:rPr>
          <w:rFonts w:ascii="Times New Roman" w:hAnsi="Times New Roman"/>
          <w:szCs w:val="24"/>
        </w:rPr>
        <w:t>3</w:t>
      </w:r>
      <w:r w:rsidRPr="00CC021F">
        <w:rPr>
          <w:rFonts w:ascii="Times New Roman" w:hAnsi="Times New Roman"/>
          <w:szCs w:val="24"/>
        </w:rPr>
        <w:t xml:space="preserve">.1] </w:t>
      </w:r>
      <w:r w:rsidR="008919D1" w:rsidRPr="00CC021F">
        <w:rPr>
          <w:rFonts w:ascii="Times New Roman" w:hAnsi="Times New Roman"/>
          <w:szCs w:val="24"/>
        </w:rPr>
        <w:t>Hāgas k</w:t>
      </w:r>
      <w:r w:rsidR="00C9364B" w:rsidRPr="00CC021F">
        <w:rPr>
          <w:rFonts w:ascii="Times New Roman" w:hAnsi="Times New Roman"/>
          <w:szCs w:val="24"/>
        </w:rPr>
        <w:t xml:space="preserve">onvencijas </w:t>
      </w:r>
      <w:proofErr w:type="gramStart"/>
      <w:r w:rsidR="00C9364B" w:rsidRPr="00CC021F">
        <w:rPr>
          <w:rFonts w:ascii="Times New Roman" w:hAnsi="Times New Roman"/>
          <w:szCs w:val="24"/>
        </w:rPr>
        <w:t>2.</w:t>
      </w:r>
      <w:r w:rsidR="008919D1" w:rsidRPr="00CC021F">
        <w:rPr>
          <w:rFonts w:ascii="Times New Roman" w:hAnsi="Times New Roman"/>
          <w:szCs w:val="24"/>
        </w:rPr>
        <w:t>panta</w:t>
      </w:r>
      <w:proofErr w:type="gramEnd"/>
      <w:r w:rsidR="008919D1" w:rsidRPr="00CC021F">
        <w:rPr>
          <w:rFonts w:ascii="Times New Roman" w:hAnsi="Times New Roman"/>
          <w:szCs w:val="24"/>
        </w:rPr>
        <w:t xml:space="preserve"> otrais teikums</w:t>
      </w:r>
      <w:r w:rsidR="00CD1B67" w:rsidRPr="00CC021F">
        <w:rPr>
          <w:rFonts w:ascii="Times New Roman" w:hAnsi="Times New Roman"/>
          <w:szCs w:val="24"/>
        </w:rPr>
        <w:t>,</w:t>
      </w:r>
      <w:r w:rsidR="008919D1" w:rsidRPr="00CC021F">
        <w:rPr>
          <w:rFonts w:ascii="Times New Roman" w:hAnsi="Times New Roman"/>
          <w:szCs w:val="24"/>
        </w:rPr>
        <w:t xml:space="preserve"> uzsverot ātru aizgādības un saskarsmes tiesību noteikšanas procesa nozīmi, vienlaikus neuzliek konvencijas dalībvalstīm pienākumu ieviest jaunu regulējumu nacionālajā procesuālajā kārtībā. Konvencija aprobežojas ar to, ka pieprasa dalībvalstīm izmantot visātrākās procedūras, kas pieejams to nacionālajās tiesībās (sk. </w:t>
      </w:r>
      <w:proofErr w:type="spellStart"/>
      <w:r w:rsidR="008919D1" w:rsidRPr="00CC021F">
        <w:rPr>
          <w:rFonts w:ascii="Times New Roman" w:hAnsi="Times New Roman"/>
          <w:i/>
          <w:iCs/>
          <w:szCs w:val="24"/>
        </w:rPr>
        <w:t>Pérez-Vera</w:t>
      </w:r>
      <w:proofErr w:type="spellEnd"/>
      <w:r w:rsidR="008919D1" w:rsidRPr="00CC021F">
        <w:rPr>
          <w:rFonts w:ascii="Times New Roman" w:hAnsi="Times New Roman"/>
          <w:i/>
          <w:iCs/>
          <w:szCs w:val="24"/>
        </w:rPr>
        <w:t xml:space="preserve"> E. </w:t>
      </w:r>
      <w:proofErr w:type="spellStart"/>
      <w:r w:rsidR="008919D1" w:rsidRPr="00CC021F">
        <w:rPr>
          <w:rFonts w:ascii="Times New Roman" w:hAnsi="Times New Roman"/>
          <w:i/>
          <w:iCs/>
          <w:szCs w:val="24"/>
        </w:rPr>
        <w:t>Explanatory</w:t>
      </w:r>
      <w:proofErr w:type="spellEnd"/>
      <w:r w:rsidR="008919D1" w:rsidRPr="00CC021F">
        <w:rPr>
          <w:rFonts w:ascii="Times New Roman" w:hAnsi="Times New Roman"/>
          <w:i/>
          <w:iCs/>
          <w:szCs w:val="24"/>
        </w:rPr>
        <w:t xml:space="preserve"> </w:t>
      </w:r>
      <w:hyperlink r:id="rId7" w:history="1">
        <w:proofErr w:type="spellStart"/>
        <w:r w:rsidR="008919D1" w:rsidRPr="00CC021F">
          <w:rPr>
            <w:rStyle w:val="Hyperlink"/>
            <w:rFonts w:ascii="Times New Roman" w:hAnsi="Times New Roman"/>
            <w:i/>
            <w:iCs/>
            <w:szCs w:val="24"/>
          </w:rPr>
          <w:t>Report</w:t>
        </w:r>
        <w:proofErr w:type="spellEnd"/>
      </w:hyperlink>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of</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Convention</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of</w:t>
      </w:r>
      <w:proofErr w:type="spellEnd"/>
      <w:r w:rsidR="008919D1" w:rsidRPr="00CC021F">
        <w:rPr>
          <w:rFonts w:ascii="Times New Roman" w:hAnsi="Times New Roman"/>
          <w:i/>
          <w:iCs/>
          <w:szCs w:val="24"/>
        </w:rPr>
        <w:t xml:space="preserve"> 25 </w:t>
      </w:r>
      <w:proofErr w:type="spellStart"/>
      <w:r w:rsidR="008919D1" w:rsidRPr="00CC021F">
        <w:rPr>
          <w:rFonts w:ascii="Times New Roman" w:hAnsi="Times New Roman"/>
          <w:i/>
          <w:iCs/>
          <w:szCs w:val="24"/>
        </w:rPr>
        <w:t>October</w:t>
      </w:r>
      <w:proofErr w:type="spellEnd"/>
      <w:r w:rsidR="008919D1" w:rsidRPr="00CC021F">
        <w:rPr>
          <w:rFonts w:ascii="Times New Roman" w:hAnsi="Times New Roman"/>
          <w:i/>
          <w:iCs/>
          <w:szCs w:val="24"/>
        </w:rPr>
        <w:t xml:space="preserve"> 1980 </w:t>
      </w:r>
      <w:proofErr w:type="spellStart"/>
      <w:r w:rsidR="008919D1" w:rsidRPr="00CC021F">
        <w:rPr>
          <w:rFonts w:ascii="Times New Roman" w:hAnsi="Times New Roman"/>
          <w:i/>
          <w:iCs/>
          <w:szCs w:val="24"/>
        </w:rPr>
        <w:t>on</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the</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Civil</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Aspects</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of</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International</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Child</w:t>
      </w:r>
      <w:proofErr w:type="spellEnd"/>
      <w:r w:rsidR="008919D1" w:rsidRPr="00CC021F">
        <w:rPr>
          <w:rFonts w:ascii="Times New Roman" w:hAnsi="Times New Roman"/>
          <w:i/>
          <w:iCs/>
          <w:szCs w:val="24"/>
        </w:rPr>
        <w:t xml:space="preserve"> </w:t>
      </w:r>
      <w:proofErr w:type="spellStart"/>
      <w:r w:rsidR="008919D1" w:rsidRPr="00CC021F">
        <w:rPr>
          <w:rFonts w:ascii="Times New Roman" w:hAnsi="Times New Roman"/>
          <w:i/>
          <w:iCs/>
          <w:szCs w:val="24"/>
        </w:rPr>
        <w:t>Abduction</w:t>
      </w:r>
      <w:proofErr w:type="spellEnd"/>
      <w:r w:rsidR="008919D1" w:rsidRPr="00CC021F">
        <w:rPr>
          <w:rFonts w:ascii="Times New Roman" w:hAnsi="Times New Roman"/>
          <w:i/>
          <w:iCs/>
          <w:szCs w:val="24"/>
        </w:rPr>
        <w:t>, p. 444 [32]</w:t>
      </w:r>
      <w:r w:rsidR="008919D1" w:rsidRPr="00CC021F">
        <w:rPr>
          <w:rFonts w:ascii="Times New Roman" w:hAnsi="Times New Roman"/>
          <w:szCs w:val="24"/>
        </w:rPr>
        <w:t>). Šo pienākumu rīkoties pē</w:t>
      </w:r>
      <w:r w:rsidR="00C9364B" w:rsidRPr="00CC021F">
        <w:rPr>
          <w:rFonts w:ascii="Times New Roman" w:hAnsi="Times New Roman"/>
          <w:szCs w:val="24"/>
        </w:rPr>
        <w:t xml:space="preserve">c iespējas ātri atkārto arī </w:t>
      </w:r>
      <w:bookmarkStart w:id="8" w:name="_Hlk114486540"/>
      <w:proofErr w:type="gramStart"/>
      <w:r w:rsidR="00C9364B" w:rsidRPr="00CC021F">
        <w:rPr>
          <w:rFonts w:ascii="Times New Roman" w:hAnsi="Times New Roman"/>
          <w:szCs w:val="24"/>
        </w:rPr>
        <w:t>11.</w:t>
      </w:r>
      <w:r w:rsidR="008919D1" w:rsidRPr="00CC021F">
        <w:rPr>
          <w:rFonts w:ascii="Times New Roman" w:hAnsi="Times New Roman"/>
          <w:szCs w:val="24"/>
        </w:rPr>
        <w:t>panta</w:t>
      </w:r>
      <w:proofErr w:type="gramEnd"/>
      <w:r w:rsidR="008919D1" w:rsidRPr="00CC021F">
        <w:rPr>
          <w:rFonts w:ascii="Times New Roman" w:hAnsi="Times New Roman"/>
          <w:szCs w:val="24"/>
        </w:rPr>
        <w:t xml:space="preserve"> </w:t>
      </w:r>
      <w:bookmarkEnd w:id="8"/>
      <w:r w:rsidR="008919D1" w:rsidRPr="00CC021F">
        <w:rPr>
          <w:rFonts w:ascii="Times New Roman" w:hAnsi="Times New Roman"/>
          <w:szCs w:val="24"/>
        </w:rPr>
        <w:t xml:space="preserve">pirmais teikums (turpat., </w:t>
      </w:r>
      <w:r w:rsidR="008919D1" w:rsidRPr="00CC021F">
        <w:rPr>
          <w:rFonts w:ascii="Times New Roman" w:hAnsi="Times New Roman"/>
          <w:i/>
          <w:iCs/>
          <w:szCs w:val="24"/>
        </w:rPr>
        <w:t>p. 457 [45]</w:t>
      </w:r>
      <w:r w:rsidR="008919D1" w:rsidRPr="00CC021F">
        <w:rPr>
          <w:rFonts w:ascii="Times New Roman" w:hAnsi="Times New Roman"/>
          <w:szCs w:val="24"/>
        </w:rPr>
        <w:t>).</w:t>
      </w:r>
    </w:p>
    <w:p w14:paraId="6B3694F7" w14:textId="0D8E144B" w:rsidR="00DE5727" w:rsidRPr="00CC021F" w:rsidRDefault="00D2505F"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Bērnu tiesību aizsardzības likuma </w:t>
      </w:r>
      <w:proofErr w:type="gramStart"/>
      <w:r w:rsidRPr="00CC021F">
        <w:rPr>
          <w:rFonts w:ascii="Times New Roman" w:hAnsi="Times New Roman"/>
          <w:szCs w:val="24"/>
        </w:rPr>
        <w:t>61.panta</w:t>
      </w:r>
      <w:proofErr w:type="gramEnd"/>
      <w:r w:rsidRPr="00CC021F">
        <w:rPr>
          <w:rFonts w:ascii="Times New Roman" w:hAnsi="Times New Roman"/>
          <w:szCs w:val="24"/>
        </w:rPr>
        <w:t xml:space="preserve"> 6.punktā noteikta Ministru kabineta kompetence bērna tiesību aizsardzības jomā, paredzot tiesība</w:t>
      </w:r>
      <w:r w:rsidR="00C9364B" w:rsidRPr="00CC021F">
        <w:rPr>
          <w:rFonts w:ascii="Times New Roman" w:hAnsi="Times New Roman"/>
          <w:szCs w:val="24"/>
        </w:rPr>
        <w:t>s</w:t>
      </w:r>
      <w:r w:rsidR="00DE5727" w:rsidRPr="00CC021F">
        <w:rPr>
          <w:rFonts w:ascii="Times New Roman" w:hAnsi="Times New Roman"/>
          <w:szCs w:val="24"/>
        </w:rPr>
        <w:t xml:space="preserve"> noteikt kārtību, kādā Latvijas centrālā iestāde atbilstoši Hāgas konvencijai veic tajā minētās darbības un sadarbojas ar citām valsts un pašvaldības iestādēm. Šādai kārtībai jā</w:t>
      </w:r>
      <w:r w:rsidR="00B027C8" w:rsidRPr="00CC021F">
        <w:rPr>
          <w:rFonts w:ascii="Times New Roman" w:hAnsi="Times New Roman"/>
          <w:szCs w:val="24"/>
        </w:rPr>
        <w:t>atbilst Hāgas k</w:t>
      </w:r>
      <w:r w:rsidR="00DE5727" w:rsidRPr="00CC021F">
        <w:rPr>
          <w:rFonts w:ascii="Times New Roman" w:hAnsi="Times New Roman"/>
          <w:szCs w:val="24"/>
        </w:rPr>
        <w:t>onvencijas 2.pantā noteikta</w:t>
      </w:r>
      <w:r w:rsidR="00B027C8" w:rsidRPr="00CC021F">
        <w:rPr>
          <w:rFonts w:ascii="Times New Roman" w:hAnsi="Times New Roman"/>
          <w:szCs w:val="24"/>
        </w:rPr>
        <w:t>jam</w:t>
      </w:r>
      <w:r w:rsidR="00DE5727" w:rsidRPr="00CC021F">
        <w:rPr>
          <w:rFonts w:ascii="Times New Roman" w:hAnsi="Times New Roman"/>
          <w:szCs w:val="24"/>
        </w:rPr>
        <w:t xml:space="preserve">, proti, jānodrošina Konvencijas mērķu </w:t>
      </w:r>
      <w:r w:rsidR="00B027C8" w:rsidRPr="00CC021F">
        <w:rPr>
          <w:rFonts w:ascii="Times New Roman" w:hAnsi="Times New Roman"/>
          <w:szCs w:val="24"/>
        </w:rPr>
        <w:t xml:space="preserve">(viens no tiem: nodrošināt bērnu, kuri nelikumīgi aizvesti uz vai aizturēti kādā no līgumslēdzējām pusēm, ātru atgriešanos) </w:t>
      </w:r>
      <w:r w:rsidR="00DE5727" w:rsidRPr="00CC021F">
        <w:rPr>
          <w:rFonts w:ascii="Times New Roman" w:hAnsi="Times New Roman"/>
          <w:szCs w:val="24"/>
        </w:rPr>
        <w:t xml:space="preserve">izpildi, kā arī </w:t>
      </w:r>
      <w:r w:rsidR="00B027C8" w:rsidRPr="00CC021F">
        <w:rPr>
          <w:rFonts w:ascii="Times New Roman" w:hAnsi="Times New Roman"/>
          <w:szCs w:val="24"/>
        </w:rPr>
        <w:t xml:space="preserve">mērķu īstenošanai </w:t>
      </w:r>
      <w:r w:rsidR="00DE5727" w:rsidRPr="00CC021F">
        <w:rPr>
          <w:rFonts w:ascii="Times New Roman" w:hAnsi="Times New Roman"/>
          <w:szCs w:val="24"/>
        </w:rPr>
        <w:t>jāparedz visefektīvākās iespējamās darbības.</w:t>
      </w:r>
    </w:p>
    <w:p w14:paraId="268BDA49" w14:textId="7B9C9B3D" w:rsidR="008129CA" w:rsidRPr="00CC021F" w:rsidRDefault="00623F45"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Izpildot likumā noteikto</w:t>
      </w:r>
      <w:r w:rsidR="00DE5727" w:rsidRPr="00CC021F">
        <w:rPr>
          <w:rFonts w:ascii="Times New Roman" w:hAnsi="Times New Roman"/>
          <w:szCs w:val="24"/>
        </w:rPr>
        <w:t xml:space="preserve">, </w:t>
      </w:r>
      <w:r w:rsidR="008129CA" w:rsidRPr="00CC021F">
        <w:rPr>
          <w:rFonts w:ascii="Times New Roman" w:hAnsi="Times New Roman"/>
          <w:szCs w:val="24"/>
        </w:rPr>
        <w:t>Ministru kabinet</w:t>
      </w:r>
      <w:r w:rsidR="00DE5727" w:rsidRPr="00CC021F">
        <w:rPr>
          <w:rFonts w:ascii="Times New Roman" w:hAnsi="Times New Roman"/>
          <w:szCs w:val="24"/>
        </w:rPr>
        <w:t xml:space="preserve">s izdevis </w:t>
      </w:r>
      <w:r w:rsidR="008129CA" w:rsidRPr="00CC021F">
        <w:rPr>
          <w:rFonts w:ascii="Times New Roman" w:hAnsi="Times New Roman"/>
          <w:szCs w:val="24"/>
        </w:rPr>
        <w:t>noteikum</w:t>
      </w:r>
      <w:r w:rsidR="00DE5727" w:rsidRPr="00CC021F">
        <w:rPr>
          <w:rFonts w:ascii="Times New Roman" w:hAnsi="Times New Roman"/>
          <w:szCs w:val="24"/>
        </w:rPr>
        <w:t>us</w:t>
      </w:r>
      <w:r w:rsidR="008129CA" w:rsidRPr="00CC021F">
        <w:rPr>
          <w:rFonts w:ascii="Times New Roman" w:hAnsi="Times New Roman"/>
          <w:szCs w:val="24"/>
        </w:rPr>
        <w:t xml:space="preserve"> </w:t>
      </w:r>
      <w:r w:rsidR="00C9364B" w:rsidRPr="00CC021F">
        <w:rPr>
          <w:rFonts w:ascii="Times New Roman" w:hAnsi="Times New Roman"/>
          <w:szCs w:val="24"/>
        </w:rPr>
        <w:t>Nr.</w:t>
      </w:r>
      <w:r w:rsidR="008129CA" w:rsidRPr="00CC021F">
        <w:rPr>
          <w:rFonts w:ascii="Times New Roman" w:hAnsi="Times New Roman"/>
          <w:szCs w:val="24"/>
        </w:rPr>
        <w:t>322</w:t>
      </w:r>
      <w:r w:rsidR="00DE5727" w:rsidRPr="00CC021F">
        <w:rPr>
          <w:rFonts w:ascii="Times New Roman" w:hAnsi="Times New Roman"/>
          <w:szCs w:val="24"/>
        </w:rPr>
        <w:t xml:space="preserve">, tostarp, </w:t>
      </w:r>
      <w:r w:rsidR="00252524" w:rsidRPr="00CC021F">
        <w:rPr>
          <w:rFonts w:ascii="Times New Roman" w:hAnsi="Times New Roman"/>
          <w:szCs w:val="24"/>
        </w:rPr>
        <w:t>paredzot pārstāvja iecelšanu, kā arī pārstāvja tiesības pārstāvēt pieteicēju tiesā (15.punkts).</w:t>
      </w:r>
    </w:p>
    <w:p w14:paraId="3EE42B29" w14:textId="3E355B59" w:rsidR="0045409E" w:rsidRPr="00CC021F" w:rsidRDefault="00A718F4"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363A03" w:rsidRPr="00CC021F">
        <w:rPr>
          <w:rFonts w:ascii="Times New Roman" w:hAnsi="Times New Roman"/>
          <w:szCs w:val="24"/>
        </w:rPr>
        <w:t>3</w:t>
      </w:r>
      <w:r w:rsidRPr="00CC021F">
        <w:rPr>
          <w:rFonts w:ascii="Times New Roman" w:hAnsi="Times New Roman"/>
          <w:szCs w:val="24"/>
        </w:rPr>
        <w:t xml:space="preserve">.2] </w:t>
      </w:r>
      <w:r w:rsidR="00252524" w:rsidRPr="00CC021F">
        <w:rPr>
          <w:rFonts w:ascii="Times New Roman" w:hAnsi="Times New Roman"/>
          <w:szCs w:val="24"/>
        </w:rPr>
        <w:t xml:space="preserve">Izskatāmajā lietā Tieslietu ministrija atbilstoši minētajām normām ir </w:t>
      </w:r>
      <w:r w:rsidR="009861A4" w:rsidRPr="00CC021F">
        <w:rPr>
          <w:rFonts w:ascii="Times New Roman" w:hAnsi="Times New Roman"/>
          <w:szCs w:val="24"/>
        </w:rPr>
        <w:t xml:space="preserve">iecēlusi </w:t>
      </w:r>
      <w:r w:rsidR="00623F45" w:rsidRPr="00CC021F">
        <w:rPr>
          <w:rFonts w:ascii="Times New Roman" w:hAnsi="Times New Roman"/>
          <w:szCs w:val="24"/>
        </w:rPr>
        <w:t xml:space="preserve">(pilnvarojusi) pieteicēja </w:t>
      </w:r>
      <w:r w:rsidR="00CD4AD4" w:rsidRPr="00CC021F">
        <w:rPr>
          <w:rFonts w:ascii="Times New Roman" w:hAnsi="Times New Roman"/>
          <w:szCs w:val="24"/>
        </w:rPr>
        <w:t xml:space="preserve">pārstāvi, </w:t>
      </w:r>
      <w:r w:rsidR="00286289" w:rsidRPr="00CC021F">
        <w:rPr>
          <w:rFonts w:ascii="Times New Roman" w:hAnsi="Times New Roman"/>
          <w:szCs w:val="24"/>
        </w:rPr>
        <w:t>izsnie</w:t>
      </w:r>
      <w:r w:rsidR="00CD4AD4" w:rsidRPr="00CC021F">
        <w:rPr>
          <w:rFonts w:ascii="Times New Roman" w:hAnsi="Times New Roman"/>
          <w:szCs w:val="24"/>
        </w:rPr>
        <w:t xml:space="preserve">dzot </w:t>
      </w:r>
      <w:r w:rsidR="00286289" w:rsidRPr="00CC021F">
        <w:rPr>
          <w:rFonts w:ascii="Times New Roman" w:hAnsi="Times New Roman"/>
          <w:szCs w:val="24"/>
        </w:rPr>
        <w:t xml:space="preserve">rakstveida </w:t>
      </w:r>
      <w:r w:rsidR="00252524" w:rsidRPr="00CC021F">
        <w:rPr>
          <w:rFonts w:ascii="Times New Roman" w:hAnsi="Times New Roman"/>
          <w:szCs w:val="24"/>
        </w:rPr>
        <w:t>pilnvar</w:t>
      </w:r>
      <w:r w:rsidR="00286289" w:rsidRPr="00CC021F">
        <w:rPr>
          <w:rFonts w:ascii="Times New Roman" w:hAnsi="Times New Roman"/>
          <w:szCs w:val="24"/>
        </w:rPr>
        <w:t xml:space="preserve">u. </w:t>
      </w:r>
      <w:r w:rsidR="0045409E" w:rsidRPr="00CC021F">
        <w:rPr>
          <w:rFonts w:ascii="Times New Roman" w:hAnsi="Times New Roman"/>
          <w:szCs w:val="24"/>
        </w:rPr>
        <w:t>Pilnvarā norādīts pilnvarojuma apjoms, tostarp pārstāvēt visās tiesu instancēs, kā arī pārsūdzēt tiesas nolēmumus.</w:t>
      </w:r>
    </w:p>
    <w:p w14:paraId="08E33CCF" w14:textId="72C306AE" w:rsidR="006D3114" w:rsidRPr="00CC021F" w:rsidRDefault="00CD4AD4"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P</w:t>
      </w:r>
      <w:r w:rsidR="00286289" w:rsidRPr="00CC021F">
        <w:rPr>
          <w:rFonts w:ascii="Times New Roman" w:hAnsi="Times New Roman"/>
          <w:szCs w:val="24"/>
        </w:rPr>
        <w:t>ārstāve ir zvērināta advokāte</w:t>
      </w:r>
      <w:r w:rsidRPr="00CC021F">
        <w:rPr>
          <w:rFonts w:ascii="Times New Roman" w:hAnsi="Times New Roman"/>
          <w:szCs w:val="24"/>
        </w:rPr>
        <w:t>.</w:t>
      </w:r>
    </w:p>
    <w:p w14:paraId="1C0BB053" w14:textId="0AF6FE93" w:rsidR="00CD4AD4" w:rsidRPr="00CC021F" w:rsidRDefault="00C9364B"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Tieslietu ministrija </w:t>
      </w:r>
      <w:proofErr w:type="gramStart"/>
      <w:r w:rsidRPr="00CC021F">
        <w:rPr>
          <w:rFonts w:ascii="Times New Roman" w:hAnsi="Times New Roman"/>
          <w:szCs w:val="24"/>
        </w:rPr>
        <w:t>2017.</w:t>
      </w:r>
      <w:r w:rsidR="00CD4AD4" w:rsidRPr="00CC021F">
        <w:rPr>
          <w:rFonts w:ascii="Times New Roman" w:hAnsi="Times New Roman"/>
          <w:szCs w:val="24"/>
        </w:rPr>
        <w:t>gadā</w:t>
      </w:r>
      <w:proofErr w:type="gramEnd"/>
      <w:r w:rsidR="00CD4AD4" w:rsidRPr="00CC021F">
        <w:rPr>
          <w:rFonts w:ascii="Times New Roman" w:hAnsi="Times New Roman"/>
          <w:szCs w:val="24"/>
        </w:rPr>
        <w:t xml:space="preserve"> ir noslēgusi </w:t>
      </w:r>
      <w:r w:rsidR="006D3114" w:rsidRPr="00CC021F">
        <w:rPr>
          <w:rFonts w:ascii="Times New Roman" w:hAnsi="Times New Roman"/>
          <w:szCs w:val="24"/>
        </w:rPr>
        <w:t xml:space="preserve">sadarbības līgumu par to, ka konkrēti </w:t>
      </w:r>
      <w:r w:rsidR="00CD4AD4" w:rsidRPr="00CC021F">
        <w:rPr>
          <w:rFonts w:ascii="Times New Roman" w:hAnsi="Times New Roman"/>
          <w:szCs w:val="24"/>
        </w:rPr>
        <w:t xml:space="preserve">zvērināti advokāti </w:t>
      </w:r>
      <w:proofErr w:type="spellStart"/>
      <w:r w:rsidR="00CD4AD4" w:rsidRPr="00CC021F">
        <w:rPr>
          <w:rFonts w:ascii="Times New Roman" w:hAnsi="Times New Roman"/>
          <w:i/>
          <w:iCs/>
          <w:szCs w:val="24"/>
        </w:rPr>
        <w:t>pro</w:t>
      </w:r>
      <w:proofErr w:type="spellEnd"/>
      <w:r w:rsidR="00CD4AD4" w:rsidRPr="00CC021F">
        <w:rPr>
          <w:rFonts w:ascii="Times New Roman" w:hAnsi="Times New Roman"/>
          <w:i/>
          <w:iCs/>
          <w:szCs w:val="24"/>
        </w:rPr>
        <w:t xml:space="preserve"> </w:t>
      </w:r>
      <w:proofErr w:type="spellStart"/>
      <w:r w:rsidR="00CD4AD4" w:rsidRPr="00CC021F">
        <w:rPr>
          <w:rFonts w:ascii="Times New Roman" w:hAnsi="Times New Roman"/>
          <w:i/>
          <w:iCs/>
          <w:szCs w:val="24"/>
        </w:rPr>
        <w:t>bono</w:t>
      </w:r>
      <w:proofErr w:type="spellEnd"/>
      <w:r w:rsidR="00CD4AD4" w:rsidRPr="00CC021F">
        <w:rPr>
          <w:rFonts w:ascii="Times New Roman" w:hAnsi="Times New Roman"/>
          <w:szCs w:val="24"/>
        </w:rPr>
        <w:t xml:space="preserve"> veiks pārstāvību saskaņā ar Hāgas konvenciju</w:t>
      </w:r>
      <w:r w:rsidR="006D3114" w:rsidRPr="00CC021F">
        <w:rPr>
          <w:rFonts w:ascii="Times New Roman" w:hAnsi="Times New Roman"/>
          <w:szCs w:val="24"/>
        </w:rPr>
        <w:t xml:space="preserve"> (sk. </w:t>
      </w:r>
      <w:hyperlink r:id="rId8" w:history="1">
        <w:r w:rsidR="006D3114" w:rsidRPr="00CC021F">
          <w:rPr>
            <w:rStyle w:val="Hyperlink"/>
            <w:rFonts w:ascii="Times New Roman" w:hAnsi="Times New Roman"/>
            <w:i/>
            <w:iCs/>
            <w:color w:val="auto"/>
            <w:szCs w:val="24"/>
          </w:rPr>
          <w:t>https://www.tm.gov.lv/lv/jaunums/aprit-tris-gadi-kops-tiek-sniegta-juridiska-palidziba-bez-atlidzibas-bernu-nolaupisanas-un-saskarsmes-lietas</w:t>
        </w:r>
      </w:hyperlink>
      <w:r w:rsidR="006D3114" w:rsidRPr="00CC021F">
        <w:rPr>
          <w:rFonts w:ascii="Times New Roman" w:hAnsi="Times New Roman"/>
          <w:szCs w:val="24"/>
        </w:rPr>
        <w:t>)</w:t>
      </w:r>
      <w:r w:rsidR="00CD4AD4" w:rsidRPr="00CC021F">
        <w:rPr>
          <w:rFonts w:ascii="Times New Roman" w:hAnsi="Times New Roman"/>
          <w:szCs w:val="24"/>
        </w:rPr>
        <w:t>. Tātad nav šaubu, ka visās lietās</w:t>
      </w:r>
      <w:r w:rsidR="006D3114" w:rsidRPr="00CC021F">
        <w:rPr>
          <w:rFonts w:ascii="Times New Roman" w:hAnsi="Times New Roman"/>
          <w:szCs w:val="24"/>
        </w:rPr>
        <w:t xml:space="preserve"> </w:t>
      </w:r>
      <w:r w:rsidR="00CD4AD4" w:rsidRPr="00CC021F">
        <w:rPr>
          <w:rFonts w:ascii="Times New Roman" w:hAnsi="Times New Roman"/>
          <w:szCs w:val="24"/>
        </w:rPr>
        <w:t xml:space="preserve">Tieslietu ministrijas </w:t>
      </w:r>
      <w:r w:rsidR="006D3114" w:rsidRPr="00CC021F">
        <w:rPr>
          <w:rFonts w:ascii="Times New Roman" w:hAnsi="Times New Roman"/>
          <w:szCs w:val="24"/>
        </w:rPr>
        <w:t xml:space="preserve">ieceltais (pilnvarotais) </w:t>
      </w:r>
      <w:r w:rsidR="00CD4AD4" w:rsidRPr="00CC021F">
        <w:rPr>
          <w:rFonts w:ascii="Times New Roman" w:hAnsi="Times New Roman"/>
          <w:szCs w:val="24"/>
        </w:rPr>
        <w:t>pārstāvis</w:t>
      </w:r>
      <w:r w:rsidR="006D3114" w:rsidRPr="00CC021F">
        <w:rPr>
          <w:rFonts w:ascii="Times New Roman" w:hAnsi="Times New Roman"/>
          <w:szCs w:val="24"/>
        </w:rPr>
        <w:t xml:space="preserve"> ir zvērināts advokāts.</w:t>
      </w:r>
    </w:p>
    <w:p w14:paraId="07518CDF" w14:textId="461A9FB9" w:rsidR="009447C6" w:rsidRPr="00CC021F" w:rsidRDefault="0045409E"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Turklāt pieteicēja pārstāve lietā iesniegusi orderi, kurā norādīts uzdevums – pārstāvība civillietā.</w:t>
      </w:r>
      <w:r w:rsidR="009447C6" w:rsidRPr="00CC021F">
        <w:rPr>
          <w:rFonts w:ascii="Times New Roman" w:hAnsi="Times New Roman"/>
          <w:szCs w:val="24"/>
        </w:rPr>
        <w:t xml:space="preserve"> Tas, ka orderī kā institūcija, kurā advokāte pilda uzdevumu, norādīta </w:t>
      </w:r>
      <w:r w:rsidR="00B85673" w:rsidRPr="00CC021F">
        <w:rPr>
          <w:rFonts w:ascii="Times New Roman" w:hAnsi="Times New Roman"/>
          <w:szCs w:val="24"/>
        </w:rPr>
        <w:t>[..]</w:t>
      </w:r>
      <w:r w:rsidR="009447C6" w:rsidRPr="00CC021F">
        <w:rPr>
          <w:rFonts w:ascii="Times New Roman" w:hAnsi="Times New Roman"/>
          <w:szCs w:val="24"/>
        </w:rPr>
        <w:t xml:space="preserve"> pilsētas </w:t>
      </w:r>
      <w:r w:rsidR="00B85673" w:rsidRPr="00CC021F">
        <w:rPr>
          <w:rFonts w:ascii="Times New Roman" w:hAnsi="Times New Roman"/>
          <w:szCs w:val="24"/>
        </w:rPr>
        <w:t>[..]</w:t>
      </w:r>
      <w:r w:rsidR="009447C6" w:rsidRPr="00CC021F">
        <w:rPr>
          <w:rFonts w:ascii="Times New Roman" w:hAnsi="Times New Roman"/>
          <w:szCs w:val="24"/>
        </w:rPr>
        <w:t xml:space="preserve"> tiesa, nemaina faktu, ka pilnvarniece atbilstoši speciālajā kārtībā izdotajai pilnvarai</w:t>
      </w:r>
      <w:r w:rsidR="00A718F4" w:rsidRPr="00CC021F">
        <w:rPr>
          <w:rFonts w:ascii="Times New Roman" w:hAnsi="Times New Roman"/>
          <w:szCs w:val="24"/>
        </w:rPr>
        <w:t xml:space="preserve">, kas ir pietiekama attiecīgā uzdevuma veikšanai, </w:t>
      </w:r>
      <w:r w:rsidR="009447C6" w:rsidRPr="00CC021F">
        <w:rPr>
          <w:rFonts w:ascii="Times New Roman" w:hAnsi="Times New Roman"/>
          <w:szCs w:val="24"/>
        </w:rPr>
        <w:t>ir p</w:t>
      </w:r>
      <w:r w:rsidR="00194667" w:rsidRPr="00CC021F">
        <w:rPr>
          <w:rFonts w:ascii="Times New Roman" w:hAnsi="Times New Roman"/>
          <w:szCs w:val="24"/>
        </w:rPr>
        <w:t>ilnvaro</w:t>
      </w:r>
      <w:r w:rsidR="00A718F4" w:rsidRPr="00CC021F">
        <w:rPr>
          <w:rFonts w:ascii="Times New Roman" w:hAnsi="Times New Roman"/>
          <w:szCs w:val="24"/>
        </w:rPr>
        <w:t>ta</w:t>
      </w:r>
      <w:r w:rsidR="00194667" w:rsidRPr="00CC021F">
        <w:rPr>
          <w:rFonts w:ascii="Times New Roman" w:hAnsi="Times New Roman"/>
          <w:szCs w:val="24"/>
        </w:rPr>
        <w:t xml:space="preserve"> pārstāvēt pieteicēju visās tiesu instancēs un pārsūdzēt tiesas nolēmumus.</w:t>
      </w:r>
      <w:r w:rsidR="009E6F85" w:rsidRPr="00CC021F">
        <w:rPr>
          <w:rFonts w:ascii="Times New Roman" w:hAnsi="Times New Roman"/>
          <w:szCs w:val="24"/>
        </w:rPr>
        <w:t xml:space="preserve"> </w:t>
      </w:r>
    </w:p>
    <w:p w14:paraId="10312A4F" w14:textId="0EAEB9ED" w:rsidR="00A718F4" w:rsidRPr="00CC021F" w:rsidRDefault="00A718F4"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Pilnvarotās personas uzdevumi izriet no Hāgas konvencijas un ar to saistītā regulējuma. Pilnvaras apjoms ir nepārprotams, tāpēc pat tad, ja tiesai kopā ar pilnvaru tiek iesniegts arī orderis, tiesa neiegūst papildu informāciju attiecībā uz pilnvarojuma apjomu vai pārstāvja statusu.</w:t>
      </w:r>
      <w:r w:rsidR="00955D2C" w:rsidRPr="00CC021F">
        <w:rPr>
          <w:rFonts w:ascii="Times New Roman" w:hAnsi="Times New Roman"/>
          <w:szCs w:val="24"/>
        </w:rPr>
        <w:t xml:space="preserve"> </w:t>
      </w:r>
    </w:p>
    <w:p w14:paraId="1C42991E" w14:textId="40910E97" w:rsidR="00481FD3" w:rsidRPr="00CC021F" w:rsidRDefault="00D463E0"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[5.</w:t>
      </w:r>
      <w:r w:rsidR="00363A03" w:rsidRPr="00CC021F">
        <w:rPr>
          <w:rFonts w:ascii="Times New Roman" w:hAnsi="Times New Roman"/>
          <w:szCs w:val="24"/>
        </w:rPr>
        <w:t>3</w:t>
      </w:r>
      <w:r w:rsidRPr="00CC021F">
        <w:rPr>
          <w:rFonts w:ascii="Times New Roman" w:hAnsi="Times New Roman"/>
          <w:szCs w:val="24"/>
        </w:rPr>
        <w:t xml:space="preserve">.3] </w:t>
      </w:r>
      <w:r w:rsidR="00955D2C" w:rsidRPr="00CC021F">
        <w:rPr>
          <w:rFonts w:ascii="Times New Roman" w:hAnsi="Times New Roman"/>
          <w:szCs w:val="24"/>
        </w:rPr>
        <w:t>Speciālā pilnvarojuma gadījumā pieteicēja pārstāves zvērinātas advokātes statuss nav juridiski nozīmīgs</w:t>
      </w:r>
      <w:r w:rsidR="00481FD3" w:rsidRPr="00CC021F">
        <w:rPr>
          <w:rFonts w:ascii="Times New Roman" w:hAnsi="Times New Roman"/>
          <w:szCs w:val="24"/>
        </w:rPr>
        <w:t xml:space="preserve">, jo </w:t>
      </w:r>
      <w:r w:rsidR="00C243F1" w:rsidRPr="00CC021F">
        <w:rPr>
          <w:rFonts w:ascii="Times New Roman" w:hAnsi="Times New Roman"/>
          <w:szCs w:val="24"/>
        </w:rPr>
        <w:t xml:space="preserve">Hāgas konvencijā paredzētā </w:t>
      </w:r>
      <w:r w:rsidR="00481FD3" w:rsidRPr="00CC021F">
        <w:rPr>
          <w:rFonts w:ascii="Times New Roman" w:hAnsi="Times New Roman"/>
          <w:szCs w:val="24"/>
        </w:rPr>
        <w:t xml:space="preserve">speciālā </w:t>
      </w:r>
      <w:r w:rsidR="00C243F1" w:rsidRPr="00CC021F">
        <w:rPr>
          <w:rFonts w:ascii="Times New Roman" w:hAnsi="Times New Roman"/>
          <w:szCs w:val="24"/>
        </w:rPr>
        <w:t xml:space="preserve">pārstāvja (juriskonsulta vai padomnieka) profesionālais statuss nav ierobežots </w:t>
      </w:r>
      <w:r w:rsidR="00535496" w:rsidRPr="00CC021F">
        <w:rPr>
          <w:rFonts w:ascii="Times New Roman" w:hAnsi="Times New Roman"/>
          <w:szCs w:val="24"/>
        </w:rPr>
        <w:t>–</w:t>
      </w:r>
      <w:r w:rsidR="00C243F1" w:rsidRPr="00CC021F">
        <w:rPr>
          <w:rFonts w:ascii="Times New Roman" w:hAnsi="Times New Roman"/>
          <w:szCs w:val="24"/>
        </w:rPr>
        <w:t xml:space="preserve"> netiek paredzēts, ka pārstāvim jābūt zvērinātam advokātam. Nav arī ierobežots pilnvarojuma apjoms – netiek noteikts, ka pilnvarojums būtu jāizsniedz attiecībā uz katru procesuālo darbību vai tiesu instanci. Minētais citastarp ir vērsts uz pēc iespējas efektīvu un ātru tiesību aizsardzības nodrošināšanu, kā arī attiecīgie principi ir jāievēro, piemērojot nacionālās tiesību normas, konkrētajā gadījumā Ministru kabineta noteikumus Nr.322.</w:t>
      </w:r>
      <w:r w:rsidR="00481FD3" w:rsidRPr="00CC021F">
        <w:rPr>
          <w:rFonts w:ascii="Times New Roman" w:hAnsi="Times New Roman"/>
          <w:szCs w:val="24"/>
        </w:rPr>
        <w:t xml:space="preserve"> </w:t>
      </w:r>
    </w:p>
    <w:p w14:paraId="6C214EAF" w14:textId="758EC610" w:rsidR="00C243F1" w:rsidRPr="00CC021F" w:rsidRDefault="00481FD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lastRenderedPageBreak/>
        <w:t xml:space="preserve">Saskaņā ar </w:t>
      </w:r>
      <w:r w:rsidR="00535496" w:rsidRPr="00CC021F">
        <w:rPr>
          <w:rFonts w:ascii="Times New Roman" w:hAnsi="Times New Roman"/>
          <w:szCs w:val="24"/>
        </w:rPr>
        <w:t xml:space="preserve">iepriekš minēto </w:t>
      </w:r>
      <w:r w:rsidRPr="00CC021F">
        <w:rPr>
          <w:rFonts w:ascii="Times New Roman" w:hAnsi="Times New Roman"/>
          <w:szCs w:val="24"/>
        </w:rPr>
        <w:t xml:space="preserve">Hāgas konvencijā </w:t>
      </w:r>
      <w:r w:rsidR="00E5147B" w:rsidRPr="00CC021F">
        <w:rPr>
          <w:rFonts w:ascii="Times New Roman" w:hAnsi="Times New Roman"/>
          <w:szCs w:val="24"/>
        </w:rPr>
        <w:t xml:space="preserve">ietverto </w:t>
      </w:r>
      <w:r w:rsidRPr="00CC021F">
        <w:rPr>
          <w:rFonts w:ascii="Times New Roman" w:hAnsi="Times New Roman"/>
          <w:szCs w:val="24"/>
        </w:rPr>
        <w:t>prasību dalībvalstīm izmantot visātrākās procedūras, kas pieejam</w:t>
      </w:r>
      <w:r w:rsidR="00E5147B" w:rsidRPr="00CC021F">
        <w:rPr>
          <w:rFonts w:ascii="Times New Roman" w:hAnsi="Times New Roman"/>
          <w:szCs w:val="24"/>
        </w:rPr>
        <w:t>a</w:t>
      </w:r>
      <w:r w:rsidRPr="00CC021F">
        <w:rPr>
          <w:rFonts w:ascii="Times New Roman" w:hAnsi="Times New Roman"/>
          <w:szCs w:val="24"/>
        </w:rPr>
        <w:t>s to nacionālajās tiesībās, n</w:t>
      </w:r>
      <w:r w:rsidR="00E5147B" w:rsidRPr="00CC021F">
        <w:rPr>
          <w:rFonts w:ascii="Times New Roman" w:hAnsi="Times New Roman"/>
          <w:szCs w:val="24"/>
        </w:rPr>
        <w:t xml:space="preserve">av samērīgi uz centrālās iestādes iecelto pārstāvi, ja tas ir zvērināts advokāts, attiecināt </w:t>
      </w:r>
      <w:r w:rsidRPr="00CC021F">
        <w:rPr>
          <w:rFonts w:ascii="Times New Roman" w:hAnsi="Times New Roman"/>
          <w:szCs w:val="24"/>
        </w:rPr>
        <w:t>vairāk formalitāšu</w:t>
      </w:r>
      <w:r w:rsidR="00E5147B" w:rsidRPr="00CC021F">
        <w:rPr>
          <w:rFonts w:ascii="Times New Roman" w:hAnsi="Times New Roman"/>
          <w:szCs w:val="24"/>
        </w:rPr>
        <w:t xml:space="preserve"> </w:t>
      </w:r>
      <w:r w:rsidRPr="00CC021F">
        <w:rPr>
          <w:rFonts w:ascii="Times New Roman" w:hAnsi="Times New Roman"/>
          <w:szCs w:val="24"/>
        </w:rPr>
        <w:t>salīdzin</w:t>
      </w:r>
      <w:r w:rsidR="00E5147B" w:rsidRPr="00CC021F">
        <w:rPr>
          <w:rFonts w:ascii="Times New Roman" w:hAnsi="Times New Roman"/>
          <w:szCs w:val="24"/>
        </w:rPr>
        <w:t xml:space="preserve">ājumā </w:t>
      </w:r>
      <w:r w:rsidRPr="00CC021F">
        <w:rPr>
          <w:rFonts w:ascii="Times New Roman" w:hAnsi="Times New Roman"/>
          <w:szCs w:val="24"/>
        </w:rPr>
        <w:t xml:space="preserve">ar </w:t>
      </w:r>
      <w:r w:rsidR="00A6654B" w:rsidRPr="00CC021F">
        <w:rPr>
          <w:rFonts w:ascii="Times New Roman" w:hAnsi="Times New Roman"/>
          <w:szCs w:val="24"/>
        </w:rPr>
        <w:t xml:space="preserve">tādu pārstāvi, kuram nav </w:t>
      </w:r>
      <w:r w:rsidRPr="00CC021F">
        <w:rPr>
          <w:rFonts w:ascii="Times New Roman" w:hAnsi="Times New Roman"/>
          <w:szCs w:val="24"/>
        </w:rPr>
        <w:t>zvērināta advokāta statusa.</w:t>
      </w:r>
      <w:r w:rsidR="00E5147B" w:rsidRPr="00CC021F">
        <w:rPr>
          <w:rFonts w:ascii="Times New Roman" w:hAnsi="Times New Roman"/>
          <w:szCs w:val="24"/>
        </w:rPr>
        <w:t xml:space="preserve"> </w:t>
      </w:r>
    </w:p>
    <w:p w14:paraId="3552AE4C" w14:textId="58CE0778" w:rsidR="00535496" w:rsidRPr="00CC021F" w:rsidRDefault="00363A0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[5.4] Senāts piekrīt blakus sūdzības iebildumiem par judikatūras atziņu </w:t>
      </w:r>
      <w:r w:rsidR="00D970D3" w:rsidRPr="00CC021F">
        <w:rPr>
          <w:rFonts w:ascii="Times New Roman" w:hAnsi="Times New Roman"/>
          <w:szCs w:val="24"/>
        </w:rPr>
        <w:t xml:space="preserve">nepareizu </w:t>
      </w:r>
      <w:r w:rsidRPr="00CC021F">
        <w:rPr>
          <w:rFonts w:ascii="Times New Roman" w:hAnsi="Times New Roman"/>
          <w:szCs w:val="24"/>
        </w:rPr>
        <w:t>izmantošanu.</w:t>
      </w:r>
      <w:r w:rsidR="00535496" w:rsidRPr="00CC021F">
        <w:rPr>
          <w:rFonts w:ascii="Times New Roman" w:hAnsi="Times New Roman"/>
          <w:szCs w:val="24"/>
        </w:rPr>
        <w:t xml:space="preserve"> </w:t>
      </w:r>
      <w:r w:rsidRPr="00CC021F">
        <w:rPr>
          <w:rFonts w:ascii="Times New Roman" w:hAnsi="Times New Roman"/>
          <w:szCs w:val="24"/>
        </w:rPr>
        <w:t xml:space="preserve">Pārsūdzētajā lēmumā Senāta atziņām izmantotas, nekonstatējot attiecīgajās lietās, kurās tās izteiktas, esošo faktisko un tiesisko apstākļu atbilstību izskatāmās lietas apstākļiem. </w:t>
      </w:r>
    </w:p>
    <w:p w14:paraId="341839F0" w14:textId="75B3CB60" w:rsidR="00535496" w:rsidRPr="00CC021F" w:rsidRDefault="00363A0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 xml:space="preserve">Proti, ar </w:t>
      </w:r>
      <w:bookmarkStart w:id="9" w:name="_Hlk114486727"/>
      <w:proofErr w:type="gramStart"/>
      <w:r w:rsidRPr="00CC021F">
        <w:rPr>
          <w:rFonts w:ascii="Times New Roman" w:hAnsi="Times New Roman"/>
          <w:szCs w:val="24"/>
        </w:rPr>
        <w:t>2015.gada</w:t>
      </w:r>
      <w:proofErr w:type="gramEnd"/>
      <w:r w:rsidRPr="00CC021F">
        <w:rPr>
          <w:rFonts w:ascii="Times New Roman" w:hAnsi="Times New Roman"/>
          <w:szCs w:val="24"/>
        </w:rPr>
        <w:t xml:space="preserve"> 26.novembra lēmumu lietā Nr. SKC</w:t>
      </w:r>
      <w:r w:rsidRPr="00CC021F">
        <w:rPr>
          <w:rFonts w:ascii="Times New Roman" w:hAnsi="Times New Roman"/>
          <w:szCs w:val="24"/>
        </w:rPr>
        <w:noBreakHyphen/>
        <w:t xml:space="preserve">2391/2015 (C51001314) </w:t>
      </w:r>
      <w:bookmarkEnd w:id="9"/>
      <w:r w:rsidRPr="00CC021F">
        <w:rPr>
          <w:rFonts w:ascii="Times New Roman" w:hAnsi="Times New Roman"/>
          <w:szCs w:val="24"/>
        </w:rPr>
        <w:t>Augstākā tiesa atstāja negrozītu apelācijas instances tiesas tiesneša lēmumu, ar kuru atteikts pieņemt zvērināta advokāta blakus sūdzību sakarā ar speciālā pilnvarojuma pārsūdzēt tiesas nolēm</w:t>
      </w:r>
      <w:r w:rsidR="00C9364B" w:rsidRPr="00CC021F">
        <w:rPr>
          <w:rFonts w:ascii="Times New Roman" w:hAnsi="Times New Roman"/>
          <w:szCs w:val="24"/>
        </w:rPr>
        <w:t xml:space="preserve">umus neesību. Savukārt ar </w:t>
      </w:r>
      <w:proofErr w:type="gramStart"/>
      <w:r w:rsidR="00C9364B" w:rsidRPr="00CC021F">
        <w:rPr>
          <w:rFonts w:ascii="Times New Roman" w:hAnsi="Times New Roman"/>
          <w:szCs w:val="24"/>
        </w:rPr>
        <w:t>2016.gada</w:t>
      </w:r>
      <w:proofErr w:type="gramEnd"/>
      <w:r w:rsidR="00C9364B" w:rsidRPr="00CC021F">
        <w:rPr>
          <w:rFonts w:ascii="Times New Roman" w:hAnsi="Times New Roman"/>
          <w:szCs w:val="24"/>
        </w:rPr>
        <w:t xml:space="preserve"> 17.</w:t>
      </w:r>
      <w:r w:rsidRPr="00CC021F">
        <w:rPr>
          <w:rFonts w:ascii="Times New Roman" w:hAnsi="Times New Roman"/>
          <w:szCs w:val="24"/>
        </w:rPr>
        <w:t>jūnija lēmumu lietā Nr. SKC</w:t>
      </w:r>
      <w:r w:rsidRPr="00CC021F">
        <w:rPr>
          <w:rFonts w:ascii="Times New Roman" w:hAnsi="Times New Roman"/>
          <w:szCs w:val="24"/>
        </w:rPr>
        <w:noBreakHyphen/>
        <w:t xml:space="preserve">1788/2016 (C29539915) Augstākā tiesa atstāja negrozītu apelācijas instances tiesas tiesneša lēmumu, ar kuru atteikts ierosināt apelācijas tiesvedību sakarā ar puses pārstāves zvērinātas advokātes apelācijas sūdzību sakarā ar ordera juridiskās palīdzības sniegšanai apelācijas instances tiesā neesību. </w:t>
      </w:r>
    </w:p>
    <w:p w14:paraId="0E0F0824" w14:textId="48605E8E" w:rsidR="00363A03" w:rsidRPr="00CC021F" w:rsidRDefault="00363A03"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Turpretim izskatāmajā lietā zvērināta advokāte darbojusies kā puses pārstāve, pamatojoties uz Tieslietu ministrijas no Hāgas konvencijas izrietošajā speciālajā regulējumā izsniegto pilnvaru. Atšķirībā no lietas Nr. SKC</w:t>
      </w:r>
      <w:r w:rsidRPr="00CC021F">
        <w:rPr>
          <w:rFonts w:ascii="Times New Roman" w:hAnsi="Times New Roman"/>
          <w:szCs w:val="24"/>
        </w:rPr>
        <w:noBreakHyphen/>
        <w:t>2391/2015 (C51001314) izskatāmajā lietā izsniegtā pilnvara aptvēra tiesības pārsūdzēt visu instanču tiesu nolēmumus. Atšķirībā no lietas Nr. SKC</w:t>
      </w:r>
      <w:r w:rsidRPr="00CC021F">
        <w:rPr>
          <w:rFonts w:ascii="Times New Roman" w:hAnsi="Times New Roman"/>
          <w:szCs w:val="24"/>
        </w:rPr>
        <w:noBreakHyphen/>
        <w:t>1788/2016 (C29539915) izskatāmajā lietā tiesai nebija nepieciešams pārliecināties, vai pilnvarniece darbojas privātpersonas vai tiesu sistēmai piederīgas personas zvērināta advokāta statusā, ņemot vērā iepriekš norādīto, ka speciālā pilnvarojuma gadījumā pieteicēja pārstāves zvērinātas advokātes statuss nav juridiski nozīmīgs.</w:t>
      </w:r>
    </w:p>
    <w:p w14:paraId="5071BF5E" w14:textId="05B3D1FB" w:rsidR="00850562" w:rsidRPr="00CC021F" w:rsidRDefault="00A6654B" w:rsidP="009F7D0A">
      <w:pPr>
        <w:pStyle w:val="NoSpacing"/>
        <w:spacing w:line="276" w:lineRule="auto"/>
        <w:ind w:firstLine="567"/>
        <w:jc w:val="both"/>
        <w:rPr>
          <w:rFonts w:ascii="Times New Roman" w:hAnsi="Times New Roman"/>
          <w:szCs w:val="24"/>
          <w:lang w:eastAsia="en-US"/>
        </w:rPr>
      </w:pPr>
      <w:r w:rsidRPr="00CC021F">
        <w:rPr>
          <w:rFonts w:ascii="Times New Roman" w:hAnsi="Times New Roman"/>
          <w:szCs w:val="24"/>
        </w:rPr>
        <w:t>[</w:t>
      </w:r>
      <w:r w:rsidR="00423996" w:rsidRPr="00CC021F">
        <w:rPr>
          <w:rFonts w:ascii="Times New Roman" w:hAnsi="Times New Roman"/>
          <w:szCs w:val="24"/>
        </w:rPr>
        <w:t>6</w:t>
      </w:r>
      <w:r w:rsidRPr="00CC021F">
        <w:rPr>
          <w:rFonts w:ascii="Times New Roman" w:hAnsi="Times New Roman"/>
          <w:szCs w:val="24"/>
        </w:rPr>
        <w:t xml:space="preserve">] </w:t>
      </w:r>
      <w:r w:rsidR="00850562" w:rsidRPr="00CC021F">
        <w:rPr>
          <w:rFonts w:ascii="Times New Roman" w:hAnsi="Times New Roman"/>
          <w:szCs w:val="24"/>
        </w:rPr>
        <w:t xml:space="preserve">Senāts papildus atzīmē, ka institūcijas, kurā zvērināts advokāts pilda uzdevumu, norādīšanu katrā tiesu instancē atsevišķi, neparedz neviens no ārējiem normatīvajiem aktiem, bet gan to noteic </w:t>
      </w:r>
      <w:r w:rsidRPr="00CC021F">
        <w:rPr>
          <w:rFonts w:ascii="Times New Roman" w:hAnsi="Times New Roman"/>
          <w:szCs w:val="24"/>
        </w:rPr>
        <w:t>iekšēj</w:t>
      </w:r>
      <w:r w:rsidR="00850562" w:rsidRPr="00CC021F">
        <w:rPr>
          <w:rFonts w:ascii="Times New Roman" w:hAnsi="Times New Roman"/>
          <w:szCs w:val="24"/>
        </w:rPr>
        <w:t>ai</w:t>
      </w:r>
      <w:r w:rsidRPr="00CC021F">
        <w:rPr>
          <w:rFonts w:ascii="Times New Roman" w:hAnsi="Times New Roman"/>
          <w:szCs w:val="24"/>
        </w:rPr>
        <w:t>s normatīva</w:t>
      </w:r>
      <w:r w:rsidR="00850562" w:rsidRPr="00CC021F">
        <w:rPr>
          <w:rFonts w:ascii="Times New Roman" w:hAnsi="Times New Roman"/>
          <w:szCs w:val="24"/>
        </w:rPr>
        <w:t>is</w:t>
      </w:r>
      <w:r w:rsidRPr="00CC021F">
        <w:rPr>
          <w:rFonts w:ascii="Times New Roman" w:hAnsi="Times New Roman"/>
          <w:szCs w:val="24"/>
        </w:rPr>
        <w:t xml:space="preserve"> akts</w:t>
      </w:r>
      <w:r w:rsidR="00850562" w:rsidRPr="00CC021F">
        <w:rPr>
          <w:rFonts w:ascii="Times New Roman" w:hAnsi="Times New Roman"/>
          <w:szCs w:val="24"/>
        </w:rPr>
        <w:t xml:space="preserve"> </w:t>
      </w:r>
      <w:r w:rsidR="00CA1EF2" w:rsidRPr="00CC021F">
        <w:rPr>
          <w:rFonts w:ascii="Times New Roman" w:hAnsi="Times New Roman"/>
          <w:szCs w:val="24"/>
        </w:rPr>
        <w:t>–</w:t>
      </w:r>
      <w:r w:rsidR="00850562" w:rsidRPr="00CC021F">
        <w:rPr>
          <w:rFonts w:ascii="Times New Roman" w:hAnsi="Times New Roman"/>
          <w:szCs w:val="24"/>
        </w:rPr>
        <w:t xml:space="preserve"> </w:t>
      </w:r>
      <w:bookmarkStart w:id="10" w:name="_Hlk114486857"/>
      <w:r w:rsidR="00850562" w:rsidRPr="00CC021F">
        <w:rPr>
          <w:rFonts w:ascii="Times New Roman" w:hAnsi="Times New Roman"/>
          <w:szCs w:val="24"/>
        </w:rPr>
        <w:t>A</w:t>
      </w:r>
      <w:r w:rsidR="00850562" w:rsidRPr="00CC021F">
        <w:rPr>
          <w:rFonts w:ascii="Times New Roman" w:hAnsi="Times New Roman"/>
          <w:szCs w:val="24"/>
          <w:lang w:eastAsia="en-US"/>
        </w:rPr>
        <w:t xml:space="preserve">dvokātu lietvedības noteikumu </w:t>
      </w:r>
      <w:r w:rsidRPr="00CC021F">
        <w:rPr>
          <w:rFonts w:ascii="Times New Roman" w:hAnsi="Times New Roman"/>
          <w:szCs w:val="24"/>
          <w:lang w:eastAsia="en-US"/>
        </w:rPr>
        <w:t>4.16.p</w:t>
      </w:r>
      <w:r w:rsidR="00850562" w:rsidRPr="00CC021F">
        <w:rPr>
          <w:rFonts w:ascii="Times New Roman" w:hAnsi="Times New Roman"/>
          <w:szCs w:val="24"/>
          <w:lang w:eastAsia="en-US"/>
        </w:rPr>
        <w:t xml:space="preserve">unkts </w:t>
      </w:r>
      <w:bookmarkEnd w:id="10"/>
      <w:r w:rsidR="00850562" w:rsidRPr="00CC021F">
        <w:rPr>
          <w:rFonts w:ascii="Times New Roman" w:hAnsi="Times New Roman"/>
          <w:szCs w:val="24"/>
          <w:lang w:eastAsia="en-US"/>
        </w:rPr>
        <w:t>(sk</w:t>
      </w:r>
      <w:r w:rsidR="00CA1EF2" w:rsidRPr="00CC021F">
        <w:rPr>
          <w:rFonts w:ascii="Times New Roman" w:hAnsi="Times New Roman"/>
          <w:szCs w:val="24"/>
          <w:lang w:eastAsia="en-US"/>
        </w:rPr>
        <w:t>.</w:t>
      </w:r>
      <w:r w:rsidR="00850562" w:rsidRPr="00CC021F">
        <w:rPr>
          <w:rFonts w:ascii="Times New Roman" w:hAnsi="Times New Roman"/>
          <w:szCs w:val="24"/>
          <w:lang w:eastAsia="en-US"/>
        </w:rPr>
        <w:t xml:space="preserve"> </w:t>
      </w:r>
      <w:hyperlink r:id="rId9" w:history="1">
        <w:r w:rsidR="00850562" w:rsidRPr="00CC021F">
          <w:rPr>
            <w:rStyle w:val="Hyperlink"/>
            <w:rFonts w:ascii="Times New Roman" w:hAnsi="Times New Roman"/>
            <w:i/>
            <w:iCs/>
            <w:color w:val="auto"/>
            <w:szCs w:val="24"/>
            <w:lang w:eastAsia="en-US"/>
          </w:rPr>
          <w:t>https://www.advokatura.lv/sites/default/files/2022-06/Advokata%20lietvedibas%20noteikumi%202018%20argrozijumiem%2008.05.2019.pdf</w:t>
        </w:r>
      </w:hyperlink>
      <w:r w:rsidRPr="00CC021F">
        <w:rPr>
          <w:rFonts w:ascii="Times New Roman" w:hAnsi="Times New Roman"/>
          <w:szCs w:val="24"/>
          <w:lang w:eastAsia="en-US"/>
        </w:rPr>
        <w:t>)</w:t>
      </w:r>
      <w:r w:rsidR="00850562" w:rsidRPr="00CC021F">
        <w:rPr>
          <w:rFonts w:ascii="Times New Roman" w:hAnsi="Times New Roman"/>
          <w:szCs w:val="24"/>
          <w:lang w:eastAsia="en-US"/>
        </w:rPr>
        <w:t xml:space="preserve">. </w:t>
      </w:r>
    </w:p>
    <w:p w14:paraId="253DEEBC" w14:textId="561DE8FC" w:rsidR="00850562" w:rsidRPr="00CC021F" w:rsidRDefault="00850562" w:rsidP="009F7D0A">
      <w:pPr>
        <w:pStyle w:val="NoSpacing"/>
        <w:spacing w:line="276" w:lineRule="auto"/>
        <w:ind w:firstLine="567"/>
        <w:jc w:val="both"/>
        <w:rPr>
          <w:rFonts w:ascii="Times New Roman" w:hAnsi="Times New Roman"/>
          <w:color w:val="FF0000"/>
          <w:szCs w:val="24"/>
          <w:lang w:eastAsia="en-US"/>
        </w:rPr>
      </w:pPr>
      <w:r w:rsidRPr="00CC021F">
        <w:rPr>
          <w:rFonts w:ascii="Times New Roman" w:hAnsi="Times New Roman"/>
          <w:szCs w:val="24"/>
          <w:lang w:eastAsia="en-US"/>
        </w:rPr>
        <w:t>Iekšēj</w:t>
      </w:r>
      <w:r w:rsidR="00FA73BA" w:rsidRPr="00CC021F">
        <w:rPr>
          <w:rFonts w:ascii="Times New Roman" w:hAnsi="Times New Roman"/>
          <w:szCs w:val="24"/>
          <w:lang w:eastAsia="en-US"/>
        </w:rPr>
        <w:t>ai</w:t>
      </w:r>
      <w:r w:rsidRPr="00CC021F">
        <w:rPr>
          <w:rFonts w:ascii="Times New Roman" w:hAnsi="Times New Roman"/>
          <w:szCs w:val="24"/>
          <w:lang w:eastAsia="en-US"/>
        </w:rPr>
        <w:t>s normatīvs akts</w:t>
      </w:r>
      <w:r w:rsidR="00FA73BA" w:rsidRPr="00CC021F">
        <w:rPr>
          <w:rFonts w:ascii="Times New Roman" w:hAnsi="Times New Roman"/>
          <w:szCs w:val="24"/>
          <w:lang w:eastAsia="en-US"/>
        </w:rPr>
        <w:t>, atšķirībā no ārējā normatīvā akta, ir saistošs subjektam, kas to izdevis un tām personām, kuras ir padotas iekšējā normatīvā akta izdevējam.</w:t>
      </w:r>
      <w:r w:rsidRPr="00CC021F">
        <w:rPr>
          <w:rFonts w:ascii="Times New Roman" w:hAnsi="Times New Roman"/>
          <w:szCs w:val="24"/>
          <w:lang w:eastAsia="en-US"/>
        </w:rPr>
        <w:t xml:space="preserve"> </w:t>
      </w:r>
    </w:p>
    <w:p w14:paraId="63FD6F0B" w14:textId="099B0F78" w:rsidR="0008119F" w:rsidRPr="00CC021F" w:rsidRDefault="00FA73BA" w:rsidP="009F7D0A">
      <w:pPr>
        <w:pStyle w:val="NoSpacing"/>
        <w:spacing w:line="276" w:lineRule="auto"/>
        <w:ind w:firstLine="567"/>
        <w:jc w:val="both"/>
        <w:rPr>
          <w:rFonts w:ascii="Times New Roman" w:hAnsi="Times New Roman"/>
          <w:szCs w:val="24"/>
          <w:lang w:eastAsia="en-US"/>
        </w:rPr>
      </w:pPr>
      <w:r w:rsidRPr="00CC021F">
        <w:rPr>
          <w:rFonts w:ascii="Times New Roman" w:hAnsi="Times New Roman"/>
          <w:szCs w:val="24"/>
          <w:lang w:eastAsia="en-US"/>
        </w:rPr>
        <w:t>Advokātu lietvedības noteikum</w:t>
      </w:r>
      <w:r w:rsidR="0008119F" w:rsidRPr="00CC021F">
        <w:rPr>
          <w:rFonts w:ascii="Times New Roman" w:hAnsi="Times New Roman"/>
          <w:szCs w:val="24"/>
          <w:lang w:eastAsia="en-US"/>
        </w:rPr>
        <w:t xml:space="preserve">i apstiprināti ar </w:t>
      </w:r>
      <w:r w:rsidRPr="00CC021F">
        <w:rPr>
          <w:rFonts w:ascii="Times New Roman" w:hAnsi="Times New Roman"/>
          <w:szCs w:val="24"/>
          <w:lang w:eastAsia="en-US"/>
        </w:rPr>
        <w:t>Latvijas Zvērinātu advokātu padome</w:t>
      </w:r>
      <w:r w:rsidR="0008119F" w:rsidRPr="00CC021F">
        <w:rPr>
          <w:rFonts w:ascii="Times New Roman" w:hAnsi="Times New Roman"/>
          <w:szCs w:val="24"/>
          <w:lang w:eastAsia="en-US"/>
        </w:rPr>
        <w:t xml:space="preserve">s lēmumu </w:t>
      </w:r>
      <w:r w:rsidRPr="00CC021F">
        <w:rPr>
          <w:rFonts w:ascii="Times New Roman" w:hAnsi="Times New Roman"/>
          <w:szCs w:val="24"/>
          <w:lang w:eastAsia="en-US"/>
        </w:rPr>
        <w:t xml:space="preserve">un ir saistoši </w:t>
      </w:r>
      <w:r w:rsidR="00921637" w:rsidRPr="00CC021F">
        <w:rPr>
          <w:rFonts w:ascii="Times New Roman" w:hAnsi="Times New Roman"/>
          <w:szCs w:val="24"/>
          <w:lang w:eastAsia="en-US"/>
        </w:rPr>
        <w:t>advokātiem.</w:t>
      </w:r>
    </w:p>
    <w:p w14:paraId="09308F79" w14:textId="7587E497" w:rsidR="00FA73BA" w:rsidRPr="00CC021F" w:rsidRDefault="00CA1EF2" w:rsidP="009F7D0A">
      <w:pPr>
        <w:pStyle w:val="NoSpacing"/>
        <w:spacing w:line="276" w:lineRule="auto"/>
        <w:ind w:firstLine="567"/>
        <w:jc w:val="both"/>
        <w:rPr>
          <w:rFonts w:ascii="Times New Roman" w:hAnsi="Times New Roman"/>
          <w:szCs w:val="24"/>
          <w:lang w:eastAsia="en-US"/>
        </w:rPr>
      </w:pPr>
      <w:r w:rsidRPr="00CC021F">
        <w:rPr>
          <w:rFonts w:ascii="Times New Roman" w:hAnsi="Times New Roman"/>
          <w:szCs w:val="24"/>
          <w:lang w:eastAsia="en-US"/>
        </w:rPr>
        <w:t>N</w:t>
      </w:r>
      <w:r w:rsidR="003717D2" w:rsidRPr="00CC021F">
        <w:rPr>
          <w:rFonts w:ascii="Times New Roman" w:hAnsi="Times New Roman"/>
          <w:szCs w:val="24"/>
          <w:lang w:eastAsia="en-US"/>
        </w:rPr>
        <w:t xml:space="preserve">av pieļaujams </w:t>
      </w:r>
      <w:r w:rsidR="008A60C4" w:rsidRPr="00CC021F">
        <w:rPr>
          <w:rFonts w:ascii="Times New Roman" w:hAnsi="Times New Roman"/>
          <w:szCs w:val="24"/>
          <w:lang w:eastAsia="en-US"/>
        </w:rPr>
        <w:t xml:space="preserve">tāds iekšēja normatīva akta tulkojums, kas </w:t>
      </w:r>
      <w:r w:rsidR="003717D2" w:rsidRPr="00CC021F">
        <w:rPr>
          <w:rFonts w:ascii="Times New Roman" w:hAnsi="Times New Roman"/>
          <w:szCs w:val="24"/>
          <w:lang w:eastAsia="en-US"/>
        </w:rPr>
        <w:t xml:space="preserve">liedz pārstāvamajam tiesības uz tiesas aizsardzību pārsūdzības kārtībā advokāta </w:t>
      </w:r>
      <w:r w:rsidR="008A60C4" w:rsidRPr="00CC021F">
        <w:rPr>
          <w:rFonts w:ascii="Times New Roman" w:hAnsi="Times New Roman"/>
          <w:szCs w:val="24"/>
          <w:lang w:eastAsia="en-US"/>
        </w:rPr>
        <w:t xml:space="preserve">ordera formālo noformēšanas prasību neievērošanas dēļ </w:t>
      </w:r>
      <w:r w:rsidR="00921637" w:rsidRPr="00CC021F">
        <w:rPr>
          <w:rFonts w:ascii="Times New Roman" w:hAnsi="Times New Roman"/>
          <w:szCs w:val="24"/>
          <w:lang w:eastAsia="en-US"/>
        </w:rPr>
        <w:t>tādā situācijā, k</w:t>
      </w:r>
      <w:r w:rsidR="00370E4D" w:rsidRPr="00CC021F">
        <w:rPr>
          <w:rFonts w:ascii="Times New Roman" w:hAnsi="Times New Roman"/>
          <w:szCs w:val="24"/>
          <w:lang w:eastAsia="en-US"/>
        </w:rPr>
        <w:t xml:space="preserve">urā </w:t>
      </w:r>
      <w:r w:rsidR="0008722C" w:rsidRPr="00CC021F">
        <w:rPr>
          <w:rFonts w:ascii="Times New Roman" w:hAnsi="Times New Roman"/>
          <w:szCs w:val="24"/>
          <w:lang w:eastAsia="en-US"/>
        </w:rPr>
        <w:t xml:space="preserve">lietā iesniegta </w:t>
      </w:r>
      <w:r w:rsidR="003717D2" w:rsidRPr="00CC021F">
        <w:rPr>
          <w:rFonts w:ascii="Times New Roman" w:hAnsi="Times New Roman"/>
          <w:szCs w:val="24"/>
          <w:lang w:eastAsia="en-US"/>
        </w:rPr>
        <w:t xml:space="preserve">speciālajam ārējam normatīvajam aktam – </w:t>
      </w:r>
      <w:r w:rsidR="00514066" w:rsidRPr="00CC021F">
        <w:rPr>
          <w:rFonts w:ascii="Times New Roman" w:hAnsi="Times New Roman"/>
          <w:szCs w:val="24"/>
          <w:lang w:eastAsia="en-US"/>
        </w:rPr>
        <w:t>Hāgas konvencijai</w:t>
      </w:r>
      <w:r w:rsidR="003717D2" w:rsidRPr="00CC021F">
        <w:rPr>
          <w:rFonts w:ascii="Times New Roman" w:hAnsi="Times New Roman"/>
          <w:szCs w:val="24"/>
          <w:lang w:eastAsia="en-US"/>
        </w:rPr>
        <w:t xml:space="preserve"> –</w:t>
      </w:r>
      <w:r w:rsidR="00514066" w:rsidRPr="00CC021F">
        <w:rPr>
          <w:rFonts w:ascii="Times New Roman" w:hAnsi="Times New Roman"/>
          <w:szCs w:val="24"/>
          <w:lang w:eastAsia="en-US"/>
        </w:rPr>
        <w:t xml:space="preserve"> atbilstoš</w:t>
      </w:r>
      <w:r w:rsidR="0008722C" w:rsidRPr="00CC021F">
        <w:rPr>
          <w:rFonts w:ascii="Times New Roman" w:hAnsi="Times New Roman"/>
          <w:szCs w:val="24"/>
          <w:lang w:eastAsia="en-US"/>
        </w:rPr>
        <w:t xml:space="preserve">a pieteicēja </w:t>
      </w:r>
      <w:r w:rsidR="003717D2" w:rsidRPr="00CC021F">
        <w:rPr>
          <w:rFonts w:ascii="Times New Roman" w:hAnsi="Times New Roman"/>
          <w:szCs w:val="24"/>
          <w:lang w:eastAsia="en-US"/>
        </w:rPr>
        <w:t xml:space="preserve">pārstāves </w:t>
      </w:r>
      <w:r w:rsidR="00921637" w:rsidRPr="00CC021F">
        <w:rPr>
          <w:rFonts w:ascii="Times New Roman" w:hAnsi="Times New Roman"/>
          <w:szCs w:val="24"/>
          <w:lang w:eastAsia="en-US"/>
        </w:rPr>
        <w:t>pilnvar</w:t>
      </w:r>
      <w:r w:rsidR="0008722C" w:rsidRPr="00CC021F">
        <w:rPr>
          <w:rFonts w:ascii="Times New Roman" w:hAnsi="Times New Roman"/>
          <w:szCs w:val="24"/>
          <w:lang w:eastAsia="en-US"/>
        </w:rPr>
        <w:t>a</w:t>
      </w:r>
      <w:r w:rsidR="00921637" w:rsidRPr="00CC021F">
        <w:rPr>
          <w:rFonts w:ascii="Times New Roman" w:hAnsi="Times New Roman"/>
          <w:szCs w:val="24"/>
          <w:lang w:eastAsia="en-US"/>
        </w:rPr>
        <w:t>.</w:t>
      </w:r>
    </w:p>
    <w:p w14:paraId="107B6F8F" w14:textId="456509AC" w:rsidR="00934A00" w:rsidRPr="00CC021F" w:rsidRDefault="00A60B9A" w:rsidP="009F7D0A">
      <w:pPr>
        <w:pStyle w:val="NoSpacing"/>
        <w:spacing w:line="276" w:lineRule="auto"/>
        <w:ind w:firstLine="567"/>
        <w:jc w:val="both"/>
        <w:rPr>
          <w:rFonts w:ascii="Times New Roman" w:hAnsi="Times New Roman"/>
          <w:szCs w:val="24"/>
        </w:rPr>
      </w:pPr>
      <w:r w:rsidRPr="00CC021F">
        <w:rPr>
          <w:rFonts w:ascii="Times New Roman" w:hAnsi="Times New Roman"/>
          <w:szCs w:val="24"/>
        </w:rPr>
        <w:t>[</w:t>
      </w:r>
      <w:r w:rsidR="00CA1EF2" w:rsidRPr="00CC021F">
        <w:rPr>
          <w:rFonts w:ascii="Times New Roman" w:hAnsi="Times New Roman"/>
          <w:szCs w:val="24"/>
        </w:rPr>
        <w:t>7</w:t>
      </w:r>
      <w:r w:rsidRPr="00CC021F">
        <w:rPr>
          <w:rFonts w:ascii="Times New Roman" w:hAnsi="Times New Roman"/>
          <w:szCs w:val="24"/>
        </w:rPr>
        <w:t xml:space="preserve">] </w:t>
      </w:r>
      <w:r w:rsidR="00A718F4" w:rsidRPr="00CC021F">
        <w:rPr>
          <w:rFonts w:ascii="Times New Roman" w:hAnsi="Times New Roman"/>
          <w:szCs w:val="24"/>
        </w:rPr>
        <w:t xml:space="preserve">Ņemot vērā </w:t>
      </w:r>
      <w:r w:rsidR="00425286" w:rsidRPr="00CC021F">
        <w:rPr>
          <w:rFonts w:ascii="Times New Roman" w:hAnsi="Times New Roman"/>
          <w:szCs w:val="24"/>
        </w:rPr>
        <w:t>šā lēmuma 5.</w:t>
      </w:r>
      <w:r w:rsidR="007B4D45" w:rsidRPr="00CC021F">
        <w:rPr>
          <w:rFonts w:ascii="Times New Roman" w:hAnsi="Times New Roman"/>
          <w:szCs w:val="24"/>
        </w:rPr>
        <w:t xml:space="preserve"> un 6.</w:t>
      </w:r>
      <w:r w:rsidR="00425286" w:rsidRPr="00CC021F">
        <w:rPr>
          <w:rFonts w:ascii="Times New Roman" w:hAnsi="Times New Roman"/>
          <w:szCs w:val="24"/>
        </w:rPr>
        <w:t>punktā norādīto,</w:t>
      </w:r>
      <w:r w:rsidR="00194667" w:rsidRPr="00CC021F">
        <w:rPr>
          <w:rFonts w:ascii="Times New Roman" w:hAnsi="Times New Roman"/>
          <w:szCs w:val="24"/>
        </w:rPr>
        <w:t xml:space="preserve"> S</w:t>
      </w:r>
      <w:r w:rsidR="00425286" w:rsidRPr="00CC021F">
        <w:rPr>
          <w:rFonts w:ascii="Times New Roman" w:hAnsi="Times New Roman"/>
          <w:szCs w:val="24"/>
        </w:rPr>
        <w:t xml:space="preserve">enāts atzīst, ka </w:t>
      </w:r>
      <w:r w:rsidR="00194667" w:rsidRPr="00CC021F">
        <w:rPr>
          <w:rFonts w:ascii="Times New Roman" w:hAnsi="Times New Roman"/>
          <w:szCs w:val="24"/>
        </w:rPr>
        <w:t xml:space="preserve">lietas faktiskie apstākļi neatbilst </w:t>
      </w:r>
      <w:bookmarkStart w:id="11" w:name="_Hlk114486916"/>
      <w:r w:rsidR="00194667" w:rsidRPr="00CC021F">
        <w:rPr>
          <w:rFonts w:ascii="Times New Roman" w:hAnsi="Times New Roman"/>
          <w:szCs w:val="24"/>
        </w:rPr>
        <w:t xml:space="preserve">Civilprocesa likuma </w:t>
      </w:r>
      <w:proofErr w:type="gramStart"/>
      <w:r w:rsidR="007B4D45" w:rsidRPr="00CC021F">
        <w:rPr>
          <w:rFonts w:ascii="Times New Roman" w:hAnsi="Times New Roman"/>
          <w:szCs w:val="24"/>
        </w:rPr>
        <w:t>445.</w:t>
      </w:r>
      <w:r w:rsidR="00194667" w:rsidRPr="00CC021F">
        <w:rPr>
          <w:rFonts w:ascii="Times New Roman" w:hAnsi="Times New Roman"/>
          <w:szCs w:val="24"/>
        </w:rPr>
        <w:t>panta</w:t>
      </w:r>
      <w:proofErr w:type="gramEnd"/>
      <w:r w:rsidR="00194667" w:rsidRPr="00CC021F">
        <w:rPr>
          <w:rFonts w:ascii="Times New Roman" w:hAnsi="Times New Roman"/>
          <w:szCs w:val="24"/>
        </w:rPr>
        <w:t xml:space="preserve"> otrās daļas </w:t>
      </w:r>
      <w:bookmarkEnd w:id="11"/>
      <w:r w:rsidR="00194667" w:rsidRPr="00CC021F">
        <w:rPr>
          <w:rFonts w:ascii="Times New Roman" w:hAnsi="Times New Roman"/>
          <w:szCs w:val="24"/>
        </w:rPr>
        <w:t>tiesību normas sastāvam, tādēļ</w:t>
      </w:r>
      <w:r w:rsidR="00481FD3" w:rsidRPr="00CC021F">
        <w:rPr>
          <w:rFonts w:ascii="Times New Roman" w:hAnsi="Times New Roman"/>
          <w:szCs w:val="24"/>
        </w:rPr>
        <w:t xml:space="preserve"> </w:t>
      </w:r>
      <w:r w:rsidR="00425286" w:rsidRPr="00CC021F">
        <w:rPr>
          <w:rFonts w:ascii="Times New Roman" w:hAnsi="Times New Roman"/>
          <w:szCs w:val="24"/>
        </w:rPr>
        <w:t>pārsūdzētais lēmums atceļams,</w:t>
      </w:r>
      <w:r w:rsidR="000C7285" w:rsidRPr="00CC021F">
        <w:rPr>
          <w:rFonts w:ascii="Times New Roman" w:hAnsi="Times New Roman"/>
          <w:szCs w:val="24"/>
        </w:rPr>
        <w:t xml:space="preserve"> arī neizvērtējot pārējos blakus sūdzības argumentus. Atceļot lēmumu, lieta </w:t>
      </w:r>
      <w:r w:rsidR="00425286" w:rsidRPr="00CC021F">
        <w:rPr>
          <w:rFonts w:ascii="Times New Roman" w:hAnsi="Times New Roman"/>
          <w:szCs w:val="24"/>
        </w:rPr>
        <w:t>nodod</w:t>
      </w:r>
      <w:r w:rsidR="000C7285" w:rsidRPr="00CC021F">
        <w:rPr>
          <w:rFonts w:ascii="Times New Roman" w:hAnsi="Times New Roman"/>
          <w:szCs w:val="24"/>
        </w:rPr>
        <w:t xml:space="preserve">ama </w:t>
      </w:r>
      <w:r w:rsidR="00425286" w:rsidRPr="00CC021F">
        <w:rPr>
          <w:rFonts w:ascii="Times New Roman" w:hAnsi="Times New Roman"/>
          <w:szCs w:val="24"/>
        </w:rPr>
        <w:t>apgabaltiesai pieteicēja blakus sūdzības izskatīšanai.</w:t>
      </w:r>
    </w:p>
    <w:p w14:paraId="01D0281C" w14:textId="77777777" w:rsidR="00154404" w:rsidRPr="00CC021F" w:rsidRDefault="00154404" w:rsidP="009F7D0A">
      <w:pPr>
        <w:pStyle w:val="NoSpacing"/>
        <w:spacing w:line="276" w:lineRule="auto"/>
        <w:rPr>
          <w:rFonts w:ascii="Times New Roman" w:eastAsiaTheme="minorHAnsi" w:hAnsi="Times New Roman"/>
          <w:b/>
          <w:szCs w:val="24"/>
          <w:lang w:eastAsia="en-US"/>
        </w:rPr>
      </w:pPr>
    </w:p>
    <w:p w14:paraId="299F5B4B" w14:textId="77777777" w:rsidR="00940216" w:rsidRPr="00CC021F" w:rsidRDefault="00940216" w:rsidP="009F7D0A">
      <w:pPr>
        <w:pStyle w:val="NoSpacing"/>
        <w:spacing w:line="276" w:lineRule="auto"/>
        <w:jc w:val="center"/>
        <w:rPr>
          <w:rFonts w:ascii="Times New Roman" w:eastAsiaTheme="minorHAnsi" w:hAnsi="Times New Roman"/>
          <w:b/>
          <w:szCs w:val="24"/>
          <w:lang w:eastAsia="en-US"/>
        </w:rPr>
      </w:pPr>
      <w:r w:rsidRPr="00CC021F">
        <w:rPr>
          <w:rFonts w:ascii="Times New Roman" w:eastAsiaTheme="minorHAnsi" w:hAnsi="Times New Roman"/>
          <w:b/>
          <w:szCs w:val="24"/>
          <w:lang w:eastAsia="en-US"/>
        </w:rPr>
        <w:t>Rezolutīvā daļa</w:t>
      </w:r>
    </w:p>
    <w:p w14:paraId="617E0AA9" w14:textId="77777777" w:rsidR="00940216" w:rsidRPr="00CC021F" w:rsidRDefault="00940216" w:rsidP="009F7D0A">
      <w:pPr>
        <w:pStyle w:val="NoSpacing"/>
        <w:spacing w:line="276" w:lineRule="auto"/>
        <w:jc w:val="both"/>
        <w:rPr>
          <w:rFonts w:ascii="Times New Roman" w:eastAsiaTheme="minorHAnsi" w:hAnsi="Times New Roman"/>
          <w:b/>
          <w:szCs w:val="24"/>
          <w:lang w:eastAsia="en-US"/>
        </w:rPr>
      </w:pPr>
    </w:p>
    <w:p w14:paraId="3B6BF200" w14:textId="5030D48A" w:rsidR="00940216" w:rsidRPr="00CC021F" w:rsidRDefault="00940216" w:rsidP="009F7D0A">
      <w:pPr>
        <w:pStyle w:val="NoSpacing"/>
        <w:spacing w:line="276" w:lineRule="auto"/>
        <w:ind w:firstLine="567"/>
        <w:jc w:val="both"/>
        <w:rPr>
          <w:rFonts w:ascii="Times New Roman" w:eastAsiaTheme="minorHAnsi" w:hAnsi="Times New Roman"/>
          <w:szCs w:val="24"/>
          <w:lang w:eastAsia="en-US"/>
        </w:rPr>
      </w:pPr>
      <w:r w:rsidRPr="00CC021F">
        <w:rPr>
          <w:rFonts w:ascii="Times New Roman" w:eastAsiaTheme="minorHAnsi" w:hAnsi="Times New Roman"/>
          <w:szCs w:val="24"/>
          <w:lang w:eastAsia="en-US"/>
        </w:rPr>
        <w:t xml:space="preserve">Pamatojoties uz Civilprocesa likuma </w:t>
      </w:r>
      <w:proofErr w:type="gramStart"/>
      <w:r w:rsidRPr="00CC021F">
        <w:rPr>
          <w:rFonts w:ascii="Times New Roman" w:eastAsiaTheme="minorHAnsi" w:hAnsi="Times New Roman"/>
          <w:szCs w:val="24"/>
          <w:lang w:eastAsia="en-US"/>
        </w:rPr>
        <w:t>448.panta</w:t>
      </w:r>
      <w:proofErr w:type="gramEnd"/>
      <w:r w:rsidRPr="00CC021F">
        <w:rPr>
          <w:rFonts w:ascii="Times New Roman" w:eastAsiaTheme="minorHAnsi" w:hAnsi="Times New Roman"/>
          <w:szCs w:val="24"/>
          <w:lang w:eastAsia="en-US"/>
        </w:rPr>
        <w:t xml:space="preserve"> pirmās daļas 2.punktu, Senāts</w:t>
      </w:r>
    </w:p>
    <w:p w14:paraId="372FC676" w14:textId="77777777" w:rsidR="00154404" w:rsidRPr="00CC021F" w:rsidRDefault="00154404" w:rsidP="009F7D0A">
      <w:pPr>
        <w:pStyle w:val="NoSpacing"/>
        <w:spacing w:line="276" w:lineRule="auto"/>
        <w:rPr>
          <w:rFonts w:ascii="Times New Roman" w:eastAsiaTheme="minorHAnsi" w:hAnsi="Times New Roman"/>
          <w:b/>
          <w:szCs w:val="24"/>
          <w:lang w:eastAsia="en-US"/>
        </w:rPr>
      </w:pPr>
    </w:p>
    <w:p w14:paraId="3EDD7C40" w14:textId="77777777" w:rsidR="00940216" w:rsidRPr="00CC021F" w:rsidRDefault="00940216" w:rsidP="009F7D0A">
      <w:pPr>
        <w:pStyle w:val="NoSpacing"/>
        <w:spacing w:line="276" w:lineRule="auto"/>
        <w:jc w:val="center"/>
        <w:rPr>
          <w:rFonts w:ascii="Times New Roman" w:eastAsiaTheme="minorHAnsi" w:hAnsi="Times New Roman"/>
          <w:b/>
          <w:szCs w:val="24"/>
          <w:lang w:eastAsia="en-US"/>
        </w:rPr>
      </w:pPr>
      <w:r w:rsidRPr="00CC021F">
        <w:rPr>
          <w:rFonts w:ascii="Times New Roman" w:eastAsiaTheme="minorHAnsi" w:hAnsi="Times New Roman"/>
          <w:b/>
          <w:szCs w:val="24"/>
          <w:lang w:eastAsia="en-US"/>
        </w:rPr>
        <w:lastRenderedPageBreak/>
        <w:t>nolēma</w:t>
      </w:r>
    </w:p>
    <w:p w14:paraId="51F485DB" w14:textId="77777777" w:rsidR="00940216" w:rsidRPr="00CC021F" w:rsidRDefault="00940216" w:rsidP="009F7D0A">
      <w:pPr>
        <w:pStyle w:val="NoSpacing"/>
        <w:spacing w:line="276" w:lineRule="auto"/>
        <w:jc w:val="both"/>
        <w:rPr>
          <w:rFonts w:ascii="Times New Roman" w:eastAsiaTheme="minorHAnsi" w:hAnsi="Times New Roman"/>
          <w:szCs w:val="24"/>
          <w:lang w:val="lt-LT" w:eastAsia="en-US"/>
        </w:rPr>
      </w:pPr>
    </w:p>
    <w:p w14:paraId="2CBFFDE6" w14:textId="6CB3926C" w:rsidR="00940216" w:rsidRPr="00CC021F" w:rsidRDefault="00940216" w:rsidP="009F7D0A">
      <w:pPr>
        <w:pStyle w:val="NoSpacing"/>
        <w:spacing w:line="276" w:lineRule="auto"/>
        <w:ind w:firstLine="567"/>
        <w:jc w:val="both"/>
        <w:rPr>
          <w:rFonts w:ascii="Times New Roman" w:eastAsiaTheme="minorHAnsi" w:hAnsi="Times New Roman"/>
          <w:szCs w:val="24"/>
          <w:lang w:val="lt-LT" w:eastAsia="en-US"/>
        </w:rPr>
      </w:pPr>
      <w:r w:rsidRPr="00CC021F">
        <w:rPr>
          <w:rFonts w:ascii="Times New Roman" w:eastAsiaTheme="minorHAnsi" w:hAnsi="Times New Roman"/>
          <w:szCs w:val="24"/>
          <w:lang w:val="lt-LT" w:eastAsia="en-US"/>
        </w:rPr>
        <w:t>atcelt</w:t>
      </w:r>
      <w:r w:rsidRPr="00CC021F">
        <w:rPr>
          <w:rFonts w:ascii="Times New Roman" w:hAnsi="Times New Roman"/>
          <w:szCs w:val="24"/>
          <w:lang w:val="lt-LT"/>
        </w:rPr>
        <w:t xml:space="preserve"> </w:t>
      </w:r>
      <w:r w:rsidR="00AB14A8" w:rsidRPr="00CC021F">
        <w:rPr>
          <w:rFonts w:ascii="Times New Roman" w:hAnsi="Times New Roman"/>
          <w:szCs w:val="24"/>
          <w:lang w:val="lt-LT"/>
        </w:rPr>
        <w:t>[..]</w:t>
      </w:r>
      <w:r w:rsidR="00A61D34" w:rsidRPr="00CC021F">
        <w:rPr>
          <w:rFonts w:ascii="Times New Roman" w:hAnsi="Times New Roman"/>
          <w:szCs w:val="24"/>
          <w:lang w:val="lt-LT"/>
        </w:rPr>
        <w:t xml:space="preserve"> </w:t>
      </w:r>
      <w:r w:rsidRPr="00CC021F">
        <w:rPr>
          <w:rFonts w:ascii="Times New Roman" w:hAnsi="Times New Roman"/>
          <w:szCs w:val="24"/>
          <w:lang w:val="lt-LT"/>
        </w:rPr>
        <w:t xml:space="preserve">apgabaltiesas Civillietu tiesas kolēģijas </w:t>
      </w:r>
      <w:r w:rsidR="007B4D45" w:rsidRPr="00CC021F">
        <w:rPr>
          <w:rFonts w:ascii="Times New Roman" w:hAnsi="Times New Roman"/>
          <w:szCs w:val="24"/>
          <w:lang w:val="lt-LT"/>
        </w:rPr>
        <w:t xml:space="preserve">tiesneses 2022.gada </w:t>
      </w:r>
      <w:r w:rsidR="00807D2C" w:rsidRPr="00CC021F">
        <w:rPr>
          <w:rFonts w:ascii="Times New Roman" w:hAnsi="Times New Roman"/>
          <w:szCs w:val="24"/>
          <w:lang w:val="lt-LT"/>
        </w:rPr>
        <w:t>[..]</w:t>
      </w:r>
      <w:r w:rsidR="00BE43A8" w:rsidRPr="00CC021F">
        <w:rPr>
          <w:rFonts w:ascii="Times New Roman" w:hAnsi="Times New Roman"/>
          <w:szCs w:val="24"/>
          <w:lang w:val="lt-LT"/>
        </w:rPr>
        <w:t xml:space="preserve"> </w:t>
      </w:r>
      <w:r w:rsidR="00A61D34" w:rsidRPr="00CC021F">
        <w:rPr>
          <w:rFonts w:ascii="Times New Roman" w:hAnsi="Times New Roman"/>
          <w:szCs w:val="24"/>
          <w:lang w:val="lt-LT"/>
        </w:rPr>
        <w:t xml:space="preserve">lēmumu </w:t>
      </w:r>
      <w:r w:rsidRPr="00CC021F">
        <w:rPr>
          <w:rFonts w:ascii="Times New Roman" w:hAnsi="Times New Roman"/>
          <w:szCs w:val="24"/>
          <w:lang w:val="lt-LT"/>
        </w:rPr>
        <w:t xml:space="preserve">un </w:t>
      </w:r>
      <w:r w:rsidR="00C556F5" w:rsidRPr="00CC021F">
        <w:rPr>
          <w:rFonts w:ascii="Times New Roman" w:hAnsi="Times New Roman"/>
          <w:szCs w:val="24"/>
          <w:lang w:val="lt-LT"/>
        </w:rPr>
        <w:t xml:space="preserve">lietu nodot izskatīšanai </w:t>
      </w:r>
      <w:r w:rsidR="00B85673" w:rsidRPr="00CC021F">
        <w:rPr>
          <w:rFonts w:ascii="Times New Roman" w:hAnsi="Times New Roman"/>
          <w:szCs w:val="24"/>
          <w:lang w:val="lt-LT"/>
        </w:rPr>
        <w:t>[..]</w:t>
      </w:r>
      <w:r w:rsidR="00A61D34" w:rsidRPr="00CC021F">
        <w:rPr>
          <w:rFonts w:ascii="Times New Roman" w:hAnsi="Times New Roman"/>
          <w:szCs w:val="24"/>
          <w:lang w:val="lt-LT"/>
        </w:rPr>
        <w:t xml:space="preserve"> </w:t>
      </w:r>
      <w:r w:rsidR="00C556F5" w:rsidRPr="00CC021F">
        <w:rPr>
          <w:rFonts w:ascii="Times New Roman" w:eastAsiaTheme="minorHAnsi" w:hAnsi="Times New Roman"/>
          <w:szCs w:val="24"/>
          <w:lang w:val="lt-LT" w:eastAsia="en-US"/>
        </w:rPr>
        <w:t>apgabaltiesai</w:t>
      </w:r>
      <w:r w:rsidR="007D349C" w:rsidRPr="00CC021F">
        <w:rPr>
          <w:rFonts w:ascii="Times New Roman" w:hAnsi="Times New Roman"/>
          <w:szCs w:val="24"/>
          <w:lang w:val="lt-LT"/>
        </w:rPr>
        <w:t>.</w:t>
      </w:r>
    </w:p>
    <w:p w14:paraId="5C7C2423" w14:textId="5A2A405F" w:rsidR="007D349C" w:rsidRPr="00CC021F" w:rsidRDefault="007D349C" w:rsidP="009F7D0A">
      <w:pPr>
        <w:pStyle w:val="NoSpacing"/>
        <w:spacing w:line="276" w:lineRule="auto"/>
        <w:ind w:firstLine="567"/>
        <w:jc w:val="both"/>
        <w:rPr>
          <w:rFonts w:ascii="Times New Roman" w:hAnsi="Times New Roman"/>
          <w:szCs w:val="24"/>
          <w:lang w:val="lt-LT"/>
        </w:rPr>
      </w:pPr>
      <w:r w:rsidRPr="00CC021F">
        <w:rPr>
          <w:rFonts w:ascii="Times New Roman" w:hAnsi="Times New Roman"/>
          <w:szCs w:val="24"/>
          <w:lang w:val="lt-LT"/>
        </w:rPr>
        <w:t xml:space="preserve">Atmaksāt </w:t>
      </w:r>
      <w:r w:rsidR="00934A00" w:rsidRPr="00CC021F">
        <w:rPr>
          <w:rFonts w:ascii="Times New Roman" w:hAnsi="Times New Roman"/>
          <w:szCs w:val="24"/>
          <w:lang w:val="lt-LT"/>
        </w:rPr>
        <w:t xml:space="preserve">Antrai Kalējai </w:t>
      </w:r>
      <w:r w:rsidRPr="00CC021F">
        <w:rPr>
          <w:rFonts w:ascii="Times New Roman" w:hAnsi="Times New Roman"/>
          <w:szCs w:val="24"/>
          <w:lang w:val="lt-LT"/>
        </w:rPr>
        <w:t xml:space="preserve">drošības naudu 70 EUR (septiņdesmit </w:t>
      </w:r>
      <w:r w:rsidRPr="00CC021F">
        <w:rPr>
          <w:rFonts w:ascii="Times New Roman" w:hAnsi="Times New Roman"/>
          <w:i/>
          <w:szCs w:val="24"/>
          <w:lang w:val="lt-LT"/>
        </w:rPr>
        <w:t>euro</w:t>
      </w:r>
      <w:r w:rsidRPr="00CC021F">
        <w:rPr>
          <w:rFonts w:ascii="Times New Roman" w:hAnsi="Times New Roman"/>
          <w:szCs w:val="24"/>
          <w:lang w:val="lt-LT"/>
        </w:rPr>
        <w:t>).</w:t>
      </w:r>
    </w:p>
    <w:p w14:paraId="45251DA6" w14:textId="400530BA" w:rsidR="004F1AA7" w:rsidRPr="009F7D0A" w:rsidRDefault="00940216" w:rsidP="00B85673">
      <w:pPr>
        <w:pStyle w:val="NoSpacing"/>
        <w:spacing w:line="276" w:lineRule="auto"/>
        <w:ind w:firstLine="567"/>
        <w:jc w:val="both"/>
        <w:rPr>
          <w:rFonts w:ascii="Times New Roman" w:eastAsiaTheme="minorHAnsi" w:hAnsi="Times New Roman"/>
          <w:szCs w:val="24"/>
          <w:lang w:val="lt-LT" w:eastAsia="en-US"/>
        </w:rPr>
      </w:pPr>
      <w:r w:rsidRPr="00CC021F">
        <w:rPr>
          <w:rFonts w:ascii="Times New Roman" w:eastAsiaTheme="minorHAnsi" w:hAnsi="Times New Roman"/>
          <w:szCs w:val="24"/>
          <w:lang w:val="lt-LT" w:eastAsia="en-US"/>
        </w:rPr>
        <w:t>Lēmums nav pārsūdzams.</w:t>
      </w:r>
    </w:p>
    <w:sectPr w:rsidR="004F1AA7" w:rsidRPr="009F7D0A" w:rsidSect="009F7D0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E19B" w14:textId="77777777" w:rsidR="00D06D31" w:rsidRDefault="00D06D31" w:rsidP="00EE2453">
      <w:pPr>
        <w:spacing w:after="0" w:line="240" w:lineRule="auto"/>
      </w:pPr>
      <w:r>
        <w:separator/>
      </w:r>
    </w:p>
  </w:endnote>
  <w:endnote w:type="continuationSeparator" w:id="0">
    <w:p w14:paraId="34D194B0" w14:textId="77777777" w:rsidR="00D06D31" w:rsidRDefault="00D06D31" w:rsidP="00EE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7194" w14:textId="558812C2" w:rsidR="00610AC6" w:rsidRPr="00B22968" w:rsidRDefault="00610AC6">
    <w:pPr>
      <w:pStyle w:val="Footer"/>
      <w:jc w:val="center"/>
      <w:rPr>
        <w:rFonts w:ascii="Times New Roman" w:hAnsi="Times New Roman" w:cs="Times New Roman"/>
        <w:sz w:val="24"/>
        <w:szCs w:val="24"/>
      </w:rPr>
    </w:pPr>
    <w:r w:rsidRPr="00B22968">
      <w:rPr>
        <w:rFonts w:ascii="Times New Roman" w:hAnsi="Times New Roman" w:cs="Times New Roman"/>
        <w:sz w:val="24"/>
        <w:szCs w:val="24"/>
      </w:rPr>
      <w:fldChar w:fldCharType="begin"/>
    </w:r>
    <w:r w:rsidRPr="00B22968">
      <w:rPr>
        <w:rFonts w:ascii="Times New Roman" w:hAnsi="Times New Roman" w:cs="Times New Roman"/>
        <w:sz w:val="24"/>
        <w:szCs w:val="24"/>
      </w:rPr>
      <w:instrText xml:space="preserve"> PAGE  \* Arabic  \* MERGEFORMAT </w:instrText>
    </w:r>
    <w:r w:rsidRPr="00B22968">
      <w:rPr>
        <w:rFonts w:ascii="Times New Roman" w:hAnsi="Times New Roman" w:cs="Times New Roman"/>
        <w:sz w:val="24"/>
        <w:szCs w:val="24"/>
      </w:rPr>
      <w:fldChar w:fldCharType="separate"/>
    </w:r>
    <w:r w:rsidR="001D6147">
      <w:rPr>
        <w:rFonts w:ascii="Times New Roman" w:hAnsi="Times New Roman" w:cs="Times New Roman"/>
        <w:noProof/>
        <w:sz w:val="24"/>
        <w:szCs w:val="24"/>
      </w:rPr>
      <w:t>7</w:t>
    </w:r>
    <w:r w:rsidRPr="00B22968">
      <w:rPr>
        <w:rFonts w:ascii="Times New Roman" w:hAnsi="Times New Roman" w:cs="Times New Roman"/>
        <w:sz w:val="24"/>
        <w:szCs w:val="24"/>
      </w:rPr>
      <w:fldChar w:fldCharType="end"/>
    </w:r>
    <w:r>
      <w:rPr>
        <w:rFonts w:ascii="Times New Roman" w:hAnsi="Times New Roman" w:cs="Times New Roman"/>
        <w:sz w:val="24"/>
        <w:szCs w:val="24"/>
      </w:rPr>
      <w:t xml:space="preserve"> no</w:t>
    </w:r>
    <w:r w:rsidRPr="00B22968">
      <w:rPr>
        <w:rFonts w:ascii="Times New Roman" w:hAnsi="Times New Roman" w:cs="Times New Roman"/>
        <w:sz w:val="24"/>
        <w:szCs w:val="24"/>
      </w:rPr>
      <w:t xml:space="preserve"> </w:t>
    </w:r>
    <w:r w:rsidRPr="00B22968">
      <w:rPr>
        <w:rFonts w:ascii="Times New Roman" w:hAnsi="Times New Roman" w:cs="Times New Roman"/>
        <w:sz w:val="24"/>
        <w:szCs w:val="24"/>
      </w:rPr>
      <w:fldChar w:fldCharType="begin"/>
    </w:r>
    <w:r w:rsidRPr="00B22968">
      <w:rPr>
        <w:rFonts w:ascii="Times New Roman" w:hAnsi="Times New Roman" w:cs="Times New Roman"/>
        <w:sz w:val="24"/>
        <w:szCs w:val="24"/>
      </w:rPr>
      <w:instrText xml:space="preserve"> NUMPAGES  \* Arabic  \* MERGEFORMAT </w:instrText>
    </w:r>
    <w:r w:rsidRPr="00B22968">
      <w:rPr>
        <w:rFonts w:ascii="Times New Roman" w:hAnsi="Times New Roman" w:cs="Times New Roman"/>
        <w:sz w:val="24"/>
        <w:szCs w:val="24"/>
      </w:rPr>
      <w:fldChar w:fldCharType="separate"/>
    </w:r>
    <w:r w:rsidR="001D6147">
      <w:rPr>
        <w:rFonts w:ascii="Times New Roman" w:hAnsi="Times New Roman" w:cs="Times New Roman"/>
        <w:noProof/>
        <w:sz w:val="24"/>
        <w:szCs w:val="24"/>
      </w:rPr>
      <w:t>7</w:t>
    </w:r>
    <w:r w:rsidRPr="00B22968">
      <w:rPr>
        <w:rFonts w:ascii="Times New Roman" w:hAnsi="Times New Roman" w:cs="Times New Roman"/>
        <w:sz w:val="24"/>
        <w:szCs w:val="24"/>
      </w:rPr>
      <w:fldChar w:fldCharType="end"/>
    </w:r>
  </w:p>
  <w:p w14:paraId="0BC3CB7C" w14:textId="77777777" w:rsidR="00610AC6" w:rsidRDefault="0061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68D7" w14:textId="77777777" w:rsidR="00D06D31" w:rsidRDefault="00D06D31" w:rsidP="00EE2453">
      <w:pPr>
        <w:spacing w:after="0" w:line="240" w:lineRule="auto"/>
      </w:pPr>
      <w:r>
        <w:separator/>
      </w:r>
    </w:p>
  </w:footnote>
  <w:footnote w:type="continuationSeparator" w:id="0">
    <w:p w14:paraId="30055DA8" w14:textId="77777777" w:rsidR="00D06D31" w:rsidRDefault="00D06D31" w:rsidP="00EE2453">
      <w:pPr>
        <w:spacing w:after="0" w:line="240" w:lineRule="auto"/>
      </w:pPr>
      <w:r>
        <w:continuationSeparator/>
      </w:r>
    </w:p>
  </w:footnote>
  <w:footnote w:id="1">
    <w:p w14:paraId="31068A30" w14:textId="77777777" w:rsidR="009F7D0A" w:rsidRDefault="009F7D0A" w:rsidP="009F7D0A">
      <w:pPr>
        <w:pStyle w:val="FootnoteText"/>
      </w:pPr>
      <w:r>
        <w:rPr>
          <w:rStyle w:val="FootnoteReference"/>
        </w:rPr>
        <w:footnoteRef/>
      </w:r>
      <w:r>
        <w:t xml:space="preserve"> Slēgtas lietas statuss.</w:t>
      </w:r>
    </w:p>
    <w:p w14:paraId="62F01A05" w14:textId="77777777" w:rsidR="009F7D0A" w:rsidRPr="00D37246" w:rsidRDefault="009F7D0A" w:rsidP="009F7D0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53"/>
    <w:rsid w:val="0000556B"/>
    <w:rsid w:val="0000771B"/>
    <w:rsid w:val="0002281E"/>
    <w:rsid w:val="00034CCD"/>
    <w:rsid w:val="0003766C"/>
    <w:rsid w:val="00041D1C"/>
    <w:rsid w:val="00063344"/>
    <w:rsid w:val="00064244"/>
    <w:rsid w:val="00070449"/>
    <w:rsid w:val="00074285"/>
    <w:rsid w:val="00074E73"/>
    <w:rsid w:val="00074EB7"/>
    <w:rsid w:val="00076B84"/>
    <w:rsid w:val="00076C6E"/>
    <w:rsid w:val="0008119F"/>
    <w:rsid w:val="00085298"/>
    <w:rsid w:val="0008722C"/>
    <w:rsid w:val="0009751B"/>
    <w:rsid w:val="0009782E"/>
    <w:rsid w:val="000A451E"/>
    <w:rsid w:val="000A634B"/>
    <w:rsid w:val="000A6C23"/>
    <w:rsid w:val="000C46A7"/>
    <w:rsid w:val="000C7285"/>
    <w:rsid w:val="000D6045"/>
    <w:rsid w:val="000E2BF6"/>
    <w:rsid w:val="000E6F34"/>
    <w:rsid w:val="000F5B62"/>
    <w:rsid w:val="0010422D"/>
    <w:rsid w:val="001055D4"/>
    <w:rsid w:val="00124E25"/>
    <w:rsid w:val="00154404"/>
    <w:rsid w:val="00154BA8"/>
    <w:rsid w:val="00154CBA"/>
    <w:rsid w:val="00154D29"/>
    <w:rsid w:val="00156C96"/>
    <w:rsid w:val="0017151E"/>
    <w:rsid w:val="00191123"/>
    <w:rsid w:val="0019309C"/>
    <w:rsid w:val="00194667"/>
    <w:rsid w:val="00195CA7"/>
    <w:rsid w:val="001A04A4"/>
    <w:rsid w:val="001A231F"/>
    <w:rsid w:val="001A3069"/>
    <w:rsid w:val="001A56D4"/>
    <w:rsid w:val="001A5741"/>
    <w:rsid w:val="001B4437"/>
    <w:rsid w:val="001C66A1"/>
    <w:rsid w:val="001D5F71"/>
    <w:rsid w:val="001D6147"/>
    <w:rsid w:val="001F7D45"/>
    <w:rsid w:val="00203BC2"/>
    <w:rsid w:val="00205C40"/>
    <w:rsid w:val="00206C79"/>
    <w:rsid w:val="00207174"/>
    <w:rsid w:val="002144E8"/>
    <w:rsid w:val="0021504B"/>
    <w:rsid w:val="00226FF7"/>
    <w:rsid w:val="002311EA"/>
    <w:rsid w:val="00234662"/>
    <w:rsid w:val="002479BA"/>
    <w:rsid w:val="00252524"/>
    <w:rsid w:val="002551CD"/>
    <w:rsid w:val="0026329E"/>
    <w:rsid w:val="00267D9B"/>
    <w:rsid w:val="00271CDD"/>
    <w:rsid w:val="00276EBA"/>
    <w:rsid w:val="002815F6"/>
    <w:rsid w:val="00286289"/>
    <w:rsid w:val="00290AB6"/>
    <w:rsid w:val="002A47B3"/>
    <w:rsid w:val="002A5D54"/>
    <w:rsid w:val="002D1BCA"/>
    <w:rsid w:val="002D245C"/>
    <w:rsid w:val="002D67A2"/>
    <w:rsid w:val="002E279C"/>
    <w:rsid w:val="002E7055"/>
    <w:rsid w:val="002F6448"/>
    <w:rsid w:val="00301B17"/>
    <w:rsid w:val="0030316C"/>
    <w:rsid w:val="0030442C"/>
    <w:rsid w:val="003078C8"/>
    <w:rsid w:val="00307EB5"/>
    <w:rsid w:val="00310554"/>
    <w:rsid w:val="00310D61"/>
    <w:rsid w:val="003221FF"/>
    <w:rsid w:val="00330AEE"/>
    <w:rsid w:val="003326B5"/>
    <w:rsid w:val="00332FF5"/>
    <w:rsid w:val="003408C8"/>
    <w:rsid w:val="00341387"/>
    <w:rsid w:val="00357A43"/>
    <w:rsid w:val="00363A03"/>
    <w:rsid w:val="00370E4D"/>
    <w:rsid w:val="003717D2"/>
    <w:rsid w:val="00371C96"/>
    <w:rsid w:val="003834C3"/>
    <w:rsid w:val="003A29A6"/>
    <w:rsid w:val="003A542C"/>
    <w:rsid w:val="003A5A98"/>
    <w:rsid w:val="003B1AF6"/>
    <w:rsid w:val="003B1F39"/>
    <w:rsid w:val="003B522D"/>
    <w:rsid w:val="003C02F9"/>
    <w:rsid w:val="003C5B48"/>
    <w:rsid w:val="003D579A"/>
    <w:rsid w:val="003E0A6C"/>
    <w:rsid w:val="003E6576"/>
    <w:rsid w:val="003E779F"/>
    <w:rsid w:val="003F1BD4"/>
    <w:rsid w:val="00401872"/>
    <w:rsid w:val="004049C0"/>
    <w:rsid w:val="00404E02"/>
    <w:rsid w:val="0041445A"/>
    <w:rsid w:val="004154DD"/>
    <w:rsid w:val="00423975"/>
    <w:rsid w:val="00423996"/>
    <w:rsid w:val="00425286"/>
    <w:rsid w:val="004254F7"/>
    <w:rsid w:val="00445684"/>
    <w:rsid w:val="004502E8"/>
    <w:rsid w:val="0045409E"/>
    <w:rsid w:val="00455BA6"/>
    <w:rsid w:val="00470A43"/>
    <w:rsid w:val="0047619C"/>
    <w:rsid w:val="00481FD3"/>
    <w:rsid w:val="004944E5"/>
    <w:rsid w:val="004974B1"/>
    <w:rsid w:val="004B1DE7"/>
    <w:rsid w:val="004B30AB"/>
    <w:rsid w:val="004B78A1"/>
    <w:rsid w:val="004F1AA7"/>
    <w:rsid w:val="004F7B78"/>
    <w:rsid w:val="00504F95"/>
    <w:rsid w:val="00514066"/>
    <w:rsid w:val="0051723C"/>
    <w:rsid w:val="00517D09"/>
    <w:rsid w:val="00531D48"/>
    <w:rsid w:val="00531F34"/>
    <w:rsid w:val="00535496"/>
    <w:rsid w:val="005445F0"/>
    <w:rsid w:val="00551C0A"/>
    <w:rsid w:val="00571937"/>
    <w:rsid w:val="00580B1E"/>
    <w:rsid w:val="00580D4F"/>
    <w:rsid w:val="00581F96"/>
    <w:rsid w:val="0058339E"/>
    <w:rsid w:val="005933F5"/>
    <w:rsid w:val="005A20EC"/>
    <w:rsid w:val="005A37F3"/>
    <w:rsid w:val="005A4098"/>
    <w:rsid w:val="006073E0"/>
    <w:rsid w:val="0061011E"/>
    <w:rsid w:val="006104FB"/>
    <w:rsid w:val="00610AC6"/>
    <w:rsid w:val="00621517"/>
    <w:rsid w:val="00623583"/>
    <w:rsid w:val="00623F45"/>
    <w:rsid w:val="006321DF"/>
    <w:rsid w:val="00637FAC"/>
    <w:rsid w:val="006608BC"/>
    <w:rsid w:val="00663881"/>
    <w:rsid w:val="006727B2"/>
    <w:rsid w:val="00675CDC"/>
    <w:rsid w:val="0067607E"/>
    <w:rsid w:val="006770AF"/>
    <w:rsid w:val="00686D3F"/>
    <w:rsid w:val="00696DA2"/>
    <w:rsid w:val="00697B8F"/>
    <w:rsid w:val="006A7250"/>
    <w:rsid w:val="006B3555"/>
    <w:rsid w:val="006B7C59"/>
    <w:rsid w:val="006C4C41"/>
    <w:rsid w:val="006D2FDF"/>
    <w:rsid w:val="006D3114"/>
    <w:rsid w:val="006E3ED5"/>
    <w:rsid w:val="006E58FE"/>
    <w:rsid w:val="007202E2"/>
    <w:rsid w:val="00721BD1"/>
    <w:rsid w:val="00721F68"/>
    <w:rsid w:val="007273B2"/>
    <w:rsid w:val="00734E29"/>
    <w:rsid w:val="00740C91"/>
    <w:rsid w:val="00761D38"/>
    <w:rsid w:val="0076525C"/>
    <w:rsid w:val="00767D05"/>
    <w:rsid w:val="007732D0"/>
    <w:rsid w:val="007733BC"/>
    <w:rsid w:val="00777890"/>
    <w:rsid w:val="00790EB0"/>
    <w:rsid w:val="00793C2C"/>
    <w:rsid w:val="00794306"/>
    <w:rsid w:val="00797D5D"/>
    <w:rsid w:val="007A1688"/>
    <w:rsid w:val="007B4D45"/>
    <w:rsid w:val="007B4ED4"/>
    <w:rsid w:val="007C2994"/>
    <w:rsid w:val="007C30D5"/>
    <w:rsid w:val="007D349C"/>
    <w:rsid w:val="007E4A2D"/>
    <w:rsid w:val="007E4B5D"/>
    <w:rsid w:val="007F3DC2"/>
    <w:rsid w:val="007F54C6"/>
    <w:rsid w:val="007F5CC6"/>
    <w:rsid w:val="007F6BFA"/>
    <w:rsid w:val="00803849"/>
    <w:rsid w:val="00807A90"/>
    <w:rsid w:val="00807D2C"/>
    <w:rsid w:val="008129CA"/>
    <w:rsid w:val="00822681"/>
    <w:rsid w:val="0082791B"/>
    <w:rsid w:val="0084551F"/>
    <w:rsid w:val="00850562"/>
    <w:rsid w:val="00857F0A"/>
    <w:rsid w:val="00860776"/>
    <w:rsid w:val="00866078"/>
    <w:rsid w:val="00870828"/>
    <w:rsid w:val="00872532"/>
    <w:rsid w:val="008820A5"/>
    <w:rsid w:val="0088652C"/>
    <w:rsid w:val="00890459"/>
    <w:rsid w:val="008919D1"/>
    <w:rsid w:val="008949B0"/>
    <w:rsid w:val="00895C5A"/>
    <w:rsid w:val="008A60C4"/>
    <w:rsid w:val="008A6C29"/>
    <w:rsid w:val="008B010D"/>
    <w:rsid w:val="008B2FB6"/>
    <w:rsid w:val="008D10C2"/>
    <w:rsid w:val="008D216B"/>
    <w:rsid w:val="008D2D98"/>
    <w:rsid w:val="008D61A5"/>
    <w:rsid w:val="008E3230"/>
    <w:rsid w:val="008F6C99"/>
    <w:rsid w:val="0090010D"/>
    <w:rsid w:val="00900176"/>
    <w:rsid w:val="00900474"/>
    <w:rsid w:val="00900652"/>
    <w:rsid w:val="00911568"/>
    <w:rsid w:val="0092041F"/>
    <w:rsid w:val="00921637"/>
    <w:rsid w:val="00922ECB"/>
    <w:rsid w:val="009263C0"/>
    <w:rsid w:val="00934993"/>
    <w:rsid w:val="00934A00"/>
    <w:rsid w:val="00940216"/>
    <w:rsid w:val="00941F06"/>
    <w:rsid w:val="009447C6"/>
    <w:rsid w:val="00945965"/>
    <w:rsid w:val="00954FEF"/>
    <w:rsid w:val="00955D2C"/>
    <w:rsid w:val="00960944"/>
    <w:rsid w:val="00961603"/>
    <w:rsid w:val="009637AA"/>
    <w:rsid w:val="00964E00"/>
    <w:rsid w:val="00971C54"/>
    <w:rsid w:val="00973E8C"/>
    <w:rsid w:val="009861A4"/>
    <w:rsid w:val="0099100B"/>
    <w:rsid w:val="00991C37"/>
    <w:rsid w:val="00997084"/>
    <w:rsid w:val="009A251C"/>
    <w:rsid w:val="009A4D0A"/>
    <w:rsid w:val="009A5357"/>
    <w:rsid w:val="009A7676"/>
    <w:rsid w:val="009B0811"/>
    <w:rsid w:val="009B1667"/>
    <w:rsid w:val="009B72A1"/>
    <w:rsid w:val="009C3240"/>
    <w:rsid w:val="009D1CC8"/>
    <w:rsid w:val="009D3C74"/>
    <w:rsid w:val="009D44EB"/>
    <w:rsid w:val="009E2FF2"/>
    <w:rsid w:val="009E3AE7"/>
    <w:rsid w:val="009E6F85"/>
    <w:rsid w:val="009E7E29"/>
    <w:rsid w:val="009F04AB"/>
    <w:rsid w:val="009F0A99"/>
    <w:rsid w:val="009F5296"/>
    <w:rsid w:val="009F6938"/>
    <w:rsid w:val="009F7D0A"/>
    <w:rsid w:val="00A04262"/>
    <w:rsid w:val="00A113F2"/>
    <w:rsid w:val="00A1608C"/>
    <w:rsid w:val="00A273E8"/>
    <w:rsid w:val="00A40B6B"/>
    <w:rsid w:val="00A466BA"/>
    <w:rsid w:val="00A50A43"/>
    <w:rsid w:val="00A5664F"/>
    <w:rsid w:val="00A60B9A"/>
    <w:rsid w:val="00A61D34"/>
    <w:rsid w:val="00A6654B"/>
    <w:rsid w:val="00A718F4"/>
    <w:rsid w:val="00A744FC"/>
    <w:rsid w:val="00A93626"/>
    <w:rsid w:val="00A965CE"/>
    <w:rsid w:val="00AA06ED"/>
    <w:rsid w:val="00AB14A8"/>
    <w:rsid w:val="00AB4EE1"/>
    <w:rsid w:val="00AB742A"/>
    <w:rsid w:val="00AC01F9"/>
    <w:rsid w:val="00AC2045"/>
    <w:rsid w:val="00AC2816"/>
    <w:rsid w:val="00AF73E0"/>
    <w:rsid w:val="00B006DB"/>
    <w:rsid w:val="00B027C8"/>
    <w:rsid w:val="00B103DF"/>
    <w:rsid w:val="00B121A5"/>
    <w:rsid w:val="00B16608"/>
    <w:rsid w:val="00B21160"/>
    <w:rsid w:val="00B22968"/>
    <w:rsid w:val="00B2579F"/>
    <w:rsid w:val="00B30AB8"/>
    <w:rsid w:val="00B41DFB"/>
    <w:rsid w:val="00B47FE8"/>
    <w:rsid w:val="00B55C6C"/>
    <w:rsid w:val="00B64F0E"/>
    <w:rsid w:val="00B82764"/>
    <w:rsid w:val="00B85673"/>
    <w:rsid w:val="00B85D08"/>
    <w:rsid w:val="00B95C75"/>
    <w:rsid w:val="00BA6957"/>
    <w:rsid w:val="00BC04AD"/>
    <w:rsid w:val="00BC4A19"/>
    <w:rsid w:val="00BE43A8"/>
    <w:rsid w:val="00BE4508"/>
    <w:rsid w:val="00C06D31"/>
    <w:rsid w:val="00C11B2B"/>
    <w:rsid w:val="00C243F1"/>
    <w:rsid w:val="00C24759"/>
    <w:rsid w:val="00C339AD"/>
    <w:rsid w:val="00C37530"/>
    <w:rsid w:val="00C40D11"/>
    <w:rsid w:val="00C475A8"/>
    <w:rsid w:val="00C50E9B"/>
    <w:rsid w:val="00C556F5"/>
    <w:rsid w:val="00C5776E"/>
    <w:rsid w:val="00C65B06"/>
    <w:rsid w:val="00C72849"/>
    <w:rsid w:val="00C742A7"/>
    <w:rsid w:val="00C75D95"/>
    <w:rsid w:val="00C91041"/>
    <w:rsid w:val="00C91D00"/>
    <w:rsid w:val="00C9364B"/>
    <w:rsid w:val="00CA1EF2"/>
    <w:rsid w:val="00CA6D6B"/>
    <w:rsid w:val="00CB6EC3"/>
    <w:rsid w:val="00CC021F"/>
    <w:rsid w:val="00CD1290"/>
    <w:rsid w:val="00CD1B67"/>
    <w:rsid w:val="00CD4AD4"/>
    <w:rsid w:val="00CE1550"/>
    <w:rsid w:val="00CF2056"/>
    <w:rsid w:val="00D0396D"/>
    <w:rsid w:val="00D06D31"/>
    <w:rsid w:val="00D14C49"/>
    <w:rsid w:val="00D14F2C"/>
    <w:rsid w:val="00D15BC0"/>
    <w:rsid w:val="00D16C73"/>
    <w:rsid w:val="00D2505F"/>
    <w:rsid w:val="00D25705"/>
    <w:rsid w:val="00D25F0F"/>
    <w:rsid w:val="00D4160F"/>
    <w:rsid w:val="00D45BA5"/>
    <w:rsid w:val="00D463E0"/>
    <w:rsid w:val="00D651E2"/>
    <w:rsid w:val="00D65B90"/>
    <w:rsid w:val="00D76CC2"/>
    <w:rsid w:val="00D7791E"/>
    <w:rsid w:val="00D80B6C"/>
    <w:rsid w:val="00D81384"/>
    <w:rsid w:val="00D82733"/>
    <w:rsid w:val="00D9291B"/>
    <w:rsid w:val="00D970D3"/>
    <w:rsid w:val="00DB4207"/>
    <w:rsid w:val="00DC0A4B"/>
    <w:rsid w:val="00DD23C0"/>
    <w:rsid w:val="00DE5727"/>
    <w:rsid w:val="00DF0C77"/>
    <w:rsid w:val="00DF22CF"/>
    <w:rsid w:val="00E15D4B"/>
    <w:rsid w:val="00E204F9"/>
    <w:rsid w:val="00E243AD"/>
    <w:rsid w:val="00E5147B"/>
    <w:rsid w:val="00E60312"/>
    <w:rsid w:val="00E75264"/>
    <w:rsid w:val="00E854AB"/>
    <w:rsid w:val="00E93D30"/>
    <w:rsid w:val="00EA25BB"/>
    <w:rsid w:val="00EC1B38"/>
    <w:rsid w:val="00EC3301"/>
    <w:rsid w:val="00EC34CE"/>
    <w:rsid w:val="00EC53CF"/>
    <w:rsid w:val="00ED4305"/>
    <w:rsid w:val="00EE2453"/>
    <w:rsid w:val="00EE73C1"/>
    <w:rsid w:val="00EF2861"/>
    <w:rsid w:val="00F0102E"/>
    <w:rsid w:val="00F033A7"/>
    <w:rsid w:val="00F10447"/>
    <w:rsid w:val="00F12165"/>
    <w:rsid w:val="00F154B1"/>
    <w:rsid w:val="00F213B9"/>
    <w:rsid w:val="00F26749"/>
    <w:rsid w:val="00F34226"/>
    <w:rsid w:val="00F41D9B"/>
    <w:rsid w:val="00F45135"/>
    <w:rsid w:val="00F51F72"/>
    <w:rsid w:val="00F52CC9"/>
    <w:rsid w:val="00F530A9"/>
    <w:rsid w:val="00F63CA5"/>
    <w:rsid w:val="00F70338"/>
    <w:rsid w:val="00F74DEC"/>
    <w:rsid w:val="00F8197B"/>
    <w:rsid w:val="00F86ECD"/>
    <w:rsid w:val="00F92439"/>
    <w:rsid w:val="00F96205"/>
    <w:rsid w:val="00FA73BA"/>
    <w:rsid w:val="00FB3395"/>
    <w:rsid w:val="00FC4035"/>
    <w:rsid w:val="00FD0370"/>
    <w:rsid w:val="00FD12BB"/>
    <w:rsid w:val="00FD18D2"/>
    <w:rsid w:val="00FD6271"/>
    <w:rsid w:val="00FE614B"/>
    <w:rsid w:val="00FF398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453"/>
    <w:pPr>
      <w:spacing w:after="0" w:line="240" w:lineRule="auto"/>
    </w:pPr>
    <w:rPr>
      <w:rFonts w:ascii="Arial Narrow" w:eastAsia="Times New Roman" w:hAnsi="Arial Narrow" w:cs="Times New Roman"/>
      <w:sz w:val="24"/>
      <w:szCs w:val="20"/>
      <w:lang w:eastAsia="lv-LV"/>
    </w:rPr>
  </w:style>
  <w:style w:type="character" w:styleId="SubtleEmphasis">
    <w:name w:val="Subtle Emphasis"/>
    <w:basedOn w:val="DefaultParagraphFont"/>
    <w:uiPriority w:val="19"/>
    <w:qFormat/>
    <w:rsid w:val="00EE2453"/>
    <w:rPr>
      <w:i/>
      <w:iCs/>
      <w:color w:val="404040" w:themeColor="text1" w:themeTint="BF"/>
    </w:rPr>
  </w:style>
  <w:style w:type="paragraph" w:styleId="Header">
    <w:name w:val="header"/>
    <w:basedOn w:val="Normal"/>
    <w:link w:val="HeaderChar"/>
    <w:uiPriority w:val="99"/>
    <w:unhideWhenUsed/>
    <w:rsid w:val="00EE24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2453"/>
  </w:style>
  <w:style w:type="paragraph" w:styleId="Footer">
    <w:name w:val="footer"/>
    <w:basedOn w:val="Normal"/>
    <w:link w:val="FooterChar"/>
    <w:uiPriority w:val="99"/>
    <w:unhideWhenUsed/>
    <w:rsid w:val="00EE24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2453"/>
  </w:style>
  <w:style w:type="paragraph" w:styleId="BalloonText">
    <w:name w:val="Balloon Text"/>
    <w:basedOn w:val="Normal"/>
    <w:link w:val="BalloonTextChar"/>
    <w:uiPriority w:val="99"/>
    <w:semiHidden/>
    <w:unhideWhenUsed/>
    <w:rsid w:val="00F96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05"/>
    <w:rPr>
      <w:rFonts w:ascii="Segoe UI" w:hAnsi="Segoe UI" w:cs="Segoe UI"/>
      <w:sz w:val="18"/>
      <w:szCs w:val="18"/>
    </w:rPr>
  </w:style>
  <w:style w:type="character" w:styleId="Hyperlink">
    <w:name w:val="Hyperlink"/>
    <w:basedOn w:val="DefaultParagraphFont"/>
    <w:uiPriority w:val="99"/>
    <w:unhideWhenUsed/>
    <w:rsid w:val="0002281E"/>
    <w:rPr>
      <w:color w:val="0000FF"/>
      <w:u w:val="single"/>
    </w:rPr>
  </w:style>
  <w:style w:type="paragraph" w:customStyle="1" w:styleId="Default">
    <w:name w:val="Default"/>
    <w:rsid w:val="007D34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qFormat/>
    <w:rsid w:val="008D61A5"/>
    <w:pPr>
      <w:autoSpaceDE w:val="0"/>
      <w:autoSpaceDN w:val="0"/>
      <w:adjustRightInd w:val="0"/>
      <w:spacing w:after="0" w:line="276" w:lineRule="auto"/>
      <w:ind w:firstLine="720"/>
      <w:jc w:val="both"/>
    </w:pPr>
    <w:rPr>
      <w:rFonts w:ascii="Times New Roman" w:hAnsi="Times New Roman" w:cs="Times New Roman"/>
      <w:sz w:val="24"/>
      <w:szCs w:val="24"/>
    </w:rPr>
  </w:style>
  <w:style w:type="character" w:customStyle="1" w:styleId="Style1Char">
    <w:name w:val="Style1 Char"/>
    <w:basedOn w:val="DefaultParagraphFont"/>
    <w:link w:val="Style1"/>
    <w:rsid w:val="008D61A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76CC2"/>
    <w:rPr>
      <w:sz w:val="16"/>
      <w:szCs w:val="16"/>
    </w:rPr>
  </w:style>
  <w:style w:type="paragraph" w:styleId="CommentText">
    <w:name w:val="annotation text"/>
    <w:basedOn w:val="Normal"/>
    <w:link w:val="CommentTextChar"/>
    <w:uiPriority w:val="99"/>
    <w:semiHidden/>
    <w:unhideWhenUsed/>
    <w:rsid w:val="00D76CC2"/>
    <w:pPr>
      <w:spacing w:line="240" w:lineRule="auto"/>
    </w:pPr>
    <w:rPr>
      <w:sz w:val="20"/>
      <w:szCs w:val="20"/>
    </w:rPr>
  </w:style>
  <w:style w:type="character" w:customStyle="1" w:styleId="CommentTextChar">
    <w:name w:val="Comment Text Char"/>
    <w:basedOn w:val="DefaultParagraphFont"/>
    <w:link w:val="CommentText"/>
    <w:uiPriority w:val="99"/>
    <w:semiHidden/>
    <w:rsid w:val="00D76CC2"/>
    <w:rPr>
      <w:sz w:val="20"/>
      <w:szCs w:val="20"/>
    </w:rPr>
  </w:style>
  <w:style w:type="paragraph" w:styleId="CommentSubject">
    <w:name w:val="annotation subject"/>
    <w:basedOn w:val="CommentText"/>
    <w:next w:val="CommentText"/>
    <w:link w:val="CommentSubjectChar"/>
    <w:uiPriority w:val="99"/>
    <w:semiHidden/>
    <w:unhideWhenUsed/>
    <w:rsid w:val="00D76CC2"/>
    <w:rPr>
      <w:b/>
      <w:bCs/>
    </w:rPr>
  </w:style>
  <w:style w:type="character" w:customStyle="1" w:styleId="CommentSubjectChar">
    <w:name w:val="Comment Subject Char"/>
    <w:basedOn w:val="CommentTextChar"/>
    <w:link w:val="CommentSubject"/>
    <w:uiPriority w:val="99"/>
    <w:semiHidden/>
    <w:rsid w:val="00D76CC2"/>
    <w:rPr>
      <w:b/>
      <w:bCs/>
      <w:sz w:val="20"/>
      <w:szCs w:val="20"/>
    </w:rPr>
  </w:style>
  <w:style w:type="paragraph" w:customStyle="1" w:styleId="tv213">
    <w:name w:val="tv213"/>
    <w:basedOn w:val="Normal"/>
    <w:rsid w:val="00206C7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B006DB"/>
    <w:pPr>
      <w:spacing w:after="0" w:line="240" w:lineRule="auto"/>
    </w:pPr>
    <w:rPr>
      <w:sz w:val="20"/>
      <w:szCs w:val="20"/>
    </w:rPr>
  </w:style>
  <w:style w:type="character" w:customStyle="1" w:styleId="FootnoteTextChar">
    <w:name w:val="Footnote Text Char"/>
    <w:basedOn w:val="DefaultParagraphFont"/>
    <w:link w:val="FootnoteText"/>
    <w:uiPriority w:val="99"/>
    <w:rsid w:val="00B006DB"/>
    <w:rPr>
      <w:sz w:val="20"/>
      <w:szCs w:val="20"/>
    </w:rPr>
  </w:style>
  <w:style w:type="character" w:styleId="FootnoteReference">
    <w:name w:val="footnote reference"/>
    <w:basedOn w:val="DefaultParagraphFont"/>
    <w:unhideWhenUsed/>
    <w:rsid w:val="00B006DB"/>
    <w:rPr>
      <w:vertAlign w:val="superscript"/>
    </w:rPr>
  </w:style>
  <w:style w:type="character" w:customStyle="1" w:styleId="UnresolvedMention1">
    <w:name w:val="Unresolved Mention1"/>
    <w:basedOn w:val="DefaultParagraphFont"/>
    <w:uiPriority w:val="99"/>
    <w:semiHidden/>
    <w:unhideWhenUsed/>
    <w:rsid w:val="006D3114"/>
    <w:rPr>
      <w:color w:val="605E5C"/>
      <w:shd w:val="clear" w:color="auto" w:fill="E1DFDD"/>
    </w:rPr>
  </w:style>
  <w:style w:type="character" w:styleId="FollowedHyperlink">
    <w:name w:val="FollowedHyperlink"/>
    <w:basedOn w:val="DefaultParagraphFont"/>
    <w:uiPriority w:val="99"/>
    <w:semiHidden/>
    <w:unhideWhenUsed/>
    <w:rsid w:val="00623583"/>
    <w:rPr>
      <w:color w:val="954F72" w:themeColor="followedHyperlink"/>
      <w:u w:val="single"/>
    </w:rPr>
  </w:style>
  <w:style w:type="paragraph" w:styleId="Revision">
    <w:name w:val="Revision"/>
    <w:hidden/>
    <w:uiPriority w:val="99"/>
    <w:semiHidden/>
    <w:rsid w:val="00CA6D6B"/>
    <w:pPr>
      <w:spacing w:after="0" w:line="240" w:lineRule="auto"/>
    </w:pPr>
  </w:style>
  <w:style w:type="character" w:customStyle="1" w:styleId="CommentTextChar1">
    <w:name w:val="Comment Text Char1"/>
    <w:basedOn w:val="DefaultParagraphFont"/>
    <w:uiPriority w:val="99"/>
    <w:semiHidden/>
    <w:rsid w:val="000376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4112">
      <w:bodyDiv w:val="1"/>
      <w:marLeft w:val="0"/>
      <w:marRight w:val="0"/>
      <w:marTop w:val="0"/>
      <w:marBottom w:val="0"/>
      <w:divBdr>
        <w:top w:val="none" w:sz="0" w:space="0" w:color="auto"/>
        <w:left w:val="none" w:sz="0" w:space="0" w:color="auto"/>
        <w:bottom w:val="none" w:sz="0" w:space="0" w:color="auto"/>
        <w:right w:val="none" w:sz="0" w:space="0" w:color="auto"/>
      </w:divBdr>
    </w:div>
    <w:div w:id="165630267">
      <w:bodyDiv w:val="1"/>
      <w:marLeft w:val="0"/>
      <w:marRight w:val="0"/>
      <w:marTop w:val="0"/>
      <w:marBottom w:val="0"/>
      <w:divBdr>
        <w:top w:val="none" w:sz="0" w:space="0" w:color="auto"/>
        <w:left w:val="none" w:sz="0" w:space="0" w:color="auto"/>
        <w:bottom w:val="none" w:sz="0" w:space="0" w:color="auto"/>
        <w:right w:val="none" w:sz="0" w:space="0" w:color="auto"/>
      </w:divBdr>
    </w:div>
    <w:div w:id="469980022">
      <w:bodyDiv w:val="1"/>
      <w:marLeft w:val="0"/>
      <w:marRight w:val="0"/>
      <w:marTop w:val="0"/>
      <w:marBottom w:val="0"/>
      <w:divBdr>
        <w:top w:val="none" w:sz="0" w:space="0" w:color="auto"/>
        <w:left w:val="none" w:sz="0" w:space="0" w:color="auto"/>
        <w:bottom w:val="none" w:sz="0" w:space="0" w:color="auto"/>
        <w:right w:val="none" w:sz="0" w:space="0" w:color="auto"/>
      </w:divBdr>
    </w:div>
    <w:div w:id="723333294">
      <w:bodyDiv w:val="1"/>
      <w:marLeft w:val="0"/>
      <w:marRight w:val="0"/>
      <w:marTop w:val="0"/>
      <w:marBottom w:val="0"/>
      <w:divBdr>
        <w:top w:val="none" w:sz="0" w:space="0" w:color="auto"/>
        <w:left w:val="none" w:sz="0" w:space="0" w:color="auto"/>
        <w:bottom w:val="none" w:sz="0" w:space="0" w:color="auto"/>
        <w:right w:val="none" w:sz="0" w:space="0" w:color="auto"/>
      </w:divBdr>
    </w:div>
    <w:div w:id="941455624">
      <w:bodyDiv w:val="1"/>
      <w:marLeft w:val="0"/>
      <w:marRight w:val="0"/>
      <w:marTop w:val="0"/>
      <w:marBottom w:val="0"/>
      <w:divBdr>
        <w:top w:val="none" w:sz="0" w:space="0" w:color="auto"/>
        <w:left w:val="none" w:sz="0" w:space="0" w:color="auto"/>
        <w:bottom w:val="none" w:sz="0" w:space="0" w:color="auto"/>
        <w:right w:val="none" w:sz="0" w:space="0" w:color="auto"/>
      </w:divBdr>
    </w:div>
    <w:div w:id="1448429307">
      <w:bodyDiv w:val="1"/>
      <w:marLeft w:val="0"/>
      <w:marRight w:val="0"/>
      <w:marTop w:val="0"/>
      <w:marBottom w:val="0"/>
      <w:divBdr>
        <w:top w:val="none" w:sz="0" w:space="0" w:color="auto"/>
        <w:left w:val="none" w:sz="0" w:space="0" w:color="auto"/>
        <w:bottom w:val="none" w:sz="0" w:space="0" w:color="auto"/>
        <w:right w:val="none" w:sz="0" w:space="0" w:color="auto"/>
      </w:divBdr>
      <w:divsChild>
        <w:div w:id="2143961551">
          <w:marLeft w:val="0"/>
          <w:marRight w:val="0"/>
          <w:marTop w:val="0"/>
          <w:marBottom w:val="0"/>
          <w:divBdr>
            <w:top w:val="none" w:sz="0" w:space="0" w:color="auto"/>
            <w:left w:val="none" w:sz="0" w:space="0" w:color="auto"/>
            <w:bottom w:val="none" w:sz="0" w:space="0" w:color="auto"/>
            <w:right w:val="none" w:sz="0" w:space="0" w:color="auto"/>
          </w:divBdr>
        </w:div>
      </w:divsChild>
    </w:div>
    <w:div w:id="1596209969">
      <w:bodyDiv w:val="1"/>
      <w:marLeft w:val="0"/>
      <w:marRight w:val="0"/>
      <w:marTop w:val="0"/>
      <w:marBottom w:val="0"/>
      <w:divBdr>
        <w:top w:val="none" w:sz="0" w:space="0" w:color="auto"/>
        <w:left w:val="none" w:sz="0" w:space="0" w:color="auto"/>
        <w:bottom w:val="none" w:sz="0" w:space="0" w:color="auto"/>
        <w:right w:val="none" w:sz="0" w:space="0" w:color="auto"/>
      </w:divBdr>
    </w:div>
    <w:div w:id="1675840063">
      <w:bodyDiv w:val="1"/>
      <w:marLeft w:val="0"/>
      <w:marRight w:val="0"/>
      <w:marTop w:val="0"/>
      <w:marBottom w:val="0"/>
      <w:divBdr>
        <w:top w:val="none" w:sz="0" w:space="0" w:color="auto"/>
        <w:left w:val="none" w:sz="0" w:space="0" w:color="auto"/>
        <w:bottom w:val="none" w:sz="0" w:space="0" w:color="auto"/>
        <w:right w:val="none" w:sz="0" w:space="0" w:color="auto"/>
      </w:divBdr>
    </w:div>
    <w:div w:id="17052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jaunums/aprit-tris-gadi-kops-tiek-sniegta-juridiska-palidziba-bez-atlidzibas-bernu-nolaupisanas-un-saskarsmes-lietas" TargetMode="External"/><Relationship Id="rId3" Type="http://schemas.openxmlformats.org/officeDocument/2006/relationships/webSettings" Target="webSettings.xml"/><Relationship Id="rId7" Type="http://schemas.openxmlformats.org/officeDocument/2006/relationships/hyperlink" Target="https://assets.hcch.net/docs/a5fb103c-2ceb-4d17-87e3-a7528a0d368c.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27.C29526917.24.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advokatura.lv/sites/default/files/2022-06/Advokata%20lietvedibas%20noteikumi%202018%20argrozijumiem%2008.05.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12943</Words>
  <Characters>7378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2022-09-19T10:04:00Z</dcterms:created>
  <dcterms:modified xsi:type="dcterms:W3CDTF">2022-09-21T12:06:00Z</dcterms:modified>
</cp:coreProperties>
</file>