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12A7B" w14:textId="77777777" w:rsidR="0057780B" w:rsidRPr="0057780B" w:rsidRDefault="0057780B" w:rsidP="00CF359D">
      <w:pPr>
        <w:autoSpaceDE w:val="0"/>
        <w:autoSpaceDN w:val="0"/>
        <w:spacing w:line="276" w:lineRule="auto"/>
        <w:jc w:val="both"/>
        <w:rPr>
          <w:rFonts w:ascii="TimesNewRomanPSMT" w:hAnsi="TimesNewRomanPSMT"/>
          <w:b/>
          <w:bCs/>
          <w:lang w:eastAsia="en-US"/>
        </w:rPr>
      </w:pPr>
      <w:bookmarkStart w:id="0" w:name="_GoBack"/>
      <w:bookmarkEnd w:id="0"/>
      <w:r w:rsidRPr="0057780B">
        <w:rPr>
          <w:rFonts w:ascii="TimesNewRomanPSMT" w:hAnsi="TimesNewRomanPSMT"/>
          <w:b/>
          <w:bCs/>
        </w:rPr>
        <w:t>Skujkoku koksnes iekšdurvju ar kārbām un aplodām klasifikācija muitas nodokļa aprēķinam</w:t>
      </w:r>
    </w:p>
    <w:p w14:paraId="3D07ACB1" w14:textId="77777777" w:rsidR="0057780B" w:rsidRPr="0057780B" w:rsidRDefault="0057780B" w:rsidP="00CF359D">
      <w:pPr>
        <w:autoSpaceDE w:val="0"/>
        <w:autoSpaceDN w:val="0"/>
        <w:spacing w:line="276" w:lineRule="auto"/>
        <w:jc w:val="both"/>
        <w:rPr>
          <w:rFonts w:ascii="TimesNewRomanPSMT" w:hAnsi="TimesNewRomanPSMT"/>
        </w:rPr>
      </w:pPr>
      <w:r w:rsidRPr="0057780B">
        <w:rPr>
          <w:rFonts w:ascii="TimesNewRomanPSMT" w:hAnsi="TimesNewRomanPSMT"/>
        </w:rPr>
        <w:t xml:space="preserve">Ievērojot kombinētās </w:t>
      </w:r>
      <w:r w:rsidRPr="0057780B">
        <w:rPr>
          <w:rFonts w:ascii="TimesNewRomanPSMT" w:hAnsi="TimesNewRomanPSMT"/>
          <w:color w:val="000000"/>
        </w:rPr>
        <w:t>nomenklatūras vispārīgo interpretācijas noteikumu 2.noteikuma „a” punkta pirm</w:t>
      </w:r>
      <w:r w:rsidRPr="0057780B">
        <w:rPr>
          <w:rFonts w:ascii="TimesNewRomanPSMT" w:hAnsi="TimesNewRomanPSMT"/>
        </w:rPr>
        <w:t>o</w:t>
      </w:r>
      <w:r w:rsidRPr="0057780B">
        <w:rPr>
          <w:rFonts w:ascii="TimesNewRomanPSMT" w:hAnsi="TimesNewRomanPSMT"/>
          <w:color w:val="000000"/>
        </w:rPr>
        <w:t xml:space="preserve"> daļ</w:t>
      </w:r>
      <w:r w:rsidRPr="0057780B">
        <w:rPr>
          <w:rFonts w:ascii="TimesNewRomanPSMT" w:hAnsi="TimesNewRomanPSMT"/>
        </w:rPr>
        <w:t xml:space="preserve">u, atsevišķās preces ir klasificējamas kombinētās nomenklatūras apakšpozīcijā 4418 20 „durvis, to aplodas un sliekšņi” arī tad, ja tās nav pilnībā pabeigtas. Proti, minētajā apakšpozīcijā ietilpst arī preces, kas ir aprakstītas kā koka plātnes un līstes, kurām ir profils un dekoratīvā apstrāde, </w:t>
      </w:r>
      <w:r w:rsidRPr="0057780B">
        <w:rPr>
          <w:rFonts w:ascii="TimesNewRomanPS-ItalicMT" w:hAnsi="TimesNewRomanPS-ItalicMT"/>
          <w:iCs/>
        </w:rPr>
        <w:t xml:space="preserve">kas objektīvi liecina par to sagaidāmo izmantošanu </w:t>
      </w:r>
      <w:r w:rsidRPr="0057780B">
        <w:rPr>
          <w:rFonts w:ascii="TimesNewRomanPSMT" w:hAnsi="TimesNewRomanPSMT"/>
        </w:rPr>
        <w:t>durvju rāmju, durvju aplodu un sliekšņu izgatavošanai, pat ja tās ir negatavas vai nepabeigtas, ja vien šīs preces ir tikušas</w:t>
      </w:r>
      <w:proofErr w:type="gramStart"/>
      <w:r w:rsidRPr="0057780B">
        <w:rPr>
          <w:rFonts w:ascii="TimesNewRomanPSMT" w:hAnsi="TimesNewRomanPSMT"/>
        </w:rPr>
        <w:t xml:space="preserve"> tālāk apstrādātas</w:t>
      </w:r>
      <w:proofErr w:type="gramEnd"/>
      <w:r w:rsidRPr="0057780B">
        <w:rPr>
          <w:rFonts w:ascii="TimesNewRomanPSMT" w:hAnsi="TimesNewRomanPSMT"/>
        </w:rPr>
        <w:t xml:space="preserve"> līdz tādai pakāpei, </w:t>
      </w:r>
      <w:r w:rsidRPr="0057780B">
        <w:rPr>
          <w:rFonts w:ascii="TimesNewRomanPS-ItalicMT" w:hAnsi="TimesNewRomanPS-ItalicMT"/>
          <w:iCs/>
        </w:rPr>
        <w:t xml:space="preserve">kas ļauj tās nepārprotami atpazīt kā tādas </w:t>
      </w:r>
      <w:r w:rsidRPr="0057780B">
        <w:rPr>
          <w:rFonts w:ascii="TimesNewRomanPSMT" w:hAnsi="TimesNewRomanPSMT"/>
        </w:rPr>
        <w:t>un ja tādējādi tām piemīt pabeigtas preces pamatīpašības. Tātad arī atsevišķi importēti durvju rāmji, aplodas un sliekšņi neatkarīgi no to skaita un iespējas pilnībā nokomplektēt noteiktu skaitu iekšdurvju var tikt klasificēti apakšpozīcijā 4418 20. Personas importētajām precēm nav jāveido durvju komplekti no rāmjiem, aplodām un sliekšņiem.</w:t>
      </w:r>
    </w:p>
    <w:p w14:paraId="2622170D" w14:textId="7CF33F59" w:rsidR="002D5D31" w:rsidRPr="0057780B" w:rsidRDefault="0057780B" w:rsidP="00CF359D">
      <w:pPr>
        <w:autoSpaceDE w:val="0"/>
        <w:autoSpaceDN w:val="0"/>
        <w:spacing w:line="276" w:lineRule="auto"/>
        <w:jc w:val="both"/>
        <w:rPr>
          <w:rFonts w:ascii="TimesNewRomanPSMT" w:hAnsi="TimesNewRomanPSMT"/>
        </w:rPr>
      </w:pPr>
      <w:r w:rsidRPr="0057780B">
        <w:rPr>
          <w:rFonts w:ascii="TimesNewRomanPSMT" w:hAnsi="TimesNewRomanPSMT"/>
        </w:rPr>
        <w:t>Savukārt, ja nav veiktas tādas apstrādes darbības, kas ļautu uzskatīt, ka šīs preces ir paredzēts izmantot tikai kā durvis, to rāmjus, aplodas un sliekšņus, minētās preces nevar klasificēt apakšpozīcijā 4418 20</w:t>
      </w:r>
      <w:proofErr w:type="gramStart"/>
      <w:r w:rsidRPr="0057780B">
        <w:rPr>
          <w:rFonts w:ascii="TimesNewRomanPSMT" w:hAnsi="TimesNewRomanPSMT"/>
        </w:rPr>
        <w:t xml:space="preserve"> un</w:t>
      </w:r>
      <w:proofErr w:type="gramEnd"/>
      <w:r w:rsidRPr="0057780B">
        <w:rPr>
          <w:rFonts w:ascii="TimesNewRomanPSMT" w:hAnsi="TimesNewRomanPSMT"/>
        </w:rPr>
        <w:t xml:space="preserve"> attiecīgā gadījumā tās ir klasificējamas kombinētās nomenklatūras pozīcijā 4411 un 4412 kā kokšķiedru plātnes, saplāksnis, finierētas plātnes un tamlīdzīgi laminēti koksnes materiāli.</w:t>
      </w:r>
    </w:p>
    <w:p w14:paraId="04DB1FA0" w14:textId="0716F8C0" w:rsidR="002D5D31" w:rsidRPr="00F54AEA" w:rsidRDefault="002D5D31" w:rsidP="00CF359D">
      <w:pPr>
        <w:pStyle w:val="BodyText2"/>
        <w:spacing w:after="0" w:line="276" w:lineRule="auto"/>
      </w:pPr>
    </w:p>
    <w:p w14:paraId="1D641487" w14:textId="1E7BF6E5" w:rsidR="002D5D31" w:rsidRPr="0057780B" w:rsidRDefault="0057780B" w:rsidP="00CF359D">
      <w:pPr>
        <w:spacing w:line="276" w:lineRule="auto"/>
        <w:jc w:val="center"/>
        <w:rPr>
          <w:b/>
        </w:rPr>
      </w:pPr>
      <w:r w:rsidRPr="0057780B">
        <w:rPr>
          <w:b/>
        </w:rPr>
        <w:t>Latvijas Republikas Senāta</w:t>
      </w:r>
    </w:p>
    <w:p w14:paraId="2E0F5D53" w14:textId="686886C4" w:rsidR="0057780B" w:rsidRPr="0057780B" w:rsidRDefault="0057780B" w:rsidP="00CF359D">
      <w:pPr>
        <w:spacing w:line="276" w:lineRule="auto"/>
        <w:jc w:val="center"/>
        <w:rPr>
          <w:b/>
        </w:rPr>
      </w:pPr>
      <w:r w:rsidRPr="0057780B">
        <w:rPr>
          <w:b/>
        </w:rPr>
        <w:t>Administratīvo lietu departamenta</w:t>
      </w:r>
    </w:p>
    <w:p w14:paraId="18008E87" w14:textId="5E363305" w:rsidR="0057780B" w:rsidRPr="0057780B" w:rsidRDefault="0057780B" w:rsidP="00CF359D">
      <w:pPr>
        <w:spacing w:line="276" w:lineRule="auto"/>
        <w:jc w:val="center"/>
        <w:rPr>
          <w:b/>
        </w:rPr>
      </w:pPr>
      <w:proofErr w:type="gramStart"/>
      <w:r w:rsidRPr="0057780B">
        <w:rPr>
          <w:b/>
        </w:rPr>
        <w:t>2022.gada</w:t>
      </w:r>
      <w:proofErr w:type="gramEnd"/>
      <w:r w:rsidRPr="0057780B">
        <w:rPr>
          <w:b/>
        </w:rPr>
        <w:t xml:space="preserve"> 1.jūlija</w:t>
      </w:r>
    </w:p>
    <w:p w14:paraId="23744BEC" w14:textId="530C6922" w:rsidR="002D5D31" w:rsidRPr="0057780B" w:rsidRDefault="008C43BE" w:rsidP="00CF359D">
      <w:pPr>
        <w:spacing w:line="276" w:lineRule="auto"/>
        <w:jc w:val="center"/>
        <w:rPr>
          <w:b/>
        </w:rPr>
      </w:pPr>
      <w:r w:rsidRPr="0057780B">
        <w:rPr>
          <w:b/>
        </w:rPr>
        <w:t>SPRIEDUMS</w:t>
      </w:r>
    </w:p>
    <w:p w14:paraId="0B3B8DDF" w14:textId="77777777" w:rsidR="0057780B" w:rsidRPr="0057780B" w:rsidRDefault="0057780B" w:rsidP="00CF359D">
      <w:pPr>
        <w:spacing w:line="276" w:lineRule="auto"/>
        <w:jc w:val="center"/>
        <w:rPr>
          <w:rFonts w:eastAsiaTheme="minorEastAsia"/>
          <w:b/>
          <w:lang w:eastAsia="en-US"/>
        </w:rPr>
      </w:pPr>
      <w:r w:rsidRPr="0057780B">
        <w:rPr>
          <w:rFonts w:eastAsiaTheme="minorEastAsia"/>
          <w:b/>
          <w:lang w:eastAsia="en-US"/>
        </w:rPr>
        <w:t>Lieta Nr. A420308715, SKA-7/2022</w:t>
      </w:r>
    </w:p>
    <w:p w14:paraId="1AD22754" w14:textId="0BFDBC3D" w:rsidR="0057780B" w:rsidRPr="0057780B" w:rsidRDefault="00AB6C3A" w:rsidP="00CF359D">
      <w:pPr>
        <w:spacing w:line="276" w:lineRule="auto"/>
        <w:jc w:val="center"/>
      </w:pPr>
      <w:hyperlink r:id="rId7" w:history="1">
        <w:r w:rsidR="0057780B" w:rsidRPr="0057780B">
          <w:rPr>
            <w:rStyle w:val="Hyperlink"/>
          </w:rPr>
          <w:t>ECLI:LV:AT:2022:0701.A420308715.7.S</w:t>
        </w:r>
      </w:hyperlink>
      <w:r w:rsidR="0057780B" w:rsidRPr="0057780B">
        <w:t xml:space="preserve"> </w:t>
      </w:r>
    </w:p>
    <w:p w14:paraId="46D5A13C" w14:textId="77777777" w:rsidR="002D5D31" w:rsidRPr="00F54AEA" w:rsidRDefault="002D5D31" w:rsidP="00CF359D">
      <w:pPr>
        <w:spacing w:line="276" w:lineRule="auto"/>
        <w:jc w:val="center"/>
      </w:pPr>
    </w:p>
    <w:p w14:paraId="0C9754F0" w14:textId="77777777" w:rsidR="002D5D31" w:rsidRPr="00F54AEA" w:rsidRDefault="002D5D31" w:rsidP="00CF359D">
      <w:pPr>
        <w:spacing w:line="276" w:lineRule="auto"/>
        <w:ind w:firstLine="567"/>
        <w:jc w:val="both"/>
      </w:pPr>
      <w:r w:rsidRPr="00F54AEA">
        <w:t xml:space="preserve">Tiesa šādā sastāvā: senatori </w:t>
      </w:r>
      <w:r w:rsidR="00527B38" w:rsidRPr="00F54AEA">
        <w:t>Rudīte Vīduša</w:t>
      </w:r>
      <w:r w:rsidRPr="00F54AEA">
        <w:t xml:space="preserve">, </w:t>
      </w:r>
      <w:r w:rsidR="00527B38" w:rsidRPr="00F54AEA">
        <w:t xml:space="preserve">Dzintra Amerika, </w:t>
      </w:r>
      <w:r w:rsidR="009F724B" w:rsidRPr="00F54AEA">
        <w:t>Andris Guļāns</w:t>
      </w:r>
    </w:p>
    <w:p w14:paraId="24A2425F" w14:textId="77777777" w:rsidR="002D5D31" w:rsidRPr="00F54AEA" w:rsidRDefault="002D5D31" w:rsidP="00CF359D">
      <w:pPr>
        <w:spacing w:line="276" w:lineRule="auto"/>
        <w:ind w:firstLine="567"/>
        <w:jc w:val="both"/>
      </w:pPr>
    </w:p>
    <w:p w14:paraId="7FD8FF6A" w14:textId="06CB26AA" w:rsidR="002D5D31" w:rsidRPr="00F54AEA" w:rsidRDefault="002D5D31" w:rsidP="00CF359D">
      <w:pPr>
        <w:spacing w:line="276" w:lineRule="auto"/>
        <w:ind w:firstLine="567"/>
        <w:jc w:val="both"/>
      </w:pPr>
      <w:r w:rsidRPr="00F54AEA">
        <w:t>rakstveida procesā izskatīja administratīvo lietu, kas ierosināta</w:t>
      </w:r>
      <w:r w:rsidR="009C6D13" w:rsidRPr="00F54AEA">
        <w:t xml:space="preserve">, pamatojoties </w:t>
      </w:r>
      <w:r w:rsidR="007E1496" w:rsidRPr="00F54AEA">
        <w:t xml:space="preserve">uz </w:t>
      </w:r>
      <w:r w:rsidR="00CA2317" w:rsidRPr="00F54AEA">
        <w:t xml:space="preserve">SIA „PRODEX” </w:t>
      </w:r>
      <w:r w:rsidR="009F724B" w:rsidRPr="00F54AEA">
        <w:t xml:space="preserve">pieteikumu </w:t>
      </w:r>
      <w:r w:rsidR="00D922B3" w:rsidRPr="00F54AEA">
        <w:t>par Valsts ieņēmumu dienesta</w:t>
      </w:r>
      <w:r w:rsidR="008D1A7D" w:rsidRPr="00F54AEA">
        <w:t xml:space="preserve"> </w:t>
      </w:r>
      <w:bookmarkStart w:id="1" w:name="_Hlk58231383"/>
      <w:proofErr w:type="gramStart"/>
      <w:r w:rsidR="008D1A7D" w:rsidRPr="00F54AEA">
        <w:t>2015.gada</w:t>
      </w:r>
      <w:proofErr w:type="gramEnd"/>
      <w:r w:rsidR="008D1A7D" w:rsidRPr="00F54AEA">
        <w:t xml:space="preserve"> 7.septembra</w:t>
      </w:r>
      <w:r w:rsidR="00D922B3" w:rsidRPr="00F54AEA">
        <w:t xml:space="preserve"> lēmuma </w:t>
      </w:r>
      <w:r w:rsidR="00A512E0" w:rsidRPr="00F54AEA">
        <w:t xml:space="preserve">Nr. 22.7/L-35729 </w:t>
      </w:r>
      <w:bookmarkEnd w:id="1"/>
      <w:r w:rsidR="00D922B3" w:rsidRPr="00F54AEA">
        <w:t>atcelšanu</w:t>
      </w:r>
      <w:r w:rsidR="009F42B8" w:rsidRPr="00F54AEA">
        <w:t xml:space="preserve">, </w:t>
      </w:r>
      <w:r w:rsidRPr="00F54AEA">
        <w:t xml:space="preserve">sakarā ar </w:t>
      </w:r>
      <w:r w:rsidR="00CA2317" w:rsidRPr="00F54AEA">
        <w:t>SIA „PRODEX”</w:t>
      </w:r>
      <w:r w:rsidR="00661A24" w:rsidRPr="00F54AEA">
        <w:t xml:space="preserve"> </w:t>
      </w:r>
      <w:r w:rsidRPr="00F54AEA">
        <w:t>kasācijas sūdzību par Ad</w:t>
      </w:r>
      <w:r w:rsidR="009F724B" w:rsidRPr="00F54AEA">
        <w:t xml:space="preserve">ministratīvās apgabaltiesas </w:t>
      </w:r>
      <w:r w:rsidR="00661A24" w:rsidRPr="00F54AEA">
        <w:t xml:space="preserve">2018.gada </w:t>
      </w:r>
      <w:r w:rsidR="00CA2317" w:rsidRPr="00F54AEA">
        <w:t>25</w:t>
      </w:r>
      <w:r w:rsidR="00661A24" w:rsidRPr="00F54AEA">
        <w:t>.janvāra</w:t>
      </w:r>
      <w:r w:rsidR="00D922B3" w:rsidRPr="00F54AEA">
        <w:t xml:space="preserve"> </w:t>
      </w:r>
      <w:r w:rsidRPr="00F54AEA">
        <w:t>spriedumu</w:t>
      </w:r>
      <w:r w:rsidR="005A2D7D" w:rsidRPr="00F54AEA">
        <w:t>.</w:t>
      </w:r>
    </w:p>
    <w:p w14:paraId="42CB7B98" w14:textId="77777777" w:rsidR="002D5D31" w:rsidRPr="00F54AEA" w:rsidRDefault="002D5D31" w:rsidP="00CF359D">
      <w:pPr>
        <w:spacing w:line="276" w:lineRule="auto"/>
        <w:ind w:firstLine="567"/>
        <w:jc w:val="center"/>
        <w:rPr>
          <w:b/>
        </w:rPr>
      </w:pPr>
    </w:p>
    <w:p w14:paraId="13515A40" w14:textId="77777777" w:rsidR="002D5D31" w:rsidRPr="00F54AEA" w:rsidRDefault="002D5D31" w:rsidP="00CF359D">
      <w:pPr>
        <w:spacing w:line="276" w:lineRule="auto"/>
        <w:jc w:val="center"/>
        <w:rPr>
          <w:b/>
        </w:rPr>
      </w:pPr>
      <w:r w:rsidRPr="00F54AEA">
        <w:rPr>
          <w:b/>
        </w:rPr>
        <w:t>Aprakstošā daļa</w:t>
      </w:r>
    </w:p>
    <w:p w14:paraId="33000F89" w14:textId="77777777" w:rsidR="002D5D31" w:rsidRPr="00F54AEA" w:rsidRDefault="002D5D31" w:rsidP="00CF359D">
      <w:pPr>
        <w:spacing w:line="276" w:lineRule="auto"/>
        <w:ind w:firstLine="567"/>
      </w:pPr>
    </w:p>
    <w:p w14:paraId="14D7ABAA" w14:textId="3376C404" w:rsidR="00722BEF" w:rsidRPr="00F54AEA" w:rsidRDefault="002D5D31" w:rsidP="00CF359D">
      <w:pPr>
        <w:shd w:val="clear" w:color="auto" w:fill="FFFFFF"/>
        <w:spacing w:line="276" w:lineRule="auto"/>
        <w:ind w:firstLine="567"/>
        <w:jc w:val="both"/>
      </w:pPr>
      <w:r w:rsidRPr="00F54AEA">
        <w:t>[1]</w:t>
      </w:r>
      <w:r w:rsidR="00B853FD">
        <w:t> </w:t>
      </w:r>
      <w:r w:rsidR="00F54AEA">
        <w:t xml:space="preserve">Pieteicēja </w:t>
      </w:r>
      <w:r w:rsidR="005476EB">
        <w:t>SIA</w:t>
      </w:r>
      <w:r w:rsidR="00B853FD">
        <w:t> </w:t>
      </w:r>
      <w:r w:rsidR="005476EB">
        <w:t>„</w:t>
      </w:r>
      <w:r w:rsidR="009930B2">
        <w:t>PRODEX</w:t>
      </w:r>
      <w:r w:rsidR="005476EB">
        <w:t xml:space="preserve">” </w:t>
      </w:r>
      <w:proofErr w:type="gramStart"/>
      <w:r w:rsidR="009B3BBF">
        <w:t>2014.gada</w:t>
      </w:r>
      <w:proofErr w:type="gramEnd"/>
      <w:r w:rsidR="009B3BBF">
        <w:t xml:space="preserve"> 23.septembrī </w:t>
      </w:r>
      <w:r w:rsidR="00F54AEA" w:rsidRPr="00F54AEA">
        <w:t>ar muitas deklarāciju pieteica muitas proce</w:t>
      </w:r>
      <w:r w:rsidR="007852FE">
        <w:t>dūrai – laišana brīvā apgrozībā </w:t>
      </w:r>
      <w:r w:rsidR="00AC240B">
        <w:t xml:space="preserve">preces: </w:t>
      </w:r>
      <w:r w:rsidR="00F54AEA" w:rsidRPr="00F54AEA">
        <w:t xml:space="preserve">skujkoku koksnes iekšdurvis ar kārbām un aplodām, deklarējot to </w:t>
      </w:r>
      <w:r w:rsidR="00AC240B">
        <w:t xml:space="preserve">vienā pozīcijā ar kombinētās nomenklatūras un TARIC </w:t>
      </w:r>
      <w:r w:rsidR="00AC240B" w:rsidRPr="006A0EF3">
        <w:t xml:space="preserve">kodu </w:t>
      </w:r>
      <w:r w:rsidR="00F54AEA" w:rsidRPr="006A0EF3">
        <w:t>4418</w:t>
      </w:r>
      <w:r w:rsidR="00382FA3">
        <w:t> </w:t>
      </w:r>
      <w:r w:rsidR="00F54AEA" w:rsidRPr="006A0EF3">
        <w:t>20</w:t>
      </w:r>
      <w:r w:rsidR="00382FA3">
        <w:t> </w:t>
      </w:r>
      <w:r w:rsidR="00F54AEA" w:rsidRPr="006A0EF3">
        <w:t>50</w:t>
      </w:r>
      <w:r w:rsidR="00382FA3">
        <w:t> </w:t>
      </w:r>
      <w:r w:rsidR="00F54AEA" w:rsidRPr="006A0EF3">
        <w:t xml:space="preserve">00: namdaru un būvgaldnieku darinājumi, ieskaitot šūnveida koka paneļus; salikti grīdas dēļi, jumstiņus un lubas: – durvis, to aplodas un sliekšņi: – skujkoku koksnes. </w:t>
      </w:r>
      <w:r w:rsidR="00AC240B" w:rsidRPr="006A0EF3">
        <w:t>P</w:t>
      </w:r>
      <w:r w:rsidR="00F54AEA" w:rsidRPr="006A0EF3">
        <w:t xml:space="preserve">recēm </w:t>
      </w:r>
      <w:r w:rsidR="00F54AEA" w:rsidRPr="00F54AEA">
        <w:t>piemērota ievedmuitas nodokļa pamatlikme 0% apmērā.</w:t>
      </w:r>
    </w:p>
    <w:p w14:paraId="3A67C4CA" w14:textId="254C8288" w:rsidR="001A0AF2" w:rsidRPr="00F54AEA" w:rsidRDefault="009A471D" w:rsidP="00CF359D">
      <w:pPr>
        <w:shd w:val="clear" w:color="auto" w:fill="FFFFFF"/>
        <w:spacing w:line="276" w:lineRule="auto"/>
        <w:ind w:firstLine="567"/>
        <w:jc w:val="both"/>
      </w:pPr>
      <w:r>
        <w:t>A</w:t>
      </w:r>
      <w:r w:rsidR="00722BEF" w:rsidRPr="00F54AEA">
        <w:t xml:space="preserve">r Valsts ieņēmumu dienesta </w:t>
      </w:r>
      <w:proofErr w:type="gramStart"/>
      <w:r w:rsidRPr="00F54AEA">
        <w:t>2015.gada</w:t>
      </w:r>
      <w:proofErr w:type="gramEnd"/>
      <w:r w:rsidRPr="00F54AEA">
        <w:t xml:space="preserve"> 7.septembra lēmumu Nr. 22.7/L-35729 </w:t>
      </w:r>
      <w:r w:rsidR="00722BEF" w:rsidRPr="00F54AEA">
        <w:t>nolemts</w:t>
      </w:r>
      <w:r w:rsidR="008F569F" w:rsidRPr="00F54AEA">
        <w:t xml:space="preserve"> </w:t>
      </w:r>
      <w:r w:rsidR="00B1131A" w:rsidRPr="00B1131A">
        <w:t>kā muitas nodokļa maksāj</w:t>
      </w:r>
      <w:r w:rsidR="00B1131A">
        <w:t>umu ieskaitīt valsts budžetā Valsts ieņēmumu dienesta</w:t>
      </w:r>
      <w:r w:rsidR="00B1131A" w:rsidRPr="00B1131A">
        <w:t xml:space="preserve"> depozītu kontā </w:t>
      </w:r>
      <w:r w:rsidR="00814F9C">
        <w:t>pieteicējas</w:t>
      </w:r>
      <w:r w:rsidR="00B1131A">
        <w:t xml:space="preserve"> iemaksāto drošības naudu 473,30 </w:t>
      </w:r>
      <w:proofErr w:type="spellStart"/>
      <w:r w:rsidR="00B1131A" w:rsidRPr="00B1131A">
        <w:rPr>
          <w:i/>
        </w:rPr>
        <w:t>euro</w:t>
      </w:r>
      <w:proofErr w:type="spellEnd"/>
      <w:r>
        <w:t>.</w:t>
      </w:r>
    </w:p>
    <w:p w14:paraId="61E1822C" w14:textId="550ADDF6" w:rsidR="00231897" w:rsidRPr="006A0EF3" w:rsidRDefault="00B1131A" w:rsidP="00CF359D">
      <w:pPr>
        <w:shd w:val="clear" w:color="auto" w:fill="FFFFFF"/>
        <w:spacing w:line="276" w:lineRule="auto"/>
        <w:ind w:firstLine="567"/>
        <w:jc w:val="both"/>
      </w:pPr>
      <w:r>
        <w:t>Lēmumā konstatēts, ka pieteicējas preču kopumam</w:t>
      </w:r>
      <w:r w:rsidR="009A471D">
        <w:t xml:space="preserve"> </w:t>
      </w:r>
      <w:r>
        <w:t xml:space="preserve">salikšanas procesa </w:t>
      </w:r>
      <w:r w:rsidR="00814F9C">
        <w:t xml:space="preserve">pabeigšanai ir jāveic apstrāde. </w:t>
      </w:r>
      <w:r w:rsidRPr="006A0EF3">
        <w:t xml:space="preserve">Minētajām precēm nav konstatējamas ne mazumtirdzniecības komplekta </w:t>
      </w:r>
      <w:r w:rsidRPr="006A0EF3">
        <w:lastRenderedPageBreak/>
        <w:t xml:space="preserve">pazīmes, kam nepārprotami ir jābūt identificējamām preces ievešanas un deklarēšanas brīdī, ne izjaukta izstrādājuma kopuma pazīmes, kas liecinātu par komplekta kā vienas vienības esību </w:t>
      </w:r>
      <w:r w:rsidR="00EC5383" w:rsidRPr="006A0EF3">
        <w:t>kombinētās nomenklatūras</w:t>
      </w:r>
      <w:r w:rsidRPr="006A0EF3">
        <w:t xml:space="preserve"> pozīcijas 4418 izpratnē. </w:t>
      </w:r>
      <w:r w:rsidR="00EC5383" w:rsidRPr="006A0EF3">
        <w:t>Valsts ieņēmumu dienests secināja</w:t>
      </w:r>
      <w:r w:rsidRPr="006A0EF3">
        <w:t xml:space="preserve">, ka minētās preces nevar klasificēt ar </w:t>
      </w:r>
      <w:r w:rsidR="00814F9C" w:rsidRPr="006A0EF3">
        <w:t>pieteicējas</w:t>
      </w:r>
      <w:r w:rsidRPr="006A0EF3">
        <w:t xml:space="preserve"> norādīto kodu 4418 20 50 00, tās ir jāklasificē atsevišķi, atbilstošajās preču pozīcijās ar </w:t>
      </w:r>
      <w:r w:rsidR="00EC5383" w:rsidRPr="006A0EF3">
        <w:t>kombinētās nomenklatūras</w:t>
      </w:r>
      <w:r w:rsidRPr="006A0EF3">
        <w:t xml:space="preserve"> un TARIC kodu 4411</w:t>
      </w:r>
      <w:r w:rsidR="00EC5383" w:rsidRPr="006A0EF3">
        <w:t> </w:t>
      </w:r>
      <w:r w:rsidRPr="006A0EF3">
        <w:t>13</w:t>
      </w:r>
      <w:r w:rsidR="00EC5383" w:rsidRPr="006A0EF3">
        <w:t> </w:t>
      </w:r>
      <w:r w:rsidRPr="006A0EF3">
        <w:t>90 00, 4411 14 90 00 un 4412 99 85 90</w:t>
      </w:r>
      <w:r w:rsidR="00D90495" w:rsidRPr="006A0EF3">
        <w:t xml:space="preserve"> (kokšķiedru vai citu </w:t>
      </w:r>
      <w:proofErr w:type="spellStart"/>
      <w:r w:rsidR="00D90495" w:rsidRPr="006A0EF3">
        <w:t>koksnveida</w:t>
      </w:r>
      <w:proofErr w:type="spellEnd"/>
      <w:r w:rsidR="00D90495" w:rsidRPr="006A0EF3">
        <w:t xml:space="preserve"> materiālu plātnes, </w:t>
      </w:r>
      <w:r w:rsidR="00557C87" w:rsidRPr="006A0EF3">
        <w:t>saplāksnis, finierētas plātnes un tamlīdzīgi laminēti koksnes materiāli).</w:t>
      </w:r>
    </w:p>
    <w:p w14:paraId="7C03F9E1" w14:textId="77777777" w:rsidR="00B1131A" w:rsidRPr="00F54AEA" w:rsidRDefault="00B1131A" w:rsidP="00CF359D">
      <w:pPr>
        <w:shd w:val="clear" w:color="auto" w:fill="FFFFFF"/>
        <w:spacing w:line="276" w:lineRule="auto"/>
        <w:ind w:firstLine="567"/>
        <w:jc w:val="both"/>
      </w:pPr>
    </w:p>
    <w:p w14:paraId="2E4152EC" w14:textId="6C2290E7" w:rsidR="009A471D" w:rsidRPr="00F54AEA" w:rsidRDefault="00B907C3" w:rsidP="00CF359D">
      <w:pPr>
        <w:pStyle w:val="NormalWeb"/>
        <w:tabs>
          <w:tab w:val="left" w:pos="1134"/>
        </w:tabs>
        <w:spacing w:line="276" w:lineRule="auto"/>
        <w:ind w:firstLine="567"/>
        <w:jc w:val="both"/>
      </w:pPr>
      <w:r w:rsidRPr="00F54AEA">
        <w:t>[2]</w:t>
      </w:r>
      <w:r w:rsidR="00B853FD">
        <w:t> </w:t>
      </w:r>
      <w:r w:rsidR="00DB4DCE" w:rsidRPr="00F54AEA">
        <w:t xml:space="preserve">Pieteicēja </w:t>
      </w:r>
      <w:r w:rsidR="00EC5383">
        <w:t>vērsās administratīvajā tiesā</w:t>
      </w:r>
      <w:r w:rsidR="00DB4DCE" w:rsidRPr="00F54AEA">
        <w:t xml:space="preserve">, </w:t>
      </w:r>
      <w:r w:rsidR="00557C87">
        <w:t>lūdzot atcelt</w:t>
      </w:r>
      <w:r w:rsidR="00DB4DCE" w:rsidRPr="00F54AEA">
        <w:t xml:space="preserve"> Valsts ieņēmumu dienesta lēmum</w:t>
      </w:r>
      <w:r w:rsidR="00557C87">
        <w:t>u.</w:t>
      </w:r>
    </w:p>
    <w:p w14:paraId="3220CBB7" w14:textId="59440D44" w:rsidR="00353694" w:rsidRDefault="009A471D" w:rsidP="00CF359D">
      <w:pPr>
        <w:pStyle w:val="NormalWeb"/>
        <w:tabs>
          <w:tab w:val="left" w:pos="1134"/>
        </w:tabs>
        <w:spacing w:line="276" w:lineRule="auto"/>
        <w:ind w:firstLine="567"/>
        <w:jc w:val="both"/>
      </w:pPr>
      <w:r>
        <w:t>Izskatot lietu apelācijas kārtībā</w:t>
      </w:r>
      <w:r w:rsidR="001A0AF2" w:rsidRPr="00F54AEA">
        <w:t xml:space="preserve">, Administratīvā apgabaltiesa ar </w:t>
      </w:r>
      <w:proofErr w:type="gramStart"/>
      <w:r w:rsidR="001A0AF2" w:rsidRPr="00F54AEA">
        <w:t>2018.gada</w:t>
      </w:r>
      <w:proofErr w:type="gramEnd"/>
      <w:r w:rsidR="001A0AF2" w:rsidRPr="00F54AEA">
        <w:t xml:space="preserve"> 25.janvāra spriedumu pieteikumu noraidīja. Spriedum</w:t>
      </w:r>
      <w:r w:rsidR="00D90495">
        <w:t xml:space="preserve">ā tiesa atzina par pareizu Valsts ieņēmumu dienesta viedokli, </w:t>
      </w:r>
      <w:r w:rsidR="00353694">
        <w:t xml:space="preserve">ka attiecībā uz precēm nav konstatējamas ne mazumtirdzniecības komplekta </w:t>
      </w:r>
      <w:r w:rsidR="00A10E6B">
        <w:t xml:space="preserve">(durvis ar visām to sastāvdaļām – kārbām, aplodām, vērtni u.tml.) </w:t>
      </w:r>
      <w:r w:rsidR="00353694">
        <w:t>pazīmes, kam nepārprotami ir jābūt identificējamām preces deklarēšanas brīdī, ne izjaukta izstr</w:t>
      </w:r>
      <w:r w:rsidR="002F2D9A">
        <w:t xml:space="preserve">ādājuma kopums saskaņā ar </w:t>
      </w:r>
      <w:r w:rsidR="00D90495">
        <w:t>kombinētās nomenklatūras</w:t>
      </w:r>
      <w:r w:rsidR="002F2D9A">
        <w:t xml:space="preserve"> </w:t>
      </w:r>
      <w:r w:rsidR="006A0EF3">
        <w:t>vispārīgo interpretācijas noteikumu 2</w:t>
      </w:r>
      <w:r w:rsidR="002F2D9A">
        <w:t>.</w:t>
      </w:r>
      <w:r w:rsidR="00544FE8">
        <w:t>noteikuma</w:t>
      </w:r>
      <w:r w:rsidR="002F2D9A">
        <w:t xml:space="preserve"> </w:t>
      </w:r>
      <w:r w:rsidR="00CB0144">
        <w:t>„</w:t>
      </w:r>
      <w:r w:rsidR="002F2D9A">
        <w:t>a</w:t>
      </w:r>
      <w:r w:rsidR="00CB0144">
        <w:t>”</w:t>
      </w:r>
      <w:r w:rsidR="00D90495">
        <w:t> </w:t>
      </w:r>
      <w:r w:rsidR="00353694">
        <w:t>punkt</w:t>
      </w:r>
      <w:r w:rsidR="006A0EF3">
        <w:t>u</w:t>
      </w:r>
      <w:r w:rsidR="00353694">
        <w:t xml:space="preserve">, kas liecinātu par komplekta esību </w:t>
      </w:r>
      <w:r w:rsidR="00D90495">
        <w:t>kombinētās nomenklatūras</w:t>
      </w:r>
      <w:r w:rsidR="00353694">
        <w:t xml:space="preserve"> poz</w:t>
      </w:r>
      <w:r w:rsidR="002F2D9A">
        <w:t>īcijas 4418 izpratnē. Tādējādi Valsts ieņēmumu d</w:t>
      </w:r>
      <w:r w:rsidR="00353694">
        <w:t>ienests</w:t>
      </w:r>
      <w:r w:rsidR="00A10E6B">
        <w:t xml:space="preserve"> </w:t>
      </w:r>
      <w:r w:rsidR="00353694">
        <w:t xml:space="preserve">pamatoti </w:t>
      </w:r>
      <w:r w:rsidR="00A10E6B">
        <w:t xml:space="preserve">esot </w:t>
      </w:r>
      <w:r w:rsidR="00353694">
        <w:t>konstatēj</w:t>
      </w:r>
      <w:r w:rsidR="005476EB">
        <w:t>is</w:t>
      </w:r>
      <w:r w:rsidR="00353694">
        <w:t xml:space="preserve">, ka pieteicējas </w:t>
      </w:r>
      <w:r w:rsidR="00814F9C">
        <w:t xml:space="preserve">deklarētās MDF </w:t>
      </w:r>
      <w:proofErr w:type="spellStart"/>
      <w:r w:rsidR="00814F9C">
        <w:t>profillī</w:t>
      </w:r>
      <w:r w:rsidR="00353694">
        <w:t>stes</w:t>
      </w:r>
      <w:proofErr w:type="spellEnd"/>
      <w:r w:rsidR="00353694">
        <w:t xml:space="preserve"> un profili, kas neveido vienotu pabeigtu komplektu ar kādām noteiktām durvju vērtnēm, ir jāklasificē atsevišķi </w:t>
      </w:r>
      <w:r w:rsidR="00E20DF7">
        <w:t>to</w:t>
      </w:r>
      <w:r w:rsidR="00353694">
        <w:t xml:space="preserve"> atbilstošajās pozīcijās. </w:t>
      </w:r>
    </w:p>
    <w:p w14:paraId="7B632CFB" w14:textId="7780352B" w:rsidR="003345A5" w:rsidRDefault="003345A5" w:rsidP="00CF359D">
      <w:pPr>
        <w:pStyle w:val="NormalWeb"/>
        <w:tabs>
          <w:tab w:val="left" w:pos="1134"/>
        </w:tabs>
        <w:spacing w:line="276" w:lineRule="auto"/>
        <w:ind w:firstLine="567"/>
        <w:jc w:val="both"/>
      </w:pPr>
      <w:r>
        <w:t>Tiesa noraidīja pieteicēja</w:t>
      </w:r>
      <w:r w:rsidR="005476EB">
        <w:t>s</w:t>
      </w:r>
      <w:r>
        <w:t xml:space="preserve"> viedokli, ka ievestās preces ir pabeigts izstrādājums un ir izmantojamas pēc t</w:t>
      </w:r>
      <w:r w:rsidR="005476EB">
        <w:t>o</w:t>
      </w:r>
      <w:r>
        <w:t xml:space="preserve"> nozīmes </w:t>
      </w:r>
      <w:proofErr w:type="gramStart"/>
      <w:r>
        <w:t>un</w:t>
      </w:r>
      <w:proofErr w:type="gramEnd"/>
      <w:r>
        <w:t xml:space="preserve"> ka preces bija paredzēts tirgot tieši patērētājam, neveicot papildu apstrādi vai pārveidošanu. </w:t>
      </w:r>
      <w:r w:rsidR="009D272A">
        <w:t>Tiesa no pieteicējas interneta mājaslapas konstatēja, ka durvju aksesuāri, piemēram, kārbas, aplodas, tiek tirgoti kā atsevišķa prece. Pieteicēja piedāvā iegādāties gan jau gatavus durvju komplektus (ar iestrādātām eņģēm, rokturiem, aplodām</w:t>
      </w:r>
      <w:r w:rsidR="00A10E6B">
        <w:t>)</w:t>
      </w:r>
      <w:r w:rsidR="009D272A">
        <w:t>, gan arī atsevišķas daļas. Vienlaikus tiek piedāvāts tāds pakalpojums kā durvju uzmērīšana, montēšana, uzstādīšana. Arī tas, tiesas ieskatā, liecina, ka pieteicēja neieved pabeigtus izstrādājumus, kuri izmantojami kā komplekti.</w:t>
      </w:r>
    </w:p>
    <w:p w14:paraId="6BC07C30" w14:textId="2196AACF" w:rsidR="00AD269B" w:rsidRPr="00F54AEA" w:rsidRDefault="00AD269B" w:rsidP="00CF359D">
      <w:pPr>
        <w:pStyle w:val="NormalWeb"/>
        <w:tabs>
          <w:tab w:val="left" w:pos="1134"/>
        </w:tabs>
        <w:spacing w:line="276" w:lineRule="auto"/>
        <w:ind w:firstLine="567"/>
        <w:jc w:val="both"/>
      </w:pPr>
      <w:r w:rsidRPr="00F54AEA">
        <w:t>Igaunijas uzņēmumam Igaunijas muitas iestādes izsniegtās sais</w:t>
      </w:r>
      <w:r w:rsidR="00CA65A0" w:rsidRPr="00F54AEA">
        <w:t>tošā</w:t>
      </w:r>
      <w:r w:rsidRPr="00F54AEA">
        <w:t>s izziņas par tarifu</w:t>
      </w:r>
      <w:r w:rsidR="00544FE8">
        <w:t>, uz kurām norāda pieteicēja,</w:t>
      </w:r>
      <w:r w:rsidRPr="00F54AEA">
        <w:t xml:space="preserve"> nav attiecināmas uz pietei</w:t>
      </w:r>
      <w:r w:rsidR="00231897" w:rsidRPr="00F54AEA">
        <w:t>cējas muitas procedūru</w:t>
      </w:r>
      <w:r w:rsidRPr="00F54AEA">
        <w:t xml:space="preserve">, jo muitas procedūras piemērošanas brīdī </w:t>
      </w:r>
      <w:r w:rsidR="002F2D9A">
        <w:t xml:space="preserve">šīs saistošās </w:t>
      </w:r>
      <w:r w:rsidR="008F569F" w:rsidRPr="00F54AEA">
        <w:t>izziņas neeksist</w:t>
      </w:r>
      <w:r w:rsidR="002F2D9A">
        <w:t>ēja un</w:t>
      </w:r>
      <w:r w:rsidR="008F569F" w:rsidRPr="00F54AEA">
        <w:t xml:space="preserve"> </w:t>
      </w:r>
      <w:r w:rsidR="00231897" w:rsidRPr="00F54AEA">
        <w:t>pieteicēja</w:t>
      </w:r>
      <w:r w:rsidR="002F2D9A">
        <w:t xml:space="preserve"> arī</w:t>
      </w:r>
      <w:r w:rsidR="00231897" w:rsidRPr="00F54AEA">
        <w:t xml:space="preserve"> </w:t>
      </w:r>
      <w:r w:rsidRPr="00F54AEA">
        <w:t xml:space="preserve">nav to turētāja. </w:t>
      </w:r>
    </w:p>
    <w:p w14:paraId="7973DFEC" w14:textId="77777777" w:rsidR="00FB4A6D" w:rsidRPr="00F54AEA" w:rsidRDefault="00FB4A6D" w:rsidP="00CF359D">
      <w:pPr>
        <w:pStyle w:val="NormalWeb"/>
        <w:tabs>
          <w:tab w:val="left" w:pos="1134"/>
        </w:tabs>
        <w:spacing w:line="276" w:lineRule="auto"/>
        <w:ind w:firstLine="567"/>
        <w:jc w:val="both"/>
      </w:pPr>
    </w:p>
    <w:p w14:paraId="64D43D51" w14:textId="603B1361" w:rsidR="00A10E6B" w:rsidRPr="00F54AEA" w:rsidRDefault="00D35AED" w:rsidP="00CF359D">
      <w:pPr>
        <w:pStyle w:val="NormalWeb"/>
        <w:tabs>
          <w:tab w:val="left" w:pos="567"/>
        </w:tabs>
        <w:spacing w:line="276" w:lineRule="auto"/>
        <w:ind w:firstLine="567"/>
        <w:jc w:val="both"/>
      </w:pPr>
      <w:r w:rsidRPr="00F54AEA">
        <w:t>[3]</w:t>
      </w:r>
      <w:r w:rsidR="00B853FD">
        <w:t> </w:t>
      </w:r>
      <w:r w:rsidRPr="00F54AEA">
        <w:t>Pieteicēja apgabaltiesas spriedumu pārsūdzēja, kasācijas sūdzīb</w:t>
      </w:r>
      <w:r w:rsidR="00A10E6B">
        <w:t xml:space="preserve">ā turpinot uzturēt viedokli, ka lietā nepareizi </w:t>
      </w:r>
      <w:r w:rsidR="00C5619A" w:rsidRPr="00F54AEA">
        <w:t>interp</w:t>
      </w:r>
      <w:r w:rsidR="00CA65A0" w:rsidRPr="00F54AEA">
        <w:t>retē</w:t>
      </w:r>
      <w:r w:rsidR="00A10E6B">
        <w:t>tas</w:t>
      </w:r>
      <w:r w:rsidR="00CA65A0" w:rsidRPr="00F54AEA">
        <w:t xml:space="preserve"> </w:t>
      </w:r>
      <w:r w:rsidR="002F2D9A" w:rsidRPr="002F2D9A">
        <w:t xml:space="preserve">Komisijas </w:t>
      </w:r>
      <w:proofErr w:type="gramStart"/>
      <w:r w:rsidR="002F2D9A">
        <w:t>2013.gada</w:t>
      </w:r>
      <w:proofErr w:type="gramEnd"/>
      <w:r w:rsidR="002F2D9A">
        <w:t xml:space="preserve"> 4.oktobra</w:t>
      </w:r>
      <w:r w:rsidR="002F2D9A" w:rsidRPr="002F2D9A">
        <w:t xml:space="preserve"> Īstenošanas regula</w:t>
      </w:r>
      <w:r w:rsidR="002F2D9A">
        <w:t>s (ES) Nr. 1001/2013</w:t>
      </w:r>
      <w:r w:rsidR="002F2D9A" w:rsidRPr="002F2D9A">
        <w:t>, ar ko groza I pie</w:t>
      </w:r>
      <w:r w:rsidR="00E478C2">
        <w:t>likumu Padomes Regulā (EEK) Nr. </w:t>
      </w:r>
      <w:r w:rsidR="002F2D9A" w:rsidRPr="002F2D9A">
        <w:t>2658/87 par tarifu un statistikas nomenklatūru un kopējo muitas tarifu</w:t>
      </w:r>
      <w:r w:rsidR="00E20DF7">
        <w:t xml:space="preserve"> (turpmāk </w:t>
      </w:r>
      <w:r w:rsidR="00544FE8">
        <w:t xml:space="preserve">arī </w:t>
      </w:r>
      <w:r w:rsidR="00E20DF7">
        <w:t>– Īstenošanas regula)</w:t>
      </w:r>
      <w:r w:rsidR="002F2D9A">
        <w:t>,</w:t>
      </w:r>
      <w:r w:rsidR="002F2D9A" w:rsidRPr="002F2D9A">
        <w:t xml:space="preserve"> </w:t>
      </w:r>
      <w:r w:rsidR="00A10E6B">
        <w:t xml:space="preserve">kombinētās nomenklatūras attiecīgās </w:t>
      </w:r>
      <w:r w:rsidR="0076125B" w:rsidRPr="00F54AEA">
        <w:t>pozīcij</w:t>
      </w:r>
      <w:r w:rsidR="00A10E6B">
        <w:t>as.</w:t>
      </w:r>
    </w:p>
    <w:p w14:paraId="35C9648D" w14:textId="74B98B6A" w:rsidR="00E4275D" w:rsidRDefault="00A10E6B" w:rsidP="00CF359D">
      <w:pPr>
        <w:shd w:val="clear" w:color="auto" w:fill="FFFFFF"/>
        <w:spacing w:line="276" w:lineRule="auto"/>
        <w:ind w:firstLine="567"/>
        <w:jc w:val="both"/>
      </w:pPr>
      <w:r>
        <w:t>Pieteicējas ieskatā, tiesa nepamatoti uzskata</w:t>
      </w:r>
      <w:r w:rsidR="00C5619A" w:rsidRPr="00F54AEA">
        <w:t xml:space="preserve">, ka durvju sastāvdaļas kvalificējamas 4418 pozīcijā tikai un vienīgi tad, ja veido vienotu komplektu ar durvju vērtnēm. </w:t>
      </w:r>
      <w:r>
        <w:t>Kombinētās nomenklatūras</w:t>
      </w:r>
      <w:r w:rsidR="00E478C2">
        <w:t xml:space="preserve"> </w:t>
      </w:r>
      <w:r w:rsidR="00544FE8">
        <w:t>apakš</w:t>
      </w:r>
      <w:r w:rsidR="00E478C2">
        <w:t>pozīcij</w:t>
      </w:r>
      <w:r w:rsidR="007574EA">
        <w:t>as</w:t>
      </w:r>
      <w:r w:rsidR="00E478C2">
        <w:t xml:space="preserve"> </w:t>
      </w:r>
      <w:r w:rsidR="00E478C2" w:rsidRPr="00E478C2">
        <w:t>4418</w:t>
      </w:r>
      <w:r w:rsidR="00E478C2">
        <w:t> </w:t>
      </w:r>
      <w:proofErr w:type="gramStart"/>
      <w:r w:rsidR="00E478C2">
        <w:t xml:space="preserve">20 </w:t>
      </w:r>
      <w:r w:rsidR="007574EA">
        <w:t>apraksts</w:t>
      </w:r>
      <w:proofErr w:type="gramEnd"/>
      <w:r w:rsidR="007574EA">
        <w:t xml:space="preserve"> un skaidrojumi </w:t>
      </w:r>
      <w:r w:rsidR="00E478C2">
        <w:t>nesatur kritēriju, ka koka paneļiem būtu jāveido komplekts ar durvju vērtnēm</w:t>
      </w:r>
      <w:r w:rsidR="00E4275D">
        <w:t xml:space="preserve">. Durvju vērtne </w:t>
      </w:r>
      <w:r>
        <w:t xml:space="preserve">– ko Valsts ieņēmumu dienests tomēr atsevišķi klasificējis pozīcijā 4418 – tāpat </w:t>
      </w:r>
      <w:r w:rsidR="00E4275D">
        <w:t xml:space="preserve">ir tikai viens no vairākiem durvju sastāvā ietilpstošajiem paneļiem. Nav juridiska pamata pārējo durvju paneļu kvalifikāciju padarīt atkarīgu no tā, vai tās ir vai nav komplektā ar citu durvju paneli – durvju vērtni. </w:t>
      </w:r>
    </w:p>
    <w:p w14:paraId="3224219B" w14:textId="7766BF2E" w:rsidR="00E4275D" w:rsidRDefault="00A10E6B" w:rsidP="00CF359D">
      <w:pPr>
        <w:shd w:val="clear" w:color="auto" w:fill="FFFFFF"/>
        <w:spacing w:line="276" w:lineRule="auto"/>
        <w:ind w:firstLine="567"/>
        <w:jc w:val="both"/>
      </w:pPr>
      <w:r>
        <w:lastRenderedPageBreak/>
        <w:t>Pieteicēja norāda, ka n</w:t>
      </w:r>
      <w:r w:rsidR="00E4275D">
        <w:t xml:space="preserve">o Valsts ieņēmumu dienesta un </w:t>
      </w:r>
      <w:r w:rsidR="0076125B">
        <w:t>apgabal</w:t>
      </w:r>
      <w:r w:rsidR="00E4275D">
        <w:t>tiesas konstatētajiem apstākļiem secināms, ka pieteicējas deklarētās preces faktiski ir atpaz</w:t>
      </w:r>
      <w:r w:rsidR="0076125B">
        <w:t>ītas</w:t>
      </w:r>
      <w:r w:rsidR="00E4275D">
        <w:t xml:space="preserve"> kā</w:t>
      </w:r>
      <w:r w:rsidR="0076125B">
        <w:t xml:space="preserve"> </w:t>
      </w:r>
      <w:r w:rsidR="007574EA">
        <w:t xml:space="preserve">tieši </w:t>
      </w:r>
      <w:r w:rsidR="0076125B">
        <w:t xml:space="preserve">durvju izgatavošanai paredzēti koka paneļi, </w:t>
      </w:r>
      <w:r>
        <w:t>un arī tādēļ bija jāpiemēro pozīcija</w:t>
      </w:r>
      <w:r w:rsidR="00E4275D">
        <w:t xml:space="preserve"> 4418.</w:t>
      </w:r>
    </w:p>
    <w:p w14:paraId="29108147" w14:textId="3CCFE97F" w:rsidR="00A10E6B" w:rsidRDefault="00E4275D" w:rsidP="00CF359D">
      <w:pPr>
        <w:shd w:val="clear" w:color="auto" w:fill="FFFFFF"/>
        <w:spacing w:line="276" w:lineRule="auto"/>
        <w:ind w:firstLine="567"/>
        <w:jc w:val="both"/>
      </w:pPr>
      <w:r>
        <w:t xml:space="preserve">Valsts ieņēmumu dienests un tiesa </w:t>
      </w:r>
      <w:r w:rsidR="00EA3A3A">
        <w:t>ne</w:t>
      </w:r>
      <w:r>
        <w:t>ievēroj</w:t>
      </w:r>
      <w:r w:rsidR="00EA3A3A">
        <w:t>a</w:t>
      </w:r>
      <w:r>
        <w:t xml:space="preserve"> konsekvenci, atzīstot, ka daļa no koka paneļiem nav deklarējami </w:t>
      </w:r>
      <w:r w:rsidR="00A10E6B">
        <w:t>kombinētās nomenklatūras</w:t>
      </w:r>
      <w:r>
        <w:t xml:space="preserve"> pozīcijā 4418</w:t>
      </w:r>
      <w:r w:rsidR="003F7428">
        <w:t xml:space="preserve">, </w:t>
      </w:r>
      <w:r>
        <w:t xml:space="preserve">bet citi koka paneļi ir kvalificējami </w:t>
      </w:r>
      <w:r w:rsidR="002E107E">
        <w:t>kombinētās nomenklatūras</w:t>
      </w:r>
      <w:r>
        <w:t xml:space="preserve"> pozīcijā 4418</w:t>
      </w:r>
      <w:r w:rsidR="003F7428">
        <w:t xml:space="preserve"> </w:t>
      </w:r>
      <w:proofErr w:type="gramStart"/>
      <w:r w:rsidR="003F7428">
        <w:t>(</w:t>
      </w:r>
      <w:proofErr w:type="gramEnd"/>
      <w:r w:rsidR="003F7428">
        <w:t>iespējams, vērtnes tika atzītas par deklarējamām attiecīgajā pozīcijā tādēļ, ka vērtne visvairāk atgādina „durvis” sadzīviskā izpratnē)</w:t>
      </w:r>
      <w:r>
        <w:t xml:space="preserve">. </w:t>
      </w:r>
    </w:p>
    <w:p w14:paraId="469010D4" w14:textId="397920E7" w:rsidR="00473CA5" w:rsidRPr="00F54AEA" w:rsidRDefault="00A10E6B" w:rsidP="00CF359D">
      <w:pPr>
        <w:shd w:val="clear" w:color="auto" w:fill="FFFFFF"/>
        <w:spacing w:line="276" w:lineRule="auto"/>
        <w:ind w:firstLine="567"/>
        <w:jc w:val="both"/>
      </w:pPr>
      <w:r>
        <w:t>Savukārt pozīcijas</w:t>
      </w:r>
      <w:r w:rsidR="000914E2">
        <w:t xml:space="preserve"> 4411 un 4412</w:t>
      </w:r>
      <w:r>
        <w:t xml:space="preserve"> </w:t>
      </w:r>
      <w:r w:rsidR="000914E2">
        <w:t>nav paredzētas durvju sastāvdaļ</w:t>
      </w:r>
      <w:r w:rsidR="00581E0E">
        <w:t>ām</w:t>
      </w:r>
      <w:r w:rsidR="000914E2">
        <w:t xml:space="preserve">, jo minētās pozīcijas </w:t>
      </w:r>
      <w:r>
        <w:t xml:space="preserve">preces </w:t>
      </w:r>
      <w:r w:rsidR="000914E2">
        <w:t xml:space="preserve">tiek izmantotas citiem mērķiem </w:t>
      </w:r>
      <w:r w:rsidR="00EA3A3A">
        <w:t xml:space="preserve">– </w:t>
      </w:r>
      <w:r w:rsidR="000914E2">
        <w:t xml:space="preserve">ēku siltināšanai, skaņas izolācijai, grīdas seguma ieklāšanai u.c. </w:t>
      </w:r>
    </w:p>
    <w:p w14:paraId="069613AE" w14:textId="751BF2F6" w:rsidR="002B2AB1" w:rsidRPr="00F54AEA" w:rsidRDefault="00544FE8" w:rsidP="00CF359D">
      <w:pPr>
        <w:shd w:val="clear" w:color="auto" w:fill="FFFFFF"/>
        <w:spacing w:line="276" w:lineRule="auto"/>
        <w:ind w:firstLine="567"/>
        <w:jc w:val="both"/>
      </w:pPr>
      <w:r>
        <w:t>T</w:t>
      </w:r>
      <w:r w:rsidR="002B2AB1" w:rsidRPr="00F54AEA">
        <w:t xml:space="preserve">iesa </w:t>
      </w:r>
      <w:r w:rsidR="00592168">
        <w:t xml:space="preserve">nepamatoti </w:t>
      </w:r>
      <w:r w:rsidR="002B2AB1" w:rsidRPr="00F54AEA">
        <w:t>atstāj</w:t>
      </w:r>
      <w:r w:rsidR="00592168">
        <w:t>usi</w:t>
      </w:r>
      <w:r w:rsidR="002B2AB1" w:rsidRPr="00F54AEA">
        <w:t xml:space="preserve"> bez ievērības </w:t>
      </w:r>
      <w:r>
        <w:t xml:space="preserve">pieteicējas iesniegto eksperta atzinumu un </w:t>
      </w:r>
      <w:r w:rsidR="002B2AB1" w:rsidRPr="00F54AEA">
        <w:t>muitas izziņas, kas ļauj ražotāja preci eksportēt citā Eiropas Savienības dalībvalstī un ir saistoša</w:t>
      </w:r>
      <w:r w:rsidR="00231897" w:rsidRPr="00F54AEA">
        <w:t>s</w:t>
      </w:r>
      <w:r w:rsidR="002B2AB1" w:rsidRPr="00F54AEA">
        <w:t xml:space="preserve"> vi</w:t>
      </w:r>
      <w:r w:rsidR="005476EB">
        <w:t>sām dalībvalstīm</w:t>
      </w:r>
      <w:r w:rsidR="002B2AB1" w:rsidRPr="00F54AEA">
        <w:t xml:space="preserve">. </w:t>
      </w:r>
    </w:p>
    <w:p w14:paraId="4486A17C" w14:textId="77777777" w:rsidR="007D29F2" w:rsidRPr="00F54AEA" w:rsidRDefault="007D29F2" w:rsidP="00CF359D">
      <w:pPr>
        <w:shd w:val="clear" w:color="auto" w:fill="FFFFFF"/>
        <w:spacing w:line="276" w:lineRule="auto"/>
        <w:ind w:firstLine="567"/>
        <w:jc w:val="both"/>
      </w:pPr>
    </w:p>
    <w:p w14:paraId="7C87A473" w14:textId="5A52806F" w:rsidR="00C64497" w:rsidRDefault="00DD78CA" w:rsidP="00CF359D">
      <w:pPr>
        <w:spacing w:line="276" w:lineRule="auto"/>
        <w:ind w:firstLine="567"/>
        <w:jc w:val="both"/>
      </w:pPr>
      <w:r w:rsidRPr="00F54AEA">
        <w:t>[4]</w:t>
      </w:r>
      <w:r w:rsidR="00B853FD">
        <w:t> </w:t>
      </w:r>
      <w:r w:rsidRPr="00F54AEA">
        <w:t>Valsts ieņēmumu dienests par kasācijas sūdzību iesn</w:t>
      </w:r>
      <w:r w:rsidR="0076125B">
        <w:t>iedzis paskaidrojumus, norādot, ka p</w:t>
      </w:r>
      <w:r w:rsidR="0076125B" w:rsidRPr="00EB6E94">
        <w:t xml:space="preserve">reces ir uzrādītas atsevišķi un skaits, kas uzrādīts attiecībā uz durvju vērtnēm un MDF profiliem, finierētiem profiliem, MDF </w:t>
      </w:r>
      <w:proofErr w:type="spellStart"/>
      <w:r w:rsidR="0076125B" w:rsidRPr="00EB6E94">
        <w:t>profillīstēm</w:t>
      </w:r>
      <w:proofErr w:type="spellEnd"/>
      <w:r w:rsidR="0076125B" w:rsidRPr="00EB6E94">
        <w:t xml:space="preserve">, MDF dēļiem, neliecina, ka būtu ievērots mazumtirdzniecības komplekta samērīguma princips, kā arī nav viennozīmīgas atsauces vienam uz otru, kā arī preces nav iesaiņotas tā, lai tās būtu piemērotas tiešai pārdošanai lietotājiem, neveicot pārsaiņošanu. </w:t>
      </w:r>
      <w:r w:rsidR="0076125B" w:rsidRPr="00F54AEA">
        <w:t xml:space="preserve">Ņemot vērā minēto, secināms, ka neizpildās Eiropas Komisijas 2013.gada 11.aprīļa vadlīniju par tādu preču klasificēšanu kombinētajā nomenklatūrā, kas iesaiņotas komplektos </w:t>
      </w:r>
      <w:r w:rsidR="0076125B" w:rsidRPr="00BF47B9">
        <w:t>mazumtirdzniecībai</w:t>
      </w:r>
      <w:r w:rsidR="00544FE8">
        <w:t>,</w:t>
      </w:r>
      <w:r w:rsidR="0076125B" w:rsidRPr="00BF47B9">
        <w:t xml:space="preserve"> </w:t>
      </w:r>
      <w:r w:rsidR="00791199" w:rsidRPr="00BF47B9">
        <w:t xml:space="preserve">C daļas </w:t>
      </w:r>
      <w:r w:rsidR="0076125B" w:rsidRPr="00BF47B9">
        <w:t xml:space="preserve">1.punkta </w:t>
      </w:r>
      <w:r w:rsidR="002E107E">
        <w:t>„</w:t>
      </w:r>
      <w:r w:rsidR="0076125B" w:rsidRPr="00BF47B9">
        <w:t>b</w:t>
      </w:r>
      <w:r w:rsidR="002E107E">
        <w:t>”</w:t>
      </w:r>
      <w:r w:rsidR="0076125B" w:rsidRPr="00BF47B9">
        <w:t xml:space="preserve"> un </w:t>
      </w:r>
      <w:r w:rsidR="002E107E">
        <w:t>„</w:t>
      </w:r>
      <w:r w:rsidR="0076125B" w:rsidRPr="00BF47B9">
        <w:t>c</w:t>
      </w:r>
      <w:r w:rsidR="002E107E">
        <w:t>”</w:t>
      </w:r>
      <w:r w:rsidR="00C711DB">
        <w:t> </w:t>
      </w:r>
      <w:r w:rsidR="0076125B" w:rsidRPr="00BF47B9">
        <w:t xml:space="preserve">apakšpunkts, kā arī neizpildās 2.punkta </w:t>
      </w:r>
      <w:r w:rsidR="002E107E">
        <w:t>„</w:t>
      </w:r>
      <w:r w:rsidR="0076125B" w:rsidRPr="00BF47B9">
        <w:t>a</w:t>
      </w:r>
      <w:r w:rsidR="002E107E">
        <w:t>”</w:t>
      </w:r>
      <w:r w:rsidR="0076125B" w:rsidRPr="00BF47B9">
        <w:t xml:space="preserve"> apakšpunkts un </w:t>
      </w:r>
      <w:r w:rsidR="002E107E">
        <w:t>„</w:t>
      </w:r>
      <w:r w:rsidR="0076125B" w:rsidRPr="00BF47B9">
        <w:t>b</w:t>
      </w:r>
      <w:r w:rsidR="002E107E">
        <w:t>”</w:t>
      </w:r>
      <w:r w:rsidR="0076125B" w:rsidRPr="00BF47B9">
        <w:t xml:space="preserve"> apakšpunkts. </w:t>
      </w:r>
      <w:r w:rsidR="00A97060" w:rsidRPr="00BF47B9">
        <w:t>Lietā minētās preces nav atzīstamas par „namdaru un būvgaldnieku darinājumiem”, t.i., precēm</w:t>
      </w:r>
      <w:r w:rsidR="00A97060" w:rsidRPr="00F54AEA">
        <w:t xml:space="preserve"> importēšanas brīdī nav objektīvo pazīmju un īpašību, kas minētas </w:t>
      </w:r>
      <w:r w:rsidR="00450E85">
        <w:t xml:space="preserve">kombinētās nomenklatūras </w:t>
      </w:r>
      <w:r w:rsidR="00A97060" w:rsidRPr="00F54AEA">
        <w:t xml:space="preserve">pozīcijas 4418 aprakstā, gluži pretēji, minētās preces importēšanas brīdī ir skaidri definētas </w:t>
      </w:r>
      <w:r w:rsidR="00450E85">
        <w:t>kombinētās nomenklatūras</w:t>
      </w:r>
      <w:r w:rsidR="00A97060" w:rsidRPr="00F54AEA">
        <w:t xml:space="preserve"> pozīcijā </w:t>
      </w:r>
      <w:r w:rsidR="00450E85">
        <w:t>kā „</w:t>
      </w:r>
      <w:r w:rsidR="00A97060" w:rsidRPr="00F54AEA">
        <w:t xml:space="preserve">tamlīdzīgi laminēti koksnes materiāli”. </w:t>
      </w:r>
    </w:p>
    <w:p w14:paraId="20A6B111" w14:textId="406F73FB" w:rsidR="008C43BE" w:rsidRDefault="008C43BE" w:rsidP="00CF359D">
      <w:pPr>
        <w:spacing w:line="276" w:lineRule="auto"/>
        <w:ind w:firstLine="567"/>
        <w:jc w:val="both"/>
      </w:pPr>
    </w:p>
    <w:p w14:paraId="0EC132F0" w14:textId="02497A67" w:rsidR="008C43BE" w:rsidRDefault="008C43BE" w:rsidP="00CF359D">
      <w:pPr>
        <w:spacing w:line="276" w:lineRule="auto"/>
        <w:ind w:firstLine="567"/>
        <w:jc w:val="both"/>
      </w:pPr>
      <w:r>
        <w:t>[5]</w:t>
      </w:r>
      <w:r w:rsidR="00B853FD">
        <w:t> </w:t>
      </w:r>
      <w:r>
        <w:t xml:space="preserve">Senāts uzdeva Eiropas Savienības Tiesai prejudiciālos jautājumus par kombinētās nomenklatūras </w:t>
      </w:r>
      <w:r w:rsidR="002E107E">
        <w:t>pozīciju</w:t>
      </w:r>
      <w:r>
        <w:t xml:space="preserve"> interpretāciju.</w:t>
      </w:r>
    </w:p>
    <w:p w14:paraId="4E9320E9" w14:textId="1393C86C" w:rsidR="008C43BE" w:rsidRDefault="008C43BE" w:rsidP="00CF359D">
      <w:pPr>
        <w:spacing w:line="276" w:lineRule="auto"/>
        <w:ind w:firstLine="567"/>
        <w:jc w:val="both"/>
      </w:pPr>
      <w:r>
        <w:t xml:space="preserve">Eiropas Savienības Tiesa </w:t>
      </w:r>
      <w:proofErr w:type="gramStart"/>
      <w:r>
        <w:t>2022.gada</w:t>
      </w:r>
      <w:proofErr w:type="gramEnd"/>
      <w:r>
        <w:t xml:space="preserve"> 28.aprīļa spriedumā lietā </w:t>
      </w:r>
      <w:r w:rsidR="008601EE" w:rsidRPr="008601EE">
        <w:rPr>
          <w:i/>
          <w:iCs/>
        </w:rPr>
        <w:t>PRODEX</w:t>
      </w:r>
      <w:r w:rsidR="008601EE">
        <w:t xml:space="preserve"> </w:t>
      </w:r>
      <w:r>
        <w:t>Nr. C-72/21 (</w:t>
      </w:r>
      <w:r w:rsidRPr="008C43BE">
        <w:t>ECLI:EU:C:2022:312</w:t>
      </w:r>
      <w:r>
        <w:t xml:space="preserve">) sniedza </w:t>
      </w:r>
      <w:r w:rsidR="002E107E">
        <w:t xml:space="preserve">atbildi, ka </w:t>
      </w:r>
      <w:r>
        <w:t>k</w:t>
      </w:r>
      <w:r w:rsidRPr="008C43BE">
        <w:t>ombinētās nomenklatūras apakšpozīcija 4418 20, lasot to kopā ar Padomes Regulas (EEK) Nr. 2658/87 (1987. gada 23. jūlijs) par tarifu un statistikas nomenklatūru un kopējo muitas tarifu, redakcijā, kas izriet no Īstenošanas regulas</w:t>
      </w:r>
      <w:r w:rsidR="002E107E">
        <w:t xml:space="preserve">, </w:t>
      </w:r>
      <w:r w:rsidRPr="008C43BE">
        <w:t>I</w:t>
      </w:r>
      <w:r w:rsidR="002E107E">
        <w:t> </w:t>
      </w:r>
      <w:r w:rsidRPr="008C43BE">
        <w:t xml:space="preserve">pielikumā ietverto vispārīgo šīs nomenklatūras interpretācijas noteikumu 2.noteikuma </w:t>
      </w:r>
      <w:r w:rsidR="002E107E">
        <w:t>„</w:t>
      </w:r>
      <w:r w:rsidRPr="008C43BE">
        <w:t>a</w:t>
      </w:r>
      <w:r w:rsidR="002E107E">
        <w:t>” </w:t>
      </w:r>
      <w:r w:rsidRPr="008C43BE">
        <w:t>punkta pirmo daļu, ir interpretējama tādējādi, ka tajā kā atsevišķas preces ietilpst arī preces, kas ir aprakstītas kā koka plātnes un līstes, kurām ir profils un dekoratīvā apstrāde, kas objektīvi liecina par to sagaidāmo izmantošanu durvju rāmju, durvju aplodu un sliekšņu izgatavošanai, pat ja tās ir negatavas vai nepabeigtas, ja vien šīs preces ir tikušas tālāk apstrādātas līdz tādai pakāpei, kas ļauj tās nepārprotami atpazīt kā tādas un ja tādējādi tām piemīt pabeigtas preces pamatīpašības.</w:t>
      </w:r>
    </w:p>
    <w:p w14:paraId="77118279" w14:textId="77777777" w:rsidR="008C43BE" w:rsidRDefault="008C43BE" w:rsidP="00CF359D">
      <w:pPr>
        <w:spacing w:line="276" w:lineRule="auto"/>
        <w:ind w:firstLine="567"/>
        <w:jc w:val="both"/>
      </w:pPr>
    </w:p>
    <w:p w14:paraId="4FF86867" w14:textId="0288E003" w:rsidR="00791199" w:rsidRDefault="002E107E" w:rsidP="00CF359D">
      <w:pPr>
        <w:spacing w:line="276" w:lineRule="auto"/>
        <w:ind w:firstLine="567"/>
        <w:jc w:val="both"/>
      </w:pPr>
      <w:r>
        <w:t>[6]</w:t>
      </w:r>
      <w:r w:rsidR="00B853FD">
        <w:t> </w:t>
      </w:r>
      <w:r>
        <w:t xml:space="preserve">Pieteicēja sakarā ar Eiropas Savienības Tiesas spriedumu ir sniegusi papildu paskaidrojumus. Tajos pieteicēja norāda, ka </w:t>
      </w:r>
      <w:r w:rsidR="003B0BCD">
        <w:t xml:space="preserve">Tiesa ir apstiprinājusi pieteicējas argumentus par </w:t>
      </w:r>
      <w:r w:rsidR="003B0BCD">
        <w:lastRenderedPageBreak/>
        <w:t>to, ka strīdus precēm piemīt pabeigtu preču pamatīpašības neatkarīgi no tā, vai tās ir importētas komplektos.</w:t>
      </w:r>
    </w:p>
    <w:p w14:paraId="76F9CDC4" w14:textId="77777777" w:rsidR="002E107E" w:rsidRPr="00F54AEA" w:rsidRDefault="002E107E" w:rsidP="00CF359D">
      <w:pPr>
        <w:spacing w:line="276" w:lineRule="auto"/>
        <w:ind w:firstLine="567"/>
        <w:jc w:val="both"/>
      </w:pPr>
    </w:p>
    <w:p w14:paraId="6057CC81" w14:textId="77777777" w:rsidR="002D5D31" w:rsidRPr="00F54AEA" w:rsidRDefault="002D5D31" w:rsidP="00CF359D">
      <w:pPr>
        <w:spacing w:line="276" w:lineRule="auto"/>
        <w:jc w:val="center"/>
        <w:rPr>
          <w:b/>
          <w:lang w:eastAsia="lv-LV"/>
        </w:rPr>
      </w:pPr>
      <w:r w:rsidRPr="00F54AEA">
        <w:rPr>
          <w:b/>
          <w:lang w:eastAsia="lv-LV"/>
        </w:rPr>
        <w:t>Motīvu daļa</w:t>
      </w:r>
    </w:p>
    <w:p w14:paraId="234D5FAF" w14:textId="77777777" w:rsidR="002D5D31" w:rsidRPr="00F54AEA" w:rsidRDefault="002D5D31" w:rsidP="00CF359D">
      <w:pPr>
        <w:spacing w:line="276" w:lineRule="auto"/>
        <w:ind w:firstLine="567"/>
        <w:jc w:val="center"/>
        <w:rPr>
          <w:b/>
          <w:lang w:eastAsia="lv-LV"/>
        </w:rPr>
      </w:pPr>
    </w:p>
    <w:p w14:paraId="7CF43F90" w14:textId="1FC07C95" w:rsidR="00596EAD" w:rsidRDefault="00771DF5" w:rsidP="00CF359D">
      <w:pPr>
        <w:spacing w:line="276" w:lineRule="auto"/>
        <w:ind w:firstLine="567"/>
        <w:jc w:val="both"/>
      </w:pPr>
      <w:r>
        <w:t>[</w:t>
      </w:r>
      <w:r w:rsidR="00BC21C5">
        <w:t>7</w:t>
      </w:r>
      <w:r>
        <w:t>]</w:t>
      </w:r>
      <w:r w:rsidR="00B853FD">
        <w:t> </w:t>
      </w:r>
      <w:r w:rsidR="00596EAD">
        <w:t xml:space="preserve">Apgabaltiesas secinājums par strīdus preču – </w:t>
      </w:r>
      <w:r w:rsidR="00596EAD" w:rsidRPr="00596EAD">
        <w:t xml:space="preserve">skujkoku koksnes iekšdurvis ar kārbām un aplodām </w:t>
      </w:r>
      <w:r w:rsidR="00596EAD">
        <w:t xml:space="preserve">– klasifikāciju apakšpozīcijās ar kodiem </w:t>
      </w:r>
      <w:r w:rsidR="00596EAD" w:rsidRPr="00596EAD">
        <w:t>4411</w:t>
      </w:r>
      <w:r w:rsidR="00CB0144">
        <w:t> </w:t>
      </w:r>
      <w:r w:rsidR="00596EAD" w:rsidRPr="00596EAD">
        <w:t>13</w:t>
      </w:r>
      <w:r w:rsidR="00CB0144">
        <w:t> </w:t>
      </w:r>
      <w:r w:rsidR="00596EAD" w:rsidRPr="00596EAD">
        <w:t>90</w:t>
      </w:r>
      <w:r w:rsidR="00CB0144">
        <w:t> </w:t>
      </w:r>
      <w:r w:rsidR="00596EAD" w:rsidRPr="00596EAD">
        <w:t>00, 4411</w:t>
      </w:r>
      <w:r w:rsidR="00CB0144">
        <w:t> </w:t>
      </w:r>
      <w:r w:rsidR="00596EAD" w:rsidRPr="00596EAD">
        <w:t>14</w:t>
      </w:r>
      <w:r w:rsidR="00CB0144">
        <w:t> </w:t>
      </w:r>
      <w:r w:rsidR="00596EAD" w:rsidRPr="00596EAD">
        <w:t>90</w:t>
      </w:r>
      <w:r w:rsidR="00CB0144">
        <w:t> </w:t>
      </w:r>
      <w:r w:rsidR="00596EAD" w:rsidRPr="00596EAD">
        <w:t>00 un 4412</w:t>
      </w:r>
      <w:r w:rsidR="00596EAD">
        <w:t> </w:t>
      </w:r>
      <w:r w:rsidR="00596EAD" w:rsidRPr="00596EAD">
        <w:t>99</w:t>
      </w:r>
      <w:r w:rsidR="00596EAD">
        <w:t> </w:t>
      </w:r>
      <w:r w:rsidR="00596EAD" w:rsidRPr="00596EAD">
        <w:t>85</w:t>
      </w:r>
      <w:r w:rsidR="00CB0144">
        <w:t> </w:t>
      </w:r>
      <w:r w:rsidR="00596EAD" w:rsidRPr="00596EAD">
        <w:t xml:space="preserve">90 (kokšķiedru vai citu </w:t>
      </w:r>
      <w:proofErr w:type="spellStart"/>
      <w:r w:rsidR="00596EAD" w:rsidRPr="00596EAD">
        <w:t>koksnveida</w:t>
      </w:r>
      <w:proofErr w:type="spellEnd"/>
      <w:r w:rsidR="00596EAD" w:rsidRPr="00596EAD">
        <w:t xml:space="preserve"> materiālu plātnes, saplāksnis, finierētas plātnes un tamlīdzīgi laminēti koksnes materiāli)</w:t>
      </w:r>
      <w:r w:rsidR="00596EAD">
        <w:t xml:space="preserve"> ir pamatots ar apstākli, ka </w:t>
      </w:r>
      <w:r w:rsidR="006D7788" w:rsidRPr="006D7788">
        <w:t>nav konstatējamas ne mazumtirdzniecības komplekta (durvis ar visām to sastāvdaļām – kārbām, aplodām, vērtni u.tml.) pazīmes, kam nepārprotami ir jābūt identificējamām preces deklarēšanas brīdī, ne izjaukta izstrādājuma kopums</w:t>
      </w:r>
      <w:r w:rsidR="006D7788">
        <w:t>.</w:t>
      </w:r>
    </w:p>
    <w:p w14:paraId="0FE87767" w14:textId="776ABBF9" w:rsidR="00BC21C5" w:rsidRDefault="00BC21C5" w:rsidP="00CF359D">
      <w:pPr>
        <w:spacing w:line="276" w:lineRule="auto"/>
        <w:ind w:firstLine="567"/>
        <w:jc w:val="both"/>
      </w:pPr>
      <w:r>
        <w:t>Kā redzams no Eiropas Savienības Tiesas sprieduma</w:t>
      </w:r>
      <w:r w:rsidR="006D7788">
        <w:t xml:space="preserve"> lietā </w:t>
      </w:r>
      <w:r w:rsidR="006D7788" w:rsidRPr="006D7788">
        <w:rPr>
          <w:i/>
          <w:iCs/>
        </w:rPr>
        <w:t>PRODEX</w:t>
      </w:r>
      <w:r>
        <w:t xml:space="preserve">, </w:t>
      </w:r>
      <w:r w:rsidR="006D7788">
        <w:t xml:space="preserve">šāds secinājums ir balstīts </w:t>
      </w:r>
      <w:r>
        <w:t>uz nepareizu izpratni par kombinētās nomenklatūras pozīcijām.</w:t>
      </w:r>
    </w:p>
    <w:p w14:paraId="1C6DCBAE" w14:textId="60DA322F" w:rsidR="00BC21C5" w:rsidRDefault="00BC21C5" w:rsidP="00CF359D">
      <w:pPr>
        <w:spacing w:line="276" w:lineRule="auto"/>
        <w:ind w:firstLine="567"/>
        <w:jc w:val="both"/>
      </w:pPr>
    </w:p>
    <w:p w14:paraId="66FB9CE2" w14:textId="1FDC548A" w:rsidR="008601EE" w:rsidRDefault="00BC21C5" w:rsidP="00CF359D">
      <w:pPr>
        <w:spacing w:line="276" w:lineRule="auto"/>
        <w:ind w:firstLine="567"/>
        <w:jc w:val="both"/>
      </w:pPr>
      <w:r>
        <w:t>[8]</w:t>
      </w:r>
      <w:r w:rsidR="00B853FD">
        <w:t> </w:t>
      </w:r>
      <w:r w:rsidR="008601EE">
        <w:t>Pirmkārt, k</w:t>
      </w:r>
      <w:r>
        <w:t xml:space="preserve">ā skaidri izriet no Eiropas Savienības Tiesas sprieduma, pieteicējas piemērotā kombinētās nomenklatūras pozīcija </w:t>
      </w:r>
      <w:r w:rsidRPr="00BC21C5">
        <w:t>kombinētās nomenklatūras apakšpozīcija 4418</w:t>
      </w:r>
      <w:r w:rsidR="009930B2">
        <w:t> </w:t>
      </w:r>
      <w:r w:rsidRPr="00BC21C5">
        <w:t xml:space="preserve">20 </w:t>
      </w:r>
      <w:r w:rsidR="006D7788">
        <w:t>„</w:t>
      </w:r>
      <w:r w:rsidR="006D7788" w:rsidRPr="006D7788">
        <w:t>durvis, to aplodas un sliekšņi</w:t>
      </w:r>
      <w:r w:rsidR="006D7788">
        <w:t>”</w:t>
      </w:r>
      <w:r w:rsidR="006D7788" w:rsidRPr="006D7788">
        <w:t xml:space="preserve"> </w:t>
      </w:r>
      <w:r w:rsidRPr="00BC21C5">
        <w:t xml:space="preserve">ir interpretējama tādējādi, ka tā ietver durvju rāmi, aplodu un slieksni kā </w:t>
      </w:r>
      <w:r w:rsidRPr="008601EE">
        <w:rPr>
          <w:i/>
          <w:iCs/>
        </w:rPr>
        <w:t>atsevišķi</w:t>
      </w:r>
      <w:r w:rsidRPr="00BC21C5">
        <w:t xml:space="preserve"> aplūkojamas preces</w:t>
      </w:r>
      <w:r w:rsidR="008601EE">
        <w:t xml:space="preserve"> (</w:t>
      </w:r>
      <w:r w:rsidR="008601EE" w:rsidRPr="008601EE">
        <w:rPr>
          <w:i/>
          <w:iCs/>
        </w:rPr>
        <w:t>sprieduma lietā „PRODEX” 34.punkts</w:t>
      </w:r>
      <w:r w:rsidR="008601EE">
        <w:t>).</w:t>
      </w:r>
    </w:p>
    <w:p w14:paraId="1B7FD720" w14:textId="735DEBC8" w:rsidR="006D7788" w:rsidRDefault="006D7788" w:rsidP="00CF359D">
      <w:pPr>
        <w:spacing w:line="276" w:lineRule="auto"/>
        <w:ind w:firstLine="567"/>
        <w:jc w:val="both"/>
      </w:pPr>
      <w:r>
        <w:t>Tātad arī atsevišķi importēti durvju rāmji, aplodas un sliekšņi neatkarīgi no to skaita</w:t>
      </w:r>
      <w:proofErr w:type="gramStart"/>
      <w:r>
        <w:t xml:space="preserve"> un</w:t>
      </w:r>
      <w:proofErr w:type="gramEnd"/>
      <w:r>
        <w:t xml:space="preserve"> iespējas pilnībā nokomplektēt noteiktu skaitu iekšdurvju var tikt klasificēti apakšpozīcijā </w:t>
      </w:r>
      <w:r w:rsidRPr="00BC21C5">
        <w:t>4418</w:t>
      </w:r>
      <w:r>
        <w:t> </w:t>
      </w:r>
      <w:r w:rsidRPr="00BC21C5">
        <w:t>20</w:t>
      </w:r>
      <w:r>
        <w:t>.</w:t>
      </w:r>
    </w:p>
    <w:p w14:paraId="3C7EAEEA" w14:textId="25DE2FE6" w:rsidR="008601EE" w:rsidRDefault="008601EE" w:rsidP="00CF359D">
      <w:pPr>
        <w:spacing w:line="276" w:lineRule="auto"/>
        <w:ind w:firstLine="567"/>
        <w:jc w:val="both"/>
      </w:pPr>
      <w:r>
        <w:t xml:space="preserve">Līdz ar to apgabaltiesa nepamatoti uzskatījusi, ka pieteicējas importētajām precēm ir jāveido durvju komplekti no rāmjiem, aplodām un sliekšņiem. </w:t>
      </w:r>
    </w:p>
    <w:p w14:paraId="57E0599A" w14:textId="09770456" w:rsidR="008601EE" w:rsidRDefault="008601EE" w:rsidP="00CF359D">
      <w:pPr>
        <w:spacing w:line="276" w:lineRule="auto"/>
        <w:ind w:firstLine="567"/>
        <w:jc w:val="both"/>
      </w:pPr>
    </w:p>
    <w:p w14:paraId="35EE131C" w14:textId="672C31A1" w:rsidR="008601EE" w:rsidRDefault="008601EE" w:rsidP="00CF359D">
      <w:pPr>
        <w:spacing w:line="276" w:lineRule="auto"/>
        <w:ind w:firstLine="567"/>
        <w:jc w:val="both"/>
      </w:pPr>
      <w:r>
        <w:t>[9]</w:t>
      </w:r>
      <w:r w:rsidR="00B853FD">
        <w:t> </w:t>
      </w:r>
      <w:r>
        <w:t xml:space="preserve">Otrkārt, </w:t>
      </w:r>
      <w:r w:rsidR="00823E87">
        <w:t>ievērojot kombinētās nomenklatūras</w:t>
      </w:r>
      <w:r w:rsidR="00823E87" w:rsidRPr="00823E87">
        <w:t xml:space="preserve"> vispārīgo interpretācijas noteikumu 2.noteikuma </w:t>
      </w:r>
      <w:r w:rsidR="00823E87">
        <w:t>„</w:t>
      </w:r>
      <w:r w:rsidR="00823E87" w:rsidRPr="00823E87">
        <w:t>a</w:t>
      </w:r>
      <w:r w:rsidR="00823E87">
        <w:t>”</w:t>
      </w:r>
      <w:r w:rsidR="00CB0144">
        <w:t> </w:t>
      </w:r>
      <w:r w:rsidR="00823E87">
        <w:t>p</w:t>
      </w:r>
      <w:r w:rsidR="00823E87" w:rsidRPr="00823E87">
        <w:t>unkta pirm</w:t>
      </w:r>
      <w:r w:rsidR="00823E87">
        <w:t>o</w:t>
      </w:r>
      <w:r w:rsidR="00823E87" w:rsidRPr="00823E87">
        <w:t xml:space="preserve"> daļ</w:t>
      </w:r>
      <w:r w:rsidR="00823E87">
        <w:t>u,</w:t>
      </w:r>
      <w:r w:rsidR="00823E87" w:rsidRPr="00823E87">
        <w:t xml:space="preserve"> </w:t>
      </w:r>
      <w:r>
        <w:t>šīs atsevišķās preces ir klasificējamas apakšpozīcijā</w:t>
      </w:r>
      <w:r w:rsidR="009930B2" w:rsidRPr="009930B2">
        <w:t xml:space="preserve"> </w:t>
      </w:r>
      <w:r w:rsidR="00314795" w:rsidRPr="00BC21C5">
        <w:t>4418</w:t>
      </w:r>
      <w:r w:rsidR="00314795">
        <w:t> </w:t>
      </w:r>
      <w:r w:rsidR="00314795" w:rsidRPr="00BC21C5">
        <w:t xml:space="preserve">20 </w:t>
      </w:r>
      <w:r w:rsidR="009930B2">
        <w:t>arī tad</w:t>
      </w:r>
      <w:r>
        <w:t>, ja tās nav pilnībā pabeigtas. Kā skaidrojusi Eiropas Savienības Tiesa, minētajā apakšpozīcijā</w:t>
      </w:r>
      <w:r w:rsidRPr="008601EE">
        <w:t xml:space="preserve"> ietilpst arī preces, kas ir</w:t>
      </w:r>
      <w:proofErr w:type="gramStart"/>
      <w:r w:rsidRPr="008601EE">
        <w:t xml:space="preserve"> aprakstītas kā koka plātnes un līstes</w:t>
      </w:r>
      <w:proofErr w:type="gramEnd"/>
      <w:r w:rsidRPr="008601EE">
        <w:t xml:space="preserve">, kurām ir profils un dekoratīvā apstrāde, </w:t>
      </w:r>
      <w:r w:rsidRPr="006162FA">
        <w:rPr>
          <w:i/>
          <w:iCs/>
        </w:rPr>
        <w:t>kas objektīvi liecina par to sagaidāmo izmantošanu</w:t>
      </w:r>
      <w:r w:rsidRPr="008601EE">
        <w:t xml:space="preserve"> durvju rāmju, durvju aplodu un sliekšņu izgatavošanai, pat ja tās ir negatavas vai nepabeigtas, </w:t>
      </w:r>
      <w:r w:rsidRPr="006162FA">
        <w:t>ja</w:t>
      </w:r>
      <w:r w:rsidRPr="008601EE">
        <w:t xml:space="preserve"> vien šīs preces ir tikušas tālāk apstrādātas līdz tādai pakāpei, </w:t>
      </w:r>
      <w:r w:rsidRPr="00823E87">
        <w:rPr>
          <w:i/>
          <w:iCs/>
        </w:rPr>
        <w:t>kas ļauj tās nepārprotami atpazīt kā tādas</w:t>
      </w:r>
      <w:r w:rsidRPr="008601EE">
        <w:t xml:space="preserve"> un ja tādējādi tām piemīt pabeigtas preces pamatīpašības</w:t>
      </w:r>
      <w:r w:rsidR="009930B2">
        <w:t xml:space="preserve">. </w:t>
      </w:r>
      <w:r w:rsidR="009930B2" w:rsidRPr="009930B2">
        <w:t>Savukārt, ja nav veiktas tādas apstrādes darbības, kas ļautu uzskatīt, ka šīs preces ir paredzēts izmantot tikai kā durvis, to rāmjus, aplodas un sliekšņus, minētās preces nevar klasificēt apakšpozīcijā 4418</w:t>
      </w:r>
      <w:r w:rsidR="00CB0144">
        <w:t> </w:t>
      </w:r>
      <w:r w:rsidR="009930B2" w:rsidRPr="009930B2">
        <w:t xml:space="preserve">20 un attiecīgā gadījumā tās ir klasificējamas </w:t>
      </w:r>
      <w:r w:rsidR="00823E87">
        <w:t>kombinētās nomenklatūras</w:t>
      </w:r>
      <w:r w:rsidR="009930B2" w:rsidRPr="009930B2">
        <w:t xml:space="preserve"> pozīcijā 4411 un 4412 kā kokšķiedru plātnes, saplāksnis, finierētas plātnes un tamlīdzīgi laminēti koksnes materiāli</w:t>
      </w:r>
      <w:r w:rsidR="009930B2">
        <w:t xml:space="preserve"> (</w:t>
      </w:r>
      <w:r w:rsidR="009930B2" w:rsidRPr="009930B2">
        <w:rPr>
          <w:i/>
          <w:iCs/>
        </w:rPr>
        <w:t>sprieduma lietā „PRODEX” 38.–39.punkts</w:t>
      </w:r>
      <w:r w:rsidR="009930B2">
        <w:t>)</w:t>
      </w:r>
      <w:r w:rsidR="006162FA">
        <w:t>.</w:t>
      </w:r>
    </w:p>
    <w:p w14:paraId="03EEC1BA" w14:textId="46C09A0F" w:rsidR="006162FA" w:rsidRDefault="00310195" w:rsidP="00CF359D">
      <w:pPr>
        <w:spacing w:line="276" w:lineRule="auto"/>
        <w:ind w:firstLine="567"/>
        <w:jc w:val="both"/>
      </w:pPr>
      <w:r>
        <w:t>Kā secināms no Eiropas Savienības Tiesas sprieduma, vispārīgo interpretācijas noteikumu 2.noteikuma „a” punkta pirmā daļa un otrā daļa ietver divus atšķirīgus gadījumus, kuros preci var ietvert noteiktā pozīcijā, un šajā lietā atbilstoši pieteicēja</w:t>
      </w:r>
      <w:r w:rsidR="00CB0144">
        <w:t>s</w:t>
      </w:r>
      <w:r>
        <w:t xml:space="preserve"> skaidrojumam būtu jāpārbauda 2.noteikuma „a” punkta pirmās daļas kritērija izpildīšanās.</w:t>
      </w:r>
    </w:p>
    <w:p w14:paraId="7F14D898" w14:textId="77777777" w:rsidR="00310195" w:rsidRDefault="00310195" w:rsidP="00CF359D">
      <w:pPr>
        <w:spacing w:line="276" w:lineRule="auto"/>
        <w:ind w:firstLine="567"/>
        <w:jc w:val="both"/>
      </w:pPr>
    </w:p>
    <w:p w14:paraId="1FFE4DC1" w14:textId="1FE5DE10" w:rsidR="006162FA" w:rsidRDefault="006162FA" w:rsidP="00CF359D">
      <w:pPr>
        <w:spacing w:line="276" w:lineRule="auto"/>
        <w:ind w:firstLine="567"/>
        <w:jc w:val="both"/>
      </w:pPr>
      <w:r>
        <w:t>[</w:t>
      </w:r>
      <w:r w:rsidR="001E7308">
        <w:t>10</w:t>
      </w:r>
      <w:r>
        <w:t>]</w:t>
      </w:r>
      <w:r w:rsidR="00B853FD">
        <w:t> </w:t>
      </w:r>
      <w:r>
        <w:t xml:space="preserve">Tā kā apgabaltiesa ir uzskatījusi par būtisku to, ka preces nav tikušas importētas komplektos, kas veidotu pilnu durvju komplektu, spriedums ir kļūdains un atceļams. </w:t>
      </w:r>
    </w:p>
    <w:p w14:paraId="2C43EE4A" w14:textId="77777777" w:rsidR="006162FA" w:rsidRDefault="006162FA" w:rsidP="00CF359D">
      <w:pPr>
        <w:spacing w:line="276" w:lineRule="auto"/>
        <w:ind w:firstLine="567"/>
        <w:jc w:val="both"/>
      </w:pPr>
    </w:p>
    <w:p w14:paraId="21EC6766" w14:textId="33504602" w:rsidR="008601EE" w:rsidRDefault="006162FA" w:rsidP="00CF359D">
      <w:pPr>
        <w:spacing w:line="276" w:lineRule="auto"/>
        <w:ind w:firstLine="567"/>
        <w:jc w:val="both"/>
      </w:pPr>
      <w:r>
        <w:lastRenderedPageBreak/>
        <w:t>[</w:t>
      </w:r>
      <w:r w:rsidR="001E7308">
        <w:t>11</w:t>
      </w:r>
      <w:r>
        <w:t>]</w:t>
      </w:r>
      <w:r w:rsidR="00B853FD">
        <w:t> </w:t>
      </w:r>
      <w:r>
        <w:t xml:space="preserve">Lai pārbaudītu Valsts ieņēmumu dienesta lēmuma tiesiskumu, tiesai, izskatot lietu no jauna, ir jāpārbauda, vai pieteicējas importētās preces – </w:t>
      </w:r>
      <w:r w:rsidRPr="008601EE">
        <w:t>koka plātnes un līstes, kurām ir profils un dekoratīvā apstrāde</w:t>
      </w:r>
      <w:r>
        <w:t xml:space="preserve"> – ir tikušas apstrādātas līdz tādai pakāpei, kas ļauj tās nepārprotami atpazīt kā </w:t>
      </w:r>
      <w:r w:rsidRPr="008601EE">
        <w:t>durvju rāmju</w:t>
      </w:r>
      <w:r>
        <w:t>s</w:t>
      </w:r>
      <w:r w:rsidRPr="008601EE">
        <w:t>, durvju aplod</w:t>
      </w:r>
      <w:r>
        <w:t>as</w:t>
      </w:r>
      <w:r w:rsidRPr="008601EE">
        <w:t xml:space="preserve"> un sliekšņ</w:t>
      </w:r>
      <w:r>
        <w:t>us. Ja tas tā ir, tad preces ir klasificējamas minētajā apakšpozīcijā kā tādas, kurām piemīt pabeigtu preču pamatīpašības.</w:t>
      </w:r>
    </w:p>
    <w:p w14:paraId="7AFAE996" w14:textId="77777777" w:rsidR="002D5D31" w:rsidRPr="00F54AEA" w:rsidRDefault="002D5D31" w:rsidP="00CF359D">
      <w:pPr>
        <w:spacing w:line="276" w:lineRule="auto"/>
        <w:ind w:firstLine="567"/>
        <w:jc w:val="both"/>
      </w:pPr>
    </w:p>
    <w:p w14:paraId="06E009E5" w14:textId="77777777" w:rsidR="002D5D31" w:rsidRPr="00F54AEA" w:rsidRDefault="002D5D31" w:rsidP="00CF359D">
      <w:pPr>
        <w:spacing w:line="276" w:lineRule="auto"/>
        <w:jc w:val="center"/>
        <w:rPr>
          <w:b/>
        </w:rPr>
      </w:pPr>
      <w:r w:rsidRPr="00F54AEA">
        <w:rPr>
          <w:b/>
        </w:rPr>
        <w:t>Rezolutīvā daļa</w:t>
      </w:r>
    </w:p>
    <w:p w14:paraId="5BE846F8" w14:textId="77777777" w:rsidR="002D5D31" w:rsidRPr="00F54AEA" w:rsidRDefault="002D5D31" w:rsidP="00CF359D">
      <w:pPr>
        <w:spacing w:line="276" w:lineRule="auto"/>
        <w:ind w:firstLine="567"/>
        <w:jc w:val="both"/>
        <w:rPr>
          <w:bCs/>
          <w:spacing w:val="70"/>
        </w:rPr>
      </w:pPr>
    </w:p>
    <w:p w14:paraId="198F6250" w14:textId="77777777" w:rsidR="002C39F4" w:rsidRDefault="002C39F4" w:rsidP="00CF359D">
      <w:pPr>
        <w:spacing w:line="276" w:lineRule="auto"/>
        <w:ind w:firstLine="567"/>
        <w:jc w:val="both"/>
        <w:rPr>
          <w:rFonts w:asciiTheme="majorBidi" w:hAnsiTheme="majorBidi" w:cstheme="majorBidi"/>
        </w:rPr>
      </w:pPr>
      <w:r>
        <w:rPr>
          <w:rFonts w:asciiTheme="majorBidi" w:hAnsiTheme="majorBidi" w:cstheme="majorBidi"/>
        </w:rPr>
        <w:t>Pamatojoties uz Administratīvā procesa likuma 129.</w:t>
      </w:r>
      <w:proofErr w:type="gramStart"/>
      <w:r w:rsidRPr="002C39F4">
        <w:rPr>
          <w:rFonts w:asciiTheme="majorBidi" w:hAnsiTheme="majorBidi" w:cstheme="majorBidi"/>
          <w:vertAlign w:val="superscript"/>
        </w:rPr>
        <w:t>1</w:t>
      </w:r>
      <w:r>
        <w:rPr>
          <w:rFonts w:asciiTheme="majorBidi" w:hAnsiTheme="majorBidi" w:cstheme="majorBidi"/>
        </w:rPr>
        <w:t>panta</w:t>
      </w:r>
      <w:proofErr w:type="gramEnd"/>
      <w:r>
        <w:rPr>
          <w:rFonts w:asciiTheme="majorBidi" w:hAnsiTheme="majorBidi" w:cstheme="majorBidi"/>
        </w:rPr>
        <w:t xml:space="preserve"> pirmās daļas 1.punktu, 348.panta pirmās daļas 2.punktu un 351.pantu, Senāts</w:t>
      </w:r>
    </w:p>
    <w:p w14:paraId="2CBB5D6C" w14:textId="77777777" w:rsidR="002C39F4" w:rsidRDefault="002C39F4" w:rsidP="00CF359D">
      <w:pPr>
        <w:spacing w:line="276" w:lineRule="auto"/>
        <w:ind w:firstLine="567"/>
        <w:jc w:val="both"/>
        <w:rPr>
          <w:rFonts w:asciiTheme="majorBidi" w:hAnsiTheme="majorBidi" w:cstheme="majorBidi"/>
        </w:rPr>
      </w:pPr>
    </w:p>
    <w:p w14:paraId="2AFBC137" w14:textId="77777777" w:rsidR="002C39F4" w:rsidRDefault="002C39F4" w:rsidP="00CF359D">
      <w:pPr>
        <w:tabs>
          <w:tab w:val="left" w:pos="2700"/>
          <w:tab w:val="left" w:pos="6660"/>
        </w:tabs>
        <w:spacing w:line="276" w:lineRule="auto"/>
        <w:jc w:val="center"/>
        <w:rPr>
          <w:rFonts w:asciiTheme="majorBidi" w:hAnsiTheme="majorBidi" w:cstheme="majorBidi"/>
          <w:b/>
        </w:rPr>
      </w:pPr>
      <w:r>
        <w:rPr>
          <w:rFonts w:asciiTheme="majorBidi" w:hAnsiTheme="majorBidi" w:cstheme="majorBidi"/>
          <w:b/>
        </w:rPr>
        <w:t>nosprieda</w:t>
      </w:r>
    </w:p>
    <w:p w14:paraId="173031AD" w14:textId="77777777" w:rsidR="002C39F4" w:rsidRDefault="002C39F4" w:rsidP="00CF359D">
      <w:pPr>
        <w:tabs>
          <w:tab w:val="left" w:pos="2700"/>
          <w:tab w:val="left" w:pos="6660"/>
        </w:tabs>
        <w:spacing w:line="276" w:lineRule="auto"/>
        <w:ind w:firstLine="567"/>
        <w:jc w:val="center"/>
        <w:rPr>
          <w:rFonts w:asciiTheme="majorBidi" w:hAnsiTheme="majorBidi" w:cstheme="majorBidi"/>
          <w:b/>
          <w:bCs/>
          <w:spacing w:val="70"/>
        </w:rPr>
      </w:pPr>
    </w:p>
    <w:p w14:paraId="2EEE7365" w14:textId="7B462401" w:rsidR="002C39F4" w:rsidRDefault="002C39F4" w:rsidP="00CF359D">
      <w:pPr>
        <w:spacing w:line="276" w:lineRule="auto"/>
        <w:ind w:firstLine="567"/>
        <w:jc w:val="both"/>
        <w:rPr>
          <w:rFonts w:asciiTheme="majorBidi" w:hAnsiTheme="majorBidi" w:cstheme="majorBidi"/>
        </w:rPr>
      </w:pPr>
      <w:r>
        <w:rPr>
          <w:rFonts w:asciiTheme="majorBidi" w:hAnsiTheme="majorBidi" w:cstheme="majorBidi"/>
        </w:rPr>
        <w:t xml:space="preserve">atcelt Administratīvās apgabaltiesas </w:t>
      </w:r>
      <w:proofErr w:type="gramStart"/>
      <w:r w:rsidRPr="002C39F4">
        <w:rPr>
          <w:rFonts w:asciiTheme="majorBidi" w:hAnsiTheme="majorBidi" w:cstheme="majorBidi"/>
        </w:rPr>
        <w:t>2018.gada</w:t>
      </w:r>
      <w:proofErr w:type="gramEnd"/>
      <w:r w:rsidRPr="002C39F4">
        <w:rPr>
          <w:rFonts w:asciiTheme="majorBidi" w:hAnsiTheme="majorBidi" w:cstheme="majorBidi"/>
        </w:rPr>
        <w:t xml:space="preserve"> 25.janvāra </w:t>
      </w:r>
      <w:r>
        <w:rPr>
          <w:rFonts w:asciiTheme="majorBidi" w:hAnsiTheme="majorBidi" w:cstheme="majorBidi"/>
        </w:rPr>
        <w:t>spriedumu un nosūtīt lietu jaunai izskatīšanai Administratīvajai apgabaltiesai;</w:t>
      </w:r>
    </w:p>
    <w:p w14:paraId="49F32B2F" w14:textId="38F50341" w:rsidR="002C39F4" w:rsidRDefault="002C39F4" w:rsidP="00CF359D">
      <w:pPr>
        <w:spacing w:line="276" w:lineRule="auto"/>
        <w:ind w:firstLine="567"/>
        <w:jc w:val="both"/>
        <w:rPr>
          <w:rFonts w:asciiTheme="majorBidi" w:hAnsiTheme="majorBidi" w:cstheme="majorBidi"/>
        </w:rPr>
      </w:pPr>
      <w:r>
        <w:rPr>
          <w:rFonts w:asciiTheme="majorBidi" w:hAnsiTheme="majorBidi" w:cstheme="majorBidi"/>
        </w:rPr>
        <w:t xml:space="preserve">atmaksāt </w:t>
      </w:r>
      <w:r>
        <w:t>SIA</w:t>
      </w:r>
      <w:r w:rsidR="00B853FD">
        <w:t> </w:t>
      </w:r>
      <w:r>
        <w:t>„PRODEX” drošības naudu 70</w:t>
      </w:r>
      <w:r w:rsidR="00B853FD">
        <w:t> </w:t>
      </w:r>
      <w:proofErr w:type="spellStart"/>
      <w:r w:rsidRPr="00592010">
        <w:rPr>
          <w:i/>
          <w:iCs/>
        </w:rPr>
        <w:t>euro</w:t>
      </w:r>
      <w:proofErr w:type="spellEnd"/>
      <w:r>
        <w:t>.</w:t>
      </w:r>
    </w:p>
    <w:p w14:paraId="10CC96A6" w14:textId="77777777" w:rsidR="002C39F4" w:rsidRDefault="002C39F4" w:rsidP="00CF359D">
      <w:pPr>
        <w:spacing w:line="276" w:lineRule="auto"/>
        <w:ind w:firstLine="567"/>
        <w:jc w:val="both"/>
        <w:rPr>
          <w:rFonts w:asciiTheme="majorBidi" w:hAnsiTheme="majorBidi" w:cstheme="majorBidi"/>
          <w:bCs/>
          <w:lang w:eastAsia="lv-LV"/>
        </w:rPr>
      </w:pPr>
      <w:r>
        <w:rPr>
          <w:rFonts w:asciiTheme="majorBidi" w:hAnsiTheme="majorBidi" w:cstheme="majorBidi"/>
          <w:bCs/>
          <w:lang w:eastAsia="lv-LV"/>
        </w:rPr>
        <w:t>Spriedums nav pārsūdzams.</w:t>
      </w:r>
    </w:p>
    <w:p w14:paraId="46A0BD92" w14:textId="6C0511F9" w:rsidR="002D5D31" w:rsidRPr="00F54AEA" w:rsidRDefault="002D5D31" w:rsidP="002D5D31">
      <w:pPr>
        <w:spacing w:line="276" w:lineRule="auto"/>
        <w:ind w:firstLine="567"/>
        <w:jc w:val="both"/>
        <w:rPr>
          <w:bCs/>
          <w:lang w:eastAsia="lv-LV"/>
        </w:rPr>
      </w:pPr>
    </w:p>
    <w:p w14:paraId="1F957497" w14:textId="77777777" w:rsidR="002D5D31" w:rsidRPr="00F54AEA" w:rsidRDefault="002D5D31" w:rsidP="002D5D31">
      <w:pPr>
        <w:tabs>
          <w:tab w:val="left" w:pos="2700"/>
          <w:tab w:val="left" w:pos="6660"/>
        </w:tabs>
        <w:spacing w:line="276" w:lineRule="auto"/>
        <w:ind w:firstLine="567"/>
      </w:pPr>
    </w:p>
    <w:p w14:paraId="43A68392" w14:textId="77777777" w:rsidR="002D5D31" w:rsidRPr="00F54AEA" w:rsidRDefault="002D5D31" w:rsidP="002D5D31">
      <w:pPr>
        <w:tabs>
          <w:tab w:val="left" w:pos="2700"/>
          <w:tab w:val="left" w:pos="6660"/>
        </w:tabs>
        <w:spacing w:line="276" w:lineRule="auto"/>
        <w:ind w:firstLine="567"/>
      </w:pPr>
    </w:p>
    <w:p w14:paraId="599914B1" w14:textId="77777777" w:rsidR="00553851" w:rsidRPr="00F54AEA" w:rsidRDefault="00553851" w:rsidP="002C39F4">
      <w:pPr>
        <w:tabs>
          <w:tab w:val="left" w:pos="2880"/>
          <w:tab w:val="left" w:pos="4680"/>
          <w:tab w:val="left" w:pos="7797"/>
        </w:tabs>
        <w:spacing w:line="276" w:lineRule="auto"/>
        <w:ind w:firstLine="567"/>
        <w:jc w:val="both"/>
        <w:rPr>
          <w:rFonts w:eastAsiaTheme="minorHAnsi"/>
        </w:rPr>
      </w:pPr>
    </w:p>
    <w:sectPr w:rsidR="00553851" w:rsidRPr="00F54AEA" w:rsidSect="0010465A">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F163E" w14:textId="77777777" w:rsidR="00493552" w:rsidRDefault="00493552">
      <w:r>
        <w:separator/>
      </w:r>
    </w:p>
  </w:endnote>
  <w:endnote w:type="continuationSeparator" w:id="0">
    <w:p w14:paraId="26320EFD" w14:textId="77777777" w:rsidR="00493552" w:rsidRDefault="0049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205225D7" w:rsidR="009D7F1C" w:rsidRDefault="009D7F1C" w:rsidP="00581F4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B6C3A">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B6C3A">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564FF" w14:textId="77777777" w:rsidR="00493552" w:rsidRDefault="00493552">
      <w:r>
        <w:separator/>
      </w:r>
    </w:p>
  </w:footnote>
  <w:footnote w:type="continuationSeparator" w:id="0">
    <w:p w14:paraId="15B7CB47" w14:textId="77777777" w:rsidR="00493552" w:rsidRDefault="00493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2A8"/>
    <w:multiLevelType w:val="hybridMultilevel"/>
    <w:tmpl w:val="E4DEA820"/>
    <w:lvl w:ilvl="0" w:tplc="29BC60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2" w15:restartNumberingAfterBreak="1">
    <w:nsid w:val="1E8A41B2"/>
    <w:multiLevelType w:val="hybridMultilevel"/>
    <w:tmpl w:val="80FCB27C"/>
    <w:lvl w:ilvl="0" w:tplc="86B431BA">
      <w:start w:val="1"/>
      <w:numFmt w:val="upperRoman"/>
      <w:lvlText w:val="(%1)"/>
      <w:lvlJc w:val="left"/>
      <w:pPr>
        <w:ind w:left="1080" w:hanging="720"/>
      </w:pPr>
      <w:rPr>
        <w:rFonts w:hint="default"/>
      </w:rPr>
    </w:lvl>
    <w:lvl w:ilvl="1" w:tplc="F47CE490">
      <w:start w:val="1"/>
      <w:numFmt w:val="decimal"/>
      <w:lvlText w:val="%2."/>
      <w:lvlJc w:val="left"/>
      <w:pPr>
        <w:ind w:left="1440" w:hanging="360"/>
      </w:pPr>
      <w:rPr>
        <w:rFonts w:hint="default"/>
      </w:rPr>
    </w:lvl>
    <w:lvl w:ilvl="2" w:tplc="043CAEBA" w:tentative="1">
      <w:start w:val="1"/>
      <w:numFmt w:val="lowerRoman"/>
      <w:lvlText w:val="%3."/>
      <w:lvlJc w:val="right"/>
      <w:pPr>
        <w:ind w:left="2160" w:hanging="180"/>
      </w:pPr>
    </w:lvl>
    <w:lvl w:ilvl="3" w:tplc="8A00C6A0" w:tentative="1">
      <w:start w:val="1"/>
      <w:numFmt w:val="decimal"/>
      <w:lvlText w:val="%4."/>
      <w:lvlJc w:val="left"/>
      <w:pPr>
        <w:ind w:left="2880" w:hanging="360"/>
      </w:pPr>
    </w:lvl>
    <w:lvl w:ilvl="4" w:tplc="99061686" w:tentative="1">
      <w:start w:val="1"/>
      <w:numFmt w:val="lowerLetter"/>
      <w:lvlText w:val="%5."/>
      <w:lvlJc w:val="left"/>
      <w:pPr>
        <w:ind w:left="3600" w:hanging="360"/>
      </w:pPr>
    </w:lvl>
    <w:lvl w:ilvl="5" w:tplc="66C6211E" w:tentative="1">
      <w:start w:val="1"/>
      <w:numFmt w:val="lowerRoman"/>
      <w:lvlText w:val="%6."/>
      <w:lvlJc w:val="right"/>
      <w:pPr>
        <w:ind w:left="4320" w:hanging="180"/>
      </w:pPr>
    </w:lvl>
    <w:lvl w:ilvl="6" w:tplc="D1A65796" w:tentative="1">
      <w:start w:val="1"/>
      <w:numFmt w:val="decimal"/>
      <w:lvlText w:val="%7."/>
      <w:lvlJc w:val="left"/>
      <w:pPr>
        <w:ind w:left="5040" w:hanging="360"/>
      </w:pPr>
    </w:lvl>
    <w:lvl w:ilvl="7" w:tplc="6F0C82C8" w:tentative="1">
      <w:start w:val="1"/>
      <w:numFmt w:val="lowerLetter"/>
      <w:lvlText w:val="%8."/>
      <w:lvlJc w:val="left"/>
      <w:pPr>
        <w:ind w:left="5760" w:hanging="360"/>
      </w:pPr>
    </w:lvl>
    <w:lvl w:ilvl="8" w:tplc="9126FAF6" w:tentative="1">
      <w:start w:val="1"/>
      <w:numFmt w:val="lowerRoman"/>
      <w:lvlText w:val="%9."/>
      <w:lvlJc w:val="right"/>
      <w:pPr>
        <w:ind w:left="6480" w:hanging="180"/>
      </w:pPr>
    </w:lvl>
  </w:abstractNum>
  <w:abstractNum w:abstractNumId="3" w15:restartNumberingAfterBreak="0">
    <w:nsid w:val="335E6454"/>
    <w:multiLevelType w:val="hybridMultilevel"/>
    <w:tmpl w:val="B562F65E"/>
    <w:lvl w:ilvl="0" w:tplc="3D6CEA9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6622428"/>
    <w:multiLevelType w:val="hybridMultilevel"/>
    <w:tmpl w:val="47FCE3FC"/>
    <w:lvl w:ilvl="0" w:tplc="7DF6BF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94D272D"/>
    <w:multiLevelType w:val="hybridMultilevel"/>
    <w:tmpl w:val="328A56D4"/>
    <w:lvl w:ilvl="0" w:tplc="912CD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EB8319F"/>
    <w:multiLevelType w:val="hybridMultilevel"/>
    <w:tmpl w:val="4BF67A34"/>
    <w:lvl w:ilvl="0" w:tplc="452044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5183"/>
    <w:rsid w:val="00005D8D"/>
    <w:rsid w:val="00007C47"/>
    <w:rsid w:val="00015C61"/>
    <w:rsid w:val="0002233B"/>
    <w:rsid w:val="0002348A"/>
    <w:rsid w:val="00027040"/>
    <w:rsid w:val="00033C19"/>
    <w:rsid w:val="00043A39"/>
    <w:rsid w:val="00043FD2"/>
    <w:rsid w:val="000456E0"/>
    <w:rsid w:val="00046F91"/>
    <w:rsid w:val="000517B8"/>
    <w:rsid w:val="000540B3"/>
    <w:rsid w:val="00055E3C"/>
    <w:rsid w:val="00065E74"/>
    <w:rsid w:val="00074B82"/>
    <w:rsid w:val="000755D0"/>
    <w:rsid w:val="00085801"/>
    <w:rsid w:val="000914E2"/>
    <w:rsid w:val="000A2FCF"/>
    <w:rsid w:val="000A5DAB"/>
    <w:rsid w:val="000A7BCE"/>
    <w:rsid w:val="000B10D9"/>
    <w:rsid w:val="000B1B6A"/>
    <w:rsid w:val="000C73AD"/>
    <w:rsid w:val="000D0CC2"/>
    <w:rsid w:val="000E7992"/>
    <w:rsid w:val="000F3667"/>
    <w:rsid w:val="000F426E"/>
    <w:rsid w:val="000F5326"/>
    <w:rsid w:val="0010124A"/>
    <w:rsid w:val="0010465A"/>
    <w:rsid w:val="001066DC"/>
    <w:rsid w:val="00114754"/>
    <w:rsid w:val="00116D85"/>
    <w:rsid w:val="00121DDB"/>
    <w:rsid w:val="0012312E"/>
    <w:rsid w:val="0014176D"/>
    <w:rsid w:val="001417BF"/>
    <w:rsid w:val="00141EAE"/>
    <w:rsid w:val="00145699"/>
    <w:rsid w:val="00150A15"/>
    <w:rsid w:val="001547E8"/>
    <w:rsid w:val="00156AE9"/>
    <w:rsid w:val="00170DAC"/>
    <w:rsid w:val="00176065"/>
    <w:rsid w:val="00186AC8"/>
    <w:rsid w:val="00192066"/>
    <w:rsid w:val="001923E8"/>
    <w:rsid w:val="001A0AF2"/>
    <w:rsid w:val="001C515C"/>
    <w:rsid w:val="001D182A"/>
    <w:rsid w:val="001D328F"/>
    <w:rsid w:val="001E3FFE"/>
    <w:rsid w:val="001E7308"/>
    <w:rsid w:val="001F197E"/>
    <w:rsid w:val="002025C4"/>
    <w:rsid w:val="002059C1"/>
    <w:rsid w:val="00207E4E"/>
    <w:rsid w:val="00213106"/>
    <w:rsid w:val="00213D5B"/>
    <w:rsid w:val="0022293C"/>
    <w:rsid w:val="00231897"/>
    <w:rsid w:val="00232F83"/>
    <w:rsid w:val="00233397"/>
    <w:rsid w:val="00243C30"/>
    <w:rsid w:val="00247969"/>
    <w:rsid w:val="00266A75"/>
    <w:rsid w:val="00271153"/>
    <w:rsid w:val="002712D1"/>
    <w:rsid w:val="00277F79"/>
    <w:rsid w:val="00282A90"/>
    <w:rsid w:val="00282F52"/>
    <w:rsid w:val="002A5905"/>
    <w:rsid w:val="002A6CE7"/>
    <w:rsid w:val="002B2AB1"/>
    <w:rsid w:val="002B784E"/>
    <w:rsid w:val="002C39F4"/>
    <w:rsid w:val="002D5148"/>
    <w:rsid w:val="002D5AB1"/>
    <w:rsid w:val="002D5D31"/>
    <w:rsid w:val="002E107E"/>
    <w:rsid w:val="002E4C98"/>
    <w:rsid w:val="002F1EAB"/>
    <w:rsid w:val="002F2D9A"/>
    <w:rsid w:val="003009E8"/>
    <w:rsid w:val="00310195"/>
    <w:rsid w:val="00314795"/>
    <w:rsid w:val="003301E9"/>
    <w:rsid w:val="003345A5"/>
    <w:rsid w:val="003364B6"/>
    <w:rsid w:val="00346492"/>
    <w:rsid w:val="00353694"/>
    <w:rsid w:val="003619C8"/>
    <w:rsid w:val="003658B0"/>
    <w:rsid w:val="00367FA7"/>
    <w:rsid w:val="00376B6B"/>
    <w:rsid w:val="00382FA3"/>
    <w:rsid w:val="003B0BCD"/>
    <w:rsid w:val="003B43B7"/>
    <w:rsid w:val="003D35DE"/>
    <w:rsid w:val="003E4DEE"/>
    <w:rsid w:val="003E62F3"/>
    <w:rsid w:val="003E7979"/>
    <w:rsid w:val="003F4710"/>
    <w:rsid w:val="003F5F67"/>
    <w:rsid w:val="003F7428"/>
    <w:rsid w:val="00400164"/>
    <w:rsid w:val="00405FAF"/>
    <w:rsid w:val="00420797"/>
    <w:rsid w:val="004224FB"/>
    <w:rsid w:val="00426D47"/>
    <w:rsid w:val="00450969"/>
    <w:rsid w:val="00450E85"/>
    <w:rsid w:val="00452F03"/>
    <w:rsid w:val="0046677D"/>
    <w:rsid w:val="00473C14"/>
    <w:rsid w:val="00473CA5"/>
    <w:rsid w:val="004753CD"/>
    <w:rsid w:val="004759BA"/>
    <w:rsid w:val="00493552"/>
    <w:rsid w:val="0049473F"/>
    <w:rsid w:val="00495D8A"/>
    <w:rsid w:val="004A3FEE"/>
    <w:rsid w:val="004A47AD"/>
    <w:rsid w:val="004C5EC7"/>
    <w:rsid w:val="004C77BD"/>
    <w:rsid w:val="004D4680"/>
    <w:rsid w:val="004E4EA3"/>
    <w:rsid w:val="004F0158"/>
    <w:rsid w:val="00506E04"/>
    <w:rsid w:val="005106F1"/>
    <w:rsid w:val="005114AA"/>
    <w:rsid w:val="00527B38"/>
    <w:rsid w:val="00537EE6"/>
    <w:rsid w:val="00544FE8"/>
    <w:rsid w:val="005476EB"/>
    <w:rsid w:val="00551867"/>
    <w:rsid w:val="00553851"/>
    <w:rsid w:val="00556E57"/>
    <w:rsid w:val="00557824"/>
    <w:rsid w:val="00557C87"/>
    <w:rsid w:val="00565360"/>
    <w:rsid w:val="005713F8"/>
    <w:rsid w:val="0057256C"/>
    <w:rsid w:val="0057780B"/>
    <w:rsid w:val="00581E0E"/>
    <w:rsid w:val="00581F40"/>
    <w:rsid w:val="00582C2A"/>
    <w:rsid w:val="0058481F"/>
    <w:rsid w:val="00592168"/>
    <w:rsid w:val="00596EAD"/>
    <w:rsid w:val="005A0A98"/>
    <w:rsid w:val="005A1ACA"/>
    <w:rsid w:val="005A2D7D"/>
    <w:rsid w:val="005A49F5"/>
    <w:rsid w:val="005B18E3"/>
    <w:rsid w:val="005B5433"/>
    <w:rsid w:val="005C664F"/>
    <w:rsid w:val="005D387F"/>
    <w:rsid w:val="005E7A0C"/>
    <w:rsid w:val="005F6627"/>
    <w:rsid w:val="006162FA"/>
    <w:rsid w:val="006307C8"/>
    <w:rsid w:val="00634214"/>
    <w:rsid w:val="0063437A"/>
    <w:rsid w:val="00634B0C"/>
    <w:rsid w:val="0064682D"/>
    <w:rsid w:val="00661A24"/>
    <w:rsid w:val="006678B6"/>
    <w:rsid w:val="0067295F"/>
    <w:rsid w:val="006855EC"/>
    <w:rsid w:val="006861E8"/>
    <w:rsid w:val="006A0EF3"/>
    <w:rsid w:val="006A595C"/>
    <w:rsid w:val="006B752F"/>
    <w:rsid w:val="006C5240"/>
    <w:rsid w:val="006D7788"/>
    <w:rsid w:val="006E17DF"/>
    <w:rsid w:val="006F1498"/>
    <w:rsid w:val="006F627F"/>
    <w:rsid w:val="007173C3"/>
    <w:rsid w:val="00722BEF"/>
    <w:rsid w:val="0072434D"/>
    <w:rsid w:val="00725B6B"/>
    <w:rsid w:val="007346EF"/>
    <w:rsid w:val="007429F8"/>
    <w:rsid w:val="0074343F"/>
    <w:rsid w:val="00754570"/>
    <w:rsid w:val="007574EA"/>
    <w:rsid w:val="0076125B"/>
    <w:rsid w:val="0076455F"/>
    <w:rsid w:val="0077064D"/>
    <w:rsid w:val="00771DF5"/>
    <w:rsid w:val="00774145"/>
    <w:rsid w:val="00774D4E"/>
    <w:rsid w:val="00777EE5"/>
    <w:rsid w:val="0078379A"/>
    <w:rsid w:val="007852FE"/>
    <w:rsid w:val="00785450"/>
    <w:rsid w:val="00787A60"/>
    <w:rsid w:val="00790BB9"/>
    <w:rsid w:val="00791199"/>
    <w:rsid w:val="0079160A"/>
    <w:rsid w:val="00794503"/>
    <w:rsid w:val="00797896"/>
    <w:rsid w:val="007A338B"/>
    <w:rsid w:val="007A606E"/>
    <w:rsid w:val="007B0EB0"/>
    <w:rsid w:val="007B35A2"/>
    <w:rsid w:val="007B4E96"/>
    <w:rsid w:val="007B6EE5"/>
    <w:rsid w:val="007D29F2"/>
    <w:rsid w:val="007D4942"/>
    <w:rsid w:val="007E1496"/>
    <w:rsid w:val="007E67D2"/>
    <w:rsid w:val="00802F41"/>
    <w:rsid w:val="008103D8"/>
    <w:rsid w:val="00814F9C"/>
    <w:rsid w:val="0081558B"/>
    <w:rsid w:val="008218EB"/>
    <w:rsid w:val="00823E87"/>
    <w:rsid w:val="00825D6E"/>
    <w:rsid w:val="00836365"/>
    <w:rsid w:val="00837868"/>
    <w:rsid w:val="008435F1"/>
    <w:rsid w:val="00857275"/>
    <w:rsid w:val="00857495"/>
    <w:rsid w:val="008601EE"/>
    <w:rsid w:val="00865E36"/>
    <w:rsid w:val="00867069"/>
    <w:rsid w:val="00886295"/>
    <w:rsid w:val="00891460"/>
    <w:rsid w:val="00897033"/>
    <w:rsid w:val="008A1A37"/>
    <w:rsid w:val="008B4F27"/>
    <w:rsid w:val="008C43BE"/>
    <w:rsid w:val="008D1A7D"/>
    <w:rsid w:val="008E17A7"/>
    <w:rsid w:val="008E4840"/>
    <w:rsid w:val="008F569F"/>
    <w:rsid w:val="00913C0E"/>
    <w:rsid w:val="009148FE"/>
    <w:rsid w:val="00917F86"/>
    <w:rsid w:val="00927847"/>
    <w:rsid w:val="009309C3"/>
    <w:rsid w:val="0093682D"/>
    <w:rsid w:val="00943D27"/>
    <w:rsid w:val="00947821"/>
    <w:rsid w:val="009727BF"/>
    <w:rsid w:val="00974395"/>
    <w:rsid w:val="00980C83"/>
    <w:rsid w:val="009930B2"/>
    <w:rsid w:val="0099354D"/>
    <w:rsid w:val="00993BFF"/>
    <w:rsid w:val="009A1A9D"/>
    <w:rsid w:val="009A2F31"/>
    <w:rsid w:val="009A471D"/>
    <w:rsid w:val="009A4DC2"/>
    <w:rsid w:val="009B3BBF"/>
    <w:rsid w:val="009B4C6C"/>
    <w:rsid w:val="009B7D12"/>
    <w:rsid w:val="009C53BB"/>
    <w:rsid w:val="009C6D13"/>
    <w:rsid w:val="009D272A"/>
    <w:rsid w:val="009D7F1C"/>
    <w:rsid w:val="009E3923"/>
    <w:rsid w:val="009F3BF1"/>
    <w:rsid w:val="009F42B8"/>
    <w:rsid w:val="009F724B"/>
    <w:rsid w:val="00A0177C"/>
    <w:rsid w:val="00A05EDE"/>
    <w:rsid w:val="00A10E6B"/>
    <w:rsid w:val="00A130EA"/>
    <w:rsid w:val="00A248F6"/>
    <w:rsid w:val="00A2634E"/>
    <w:rsid w:val="00A30E55"/>
    <w:rsid w:val="00A369DD"/>
    <w:rsid w:val="00A41A3B"/>
    <w:rsid w:val="00A425B7"/>
    <w:rsid w:val="00A44A64"/>
    <w:rsid w:val="00A46ADA"/>
    <w:rsid w:val="00A4752A"/>
    <w:rsid w:val="00A47902"/>
    <w:rsid w:val="00A5029D"/>
    <w:rsid w:val="00A512E0"/>
    <w:rsid w:val="00A52D1A"/>
    <w:rsid w:val="00A53C71"/>
    <w:rsid w:val="00A54308"/>
    <w:rsid w:val="00A64B52"/>
    <w:rsid w:val="00A65179"/>
    <w:rsid w:val="00A67FE5"/>
    <w:rsid w:val="00A70A11"/>
    <w:rsid w:val="00A73ADF"/>
    <w:rsid w:val="00A75582"/>
    <w:rsid w:val="00A814F0"/>
    <w:rsid w:val="00A865F4"/>
    <w:rsid w:val="00A97060"/>
    <w:rsid w:val="00AA06D5"/>
    <w:rsid w:val="00AB6C3A"/>
    <w:rsid w:val="00AC240B"/>
    <w:rsid w:val="00AD1D44"/>
    <w:rsid w:val="00AD269B"/>
    <w:rsid w:val="00AD5832"/>
    <w:rsid w:val="00AE75B3"/>
    <w:rsid w:val="00B0009E"/>
    <w:rsid w:val="00B04175"/>
    <w:rsid w:val="00B1131A"/>
    <w:rsid w:val="00B16337"/>
    <w:rsid w:val="00B205A8"/>
    <w:rsid w:val="00B4410E"/>
    <w:rsid w:val="00B4438A"/>
    <w:rsid w:val="00B45D6F"/>
    <w:rsid w:val="00B64538"/>
    <w:rsid w:val="00B82E76"/>
    <w:rsid w:val="00B84680"/>
    <w:rsid w:val="00B853FD"/>
    <w:rsid w:val="00B86C33"/>
    <w:rsid w:val="00B907C3"/>
    <w:rsid w:val="00BB22BE"/>
    <w:rsid w:val="00BB416B"/>
    <w:rsid w:val="00BB4F1C"/>
    <w:rsid w:val="00BC0CAB"/>
    <w:rsid w:val="00BC21C5"/>
    <w:rsid w:val="00BD3791"/>
    <w:rsid w:val="00BD6561"/>
    <w:rsid w:val="00BE01A6"/>
    <w:rsid w:val="00BE2602"/>
    <w:rsid w:val="00BE2E2A"/>
    <w:rsid w:val="00BF3D17"/>
    <w:rsid w:val="00BF47B9"/>
    <w:rsid w:val="00C14563"/>
    <w:rsid w:val="00C22EF4"/>
    <w:rsid w:val="00C23EA9"/>
    <w:rsid w:val="00C309A3"/>
    <w:rsid w:val="00C3284D"/>
    <w:rsid w:val="00C447FF"/>
    <w:rsid w:val="00C471E3"/>
    <w:rsid w:val="00C5619A"/>
    <w:rsid w:val="00C61FC1"/>
    <w:rsid w:val="00C64497"/>
    <w:rsid w:val="00C65BDF"/>
    <w:rsid w:val="00C711DB"/>
    <w:rsid w:val="00C95101"/>
    <w:rsid w:val="00CA2317"/>
    <w:rsid w:val="00CA28D3"/>
    <w:rsid w:val="00CA2A1A"/>
    <w:rsid w:val="00CA65A0"/>
    <w:rsid w:val="00CA71ED"/>
    <w:rsid w:val="00CB0144"/>
    <w:rsid w:val="00CB3A54"/>
    <w:rsid w:val="00CB6137"/>
    <w:rsid w:val="00CC27EC"/>
    <w:rsid w:val="00CC3D62"/>
    <w:rsid w:val="00CE4F31"/>
    <w:rsid w:val="00CF359D"/>
    <w:rsid w:val="00D07747"/>
    <w:rsid w:val="00D10FEF"/>
    <w:rsid w:val="00D15FE8"/>
    <w:rsid w:val="00D16A36"/>
    <w:rsid w:val="00D17A19"/>
    <w:rsid w:val="00D3080F"/>
    <w:rsid w:val="00D35AED"/>
    <w:rsid w:val="00D3703B"/>
    <w:rsid w:val="00D408CD"/>
    <w:rsid w:val="00D43D1C"/>
    <w:rsid w:val="00D5370F"/>
    <w:rsid w:val="00D54B58"/>
    <w:rsid w:val="00D559D3"/>
    <w:rsid w:val="00D634AC"/>
    <w:rsid w:val="00D762DB"/>
    <w:rsid w:val="00D84CC5"/>
    <w:rsid w:val="00D90495"/>
    <w:rsid w:val="00D922B3"/>
    <w:rsid w:val="00D927D7"/>
    <w:rsid w:val="00DA752F"/>
    <w:rsid w:val="00DB47E6"/>
    <w:rsid w:val="00DB4DCE"/>
    <w:rsid w:val="00DD2984"/>
    <w:rsid w:val="00DD78CA"/>
    <w:rsid w:val="00DE5FE4"/>
    <w:rsid w:val="00E00438"/>
    <w:rsid w:val="00E02EF6"/>
    <w:rsid w:val="00E07740"/>
    <w:rsid w:val="00E20DF7"/>
    <w:rsid w:val="00E31DDB"/>
    <w:rsid w:val="00E33577"/>
    <w:rsid w:val="00E417BC"/>
    <w:rsid w:val="00E4275D"/>
    <w:rsid w:val="00E460EF"/>
    <w:rsid w:val="00E478C2"/>
    <w:rsid w:val="00E47CE1"/>
    <w:rsid w:val="00E50A32"/>
    <w:rsid w:val="00E567C2"/>
    <w:rsid w:val="00E56DDB"/>
    <w:rsid w:val="00E75041"/>
    <w:rsid w:val="00E9361A"/>
    <w:rsid w:val="00E964ED"/>
    <w:rsid w:val="00EA09FF"/>
    <w:rsid w:val="00EA3A3A"/>
    <w:rsid w:val="00EB2136"/>
    <w:rsid w:val="00EB6E94"/>
    <w:rsid w:val="00EC1CC3"/>
    <w:rsid w:val="00EC5383"/>
    <w:rsid w:val="00EC7923"/>
    <w:rsid w:val="00ED33B0"/>
    <w:rsid w:val="00ED77DF"/>
    <w:rsid w:val="00EE0B1C"/>
    <w:rsid w:val="00EF1FE6"/>
    <w:rsid w:val="00F0002C"/>
    <w:rsid w:val="00F1150A"/>
    <w:rsid w:val="00F24E45"/>
    <w:rsid w:val="00F407D0"/>
    <w:rsid w:val="00F54AEA"/>
    <w:rsid w:val="00F61D35"/>
    <w:rsid w:val="00F652A4"/>
    <w:rsid w:val="00F7025B"/>
    <w:rsid w:val="00F73B35"/>
    <w:rsid w:val="00F8048F"/>
    <w:rsid w:val="00F921CD"/>
    <w:rsid w:val="00FA4362"/>
    <w:rsid w:val="00FA4E7B"/>
    <w:rsid w:val="00FB29F3"/>
    <w:rsid w:val="00FB4A6D"/>
    <w:rsid w:val="00FC0213"/>
    <w:rsid w:val="00FD3F0C"/>
    <w:rsid w:val="00FE2984"/>
    <w:rsid w:val="00FE4A3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4145">
      <w:bodyDiv w:val="1"/>
      <w:marLeft w:val="0"/>
      <w:marRight w:val="0"/>
      <w:marTop w:val="0"/>
      <w:marBottom w:val="0"/>
      <w:divBdr>
        <w:top w:val="none" w:sz="0" w:space="0" w:color="auto"/>
        <w:left w:val="none" w:sz="0" w:space="0" w:color="auto"/>
        <w:bottom w:val="none" w:sz="0" w:space="0" w:color="auto"/>
        <w:right w:val="none" w:sz="0" w:space="0" w:color="auto"/>
      </w:divBdr>
    </w:div>
    <w:div w:id="10346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701.A420308715.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2022-09-21T11:46:00Z</dcterms:created>
  <dcterms:modified xsi:type="dcterms:W3CDTF">2022-09-26T18:47:00Z</dcterms:modified>
</cp:coreProperties>
</file>