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59FA8" w14:textId="77777777" w:rsidR="00BE2CCF" w:rsidRDefault="00BE2CCF" w:rsidP="004103B2">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Būtisks lēmuma pamatojuma trūkums kā pamats iestādes lēmuma atzīšanai par patvaļīgu </w:t>
      </w:r>
    </w:p>
    <w:p w14:paraId="2D5AEA2A" w14:textId="77777777" w:rsidR="00BE2CCF" w:rsidRDefault="00BE2CCF" w:rsidP="004103B2">
      <w:pPr>
        <w:autoSpaceDE w:val="0"/>
        <w:autoSpaceDN w:val="0"/>
        <w:spacing w:line="276" w:lineRule="auto"/>
        <w:jc w:val="both"/>
        <w:rPr>
          <w:rFonts w:ascii="TimesNewRomanPSMT" w:hAnsi="TimesNewRomanPSMT"/>
        </w:rPr>
      </w:pPr>
      <w:r>
        <w:rPr>
          <w:rFonts w:ascii="TimesNewRomanPSMT" w:hAnsi="TimesNewRomanPSMT"/>
        </w:rPr>
        <w:t>Gadījumā, ja ir atzīstams, ka nodokļu administrācijas lēmuma pamatojuma trūkums ir tik būtisks, ka tas faktiski iztrūkst vispār, tas ir pamats atzīt, ka lēmums ir patvaļīgs un tādēļ atceļams. Šādā gadījumā pamatojuma trūkumu nevar novērst, to sniedzot tiesas procesa laikā. Ja iestādes lēmumā nav pienācīga pamatojuma, faktiski nav arī iespējams pārliecināties, vai iestādes tiesas procesā sniegtā informācija ir ņemta vērā iestādes procesa laikā vai tika piemeklēta vēlāk.</w:t>
      </w:r>
    </w:p>
    <w:p w14:paraId="13D629F2" w14:textId="77777777" w:rsidR="00BE2CCF" w:rsidRDefault="00BE2CCF" w:rsidP="004103B2">
      <w:pPr>
        <w:autoSpaceDE w:val="0"/>
        <w:autoSpaceDN w:val="0"/>
        <w:spacing w:line="276" w:lineRule="auto"/>
        <w:jc w:val="both"/>
        <w:rPr>
          <w:rFonts w:ascii="TimesNewRomanPSMT" w:hAnsi="TimesNewRomanPSMT"/>
        </w:rPr>
      </w:pPr>
      <w:r>
        <w:rPr>
          <w:rFonts w:ascii="TimesNewRomanPSMT" w:hAnsi="TimesNewRomanPSMT"/>
        </w:rPr>
        <w:t xml:space="preserve">Tiesai izprasot un pieļaujot informācijas, kas tika ņemta vērā muitas vērtības noteikšanai, iesniegšanu tikai apelācijas tiesvedības laikā, ir jāvērtē šādas novēlotas informācijas sniegšanas pieļaujamība konkrētajā gadījumā kontekstā ar iestādes lēmuma pamatojuma trūkumu un pieteicēja iespēju šādā situācijā pilnvērtīgi īstenot </w:t>
      </w:r>
      <w:proofErr w:type="gramStart"/>
      <w:r>
        <w:rPr>
          <w:rFonts w:ascii="TimesNewRomanPSMT" w:hAnsi="TimesNewRomanPSMT"/>
        </w:rPr>
        <w:t>tam esošās procesuālās tiesības</w:t>
      </w:r>
      <w:proofErr w:type="gramEnd"/>
      <w:r>
        <w:rPr>
          <w:rFonts w:ascii="TimesNewRomanPSMT" w:hAnsi="TimesNewRomanPSMT"/>
        </w:rPr>
        <w:t>.</w:t>
      </w:r>
    </w:p>
    <w:p w14:paraId="3F841CC2" w14:textId="77777777" w:rsidR="00BE2CCF" w:rsidRDefault="00BE2CCF" w:rsidP="004103B2">
      <w:pPr>
        <w:pStyle w:val="ATpamattesksts"/>
        <w:ind w:firstLine="0"/>
        <w:jc w:val="left"/>
        <w:rPr>
          <w:lang w:val="lv-LV"/>
        </w:rPr>
      </w:pPr>
    </w:p>
    <w:p w14:paraId="6A9F6EF2" w14:textId="1C958F6E" w:rsidR="006F0596" w:rsidRPr="00BE2CCF" w:rsidRDefault="006F0596" w:rsidP="004103B2">
      <w:pPr>
        <w:spacing w:line="276" w:lineRule="auto"/>
        <w:jc w:val="center"/>
        <w:rPr>
          <w:b/>
        </w:rPr>
      </w:pPr>
      <w:r w:rsidRPr="00BE2CCF">
        <w:rPr>
          <w:b/>
        </w:rPr>
        <w:t>L</w:t>
      </w:r>
      <w:r w:rsidR="00BE2CCF" w:rsidRPr="00BE2CCF">
        <w:rPr>
          <w:b/>
        </w:rPr>
        <w:t>atvijas Republikas Senāta</w:t>
      </w:r>
    </w:p>
    <w:p w14:paraId="2A8071AC" w14:textId="493E172D" w:rsidR="00BE2CCF" w:rsidRPr="00BE2CCF" w:rsidRDefault="00BE2CCF" w:rsidP="004103B2">
      <w:pPr>
        <w:spacing w:line="276" w:lineRule="auto"/>
        <w:jc w:val="center"/>
        <w:rPr>
          <w:b/>
        </w:rPr>
      </w:pPr>
      <w:r w:rsidRPr="00BE2CCF">
        <w:rPr>
          <w:b/>
        </w:rPr>
        <w:t>Administratīvo lietu departamenta</w:t>
      </w:r>
    </w:p>
    <w:p w14:paraId="7673883A" w14:textId="76C20E54" w:rsidR="00BE2CCF" w:rsidRPr="00BE2CCF" w:rsidRDefault="00BE2CCF" w:rsidP="004103B2">
      <w:pPr>
        <w:spacing w:line="276" w:lineRule="auto"/>
        <w:jc w:val="center"/>
        <w:rPr>
          <w:b/>
        </w:rPr>
      </w:pPr>
      <w:proofErr w:type="gramStart"/>
      <w:r w:rsidRPr="00BE2CCF">
        <w:rPr>
          <w:b/>
        </w:rPr>
        <w:t>2022.gada</w:t>
      </w:r>
      <w:proofErr w:type="gramEnd"/>
      <w:r w:rsidRPr="00BE2CCF">
        <w:rPr>
          <w:b/>
        </w:rPr>
        <w:t xml:space="preserve"> 20.aprīļa</w:t>
      </w:r>
    </w:p>
    <w:p w14:paraId="01701960" w14:textId="77777777" w:rsidR="006F0596" w:rsidRPr="00BE2CCF" w:rsidRDefault="006F0596" w:rsidP="004103B2">
      <w:pPr>
        <w:spacing w:line="276" w:lineRule="auto"/>
        <w:jc w:val="center"/>
        <w:rPr>
          <w:b/>
        </w:rPr>
      </w:pPr>
      <w:r w:rsidRPr="00BE2CCF">
        <w:rPr>
          <w:b/>
        </w:rPr>
        <w:t xml:space="preserve">SPRIEDUMS </w:t>
      </w:r>
    </w:p>
    <w:p w14:paraId="0DAC9C76" w14:textId="77777777" w:rsidR="00BE2CCF" w:rsidRPr="00BE2CCF" w:rsidRDefault="00BE2CCF" w:rsidP="004103B2">
      <w:pPr>
        <w:pStyle w:val="ATpamattesksts"/>
        <w:ind w:firstLine="0"/>
        <w:jc w:val="center"/>
        <w:rPr>
          <w:b/>
          <w:lang w:val="lv-LV" w:eastAsia="lv-LV"/>
        </w:rPr>
      </w:pPr>
      <w:r w:rsidRPr="00BE2CCF">
        <w:rPr>
          <w:b/>
          <w:lang w:val="lv-LV"/>
        </w:rPr>
        <w:t>Lieta Nr. A420565812, SKA</w:t>
      </w:r>
      <w:r w:rsidRPr="00BE2CCF">
        <w:rPr>
          <w:b/>
          <w:lang w:val="lv-LV" w:eastAsia="lv-LV"/>
        </w:rPr>
        <w:t>-46/2022</w:t>
      </w:r>
    </w:p>
    <w:p w14:paraId="06099237" w14:textId="7844A16F" w:rsidR="006F0596" w:rsidRDefault="00645725" w:rsidP="004103B2">
      <w:pPr>
        <w:spacing w:line="276" w:lineRule="auto"/>
        <w:jc w:val="center"/>
      </w:pPr>
      <w:hyperlink r:id="rId8" w:history="1">
        <w:r w:rsidR="00BE2CCF" w:rsidRPr="00F06D0E">
          <w:rPr>
            <w:rStyle w:val="Hyperlink"/>
          </w:rPr>
          <w:t>ECLI:LV:AT:2022:0420.A420565812.12.S</w:t>
        </w:r>
      </w:hyperlink>
      <w:r w:rsidR="00BE2CCF">
        <w:t xml:space="preserve"> </w:t>
      </w:r>
    </w:p>
    <w:p w14:paraId="31FB1CBB" w14:textId="77777777" w:rsidR="00BE2CCF" w:rsidRPr="00E70B6A" w:rsidRDefault="00BE2CCF" w:rsidP="004103B2">
      <w:pPr>
        <w:spacing w:line="276" w:lineRule="auto"/>
        <w:jc w:val="center"/>
      </w:pPr>
    </w:p>
    <w:p w14:paraId="383AF10B" w14:textId="6194853D" w:rsidR="006F0596" w:rsidRDefault="006F0596" w:rsidP="004103B2">
      <w:pPr>
        <w:spacing w:line="276" w:lineRule="auto"/>
        <w:ind w:firstLine="567"/>
        <w:jc w:val="both"/>
      </w:pPr>
      <w:r w:rsidRPr="003069A8">
        <w:t>Tiesa šādā</w:t>
      </w:r>
      <w:r w:rsidRPr="0015480A">
        <w:t xml:space="preserve"> sastāvā:</w:t>
      </w:r>
      <w:r>
        <w:t xml:space="preserve"> </w:t>
      </w:r>
      <w:r w:rsidR="00BE0C6B">
        <w:t>senatori Vēsma Kakste, Andris Guļāns, Rudīte Vīduša</w:t>
      </w:r>
    </w:p>
    <w:p w14:paraId="483DFB27" w14:textId="77777777" w:rsidR="006F0596" w:rsidRPr="0082381C" w:rsidRDefault="006F0596" w:rsidP="004103B2">
      <w:pPr>
        <w:spacing w:line="276" w:lineRule="auto"/>
        <w:ind w:firstLine="567"/>
        <w:jc w:val="both"/>
      </w:pPr>
    </w:p>
    <w:p w14:paraId="497C73CA" w14:textId="1BBBFF7B" w:rsidR="006F0596" w:rsidRDefault="006F0596" w:rsidP="004103B2">
      <w:pPr>
        <w:spacing w:line="276" w:lineRule="auto"/>
        <w:ind w:firstLine="567"/>
        <w:jc w:val="both"/>
      </w:pPr>
      <w:r w:rsidRPr="0082381C">
        <w:t>rakstveida procesā izskatīja administratīvo lietu, kas ierosināta, pamatojoties uz</w:t>
      </w:r>
      <w:r w:rsidR="009B3947">
        <w:t xml:space="preserve"> SIA</w:t>
      </w:r>
      <w:r w:rsidR="000153DE">
        <w:t> </w:t>
      </w:r>
      <w:r w:rsidR="009B3947">
        <w:t xml:space="preserve">„Kravu serviss” </w:t>
      </w:r>
      <w:r>
        <w:t>pieteikum</w:t>
      </w:r>
      <w:r w:rsidR="009F003C">
        <w:t xml:space="preserve">u par Valsts ieņēmumu </w:t>
      </w:r>
      <w:r w:rsidR="009B3947">
        <w:t xml:space="preserve">dienesta </w:t>
      </w:r>
      <w:proofErr w:type="gramStart"/>
      <w:r w:rsidR="009B3947">
        <w:rPr>
          <w:bCs/>
        </w:rPr>
        <w:t>2012.gada</w:t>
      </w:r>
      <w:proofErr w:type="gramEnd"/>
      <w:r w:rsidR="009B3947">
        <w:rPr>
          <w:bCs/>
        </w:rPr>
        <w:t xml:space="preserve"> 10.oktobra lēmuma Nr.</w:t>
      </w:r>
      <w:r w:rsidR="009B3947">
        <w:t> </w:t>
      </w:r>
      <w:r w:rsidR="009B3947">
        <w:rPr>
          <w:bCs/>
        </w:rPr>
        <w:t>22.4.6/81187 atcelšanu</w:t>
      </w:r>
      <w:r w:rsidR="009B3947">
        <w:t xml:space="preserve">, sakarā ar SIA „Kravu serviss” un Valsts ieņēmumu dienesta kasācijas sūdzībām </w:t>
      </w:r>
      <w:r>
        <w:t>par Ad</w:t>
      </w:r>
      <w:r w:rsidR="000052DD">
        <w:t xml:space="preserve">ministratīvās apgabaltiesas 2018.gada 14.decembra </w:t>
      </w:r>
      <w:r>
        <w:t>spriedumu.</w:t>
      </w:r>
    </w:p>
    <w:p w14:paraId="76C700B3" w14:textId="77777777" w:rsidR="006F0596" w:rsidRPr="0082381C" w:rsidRDefault="006F0596" w:rsidP="004103B2">
      <w:pPr>
        <w:spacing w:line="276" w:lineRule="auto"/>
        <w:ind w:firstLine="567"/>
        <w:jc w:val="both"/>
      </w:pPr>
    </w:p>
    <w:p w14:paraId="4B72BBED" w14:textId="77777777" w:rsidR="006F0596" w:rsidRPr="0082381C" w:rsidRDefault="006F0596" w:rsidP="004103B2">
      <w:pPr>
        <w:pStyle w:val="ATvirsraksts"/>
      </w:pPr>
      <w:r w:rsidRPr="0082381C">
        <w:t>Aprakstošā daļa</w:t>
      </w:r>
    </w:p>
    <w:p w14:paraId="0BA05854" w14:textId="77777777" w:rsidR="006F0596" w:rsidRPr="0082381C" w:rsidRDefault="006F0596" w:rsidP="004103B2">
      <w:pPr>
        <w:spacing w:line="276" w:lineRule="auto"/>
        <w:ind w:firstLine="567"/>
        <w:jc w:val="both"/>
      </w:pPr>
    </w:p>
    <w:p w14:paraId="56EC3D07" w14:textId="2BE7323A" w:rsidR="001929DA" w:rsidRPr="00BA7B52" w:rsidRDefault="006F0596" w:rsidP="004103B2">
      <w:pPr>
        <w:spacing w:line="276" w:lineRule="auto"/>
        <w:ind w:firstLine="567"/>
        <w:jc w:val="both"/>
      </w:pPr>
      <w:r w:rsidRPr="0082381C">
        <w:t>[1]</w:t>
      </w:r>
      <w:r w:rsidR="00D5482B">
        <w:t> </w:t>
      </w:r>
      <w:r w:rsidR="00853C5B">
        <w:t>Pieteicēja SIA „Kravu serviss”</w:t>
      </w:r>
      <w:r w:rsidR="00682760">
        <w:t>,</w:t>
      </w:r>
      <w:r w:rsidR="00682760" w:rsidRPr="00682760">
        <w:t xml:space="preserve"> </w:t>
      </w:r>
      <w:r w:rsidR="00682760">
        <w:t xml:space="preserve">rīkojoties kā Igaunijas uzņēmuma </w:t>
      </w:r>
      <w:r w:rsidR="00682760" w:rsidRPr="003D362A">
        <w:rPr>
          <w:i/>
          <w:iCs/>
        </w:rPr>
        <w:t>OU</w:t>
      </w:r>
      <w:r w:rsidR="003D362A" w:rsidRPr="003D362A">
        <w:rPr>
          <w:i/>
          <w:iCs/>
        </w:rPr>
        <w:t xml:space="preserve"> </w:t>
      </w:r>
      <w:proofErr w:type="spellStart"/>
      <w:r w:rsidR="00682760" w:rsidRPr="003D362A">
        <w:rPr>
          <w:i/>
          <w:iCs/>
        </w:rPr>
        <w:t>Sinditrades</w:t>
      </w:r>
      <w:proofErr w:type="spellEnd"/>
      <w:r w:rsidR="00682760">
        <w:t xml:space="preserve"> netiešais pārstāvis,</w:t>
      </w:r>
      <w:r w:rsidR="009D624B" w:rsidRPr="009D624B">
        <w:t xml:space="preserve"> </w:t>
      </w:r>
      <w:r w:rsidR="001929DA">
        <w:t xml:space="preserve">deklarēja brīvam apgrozījumam </w:t>
      </w:r>
      <w:r w:rsidR="00A2696B">
        <w:t xml:space="preserve">Eiropas Savienības teritorijā </w:t>
      </w:r>
      <w:r w:rsidR="001929DA">
        <w:t>interaktīvos virszemes televīzijas signālu uztvērējus un interaktīvos satelīta digitālos uztvērējus</w:t>
      </w:r>
      <w:r w:rsidR="00697F29">
        <w:t>.</w:t>
      </w:r>
    </w:p>
    <w:p w14:paraId="1961148C" w14:textId="77777777" w:rsidR="00A86C7D" w:rsidRDefault="00A86C7D" w:rsidP="004103B2">
      <w:pPr>
        <w:spacing w:line="276" w:lineRule="auto"/>
        <w:ind w:firstLine="567"/>
        <w:jc w:val="both"/>
      </w:pPr>
    </w:p>
    <w:p w14:paraId="61207C37" w14:textId="1D740A2A" w:rsidR="00674191" w:rsidRDefault="00A86C7D" w:rsidP="004103B2">
      <w:pPr>
        <w:spacing w:line="276" w:lineRule="auto"/>
        <w:ind w:firstLine="567"/>
        <w:jc w:val="both"/>
      </w:pPr>
      <w:r>
        <w:t>[2]</w:t>
      </w:r>
      <w:r w:rsidR="00D5482B">
        <w:t> </w:t>
      </w:r>
      <w:r w:rsidR="00674191">
        <w:t>Valsts ieņēmumu dienests veica pieteicējas muitas nodokļa un citu nodokļu auditu.</w:t>
      </w:r>
      <w:r w:rsidR="00674191" w:rsidRPr="00B44575">
        <w:rPr>
          <w:rFonts w:ascii="TimesNewRomanPSMT" w:eastAsiaTheme="minorHAnsi" w:hAnsi="TimesNewRomanPSMT" w:cs="TimesNewRomanPSMT"/>
          <w:lang w:eastAsia="en-US"/>
        </w:rPr>
        <w:t xml:space="preserve"> </w:t>
      </w:r>
      <w:r w:rsidR="00674191">
        <w:rPr>
          <w:rFonts w:ascii="TimesNewRomanPSMT" w:eastAsiaTheme="minorHAnsi" w:hAnsi="TimesNewRomanPSMT" w:cs="TimesNewRomanPSMT"/>
          <w:lang w:eastAsia="en-US"/>
        </w:rPr>
        <w:t>T</w:t>
      </w:r>
      <w:r w:rsidR="00674191" w:rsidRPr="00B44575">
        <w:rPr>
          <w:rFonts w:ascii="TimesNewRomanPSMT" w:eastAsiaTheme="minorHAnsi" w:hAnsi="TimesNewRomanPSMT" w:cs="TimesNewRomanPSMT"/>
          <w:lang w:eastAsia="en-US"/>
        </w:rPr>
        <w:t xml:space="preserve">ā rezultātā </w:t>
      </w:r>
      <w:r w:rsidR="00674191">
        <w:t>ar dienesta lēmumu pieteicējai aprēķināts muitas nodoklis, nokavējuma nauda un soda nauda.</w:t>
      </w:r>
    </w:p>
    <w:p w14:paraId="1C017A45" w14:textId="77777777" w:rsidR="00A9391C" w:rsidRDefault="00A9391C" w:rsidP="004103B2">
      <w:pPr>
        <w:spacing w:line="276" w:lineRule="auto"/>
        <w:ind w:firstLine="567"/>
        <w:jc w:val="both"/>
      </w:pPr>
      <w:r>
        <w:t>Pieteicēja dienesta lēmumu pārsūdzēja administratīvajā tiesā.</w:t>
      </w:r>
    </w:p>
    <w:p w14:paraId="33838095" w14:textId="77777777" w:rsidR="00FF08EB" w:rsidRDefault="00FF08EB" w:rsidP="004103B2">
      <w:pPr>
        <w:spacing w:line="276" w:lineRule="auto"/>
        <w:ind w:firstLine="567"/>
        <w:jc w:val="both"/>
      </w:pPr>
    </w:p>
    <w:p w14:paraId="794AE3AA" w14:textId="49A23BC2" w:rsidR="006851AE" w:rsidRDefault="00A86C7D" w:rsidP="004103B2">
      <w:pPr>
        <w:spacing w:line="276" w:lineRule="auto"/>
        <w:ind w:firstLine="567"/>
        <w:jc w:val="both"/>
      </w:pPr>
      <w:r>
        <w:t>[</w:t>
      </w:r>
      <w:r w:rsidR="00E0222E">
        <w:t>3</w:t>
      </w:r>
      <w:r w:rsidR="00782883">
        <w:t>]</w:t>
      </w:r>
      <w:r w:rsidR="00CF2945">
        <w:t> </w:t>
      </w:r>
      <w:r w:rsidR="007B095A" w:rsidRPr="00AC1F4A">
        <w:t xml:space="preserve">Administratīvā apgabaltiesa, izskatījusi lietu apelācijas kārtībā, ar </w:t>
      </w:r>
      <w:proofErr w:type="gramStart"/>
      <w:r w:rsidR="007B095A">
        <w:t>201</w:t>
      </w:r>
      <w:r w:rsidR="00CE15A3">
        <w:t>8</w:t>
      </w:r>
      <w:r w:rsidR="007B095A">
        <w:t>.gada</w:t>
      </w:r>
      <w:proofErr w:type="gramEnd"/>
      <w:r w:rsidR="007B095A">
        <w:t xml:space="preserve"> </w:t>
      </w:r>
      <w:r w:rsidR="00CE15A3">
        <w:t>14.decembra</w:t>
      </w:r>
      <w:r w:rsidR="007B095A" w:rsidRPr="00AC1F4A">
        <w:t xml:space="preserve"> spriedumu</w:t>
      </w:r>
      <w:r w:rsidR="007B095A">
        <w:t xml:space="preserve"> </w:t>
      </w:r>
      <w:r w:rsidR="007B095A" w:rsidRPr="00AC1F4A">
        <w:t>pieteikumu apmierināja daļā</w:t>
      </w:r>
      <w:r w:rsidR="006851AE">
        <w:t xml:space="preserve">. Spriedums, ievērojot pievienošanos rajona tiesas sprieduma motīvu daļai, pamatots ar turpmāk </w:t>
      </w:r>
      <w:r w:rsidR="00674191">
        <w:t>minētajiem</w:t>
      </w:r>
      <w:r w:rsidR="006851AE">
        <w:t xml:space="preserve"> </w:t>
      </w:r>
      <w:r w:rsidR="007B4C42">
        <w:t>argumentiem</w:t>
      </w:r>
      <w:r w:rsidR="006851AE">
        <w:t>.</w:t>
      </w:r>
    </w:p>
    <w:p w14:paraId="56CBB635" w14:textId="3D6372AE" w:rsidR="00AC7618" w:rsidRDefault="00A86C7D" w:rsidP="004103B2">
      <w:pPr>
        <w:spacing w:line="276" w:lineRule="auto"/>
        <w:ind w:firstLine="567"/>
        <w:jc w:val="both"/>
      </w:pPr>
      <w:r>
        <w:t>[</w:t>
      </w:r>
      <w:r w:rsidR="00E0222E">
        <w:t>3</w:t>
      </w:r>
      <w:r w:rsidR="005B34F9">
        <w:t>.</w:t>
      </w:r>
      <w:r w:rsidR="007E2E47">
        <w:t>1</w:t>
      </w:r>
      <w:r w:rsidR="005B34F9">
        <w:t>]</w:t>
      </w:r>
      <w:r w:rsidR="00AC7618">
        <w:t> </w:t>
      </w:r>
      <w:r w:rsidR="001A0398">
        <w:t xml:space="preserve">Valsts ieņēmumu dienests pamatoti secināja, ka </w:t>
      </w:r>
      <w:r w:rsidR="003501D1">
        <w:t>muitas deklarācijās Nr.</w:t>
      </w:r>
      <w:r w:rsidR="0053095C">
        <w:t> </w:t>
      </w:r>
      <w:r w:rsidR="003501D1">
        <w:t>0210/9-612675, Nr.</w:t>
      </w:r>
      <w:r w:rsidR="0053095C">
        <w:t> </w:t>
      </w:r>
      <w:r w:rsidR="003501D1">
        <w:t>0210/9-612676, Nr.</w:t>
      </w:r>
      <w:r w:rsidR="0053095C">
        <w:t> </w:t>
      </w:r>
      <w:r w:rsidR="003501D1">
        <w:t>0210/9-612754, Nr.</w:t>
      </w:r>
      <w:r w:rsidR="0053095C">
        <w:t> </w:t>
      </w:r>
      <w:r w:rsidR="003501D1">
        <w:t>0210/9-614481, Nr.</w:t>
      </w:r>
      <w:r w:rsidR="0053095C">
        <w:t> </w:t>
      </w:r>
      <w:r w:rsidR="003501D1">
        <w:t>0210/9-614734, Nr.</w:t>
      </w:r>
      <w:r w:rsidR="0053095C">
        <w:t> </w:t>
      </w:r>
      <w:r w:rsidR="003501D1">
        <w:t>0210/9-614914 un Nr.</w:t>
      </w:r>
      <w:r w:rsidR="0053095C">
        <w:t> </w:t>
      </w:r>
      <w:r w:rsidR="003501D1">
        <w:t xml:space="preserve">0210/9-614915 norādītajām precēm pieteicēja </w:t>
      </w:r>
      <w:r w:rsidR="006B3B1D">
        <w:t xml:space="preserve">nepareizi uzrādīja tarifa kodu 8528711300, tādējādi nepamatoti piemērojot precēm trešo valstu ievedmuitas </w:t>
      </w:r>
      <w:r w:rsidR="006B3B1D">
        <w:lastRenderedPageBreak/>
        <w:t>nodokļa 0 procentu</w:t>
      </w:r>
      <w:r w:rsidR="00762A16">
        <w:t xml:space="preserve"> likmi</w:t>
      </w:r>
      <w:r w:rsidR="003501D1">
        <w:t>.</w:t>
      </w:r>
      <w:r w:rsidR="00AC7618">
        <w:t xml:space="preserve"> </w:t>
      </w:r>
      <w:r w:rsidR="00C11BD9">
        <w:t xml:space="preserve">Saskaņā ar dienesta 2009.gada 31.augusta atzinumu Nr. 133 pieteicējas deklarētajām precēm piemērojams tarifu kods 85287119, jo preces nav apvienotas ar modemu (uz to norāda attiecīgais ieraksts pievienotajā lietotāja instrukcijā, kā arī uztvērējam nav RJ11 savienojuma ligzdas). </w:t>
      </w:r>
      <w:r w:rsidR="00E62101">
        <w:t xml:space="preserve">Tādējādi precēm ir piemērojama </w:t>
      </w:r>
      <w:r w:rsidR="001A410F">
        <w:t xml:space="preserve">ievedmuitas nodokļa </w:t>
      </w:r>
      <w:r w:rsidR="00E62101">
        <w:t>14</w:t>
      </w:r>
      <w:r w:rsidR="0053095C">
        <w:t> </w:t>
      </w:r>
      <w:r w:rsidR="00E62101">
        <w:t xml:space="preserve">procentu likme. </w:t>
      </w:r>
      <w:r w:rsidR="00DF324B">
        <w:t>Pieteicēja nav pierādījusi pretējo.</w:t>
      </w:r>
    </w:p>
    <w:p w14:paraId="0235BDA6" w14:textId="2B33631D" w:rsidR="000E57A1" w:rsidRDefault="00E27A61" w:rsidP="004103B2">
      <w:pPr>
        <w:spacing w:line="276" w:lineRule="auto"/>
        <w:ind w:firstLine="567"/>
        <w:jc w:val="both"/>
      </w:pPr>
      <w:r>
        <w:t xml:space="preserve">Savukārt </w:t>
      </w:r>
      <w:r w:rsidR="000E57A1">
        <w:t>attiecībā uz trijām ar muitas deklarāciju Nr.</w:t>
      </w:r>
      <w:r w:rsidR="0053095C">
        <w:t> </w:t>
      </w:r>
      <w:r w:rsidR="000E57A1">
        <w:t xml:space="preserve">0210/9-612674 nosūtītajām precēm secinājumu par šo preču atbilstību tarifu kodam </w:t>
      </w:r>
      <w:proofErr w:type="gramStart"/>
      <w:r w:rsidR="000E57A1">
        <w:t>85287119 dienests</w:t>
      </w:r>
      <w:proofErr w:type="gramEnd"/>
      <w:r w:rsidR="000E57A1">
        <w:t xml:space="preserve"> izdarīja, ņemot vērā Itālijas uzņēmuma „TELE </w:t>
      </w:r>
      <w:proofErr w:type="spellStart"/>
      <w:r w:rsidR="000E57A1">
        <w:t>System</w:t>
      </w:r>
      <w:proofErr w:type="spellEnd"/>
      <w:r w:rsidR="000E57A1">
        <w:t xml:space="preserve"> </w:t>
      </w:r>
      <w:proofErr w:type="spellStart"/>
      <w:r w:rsidR="000E57A1">
        <w:t>Electronic</w:t>
      </w:r>
      <w:proofErr w:type="spellEnd"/>
      <w:r w:rsidR="000E57A1">
        <w:t xml:space="preserve"> </w:t>
      </w:r>
      <w:proofErr w:type="spellStart"/>
      <w:r w:rsidR="000E57A1">
        <w:t>S.r.l</w:t>
      </w:r>
      <w:proofErr w:type="spellEnd"/>
      <w:r w:rsidR="000E57A1">
        <w:t xml:space="preserve">.” interneta vietnē pieejamo informāciju par konkrētajām precēm. </w:t>
      </w:r>
      <w:r w:rsidR="0098444D">
        <w:t>M</w:t>
      </w:r>
      <w:r w:rsidR="000E57A1">
        <w:t>inētā informācija tiesai nav iesniegta, līdz ar to ne no pārsūdzētā lēmuma pamatojuma, ne arī no tiesā iesniegtajiem dokumentiem nav iespējams pārliecināties par</w:t>
      </w:r>
      <w:r w:rsidR="0098444D">
        <w:t xml:space="preserve"> šo</w:t>
      </w:r>
      <w:r w:rsidR="000E57A1">
        <w:t xml:space="preserve"> dienesta secinājumu pamatotību. </w:t>
      </w:r>
      <w:r w:rsidR="00776671">
        <w:t>Tādējādi attiecīgo</w:t>
      </w:r>
      <w:r w:rsidR="000E57A1">
        <w:t xml:space="preserve"> preču atbilstību tarifu kodam </w:t>
      </w:r>
      <w:proofErr w:type="gramStart"/>
      <w:r w:rsidR="000E57A1">
        <w:t>85287119 dienests</w:t>
      </w:r>
      <w:proofErr w:type="gramEnd"/>
      <w:r w:rsidR="000E57A1">
        <w:t xml:space="preserve"> nav pienācīgi pamatojis un pierādījis. </w:t>
      </w:r>
      <w:r w:rsidR="00776671">
        <w:t>P</w:t>
      </w:r>
      <w:r w:rsidR="000E57A1">
        <w:t xml:space="preserve">ārsūdzētais lēmums daļā par trešo valstu ievedmuitas nodokļa 14 procentu likmes noteikšanu </w:t>
      </w:r>
      <w:r w:rsidR="00776671">
        <w:t>š</w:t>
      </w:r>
      <w:r w:rsidR="006075BA">
        <w:t>īm</w:t>
      </w:r>
      <w:r w:rsidR="000E57A1">
        <w:t xml:space="preserve"> precēm ir atceļams.</w:t>
      </w:r>
    </w:p>
    <w:p w14:paraId="2C832B6A" w14:textId="3785E3FA" w:rsidR="00103B42" w:rsidRDefault="00AF2947" w:rsidP="004103B2">
      <w:pPr>
        <w:spacing w:line="276" w:lineRule="auto"/>
        <w:ind w:firstLine="567"/>
        <w:jc w:val="both"/>
      </w:pPr>
      <w:r>
        <w:t>[</w:t>
      </w:r>
      <w:r w:rsidR="00E0222E">
        <w:t>3</w:t>
      </w:r>
      <w:r>
        <w:t>.</w:t>
      </w:r>
      <w:r w:rsidR="007E2E47">
        <w:t>2</w:t>
      </w:r>
      <w:r>
        <w:t>]</w:t>
      </w:r>
      <w:r w:rsidR="00A71434" w:rsidRPr="00A71434">
        <w:t> </w:t>
      </w:r>
      <w:r w:rsidR="00A71434">
        <w:t>D</w:t>
      </w:r>
      <w:r w:rsidR="00215B22">
        <w:t xml:space="preserve">ienests pamatoti secinājis, ka </w:t>
      </w:r>
      <w:r w:rsidR="00103B42">
        <w:t xml:space="preserve">pieteicēja, noformējot muitas deklarācijas, nepamatoti deklarēto preču muitas vērtības aprēķinu veikusi saskaņā </w:t>
      </w:r>
      <w:r w:rsidR="00B15033">
        <w:t xml:space="preserve">ar </w:t>
      </w:r>
      <w:r w:rsidR="00B15033" w:rsidRPr="00386FB8">
        <w:t xml:space="preserve">Padomes </w:t>
      </w:r>
      <w:proofErr w:type="gramStart"/>
      <w:r w:rsidR="00B15033" w:rsidRPr="00386FB8">
        <w:t>1992.gada</w:t>
      </w:r>
      <w:proofErr w:type="gramEnd"/>
      <w:r w:rsidR="00B15033" w:rsidRPr="00386FB8">
        <w:t xml:space="preserve"> 12.oktobra regulas (EEK) Nr. 2913/92 par Kopienas Muitas kodeksa izveidi (turpmāk – Muitas kodekss)</w:t>
      </w:r>
      <w:r w:rsidR="00B15033">
        <w:t xml:space="preserve"> </w:t>
      </w:r>
      <w:r w:rsidR="00103B42">
        <w:t>29.panta 1.punkt</w:t>
      </w:r>
      <w:r w:rsidR="00DE368D">
        <w:t xml:space="preserve">ā </w:t>
      </w:r>
      <w:r w:rsidR="000267A7">
        <w:t>noteikto</w:t>
      </w:r>
      <w:r w:rsidR="00DE368D">
        <w:t xml:space="preserve"> darījuma vērtības metodi</w:t>
      </w:r>
      <w:r w:rsidR="00651342">
        <w:t>.</w:t>
      </w:r>
    </w:p>
    <w:p w14:paraId="664992B5" w14:textId="2347B935" w:rsidR="00344B80" w:rsidRDefault="00A71434" w:rsidP="004103B2">
      <w:pPr>
        <w:spacing w:line="276" w:lineRule="auto"/>
        <w:ind w:firstLine="567"/>
        <w:jc w:val="both"/>
      </w:pPr>
      <w:r>
        <w:t>[3.3] </w:t>
      </w:r>
      <w:r w:rsidR="00216528">
        <w:t>Sešās muitas deklarācijās</w:t>
      </w:r>
      <w:r w:rsidR="00984F18">
        <w:t xml:space="preserve"> (Nr.</w:t>
      </w:r>
      <w:r w:rsidR="00EF5522">
        <w:t> </w:t>
      </w:r>
      <w:r w:rsidR="00984F18">
        <w:t>0210/9-612675, Nr.</w:t>
      </w:r>
      <w:r w:rsidR="00EF5522">
        <w:t> </w:t>
      </w:r>
      <w:r w:rsidR="00984F18">
        <w:t>0210/9-612676, Nr.</w:t>
      </w:r>
      <w:r w:rsidR="00EF5522">
        <w:t> </w:t>
      </w:r>
      <w:r w:rsidR="00984F18">
        <w:t>0210/9-614481, Nr.</w:t>
      </w:r>
      <w:r w:rsidR="00EF5522">
        <w:t> </w:t>
      </w:r>
      <w:r w:rsidR="00984F18">
        <w:t>0210/9-614734, Nr.</w:t>
      </w:r>
      <w:r w:rsidR="00EF5522">
        <w:t> </w:t>
      </w:r>
      <w:r w:rsidR="00984F18">
        <w:t>0210/9-614914, Nr.</w:t>
      </w:r>
      <w:r w:rsidR="00EF5522">
        <w:t> </w:t>
      </w:r>
      <w:r w:rsidR="00984F18">
        <w:t xml:space="preserve">0210/9-614915) deklarētajām precēm dienests veica preču muitas vērtības pārrēķinu saskaņā ar </w:t>
      </w:r>
      <w:r w:rsidR="00176994" w:rsidRPr="00386FB8">
        <w:t>Muitas kodeks</w:t>
      </w:r>
      <w:r w:rsidR="00B15033">
        <w:t>a</w:t>
      </w:r>
      <w:r w:rsidR="00984F18">
        <w:t xml:space="preserve"> </w:t>
      </w:r>
      <w:proofErr w:type="gramStart"/>
      <w:r w:rsidR="00984F18">
        <w:t>31.pantu</w:t>
      </w:r>
      <w:proofErr w:type="gramEnd"/>
      <w:r w:rsidR="00B4729D">
        <w:t xml:space="preserve">. </w:t>
      </w:r>
    </w:p>
    <w:p w14:paraId="2CB46CC9" w14:textId="49332159" w:rsidR="00833E7D" w:rsidRDefault="00833E7D" w:rsidP="004103B2">
      <w:pPr>
        <w:spacing w:line="276" w:lineRule="auto"/>
        <w:ind w:firstLine="567"/>
        <w:jc w:val="both"/>
      </w:pPr>
      <w:bookmarkStart w:id="0" w:name="_Hlk97298972"/>
      <w:r>
        <w:t>N</w:t>
      </w:r>
      <w:r w:rsidRPr="00833E7D">
        <w:t xml:space="preserve">e pārsūdzētajā lēmumā, ne sākotnējā lēmumā nav norādīts, konkrēti kādus datus dienests ir izmantojis, lai noteiktu minētajos sešos muitas dokumentos norādīto preču vērtību, arī pirmās instances tiesā tie netika iesniegti. Sākotnējā lēmumā tikai norādīts, ka elastīgi tika izmatota līdzīgu preču muitas vērtība pēc Kopienā pieejamiem datiem un tika piemērota otrā zemākā cena no Kopienā ievestajām līdzīgām precēm. </w:t>
      </w:r>
      <w:r w:rsidR="00302AC2">
        <w:t>D</w:t>
      </w:r>
      <w:r w:rsidRPr="00833E7D">
        <w:t xml:space="preserve">ienesta pārbaudītie un vērtētie dati tika iesniegti tikai Administratīvajā apgabaltiesā pēc tiesas pieprasījuma. No tiem izriet, ka dienests vērtējumam izmantoja tam pieejamos </w:t>
      </w:r>
      <w:proofErr w:type="gramStart"/>
      <w:r w:rsidRPr="00833E7D">
        <w:t>2009.gada</w:t>
      </w:r>
      <w:proofErr w:type="gramEnd"/>
      <w:r w:rsidRPr="00833E7D">
        <w:t xml:space="preserve"> datus par līdzīgu preču importu. </w:t>
      </w:r>
      <w:r w:rsidR="00BE2949">
        <w:t>P</w:t>
      </w:r>
      <w:r w:rsidRPr="00833E7D">
        <w:t>ar līdzīgām precēm</w:t>
      </w:r>
      <w:r w:rsidR="00BE2949">
        <w:t xml:space="preserve"> dienests</w:t>
      </w:r>
      <w:r w:rsidRPr="00833E7D">
        <w:t xml:space="preserve"> ir uzskatījis SIA</w:t>
      </w:r>
      <w:r w:rsidR="00CF6911">
        <w:t> </w:t>
      </w:r>
      <w:r w:rsidRPr="00833E7D">
        <w:t>„</w:t>
      </w:r>
      <w:proofErr w:type="spellStart"/>
      <w:r w:rsidRPr="00833E7D">
        <w:t>Unisat</w:t>
      </w:r>
      <w:proofErr w:type="spellEnd"/>
      <w:r w:rsidRPr="00833E7D">
        <w:t xml:space="preserve">” no Ķīnas </w:t>
      </w:r>
      <w:proofErr w:type="gramStart"/>
      <w:r w:rsidRPr="00833E7D">
        <w:t>2009.gada</w:t>
      </w:r>
      <w:proofErr w:type="gramEnd"/>
      <w:r w:rsidRPr="00833E7D">
        <w:t xml:space="preserve"> 29.maijā ievestus satelīttelevīzijas uztvērējus.</w:t>
      </w:r>
    </w:p>
    <w:bookmarkEnd w:id="0"/>
    <w:p w14:paraId="7CFA53CF" w14:textId="560C2E4E" w:rsidR="00EB0111" w:rsidRPr="00483D0D" w:rsidRDefault="00833E7D" w:rsidP="004103B2">
      <w:pPr>
        <w:spacing w:line="276" w:lineRule="auto"/>
        <w:ind w:firstLine="567"/>
        <w:jc w:val="both"/>
      </w:pPr>
      <w:r>
        <w:t>[3.4] </w:t>
      </w:r>
      <w:r w:rsidR="003241F6">
        <w:t>A</w:t>
      </w:r>
      <w:r w:rsidR="00B4729D">
        <w:t>tbilstoši sākotnējā lēmumā un arī pārsūdzētajā lēmumā norādītajam, muitas deklarācijā</w:t>
      </w:r>
      <w:r w:rsidR="00612E6A">
        <w:t>s</w:t>
      </w:r>
      <w:r w:rsidR="00B4729D">
        <w:t xml:space="preserve"> Nr.</w:t>
      </w:r>
      <w:r w:rsidR="00EF5522">
        <w:t> </w:t>
      </w:r>
      <w:r w:rsidR="00B4729D">
        <w:t>0210/9-612674 un Nr.</w:t>
      </w:r>
      <w:r w:rsidR="00EF5522">
        <w:t> </w:t>
      </w:r>
      <w:r w:rsidR="00B4729D">
        <w:t xml:space="preserve">0210/9-612754 deklarētajām precēm </w:t>
      </w:r>
      <w:r w:rsidR="003241F6">
        <w:t xml:space="preserve">preču muitas vērtības </w:t>
      </w:r>
      <w:r w:rsidR="00B4729D">
        <w:t xml:space="preserve">pārrēķins veikts saskaņā ar </w:t>
      </w:r>
      <w:r w:rsidR="00B4729D" w:rsidRPr="00491ACC">
        <w:t>Muitas kodeksa</w:t>
      </w:r>
      <w:r w:rsidR="00491ACC">
        <w:t xml:space="preserve"> </w:t>
      </w:r>
      <w:proofErr w:type="gramStart"/>
      <w:r w:rsidR="00491ACC">
        <w:t>30.pantu</w:t>
      </w:r>
      <w:proofErr w:type="gramEnd"/>
      <w:r w:rsidR="00491ACC">
        <w:t>.</w:t>
      </w:r>
      <w:r w:rsidR="00A107DB" w:rsidRPr="00491ACC">
        <w:t xml:space="preserve"> </w:t>
      </w:r>
      <w:r w:rsidR="00483D0D" w:rsidRPr="00491ACC">
        <w:t>Savukārt</w:t>
      </w:r>
      <w:r w:rsidR="00483D0D">
        <w:t xml:space="preserve"> </w:t>
      </w:r>
      <w:proofErr w:type="gramStart"/>
      <w:r w:rsidR="00483D0D">
        <w:t>2018.gada</w:t>
      </w:r>
      <w:proofErr w:type="gramEnd"/>
      <w:r w:rsidR="00483D0D">
        <w:t xml:space="preserve"> 6.jūlija paskaidrojumā apgabaltiesai dienests norāda, ka tika piemērots Muitas kodeksa 31.pants.</w:t>
      </w:r>
    </w:p>
    <w:p w14:paraId="518B3822" w14:textId="44D23887" w:rsidR="005A0D13" w:rsidRDefault="005A0D13" w:rsidP="004103B2">
      <w:pPr>
        <w:spacing w:line="276" w:lineRule="auto"/>
        <w:ind w:firstLine="567"/>
        <w:jc w:val="both"/>
      </w:pPr>
      <w:r>
        <w:t xml:space="preserve">No sākotnējā lēmuma 1.pielikuma (aprēķinu tabulas) konstatējams, ka dienests nav apšaubījis minētajās </w:t>
      </w:r>
      <w:r w:rsidR="00A24FE9">
        <w:t xml:space="preserve">divās </w:t>
      </w:r>
      <w:r>
        <w:t xml:space="preserve">deklarācijās deklarēto preču vienas vienības cenu. Arī paskaidrojumā tiesai dienests norāda, ka tas konstatēja, ka cena nav zemāka par Kopienā ievesto līdzīgu preču vienas vienības cenu. </w:t>
      </w:r>
      <w:r w:rsidR="00AB74C6">
        <w:t>Tādējādi</w:t>
      </w:r>
      <w:r>
        <w:t xml:space="preserve"> dienests faktiski saskaņā ar Muitas kodeksa </w:t>
      </w:r>
      <w:proofErr w:type="gramStart"/>
      <w:r>
        <w:t>29.panta</w:t>
      </w:r>
      <w:proofErr w:type="gramEnd"/>
      <w:r>
        <w:t xml:space="preserve"> pirmo daļu ir atzinis muitas deklarācijās Nr.</w:t>
      </w:r>
      <w:r w:rsidR="00CA17A7">
        <w:t> </w:t>
      </w:r>
      <w:r>
        <w:t>0210/9-612674 un Nr.</w:t>
      </w:r>
      <w:r w:rsidR="00CA17A7">
        <w:t> </w:t>
      </w:r>
      <w:r>
        <w:t>0210/9-612754 deklarēto preču darījuma vērtību, ciktāl to ietekmē vienas preces vienības cena.</w:t>
      </w:r>
    </w:p>
    <w:p w14:paraId="0A1CA03F" w14:textId="6085EF3A" w:rsidR="000E57A1" w:rsidRDefault="002D6336" w:rsidP="004103B2">
      <w:pPr>
        <w:spacing w:line="276" w:lineRule="auto"/>
        <w:ind w:firstLine="567"/>
        <w:jc w:val="both"/>
      </w:pPr>
      <w:r>
        <w:t>[3.5] </w:t>
      </w:r>
      <w:r w:rsidR="00816FAE">
        <w:t>No lietas materiāliem</w:t>
      </w:r>
      <w:r w:rsidR="00BD4FF1">
        <w:t xml:space="preserve"> izriet, ka ar septiņām muitas deklarācijām (Nr. 0210/9-612675, Nr. 0210/9-612676, Nr. 0210/9-612754, Nr. 0210/9-614481, Nr. 0210/9-614734, Nr. 0210/9-614914 un Nr. 0210/9-614915) ir deklarēta pilnīgi vienāda prece.</w:t>
      </w:r>
      <w:r w:rsidR="00D73815">
        <w:t xml:space="preserve"> </w:t>
      </w:r>
    </w:p>
    <w:p w14:paraId="5EEE7CF5" w14:textId="12B4E4B9" w:rsidR="00A86A27" w:rsidRDefault="00D73815" w:rsidP="004103B2">
      <w:pPr>
        <w:spacing w:line="276" w:lineRule="auto"/>
        <w:ind w:firstLine="567"/>
        <w:jc w:val="both"/>
      </w:pPr>
      <w:r>
        <w:t>Tā kā dienests bija piekritis muitas deklarācijā Nr.</w:t>
      </w:r>
      <w:r w:rsidR="005633BB">
        <w:t> </w:t>
      </w:r>
      <w:r>
        <w:t xml:space="preserve">0210/9-612754 norādītajai ievesto preču vienas vienības cenai, attiecībā </w:t>
      </w:r>
      <w:r w:rsidR="00856971">
        <w:t xml:space="preserve">arī </w:t>
      </w:r>
      <w:r>
        <w:t xml:space="preserve">uz pārējās sešās muitas </w:t>
      </w:r>
      <w:bookmarkStart w:id="1" w:name="_Hlk94538046"/>
      <w:r>
        <w:t xml:space="preserve">deklarācijās deklarētajām identiskajām precēm dienestam saskaņā ar Muitas kodeksa </w:t>
      </w:r>
      <w:proofErr w:type="gramStart"/>
      <w:r>
        <w:t>30.panta</w:t>
      </w:r>
      <w:proofErr w:type="gramEnd"/>
      <w:r>
        <w:t xml:space="preserve"> 2.punkta </w:t>
      </w:r>
      <w:r w:rsidR="00CA17A7">
        <w:t>„</w:t>
      </w:r>
      <w:r>
        <w:t>a</w:t>
      </w:r>
      <w:r w:rsidR="00CA17A7">
        <w:t>”</w:t>
      </w:r>
      <w:r>
        <w:t xml:space="preserve"> apakšpunktu </w:t>
      </w:r>
      <w:bookmarkEnd w:id="1"/>
      <w:r>
        <w:lastRenderedPageBreak/>
        <w:t>bija jānosaka tāda pati vienas preces vienības muitas vērtība, nevis jāpiemēro Muitas kodeksa 31.pants.</w:t>
      </w:r>
      <w:r w:rsidR="001E1711">
        <w:t xml:space="preserve"> </w:t>
      </w:r>
    </w:p>
    <w:p w14:paraId="299D6DAE" w14:textId="00031E7A" w:rsidR="00D73815" w:rsidRDefault="00EE4A2B" w:rsidP="004103B2">
      <w:pPr>
        <w:spacing w:line="276" w:lineRule="auto"/>
        <w:ind w:firstLine="567"/>
        <w:jc w:val="both"/>
      </w:pPr>
      <w:r>
        <w:t>Tomēr dienesta pieļauto kļūdu dēļ pieteicējai maksājumi budžetā ir noteikti mazākā apmērā (vienas preces cenu nosakot 8,8273 lati), nekā tie būtu nosakāmi, ja dienests visos sešos gadījumos būtu izmantojis muitas deklarācijā Nr.</w:t>
      </w:r>
      <w:r w:rsidR="005633BB">
        <w:t> </w:t>
      </w:r>
      <w:r>
        <w:t xml:space="preserve">0210/9-612754 norādīto cenu (vienas preces cena 16,7314 lati). </w:t>
      </w:r>
      <w:r w:rsidR="00206EC0">
        <w:t>Tādējādi secināms, ka dienesta pieļautās kļūdas ir radījušas pieteicējai labvēlīgas sekas – pieteicējai noteikti mazāka apmēra maksājumi budžetā, nekā tie būtu nosakāmi, ja dienests nebūtu kļūdījies. Līdz ar to pārsūdzētais lēmums nav atceļams sakarā ar muitas vērtības noteikšanas kļūdām.</w:t>
      </w:r>
    </w:p>
    <w:p w14:paraId="2B96F20C" w14:textId="06C62253" w:rsidR="002F7801" w:rsidRDefault="002F7801" w:rsidP="004103B2">
      <w:pPr>
        <w:spacing w:line="276" w:lineRule="auto"/>
        <w:ind w:firstLine="567"/>
        <w:jc w:val="both"/>
      </w:pPr>
      <w:r>
        <w:t>[3.</w:t>
      </w:r>
      <w:r w:rsidR="002A55B1">
        <w:t>6</w:t>
      </w:r>
      <w:r>
        <w:t>] </w:t>
      </w:r>
      <w:r w:rsidR="00BE5AAB">
        <w:t xml:space="preserve">Pienākums maksāt nokavējuma naudu pieteicējai pamatoti uzlikts saskaņā ar likuma „Par nodokļiem un nodevām” </w:t>
      </w:r>
      <w:proofErr w:type="gramStart"/>
      <w:r w:rsidR="00BE5AAB">
        <w:t>32.panta</w:t>
      </w:r>
      <w:proofErr w:type="gramEnd"/>
      <w:r w:rsidR="00BE5AAB">
        <w:t xml:space="preserve"> pirmajā daļā noteikto, bet šā panta astotās daļas regulējums par jaunas nokavējuma naudas aprēķinu</w:t>
      </w:r>
      <w:r w:rsidR="00392318">
        <w:t>, uz kuru atsaucas pieteicēja,</w:t>
      </w:r>
      <w:r w:rsidR="00BE5AAB">
        <w:t xml:space="preserve"> uz izskatāmo lietu nav attiecināms, jo tas attiecas uz gadījumu, ja nodokļu administrācijas lēmumā noteiktie maksājumi netiktu samaksāti 30 dienu laikā. Tā kā pieteicēja muitas maksājumus nebija veikusi normatīvajos aktos noteiktajā termiņā un tie tika noteikti tikai audita rezultātā, pieteicējai pamatoti tika noteikta nokavējuma nauda. Līdz ar to nav pamata izskatāmajā lietā lemt atšķirīgi no </w:t>
      </w:r>
      <w:r w:rsidR="00392318">
        <w:t>Senāta</w:t>
      </w:r>
      <w:r w:rsidR="00BE5AAB">
        <w:t xml:space="preserve"> </w:t>
      </w:r>
      <w:r w:rsidR="00F132B9">
        <w:t xml:space="preserve">2014.gada 25.marta </w:t>
      </w:r>
      <w:r w:rsidR="00BE5AAB">
        <w:t>spriedumā Nr.</w:t>
      </w:r>
      <w:r w:rsidR="00FD3598">
        <w:t> </w:t>
      </w:r>
      <w:r w:rsidR="00BE5AAB">
        <w:t>SKA-41/</w:t>
      </w:r>
      <w:r w:rsidR="00DE5A0F">
        <w:t>20</w:t>
      </w:r>
      <w:r w:rsidR="00BE5AAB">
        <w:t>14 norādītā</w:t>
      </w:r>
      <w:r w:rsidR="00F132B9">
        <w:t xml:space="preserve">, kurā secināts, ka </w:t>
      </w:r>
      <w:r w:rsidR="00B77457">
        <w:t xml:space="preserve">pienākums maksāt nokavējuma naudu rodas līdz ar nodokļa pamatparāda </w:t>
      </w:r>
      <w:r w:rsidR="00D72C77">
        <w:t>sa</w:t>
      </w:r>
      <w:r w:rsidR="00B77457">
        <w:t>maksas nokavējuma pirmo dienu.</w:t>
      </w:r>
    </w:p>
    <w:p w14:paraId="5C265259" w14:textId="5DC6D284" w:rsidR="004E5E8B" w:rsidRDefault="004E5E8B" w:rsidP="004103B2">
      <w:pPr>
        <w:spacing w:line="276" w:lineRule="auto"/>
        <w:jc w:val="both"/>
      </w:pPr>
    </w:p>
    <w:p w14:paraId="33788D7F" w14:textId="02B2205E" w:rsidR="00D630F1" w:rsidRDefault="004E5E8B" w:rsidP="004103B2">
      <w:pPr>
        <w:spacing w:line="276" w:lineRule="auto"/>
        <w:ind w:firstLine="567"/>
        <w:jc w:val="both"/>
      </w:pPr>
      <w:r>
        <w:t>[</w:t>
      </w:r>
      <w:r w:rsidR="006C2C76">
        <w:t>4</w:t>
      </w:r>
      <w:r>
        <w:t>]</w:t>
      </w:r>
      <w:r w:rsidR="0090714D">
        <w:t> </w:t>
      </w:r>
      <w:r w:rsidR="00CA66A5">
        <w:t>Pieteicēja, nepiekrītot apgabaltiesas spriedumam daļā, kurā tika noraidīts pieteikums, iesniedza ka</w:t>
      </w:r>
      <w:r w:rsidR="009D3761">
        <w:t>sācijas sūdzību, nor</w:t>
      </w:r>
      <w:r w:rsidR="00D01C54">
        <w:t xml:space="preserve">ādot šādus </w:t>
      </w:r>
      <w:r w:rsidR="00CC0F16">
        <w:t>argumentus</w:t>
      </w:r>
      <w:r w:rsidR="00D01C54">
        <w:t>.</w:t>
      </w:r>
    </w:p>
    <w:p w14:paraId="68DC0EC3" w14:textId="7A1F6FB0" w:rsidR="00DD7DF2" w:rsidRDefault="00A86C7D" w:rsidP="004103B2">
      <w:pPr>
        <w:spacing w:line="276" w:lineRule="auto"/>
        <w:ind w:firstLine="567"/>
        <w:jc w:val="both"/>
      </w:pPr>
      <w:r>
        <w:t>[</w:t>
      </w:r>
      <w:r w:rsidR="006C2C76">
        <w:t>4</w:t>
      </w:r>
      <w:r w:rsidR="00452225">
        <w:t>.1]</w:t>
      </w:r>
      <w:r w:rsidR="00486B10">
        <w:t> </w:t>
      </w:r>
      <w:proofErr w:type="gramStart"/>
      <w:r w:rsidR="00281685">
        <w:t>2018.gada</w:t>
      </w:r>
      <w:proofErr w:type="gramEnd"/>
      <w:r w:rsidR="00281685">
        <w:t xml:space="preserve"> 6.jūlija paskaidrojumā apgabaltiesai </w:t>
      </w:r>
      <w:r w:rsidR="002632F4">
        <w:t xml:space="preserve">Valsts ieņēmumu </w:t>
      </w:r>
      <w:r w:rsidR="00281685">
        <w:t>dienests ir atkāpies no lēmumā norādītā attiecībā uz muitas vērtības noteikšanu muitas deklarācijās Nr. 0210/9-612674 un Nr. 0210/9-612754 deklarētajām precēm.</w:t>
      </w:r>
      <w:r w:rsidR="00A63A6A">
        <w:t xml:space="preserve"> Proti, dienests ir mainījis lēmuma pamatojum</w:t>
      </w:r>
      <w:r w:rsidR="006F3289">
        <w:t>u</w:t>
      </w:r>
      <w:r w:rsidR="00A63A6A">
        <w:t xml:space="preserve">, norādot, ka pārrēķins veikts saskaņā ar Muitas kodeksa </w:t>
      </w:r>
      <w:proofErr w:type="gramStart"/>
      <w:r w:rsidR="00A63A6A">
        <w:t>31.pantu</w:t>
      </w:r>
      <w:proofErr w:type="gramEnd"/>
      <w:r w:rsidR="009022ED">
        <w:t>,</w:t>
      </w:r>
      <w:r w:rsidR="00A63A6A">
        <w:t xml:space="preserve"> nevis 30.pantu</w:t>
      </w:r>
      <w:r w:rsidR="003A38DA">
        <w:t>,</w:t>
      </w:r>
      <w:r w:rsidR="00A63A6A">
        <w:t xml:space="preserve"> kā tas norādīts pārsūdzētajā lēmumā.</w:t>
      </w:r>
      <w:r w:rsidR="00ED2F8E">
        <w:t xml:space="preserve"> </w:t>
      </w:r>
      <w:r w:rsidR="00F45183">
        <w:t>Tas izriet arī no apgabaltiesas sprieduma.</w:t>
      </w:r>
      <w:r w:rsidR="003F4889">
        <w:t xml:space="preserve"> </w:t>
      </w:r>
    </w:p>
    <w:p w14:paraId="71FC5DDB" w14:textId="39441D9F" w:rsidR="0051373D" w:rsidRDefault="006030E7" w:rsidP="004103B2">
      <w:pPr>
        <w:spacing w:line="276" w:lineRule="auto"/>
        <w:ind w:firstLine="567"/>
        <w:jc w:val="both"/>
      </w:pPr>
      <w:r>
        <w:t>Ņemot vērā minēto,</w:t>
      </w:r>
      <w:r w:rsidR="00DD7DF2">
        <w:t xml:space="preserve"> apgabaltiesai nebija pamata konstatēt, ka sešās muitas deklarācijās deklarētajām precēm muitas vērtība bija jānosaka saskaņā ar Muitas kodeksa </w:t>
      </w:r>
      <w:proofErr w:type="gramStart"/>
      <w:r w:rsidR="00DD7DF2">
        <w:t>30.panta</w:t>
      </w:r>
      <w:proofErr w:type="gramEnd"/>
      <w:r w:rsidR="00DD7DF2">
        <w:t xml:space="preserve"> 2.punkta </w:t>
      </w:r>
      <w:r w:rsidR="003A38DA">
        <w:t>„</w:t>
      </w:r>
      <w:r w:rsidR="00DD7DF2">
        <w:t>a</w:t>
      </w:r>
      <w:r w:rsidR="003A38DA">
        <w:t>”</w:t>
      </w:r>
      <w:r w:rsidR="00DD7DF2">
        <w:t xml:space="preserve"> apakšpunktu.</w:t>
      </w:r>
      <w:r>
        <w:t xml:space="preserve"> </w:t>
      </w:r>
      <w:r w:rsidR="0051373D">
        <w:t xml:space="preserve">Šādā veidā </w:t>
      </w:r>
      <w:bookmarkStart w:id="2" w:name="_Hlk97739993"/>
      <w:r w:rsidR="0051373D">
        <w:t xml:space="preserve">apgabaltiesa ir </w:t>
      </w:r>
      <w:r w:rsidR="0051373D" w:rsidRPr="003F4889">
        <w:t>pieļāvusi ar likumu neatļaut</w:t>
      </w:r>
      <w:r w:rsidR="0051373D">
        <w:t>u</w:t>
      </w:r>
      <w:r w:rsidR="0051373D" w:rsidRPr="003F4889">
        <w:t xml:space="preserve"> </w:t>
      </w:r>
      <w:r w:rsidR="0051373D" w:rsidRPr="003F4889">
        <w:rPr>
          <w:bCs/>
        </w:rPr>
        <w:t>administratīvā akta pamatojuma maiņu</w:t>
      </w:r>
      <w:bookmarkEnd w:id="2"/>
      <w:r w:rsidR="0051373D" w:rsidRPr="003F4889">
        <w:rPr>
          <w:bCs/>
        </w:rPr>
        <w:t>,</w:t>
      </w:r>
      <w:r w:rsidR="0051373D" w:rsidRPr="003F4889">
        <w:t xml:space="preserve"> </w:t>
      </w:r>
      <w:r w:rsidR="0051373D">
        <w:t>proti</w:t>
      </w:r>
      <w:r w:rsidR="0051373D" w:rsidRPr="003F4889">
        <w:t xml:space="preserve"> </w:t>
      </w:r>
      <w:r w:rsidR="0051373D">
        <w:t>Administratīvā procesa likuma</w:t>
      </w:r>
      <w:r w:rsidR="0051373D" w:rsidRPr="003F4889">
        <w:t xml:space="preserve"> 250.panta </w:t>
      </w:r>
      <w:r w:rsidR="003A38DA">
        <w:t xml:space="preserve">otrās </w:t>
      </w:r>
      <w:r w:rsidR="0051373D" w:rsidRPr="003F4889">
        <w:t>daļas pārkāpumu.</w:t>
      </w:r>
    </w:p>
    <w:p w14:paraId="1AF8FB01" w14:textId="3199D031" w:rsidR="003F4889" w:rsidRPr="00E84D56" w:rsidRDefault="00484B90" w:rsidP="004103B2">
      <w:pPr>
        <w:spacing w:line="276" w:lineRule="auto"/>
        <w:ind w:firstLine="567"/>
        <w:jc w:val="both"/>
      </w:pPr>
      <w:r>
        <w:t>Turklāt</w:t>
      </w:r>
      <w:r w:rsidR="003F4889">
        <w:t xml:space="preserve"> nav pietiekami, ja tiek </w:t>
      </w:r>
      <w:r w:rsidR="003F4889" w:rsidRPr="00C33D8C">
        <w:t>samainīta piemērojamās tiesību normas numerācija</w:t>
      </w:r>
      <w:r w:rsidR="003F4889" w:rsidRPr="00E84D56">
        <w:t xml:space="preserve">, </w:t>
      </w:r>
      <w:r w:rsidR="003F4889" w:rsidRPr="00C33D8C">
        <w:t>nemainot pamatojumu</w:t>
      </w:r>
      <w:r w:rsidR="003F4889" w:rsidRPr="00E84D56">
        <w:t xml:space="preserve"> attiecīgās normas piemērošanas priekšno</w:t>
      </w:r>
      <w:r w:rsidR="003A38DA">
        <w:t>teikumu</w:t>
      </w:r>
      <w:r w:rsidR="003F4889" w:rsidRPr="00E84D56">
        <w:t xml:space="preserve"> izpildei. </w:t>
      </w:r>
      <w:r w:rsidR="00B72C1A">
        <w:t>Ne dienesta lēmumā, ne a</w:t>
      </w:r>
      <w:r w:rsidR="008B4DCC">
        <w:t xml:space="preserve">pgabaltiesas spriedumā </w:t>
      </w:r>
      <w:r w:rsidR="00B72C1A">
        <w:t xml:space="preserve">nav vērtēti Muitas kodeksa </w:t>
      </w:r>
      <w:proofErr w:type="gramStart"/>
      <w:r w:rsidR="00B72C1A">
        <w:t>30.panta</w:t>
      </w:r>
      <w:proofErr w:type="gramEnd"/>
      <w:r w:rsidR="00B72C1A">
        <w:t xml:space="preserve"> 2.punkta </w:t>
      </w:r>
      <w:r w:rsidR="003A38DA">
        <w:t>„</w:t>
      </w:r>
      <w:r w:rsidR="00B72C1A">
        <w:t>a</w:t>
      </w:r>
      <w:r w:rsidR="003A38DA">
        <w:t>”</w:t>
      </w:r>
      <w:r w:rsidR="00B72C1A">
        <w:t> apakšpunkta piemērošanas priekšno</w:t>
      </w:r>
      <w:r w:rsidR="003A38DA">
        <w:t>teikumi</w:t>
      </w:r>
      <w:r w:rsidR="00B72C1A">
        <w:t>.</w:t>
      </w:r>
      <w:r w:rsidR="003C74C4">
        <w:t xml:space="preserve"> Tādējādi apgabaltiesai </w:t>
      </w:r>
      <w:r w:rsidR="005431A6">
        <w:t>nebija pamata atsaukties uz šo normu.</w:t>
      </w:r>
    </w:p>
    <w:p w14:paraId="5AD34D20" w14:textId="082B9271" w:rsidR="00600D5B" w:rsidRDefault="00ED623A" w:rsidP="004103B2">
      <w:pPr>
        <w:spacing w:line="276" w:lineRule="auto"/>
        <w:ind w:firstLine="567"/>
        <w:jc w:val="both"/>
      </w:pPr>
      <w:r>
        <w:t>[</w:t>
      </w:r>
      <w:r w:rsidR="006C2C76">
        <w:t>4</w:t>
      </w:r>
      <w:r w:rsidR="00A32E07">
        <w:t>.2]</w:t>
      </w:r>
      <w:r w:rsidR="00600D5B">
        <w:t xml:space="preserve"> Apgabaltiesa nepamatoti secināja, ka nokavējuma nauda ir aprēķināma saskaņā ar </w:t>
      </w:r>
      <w:r w:rsidR="00600D5B" w:rsidRPr="00600D5B">
        <w:t>likum</w:t>
      </w:r>
      <w:r w:rsidR="005A3ED2">
        <w:t>a</w:t>
      </w:r>
      <w:r w:rsidR="00600D5B" w:rsidRPr="00600D5B">
        <w:t xml:space="preserve"> </w:t>
      </w:r>
      <w:r w:rsidR="005A3ED2">
        <w:t>„</w:t>
      </w:r>
      <w:r w:rsidR="00600D5B" w:rsidRPr="00600D5B">
        <w:t>Par nodokļiem un nodevām”</w:t>
      </w:r>
      <w:r w:rsidR="005A3ED2">
        <w:t xml:space="preserve"> normām.</w:t>
      </w:r>
      <w:r w:rsidR="00C73B08">
        <w:t xml:space="preserve"> Nokavējuma naudas noteikšanai</w:t>
      </w:r>
      <w:r w:rsidR="00961078">
        <w:t xml:space="preserve"> šajā gadījumā</w:t>
      </w:r>
      <w:r w:rsidR="00C73B08">
        <w:t xml:space="preserve"> ir jāņem vērā vienīgi </w:t>
      </w:r>
      <w:r w:rsidR="00C73B08" w:rsidRPr="00C73B08">
        <w:t xml:space="preserve">Muitas kodeksa </w:t>
      </w:r>
      <w:proofErr w:type="gramStart"/>
      <w:r w:rsidR="00C73B08" w:rsidRPr="00C73B08">
        <w:t>232.panta</w:t>
      </w:r>
      <w:proofErr w:type="gramEnd"/>
      <w:r w:rsidR="00C73B08" w:rsidRPr="00C73B08">
        <w:t xml:space="preserve"> noteikumi</w:t>
      </w:r>
      <w:r w:rsidR="00FB752B">
        <w:t xml:space="preserve">. </w:t>
      </w:r>
      <w:r w:rsidR="0052730B">
        <w:t>Muitas kodeksa</w:t>
      </w:r>
      <w:r w:rsidR="00961078">
        <w:t xml:space="preserve"> normas ir prioritāras pār nacionālo tiesību normām</w:t>
      </w:r>
      <w:r w:rsidR="0052730B">
        <w:t xml:space="preserve"> un ir piemērojamas tieši.</w:t>
      </w:r>
      <w:r w:rsidR="00100ECB">
        <w:t xml:space="preserve"> </w:t>
      </w:r>
      <w:r w:rsidR="0052730B">
        <w:t>T</w:t>
      </w:r>
      <w:r w:rsidR="00100ECB">
        <w:t xml:space="preserve">urklāt </w:t>
      </w:r>
      <w:r w:rsidR="00A90CEA">
        <w:t xml:space="preserve">Muitas kodekss reglamentē visus ar </w:t>
      </w:r>
      <w:r w:rsidR="00A90CEA" w:rsidRPr="008D3359">
        <w:t>ievedmuitas nodokli</w:t>
      </w:r>
      <w:r w:rsidR="00A90CEA">
        <w:t xml:space="preserve"> saistītos jautājumus, </w:t>
      </w:r>
      <w:r w:rsidR="00347A6E">
        <w:t>un nokavējuma naudas noteikšana nevar būt izņēmums.</w:t>
      </w:r>
    </w:p>
    <w:p w14:paraId="4F7F1DA8" w14:textId="036C238E" w:rsidR="00226173" w:rsidRDefault="009F42FC" w:rsidP="004103B2">
      <w:pPr>
        <w:spacing w:line="276" w:lineRule="auto"/>
        <w:ind w:firstLine="567"/>
        <w:jc w:val="both"/>
      </w:pPr>
      <w:r>
        <w:t>[4.3] </w:t>
      </w:r>
      <w:r w:rsidR="007148F0">
        <w:t>Apgabaltiesas s</w:t>
      </w:r>
      <w:r w:rsidR="00603B16">
        <w:t>priedum</w:t>
      </w:r>
      <w:r w:rsidR="003A38DA">
        <w:t>ā</w:t>
      </w:r>
      <w:r w:rsidR="00603B16">
        <w:t xml:space="preserve"> </w:t>
      </w:r>
      <w:r w:rsidR="00F65B2A">
        <w:t>attiecībā uz nokavējuma naudas noteikšanu</w:t>
      </w:r>
      <w:r w:rsidR="008D27CF">
        <w:t xml:space="preserve"> n</w:t>
      </w:r>
      <w:r w:rsidR="003A38DA">
        <w:t>av</w:t>
      </w:r>
      <w:r w:rsidR="008D27CF">
        <w:t xml:space="preserve"> nekād</w:t>
      </w:r>
      <w:r w:rsidR="003A38DA">
        <w:t>as</w:t>
      </w:r>
      <w:r w:rsidR="008D27CF">
        <w:t xml:space="preserve"> </w:t>
      </w:r>
      <w:r w:rsidR="002974FA" w:rsidRPr="00E84D56">
        <w:t>juridisk</w:t>
      </w:r>
      <w:r w:rsidR="003A38DA">
        <w:t>ās</w:t>
      </w:r>
      <w:r w:rsidR="002974FA" w:rsidRPr="00E84D56">
        <w:t xml:space="preserve"> a</w:t>
      </w:r>
      <w:r w:rsidR="002974FA">
        <w:t>rgumentācij</w:t>
      </w:r>
      <w:r w:rsidR="003A38DA">
        <w:t>as</w:t>
      </w:r>
      <w:r w:rsidR="002974FA">
        <w:t xml:space="preserve">, izņemot norādi uz Senāta </w:t>
      </w:r>
      <w:proofErr w:type="gramStart"/>
      <w:r w:rsidR="002974FA" w:rsidRPr="00E84D56">
        <w:t>2</w:t>
      </w:r>
      <w:r w:rsidR="002974FA">
        <w:t>014.gada</w:t>
      </w:r>
      <w:proofErr w:type="gramEnd"/>
      <w:r w:rsidR="002974FA">
        <w:t xml:space="preserve"> 25.marta spriedumu lietā </w:t>
      </w:r>
      <w:r w:rsidR="002974FA" w:rsidRPr="00E84D56">
        <w:t>Nr.</w:t>
      </w:r>
      <w:r w:rsidR="002974FA">
        <w:t> </w:t>
      </w:r>
      <w:r w:rsidR="00C20C2A">
        <w:t>SKA-41/</w:t>
      </w:r>
      <w:r w:rsidR="00D72C77">
        <w:t>20</w:t>
      </w:r>
      <w:r w:rsidR="00C20C2A">
        <w:t>14</w:t>
      </w:r>
      <w:r w:rsidR="00F65B2A">
        <w:t>. Tomēr attiecīgais spriedums kon</w:t>
      </w:r>
      <w:r w:rsidR="00C20C2A">
        <w:t xml:space="preserve">krētajā gadījumā vispār nav piemērojams, </w:t>
      </w:r>
      <w:r w:rsidR="00C20C2A">
        <w:lastRenderedPageBreak/>
        <w:t xml:space="preserve">jo </w:t>
      </w:r>
      <w:r w:rsidR="00F65B2A">
        <w:t xml:space="preserve">lietā </w:t>
      </w:r>
      <w:r w:rsidR="00C20C2A" w:rsidRPr="00E84D56">
        <w:t>vērtēja</w:t>
      </w:r>
      <w:r w:rsidR="00C20C2A">
        <w:t xml:space="preserve">mais administratīvais akts bija pamatots ar </w:t>
      </w:r>
      <w:proofErr w:type="gramStart"/>
      <w:r w:rsidR="00C20C2A" w:rsidRPr="00E84D56">
        <w:t>2007.gadā</w:t>
      </w:r>
      <w:proofErr w:type="gramEnd"/>
      <w:r w:rsidR="00C20C2A" w:rsidRPr="00E84D56">
        <w:t xml:space="preserve"> spēkā esošo likuma „Par nodokļiem un nodevām” 32.panta astotās daļas regulējumu, bet vēl</w:t>
      </w:r>
      <w:r w:rsidR="00C20C2A">
        <w:t xml:space="preserve">āk šis regulējums tika grozīts. </w:t>
      </w:r>
    </w:p>
    <w:p w14:paraId="52BB5A37" w14:textId="689B4A65" w:rsidR="007148F0" w:rsidRDefault="00C20C2A" w:rsidP="004103B2">
      <w:pPr>
        <w:spacing w:line="276" w:lineRule="auto"/>
        <w:ind w:firstLine="567"/>
        <w:jc w:val="both"/>
      </w:pPr>
      <w:r>
        <w:t xml:space="preserve">Turklāt </w:t>
      </w:r>
      <w:r w:rsidR="007148F0">
        <w:t>Senāta spriedum</w:t>
      </w:r>
      <w:r w:rsidR="009428F3">
        <w:t>s ir balstīts uz nepareizu Eiropas Savienības Tiesas judikatūras interpretāciju.</w:t>
      </w:r>
      <w:r w:rsidR="002E0D22">
        <w:t xml:space="preserve"> M</w:t>
      </w:r>
      <w:r w:rsidR="002E0D22" w:rsidRPr="002E0D22">
        <w:t xml:space="preserve">inētajā spriedumā </w:t>
      </w:r>
      <w:r w:rsidR="002E0D22">
        <w:t xml:space="preserve">ir </w:t>
      </w:r>
      <w:r w:rsidR="002E0D22" w:rsidRPr="002E0D22">
        <w:t>atsauc</w:t>
      </w:r>
      <w:r w:rsidR="002E0D22">
        <w:t>es</w:t>
      </w:r>
      <w:r w:rsidR="002E0D22" w:rsidRPr="002E0D22">
        <w:t xml:space="preserve"> uz </w:t>
      </w:r>
      <w:r w:rsidR="002E0D22">
        <w:t>Eiropas Savienības Tiesas</w:t>
      </w:r>
      <w:r w:rsidR="002E0D22" w:rsidRPr="002E0D22">
        <w:t xml:space="preserve"> </w:t>
      </w:r>
      <w:proofErr w:type="gramStart"/>
      <w:r w:rsidR="002E0D22" w:rsidRPr="002E0D22">
        <w:t>2011.gada</w:t>
      </w:r>
      <w:proofErr w:type="gramEnd"/>
      <w:r w:rsidR="002E0D22" w:rsidRPr="002E0D22">
        <w:t xml:space="preserve"> 31.marta spriedumu lietā C-546/09 un 2003.gada 16.oktobra spriedumu lietā C-91/02. </w:t>
      </w:r>
      <w:r w:rsidR="002E0D22">
        <w:t>Bet n</w:t>
      </w:r>
      <w:r w:rsidR="002E0D22" w:rsidRPr="002E0D22">
        <w:t>o minētajiem spriedumiem neizriet secinājums, ka pienākums maksāt nokavējuma naudu par laikposmu no muitas parāda rašanās brīža līdz iestādes lēmuma pieņemšanai pastāv tikai tad, ja tas paredzēts dalībvalsts tiesībās.</w:t>
      </w:r>
      <w:r w:rsidR="002E0D22">
        <w:t xml:space="preserve"> Turklāt </w:t>
      </w:r>
      <w:r w:rsidR="00D77252" w:rsidRPr="00BB3128">
        <w:t>spriedum</w:t>
      </w:r>
      <w:r w:rsidR="00D77252">
        <w:t>a</w:t>
      </w:r>
      <w:r w:rsidR="00D77252" w:rsidRPr="00BB3128">
        <w:t xml:space="preserve"> lietā C-91/02</w:t>
      </w:r>
      <w:r w:rsidR="00D77252">
        <w:t xml:space="preserve"> atziņas attiecas uz </w:t>
      </w:r>
      <w:r w:rsidR="00D77252" w:rsidRPr="00D77252">
        <w:t>sodoša rakstura pasākumu piemērošanu, k</w:t>
      </w:r>
      <w:r w:rsidR="00D77252">
        <w:t>as</w:t>
      </w:r>
      <w:r w:rsidR="00D77252" w:rsidRPr="00D77252">
        <w:t xml:space="preserve"> tiek piemēroti papildus nokavējuma naudām, kas aprēķināmas saskaņā ar Muitas kodeksa </w:t>
      </w:r>
      <w:proofErr w:type="gramStart"/>
      <w:r w:rsidR="00D77252" w:rsidRPr="00D77252">
        <w:t>232.pantu</w:t>
      </w:r>
      <w:proofErr w:type="gramEnd"/>
      <w:r w:rsidR="00D77252" w:rsidRPr="00D77252">
        <w:t>.</w:t>
      </w:r>
      <w:r w:rsidR="00D77252">
        <w:t xml:space="preserve"> Tādējādi</w:t>
      </w:r>
      <w:r w:rsidR="00F94A62">
        <w:t xml:space="preserve"> tiesiskie apstākļi Senāta spriedumā lietā </w:t>
      </w:r>
      <w:r w:rsidR="00F94A62" w:rsidRPr="00E84D56">
        <w:t>Nr.</w:t>
      </w:r>
      <w:r w:rsidR="00F94A62">
        <w:t> SKA-41/</w:t>
      </w:r>
      <w:r w:rsidR="00BF2A5A">
        <w:t>20</w:t>
      </w:r>
      <w:r w:rsidR="00F94A62">
        <w:t>14 un iepriekš minētajā lietā nav savstarpēji salīdzināmi.</w:t>
      </w:r>
      <w:r w:rsidR="008B7495">
        <w:t xml:space="preserve"> </w:t>
      </w:r>
    </w:p>
    <w:p w14:paraId="70BD422E" w14:textId="7FF4CB27" w:rsidR="00EF2BE0" w:rsidRDefault="008B7495" w:rsidP="004103B2">
      <w:pPr>
        <w:spacing w:line="276" w:lineRule="auto"/>
        <w:ind w:firstLine="567"/>
        <w:jc w:val="both"/>
      </w:pPr>
      <w:r w:rsidRPr="008B7495">
        <w:t xml:space="preserve">Savukārt </w:t>
      </w:r>
      <w:r>
        <w:t xml:space="preserve">no </w:t>
      </w:r>
      <w:r w:rsidRPr="008B7495">
        <w:t>sprieduma lietā C-546/09</w:t>
      </w:r>
      <w:r>
        <w:t xml:space="preserve"> </w:t>
      </w:r>
      <w:r w:rsidR="00CB4803">
        <w:t xml:space="preserve">izriet, ka </w:t>
      </w:r>
      <w:r w:rsidR="00603B16" w:rsidRPr="00E84D56">
        <w:t>nokavējuma naudas aprēķināšana no deklarācijas iesniegšanas brīža</w:t>
      </w:r>
      <w:r w:rsidR="00603B16">
        <w:t xml:space="preserve"> līdz parāda iegrāmatošanai </w:t>
      </w:r>
      <w:r w:rsidR="00603B16" w:rsidRPr="00E84D56">
        <w:t>neatbilst nokavējuma procentu mērķim</w:t>
      </w:r>
      <w:r w:rsidR="008022BC">
        <w:t xml:space="preserve">. </w:t>
      </w:r>
      <w:r w:rsidR="00603B16" w:rsidRPr="00E84D56">
        <w:t>Nokavējuma procenti motivē personu izpildīt dienesta lēmumu,</w:t>
      </w:r>
      <w:r w:rsidR="008022BC">
        <w:t xml:space="preserve"> ar kuru </w:t>
      </w:r>
      <w:r w:rsidR="008022BC" w:rsidRPr="00E84D56">
        <w:t xml:space="preserve">uzliek pienākumu samaksāt </w:t>
      </w:r>
      <w:r w:rsidR="008022BC">
        <w:t>nodokli,</w:t>
      </w:r>
      <w:r w:rsidR="00603B16" w:rsidRPr="00E84D56">
        <w:t xml:space="preserve"> tādā veidā mazinot termiņa nokavējumu. Tāpēc nokavējuma procenti ir aprēķināmi par laiku no administratīvā akta neizpildes dienas.</w:t>
      </w:r>
    </w:p>
    <w:p w14:paraId="1D7321A9" w14:textId="77777777" w:rsidR="00141ECA" w:rsidRDefault="00141ECA" w:rsidP="004103B2">
      <w:pPr>
        <w:spacing w:line="276" w:lineRule="auto"/>
        <w:jc w:val="both"/>
      </w:pPr>
    </w:p>
    <w:p w14:paraId="476C2B74" w14:textId="511C938A" w:rsidR="00686E92" w:rsidRDefault="00ED623A" w:rsidP="004103B2">
      <w:pPr>
        <w:spacing w:line="276" w:lineRule="auto"/>
        <w:ind w:firstLine="567"/>
        <w:jc w:val="both"/>
      </w:pPr>
      <w:r>
        <w:t>[</w:t>
      </w:r>
      <w:r w:rsidR="0068053B">
        <w:t>5</w:t>
      </w:r>
      <w:r w:rsidR="00EB3336">
        <w:t>]</w:t>
      </w:r>
      <w:r w:rsidR="00A35205">
        <w:t> </w:t>
      </w:r>
      <w:r w:rsidR="00EB3336">
        <w:t>Valsts ieņēmumu dienests, nepiekrītot apgabaltiesas spriedumam daļā, kurā tika apmierināts pieteicējas pieteikum</w:t>
      </w:r>
      <w:r w:rsidR="00A56DF5">
        <w:t>s, iesniedza kasācijas sūdzību, norādot</w:t>
      </w:r>
      <w:r w:rsidR="00686E92">
        <w:t xml:space="preserve"> </w:t>
      </w:r>
      <w:r w:rsidR="00CC0F16">
        <w:t xml:space="preserve">šādus </w:t>
      </w:r>
      <w:r w:rsidR="00686E92">
        <w:t>argumentus.</w:t>
      </w:r>
    </w:p>
    <w:p w14:paraId="77CA90B9" w14:textId="6D228E14" w:rsidR="00686E92" w:rsidRDefault="00686E92" w:rsidP="004103B2">
      <w:pPr>
        <w:spacing w:line="276" w:lineRule="auto"/>
        <w:ind w:firstLine="567"/>
        <w:jc w:val="both"/>
      </w:pPr>
      <w:r>
        <w:t>[5.1] Secinot, ka dienests nav pietiekami pamatojis un pierādījis ar muitas deklarāciju Nr.</w:t>
      </w:r>
      <w:r w:rsidR="00D75363">
        <w:t> </w:t>
      </w:r>
      <w:r>
        <w:t>0210/9-612674 nosūtīto preču atbilstību tarifu kodam 85287119</w:t>
      </w:r>
      <w:r w:rsidR="00A56DF5">
        <w:t xml:space="preserve">, </w:t>
      </w:r>
      <w:r>
        <w:t>apgabal</w:t>
      </w:r>
      <w:r w:rsidR="00A56DF5">
        <w:t>tiesa ir pārkāpusi objektīvās izmeklē</w:t>
      </w:r>
      <w:r w:rsidR="00E32D40">
        <w:t xml:space="preserve">šanas principu, formāli atsaucoties uz </w:t>
      </w:r>
      <w:r w:rsidR="00E32D40" w:rsidRPr="001103D3">
        <w:t>pierādījumu neesību.</w:t>
      </w:r>
      <w:r w:rsidR="00E32D40">
        <w:t xml:space="preserve"> </w:t>
      </w:r>
    </w:p>
    <w:p w14:paraId="39E4BF20" w14:textId="4CCD250D" w:rsidR="00D5144F" w:rsidRPr="00C71103" w:rsidRDefault="00CC3203" w:rsidP="004103B2">
      <w:pPr>
        <w:spacing w:line="276" w:lineRule="auto"/>
        <w:ind w:firstLine="567"/>
        <w:jc w:val="both"/>
      </w:pPr>
      <w:r>
        <w:t xml:space="preserve">Apstākļos, kad pirmās instances tiesa </w:t>
      </w:r>
      <w:r w:rsidR="00195B33">
        <w:t xml:space="preserve">dienesta iesniegto pierādījumu apjomu </w:t>
      </w:r>
      <w:r>
        <w:t>atzina par pietie</w:t>
      </w:r>
      <w:r w:rsidR="007F0C4D">
        <w:t>kamu</w:t>
      </w:r>
      <w:r>
        <w:t xml:space="preserve">, </w:t>
      </w:r>
      <w:r w:rsidR="003608A7">
        <w:t>apgabaltiesai</w:t>
      </w:r>
      <w:r>
        <w:t xml:space="preserve"> bija jāinformē </w:t>
      </w:r>
      <w:r w:rsidR="003608A7">
        <w:t>dienests</w:t>
      </w:r>
      <w:r>
        <w:t>, ka pierād</w:t>
      </w:r>
      <w:r w:rsidR="00E32D40">
        <w:t>ījumu apjoms</w:t>
      </w:r>
      <w:r w:rsidR="007F0C4D">
        <w:t xml:space="preserve"> tomēr</w:t>
      </w:r>
      <w:r w:rsidR="00E32D40">
        <w:t xml:space="preserve"> </w:t>
      </w:r>
      <w:r w:rsidR="00424DE1">
        <w:t>nav pietie</w:t>
      </w:r>
      <w:r w:rsidR="007F0C4D">
        <w:t>kams</w:t>
      </w:r>
      <w:r w:rsidR="003608A7">
        <w:t>.</w:t>
      </w:r>
      <w:r w:rsidR="00C71103" w:rsidRPr="00C71103">
        <w:t xml:space="preserve"> </w:t>
      </w:r>
      <w:r w:rsidR="00F90BE0">
        <w:t xml:space="preserve">Tomēr apgabaltiesa dienestam nav devusi norādījumus pierādījumu iesniegšanā, kā arī nav ieguvusi pierādījumus pati. </w:t>
      </w:r>
      <w:r w:rsidR="00716A16" w:rsidRPr="00C71103">
        <w:t>Turklāt šajā gadījumā jāņem vērā, ka d</w:t>
      </w:r>
      <w:r w:rsidR="00D5144F" w:rsidRPr="00C71103">
        <w:t>ienesta l</w:t>
      </w:r>
      <w:r w:rsidR="00D5144F">
        <w:t>ēmum</w:t>
      </w:r>
      <w:r w:rsidR="00584811">
        <w:t xml:space="preserve">ā bija iekļauta konkrēta atsauce uz </w:t>
      </w:r>
      <w:r w:rsidR="00716A16">
        <w:t>vērtējumā izmantoto informācij</w:t>
      </w:r>
      <w:r w:rsidR="00763FA2">
        <w:t>as avotu</w:t>
      </w:r>
      <w:r w:rsidR="00716A16">
        <w:t>.</w:t>
      </w:r>
    </w:p>
    <w:p w14:paraId="1550070F" w14:textId="70DE029F" w:rsidR="00A56DF5" w:rsidRDefault="00515481" w:rsidP="004103B2">
      <w:pPr>
        <w:spacing w:line="276" w:lineRule="auto"/>
        <w:ind w:firstLine="567"/>
        <w:jc w:val="both"/>
      </w:pPr>
      <w:r>
        <w:t>[5.2] </w:t>
      </w:r>
      <w:r w:rsidR="008D2F08">
        <w:t>Apgabal</w:t>
      </w:r>
      <w:r w:rsidR="00E2006D">
        <w:t xml:space="preserve">tiesa, atzīstot </w:t>
      </w:r>
      <w:r w:rsidR="008D2F08">
        <w:t>l</w:t>
      </w:r>
      <w:r w:rsidR="00E2006D">
        <w:t xml:space="preserve">ēmumu par nepamatotu </w:t>
      </w:r>
      <w:r w:rsidR="008F3972">
        <w:t>šajā</w:t>
      </w:r>
      <w:r w:rsidR="00E2006D">
        <w:t xml:space="preserve"> daļā</w:t>
      </w:r>
      <w:r w:rsidR="00966145">
        <w:t xml:space="preserve">, </w:t>
      </w:r>
      <w:r w:rsidR="008154A5">
        <w:t xml:space="preserve">būtībā </w:t>
      </w:r>
      <w:r w:rsidR="00966145">
        <w:t xml:space="preserve">piekrīt </w:t>
      </w:r>
      <w:r w:rsidR="00E2006D">
        <w:t>pieteicējas tarifu koda noteikšanas pamatot</w:t>
      </w:r>
      <w:r w:rsidR="00966145">
        <w:t>ībai</w:t>
      </w:r>
      <w:r w:rsidR="00E2006D">
        <w:t>, kaut gan tam lietā nav neviena pierādījuma.</w:t>
      </w:r>
    </w:p>
    <w:p w14:paraId="54D807D1" w14:textId="77777777" w:rsidR="006675FE" w:rsidRDefault="006675FE" w:rsidP="004103B2">
      <w:pPr>
        <w:spacing w:line="276" w:lineRule="auto"/>
        <w:ind w:firstLine="567"/>
        <w:jc w:val="both"/>
      </w:pPr>
    </w:p>
    <w:p w14:paraId="6237BFB3" w14:textId="7A6E79D8" w:rsidR="00DC6A15" w:rsidRDefault="00ED623A" w:rsidP="004103B2">
      <w:pPr>
        <w:spacing w:line="276" w:lineRule="auto"/>
        <w:ind w:firstLine="567"/>
        <w:jc w:val="both"/>
      </w:pPr>
      <w:r>
        <w:t>[</w:t>
      </w:r>
      <w:r w:rsidR="001D67FE">
        <w:t>6</w:t>
      </w:r>
      <w:r w:rsidR="00DC6A15">
        <w:t>] Pieteicēja un Valsts ieņēmumu dienests iesniedza paskaidrojumus par otra procesa dalībnieka iesniegto kasācijas sūdzību, uzskatot to par nepamatotu.</w:t>
      </w:r>
    </w:p>
    <w:p w14:paraId="1A99AB24" w14:textId="77777777" w:rsidR="006F0596" w:rsidRDefault="006F0596" w:rsidP="004103B2">
      <w:pPr>
        <w:spacing w:line="276" w:lineRule="auto"/>
        <w:jc w:val="center"/>
      </w:pPr>
    </w:p>
    <w:p w14:paraId="1447530E" w14:textId="1548D16A" w:rsidR="006F0596" w:rsidRDefault="006F0596" w:rsidP="004103B2">
      <w:pPr>
        <w:spacing w:line="276" w:lineRule="auto"/>
        <w:jc w:val="center"/>
        <w:rPr>
          <w:b/>
        </w:rPr>
      </w:pPr>
      <w:r w:rsidRPr="0082381C">
        <w:rPr>
          <w:b/>
        </w:rPr>
        <w:t>Motīvu daļa</w:t>
      </w:r>
    </w:p>
    <w:p w14:paraId="25969292" w14:textId="1C81B452" w:rsidR="00942C8F" w:rsidRDefault="00942C8F" w:rsidP="004103B2">
      <w:pPr>
        <w:spacing w:line="276" w:lineRule="auto"/>
        <w:jc w:val="center"/>
        <w:rPr>
          <w:b/>
        </w:rPr>
      </w:pPr>
    </w:p>
    <w:p w14:paraId="36EF79FE" w14:textId="7FBAB2FA" w:rsidR="00942C8F" w:rsidRPr="00942C8F" w:rsidRDefault="00942C8F" w:rsidP="004103B2">
      <w:pPr>
        <w:spacing w:line="276" w:lineRule="auto"/>
        <w:jc w:val="center"/>
        <w:rPr>
          <w:b/>
          <w:bCs/>
        </w:rPr>
      </w:pPr>
      <w:r w:rsidRPr="000C5614">
        <w:rPr>
          <w:b/>
          <w:bCs/>
        </w:rPr>
        <w:t>I</w:t>
      </w:r>
    </w:p>
    <w:p w14:paraId="12355459" w14:textId="22F19FB8" w:rsidR="00510BFB" w:rsidRDefault="00510BFB" w:rsidP="004103B2">
      <w:pPr>
        <w:spacing w:line="276" w:lineRule="auto"/>
        <w:jc w:val="center"/>
        <w:rPr>
          <w:b/>
        </w:rPr>
      </w:pPr>
    </w:p>
    <w:p w14:paraId="35D47B06" w14:textId="7CE98F1F" w:rsidR="00435900" w:rsidRDefault="003A4D16" w:rsidP="004103B2">
      <w:pPr>
        <w:spacing w:line="276" w:lineRule="auto"/>
        <w:ind w:firstLine="567"/>
        <w:jc w:val="both"/>
        <w:rPr>
          <w:bCs/>
        </w:rPr>
      </w:pPr>
      <w:r>
        <w:rPr>
          <w:bCs/>
        </w:rPr>
        <w:t>[7] </w:t>
      </w:r>
      <w:r w:rsidR="00435900">
        <w:rPr>
          <w:bCs/>
        </w:rPr>
        <w:t>Pieteicēja kasācijas sūdzībā iebilst apgabaltiesas secinājumiem saistībā ar deklarēto preču muitas vērtības noteikšanu. Pieteicēja norāda, ka apgabaltiesa</w:t>
      </w:r>
      <w:r w:rsidR="00133DD4">
        <w:rPr>
          <w:bCs/>
        </w:rPr>
        <w:t>s spriedumā nebija pieļaujami mainīt</w:t>
      </w:r>
      <w:r w:rsidR="00435900">
        <w:rPr>
          <w:bCs/>
        </w:rPr>
        <w:t xml:space="preserve"> piemērojamās normas muitas vērtības noteikšanai</w:t>
      </w:r>
      <w:r w:rsidR="00B81BEA">
        <w:rPr>
          <w:bCs/>
        </w:rPr>
        <w:t>.</w:t>
      </w:r>
    </w:p>
    <w:p w14:paraId="3380637B" w14:textId="77777777" w:rsidR="00435900" w:rsidRDefault="00435900" w:rsidP="004103B2">
      <w:pPr>
        <w:spacing w:line="276" w:lineRule="auto"/>
        <w:jc w:val="both"/>
        <w:rPr>
          <w:bCs/>
        </w:rPr>
      </w:pPr>
    </w:p>
    <w:p w14:paraId="5F753867" w14:textId="70871EF7" w:rsidR="00435900" w:rsidRDefault="003A4D16" w:rsidP="004103B2">
      <w:pPr>
        <w:spacing w:line="276" w:lineRule="auto"/>
        <w:ind w:firstLine="567"/>
        <w:jc w:val="both"/>
      </w:pPr>
      <w:r>
        <w:t>[8] </w:t>
      </w:r>
      <w:r w:rsidR="00435900">
        <w:t>Metodes ievesto preču muitas vērtības noteikšanai norādītas Muitas kodeksa 29.–</w:t>
      </w:r>
      <w:proofErr w:type="gramStart"/>
      <w:r w:rsidR="00435900">
        <w:t>31.panta</w:t>
      </w:r>
      <w:proofErr w:type="gramEnd"/>
      <w:r w:rsidR="00435900">
        <w:t xml:space="preserve"> normās. Minētajās normās ietvertās metodes atrodas pakārtotības attiecībās un tiesību normās ir attiecīgi sakārtotas. Tikai tad, ja muitas vērtību nevar noteikt, piemērojot vispirms </w:t>
      </w:r>
      <w:r w:rsidR="00435900">
        <w:lastRenderedPageBreak/>
        <w:t xml:space="preserve">paredzēto metodi, ir jāņem vērā tā metode, kas šo tiesību normu ieviestajā kārtībā tūlīt seko iepriekš norādītajai. Šādā veidā tiek panākts, ka muitas vērtības noteikšanā ir izmantojama iespējami precīzākā un atbilstošākā informācija par preces vērtību ievešanas laikā </w:t>
      </w:r>
      <w:proofErr w:type="gramStart"/>
      <w:r w:rsidR="00435900">
        <w:t>(</w:t>
      </w:r>
      <w:proofErr w:type="gramEnd"/>
      <w:r w:rsidR="00435900">
        <w:t xml:space="preserve">piemēram, </w:t>
      </w:r>
      <w:r w:rsidR="00435900" w:rsidRPr="00263DDC">
        <w:rPr>
          <w:i/>
          <w:iCs/>
        </w:rPr>
        <w:t>Eiropas Savienības Tiesas 2013.gada 12.decembra sprieduma lietā „</w:t>
      </w:r>
      <w:proofErr w:type="spellStart"/>
      <w:r w:rsidR="00435900" w:rsidRPr="00263DDC">
        <w:rPr>
          <w:i/>
          <w:iCs/>
        </w:rPr>
        <w:t>Christodoulou</w:t>
      </w:r>
      <w:proofErr w:type="spellEnd"/>
      <w:r w:rsidR="00435900" w:rsidRPr="00263DDC">
        <w:rPr>
          <w:i/>
          <w:iCs/>
        </w:rPr>
        <w:t xml:space="preserve"> u.c.”, C</w:t>
      </w:r>
      <w:r w:rsidR="00435900">
        <w:rPr>
          <w:i/>
          <w:iCs/>
        </w:rPr>
        <w:noBreakHyphen/>
      </w:r>
      <w:r w:rsidR="00435900" w:rsidRPr="00263DDC">
        <w:rPr>
          <w:i/>
          <w:iCs/>
        </w:rPr>
        <w:t xml:space="preserve">116/12, </w:t>
      </w:r>
      <w:r w:rsidR="00435900" w:rsidRPr="005F4F5D">
        <w:rPr>
          <w:i/>
          <w:iCs/>
        </w:rPr>
        <w:t>ECLI:EU:C:2013:825</w:t>
      </w:r>
      <w:r w:rsidR="00435900" w:rsidRPr="00263DDC">
        <w:rPr>
          <w:i/>
          <w:iCs/>
        </w:rPr>
        <w:t>, 43.punkts</w:t>
      </w:r>
      <w:r w:rsidR="00435900">
        <w:t>). No minētā izriet, ka nodokļu administrācijas izšķiršanās preču muitas vērtības noteikšanai piemērojamās metodes izvēlē nevar būt patvaļīga. Izvēloties piemērojamo metodi, jāņem vērā Eiropas Savienības likumdevēja izveidotā sistēma, kurā nākamās metodes piemērošana iespējama vien tad, ja nodokļu administrācija ir pārliecinājusies, ka tiesību normās iepriekš noteiktās metodes piemērošana nav iespējama (</w:t>
      </w:r>
      <w:r w:rsidR="00435900" w:rsidRPr="003A02A0">
        <w:rPr>
          <w:i/>
          <w:iCs/>
        </w:rPr>
        <w:t>Senāta 201</w:t>
      </w:r>
      <w:r w:rsidR="00435900">
        <w:rPr>
          <w:i/>
          <w:iCs/>
        </w:rPr>
        <w:t>9</w:t>
      </w:r>
      <w:r w:rsidR="00435900" w:rsidRPr="003A02A0">
        <w:rPr>
          <w:i/>
          <w:iCs/>
        </w:rPr>
        <w:t xml:space="preserve">.gada </w:t>
      </w:r>
      <w:r w:rsidR="00435900">
        <w:rPr>
          <w:i/>
          <w:iCs/>
        </w:rPr>
        <w:t>30.augusta</w:t>
      </w:r>
      <w:r w:rsidR="00435900" w:rsidRPr="003A02A0">
        <w:rPr>
          <w:i/>
          <w:iCs/>
        </w:rPr>
        <w:t xml:space="preserve"> sprieduma lietā Nr.</w:t>
      </w:r>
      <w:r w:rsidR="00D75363">
        <w:rPr>
          <w:i/>
          <w:iCs/>
        </w:rPr>
        <w:t> </w:t>
      </w:r>
      <w:r w:rsidR="00435900" w:rsidRPr="003A02A0">
        <w:rPr>
          <w:i/>
          <w:iCs/>
        </w:rPr>
        <w:t>SKA-</w:t>
      </w:r>
      <w:r w:rsidR="00435900">
        <w:rPr>
          <w:i/>
          <w:iCs/>
        </w:rPr>
        <w:t>3</w:t>
      </w:r>
      <w:r w:rsidR="00435900" w:rsidRPr="003A02A0">
        <w:rPr>
          <w:i/>
          <w:iCs/>
        </w:rPr>
        <w:t>/201</w:t>
      </w:r>
      <w:r w:rsidR="00435900">
        <w:rPr>
          <w:i/>
          <w:iCs/>
        </w:rPr>
        <w:t>9</w:t>
      </w:r>
      <w:r w:rsidR="00435900" w:rsidRPr="003A02A0">
        <w:rPr>
          <w:i/>
          <w:iCs/>
        </w:rPr>
        <w:t xml:space="preserve"> (</w:t>
      </w:r>
      <w:r w:rsidR="00435900" w:rsidRPr="00C732C1">
        <w:rPr>
          <w:i/>
          <w:iCs/>
        </w:rPr>
        <w:t>ECLI:LV:AT:2019:0830.A420540811.4.S</w:t>
      </w:r>
      <w:r w:rsidR="00435900" w:rsidRPr="003A02A0">
        <w:rPr>
          <w:i/>
          <w:iCs/>
        </w:rPr>
        <w:t xml:space="preserve">) </w:t>
      </w:r>
      <w:r w:rsidR="00435900">
        <w:rPr>
          <w:i/>
          <w:iCs/>
        </w:rPr>
        <w:t>9</w:t>
      </w:r>
      <w:r w:rsidR="00435900" w:rsidRPr="003A02A0">
        <w:rPr>
          <w:i/>
          <w:iCs/>
        </w:rPr>
        <w:t>.punkts</w:t>
      </w:r>
      <w:r w:rsidR="00435900">
        <w:t>).</w:t>
      </w:r>
    </w:p>
    <w:p w14:paraId="2F01B5A4" w14:textId="5512DB6D" w:rsidR="00435900" w:rsidRPr="00822987" w:rsidRDefault="00435900" w:rsidP="004103B2">
      <w:pPr>
        <w:spacing w:line="276" w:lineRule="auto"/>
        <w:ind w:firstLine="567"/>
        <w:jc w:val="both"/>
      </w:pPr>
      <w:r>
        <w:t xml:space="preserve">Muitas vērtības noteikšanai piemērojamās metodes izvēle ir nesaraujami saistīta ar iestādes pienākumu lēmumā par ievesto preču muitas vērtības noteikšanu norādīt iemeslus, kuru dēļ tā ir izvēlējusies konkrētu metodi un noraidījusi iespēju piemērot Muitas kodeksā iepriekš paredzētas muitas vērtības noteikšanas metodes. Savukārt tiesas uzdevums, </w:t>
      </w:r>
      <w:bookmarkStart w:id="3" w:name="_Hlk97743581"/>
      <w:r>
        <w:t>pārbaudot iestādes pieņemtā lēmuma tiesiskumu</w:t>
      </w:r>
      <w:bookmarkEnd w:id="3"/>
      <w:r>
        <w:t xml:space="preserve">, ir pārliecināties par to, vai iestāde ir bijusi pietiekami rūpīga piemērojamās metodes izvēlē, vai ir pienācīgi pamatojusi konkrētās metodes izvēli (tostarp pienācīgi argumentējot, kāpēc normās iepriekš noteiktās metodes nav izmantotas) un </w:t>
      </w:r>
      <w:bookmarkStart w:id="4" w:name="_Hlk97739379"/>
      <w:r>
        <w:t>vai pēc būtības šis pamatojums ir pareizs</w:t>
      </w:r>
      <w:bookmarkEnd w:id="4"/>
      <w:r>
        <w:t xml:space="preserve"> </w:t>
      </w:r>
      <w:proofErr w:type="gramStart"/>
      <w:r>
        <w:t>(</w:t>
      </w:r>
      <w:proofErr w:type="gramEnd"/>
      <w:r w:rsidRPr="003A02A0">
        <w:rPr>
          <w:i/>
          <w:iCs/>
        </w:rPr>
        <w:t>Senāta 2018.gada 16.janvāra sprieduma lietā Nr.</w:t>
      </w:r>
      <w:r w:rsidR="00D75363">
        <w:rPr>
          <w:i/>
          <w:iCs/>
        </w:rPr>
        <w:t> </w:t>
      </w:r>
      <w:r w:rsidRPr="003A02A0">
        <w:rPr>
          <w:i/>
          <w:iCs/>
        </w:rPr>
        <w:t>SKA-4/2018 (ECLI:LV:AT:2018:0116.A420681111.2.S) 13.punkts, 2018.gada 30.janvāra sprieduma lietā Nr.</w:t>
      </w:r>
      <w:r w:rsidR="00D75363">
        <w:rPr>
          <w:i/>
          <w:iCs/>
        </w:rPr>
        <w:t> </w:t>
      </w:r>
      <w:r w:rsidRPr="003A02A0">
        <w:rPr>
          <w:i/>
          <w:iCs/>
        </w:rPr>
        <w:t>SKA-5/2018 (</w:t>
      </w:r>
      <w:hyperlink r:id="rId9" w:history="1">
        <w:r w:rsidRPr="003A02A0">
          <w:rPr>
            <w:i/>
            <w:iCs/>
          </w:rPr>
          <w:t>ECLI:LV:AT:2018:0130.A420681211.2.S</w:t>
        </w:r>
      </w:hyperlink>
      <w:r w:rsidRPr="003A02A0">
        <w:rPr>
          <w:i/>
          <w:iCs/>
        </w:rPr>
        <w:t>) 6.punkts</w:t>
      </w:r>
      <w:r>
        <w:t xml:space="preserve">). </w:t>
      </w:r>
      <w:r>
        <w:rPr>
          <w:bCs/>
          <w:color w:val="000000"/>
        </w:rPr>
        <w:t xml:space="preserve">Tieši lēmuma pamatojums ļauj gūt pārliecību, ka </w:t>
      </w:r>
      <w:r>
        <w:t xml:space="preserve">iestādes lēmums nav patvaļīgs un ir pareizs. </w:t>
      </w:r>
    </w:p>
    <w:p w14:paraId="6FA20F78" w14:textId="77777777" w:rsidR="00435900" w:rsidRDefault="00435900" w:rsidP="004103B2">
      <w:pPr>
        <w:spacing w:line="276" w:lineRule="auto"/>
      </w:pPr>
    </w:p>
    <w:p w14:paraId="373865F5" w14:textId="372ACDD9" w:rsidR="00435900" w:rsidRDefault="003A4D16" w:rsidP="004103B2">
      <w:pPr>
        <w:spacing w:line="276" w:lineRule="auto"/>
        <w:ind w:firstLine="567"/>
        <w:jc w:val="both"/>
      </w:pPr>
      <w:r>
        <w:t>[9] </w:t>
      </w:r>
      <w:r w:rsidR="00435900">
        <w:t xml:space="preserve">Šajā gadījumā </w:t>
      </w:r>
      <w:r w:rsidR="004D7FFB">
        <w:t xml:space="preserve">Valsts ieņēmumu </w:t>
      </w:r>
      <w:r w:rsidR="00435900">
        <w:t xml:space="preserve">dienests atzinis, ka pieteicēja nepamatoti muitas vērtības noteikšanai piemēroja darījuma vērtības metodi saskaņā ar Muitas kodeksa darījuma </w:t>
      </w:r>
      <w:proofErr w:type="gramStart"/>
      <w:r w:rsidR="00435900">
        <w:t>29.panta</w:t>
      </w:r>
      <w:proofErr w:type="gramEnd"/>
      <w:r w:rsidR="00435900">
        <w:t xml:space="preserve"> 1.punktu. Veicot muitas vērtības pārrēķinu, dienesta </w:t>
      </w:r>
      <w:proofErr w:type="gramStart"/>
      <w:r w:rsidR="00435900">
        <w:t>2012.gada</w:t>
      </w:r>
      <w:proofErr w:type="gramEnd"/>
      <w:r w:rsidR="00435900">
        <w:t xml:space="preserve"> 31.maija lēmumā par muitas audita rezultātiem norādīts, ka audita laikā nav iegūta dokumentāri apstiprināta informācija, kas ļautu</w:t>
      </w:r>
      <w:r w:rsidR="00435900" w:rsidRPr="00E11E5F">
        <w:t xml:space="preserve"> </w:t>
      </w:r>
      <w:r w:rsidR="00435900">
        <w:t xml:space="preserve">deklarētajām precēm noteikt preču muitas vērtību saskaņā ar Muitas kodeksa 29. un 30.pantu, šādu informāciju nav iesniegusi arī pieteicēja un pieteicējas pārstāvētais Igaunijas uzņēmums </w:t>
      </w:r>
      <w:r w:rsidR="00435900" w:rsidRPr="003D362A">
        <w:rPr>
          <w:i/>
          <w:iCs/>
        </w:rPr>
        <w:t xml:space="preserve">OU </w:t>
      </w:r>
      <w:proofErr w:type="spellStart"/>
      <w:r w:rsidR="00435900" w:rsidRPr="003D362A">
        <w:rPr>
          <w:i/>
          <w:iCs/>
        </w:rPr>
        <w:t>Sinditrades</w:t>
      </w:r>
      <w:proofErr w:type="spellEnd"/>
      <w:r w:rsidR="00435900">
        <w:t>. Tādējādi dienesta lēmumā secināts, ka sešās muitas deklarācijās (Nr. 0210/9-612675, Nr. 0210/9-612676, Nr. 0210/9-614481, Nr. 0210/9</w:t>
      </w:r>
      <w:r w:rsidR="00D24D8B">
        <w:noBreakHyphen/>
      </w:r>
      <w:r w:rsidR="00435900">
        <w:t xml:space="preserve">614734, Nr. 0210/9-614914, Nr. 0210/9-614915) </w:t>
      </w:r>
      <w:r w:rsidR="00435900" w:rsidRPr="00867082">
        <w:t>deklarētajām precēm</w:t>
      </w:r>
      <w:r w:rsidR="00435900">
        <w:t xml:space="preserve"> </w:t>
      </w:r>
      <w:r w:rsidR="00435900" w:rsidRPr="00867082">
        <w:t>muitas vērtības pārrēķin</w:t>
      </w:r>
      <w:r w:rsidR="00435900">
        <w:t>s veicams</w:t>
      </w:r>
      <w:r w:rsidR="00435900" w:rsidRPr="00867082">
        <w:t xml:space="preserve"> saskaņā ar Muitas kodeksa 3</w:t>
      </w:r>
      <w:r w:rsidR="00435900">
        <w:t>1</w:t>
      </w:r>
      <w:r w:rsidR="00435900" w:rsidRPr="00867082">
        <w:t>.pantu</w:t>
      </w:r>
      <w:r w:rsidR="00435900">
        <w:t xml:space="preserve">, elastīgi izmantojot līdzīgu preču muitas vērtību pēc Kopienā pieejamiem datiem, bet muitas deklarācijās </w:t>
      </w:r>
      <w:r w:rsidR="00435900" w:rsidRPr="00867082">
        <w:t>Nr.</w:t>
      </w:r>
      <w:r w:rsidR="003A3FF3">
        <w:t> </w:t>
      </w:r>
      <w:r w:rsidR="00435900" w:rsidRPr="00867082">
        <w:t>0210/9-612674 un Nr.</w:t>
      </w:r>
      <w:r w:rsidR="003A3FF3">
        <w:t> </w:t>
      </w:r>
      <w:r w:rsidR="00435900" w:rsidRPr="00867082">
        <w:t xml:space="preserve">0210/9-612754 </w:t>
      </w:r>
      <w:r w:rsidR="00435900">
        <w:t xml:space="preserve">norādītajām </w:t>
      </w:r>
      <w:r w:rsidR="00435900" w:rsidRPr="00867082">
        <w:t>precēm</w:t>
      </w:r>
      <w:r w:rsidR="00435900">
        <w:t xml:space="preserve"> deklarētā preču vienas vienības cena nav zemāka par Kopienā ievesto līdzīgu preču vienas vienības cenu.</w:t>
      </w:r>
    </w:p>
    <w:p w14:paraId="09AC291F" w14:textId="1164ABDC" w:rsidR="00435900" w:rsidRDefault="00435900" w:rsidP="004103B2">
      <w:pPr>
        <w:spacing w:line="276" w:lineRule="auto"/>
        <w:ind w:firstLine="567"/>
        <w:jc w:val="both"/>
      </w:pPr>
      <w:bookmarkStart w:id="5" w:name="_Hlk98348639"/>
      <w:r>
        <w:t xml:space="preserve">Pārsūdzētajā dienesta galīgajā lēmumā norādīts, ka ņemot vērā, ka ne pieteicēja, ne Igaunijas uzņēmums </w:t>
      </w:r>
      <w:r w:rsidRPr="003D362A">
        <w:rPr>
          <w:i/>
          <w:iCs/>
        </w:rPr>
        <w:t xml:space="preserve">OU </w:t>
      </w:r>
      <w:proofErr w:type="spellStart"/>
      <w:r w:rsidRPr="003D362A">
        <w:rPr>
          <w:i/>
          <w:iCs/>
        </w:rPr>
        <w:t>Sinditrades</w:t>
      </w:r>
      <w:proofErr w:type="spellEnd"/>
      <w:r>
        <w:t xml:space="preserve"> nav iesnieguši dokumentāri apstiprinātu informāciju, kas ļautu deklarēto preču muitas vērtību noteikt saskaņā ar Muitas kodeksa 29. un </w:t>
      </w:r>
      <w:proofErr w:type="gramStart"/>
      <w:r>
        <w:t>30.pantu</w:t>
      </w:r>
      <w:proofErr w:type="gramEnd"/>
      <w:r>
        <w:t>, sešās muitas deklarācijās (Nr. 0210/9-612675, Nr. 0210/9-612676, Nr. 0210/9-614481, Nr. 0210/9</w:t>
      </w:r>
      <w:r w:rsidR="00D24D8B">
        <w:noBreakHyphen/>
      </w:r>
      <w:r>
        <w:t xml:space="preserve">614734, Nr. 0210/9-614914, Nr. 0210/9-614915) </w:t>
      </w:r>
      <w:r w:rsidRPr="00867082">
        <w:t>deklarētajām precēm</w:t>
      </w:r>
      <w:r>
        <w:t xml:space="preserve"> </w:t>
      </w:r>
      <w:r w:rsidRPr="00867082">
        <w:t>muitas vērtības pārrēķin</w:t>
      </w:r>
      <w:r>
        <w:t>s veicams</w:t>
      </w:r>
      <w:r w:rsidRPr="00867082">
        <w:t xml:space="preserve"> saskaņā ar Muitas kodeksa 3</w:t>
      </w:r>
      <w:r>
        <w:t>1</w:t>
      </w:r>
      <w:r w:rsidRPr="00867082">
        <w:t>.pantu</w:t>
      </w:r>
      <w:r>
        <w:t xml:space="preserve">, savukārt muitas deklarācijās </w:t>
      </w:r>
      <w:r w:rsidRPr="00867082">
        <w:t>Nr.</w:t>
      </w:r>
      <w:r w:rsidR="003A3FF3">
        <w:t> </w:t>
      </w:r>
      <w:r w:rsidRPr="00867082">
        <w:t>0210/9-612674 un Nr.</w:t>
      </w:r>
      <w:r w:rsidR="003A3FF3">
        <w:t> </w:t>
      </w:r>
      <w:r w:rsidRPr="00867082">
        <w:t>0210/9-612754</w:t>
      </w:r>
      <w:r>
        <w:t xml:space="preserve"> deklarētajām precēm – saskaņā ar Muitas kodeksa 30.pantu.</w:t>
      </w:r>
    </w:p>
    <w:p w14:paraId="387877EB" w14:textId="2B5E3160" w:rsidR="00624D1A" w:rsidRDefault="00624D1A" w:rsidP="004103B2">
      <w:pPr>
        <w:spacing w:line="276" w:lineRule="auto"/>
        <w:ind w:firstLine="567"/>
        <w:jc w:val="both"/>
      </w:pPr>
      <w:r>
        <w:lastRenderedPageBreak/>
        <w:t>Tiesai šajā gadījumā, vērtējot dienesta lēmuma tiesiskumu attiecīgajā daļā, bija jāpārbauda, vai dienesta norādīto metožu piemērošana ir pamatota, tostarp, vai dienests ir</w:t>
      </w:r>
      <w:proofErr w:type="gramStart"/>
      <w:r>
        <w:t xml:space="preserve"> pietiekami pamatojis Muitas kodeksā iepriekš norādīto metožu piemērošanas neiespējamību</w:t>
      </w:r>
      <w:proofErr w:type="gramEnd"/>
      <w:r>
        <w:t>, kā arī, vai ir skaidri un pārbaudāmi izklāstījis informāciju, uz kuras pamata ir tikusi aprēķināta preču muitas vērtība.</w:t>
      </w:r>
      <w:r w:rsidR="00711AB9">
        <w:t xml:space="preserve"> Šajā sakarā ir jāņem vērā, ka dienesta lēmuma pamatojuma trūkums, kas neļauj saprast lēmuma būtību un attiecīgi izvērtēt tā pareizību, var tikt atzīst</w:t>
      </w:r>
      <w:r w:rsidR="0051666D">
        <w:t>s</w:t>
      </w:r>
      <w:r w:rsidR="00711AB9">
        <w:t xml:space="preserve"> par būtisku procesuālo pārkāpumu, kas ir pamats šāda lēmuma atcelšanai.</w:t>
      </w:r>
    </w:p>
    <w:p w14:paraId="4C14378C" w14:textId="4E0B7260" w:rsidR="00435900" w:rsidRDefault="00711AB9" w:rsidP="004103B2">
      <w:pPr>
        <w:spacing w:line="276" w:lineRule="auto"/>
        <w:ind w:firstLine="567"/>
        <w:jc w:val="both"/>
      </w:pPr>
      <w:r>
        <w:t>Tomēr no apgabaltiesas sprieduma neizriet, ka apgabaltiesa būtu pievērsusies šādai dienesta lēmuma pārbaudei.</w:t>
      </w:r>
      <w:bookmarkEnd w:id="5"/>
    </w:p>
    <w:p w14:paraId="282FA2AB" w14:textId="77777777" w:rsidR="00CA20C1" w:rsidRDefault="00CA20C1" w:rsidP="004103B2">
      <w:pPr>
        <w:spacing w:line="276" w:lineRule="auto"/>
        <w:ind w:firstLine="567"/>
        <w:jc w:val="both"/>
      </w:pPr>
    </w:p>
    <w:p w14:paraId="21143F15" w14:textId="5650EF2A" w:rsidR="00F87161" w:rsidRDefault="003A4D16" w:rsidP="004103B2">
      <w:pPr>
        <w:spacing w:line="276" w:lineRule="auto"/>
        <w:ind w:firstLine="567"/>
        <w:jc w:val="both"/>
      </w:pPr>
      <w:r>
        <w:t>[10] </w:t>
      </w:r>
      <w:r w:rsidR="00F87161">
        <w:t xml:space="preserve">No </w:t>
      </w:r>
      <w:r w:rsidR="00247531">
        <w:t>dienesta lēmuma šajā lietā izriet</w:t>
      </w:r>
      <w:r w:rsidR="00F87161">
        <w:t>,</w:t>
      </w:r>
      <w:r w:rsidR="00247531">
        <w:t xml:space="preserve"> ka,</w:t>
      </w:r>
      <w:r w:rsidR="00F87161">
        <w:t xml:space="preserve"> argumentējot konkrētas metodes izvēli un neiespējamību piemērot Muitas kodeksā iepriekš paredzētas muitas vērtības noteikšanas metodes, </w:t>
      </w:r>
      <w:r w:rsidR="005E2557">
        <w:t xml:space="preserve">dienests </w:t>
      </w:r>
      <w:r w:rsidR="00F87161">
        <w:t xml:space="preserve">ir vispārīgi atsaucies uz </w:t>
      </w:r>
      <w:r w:rsidR="00F87161">
        <w:rPr>
          <w:color w:val="000000"/>
        </w:rPr>
        <w:t>informācijas trūkumu</w:t>
      </w:r>
      <w:r w:rsidR="00F87161">
        <w:t>, kā arī apstākli, ka pieteicēja nav iesniegusi informāciju citas metodes piemērošanai.</w:t>
      </w:r>
      <w:r w:rsidR="00F87161" w:rsidRPr="00A3419A">
        <w:t xml:space="preserve"> </w:t>
      </w:r>
    </w:p>
    <w:p w14:paraId="3EA3E1E8" w14:textId="6051115E" w:rsidR="00435900" w:rsidRPr="00955EBB" w:rsidRDefault="00435900" w:rsidP="004103B2">
      <w:pPr>
        <w:spacing w:line="276" w:lineRule="auto"/>
        <w:ind w:firstLine="567"/>
        <w:jc w:val="both"/>
      </w:pPr>
      <w:r w:rsidRPr="00955EBB">
        <w:t>Senāta praksē atzīts, ka nodokļu administrācijai nav pietiekami vispārīgi atsaukties tikai uz to, ka tās rīcībā nav nepieciešamās informācijas un nodokļu maksātājs to nav iesniedzis, lai būtu pamats uzskatīt, ka nodokļu administrācija bijusi pietiekami rūpīga piemērojamās metodes izvēlē (</w:t>
      </w:r>
      <w:r w:rsidRPr="00955EBB">
        <w:rPr>
          <w:i/>
          <w:iCs/>
        </w:rPr>
        <w:t xml:space="preserve">Senāta </w:t>
      </w:r>
      <w:proofErr w:type="gramStart"/>
      <w:r w:rsidRPr="00955EBB">
        <w:rPr>
          <w:i/>
          <w:iCs/>
        </w:rPr>
        <w:t>2019.gada</w:t>
      </w:r>
      <w:proofErr w:type="gramEnd"/>
      <w:r w:rsidRPr="00955EBB">
        <w:rPr>
          <w:i/>
          <w:iCs/>
        </w:rPr>
        <w:t xml:space="preserve"> 30.augusta sprieduma lietā Nr. SKA</w:t>
      </w:r>
      <w:r w:rsidRPr="00955EBB">
        <w:rPr>
          <w:i/>
          <w:iCs/>
        </w:rPr>
        <w:noBreakHyphen/>
        <w:t>3/2019 (ECLI:LV:AT:2019:0830.A420540811.4.S) 12.punkts</w:t>
      </w:r>
      <w:r w:rsidRPr="00955EBB">
        <w:t>).</w:t>
      </w:r>
    </w:p>
    <w:p w14:paraId="301E5846" w14:textId="05313209" w:rsidR="00435900" w:rsidRPr="00955EBB" w:rsidRDefault="00435900" w:rsidP="004103B2">
      <w:pPr>
        <w:spacing w:line="276" w:lineRule="auto"/>
        <w:ind w:firstLine="567"/>
        <w:jc w:val="both"/>
      </w:pPr>
      <w:r w:rsidRPr="00955EBB">
        <w:t>Eiropas Savienības Tiesas praksē uzsvērts, ka muitas iestād</w:t>
      </w:r>
      <w:r>
        <w:t>e,</w:t>
      </w:r>
      <w:r w:rsidRPr="00955EBB">
        <w:t xml:space="preserve"> izvērtē</w:t>
      </w:r>
      <w:r>
        <w:t>jot</w:t>
      </w:r>
      <w:r w:rsidRPr="00955EBB">
        <w:t xml:space="preserve"> katr</w:t>
      </w:r>
      <w:r>
        <w:t>u</w:t>
      </w:r>
      <w:r w:rsidRPr="00955EBB">
        <w:t xml:space="preserve"> no secīgi paredzētajām metodēm, pirms tā var izdarīt secinājumu par tās nepiemērojamību</w:t>
      </w:r>
      <w:r>
        <w:t>,</w:t>
      </w:r>
      <w:r w:rsidRPr="00955EBB">
        <w:t xml:space="preserve"> saskaņā ar Muitas kodeksa </w:t>
      </w:r>
      <w:proofErr w:type="gramStart"/>
      <w:r w:rsidRPr="00955EBB">
        <w:t>14.pantu</w:t>
      </w:r>
      <w:proofErr w:type="gramEnd"/>
      <w:r w:rsidRPr="00955EBB">
        <w:t xml:space="preserve"> var pieprasīt no ikvienas personas, kas ir tieši vai netieši iesaistīta attiecīgajās darbībās, sniegt tām vajadzīgo informāciju. Turklāt, ņemot vērā konkrētās lietas apstākļus un minēto pienācīgās rūpības pienākumu, ir apsverama arī vēršanās pie attiecīgo preču ražotāja. Savukārt, lemjot par Muitas kodeksa 30.panta metožu piemērošanu, ir jāizmanto visi muitas iestādes rīcībā esošie informācijas avoti un datubāzes. Ir piemēroti ļaut arī preču ievedējam sniegt iestādei visu informāciju, kura varētu būt tā rīcībā un kura var būt nozīmīga preču muitas vērtības noteikšanai (</w:t>
      </w:r>
      <w:r w:rsidRPr="00955EBB">
        <w:rPr>
          <w:i/>
          <w:iCs/>
        </w:rPr>
        <w:t xml:space="preserve">Eiropas Savienības Tiesas 2017.gada 9.novembra sprieduma lietā „LS </w:t>
      </w:r>
      <w:proofErr w:type="spellStart"/>
      <w:r w:rsidRPr="00955EBB">
        <w:rPr>
          <w:i/>
          <w:iCs/>
        </w:rPr>
        <w:t>Customs</w:t>
      </w:r>
      <w:proofErr w:type="spellEnd"/>
      <w:r w:rsidRPr="00955EBB">
        <w:rPr>
          <w:i/>
          <w:iCs/>
        </w:rPr>
        <w:t xml:space="preserve"> </w:t>
      </w:r>
      <w:proofErr w:type="spellStart"/>
      <w:r w:rsidRPr="00955EBB">
        <w:rPr>
          <w:i/>
          <w:iCs/>
        </w:rPr>
        <w:t>Services</w:t>
      </w:r>
      <w:proofErr w:type="spellEnd"/>
      <w:r w:rsidRPr="00955EBB">
        <w:rPr>
          <w:i/>
          <w:iCs/>
        </w:rPr>
        <w:t>”, C-46/16, ECLI:EU:C:2017:839, 49.–56.punkts</w:t>
      </w:r>
      <w:r w:rsidRPr="00955EBB">
        <w:t xml:space="preserve">). </w:t>
      </w:r>
      <w:r>
        <w:t>Tomēr</w:t>
      </w:r>
      <w:r w:rsidRPr="00955EBB">
        <w:t xml:space="preserve"> attiecīgo preču ievedējs n</w:t>
      </w:r>
      <w:r>
        <w:t>evar tikt atzīts par</w:t>
      </w:r>
      <w:r w:rsidRPr="00955EBB">
        <w:t xml:space="preserve"> vienīg</w:t>
      </w:r>
      <w:r>
        <w:t>o</w:t>
      </w:r>
      <w:r w:rsidRPr="00955EBB">
        <w:t xml:space="preserve"> iespējam</w:t>
      </w:r>
      <w:r>
        <w:t>o</w:t>
      </w:r>
      <w:r w:rsidRPr="00955EBB">
        <w:t xml:space="preserve"> informācijas avot</w:t>
      </w:r>
      <w:r>
        <w:t>u</w:t>
      </w:r>
      <w:r w:rsidRPr="00955EBB">
        <w:t xml:space="preserve"> (</w:t>
      </w:r>
      <w:r w:rsidRPr="00955EBB">
        <w:rPr>
          <w:i/>
          <w:iCs/>
        </w:rPr>
        <w:t>Senāta 2011.gada 11.maija sprieduma lietā Nr.</w:t>
      </w:r>
      <w:r w:rsidR="005D0D1C">
        <w:rPr>
          <w:i/>
          <w:iCs/>
        </w:rPr>
        <w:t> </w:t>
      </w:r>
      <w:r w:rsidRPr="00955EBB">
        <w:rPr>
          <w:i/>
          <w:iCs/>
        </w:rPr>
        <w:t>SKA-148/2011 (A42485507) 13.punkts</w:t>
      </w:r>
      <w:r w:rsidRPr="00955EBB">
        <w:t xml:space="preserve">).  </w:t>
      </w:r>
      <w:r>
        <w:t>N</w:t>
      </w:r>
      <w:r w:rsidRPr="00955EBB">
        <w:t>odokļu administrācijai, apsverot Muitas kodeksa noteikto metožu piemērošanu, ir gan jāapzina visas informācijas iegūšanas iespējas, gan jācenšas šo informāciju iegūt.</w:t>
      </w:r>
    </w:p>
    <w:p w14:paraId="172D4ADA" w14:textId="77777777" w:rsidR="00435900" w:rsidRDefault="00435900" w:rsidP="004103B2">
      <w:pPr>
        <w:spacing w:line="276" w:lineRule="auto"/>
        <w:ind w:firstLine="567"/>
        <w:jc w:val="both"/>
      </w:pPr>
      <w:r w:rsidRPr="00955EBB">
        <w:t>Šajā sakarā ir jāņem vērā, ka, lai arī uz nodokļu administrāciju netiek pārnests pienākums patstāvīgi iegūt nepieciešamo informāciju no tādiem subjektiem kā attiecīgo preču ražotājs, tas nenozīmē, ka iestāde ir tiesīga vieglprātīgi atkāpties no nepieciešamās informācijas iegūšanas iespējas tā iemesla dēļ, ka iegūstamā informācija varētu būt specifiska vai tās iegūšana – sarežģīta. Jebkurā gadījumā, ievērojot konkrēto gadījumu raksturojošos apstākļus, iestādei ir jāidentificē tās darbības, kas, pildot savas funkcijas ar pienācīgu rūpību, ir īstenojamas piemērojamās muitas vērtības metodes noteikšanā. Turklāt, ievērojot pamatojuma principu, šo darbību īstenošanas procesam un rezultātam jābūt atspoguļotam iestādes pieņemtā lēmuma pamatojumā (</w:t>
      </w:r>
      <w:r w:rsidRPr="00955EBB">
        <w:rPr>
          <w:i/>
          <w:iCs/>
        </w:rPr>
        <w:t>Senāta 2019.gada 30.augusta sprieduma lietā Nr. SKA</w:t>
      </w:r>
      <w:r w:rsidRPr="00955EBB">
        <w:rPr>
          <w:i/>
          <w:iCs/>
        </w:rPr>
        <w:noBreakHyphen/>
        <w:t>3/2019 (ECLI:LV:AT:2019:0830.A420540811.4.S) 12.punkts</w:t>
      </w:r>
      <w:r w:rsidRPr="00955EBB">
        <w:t>).</w:t>
      </w:r>
    </w:p>
    <w:p w14:paraId="56933AAC" w14:textId="7BC3D47E" w:rsidR="00DF39E4" w:rsidRDefault="00435900" w:rsidP="004103B2">
      <w:pPr>
        <w:spacing w:line="276" w:lineRule="auto"/>
        <w:ind w:firstLine="567"/>
        <w:jc w:val="both"/>
      </w:pPr>
      <w:r>
        <w:t xml:space="preserve">Šajā gadījumā </w:t>
      </w:r>
      <w:r w:rsidR="00463BD0">
        <w:t xml:space="preserve">tas, ka </w:t>
      </w:r>
      <w:r>
        <w:t>dienesta lēmums aprobežojas vien ar vispārīgiem apsvērumiem,</w:t>
      </w:r>
      <w:r w:rsidRPr="00ED55E9">
        <w:rPr>
          <w:color w:val="000000"/>
        </w:rPr>
        <w:t xml:space="preserve"> </w:t>
      </w:r>
      <w:r>
        <w:rPr>
          <w:color w:val="000000"/>
        </w:rPr>
        <w:t>ņemot vērā norādīt</w:t>
      </w:r>
      <w:r w:rsidR="00463BD0">
        <w:rPr>
          <w:color w:val="000000"/>
        </w:rPr>
        <w:t>o</w:t>
      </w:r>
      <w:r w:rsidR="00C9406E">
        <w:rPr>
          <w:color w:val="000000"/>
        </w:rPr>
        <w:t xml:space="preserve"> </w:t>
      </w:r>
      <w:r w:rsidR="00463BD0">
        <w:rPr>
          <w:color w:val="000000"/>
        </w:rPr>
        <w:t>tiesu praksi</w:t>
      </w:r>
      <w:r>
        <w:rPr>
          <w:color w:val="000000"/>
        </w:rPr>
        <w:t xml:space="preserve">, nav atzīstams par pietiekamu vērtējumu. </w:t>
      </w:r>
      <w:r>
        <w:t xml:space="preserve">No lēmuma neizriet, </w:t>
      </w:r>
      <w:r>
        <w:lastRenderedPageBreak/>
        <w:t xml:space="preserve">ka </w:t>
      </w:r>
      <w:r>
        <w:rPr>
          <w:color w:val="000000"/>
        </w:rPr>
        <w:t xml:space="preserve">audita laikā vispār notikusi nepieciešamās informācijas meklēšana un pārbaude, kas ļāva izdarīt secinājumu, ka citas metodes nav piemērojamas. Proti, lēmuma pamatojuma trūkums neļauj ar pārliecību secināt, ka konkrētas </w:t>
      </w:r>
      <w:r>
        <w:t xml:space="preserve">metodes piemērošana nav patvaļīga, kas notikusi </w:t>
      </w:r>
      <w:r>
        <w:rPr>
          <w:color w:val="000000"/>
        </w:rPr>
        <w:t>bez jebkādām procesuālajām darbībām</w:t>
      </w:r>
      <w:r>
        <w:t xml:space="preserve"> no dienesta puses. </w:t>
      </w:r>
    </w:p>
    <w:p w14:paraId="0CB88CE0" w14:textId="7BA78CC7" w:rsidR="00435900" w:rsidRPr="00A41349" w:rsidRDefault="00061FC8" w:rsidP="004103B2">
      <w:pPr>
        <w:spacing w:line="276" w:lineRule="auto"/>
        <w:ind w:firstLine="567"/>
        <w:jc w:val="both"/>
      </w:pPr>
      <w:r w:rsidRPr="00A46F53">
        <w:t xml:space="preserve">Apgabaltiesa šajā gadījumā minētos apstākļus nav izvērtējusi, no pārsūdzētā sprieduma </w:t>
      </w:r>
      <w:r>
        <w:t>ne</w:t>
      </w:r>
      <w:r w:rsidRPr="00A46F53">
        <w:t xml:space="preserve">izriet, ka tiesa pārbaudījusi, vai </w:t>
      </w:r>
      <w:r>
        <w:t>dienests</w:t>
      </w:r>
      <w:r w:rsidRPr="00A46F53">
        <w:t xml:space="preserve"> ar pienācīgu rūpību ir cent</w:t>
      </w:r>
      <w:r>
        <w:t>ies</w:t>
      </w:r>
      <w:r w:rsidRPr="00A46F53">
        <w:t xml:space="preserve"> iegūt metožu izmantošanai nepieciešamo informāciju.</w:t>
      </w:r>
    </w:p>
    <w:p w14:paraId="1F011E9B" w14:textId="7D4AC381" w:rsidR="00435900" w:rsidRDefault="004E4869" w:rsidP="004103B2">
      <w:pPr>
        <w:spacing w:line="276" w:lineRule="auto"/>
        <w:ind w:firstLine="567"/>
        <w:jc w:val="both"/>
      </w:pPr>
      <w:r>
        <w:t>[1</w:t>
      </w:r>
      <w:r w:rsidR="00A41349">
        <w:t>1</w:t>
      </w:r>
      <w:r>
        <w:t>]</w:t>
      </w:r>
      <w:r w:rsidR="000935C8">
        <w:t> </w:t>
      </w:r>
      <w:r w:rsidR="000935C8">
        <w:rPr>
          <w:color w:val="000000"/>
        </w:rPr>
        <w:t>D</w:t>
      </w:r>
      <w:r w:rsidR="00435900">
        <w:rPr>
          <w:color w:val="000000"/>
        </w:rPr>
        <w:t xml:space="preserve">ienesta lēmumā </w:t>
      </w:r>
      <w:r w:rsidR="00FA5B99">
        <w:rPr>
          <w:color w:val="000000"/>
        </w:rPr>
        <w:t>nav iekļauts arī pamatojums tam</w:t>
      </w:r>
      <w:r w:rsidR="00435900">
        <w:rPr>
          <w:color w:val="000000"/>
        </w:rPr>
        <w:t xml:space="preserve">, kādi dati un informācija ir dienesta veikto aprēķinu pamatā. Dienesta sākotnējā lēmumā ir tikai vispārīgi norādīts, ka </w:t>
      </w:r>
      <w:r w:rsidR="00435900" w:rsidRPr="00867082">
        <w:t xml:space="preserve">Muitas kodeksa </w:t>
      </w:r>
      <w:proofErr w:type="gramStart"/>
      <w:r w:rsidR="00435900" w:rsidRPr="00867082">
        <w:t>3</w:t>
      </w:r>
      <w:r w:rsidR="00435900">
        <w:t>1</w:t>
      </w:r>
      <w:r w:rsidR="00435900" w:rsidRPr="00867082">
        <w:t>.pant</w:t>
      </w:r>
      <w:r w:rsidR="00435900">
        <w:t>a</w:t>
      </w:r>
      <w:proofErr w:type="gramEnd"/>
      <w:r w:rsidR="00435900">
        <w:t xml:space="preserve"> piemērošanai tika elastīgi izmantota līdzīgu preču muitas vērtība pēc Kopienā pieejamiem datiem, neprecizējot, kas tie ir par datiem un kur tie iegūti. </w:t>
      </w:r>
      <w:r w:rsidR="00435900">
        <w:rPr>
          <w:color w:val="000000"/>
        </w:rPr>
        <w:t>Savukārt pārsūdzētais dienesta lēmums vispār nesatur jebkādu pamatojum</w:t>
      </w:r>
      <w:r w:rsidR="00D74EFB">
        <w:rPr>
          <w:color w:val="000000"/>
        </w:rPr>
        <w:t>u</w:t>
      </w:r>
      <w:r w:rsidR="00435900">
        <w:rPr>
          <w:color w:val="000000"/>
        </w:rPr>
        <w:t xml:space="preserve"> lēmumā norādīto Muitas kodeksa 30. un </w:t>
      </w:r>
      <w:proofErr w:type="gramStart"/>
      <w:r w:rsidR="00435900">
        <w:rPr>
          <w:color w:val="000000"/>
        </w:rPr>
        <w:t>31.pantā</w:t>
      </w:r>
      <w:proofErr w:type="gramEnd"/>
      <w:r w:rsidR="00435900">
        <w:rPr>
          <w:color w:val="000000"/>
        </w:rPr>
        <w:t xml:space="preserve"> paredzēto metožu piemērošanai.</w:t>
      </w:r>
      <w:r w:rsidR="00435900">
        <w:t xml:space="preserve"> </w:t>
      </w:r>
    </w:p>
    <w:p w14:paraId="08FFE0C0" w14:textId="77777777" w:rsidR="00435900" w:rsidRDefault="00435900" w:rsidP="004103B2">
      <w:pPr>
        <w:spacing w:line="276" w:lineRule="auto"/>
        <w:ind w:firstLine="567"/>
        <w:jc w:val="both"/>
      </w:pPr>
      <w:r>
        <w:t xml:space="preserve">No apgabaltiesas sprieduma izriet, ka, vērtējot dienesta secinājumu par sešās muitas deklarācijās deklarēto preču muitas vērtības noteikšanu saskaņā ar Muitas kodeksa </w:t>
      </w:r>
      <w:proofErr w:type="gramStart"/>
      <w:r>
        <w:t>31.pantu</w:t>
      </w:r>
      <w:proofErr w:type="gramEnd"/>
      <w:r>
        <w:t xml:space="preserve">, apgabaltiesa ir konstatējusi, ka ne dienesta lēmumā, ne </w:t>
      </w:r>
      <w:r w:rsidRPr="00833E7D">
        <w:t>pirmās instances ties</w:t>
      </w:r>
      <w:r>
        <w:t>as procesa ietvaros netika</w:t>
      </w:r>
      <w:r w:rsidRPr="00833E7D">
        <w:t xml:space="preserve"> norādīts, konkrēti kādus datus dienests ir izmantojis, lai noteiktu </w:t>
      </w:r>
      <w:r>
        <w:t>šajās</w:t>
      </w:r>
      <w:r w:rsidRPr="00833E7D">
        <w:t xml:space="preserve"> </w:t>
      </w:r>
      <w:r>
        <w:t>deklarācijās</w:t>
      </w:r>
      <w:r w:rsidRPr="00833E7D">
        <w:t xml:space="preserve"> norādīto preču vērtību.</w:t>
      </w:r>
      <w:r>
        <w:t xml:space="preserve"> No minētā var secināt, ka tiesa šajā gadījumā ir atzinusi, ka dienesta lēmumā nav iekļauts pietiekams un skaidrs pamatojums konkrētas metodes piemērošanai. Tomēr vienlaikus no sprieduma neizriet jebkādi apgabaltiesas tālāki secinājumi saistībā ar konstatēto dienesta lēmuma pamatojuma trūkumu, proti, apgabaltiesa nav šo apstākli vērtējusi lēmuma tiesiskuma kontekstā. </w:t>
      </w:r>
    </w:p>
    <w:p w14:paraId="5B5DE151" w14:textId="2E601C5E" w:rsidR="00435900" w:rsidRPr="00141CA4" w:rsidRDefault="00435900" w:rsidP="004103B2">
      <w:pPr>
        <w:spacing w:line="276" w:lineRule="auto"/>
        <w:ind w:firstLine="567"/>
        <w:jc w:val="both"/>
      </w:pPr>
      <w:r>
        <w:t>Tāpat no lietas materiāliem izriet, ka apgabaltiesa lietas izskatīšanas laikā ir lūgusi dienestu iesniegt paskaidrojumus par to, kāda informācija tika izmantota muitas deklarācijās Nr. 0210/9-612674 un Nr. 0210/9-612754 deklarētajām precēm</w:t>
      </w:r>
      <w:r w:rsidR="00DF4588">
        <w:t>,</w:t>
      </w:r>
      <w:r>
        <w:t xml:space="preserve"> preču muitas vērtības pārrēķinu veicot saskaņā ar </w:t>
      </w:r>
      <w:r w:rsidRPr="00491ACC">
        <w:t>Muitas kodeksa</w:t>
      </w:r>
      <w:r>
        <w:t xml:space="preserve"> </w:t>
      </w:r>
      <w:proofErr w:type="gramStart"/>
      <w:r>
        <w:t>30.pantu</w:t>
      </w:r>
      <w:proofErr w:type="gramEnd"/>
      <w:r>
        <w:t>. No minētā izriet, ka apgabaltiesa arī šajā daļā bija konstatējusi informācijas trūkumu,</w:t>
      </w:r>
      <w:r w:rsidRPr="003D0635">
        <w:t xml:space="preserve"> uz kuras pamata ir tikusi aprēķināta preču muitas vērtība</w:t>
      </w:r>
      <w:r>
        <w:t>.</w:t>
      </w:r>
    </w:p>
    <w:p w14:paraId="3B99C9C7" w14:textId="0E862F43" w:rsidR="00435900" w:rsidRDefault="00435900" w:rsidP="004103B2">
      <w:pPr>
        <w:pStyle w:val="NormalWeb"/>
        <w:shd w:val="clear" w:color="auto" w:fill="FFFFFF"/>
        <w:spacing w:before="0" w:beforeAutospacing="0" w:after="0" w:afterAutospacing="0" w:line="276" w:lineRule="auto"/>
        <w:ind w:firstLine="567"/>
        <w:jc w:val="both"/>
      </w:pPr>
      <w:r w:rsidRPr="00811EAB">
        <w:t xml:space="preserve">No minētā izriet, ka, lai arī apgabaltiesa ir konstatējusi, ka </w:t>
      </w:r>
      <w:r>
        <w:t xml:space="preserve">dienesta lēmumā nav </w:t>
      </w:r>
      <w:r>
        <w:rPr>
          <w:bCs/>
          <w:color w:val="000000"/>
        </w:rPr>
        <w:t xml:space="preserve">pienācīgi pamatota konkrēto </w:t>
      </w:r>
      <w:r w:rsidRPr="00A3419A">
        <w:t>muitas vērtīb</w:t>
      </w:r>
      <w:r>
        <w:t xml:space="preserve">as noteikšanas metožu piemērošana, minētie apstākļi nav izvērtēti un ņemti vērā lēmuma pamatojuma pietiekamības kontekstā, pārbaudot dienesta lēmuma tiesiskumu. </w:t>
      </w:r>
    </w:p>
    <w:p w14:paraId="4CCFD65C" w14:textId="4B592B81" w:rsidR="00485924" w:rsidRPr="00811EAB" w:rsidRDefault="00485924" w:rsidP="004103B2">
      <w:pPr>
        <w:spacing w:line="276" w:lineRule="auto"/>
        <w:ind w:firstLine="567"/>
        <w:jc w:val="both"/>
      </w:pPr>
      <w:r>
        <w:t xml:space="preserve">Arī pieteicējas kasācijas sūdzībā uzsvērtais apstāklis, ka dienests tiesas procesa laikā ir mainījis lēmumā norādīto, savos paskaidrojumos apgabaltiesai norādot, ka muitas deklarācijās </w:t>
      </w:r>
      <w:r w:rsidRPr="00867082">
        <w:t>Nr.</w:t>
      </w:r>
      <w:r w:rsidR="00DF4588">
        <w:t> </w:t>
      </w:r>
      <w:r w:rsidRPr="00867082">
        <w:t>0210/9-612674 un Nr.</w:t>
      </w:r>
      <w:r w:rsidR="00DF4588">
        <w:t> </w:t>
      </w:r>
      <w:r w:rsidRPr="00867082">
        <w:t>0210/9-612754</w:t>
      </w:r>
      <w:r>
        <w:t xml:space="preserve"> deklarēto preču muitas vērtības noteikšanai tika piemērots Muitas kodeksa </w:t>
      </w:r>
      <w:proofErr w:type="gramStart"/>
      <w:r>
        <w:t>31.pants</w:t>
      </w:r>
      <w:proofErr w:type="gramEnd"/>
      <w:r>
        <w:t>, nevis 30.pants</w:t>
      </w:r>
      <w:r w:rsidR="009022ED">
        <w:t>,</w:t>
      </w:r>
      <w:r>
        <w:t xml:space="preserve"> kā tas norādīts pārsūdzētajā dienesta lēmumā, neskaidrojot šādas rīcības iemeslus, liecina par būtiskām nepilnībām lēmuma pamatojumā un rada objektīvas šaubas par to, vai dienests ar pietiekamu </w:t>
      </w:r>
      <w:r w:rsidRPr="00DF1216">
        <w:t>rūpī</w:t>
      </w:r>
      <w:r>
        <w:t>bu rīkojies</w:t>
      </w:r>
      <w:r w:rsidRPr="00DF1216">
        <w:t xml:space="preserve"> piemērojamās metodes izvēlē</w:t>
      </w:r>
      <w:r>
        <w:t>. Tomēr apgabaltiesa faktiski nav apšaubījusi dienesta secinājumus šajā daļā, nepamatoti nepievēršot uzmanību neskaidrai un pretrunīgai dienesta rīcībai noteiktās preču muitas vērtības pamatošanā.</w:t>
      </w:r>
    </w:p>
    <w:p w14:paraId="15DE999B" w14:textId="77777777" w:rsidR="00435900" w:rsidRDefault="00435900" w:rsidP="004103B2">
      <w:pPr>
        <w:spacing w:line="276" w:lineRule="auto"/>
        <w:jc w:val="both"/>
      </w:pPr>
    </w:p>
    <w:p w14:paraId="17B79FA2" w14:textId="393E04AE" w:rsidR="00435900" w:rsidRDefault="004E4869" w:rsidP="004103B2">
      <w:pPr>
        <w:spacing w:line="276" w:lineRule="auto"/>
        <w:ind w:firstLine="567"/>
        <w:jc w:val="both"/>
      </w:pPr>
      <w:r>
        <w:t>[1</w:t>
      </w:r>
      <w:r w:rsidR="00C37561">
        <w:t>2</w:t>
      </w:r>
      <w:r>
        <w:t>] </w:t>
      </w:r>
      <w:r w:rsidR="00230986">
        <w:t>No apgabaltiesas sprieduma izriet</w:t>
      </w:r>
      <w:r w:rsidR="00435900">
        <w:t>, ka dienesta paskaidrojumi saistībā ar informāciju, kas tika ņemta vērā konkrētas metodes piemērošanai, tika iesniegti tikai apelācijas instances tiesas procesa ietvaros.</w:t>
      </w:r>
    </w:p>
    <w:p w14:paraId="7A73D8E6" w14:textId="61D06484" w:rsidR="00435900" w:rsidRDefault="00435900" w:rsidP="004103B2">
      <w:pPr>
        <w:spacing w:line="276" w:lineRule="auto"/>
        <w:ind w:firstLine="567"/>
        <w:jc w:val="both"/>
      </w:pPr>
      <w:r>
        <w:lastRenderedPageBreak/>
        <w:t>Eiropas Savienības Tiesa ir uzsvērusi, ka pienākumam norādīt valsts iestāžu pieņemtu lēmumu pamatojumu ir īpaša nozīme, jo ar šo pienākumu lēmumu adresātiem tiek dotas iespējas vislabākajos apstākļos aizstāvēt savas tiesības un, zinot visus apstākļus, nolemt, vai ir lietderīgi tos pārsūdzēt. Šis pienākums arī ir nepieciešams, lai tiesas varētu veikt minēto lēmumu tiesiskuma pārbaudi. Attiecībā uz muitas iestāžu pieņemtiem lēmumiem Muitas kodeksa 6.panta 3.punktā ir īpaši atgādināts pienākums norādīt pamatojumu, ja muitas iestādes pieņem rakstveida lēmumus, kuri attiecībā uz to adresātiem rada nelabvēlīgas sekas (</w:t>
      </w:r>
      <w:r w:rsidRPr="00FE2714">
        <w:rPr>
          <w:i/>
          <w:iCs/>
        </w:rPr>
        <w:t xml:space="preserve">Eiropas Savienības Tiesas sprieduma lietā „LS </w:t>
      </w:r>
      <w:proofErr w:type="spellStart"/>
      <w:r w:rsidRPr="00FE2714">
        <w:rPr>
          <w:i/>
          <w:iCs/>
        </w:rPr>
        <w:t>Customs</w:t>
      </w:r>
      <w:proofErr w:type="spellEnd"/>
      <w:r w:rsidRPr="00FE2714">
        <w:rPr>
          <w:i/>
          <w:iCs/>
        </w:rPr>
        <w:t xml:space="preserve"> </w:t>
      </w:r>
      <w:proofErr w:type="spellStart"/>
      <w:r w:rsidRPr="00FE2714">
        <w:rPr>
          <w:i/>
          <w:iCs/>
        </w:rPr>
        <w:t>Services</w:t>
      </w:r>
      <w:proofErr w:type="spellEnd"/>
      <w:r w:rsidRPr="00FE2714">
        <w:rPr>
          <w:i/>
          <w:iCs/>
        </w:rPr>
        <w:t>”</w:t>
      </w:r>
      <w:r w:rsidR="00CC54B6">
        <w:rPr>
          <w:i/>
          <w:iCs/>
        </w:rPr>
        <w:t xml:space="preserve"> </w:t>
      </w:r>
      <w:r w:rsidRPr="00D03139">
        <w:rPr>
          <w:i/>
          <w:iCs/>
        </w:rPr>
        <w:t>39.</w:t>
      </w:r>
      <w:r>
        <w:rPr>
          <w:i/>
          <w:iCs/>
        </w:rPr>
        <w:t>–</w:t>
      </w:r>
      <w:r w:rsidRPr="00D03139">
        <w:rPr>
          <w:i/>
          <w:iCs/>
        </w:rPr>
        <w:t>45.punkts</w:t>
      </w:r>
      <w:r>
        <w:t>). Turklāt jau zemākas iestādes jeb sākotnējā lēmuma pienācīgs pamatojums dod vislabākās izredzes strīdu galīgi atrisināt pašā iestādē, kā tam pamatā arī būtu jābūt. Citādi tiesas process kalpo tikai tam, lai nodokļu maksātājs beidzot iegūtu informāciju un pārliecinātos par preču muitas vērtības noteikšanas pareizību, turklāt pat tajos gadījumos, kad muitas vērtība noteikta pareizi. Šāda iestādes prakse var būt iemesls gan nodokļu maksātāja, gan valsts budžeta resursu nelietderīgai tērēšanai un nav pieņemama ne no pieteicēja</w:t>
      </w:r>
      <w:r w:rsidR="00B03E99">
        <w:t>s</w:t>
      </w:r>
      <w:r>
        <w:t xml:space="preserve"> tiesību ievērošanas viedokļa, ne pareizas un efektīvas procesa norises viedokļa (</w:t>
      </w:r>
      <w:r w:rsidRPr="003A02A0">
        <w:rPr>
          <w:i/>
          <w:iCs/>
        </w:rPr>
        <w:t>2018.gada 30.janvāra sprieduma lietā Nr. SKA-5/2018 (</w:t>
      </w:r>
      <w:hyperlink r:id="rId10" w:history="1">
        <w:r w:rsidRPr="003A02A0">
          <w:rPr>
            <w:i/>
            <w:iCs/>
          </w:rPr>
          <w:t>ECLI:LV:AT:2018:0130.A420681211.2.S</w:t>
        </w:r>
      </w:hyperlink>
      <w:r w:rsidRPr="003A02A0">
        <w:rPr>
          <w:i/>
          <w:iCs/>
        </w:rPr>
        <w:t>) 6.punkts</w:t>
      </w:r>
      <w:r w:rsidR="00CC54B6">
        <w:t>)</w:t>
      </w:r>
      <w:r>
        <w:rPr>
          <w:i/>
          <w:iCs/>
        </w:rPr>
        <w:t>.</w:t>
      </w:r>
    </w:p>
    <w:p w14:paraId="4954E198" w14:textId="5A170225" w:rsidR="00435900" w:rsidRDefault="00435900" w:rsidP="004103B2">
      <w:pPr>
        <w:spacing w:line="276" w:lineRule="auto"/>
        <w:ind w:firstLine="567"/>
        <w:jc w:val="both"/>
      </w:pPr>
      <w:r>
        <w:t>Katrā gadījumā pamatojuma saturam un apjomam ir jākalpo tā patiesajai jēgai – ļaut vispirms jau pašam akta adresātam uzzināt un saprast, kādēļ iestādes rīcība un lēmums ir tieši tāds, kā tas atspoguļojas lemjošajā daļā</w:t>
      </w:r>
      <w:r w:rsidR="00CC54B6">
        <w:t>,</w:t>
      </w:r>
      <w:r>
        <w:t xml:space="preserve"> un kā iestāde pie tā nonākusi. Savukārt ja strīds nonācis tiesā, tas ļauj tiesai pārbaudīt un novērtēt lēmuma tiesiskumu. Nav izslēdzams, ka tiesas procesa laikā atsevišķos gadījumos var tikt novērsti trūkumi pamatojumā, bet vienlaikus ir jāraugās, cik būtiski ir šie trūkumi, vai nav atzīstams, ka pamatojuma lēmumā būtībā nav vispār (</w:t>
      </w:r>
      <w:r>
        <w:rPr>
          <w:i/>
          <w:iCs/>
        </w:rPr>
        <w:t>turpat</w:t>
      </w:r>
      <w:r>
        <w:t>).</w:t>
      </w:r>
    </w:p>
    <w:p w14:paraId="585F6FBD" w14:textId="1156F3E1" w:rsidR="00435900" w:rsidRPr="000B0AF3" w:rsidRDefault="00435900" w:rsidP="004103B2">
      <w:pPr>
        <w:spacing w:line="276" w:lineRule="auto"/>
        <w:ind w:firstLine="567"/>
        <w:jc w:val="both"/>
      </w:pPr>
      <w:r w:rsidRPr="000B0AF3">
        <w:t xml:space="preserve">Tādējādi gadījumā, ja ir atzīstams, ka lēmuma pamatojuma trūkums ir </w:t>
      </w:r>
      <w:r w:rsidR="00FF1A68" w:rsidRPr="000B0AF3">
        <w:t xml:space="preserve">tik </w:t>
      </w:r>
      <w:r w:rsidRPr="000B0AF3">
        <w:t xml:space="preserve">būtisks, </w:t>
      </w:r>
      <w:r w:rsidR="00FF1A68" w:rsidRPr="000B0AF3">
        <w:t xml:space="preserve">ka tas </w:t>
      </w:r>
      <w:r w:rsidRPr="000B0AF3">
        <w:t xml:space="preserve">faktiski iztrūkst vispār, tas ir pamats </w:t>
      </w:r>
      <w:r w:rsidR="008B5B45" w:rsidRPr="000B0AF3">
        <w:t xml:space="preserve">atzīt, ka </w:t>
      </w:r>
      <w:r w:rsidR="00FF1A68" w:rsidRPr="000B0AF3">
        <w:t xml:space="preserve">lēmums ir patvaļīgs un tādēļ </w:t>
      </w:r>
      <w:r w:rsidRPr="000B0AF3">
        <w:t>atce</w:t>
      </w:r>
      <w:r w:rsidR="00FF1A68" w:rsidRPr="000B0AF3">
        <w:t xml:space="preserve">ļams. Šādā gadījumā </w:t>
      </w:r>
      <w:r w:rsidRPr="000B0AF3">
        <w:t xml:space="preserve">pamatojuma trūkumu </w:t>
      </w:r>
      <w:r w:rsidR="00FF1A68" w:rsidRPr="000B0AF3">
        <w:t xml:space="preserve">nevar </w:t>
      </w:r>
      <w:r w:rsidRPr="000B0AF3">
        <w:t xml:space="preserve">novērst, </w:t>
      </w:r>
      <w:r w:rsidR="00FF1A68" w:rsidRPr="000B0AF3">
        <w:t xml:space="preserve">to </w:t>
      </w:r>
      <w:r w:rsidRPr="000B0AF3">
        <w:t xml:space="preserve">sniedzot tiesas procesa laikā. </w:t>
      </w:r>
      <w:r w:rsidR="00032331" w:rsidRPr="000B0AF3">
        <w:t>J</w:t>
      </w:r>
      <w:r w:rsidRPr="000B0AF3">
        <w:t>a iestādes lēmum</w:t>
      </w:r>
      <w:r w:rsidR="008B5B45" w:rsidRPr="000B0AF3">
        <w:t xml:space="preserve">ā nav </w:t>
      </w:r>
      <w:r w:rsidRPr="000B0AF3">
        <w:t>pienācīg</w:t>
      </w:r>
      <w:r w:rsidR="008B5B45" w:rsidRPr="000B0AF3">
        <w:t>a</w:t>
      </w:r>
      <w:r w:rsidRPr="000B0AF3">
        <w:t xml:space="preserve"> pamatojum</w:t>
      </w:r>
      <w:r w:rsidR="008B5B45" w:rsidRPr="000B0AF3">
        <w:t>a</w:t>
      </w:r>
      <w:r w:rsidRPr="000B0AF3">
        <w:t xml:space="preserve">, faktiski nav </w:t>
      </w:r>
      <w:r w:rsidR="00032331" w:rsidRPr="000B0AF3">
        <w:t xml:space="preserve">arī </w:t>
      </w:r>
      <w:r w:rsidRPr="000B0AF3">
        <w:t>iespējams pārliecināties, vai iestādes tiesas procesā sniegtā informācija ir ņemta vērā iestādes procesa laikā vai tika piemeklēta vēlāk.</w:t>
      </w:r>
    </w:p>
    <w:p w14:paraId="604E9899" w14:textId="670E7205" w:rsidR="00435900" w:rsidRDefault="00EE7B41" w:rsidP="004103B2">
      <w:pPr>
        <w:spacing w:line="276" w:lineRule="auto"/>
        <w:ind w:firstLine="567"/>
        <w:jc w:val="both"/>
      </w:pPr>
      <w:r>
        <w:t xml:space="preserve">Ņemot vērā minēto, secināms, ka apgabaltiesa, izprasot un pieļaujot informācijas, kas tika ņemta vērā muitas vērtības noteikšanai, iesniegšanu tikai apelācijas tiesvedības laikā, nav </w:t>
      </w:r>
      <w:r w:rsidR="00E27192">
        <w:t>iz</w:t>
      </w:r>
      <w:r>
        <w:t>vērtējusi šādas novēlotas informācijas sniegšanas pieļaujamību konkrētajā gadījumā kontekstā ar dienesta lēmuma</w:t>
      </w:r>
      <w:r w:rsidR="006C1853">
        <w:t xml:space="preserve"> pamatojuma </w:t>
      </w:r>
      <w:r w:rsidR="00E37F26">
        <w:t>trūkumu</w:t>
      </w:r>
      <w:r w:rsidR="005F38BD">
        <w:t xml:space="preserve"> un pieteicējas iespēju pilnvērtīgi īstenot savas procesuālās tiesības</w:t>
      </w:r>
      <w:r w:rsidR="006C1853">
        <w:t>.</w:t>
      </w:r>
    </w:p>
    <w:p w14:paraId="424117D9" w14:textId="77777777" w:rsidR="00435900" w:rsidRDefault="00435900" w:rsidP="004103B2">
      <w:pPr>
        <w:spacing w:line="276" w:lineRule="auto"/>
        <w:ind w:firstLine="567"/>
        <w:jc w:val="both"/>
      </w:pPr>
    </w:p>
    <w:p w14:paraId="563CB9BF" w14:textId="6450D989" w:rsidR="00435900" w:rsidRDefault="004E4869" w:rsidP="004103B2">
      <w:pPr>
        <w:spacing w:line="276" w:lineRule="auto"/>
        <w:ind w:firstLine="567"/>
        <w:jc w:val="both"/>
        <w:rPr>
          <w:bCs/>
        </w:rPr>
      </w:pPr>
      <w:r>
        <w:rPr>
          <w:bCs/>
        </w:rPr>
        <w:t>[1</w:t>
      </w:r>
      <w:r w:rsidR="00C37561">
        <w:rPr>
          <w:bCs/>
        </w:rPr>
        <w:t>3</w:t>
      </w:r>
      <w:r>
        <w:rPr>
          <w:bCs/>
        </w:rPr>
        <w:t>] </w:t>
      </w:r>
      <w:r w:rsidR="00435900">
        <w:rPr>
          <w:bCs/>
        </w:rPr>
        <w:t xml:space="preserve">Apgabaltiesa spriedumā ir atzinusi, ka dienests ir kļūdaini sešās muitas deklarācijās norādītajām precēm muitas vērtības noteikšanai piemērojis </w:t>
      </w:r>
      <w:r w:rsidR="00435900" w:rsidRPr="003879EE">
        <w:rPr>
          <w:bCs/>
        </w:rPr>
        <w:t xml:space="preserve">Muitas kodeksa </w:t>
      </w:r>
      <w:proofErr w:type="gramStart"/>
      <w:r w:rsidR="00435900" w:rsidRPr="003879EE">
        <w:rPr>
          <w:bCs/>
        </w:rPr>
        <w:t>31.pantā</w:t>
      </w:r>
      <w:proofErr w:type="gramEnd"/>
      <w:r w:rsidR="00435900" w:rsidRPr="003879EE">
        <w:rPr>
          <w:bCs/>
        </w:rPr>
        <w:t xml:space="preserve"> paredzēt</w:t>
      </w:r>
      <w:r w:rsidR="00435900">
        <w:rPr>
          <w:bCs/>
        </w:rPr>
        <w:t>o</w:t>
      </w:r>
      <w:r w:rsidR="00435900" w:rsidRPr="003879EE">
        <w:rPr>
          <w:bCs/>
        </w:rPr>
        <w:t xml:space="preserve"> </w:t>
      </w:r>
      <w:r w:rsidR="00435900">
        <w:rPr>
          <w:bCs/>
        </w:rPr>
        <w:t>metodi. Apgabaltiesas ieskatā</w:t>
      </w:r>
      <w:r w:rsidR="00032331">
        <w:rPr>
          <w:bCs/>
        </w:rPr>
        <w:t>,</w:t>
      </w:r>
      <w:r w:rsidR="00435900" w:rsidRPr="003879EE">
        <w:rPr>
          <w:bCs/>
        </w:rPr>
        <w:t xml:space="preserve"> muitas vērtība attiecīgajām precēm bija jānosaka saskaņā ar Muitas kodeksa </w:t>
      </w:r>
      <w:proofErr w:type="gramStart"/>
      <w:r w:rsidR="00435900" w:rsidRPr="003879EE">
        <w:rPr>
          <w:bCs/>
        </w:rPr>
        <w:t>30.panta</w:t>
      </w:r>
      <w:proofErr w:type="gramEnd"/>
      <w:r w:rsidR="00435900" w:rsidRPr="003879EE">
        <w:rPr>
          <w:bCs/>
        </w:rPr>
        <w:t xml:space="preserve"> 2.punkta </w:t>
      </w:r>
      <w:r w:rsidR="00032331">
        <w:rPr>
          <w:bCs/>
        </w:rPr>
        <w:t>„</w:t>
      </w:r>
      <w:r w:rsidR="00435900" w:rsidRPr="003879EE">
        <w:rPr>
          <w:bCs/>
        </w:rPr>
        <w:t>a</w:t>
      </w:r>
      <w:r w:rsidR="00032331">
        <w:rPr>
          <w:bCs/>
        </w:rPr>
        <w:t>”</w:t>
      </w:r>
      <w:r w:rsidR="00435900" w:rsidRPr="003879EE">
        <w:rPr>
          <w:bCs/>
        </w:rPr>
        <w:t xml:space="preserve"> apakšpunktu. </w:t>
      </w:r>
      <w:r w:rsidR="00435900" w:rsidRPr="002C0122">
        <w:rPr>
          <w:bCs/>
        </w:rPr>
        <w:t>Vienlaikus apgabaltiesa secinājusi, ka dienesta lēmums šajā daļā nav atceļams, jo dienesta pieļautā kļūda ir radīju</w:t>
      </w:r>
      <w:r w:rsidR="00435900">
        <w:rPr>
          <w:bCs/>
        </w:rPr>
        <w:t>si</w:t>
      </w:r>
      <w:r w:rsidR="00435900" w:rsidRPr="002C0122">
        <w:rPr>
          <w:bCs/>
        </w:rPr>
        <w:t xml:space="preserve"> pieteicējai labvēlīgas sekas – pieteicējai maksājumi budžetā ir noteikti mazākā apmērā, nekā tie būtu nosakāmi, ja dienests būtu piemērojis Muitas kodeksa </w:t>
      </w:r>
      <w:proofErr w:type="gramStart"/>
      <w:r w:rsidR="00435900" w:rsidRPr="002C0122">
        <w:rPr>
          <w:bCs/>
        </w:rPr>
        <w:t>30.panta</w:t>
      </w:r>
      <w:proofErr w:type="gramEnd"/>
      <w:r w:rsidR="00435900" w:rsidRPr="002C0122">
        <w:rPr>
          <w:bCs/>
        </w:rPr>
        <w:t xml:space="preserve"> 2.punkta </w:t>
      </w:r>
      <w:r w:rsidR="00032331">
        <w:rPr>
          <w:bCs/>
        </w:rPr>
        <w:t>„</w:t>
      </w:r>
      <w:r w:rsidR="00435900" w:rsidRPr="002C0122">
        <w:rPr>
          <w:bCs/>
        </w:rPr>
        <w:t>a</w:t>
      </w:r>
      <w:r w:rsidR="00032331">
        <w:rPr>
          <w:bCs/>
        </w:rPr>
        <w:t xml:space="preserve">” </w:t>
      </w:r>
      <w:r w:rsidR="00435900" w:rsidRPr="002C0122">
        <w:rPr>
          <w:bCs/>
        </w:rPr>
        <w:t>apakšpunktu.</w:t>
      </w:r>
    </w:p>
    <w:p w14:paraId="72AEAD06" w14:textId="77777777" w:rsidR="00435900" w:rsidRDefault="00435900" w:rsidP="004103B2">
      <w:pPr>
        <w:spacing w:line="276" w:lineRule="auto"/>
        <w:ind w:firstLine="567"/>
        <w:jc w:val="both"/>
        <w:rPr>
          <w:bCs/>
        </w:rPr>
      </w:pPr>
      <w:r>
        <w:rPr>
          <w:bCs/>
        </w:rPr>
        <w:t xml:space="preserve">No minētā izriet, ka apgabaltiesa, izvērtējot dienesta piemērotās muitas vērtības noteikšanas metodes piemērošanas pareizību pēc būtības, ir nonākusi pie secinājuma, ka tā ir kļūdaina. Lai arī minētais apgabaltiesas secinājums faktiski nav ietekmējis dienesta lēmuma spēku, tomēr norādāms, ka, ņemot vērā iepriekš konstatēto, ka apgabaltiesa šajā gadījumā nav pietiekami pārbaudījusi dienesta lēmuma pamatojuma esību un pietiekamību, apgabaltiesas </w:t>
      </w:r>
      <w:r>
        <w:rPr>
          <w:bCs/>
        </w:rPr>
        <w:lastRenderedPageBreak/>
        <w:t xml:space="preserve">pievēršanās dienesta lēmuma izvērtēšanai pēc būtības šajā gadījumā ir pārsteidzīga, īpaši ņemot vērā pašas apgabaltiesas secinājumu, ka dienests nav pietiekami pamatojis </w:t>
      </w:r>
      <w:r w:rsidRPr="003879EE">
        <w:rPr>
          <w:bCs/>
        </w:rPr>
        <w:t>Muitas kodeksa 31.pantā paredzēt</w:t>
      </w:r>
      <w:r>
        <w:rPr>
          <w:bCs/>
        </w:rPr>
        <w:t>ās</w:t>
      </w:r>
      <w:r w:rsidRPr="003879EE">
        <w:rPr>
          <w:bCs/>
        </w:rPr>
        <w:t xml:space="preserve"> </w:t>
      </w:r>
      <w:r>
        <w:rPr>
          <w:bCs/>
        </w:rPr>
        <w:t xml:space="preserve">metodes piemērošanu. </w:t>
      </w:r>
    </w:p>
    <w:p w14:paraId="3230BAD0" w14:textId="55F36CA7" w:rsidR="00435900" w:rsidRPr="00462DA5" w:rsidRDefault="00435900" w:rsidP="004103B2">
      <w:pPr>
        <w:spacing w:line="276" w:lineRule="auto"/>
        <w:ind w:firstLine="567"/>
        <w:jc w:val="both"/>
      </w:pPr>
      <w:r>
        <w:rPr>
          <w:bCs/>
        </w:rPr>
        <w:t xml:space="preserve">Tāpat nav saprotama apgabaltiesas norāde, ka dienesta lēmuma atcelšana attiecīgajā daļā radītu pieteicējai nelabvēlīgākas sekas, piemērojot to normu, ko apgabaltiesa atzinusi par pareizu. </w:t>
      </w:r>
      <w:r w:rsidR="00032331">
        <w:rPr>
          <w:bCs/>
        </w:rPr>
        <w:t>T</w:t>
      </w:r>
      <w:r>
        <w:rPr>
          <w:bCs/>
        </w:rPr>
        <w:t xml:space="preserve">iesas uzdevums ir </w:t>
      </w:r>
      <w:r>
        <w:t>pārbaudīt, vai iestādes norādītie apstākļi, uz kuriem balstīts nelabvēlīgs administratīvais akts, patiešām pastāv. Turklāt t</w:t>
      </w:r>
      <w:r w:rsidRPr="005B6CC6">
        <w:t>iesas secinājumi</w:t>
      </w:r>
      <w:r>
        <w:t>em</w:t>
      </w:r>
      <w:r w:rsidRPr="005B6CC6">
        <w:t xml:space="preserve"> par pārsūdzētā administratīvā akta pamatā esošajiem apstākļiem </w:t>
      </w:r>
      <w:r>
        <w:t>jā</w:t>
      </w:r>
      <w:r w:rsidRPr="005B6CC6">
        <w:t xml:space="preserve">attiecas uz iestādes konstatēto tiesību normu piemērošanas pamatu. </w:t>
      </w:r>
      <w:r>
        <w:t xml:space="preserve">Un gadījumā, ja iestādes pamatojums ir kļūdains vai tāds iztrūkst vispār, kas neļauj pārliecināties par tā pareizību, un attiecīgi </w:t>
      </w:r>
      <w:r w:rsidRPr="00EB5E26">
        <w:t xml:space="preserve">iestādes lēmumā norādītie apstākļi nevar būt pamats attiecīgo </w:t>
      </w:r>
      <w:bookmarkStart w:id="6" w:name="_Hlk98773791"/>
      <w:r w:rsidRPr="00EB5E26">
        <w:t>tiesisko seku radīšanai</w:t>
      </w:r>
      <w:bookmarkEnd w:id="6"/>
      <w:r>
        <w:t xml:space="preserve">, tas ir pamats iestādes lēmuma atcelšanai. Atceļot iestādes lēmumu, tiesai nav jārada </w:t>
      </w:r>
      <w:r w:rsidRPr="00F42B37">
        <w:t>jaun</w:t>
      </w:r>
      <w:r>
        <w:t>s</w:t>
      </w:r>
      <w:r w:rsidRPr="00F42B37">
        <w:t xml:space="preserve"> pamat</w:t>
      </w:r>
      <w:r>
        <w:t>s</w:t>
      </w:r>
      <w:r w:rsidRPr="00F42B37">
        <w:t xml:space="preserve"> </w:t>
      </w:r>
      <w:r w:rsidRPr="00EB5E26">
        <w:t>tiesisko seku radīšanai</w:t>
      </w:r>
      <w:r>
        <w:t xml:space="preserve">, </w:t>
      </w:r>
      <w:r w:rsidRPr="00EB5E26">
        <w:t>pieteicēja</w:t>
      </w:r>
      <w:r w:rsidR="00B03E99">
        <w:t>i</w:t>
      </w:r>
      <w:r w:rsidRPr="00EB5E26">
        <w:t xml:space="preserve"> nelabvēlīgu spriedumu pamato</w:t>
      </w:r>
      <w:r>
        <w:t>jot</w:t>
      </w:r>
      <w:r w:rsidRPr="00EB5E26">
        <w:t xml:space="preserve"> ar </w:t>
      </w:r>
      <w:r>
        <w:t>citiem</w:t>
      </w:r>
      <w:r w:rsidRPr="00EB5E26">
        <w:t xml:space="preserve"> apstākļiem, uz kuriem nav norādīts administratīvajā aktā</w:t>
      </w:r>
      <w:r>
        <w:t xml:space="preserve">. </w:t>
      </w:r>
      <w:r w:rsidRPr="00462DA5">
        <w:t>Pretējā gadījumā tiesa būtībā uzņem</w:t>
      </w:r>
      <w:r>
        <w:t>a</w:t>
      </w:r>
      <w:r w:rsidRPr="00462DA5">
        <w:t>s iestādes kompetenci izdot un pamatot administratīvo aktu</w:t>
      </w:r>
      <w:r>
        <w:t xml:space="preserve"> (</w:t>
      </w:r>
      <w:r w:rsidRPr="00CC54B6">
        <w:rPr>
          <w:i/>
          <w:iCs/>
        </w:rPr>
        <w:t>Senāta</w:t>
      </w:r>
      <w:r>
        <w:t xml:space="preserve"> </w:t>
      </w:r>
      <w:proofErr w:type="gramStart"/>
      <w:r w:rsidRPr="00F00B2C">
        <w:rPr>
          <w:i/>
          <w:iCs/>
        </w:rPr>
        <w:t>2013.gada</w:t>
      </w:r>
      <w:proofErr w:type="gramEnd"/>
      <w:r w:rsidRPr="00F00B2C">
        <w:rPr>
          <w:i/>
          <w:iCs/>
        </w:rPr>
        <w:t xml:space="preserve"> 31.janvāra sprieduma lietā Nr. SKA</w:t>
      </w:r>
      <w:r w:rsidRPr="00F00B2C">
        <w:rPr>
          <w:i/>
          <w:iCs/>
        </w:rPr>
        <w:noBreakHyphen/>
        <w:t>67/2013 (A42735109) 6.punkts, 2017.gada 21.jūnija sprieduma lietā Nr. SKA</w:t>
      </w:r>
      <w:r w:rsidRPr="00F00B2C">
        <w:rPr>
          <w:i/>
          <w:iCs/>
        </w:rPr>
        <w:noBreakHyphen/>
        <w:t>177/2017 (A420225414) 9.punkts</w:t>
      </w:r>
      <w:r>
        <w:t>).</w:t>
      </w:r>
    </w:p>
    <w:p w14:paraId="127B8C51" w14:textId="769C2EB6" w:rsidR="00435900" w:rsidRPr="002C0122" w:rsidRDefault="00435900" w:rsidP="004103B2">
      <w:pPr>
        <w:spacing w:line="276" w:lineRule="auto"/>
        <w:ind w:firstLine="567"/>
        <w:jc w:val="both"/>
        <w:rPr>
          <w:bCs/>
        </w:rPr>
      </w:pPr>
      <w:r>
        <w:rPr>
          <w:bCs/>
        </w:rPr>
        <w:t xml:space="preserve">Atbildot uz pieteicējas kasācijas sūdzības argumentu, ka apgabaltiesa šajā daļā </w:t>
      </w:r>
      <w:r w:rsidRPr="00E933AD">
        <w:rPr>
          <w:bCs/>
        </w:rPr>
        <w:t>ir pieļāvusi ar likumu neatļautu administratīvā akta pamatojuma maiņu</w:t>
      </w:r>
      <w:r>
        <w:rPr>
          <w:bCs/>
        </w:rPr>
        <w:t>, norādāms, ka</w:t>
      </w:r>
      <w:r w:rsidRPr="00E933AD">
        <w:rPr>
          <w:bCs/>
        </w:rPr>
        <w:t xml:space="preserve"> apgabaltiesa spriedumā ir</w:t>
      </w:r>
      <w:proofErr w:type="gramStart"/>
      <w:r w:rsidRPr="00E933AD">
        <w:rPr>
          <w:bCs/>
        </w:rPr>
        <w:t xml:space="preserve"> tikai konstatējusi dienesta lēmuma pamatojuma nepareizību</w:t>
      </w:r>
      <w:proofErr w:type="gramEnd"/>
      <w:r w:rsidRPr="00E933AD">
        <w:rPr>
          <w:bCs/>
        </w:rPr>
        <w:t xml:space="preserve">, norādot uz citas tiesību normas piemērošanas nepieciešamību, bet faktiski nav mainījusi dienesta lēmuma pamatojumu, atstājot spēkā dienesta lēmumu šajā daļā. </w:t>
      </w:r>
      <w:r>
        <w:rPr>
          <w:bCs/>
        </w:rPr>
        <w:t xml:space="preserve">Šādos apstākļos </w:t>
      </w:r>
      <w:r w:rsidRPr="00E933AD">
        <w:rPr>
          <w:bCs/>
        </w:rPr>
        <w:t>nav pamata konstatēt administratīvā akta pamatojuma maiņu Administratīvā procesa likuma 250.panta otrās daļas izpratnē.</w:t>
      </w:r>
    </w:p>
    <w:p w14:paraId="28C2AF3B" w14:textId="77777777" w:rsidR="00435900" w:rsidRDefault="00435900" w:rsidP="004103B2">
      <w:pPr>
        <w:spacing w:line="276" w:lineRule="auto"/>
        <w:ind w:firstLine="567"/>
        <w:jc w:val="both"/>
        <w:rPr>
          <w:bCs/>
        </w:rPr>
      </w:pPr>
    </w:p>
    <w:p w14:paraId="4FC93FED" w14:textId="17418F7C" w:rsidR="00435900" w:rsidRDefault="0013619C" w:rsidP="004103B2">
      <w:pPr>
        <w:spacing w:line="276" w:lineRule="auto"/>
        <w:ind w:firstLine="567"/>
        <w:jc w:val="both"/>
      </w:pPr>
      <w:r>
        <w:t>[1</w:t>
      </w:r>
      <w:r w:rsidR="00C37561">
        <w:t>4</w:t>
      </w:r>
      <w:r>
        <w:t>] </w:t>
      </w:r>
      <w:r w:rsidR="00435900">
        <w:t xml:space="preserve">Rezumējot minēto, secināms, ka apgabaltiesa nepamatoti nav pievērsusies dienesta lēmuma pamatojuma pietiekamības izvērtēšanai, nevērtējot, vai dienests lēmumā ir pienācīgi pamatojis pieteicējas deklarēto preču muitas vērtības aprēķinam piemērotās metodes. </w:t>
      </w:r>
      <w:r w:rsidR="005E3C4A">
        <w:t xml:space="preserve">Tādējādi apgabaltiesas spriedums ir balstīts nepietiekamā dienesta lēmuma izvērtējumā, kas varēja novest pie </w:t>
      </w:r>
      <w:r w:rsidR="00435900">
        <w:t xml:space="preserve">pārsteidzīgiem </w:t>
      </w:r>
      <w:r w:rsidR="005E3C4A">
        <w:t xml:space="preserve">un nepareiziem </w:t>
      </w:r>
      <w:r w:rsidR="00435900">
        <w:t>secinājumiem par dienesta lēmumu šajā daļā. Tādē</w:t>
      </w:r>
      <w:r w:rsidR="00CC54B6">
        <w:t>ļ</w:t>
      </w:r>
      <w:r w:rsidR="00435900">
        <w:t xml:space="preserve"> apgabaltiesas spriedums daļā par muitas vērtības noteikšanu ir atceļams un lieta nododama apgabaltiesai jaunai izskatīšanai, ņemot vērā šajā spriedumā norādītos apstākļus.</w:t>
      </w:r>
    </w:p>
    <w:p w14:paraId="73406A12" w14:textId="77777777" w:rsidR="00A312CC" w:rsidRDefault="00A312CC" w:rsidP="004103B2">
      <w:pPr>
        <w:spacing w:line="276" w:lineRule="auto"/>
        <w:jc w:val="both"/>
      </w:pPr>
    </w:p>
    <w:p w14:paraId="56A4ECFD" w14:textId="77777777" w:rsidR="00942C8F" w:rsidRDefault="00942C8F" w:rsidP="004103B2">
      <w:pPr>
        <w:spacing w:line="276" w:lineRule="auto"/>
        <w:jc w:val="center"/>
      </w:pPr>
      <w:r>
        <w:rPr>
          <w:b/>
          <w:bCs/>
        </w:rPr>
        <w:t>II</w:t>
      </w:r>
    </w:p>
    <w:p w14:paraId="2333A5E2" w14:textId="77777777" w:rsidR="00552C73" w:rsidRDefault="00552C73" w:rsidP="004103B2">
      <w:pPr>
        <w:spacing w:line="276" w:lineRule="auto"/>
        <w:ind w:firstLine="567"/>
        <w:jc w:val="both"/>
      </w:pPr>
    </w:p>
    <w:p w14:paraId="405CE015" w14:textId="3C2966FA" w:rsidR="00107BF5" w:rsidRDefault="00103C0E" w:rsidP="004103B2">
      <w:pPr>
        <w:spacing w:line="276" w:lineRule="auto"/>
        <w:ind w:firstLine="567"/>
        <w:jc w:val="both"/>
      </w:pPr>
      <w:r>
        <w:t>[1</w:t>
      </w:r>
      <w:r w:rsidR="00C37561">
        <w:t>5</w:t>
      </w:r>
      <w:r>
        <w:t>] </w:t>
      </w:r>
      <w:r w:rsidR="00A2473E" w:rsidRPr="005E600C">
        <w:t>No pieteicēja</w:t>
      </w:r>
      <w:r w:rsidR="00E15651" w:rsidRPr="005E600C">
        <w:t>s</w:t>
      </w:r>
      <w:r w:rsidR="00A2473E" w:rsidRPr="005E600C">
        <w:t xml:space="preserve"> kasācijas sūdzības izriet, ka pieteicēja</w:t>
      </w:r>
      <w:r w:rsidR="00E3602D" w:rsidRPr="005E600C">
        <w:t xml:space="preserve"> </w:t>
      </w:r>
      <w:r w:rsidR="005C695A">
        <w:t>nepiekrīt</w:t>
      </w:r>
      <w:r w:rsidR="00E3602D" w:rsidRPr="005E600C">
        <w:t xml:space="preserve"> apgabaltiesas argumentiem attiecībā uz nokavējuma naudas aprēķinu</w:t>
      </w:r>
      <w:r w:rsidR="00D17CC7" w:rsidRPr="005E600C">
        <w:t>,</w:t>
      </w:r>
      <w:r w:rsidR="005E600C" w:rsidRPr="005E600C">
        <w:t xml:space="preserve"> </w:t>
      </w:r>
      <w:r w:rsidR="00A433C5">
        <w:t>proti</w:t>
      </w:r>
      <w:r w:rsidR="00235731">
        <w:t xml:space="preserve">, </w:t>
      </w:r>
      <w:r w:rsidR="005E600C" w:rsidRPr="005E600C">
        <w:t>brīdi</w:t>
      </w:r>
      <w:r w:rsidR="005C695A">
        <w:t>m</w:t>
      </w:r>
      <w:r w:rsidR="005E600C" w:rsidRPr="005E600C">
        <w:t>, ar kuru ir aprēķināma nokavējuma nauda.</w:t>
      </w:r>
      <w:r w:rsidR="00107BF5">
        <w:t xml:space="preserve"> Pieteicējas ieskatā</w:t>
      </w:r>
      <w:r w:rsidR="004A491F">
        <w:t>,</w:t>
      </w:r>
      <w:r w:rsidR="00107BF5">
        <w:t xml:space="preserve"> ievedmuitas nodokļa parāda nokavējuma nauda</w:t>
      </w:r>
      <w:r w:rsidR="0053773F">
        <w:t>s aprēķinam ir piemērojams t</w:t>
      </w:r>
      <w:r w:rsidR="0025495C">
        <w:t xml:space="preserve">ikai </w:t>
      </w:r>
      <w:r w:rsidR="00107BF5">
        <w:t xml:space="preserve">Muitas kodeksa </w:t>
      </w:r>
      <w:proofErr w:type="gramStart"/>
      <w:r w:rsidR="00107BF5">
        <w:t>232.panta</w:t>
      </w:r>
      <w:proofErr w:type="gramEnd"/>
      <w:r w:rsidR="00107BF5">
        <w:t xml:space="preserve"> 1.punkta </w:t>
      </w:r>
      <w:r w:rsidR="004A491F">
        <w:t>„</w:t>
      </w:r>
      <w:r w:rsidR="00107BF5">
        <w:t>b</w:t>
      </w:r>
      <w:r w:rsidR="00CC54B6">
        <w:t>”</w:t>
      </w:r>
      <w:r w:rsidR="00107BF5">
        <w:t xml:space="preserve"> apakšpunkt</w:t>
      </w:r>
      <w:r w:rsidR="0053773F">
        <w:t>s</w:t>
      </w:r>
      <w:r w:rsidR="0052191B">
        <w:t xml:space="preserve">, </w:t>
      </w:r>
      <w:r w:rsidR="00675A20">
        <w:t xml:space="preserve">nokavējuma naudu aprēķinot </w:t>
      </w:r>
      <w:r w:rsidR="00621A0B">
        <w:t xml:space="preserve">no </w:t>
      </w:r>
      <w:r w:rsidR="00DF1C32">
        <w:t>iestādes lēmuma pieņemšana</w:t>
      </w:r>
      <w:r w:rsidR="003C3A01">
        <w:t xml:space="preserve">s </w:t>
      </w:r>
      <w:r w:rsidR="003C3A01" w:rsidRPr="00D953FA">
        <w:t>brīža</w:t>
      </w:r>
      <w:r w:rsidR="00675A20" w:rsidRPr="00D953FA">
        <w:t>,</w:t>
      </w:r>
      <w:r w:rsidR="003C3A01" w:rsidRPr="00D953FA">
        <w:t xml:space="preserve"> </w:t>
      </w:r>
      <w:r w:rsidR="00621A0B" w:rsidRPr="00D953FA">
        <w:t>nevis</w:t>
      </w:r>
      <w:r w:rsidR="00621A0B">
        <w:t xml:space="preserve"> </w:t>
      </w:r>
      <w:r w:rsidR="0052191B">
        <w:t xml:space="preserve">no </w:t>
      </w:r>
      <w:r w:rsidR="00621A0B" w:rsidRPr="00621A0B">
        <w:t>muitas deklarācijas apstiprināšanas dienas muitā</w:t>
      </w:r>
      <w:r w:rsidR="00621A0B">
        <w:t>.</w:t>
      </w:r>
    </w:p>
    <w:p w14:paraId="4591916F" w14:textId="77777777" w:rsidR="00E50E08" w:rsidRDefault="00E50E08" w:rsidP="004103B2">
      <w:pPr>
        <w:spacing w:line="276" w:lineRule="auto"/>
        <w:ind w:firstLine="567"/>
        <w:jc w:val="both"/>
      </w:pPr>
    </w:p>
    <w:p w14:paraId="786B52B1" w14:textId="3658A9D0" w:rsidR="005901A5" w:rsidRDefault="00E50E08" w:rsidP="004103B2">
      <w:pPr>
        <w:spacing w:line="276" w:lineRule="auto"/>
        <w:ind w:firstLine="567"/>
        <w:jc w:val="both"/>
      </w:pPr>
      <w:r>
        <w:t>[1</w:t>
      </w:r>
      <w:r w:rsidR="00C37561">
        <w:t>6</w:t>
      </w:r>
      <w:r>
        <w:t>] </w:t>
      </w:r>
      <w:r w:rsidR="000E02C7">
        <w:t xml:space="preserve">Attiecīgais jautājums ir nostiprināts Senāta judikatūrā. </w:t>
      </w:r>
      <w:r w:rsidR="00CA54AA">
        <w:t xml:space="preserve">Līdz </w:t>
      </w:r>
      <w:proofErr w:type="gramStart"/>
      <w:r w:rsidR="00CA54AA">
        <w:t>2014.gada</w:t>
      </w:r>
      <w:proofErr w:type="gramEnd"/>
      <w:r w:rsidR="00CA54AA">
        <w:t xml:space="preserve"> martam </w:t>
      </w:r>
      <w:r w:rsidR="00072C48">
        <w:t>Senāta</w:t>
      </w:r>
      <w:r w:rsidR="00CA54AA">
        <w:t xml:space="preserve"> praksē tika atzīts, ka parādnieka pienākums samaksāt muitas maksājumus rodas pēc tam, kad muitas iestāde ir iegrāmatojusi muitas nodokļus un par to paziņojusi parādniekam. Savukārt pienākums samaksāt nokavējuma naudu rodas pēc tam, kad parādnieks nav ievērojis papildu</w:t>
      </w:r>
      <w:r w:rsidR="006D6170">
        <w:t>s</w:t>
      </w:r>
      <w:r w:rsidR="00CA54AA">
        <w:t xml:space="preserve"> </w:t>
      </w:r>
      <w:r w:rsidR="00CA54AA">
        <w:lastRenderedPageBreak/>
        <w:t xml:space="preserve">aprēķinātā nodokļa samaksas termiņu, kas noteikts iestādes lēmumā. Tas tika pamatots ar atziņu, ka nokavējuma naudas aprēķināšanu muitas parāda gadījumā noteic Muitas kodeksa normas un ka tādēļ nav pamata atsaukties uz likuma „Par nodokļiem un nodevām” normām. Tomēr pēc </w:t>
      </w:r>
      <w:proofErr w:type="gramStart"/>
      <w:r w:rsidR="00CA54AA">
        <w:t>2014.gada</w:t>
      </w:r>
      <w:proofErr w:type="gramEnd"/>
      <w:r w:rsidR="00CA54AA">
        <w:t xml:space="preserve"> marta </w:t>
      </w:r>
      <w:r w:rsidR="000F0889">
        <w:t>Senāts</w:t>
      </w:r>
      <w:r w:rsidR="00CA54AA">
        <w:t>, ievērojot Eiropas Savienības Tiesas atziņas lietās C</w:t>
      </w:r>
      <w:r w:rsidR="000F0889">
        <w:noBreakHyphen/>
      </w:r>
      <w:r w:rsidR="00CA54AA">
        <w:t>546/09 un C-91/02 kopsakarā ar likuma „Par nodokļiem un nodevām” tiesību normām, atkāpās no savas iepriekšējās judikatūras, atzīstot, ka pienākums maksāt nokavējuma naudu par laika posmu no muitas parāda rašanās brīža līdz iestādes lēmuma pieņemšanai pastāv tikai tad, ja tas paredzēts dalībvalsts tiesībās, un Latvijas tiesībās šāds pienākums pastāv (</w:t>
      </w:r>
      <w:r w:rsidR="00CA54AA" w:rsidRPr="004D4B91">
        <w:rPr>
          <w:i/>
          <w:iCs/>
        </w:rPr>
        <w:t>Tiesu prakses apkopojums muitas lietās un ar muitas lietām saistītos jautājumos 2010–2016</w:t>
      </w:r>
      <w:r w:rsidR="00D51253">
        <w:rPr>
          <w:i/>
          <w:iCs/>
        </w:rPr>
        <w:t>.</w:t>
      </w:r>
      <w:r w:rsidR="00CA54AA" w:rsidRPr="004D4B91">
        <w:rPr>
          <w:i/>
          <w:iCs/>
        </w:rPr>
        <w:t xml:space="preserve"> Rīga</w:t>
      </w:r>
      <w:r w:rsidR="00D51253">
        <w:rPr>
          <w:i/>
          <w:iCs/>
        </w:rPr>
        <w:t xml:space="preserve">: </w:t>
      </w:r>
      <w:r w:rsidR="00D51253" w:rsidRPr="004D4B91">
        <w:rPr>
          <w:i/>
          <w:iCs/>
        </w:rPr>
        <w:t>Augstākās tiesas Judikatūras un zinātniski analītiskā nodaļa</w:t>
      </w:r>
      <w:r w:rsidR="00D51253">
        <w:rPr>
          <w:i/>
          <w:iCs/>
        </w:rPr>
        <w:t>,</w:t>
      </w:r>
      <w:r w:rsidR="00CA54AA" w:rsidRPr="004D4B91">
        <w:rPr>
          <w:i/>
          <w:iCs/>
        </w:rPr>
        <w:t xml:space="preserve"> 2017, 149.–150.punkts, pieejams: </w:t>
      </w:r>
      <w:hyperlink r:id="rId11" w:history="1">
        <w:r w:rsidR="009955A7" w:rsidRPr="00065043">
          <w:rPr>
            <w:rStyle w:val="Hyperlink"/>
            <w:i/>
            <w:iCs/>
          </w:rPr>
          <w:t>http://at.gov.lv/lv/judikatura/tiesu-praksesapkopojumi/administrativajas-tiesibas/</w:t>
        </w:r>
      </w:hyperlink>
      <w:r w:rsidR="00CA54AA">
        <w:t>).</w:t>
      </w:r>
      <w:r w:rsidR="009955A7">
        <w:t xml:space="preserve"> </w:t>
      </w:r>
      <w:r w:rsidR="00942043">
        <w:t>Proti,</w:t>
      </w:r>
      <w:r w:rsidR="00D86C66">
        <w:t xml:space="preserve"> aktuālajā</w:t>
      </w:r>
      <w:r w:rsidR="00942043">
        <w:t xml:space="preserve"> </w:t>
      </w:r>
      <w:r w:rsidR="00562657">
        <w:t>Senāt</w:t>
      </w:r>
      <w:r w:rsidR="009F6FC9">
        <w:t xml:space="preserve">a judikatūrā konsekventi </w:t>
      </w:r>
      <w:r w:rsidR="00B84DD4">
        <w:t xml:space="preserve">atzīts, ka muitas parāda gadījumā </w:t>
      </w:r>
      <w:r w:rsidR="008E3156">
        <w:t xml:space="preserve">saskaņā ar </w:t>
      </w:r>
      <w:r w:rsidR="00E53DEC">
        <w:t>l</w:t>
      </w:r>
      <w:r w:rsidR="00E53DEC" w:rsidRPr="00DA7DD2">
        <w:t>ikum</w:t>
      </w:r>
      <w:r w:rsidR="008E3156">
        <w:t>a</w:t>
      </w:r>
      <w:r w:rsidR="00E53DEC" w:rsidRPr="00DA7DD2">
        <w:t xml:space="preserve"> „Par nodokļiem un nodevām”</w:t>
      </w:r>
      <w:r w:rsidR="00E53DEC">
        <w:t xml:space="preserve"> </w:t>
      </w:r>
      <w:r w:rsidR="00BF0E0C">
        <w:t xml:space="preserve">normām </w:t>
      </w:r>
      <w:r w:rsidR="00BF0E0C" w:rsidRPr="00962B89">
        <w:rPr>
          <w:rFonts w:cs="Arial"/>
          <w:szCs w:val="20"/>
        </w:rPr>
        <w:t>(</w:t>
      </w:r>
      <w:r w:rsidR="00BF0E0C" w:rsidRPr="00D51253">
        <w:rPr>
          <w:rFonts w:cs="Arial"/>
          <w:iCs/>
          <w:szCs w:val="20"/>
        </w:rPr>
        <w:t>15.panta pirmās daļas 1. un 2.punkts, 29.panta otrā daļa, 32.panta pirmā daļa, 32.panta astotā daļa)</w:t>
      </w:r>
      <w:r w:rsidR="00BF0E0C">
        <w:rPr>
          <w:rFonts w:cs="Arial"/>
          <w:szCs w:val="20"/>
        </w:rPr>
        <w:t xml:space="preserve"> </w:t>
      </w:r>
      <w:r w:rsidR="00E53DEC">
        <w:t>nodokļu maksātāja</w:t>
      </w:r>
      <w:r w:rsidR="00D56DF4">
        <w:t>m ir</w:t>
      </w:r>
      <w:r w:rsidR="00E53DEC">
        <w:t xml:space="preserve"> pienākums maksāt nokavējuma naudu par laikposmu no pamatparāda rašanās brīža līdz iestādes lēmuma pieņemšanai</w:t>
      </w:r>
      <w:r w:rsidR="00942043">
        <w:t xml:space="preserve"> (</w:t>
      </w:r>
      <w:r w:rsidR="00B202A6" w:rsidRPr="00DC463E">
        <w:rPr>
          <w:i/>
          <w:iCs/>
        </w:rPr>
        <w:t>Senāta</w:t>
      </w:r>
      <w:r w:rsidR="00942043" w:rsidRPr="00DC463E">
        <w:rPr>
          <w:i/>
          <w:iCs/>
        </w:rPr>
        <w:t xml:space="preserve"> 2014.gada 25.marta sprieduma lietā Nr</w:t>
      </w:r>
      <w:r w:rsidR="004A491F">
        <w:rPr>
          <w:i/>
          <w:iCs/>
        </w:rPr>
        <w:t>. </w:t>
      </w:r>
      <w:r w:rsidR="00942043" w:rsidRPr="00DC463E">
        <w:rPr>
          <w:i/>
          <w:iCs/>
        </w:rPr>
        <w:t>SKA-41/2014 (A42960709) 8.–9.punkt</w:t>
      </w:r>
      <w:r w:rsidR="004A491F">
        <w:rPr>
          <w:i/>
          <w:iCs/>
        </w:rPr>
        <w:t>s</w:t>
      </w:r>
      <w:r w:rsidR="00B202A6" w:rsidRPr="00DC463E">
        <w:rPr>
          <w:i/>
          <w:iCs/>
        </w:rPr>
        <w:t xml:space="preserve">; </w:t>
      </w:r>
      <w:r w:rsidR="002E6D1F" w:rsidRPr="00DC463E">
        <w:rPr>
          <w:i/>
          <w:iCs/>
        </w:rPr>
        <w:t>2017.gada 2.jūnija rīcības sēdes</w:t>
      </w:r>
      <w:r w:rsidR="00F33E73" w:rsidRPr="00DC463E">
        <w:rPr>
          <w:i/>
          <w:iCs/>
        </w:rPr>
        <w:t xml:space="preserve"> lēmum</w:t>
      </w:r>
      <w:r w:rsidR="009D7307" w:rsidRPr="00DC463E">
        <w:rPr>
          <w:i/>
          <w:iCs/>
        </w:rPr>
        <w:t>a</w:t>
      </w:r>
      <w:r w:rsidR="00F33E73" w:rsidRPr="00DC463E">
        <w:rPr>
          <w:i/>
          <w:iCs/>
        </w:rPr>
        <w:t xml:space="preserve"> lietā Nr. SKA-148/2017 (A420382712) 8.</w:t>
      </w:r>
      <w:r w:rsidR="00D51253">
        <w:rPr>
          <w:i/>
          <w:iCs/>
        </w:rPr>
        <w:t>–</w:t>
      </w:r>
      <w:r w:rsidR="00F33E73" w:rsidRPr="00DC463E">
        <w:rPr>
          <w:i/>
          <w:iCs/>
        </w:rPr>
        <w:t>9.punkt</w:t>
      </w:r>
      <w:r w:rsidR="004A491F">
        <w:rPr>
          <w:i/>
          <w:iCs/>
        </w:rPr>
        <w:t>s</w:t>
      </w:r>
      <w:r w:rsidR="00942043">
        <w:t>).</w:t>
      </w:r>
    </w:p>
    <w:p w14:paraId="30E60116" w14:textId="77777777" w:rsidR="00E50E08" w:rsidRDefault="00E50E08" w:rsidP="004103B2">
      <w:pPr>
        <w:spacing w:line="276" w:lineRule="auto"/>
        <w:ind w:firstLine="567"/>
        <w:jc w:val="both"/>
      </w:pPr>
    </w:p>
    <w:p w14:paraId="1BC062B5" w14:textId="3124EFE1" w:rsidR="00383DFF" w:rsidRDefault="00E50E08" w:rsidP="004103B2">
      <w:pPr>
        <w:spacing w:line="276" w:lineRule="auto"/>
        <w:ind w:firstLine="567"/>
        <w:jc w:val="both"/>
      </w:pPr>
      <w:r>
        <w:t>[1</w:t>
      </w:r>
      <w:r w:rsidR="00C37561">
        <w:t>7</w:t>
      </w:r>
      <w:r>
        <w:t>] </w:t>
      </w:r>
      <w:r w:rsidR="00FD6DAD">
        <w:t xml:space="preserve">Apgabaltiesa ir pareizi piemērojusi likuma „Par nodokļiem un nodevām” normās ietverto nokavējuma naudas regulējumu, atsaucoties uz minēto Senāta judikatūru. </w:t>
      </w:r>
      <w:r w:rsidR="00A579C8">
        <w:t>Savukārt p</w:t>
      </w:r>
      <w:r w:rsidR="009F0A9B">
        <w:t xml:space="preserve">ieteicējas kasācijas sūdzības argumenti </w:t>
      </w:r>
      <w:r w:rsidR="000A2756">
        <w:t>saistībā ar</w:t>
      </w:r>
      <w:r w:rsidR="00FD6DAD">
        <w:t xml:space="preserve"> dalībvalsts normu piemērošanu papildus Savienības regulējumam, </w:t>
      </w:r>
      <w:r w:rsidR="00036F0C">
        <w:t>kā arī</w:t>
      </w:r>
      <w:r w:rsidR="0010305C">
        <w:t xml:space="preserve"> Eiropas Savienības Tiesas atziņ</w:t>
      </w:r>
      <w:r w:rsidR="00036F0C">
        <w:t>ām</w:t>
      </w:r>
      <w:r w:rsidR="0010305C">
        <w:t xml:space="preserve"> lietās C</w:t>
      </w:r>
      <w:r w:rsidR="0010305C">
        <w:noBreakHyphen/>
        <w:t xml:space="preserve">546/09 un C-91/02 </w:t>
      </w:r>
      <w:r w:rsidR="00436AC9">
        <w:t>ir</w:t>
      </w:r>
      <w:proofErr w:type="gramStart"/>
      <w:r w:rsidR="00FD6DAD">
        <w:t xml:space="preserve"> apsvērti </w:t>
      </w:r>
      <w:r w:rsidR="0010305C">
        <w:t>Senāta judikatūrā</w:t>
      </w:r>
      <w:proofErr w:type="gramEnd"/>
      <w:r w:rsidR="00FD6DAD">
        <w:t xml:space="preserve">, un </w:t>
      </w:r>
      <w:r w:rsidR="00036F0C">
        <w:t>šajā gadījumā nav konstatējams pamats no tā</w:t>
      </w:r>
      <w:r w:rsidR="004E4E72">
        <w:t>s</w:t>
      </w:r>
      <w:r w:rsidR="00FD6DAD">
        <w:t xml:space="preserve"> atkāpties</w:t>
      </w:r>
      <w:r w:rsidR="002B3979">
        <w:t>.</w:t>
      </w:r>
      <w:r w:rsidR="006B7E5D">
        <w:t xml:space="preserve"> </w:t>
      </w:r>
      <w:r w:rsidR="00A032CD">
        <w:t>Tāpat, pretēji pieteicēja</w:t>
      </w:r>
      <w:r w:rsidR="00436AC9">
        <w:t>s</w:t>
      </w:r>
      <w:r w:rsidR="00A032CD">
        <w:t xml:space="preserve"> </w:t>
      </w:r>
      <w:r w:rsidR="0062347C">
        <w:t xml:space="preserve">argumentam, </w:t>
      </w:r>
      <w:r w:rsidR="00701145">
        <w:t xml:space="preserve">minētā </w:t>
      </w:r>
      <w:r w:rsidR="0062347C">
        <w:t xml:space="preserve">Senāta judikatūra ir balstīta </w:t>
      </w:r>
      <w:r w:rsidR="005426F1">
        <w:t xml:space="preserve">vairāku </w:t>
      </w:r>
      <w:r w:rsidR="00522159">
        <w:t xml:space="preserve">likuma „Par nodokļiem un nodevām” </w:t>
      </w:r>
      <w:r w:rsidR="00AA1425">
        <w:t xml:space="preserve">normu </w:t>
      </w:r>
      <w:r w:rsidR="005426F1">
        <w:t xml:space="preserve">analīzē </w:t>
      </w:r>
      <w:r w:rsidR="00383DFF">
        <w:t>u</w:t>
      </w:r>
      <w:r w:rsidR="00F53D69">
        <w:t>n</w:t>
      </w:r>
      <w:r w:rsidR="00383DFF">
        <w:t xml:space="preserve"> </w:t>
      </w:r>
      <w:proofErr w:type="gramStart"/>
      <w:r w:rsidR="00383DFF">
        <w:t>32.panta</w:t>
      </w:r>
      <w:proofErr w:type="gramEnd"/>
      <w:r w:rsidR="00383DFF">
        <w:t xml:space="preserve"> astotā</w:t>
      </w:r>
      <w:r w:rsidR="00F53D69">
        <w:t>s</w:t>
      </w:r>
      <w:r w:rsidR="00383DFF">
        <w:t xml:space="preserve"> daļa</w:t>
      </w:r>
      <w:r w:rsidR="00F53D69">
        <w:t>s</w:t>
      </w:r>
      <w:r w:rsidR="00383DFF">
        <w:t xml:space="preserve"> </w:t>
      </w:r>
      <w:r w:rsidR="00F53D69">
        <w:t xml:space="preserve">jaunā </w:t>
      </w:r>
      <w:r w:rsidR="00383DFF">
        <w:t>redakcij</w:t>
      </w:r>
      <w:r w:rsidR="007E0294">
        <w:t>a</w:t>
      </w:r>
      <w:r w:rsidR="00F53D69">
        <w:t xml:space="preserve"> neietekmē </w:t>
      </w:r>
      <w:r w:rsidR="00701145">
        <w:t xml:space="preserve">attiecīgās </w:t>
      </w:r>
      <w:r w:rsidR="00AB6D66">
        <w:t>judikatūras atziņas</w:t>
      </w:r>
      <w:r w:rsidR="00F019E6">
        <w:t xml:space="preserve"> un </w:t>
      </w:r>
      <w:r w:rsidR="00FD5D3B">
        <w:t>nerada</w:t>
      </w:r>
      <w:r w:rsidR="00F019E6">
        <w:t xml:space="preserve"> pamat</w:t>
      </w:r>
      <w:r w:rsidR="00FD5D3B">
        <w:t xml:space="preserve">u </w:t>
      </w:r>
      <w:r w:rsidR="00F019E6">
        <w:t>to neattiecināt uz izskatāmo lietu.</w:t>
      </w:r>
      <w:r w:rsidR="00AA1425">
        <w:t xml:space="preserve"> </w:t>
      </w:r>
    </w:p>
    <w:p w14:paraId="658A991A" w14:textId="2D5F5A72" w:rsidR="00510BFB" w:rsidRDefault="00510BFB" w:rsidP="004103B2">
      <w:pPr>
        <w:spacing w:line="276" w:lineRule="auto"/>
        <w:rPr>
          <w:b/>
        </w:rPr>
      </w:pPr>
    </w:p>
    <w:p w14:paraId="3E1D8F6C" w14:textId="7536F2D4" w:rsidR="00942C8F" w:rsidRPr="00942C8F" w:rsidRDefault="00942C8F" w:rsidP="004103B2">
      <w:pPr>
        <w:spacing w:line="276" w:lineRule="auto"/>
        <w:jc w:val="center"/>
        <w:rPr>
          <w:b/>
          <w:bCs/>
        </w:rPr>
      </w:pPr>
      <w:r w:rsidRPr="003B3BC4">
        <w:rPr>
          <w:b/>
          <w:bCs/>
        </w:rPr>
        <w:t>III</w:t>
      </w:r>
    </w:p>
    <w:p w14:paraId="0A2DB3EF" w14:textId="77777777" w:rsidR="00942C8F" w:rsidRDefault="00942C8F" w:rsidP="004103B2">
      <w:pPr>
        <w:spacing w:line="276" w:lineRule="auto"/>
        <w:rPr>
          <w:b/>
        </w:rPr>
      </w:pPr>
    </w:p>
    <w:p w14:paraId="575F1310" w14:textId="49F978E8" w:rsidR="00720BC5" w:rsidRPr="005E3DE9" w:rsidRDefault="00103C0E" w:rsidP="004103B2">
      <w:pPr>
        <w:spacing w:line="276" w:lineRule="auto"/>
        <w:ind w:firstLine="567"/>
        <w:jc w:val="both"/>
        <w:rPr>
          <w:bCs/>
          <w:iCs/>
          <w:shd w:val="clear" w:color="auto" w:fill="FFFFFF"/>
        </w:rPr>
      </w:pPr>
      <w:r>
        <w:rPr>
          <w:bCs/>
        </w:rPr>
        <w:t>[1</w:t>
      </w:r>
      <w:r w:rsidR="00C37561">
        <w:rPr>
          <w:bCs/>
        </w:rPr>
        <w:t>8</w:t>
      </w:r>
      <w:r>
        <w:rPr>
          <w:bCs/>
        </w:rPr>
        <w:t>] </w:t>
      </w:r>
      <w:r w:rsidR="00125044" w:rsidRPr="00125044">
        <w:rPr>
          <w:bCs/>
        </w:rPr>
        <w:t xml:space="preserve">Valsts ieņēmumu dienesta kasācijas sūdzībā norādīts, ka </w:t>
      </w:r>
      <w:r w:rsidR="00307143">
        <w:rPr>
          <w:bCs/>
        </w:rPr>
        <w:t xml:space="preserve">apgabaltiesa </w:t>
      </w:r>
      <w:r w:rsidR="00307143">
        <w:t xml:space="preserve">ir pārkāpusi </w:t>
      </w:r>
      <w:r w:rsidR="00307143" w:rsidRPr="000E16BC">
        <w:t xml:space="preserve">objektīvās izmeklēšanas principu, formāli atsaucoties uz pierādījumu neesību </w:t>
      </w:r>
      <w:r w:rsidR="00626F59" w:rsidRPr="000E16BC">
        <w:t>dienesta</w:t>
      </w:r>
      <w:r w:rsidR="00626F59">
        <w:t xml:space="preserve"> secinājumam</w:t>
      </w:r>
      <w:r w:rsidR="007D3B41">
        <w:t xml:space="preserve"> par </w:t>
      </w:r>
      <w:r w:rsidR="00F26A03">
        <w:t>muitas deklarācij</w:t>
      </w:r>
      <w:r w:rsidR="007D3B41">
        <w:t>ā</w:t>
      </w:r>
      <w:r w:rsidR="00F26A03">
        <w:t xml:space="preserve"> Nr.</w:t>
      </w:r>
      <w:r w:rsidR="00EB1147">
        <w:t> </w:t>
      </w:r>
      <w:r w:rsidR="00F26A03">
        <w:t>0210/9-612674 nosūtīt</w:t>
      </w:r>
      <w:r w:rsidR="007D3B41">
        <w:t>o</w:t>
      </w:r>
      <w:r w:rsidR="00F26A03">
        <w:t xml:space="preserve"> pr</w:t>
      </w:r>
      <w:r w:rsidR="00124E44">
        <w:t>e</w:t>
      </w:r>
      <w:r w:rsidR="007D3B41">
        <w:t>ču</w:t>
      </w:r>
      <w:r w:rsidR="00F26A03">
        <w:t xml:space="preserve"> atbilstību tarifu kodam 85287119.</w:t>
      </w:r>
      <w:r w:rsidR="005E3DE9" w:rsidRPr="005E3DE9">
        <w:rPr>
          <w:bCs/>
          <w:iCs/>
          <w:shd w:val="clear" w:color="auto" w:fill="FFFFFF"/>
        </w:rPr>
        <w:t xml:space="preserve"> </w:t>
      </w:r>
    </w:p>
    <w:p w14:paraId="6ABC2F70" w14:textId="5B43628C" w:rsidR="00326AE0" w:rsidRDefault="00881ED4" w:rsidP="004103B2">
      <w:pPr>
        <w:spacing w:line="276" w:lineRule="auto"/>
        <w:ind w:firstLine="567"/>
        <w:jc w:val="both"/>
      </w:pPr>
      <w:r>
        <w:t xml:space="preserve">Objektīvās izmeklēšanas </w:t>
      </w:r>
      <w:r w:rsidRPr="000E16BC">
        <w:t>princips</w:t>
      </w:r>
      <w:r>
        <w:t xml:space="preserve"> ir noteikts Administratīvā procesa likuma </w:t>
      </w:r>
      <w:proofErr w:type="gramStart"/>
      <w:r>
        <w:t>107.panta</w:t>
      </w:r>
      <w:proofErr w:type="gramEnd"/>
      <w:r>
        <w:t xml:space="preserve"> ceturtajā daļā. Lai prasījuma robežās noskaidrotu patiesos lietas apstākļus un panāktu tiesisku un taisnīgu lietas izskatīšanu, tiesa dod administratīvā procesa dalībniekiem norādījumus un ieteikumus, kā arī savāc pierādījumus pēc savas iniciatīvas. Tiesas pienākums pierādījumu vākšanā ir saistīts ar normā minēto tiesas darbības mērķi noskaidrot patiesos lietas apstākļus un panākt tiesisku un taisnīgu lietas izskatīšanu. </w:t>
      </w:r>
    </w:p>
    <w:p w14:paraId="43286CE6" w14:textId="77777777" w:rsidR="00C60B36" w:rsidRDefault="00C60B36" w:rsidP="004103B2">
      <w:pPr>
        <w:spacing w:line="276" w:lineRule="auto"/>
        <w:ind w:firstLine="567"/>
        <w:jc w:val="both"/>
      </w:pPr>
    </w:p>
    <w:p w14:paraId="4F29653B" w14:textId="7358BDB9" w:rsidR="00C44793" w:rsidRDefault="00C60B36" w:rsidP="004103B2">
      <w:pPr>
        <w:spacing w:line="276" w:lineRule="auto"/>
        <w:ind w:firstLine="567"/>
        <w:jc w:val="both"/>
      </w:pPr>
      <w:r>
        <w:t>[</w:t>
      </w:r>
      <w:r w:rsidR="00C37561">
        <w:t>19</w:t>
      </w:r>
      <w:r>
        <w:t>] </w:t>
      </w:r>
      <w:r w:rsidR="00403F17">
        <w:t>N</w:t>
      </w:r>
      <w:r w:rsidR="00C44793">
        <w:t xml:space="preserve">o preces klasifikācijas koda ir atkarīgas muitas nodokļa tarifa likmes, kā arī citu tarifu un netarifu pasākumu piemērošana, </w:t>
      </w:r>
      <w:r w:rsidR="00403F17">
        <w:t xml:space="preserve">tādējādi </w:t>
      </w:r>
      <w:r w:rsidR="00C44793">
        <w:t xml:space="preserve">nav šaubu, ka lietā ir jābūt pierādījumiem, kas pamato attiecīgā koda piemērošanu. </w:t>
      </w:r>
    </w:p>
    <w:p w14:paraId="0D350AE6" w14:textId="4B8FE856" w:rsidR="00692372" w:rsidRDefault="004D7FFB" w:rsidP="004103B2">
      <w:pPr>
        <w:spacing w:line="276" w:lineRule="auto"/>
        <w:ind w:firstLine="567"/>
        <w:jc w:val="both"/>
      </w:pPr>
      <w:r>
        <w:lastRenderedPageBreak/>
        <w:t>D</w:t>
      </w:r>
      <w:r w:rsidR="00243B18">
        <w:t>ienesta lēmum</w:t>
      </w:r>
      <w:r w:rsidR="000F5051">
        <w:t>ā</w:t>
      </w:r>
      <w:r w:rsidR="00D333BA">
        <w:t xml:space="preserve"> </w:t>
      </w:r>
      <w:r w:rsidR="000F5051">
        <w:t>norādīts</w:t>
      </w:r>
      <w:r w:rsidR="00D333BA">
        <w:t xml:space="preserve">, ka </w:t>
      </w:r>
      <w:r w:rsidR="00F6294E">
        <w:t xml:space="preserve">secinājumu </w:t>
      </w:r>
      <w:bookmarkStart w:id="7" w:name="_Hlk95293620"/>
      <w:r w:rsidR="00F6294E">
        <w:t>attiecībā</w:t>
      </w:r>
      <w:r w:rsidR="00F26A03">
        <w:t xml:space="preserve"> </w:t>
      </w:r>
      <w:r w:rsidR="00F6294E">
        <w:t xml:space="preserve">uz minēto preču atbilstību tarifu kodam </w:t>
      </w:r>
      <w:bookmarkEnd w:id="7"/>
      <w:proofErr w:type="gramStart"/>
      <w:r w:rsidR="00F6294E">
        <w:t xml:space="preserve">85287119 </w:t>
      </w:r>
      <w:r w:rsidR="0043283E">
        <w:t>dienests</w:t>
      </w:r>
      <w:proofErr w:type="gramEnd"/>
      <w:r w:rsidR="0043283E">
        <w:t xml:space="preserve"> izdarīja</w:t>
      </w:r>
      <w:r w:rsidR="005D5B90">
        <w:t>, ņemot vērā Itālijas uzņēmuma „TELE</w:t>
      </w:r>
      <w:r w:rsidR="009839CE">
        <w:t> </w:t>
      </w:r>
      <w:proofErr w:type="spellStart"/>
      <w:r w:rsidR="005D5B90">
        <w:t>System</w:t>
      </w:r>
      <w:proofErr w:type="spellEnd"/>
      <w:r w:rsidR="005D5B90">
        <w:t xml:space="preserve"> </w:t>
      </w:r>
      <w:proofErr w:type="spellStart"/>
      <w:r w:rsidR="005D5B90">
        <w:t>Electronic</w:t>
      </w:r>
      <w:proofErr w:type="spellEnd"/>
      <w:r w:rsidR="005D5B90">
        <w:t xml:space="preserve"> </w:t>
      </w:r>
      <w:proofErr w:type="spellStart"/>
      <w:r w:rsidR="005D5B90">
        <w:t>S.r.l</w:t>
      </w:r>
      <w:proofErr w:type="spellEnd"/>
      <w:r w:rsidR="005D5B90">
        <w:t xml:space="preserve">.” interneta vietnē </w:t>
      </w:r>
      <w:hyperlink r:id="rId12" w:history="1">
        <w:r w:rsidR="00420C20" w:rsidRPr="00065043">
          <w:rPr>
            <w:rStyle w:val="Hyperlink"/>
          </w:rPr>
          <w:t>www.telesystem-world.com</w:t>
        </w:r>
      </w:hyperlink>
      <w:r w:rsidR="00420C20">
        <w:t xml:space="preserve"> </w:t>
      </w:r>
      <w:r w:rsidR="005D5B90">
        <w:t>pieejamo informāciju par konkrētajām precēm</w:t>
      </w:r>
      <w:r w:rsidR="0080605F">
        <w:t xml:space="preserve">, konstatējot, ka </w:t>
      </w:r>
      <w:r w:rsidR="009D2630">
        <w:t>uztvērēji nav apvienoti ar modemu</w:t>
      </w:r>
      <w:r w:rsidR="00EA2150">
        <w:t>.</w:t>
      </w:r>
      <w:r w:rsidR="00692372">
        <w:t xml:space="preserve"> </w:t>
      </w:r>
    </w:p>
    <w:p w14:paraId="305FF686" w14:textId="103FD0DB" w:rsidR="00DF61BB" w:rsidRDefault="00B51C24" w:rsidP="004103B2">
      <w:pPr>
        <w:spacing w:line="276" w:lineRule="auto"/>
        <w:ind w:firstLine="567"/>
        <w:jc w:val="both"/>
      </w:pPr>
      <w:r>
        <w:t xml:space="preserve">Administratīvā rajona tiesa, </w:t>
      </w:r>
      <w:proofErr w:type="gramStart"/>
      <w:r>
        <w:t>dienesta lēmumu atstājot</w:t>
      </w:r>
      <w:proofErr w:type="gramEnd"/>
      <w:r>
        <w:t xml:space="preserve"> negrozītu, atzinusi tā pamatojumu par pareizu un pietiekamu</w:t>
      </w:r>
      <w:r w:rsidR="009025AD">
        <w:t xml:space="preserve">, nekonstatējot </w:t>
      </w:r>
      <w:r w:rsidR="007577D8">
        <w:t>pierādījumu trūkumu.</w:t>
      </w:r>
      <w:r w:rsidR="00F603E4">
        <w:t xml:space="preserve"> </w:t>
      </w:r>
      <w:r w:rsidR="001D28B8">
        <w:t>Savukārt a</w:t>
      </w:r>
      <w:r w:rsidR="00DF61BB">
        <w:t>pgabaltiesa</w:t>
      </w:r>
      <w:r w:rsidR="00E3026D">
        <w:t>s</w:t>
      </w:r>
      <w:r w:rsidR="00DF61BB">
        <w:t xml:space="preserve"> spriedumā </w:t>
      </w:r>
      <w:r w:rsidR="00F019AE">
        <w:t xml:space="preserve">secināts, ka </w:t>
      </w:r>
      <w:r w:rsidR="00DF61BB">
        <w:t>nav iespējams pārliecināties par š</w:t>
      </w:r>
      <w:r w:rsidR="004E544F">
        <w:t>ā</w:t>
      </w:r>
      <w:r w:rsidR="00DF61BB">
        <w:t xml:space="preserve"> secinājuma pamatotību</w:t>
      </w:r>
      <w:r w:rsidR="00C0039D">
        <w:t>, jo dienests minētajam apgalvojumam</w:t>
      </w:r>
      <w:r w:rsidR="005F22C9" w:rsidRPr="005F22C9">
        <w:t xml:space="preserve"> </w:t>
      </w:r>
      <w:r w:rsidR="00C0039D">
        <w:t>nav iesniedzis pierādījumus.</w:t>
      </w:r>
    </w:p>
    <w:p w14:paraId="7325AFA1" w14:textId="17FC6688" w:rsidR="00EA6D42" w:rsidRDefault="00EA6D42" w:rsidP="004103B2">
      <w:pPr>
        <w:spacing w:line="276" w:lineRule="auto"/>
        <w:ind w:firstLine="567"/>
        <w:jc w:val="both"/>
      </w:pPr>
      <w:r>
        <w:t>No minētā izriet, ka</w:t>
      </w:r>
      <w:r w:rsidR="00A42AFB">
        <w:t>,</w:t>
      </w:r>
      <w:r>
        <w:t xml:space="preserve"> </w:t>
      </w:r>
      <w:r w:rsidR="00C30017">
        <w:t xml:space="preserve">apgabaltiesas ieskatā, </w:t>
      </w:r>
      <w:r w:rsidR="00B316D3">
        <w:t xml:space="preserve">šajā gadījumā </w:t>
      </w:r>
      <w:r w:rsidR="006F293A">
        <w:t xml:space="preserve">konkrēta </w:t>
      </w:r>
      <w:r w:rsidR="00A42AFB">
        <w:t>pre</w:t>
      </w:r>
      <w:r w:rsidR="006F293A">
        <w:t>ču</w:t>
      </w:r>
      <w:r w:rsidR="00A42AFB">
        <w:t xml:space="preserve"> klasifikācijas koda piemērošanas </w:t>
      </w:r>
      <w:r w:rsidR="004B5DA9">
        <w:t>pamatošanai</w:t>
      </w:r>
      <w:r w:rsidR="00A42AFB">
        <w:t xml:space="preserve"> </w:t>
      </w:r>
      <w:r w:rsidR="00B316D3">
        <w:t xml:space="preserve">nav pietiekami </w:t>
      </w:r>
      <w:r w:rsidR="00D80EB4">
        <w:t xml:space="preserve">ar dienesta </w:t>
      </w:r>
      <w:r w:rsidR="00AB45F5">
        <w:t>lēmumā iekļauto pamatojumu ar norādi uz informācijas avotu</w:t>
      </w:r>
      <w:r w:rsidR="001A311F">
        <w:t>.</w:t>
      </w:r>
      <w:r w:rsidR="00D80EB4">
        <w:t xml:space="preserve"> </w:t>
      </w:r>
      <w:r w:rsidR="001608ED">
        <w:t xml:space="preserve">Vienlaikus no sprieduma argumentācijas neizriet, ka apgabaltiesa </w:t>
      </w:r>
      <w:r w:rsidR="006571BB">
        <w:t xml:space="preserve">vispār </w:t>
      </w:r>
      <w:r w:rsidR="001608ED">
        <w:t xml:space="preserve">būtu </w:t>
      </w:r>
      <w:r w:rsidR="00C0163F">
        <w:t>vērtējusi dienesta sniegto pamatojumu šajā daļā</w:t>
      </w:r>
      <w:r w:rsidR="00415C89">
        <w:t>.</w:t>
      </w:r>
      <w:r w:rsidR="00C0163F">
        <w:t xml:space="preserve"> </w:t>
      </w:r>
      <w:r w:rsidR="00415C89">
        <w:t>P</w:t>
      </w:r>
      <w:r w:rsidR="00C0163F">
        <w:t xml:space="preserve">roti, </w:t>
      </w:r>
      <w:r w:rsidR="00696A0B">
        <w:t xml:space="preserve">nav skaidrs, vai apgabaltiesas </w:t>
      </w:r>
      <w:r w:rsidR="00707AE4">
        <w:t xml:space="preserve">secinājums par pierādījumu trūkumu ir saistīts ar to, ka </w:t>
      </w:r>
      <w:r w:rsidR="00326AE7">
        <w:t>attiecīgajā</w:t>
      </w:r>
      <w:r w:rsidR="00AF2D56">
        <w:t xml:space="preserve"> interneta vietnē </w:t>
      </w:r>
      <w:r w:rsidR="00326AE7">
        <w:t>norādītā informācija nav iegūstama</w:t>
      </w:r>
      <w:r w:rsidR="0052511E">
        <w:t>, nav pietiekama</w:t>
      </w:r>
      <w:r w:rsidR="002B7884">
        <w:t>,</w:t>
      </w:r>
      <w:r w:rsidR="0052511E">
        <w:t xml:space="preserve"> vai, piemēram, apgabaltiesa to neatzīst par ticamu. </w:t>
      </w:r>
      <w:r w:rsidR="00C44D4D">
        <w:t xml:space="preserve">Apgabaltiesa arī nav </w:t>
      </w:r>
      <w:r w:rsidR="0064037D">
        <w:t>argumentējusi</w:t>
      </w:r>
      <w:r w:rsidR="00C44D4D">
        <w:t>, k</w:t>
      </w:r>
      <w:r w:rsidR="001D52E2">
        <w:t xml:space="preserve">ādēļ dienesta sniegtais pamatojums </w:t>
      </w:r>
      <w:r w:rsidR="0064037D">
        <w:t>nav izvērtēts.</w:t>
      </w:r>
      <w:r w:rsidR="00692FF9">
        <w:t xml:space="preserve"> </w:t>
      </w:r>
      <w:r w:rsidR="00BC3484">
        <w:t>Likums nenosaka konkrētu veidu, kādā ir jāpierāda preces klasifikācijas koda piemērošanas pamatotība. Tādējādi apgabaltiesai bija jādod savs vērtējums dienesta lēmumā sniegtajam pamatojumam</w:t>
      </w:r>
      <w:r w:rsidR="00D40CFF">
        <w:t>,</w:t>
      </w:r>
      <w:r w:rsidR="008A05D0">
        <w:t xml:space="preserve"> </w:t>
      </w:r>
      <w:r w:rsidR="00D40CFF">
        <w:t xml:space="preserve">vismaz argumentējot, kādēļ </w:t>
      </w:r>
      <w:r w:rsidR="007D75CA">
        <w:t>tas</w:t>
      </w:r>
      <w:r w:rsidR="003B14B7">
        <w:t xml:space="preserve"> pats par sevi</w:t>
      </w:r>
      <w:r w:rsidR="007D75CA">
        <w:t xml:space="preserve"> </w:t>
      </w:r>
      <w:r w:rsidR="005A64AE">
        <w:t xml:space="preserve">neļauj apgabaltiesai pārliecināties </w:t>
      </w:r>
      <w:r w:rsidR="002C6EFE">
        <w:t xml:space="preserve">par piemērotā </w:t>
      </w:r>
      <w:r w:rsidR="0057191A">
        <w:t>preču klasifikācijas koda pareizību.</w:t>
      </w:r>
      <w:r w:rsidR="00A31EB0">
        <w:t xml:space="preserve"> </w:t>
      </w:r>
    </w:p>
    <w:p w14:paraId="4A7708D6" w14:textId="77777777" w:rsidR="00381896" w:rsidRDefault="00381896" w:rsidP="004103B2">
      <w:pPr>
        <w:spacing w:line="276" w:lineRule="auto"/>
        <w:ind w:firstLine="567"/>
        <w:jc w:val="both"/>
      </w:pPr>
    </w:p>
    <w:p w14:paraId="47883C7A" w14:textId="4A19D64A" w:rsidR="0090350F" w:rsidRDefault="00103C0E" w:rsidP="004103B2">
      <w:pPr>
        <w:spacing w:line="276" w:lineRule="auto"/>
        <w:ind w:firstLine="567"/>
        <w:jc w:val="both"/>
      </w:pPr>
      <w:r>
        <w:t>[</w:t>
      </w:r>
      <w:r w:rsidR="00C60B36">
        <w:t>2</w:t>
      </w:r>
      <w:r w:rsidR="00C37561">
        <w:t>0</w:t>
      </w:r>
      <w:r>
        <w:t>] </w:t>
      </w:r>
      <w:r w:rsidR="0037646F">
        <w:t>Tāpat</w:t>
      </w:r>
      <w:r w:rsidR="00BE77A0">
        <w:t xml:space="preserve"> norādāms, ka </w:t>
      </w:r>
      <w:r w:rsidR="0037646F">
        <w:t>a</w:t>
      </w:r>
      <w:r w:rsidR="00D9534B">
        <w:t>pstākļos,</w:t>
      </w:r>
      <w:r w:rsidR="00B54AB3">
        <w:t xml:space="preserve"> kad </w:t>
      </w:r>
      <w:r w:rsidR="00AE21E8">
        <w:t>tiesa konstatē</w:t>
      </w:r>
      <w:r w:rsidR="00CF4DD0">
        <w:t>, ka</w:t>
      </w:r>
      <w:r w:rsidR="0018172E">
        <w:t xml:space="preserve"> par kādu no faktiem, uz kuriem pamatoti puses </w:t>
      </w:r>
      <w:r w:rsidR="00BD6A6C">
        <w:t>argumenti</w:t>
      </w:r>
      <w:r w:rsidR="0018172E">
        <w:t xml:space="preserve">, nav iesniegti pierādījumi, </w:t>
      </w:r>
      <w:r w:rsidR="00D9534B">
        <w:t>objektīvās izmeklēšanas un procesuālā taisnīguma ievērošanas nolūkā tiesai par šād</w:t>
      </w:r>
      <w:r w:rsidR="0004195D">
        <w:t>u</w:t>
      </w:r>
      <w:r w:rsidR="00D9534B">
        <w:t xml:space="preserve"> pierādījum</w:t>
      </w:r>
      <w:r w:rsidR="0004195D">
        <w:t>u</w:t>
      </w:r>
      <w:r w:rsidR="00D9534B">
        <w:t xml:space="preserve"> neesību </w:t>
      </w:r>
      <w:r w:rsidR="00C540DC">
        <w:t>ir jā</w:t>
      </w:r>
      <w:r w:rsidR="00D9534B">
        <w:t>norād</w:t>
      </w:r>
      <w:r w:rsidR="00C540DC">
        <w:t>a, dodot</w:t>
      </w:r>
      <w:r w:rsidR="00D9534B">
        <w:t xml:space="preserve"> iespēju to</w:t>
      </w:r>
      <w:r w:rsidR="0004195D">
        <w:t>s</w:t>
      </w:r>
      <w:r w:rsidR="00D9534B">
        <w:t xml:space="preserve"> iesniegt</w:t>
      </w:r>
      <w:r w:rsidR="009E4761">
        <w:t>, ja nepieciešams, nosak</w:t>
      </w:r>
      <w:r w:rsidR="009B757B">
        <w:t>ot</w:t>
      </w:r>
      <w:r w:rsidR="009E4761">
        <w:t xml:space="preserve"> termiņu pierādījumu iesniegšanai</w:t>
      </w:r>
      <w:r w:rsidR="00C33C5B">
        <w:t xml:space="preserve"> (sal. </w:t>
      </w:r>
      <w:r w:rsidR="00C33C5B" w:rsidRPr="00F72757">
        <w:rPr>
          <w:i/>
          <w:iCs/>
        </w:rPr>
        <w:t xml:space="preserve">Senāta </w:t>
      </w:r>
      <w:r w:rsidR="002F1CF0" w:rsidRPr="00F72757">
        <w:rPr>
          <w:i/>
          <w:iCs/>
        </w:rPr>
        <w:t>2019.gada 5.septembra sprieduma lietā Nr. </w:t>
      </w:r>
      <w:r w:rsidR="00B2236E" w:rsidRPr="00F72757">
        <w:rPr>
          <w:i/>
          <w:iCs/>
        </w:rPr>
        <w:t xml:space="preserve">SKA-864/2019 (ECLI:LV:AT:2019:0905.A420462813.8.S) </w:t>
      </w:r>
      <w:r w:rsidR="008160DD" w:rsidRPr="00F72757">
        <w:rPr>
          <w:i/>
          <w:iCs/>
        </w:rPr>
        <w:t xml:space="preserve">9.punkts; </w:t>
      </w:r>
      <w:r w:rsidR="00C33C5B" w:rsidRPr="00F72757">
        <w:rPr>
          <w:i/>
          <w:iCs/>
        </w:rPr>
        <w:t>20</w:t>
      </w:r>
      <w:r w:rsidR="00C63728" w:rsidRPr="00F72757">
        <w:rPr>
          <w:i/>
          <w:iCs/>
        </w:rPr>
        <w:t>20</w:t>
      </w:r>
      <w:r w:rsidR="00C33C5B" w:rsidRPr="00F72757">
        <w:rPr>
          <w:i/>
          <w:iCs/>
        </w:rPr>
        <w:t xml:space="preserve">.gada </w:t>
      </w:r>
      <w:r w:rsidR="00C63728" w:rsidRPr="00F72757">
        <w:rPr>
          <w:i/>
          <w:iCs/>
        </w:rPr>
        <w:t>10.jūlija</w:t>
      </w:r>
      <w:r w:rsidR="00C33C5B" w:rsidRPr="00F72757">
        <w:rPr>
          <w:i/>
          <w:iCs/>
        </w:rPr>
        <w:t xml:space="preserve"> sprieduma lietā Nr.</w:t>
      </w:r>
      <w:r w:rsidR="004E544F">
        <w:rPr>
          <w:i/>
          <w:iCs/>
        </w:rPr>
        <w:t> </w:t>
      </w:r>
      <w:r w:rsidR="004E62EB" w:rsidRPr="00F72757">
        <w:rPr>
          <w:i/>
          <w:iCs/>
        </w:rPr>
        <w:t>SKA-65/2020</w:t>
      </w:r>
      <w:r w:rsidR="00C33C5B" w:rsidRPr="00F72757">
        <w:rPr>
          <w:i/>
          <w:iCs/>
        </w:rPr>
        <w:t xml:space="preserve"> (</w:t>
      </w:r>
      <w:r w:rsidR="004E62EB" w:rsidRPr="00F72757">
        <w:rPr>
          <w:i/>
          <w:iCs/>
        </w:rPr>
        <w:t>ECLI:LV:AT:2020:0710.A420344115.3.S</w:t>
      </w:r>
      <w:r w:rsidR="00C33C5B" w:rsidRPr="00F72757">
        <w:rPr>
          <w:i/>
          <w:iCs/>
        </w:rPr>
        <w:t xml:space="preserve">) </w:t>
      </w:r>
      <w:r w:rsidR="00C9627B" w:rsidRPr="00F72757">
        <w:rPr>
          <w:i/>
          <w:iCs/>
        </w:rPr>
        <w:t>13</w:t>
      </w:r>
      <w:r w:rsidR="00C33C5B" w:rsidRPr="00F72757">
        <w:rPr>
          <w:i/>
          <w:iCs/>
        </w:rPr>
        <w:t>.punkts</w:t>
      </w:r>
      <w:r w:rsidR="00C33C5B">
        <w:t>).</w:t>
      </w:r>
      <w:r w:rsidR="009E4761">
        <w:t xml:space="preserve"> </w:t>
      </w:r>
      <w:r w:rsidR="00764EF3">
        <w:t xml:space="preserve">Ņemot vērā, ka pirmās instances tiesa dienesta sniegto pamatojumu atzinusi par pareizu un pilnībā pietiekamu, dienests varēja rēķināties ar to, ka </w:t>
      </w:r>
      <w:r w:rsidR="00054432">
        <w:t>apgabal</w:t>
      </w:r>
      <w:r w:rsidR="00764EF3">
        <w:t>tiesa norādīs, ja tā uzskatīs sniegto pamatojumu par nepietiekamu, dodot iespēju novērst attiecīgo trūkumu.</w:t>
      </w:r>
      <w:r w:rsidR="00BC1008" w:rsidRPr="00BC1008">
        <w:t xml:space="preserve"> </w:t>
      </w:r>
      <w:r w:rsidR="00BC1008">
        <w:t>Šajā gadījumā no lietas materiāliem neizriet, ka apgabaltiesa lietas izskatīšanas laikā būtu norādījusi dienestam uz konkrēto pierādījumu trūkumu.</w:t>
      </w:r>
    </w:p>
    <w:p w14:paraId="4B47A053" w14:textId="373F5AA0" w:rsidR="00E4228E" w:rsidRDefault="002237D0" w:rsidP="004103B2">
      <w:pPr>
        <w:spacing w:line="276" w:lineRule="auto"/>
        <w:ind w:firstLine="567"/>
        <w:jc w:val="both"/>
      </w:pPr>
      <w:r>
        <w:t xml:space="preserve">Ar </w:t>
      </w:r>
      <w:proofErr w:type="gramStart"/>
      <w:r>
        <w:t>2018.gada</w:t>
      </w:r>
      <w:proofErr w:type="gramEnd"/>
      <w:r>
        <w:t xml:space="preserve"> 14.jūnija lēmumu apgabaltiesa </w:t>
      </w:r>
      <w:r w:rsidR="00F856EF">
        <w:t xml:space="preserve">uzlikusi pienākumu dienestam iesniegt vairākus konkrētus pierādījumus un paskaidrojumus lietā. Attiecībā uz </w:t>
      </w:r>
      <w:r w:rsidR="002145A4">
        <w:t xml:space="preserve">preču </w:t>
      </w:r>
      <w:r w:rsidR="0088485D">
        <w:t>klasifi</w:t>
      </w:r>
      <w:r w:rsidR="001103D3">
        <w:t>kāciju</w:t>
      </w:r>
      <w:r w:rsidR="002145A4">
        <w:t xml:space="preserve"> </w:t>
      </w:r>
      <w:r w:rsidR="000F4E0D">
        <w:t xml:space="preserve">dienestam tika </w:t>
      </w:r>
      <w:r w:rsidR="002145A4">
        <w:t>uzlik</w:t>
      </w:r>
      <w:r w:rsidR="000F4E0D">
        <w:t>ts</w:t>
      </w:r>
      <w:r w:rsidR="002145A4">
        <w:t xml:space="preserve"> pienākum</w:t>
      </w:r>
      <w:r w:rsidR="00F33082">
        <w:t>s</w:t>
      </w:r>
      <w:r w:rsidR="002145A4">
        <w:t xml:space="preserve"> iesniegt paskaidrojum</w:t>
      </w:r>
      <w:r w:rsidR="0036002C">
        <w:t>u</w:t>
      </w:r>
      <w:r w:rsidR="002145A4">
        <w:t xml:space="preserve"> par to, kurš no tiesā iesniegtajiem </w:t>
      </w:r>
      <w:r w:rsidR="0036002C">
        <w:t>dienesta</w:t>
      </w:r>
      <w:r w:rsidR="002145A4">
        <w:t xml:space="preserve"> </w:t>
      </w:r>
      <w:proofErr w:type="gramStart"/>
      <w:r w:rsidR="002145A4">
        <w:t>2009.gada</w:t>
      </w:r>
      <w:proofErr w:type="gramEnd"/>
      <w:r w:rsidR="002145A4">
        <w:t xml:space="preserve"> 31.augusta atzinumiem par preču klasifi</w:t>
      </w:r>
      <w:r w:rsidR="001103D3">
        <w:t>kāciju</w:t>
      </w:r>
      <w:r w:rsidR="002145A4">
        <w:t xml:space="preserve"> ir attiecināms uz katru no šajā lietā pārbaudītaj</w:t>
      </w:r>
      <w:r w:rsidR="001103D3">
        <w:t>ām muitas deklarācijām</w:t>
      </w:r>
      <w:r w:rsidR="002145A4">
        <w:t>.</w:t>
      </w:r>
    </w:p>
    <w:p w14:paraId="0EAF3CCE" w14:textId="3A1CF186" w:rsidR="00E4228E" w:rsidRDefault="00483963" w:rsidP="004103B2">
      <w:pPr>
        <w:spacing w:line="276" w:lineRule="auto"/>
        <w:ind w:firstLine="567"/>
        <w:jc w:val="both"/>
      </w:pPr>
      <w:r>
        <w:t>Gan dienesta lēmum</w:t>
      </w:r>
      <w:r w:rsidR="00542C7B">
        <w:t>ā</w:t>
      </w:r>
      <w:r>
        <w:t>, gan</w:t>
      </w:r>
      <w:proofErr w:type="gramStart"/>
      <w:r>
        <w:t xml:space="preserve"> dienesta apgabaltiesā iesniegtaj</w:t>
      </w:r>
      <w:r w:rsidR="00542C7B">
        <w:t>os</w:t>
      </w:r>
      <w:r>
        <w:t xml:space="preserve"> paskaidrojum</w:t>
      </w:r>
      <w:r w:rsidR="00542C7B">
        <w:t>os</w:t>
      </w:r>
      <w:r>
        <w:t xml:space="preserve"> konsekventi </w:t>
      </w:r>
      <w:r w:rsidR="00542C7B">
        <w:t>norādīts</w:t>
      </w:r>
      <w:proofErr w:type="gramEnd"/>
      <w:r>
        <w:t xml:space="preserve">, </w:t>
      </w:r>
      <w:r w:rsidR="00E90C71">
        <w:t xml:space="preserve">ka </w:t>
      </w:r>
      <w:r w:rsidR="00D36C2C">
        <w:t>informācij</w:t>
      </w:r>
      <w:r w:rsidR="002B22C7">
        <w:t>a</w:t>
      </w:r>
      <w:r w:rsidR="00326F29">
        <w:t xml:space="preserve"> par </w:t>
      </w:r>
      <w:r w:rsidR="00B97229">
        <w:t>muitas deklarācijā Nr.</w:t>
      </w:r>
      <w:r w:rsidR="001976C5">
        <w:t> </w:t>
      </w:r>
      <w:r w:rsidR="00B97229">
        <w:t>0210/9</w:t>
      </w:r>
      <w:r w:rsidR="00B97229">
        <w:noBreakHyphen/>
        <w:t>612674 norādīt</w:t>
      </w:r>
      <w:r w:rsidR="00B55F70">
        <w:t>o</w:t>
      </w:r>
      <w:r w:rsidR="00D52F6A">
        <w:t xml:space="preserve"> pre</w:t>
      </w:r>
      <w:r w:rsidR="001D4E8B">
        <w:t xml:space="preserve">ču </w:t>
      </w:r>
      <w:r w:rsidR="00E806EA">
        <w:t>tehniskajiem parametriem</w:t>
      </w:r>
      <w:r w:rsidR="007B62FE">
        <w:t xml:space="preserve">, kas ļāvusi </w:t>
      </w:r>
      <w:r w:rsidR="004965A8">
        <w:t>preces klasificēt,</w:t>
      </w:r>
      <w:r w:rsidR="000A2AB2">
        <w:t xml:space="preserve"> </w:t>
      </w:r>
      <w:r w:rsidR="002B22C7">
        <w:t>iegūta, analizē</w:t>
      </w:r>
      <w:r w:rsidR="001749C2">
        <w:t xml:space="preserve">jot Itālijas uzņēmuma „TELE </w:t>
      </w:r>
      <w:proofErr w:type="spellStart"/>
      <w:r w:rsidR="001749C2">
        <w:t>System</w:t>
      </w:r>
      <w:proofErr w:type="spellEnd"/>
      <w:r w:rsidR="001749C2">
        <w:t xml:space="preserve"> </w:t>
      </w:r>
      <w:proofErr w:type="spellStart"/>
      <w:r w:rsidR="001749C2">
        <w:t>Electr</w:t>
      </w:r>
      <w:r w:rsidR="00AB3019">
        <w:t>onic</w:t>
      </w:r>
      <w:proofErr w:type="spellEnd"/>
      <w:r w:rsidR="00AB3019">
        <w:t xml:space="preserve"> </w:t>
      </w:r>
      <w:proofErr w:type="spellStart"/>
      <w:r w:rsidR="00AB3019">
        <w:t>S.r.l</w:t>
      </w:r>
      <w:proofErr w:type="spellEnd"/>
      <w:r w:rsidR="001749C2">
        <w:t>”</w:t>
      </w:r>
      <w:r w:rsidR="00A105CE">
        <w:t xml:space="preserve"> interneta vietnē pieejamo i</w:t>
      </w:r>
      <w:r w:rsidR="00DC5302">
        <w:t>nformāciju</w:t>
      </w:r>
      <w:r w:rsidR="00542C7B">
        <w:t>, savukārt</w:t>
      </w:r>
      <w:r w:rsidR="00DC1AD1">
        <w:t xml:space="preserve"> pārējās deklarācijās norādīto preču klasifi</w:t>
      </w:r>
      <w:r w:rsidR="006F2BD8">
        <w:t>kācij</w:t>
      </w:r>
      <w:r w:rsidR="00E13B80">
        <w:t xml:space="preserve">u dienests veicis, ņemot vērā </w:t>
      </w:r>
      <w:r w:rsidR="00EA4C52">
        <w:t>minēt</w:t>
      </w:r>
      <w:r w:rsidR="00DB60FC">
        <w:t>ajos dienesta</w:t>
      </w:r>
      <w:r w:rsidR="00EA4C52">
        <w:t xml:space="preserve"> </w:t>
      </w:r>
      <w:r w:rsidR="007C6105">
        <w:t>2009.gada 31.augusta atzinum</w:t>
      </w:r>
      <w:r w:rsidR="00DB60FC">
        <w:t>os norādīto.</w:t>
      </w:r>
      <w:r w:rsidR="00542C7B">
        <w:t xml:space="preserve"> Proti, dienests </w:t>
      </w:r>
      <w:r w:rsidR="00D15708">
        <w:t xml:space="preserve">ir </w:t>
      </w:r>
      <w:r w:rsidR="00542C7B">
        <w:t>pietiekami skaidri norādījis</w:t>
      </w:r>
      <w:r w:rsidR="00D15708">
        <w:t>, ka muitas deklarācijā Nr.</w:t>
      </w:r>
      <w:r w:rsidR="001976C5">
        <w:t> </w:t>
      </w:r>
      <w:r w:rsidR="00D15708">
        <w:t>0210/9</w:t>
      </w:r>
      <w:r w:rsidR="00D15708">
        <w:noBreakHyphen/>
        <w:t>612674 norādīto preču</w:t>
      </w:r>
      <w:r w:rsidR="00C15740">
        <w:t xml:space="preserve"> klasifikācija</w:t>
      </w:r>
      <w:r w:rsidR="0010734D">
        <w:t>i</w:t>
      </w:r>
      <w:r w:rsidR="00C15740">
        <w:t xml:space="preserve"> tika izmantots cits</w:t>
      </w:r>
      <w:r w:rsidR="00542C7B">
        <w:t xml:space="preserve"> informācijas avotus</w:t>
      </w:r>
      <w:r w:rsidR="00C15740">
        <w:t>.</w:t>
      </w:r>
      <w:r w:rsidR="00D15708">
        <w:t xml:space="preserve"> </w:t>
      </w:r>
    </w:p>
    <w:p w14:paraId="2004C7B9" w14:textId="61802D08" w:rsidR="008F0E0C" w:rsidRDefault="00E551DE" w:rsidP="004103B2">
      <w:pPr>
        <w:spacing w:line="276" w:lineRule="auto"/>
        <w:ind w:firstLine="567"/>
        <w:jc w:val="both"/>
      </w:pPr>
      <w:r>
        <w:lastRenderedPageBreak/>
        <w:t>Tādējādi</w:t>
      </w:r>
      <w:r w:rsidR="008F0E0C">
        <w:t xml:space="preserve">, ņemot vērā, ka apgabaltiesas lūgums bija tieši vērsts tikai uz dienesta atzinumos </w:t>
      </w:r>
      <w:r w:rsidR="008F0E0C" w:rsidRPr="000A47D4">
        <w:t>norādītās informācijas konkretizēšanu</w:t>
      </w:r>
      <w:r w:rsidR="00276E24" w:rsidRPr="000A47D4">
        <w:t>, no tā nevarēja tikt izsecināta apgabaltiesas nostāja attiecībā uz pierādījumu trūkumu muitas deklarācijā Nr.</w:t>
      </w:r>
      <w:r w:rsidR="001976C5">
        <w:t> </w:t>
      </w:r>
      <w:r w:rsidR="00276E24" w:rsidRPr="000A47D4">
        <w:t>0210/9</w:t>
      </w:r>
      <w:r w:rsidR="00276E24" w:rsidRPr="000A47D4">
        <w:noBreakHyphen/>
        <w:t>612674 norādīto preču klasifikācijas jautājumā.</w:t>
      </w:r>
      <w:r w:rsidR="000A47D4" w:rsidRPr="000A47D4">
        <w:t xml:space="preserve"> </w:t>
      </w:r>
      <w:r w:rsidR="000A47D4">
        <w:t xml:space="preserve">Tieši pretēji, lūguma formulējums varēja radīt priekšstatu, ka, atšķirībā no pārējās muitas deklarācijās norādītajām precēm, </w:t>
      </w:r>
      <w:proofErr w:type="gramStart"/>
      <w:r w:rsidR="000A47D4">
        <w:t>kuru klasifikācija tika</w:t>
      </w:r>
      <w:proofErr w:type="gramEnd"/>
      <w:r w:rsidR="000A47D4">
        <w:t xml:space="preserve"> veikta, pamatojoties uz atzinumos norādīto, apgabaltiesai neradās šaubas par dienesta sniegtā pamatojuma attiecībā uz deklarācijā Nr.</w:t>
      </w:r>
      <w:r w:rsidR="001976C5">
        <w:t> </w:t>
      </w:r>
      <w:r w:rsidR="000A47D4">
        <w:t>0210/9</w:t>
      </w:r>
      <w:r w:rsidR="000A47D4">
        <w:noBreakHyphen/>
        <w:t xml:space="preserve">612674 norādīto preču klasifikāciju pietiekamību un pareizību. </w:t>
      </w:r>
    </w:p>
    <w:p w14:paraId="6599FE3A" w14:textId="26A5829B" w:rsidR="00F26C2D" w:rsidRDefault="00F26C2D" w:rsidP="004103B2">
      <w:pPr>
        <w:spacing w:line="276" w:lineRule="auto"/>
        <w:ind w:firstLine="567"/>
        <w:jc w:val="both"/>
      </w:pPr>
    </w:p>
    <w:p w14:paraId="75F21F37" w14:textId="5A4CD234" w:rsidR="00FA2053" w:rsidRDefault="00FC1C9C" w:rsidP="004103B2">
      <w:pPr>
        <w:spacing w:line="276" w:lineRule="auto"/>
        <w:ind w:firstLine="567"/>
        <w:jc w:val="both"/>
      </w:pPr>
      <w:r>
        <w:t>[</w:t>
      </w:r>
      <w:r w:rsidR="00C60B36">
        <w:t>2</w:t>
      </w:r>
      <w:r w:rsidR="00C37561">
        <w:t>1</w:t>
      </w:r>
      <w:r>
        <w:t>] </w:t>
      </w:r>
      <w:r w:rsidR="009069EC">
        <w:t xml:space="preserve">No iepriekš minētā izriet, ka </w:t>
      </w:r>
      <w:r w:rsidR="0094718F">
        <w:t>apgabaltiesas</w:t>
      </w:r>
      <w:r w:rsidR="00EC78AB">
        <w:t xml:space="preserve"> rīcība,</w:t>
      </w:r>
      <w:r w:rsidR="0094718F">
        <w:t xml:space="preserve"> </w:t>
      </w:r>
      <w:r w:rsidR="009069EC">
        <w:t xml:space="preserve">par pierādījumu neesību </w:t>
      </w:r>
      <w:r w:rsidR="00010CF0">
        <w:t xml:space="preserve">pirmo reizi </w:t>
      </w:r>
      <w:r w:rsidR="00107CF0">
        <w:t>norādot tikai</w:t>
      </w:r>
      <w:r w:rsidR="00010CF0">
        <w:t xml:space="preserve"> spriedumā</w:t>
      </w:r>
      <w:r w:rsidR="00C06840">
        <w:t>, lietas izskatīšanas laikā nedod</w:t>
      </w:r>
      <w:r w:rsidR="0013619A">
        <w:t>ot</w:t>
      </w:r>
      <w:r w:rsidR="00C06840">
        <w:t xml:space="preserve"> dienestam norādes par konkrētu pierādījumu nepieciešamību</w:t>
      </w:r>
      <w:r w:rsidR="0094718F">
        <w:t xml:space="preserve">, kā arī neargumentējot tiesas attieksmi par dienesta sniegto pamatojumu šajā daļā, neatbilst objektīvās izmeklēšanas un procesuālā taisnīguma </w:t>
      </w:r>
      <w:r w:rsidR="000D04AA">
        <w:t>principam.</w:t>
      </w:r>
      <w:r w:rsidR="00F003BB">
        <w:t xml:space="preserve"> </w:t>
      </w:r>
      <w:r w:rsidR="00FA2053">
        <w:t>Līdz ar to Senāts secina, ka apgabaltiesa</w:t>
      </w:r>
      <w:r w:rsidR="00CF6B3F">
        <w:t>s</w:t>
      </w:r>
      <w:r w:rsidR="00C266A7">
        <w:t xml:space="preserve"> </w:t>
      </w:r>
      <w:r w:rsidR="00EF02E6">
        <w:t>spriedums šajā daļā ir atceļams.</w:t>
      </w:r>
    </w:p>
    <w:p w14:paraId="6896BD9C" w14:textId="79F4F74A" w:rsidR="00FA64BE" w:rsidRDefault="00FA64BE" w:rsidP="004103B2">
      <w:pPr>
        <w:spacing w:line="276" w:lineRule="auto"/>
        <w:ind w:firstLine="567"/>
        <w:jc w:val="both"/>
      </w:pPr>
    </w:p>
    <w:p w14:paraId="45BFC81F" w14:textId="22B31DAB" w:rsidR="00FA64BE" w:rsidRDefault="00FA64BE" w:rsidP="004103B2">
      <w:pPr>
        <w:spacing w:line="276" w:lineRule="auto"/>
        <w:jc w:val="center"/>
        <w:rPr>
          <w:b/>
          <w:bCs/>
        </w:rPr>
      </w:pPr>
      <w:bookmarkStart w:id="8" w:name="_GoBack"/>
      <w:bookmarkEnd w:id="8"/>
      <w:r w:rsidRPr="00FA64BE">
        <w:rPr>
          <w:b/>
          <w:bCs/>
        </w:rPr>
        <w:t>IV</w:t>
      </w:r>
    </w:p>
    <w:p w14:paraId="4C85DCBF" w14:textId="46726AFF" w:rsidR="00FA64BE" w:rsidRDefault="00FA64BE" w:rsidP="004103B2">
      <w:pPr>
        <w:spacing w:line="276" w:lineRule="auto"/>
        <w:jc w:val="center"/>
        <w:rPr>
          <w:b/>
          <w:bCs/>
        </w:rPr>
      </w:pPr>
    </w:p>
    <w:p w14:paraId="2E7F89C9" w14:textId="4FF34FBB" w:rsidR="00FA64BE" w:rsidRPr="00FA64BE" w:rsidRDefault="00FC1C9C" w:rsidP="004103B2">
      <w:pPr>
        <w:spacing w:line="276" w:lineRule="auto"/>
        <w:ind w:firstLine="567"/>
        <w:jc w:val="both"/>
      </w:pPr>
      <w:r>
        <w:t>[2</w:t>
      </w:r>
      <w:r w:rsidR="00C37561">
        <w:t>2</w:t>
      </w:r>
      <w:r>
        <w:t>] </w:t>
      </w:r>
      <w:r w:rsidR="00FA64BE" w:rsidRPr="00BE01CD">
        <w:t>Apkopojot minēto, apgabaltiesas spriedums daļā par</w:t>
      </w:r>
      <w:r w:rsidR="00591492">
        <w:t xml:space="preserve"> muitas vērtības noteikšanu</w:t>
      </w:r>
      <w:r w:rsidR="00995CEA">
        <w:t xml:space="preserve"> pieteicējas deklarētajām precēm un daļā par muitas deklarācijā Nr. 0210/9-612674 norādīto preču </w:t>
      </w:r>
      <w:r w:rsidR="00FE0418">
        <w:t>klasifikāciju</w:t>
      </w:r>
      <w:r w:rsidR="00FA64BE" w:rsidRPr="00BE01CD">
        <w:t xml:space="preserve"> ir atceļams, un lieta šajā daļā nododama atkārtotai izskatīšanai apelācijas instances tiesai.</w:t>
      </w:r>
    </w:p>
    <w:p w14:paraId="4E15C8FB" w14:textId="77777777" w:rsidR="00426F97" w:rsidRPr="00E75923" w:rsidRDefault="00426F97" w:rsidP="004103B2">
      <w:pPr>
        <w:pStyle w:val="Title"/>
        <w:spacing w:line="276" w:lineRule="auto"/>
        <w:jc w:val="both"/>
        <w:rPr>
          <w:sz w:val="24"/>
          <w:szCs w:val="24"/>
        </w:rPr>
      </w:pPr>
    </w:p>
    <w:p w14:paraId="3B0416F9" w14:textId="77777777" w:rsidR="00F90712" w:rsidRPr="00E75923" w:rsidRDefault="00F90712" w:rsidP="004103B2">
      <w:pPr>
        <w:pStyle w:val="Title"/>
        <w:spacing w:line="276" w:lineRule="auto"/>
        <w:rPr>
          <w:b/>
          <w:sz w:val="24"/>
          <w:szCs w:val="24"/>
        </w:rPr>
      </w:pPr>
      <w:r w:rsidRPr="00E75923">
        <w:rPr>
          <w:b/>
          <w:sz w:val="24"/>
          <w:szCs w:val="24"/>
        </w:rPr>
        <w:t>Rezolutīvā daļa</w:t>
      </w:r>
    </w:p>
    <w:p w14:paraId="26F22095" w14:textId="77777777" w:rsidR="00F90712" w:rsidRDefault="00F90712" w:rsidP="004103B2">
      <w:pPr>
        <w:pStyle w:val="Title"/>
        <w:spacing w:line="276" w:lineRule="auto"/>
        <w:ind w:firstLine="567"/>
        <w:jc w:val="both"/>
        <w:rPr>
          <w:sz w:val="24"/>
          <w:szCs w:val="24"/>
        </w:rPr>
      </w:pPr>
    </w:p>
    <w:p w14:paraId="31D8AA9A" w14:textId="5AC3B49D" w:rsidR="00F90712" w:rsidRDefault="00F90712" w:rsidP="004103B2">
      <w:pPr>
        <w:pStyle w:val="Title"/>
        <w:spacing w:line="276" w:lineRule="auto"/>
        <w:ind w:firstLine="567"/>
        <w:jc w:val="both"/>
        <w:rPr>
          <w:sz w:val="24"/>
          <w:szCs w:val="24"/>
        </w:rPr>
      </w:pPr>
      <w:r w:rsidRPr="00E75923">
        <w:rPr>
          <w:sz w:val="24"/>
          <w:szCs w:val="24"/>
        </w:rPr>
        <w:t>Pamatojoties uz Administratīvā procesa</w:t>
      </w:r>
      <w:r>
        <w:rPr>
          <w:sz w:val="24"/>
          <w:szCs w:val="24"/>
        </w:rPr>
        <w:t xml:space="preserve"> likuma 129.</w:t>
      </w:r>
      <w:proofErr w:type="gramStart"/>
      <w:r>
        <w:rPr>
          <w:sz w:val="24"/>
          <w:szCs w:val="24"/>
          <w:vertAlign w:val="superscript"/>
        </w:rPr>
        <w:t>1</w:t>
      </w:r>
      <w:r w:rsidRPr="00E75923">
        <w:rPr>
          <w:sz w:val="24"/>
          <w:szCs w:val="24"/>
        </w:rPr>
        <w:t>panta</w:t>
      </w:r>
      <w:proofErr w:type="gramEnd"/>
      <w:r w:rsidRPr="00E75923">
        <w:rPr>
          <w:sz w:val="24"/>
          <w:szCs w:val="24"/>
        </w:rPr>
        <w:t xml:space="preserve"> pirmās daļas 1.punktu</w:t>
      </w:r>
      <w:r>
        <w:rPr>
          <w:sz w:val="24"/>
          <w:szCs w:val="24"/>
        </w:rPr>
        <w:t>, 348.panta pirmās daļas 2.punktu un 351.pantu</w:t>
      </w:r>
      <w:r w:rsidRPr="00E75923">
        <w:rPr>
          <w:sz w:val="24"/>
          <w:szCs w:val="24"/>
        </w:rPr>
        <w:t xml:space="preserve">, Senāts </w:t>
      </w:r>
    </w:p>
    <w:p w14:paraId="6015B1CE" w14:textId="77777777" w:rsidR="00F90712" w:rsidRDefault="00F90712" w:rsidP="004103B2">
      <w:pPr>
        <w:pStyle w:val="Title"/>
        <w:spacing w:line="276" w:lineRule="auto"/>
        <w:ind w:firstLine="567"/>
        <w:jc w:val="both"/>
        <w:rPr>
          <w:sz w:val="24"/>
          <w:szCs w:val="24"/>
        </w:rPr>
      </w:pPr>
    </w:p>
    <w:p w14:paraId="3B532033" w14:textId="77777777" w:rsidR="00F90712" w:rsidRPr="00E75923" w:rsidRDefault="00F90712" w:rsidP="004103B2">
      <w:pPr>
        <w:pStyle w:val="Title"/>
        <w:spacing w:line="276" w:lineRule="auto"/>
        <w:rPr>
          <w:b/>
          <w:sz w:val="24"/>
          <w:szCs w:val="24"/>
        </w:rPr>
      </w:pPr>
      <w:r w:rsidRPr="00E75923">
        <w:rPr>
          <w:b/>
          <w:sz w:val="24"/>
          <w:szCs w:val="24"/>
        </w:rPr>
        <w:t>nosprieda</w:t>
      </w:r>
    </w:p>
    <w:p w14:paraId="7F0721BC" w14:textId="77777777" w:rsidR="00F90712" w:rsidRDefault="00F90712" w:rsidP="004103B2">
      <w:pPr>
        <w:pStyle w:val="Title"/>
        <w:spacing w:line="276" w:lineRule="auto"/>
        <w:ind w:firstLine="567"/>
        <w:jc w:val="both"/>
        <w:rPr>
          <w:sz w:val="24"/>
          <w:szCs w:val="24"/>
        </w:rPr>
      </w:pPr>
    </w:p>
    <w:p w14:paraId="6D484840" w14:textId="6E9F72B8" w:rsidR="008847C3" w:rsidRPr="00521C6F" w:rsidRDefault="008847C3" w:rsidP="004103B2">
      <w:pPr>
        <w:pStyle w:val="Title"/>
        <w:spacing w:line="276" w:lineRule="auto"/>
        <w:ind w:firstLine="567"/>
        <w:jc w:val="both"/>
        <w:rPr>
          <w:sz w:val="24"/>
          <w:szCs w:val="24"/>
        </w:rPr>
      </w:pPr>
      <w:r>
        <w:rPr>
          <w:sz w:val="24"/>
          <w:szCs w:val="24"/>
        </w:rPr>
        <w:t>A</w:t>
      </w:r>
      <w:r w:rsidRPr="008847C3">
        <w:rPr>
          <w:sz w:val="24"/>
          <w:szCs w:val="24"/>
        </w:rPr>
        <w:t xml:space="preserve">tcelt Administratīvās apgabaltiesas </w:t>
      </w:r>
      <w:proofErr w:type="gramStart"/>
      <w:r w:rsidRPr="00CE4117">
        <w:rPr>
          <w:sz w:val="24"/>
          <w:szCs w:val="24"/>
        </w:rPr>
        <w:t>2018.gada</w:t>
      </w:r>
      <w:proofErr w:type="gramEnd"/>
      <w:r w:rsidRPr="00CE4117">
        <w:rPr>
          <w:sz w:val="24"/>
          <w:szCs w:val="24"/>
        </w:rPr>
        <w:t xml:space="preserve"> 14.decembra </w:t>
      </w:r>
      <w:r w:rsidRPr="008847C3">
        <w:rPr>
          <w:sz w:val="24"/>
          <w:szCs w:val="24"/>
        </w:rPr>
        <w:t xml:space="preserve">spriedumu </w:t>
      </w:r>
      <w:r w:rsidR="00527D6C">
        <w:rPr>
          <w:sz w:val="24"/>
          <w:szCs w:val="24"/>
        </w:rPr>
        <w:t xml:space="preserve">un </w:t>
      </w:r>
      <w:r w:rsidR="00521C6F" w:rsidRPr="00521C6F">
        <w:rPr>
          <w:rFonts w:eastAsiaTheme="minorHAnsi"/>
          <w:sz w:val="24"/>
          <w:szCs w:val="24"/>
        </w:rPr>
        <w:t>nosūtīt lietu Administratīvajai apgabaltiesai jaunai izskatīšanai</w:t>
      </w:r>
      <w:r w:rsidRPr="00521C6F">
        <w:rPr>
          <w:sz w:val="24"/>
          <w:szCs w:val="24"/>
        </w:rPr>
        <w:t xml:space="preserve">. </w:t>
      </w:r>
    </w:p>
    <w:p w14:paraId="493D7FE8" w14:textId="363BEADB" w:rsidR="008847C3" w:rsidRDefault="008847C3" w:rsidP="004103B2">
      <w:pPr>
        <w:pStyle w:val="Title"/>
        <w:spacing w:line="276" w:lineRule="auto"/>
        <w:ind w:firstLine="567"/>
        <w:jc w:val="both"/>
        <w:rPr>
          <w:sz w:val="24"/>
          <w:szCs w:val="24"/>
        </w:rPr>
      </w:pPr>
      <w:r w:rsidRPr="008847C3">
        <w:rPr>
          <w:sz w:val="24"/>
          <w:szCs w:val="24"/>
        </w:rPr>
        <w:t xml:space="preserve">Atmaksāt </w:t>
      </w:r>
      <w:r w:rsidRPr="00CE4117">
        <w:rPr>
          <w:sz w:val="24"/>
          <w:szCs w:val="24"/>
        </w:rPr>
        <w:t xml:space="preserve">SIA „Kravu serviss” </w:t>
      </w:r>
      <w:r w:rsidRPr="008847C3">
        <w:rPr>
          <w:sz w:val="24"/>
          <w:szCs w:val="24"/>
        </w:rPr>
        <w:t xml:space="preserve">un </w:t>
      </w:r>
      <w:r>
        <w:rPr>
          <w:sz w:val="24"/>
          <w:szCs w:val="24"/>
        </w:rPr>
        <w:t>Valsts ieņēmumu dienestam</w:t>
      </w:r>
      <w:r w:rsidRPr="00CE4117">
        <w:rPr>
          <w:sz w:val="24"/>
          <w:szCs w:val="24"/>
        </w:rPr>
        <w:t xml:space="preserve"> </w:t>
      </w:r>
      <w:r w:rsidRPr="008847C3">
        <w:rPr>
          <w:sz w:val="24"/>
          <w:szCs w:val="24"/>
        </w:rPr>
        <w:t>samaksāto drošības naudu</w:t>
      </w:r>
      <w:r w:rsidR="0088037C">
        <w:rPr>
          <w:sz w:val="24"/>
          <w:szCs w:val="24"/>
        </w:rPr>
        <w:t> </w:t>
      </w:r>
      <w:r w:rsidRPr="008847C3">
        <w:rPr>
          <w:sz w:val="24"/>
          <w:szCs w:val="24"/>
        </w:rPr>
        <w:t xml:space="preserve">– 70 </w:t>
      </w:r>
      <w:proofErr w:type="spellStart"/>
      <w:r w:rsidRPr="00BF5C41">
        <w:rPr>
          <w:i/>
          <w:iCs/>
          <w:sz w:val="24"/>
          <w:szCs w:val="24"/>
        </w:rPr>
        <w:t>euro</w:t>
      </w:r>
      <w:proofErr w:type="spellEnd"/>
      <w:r w:rsidRPr="008847C3">
        <w:rPr>
          <w:sz w:val="24"/>
          <w:szCs w:val="24"/>
        </w:rPr>
        <w:t xml:space="preserve"> – katram.</w:t>
      </w:r>
    </w:p>
    <w:p w14:paraId="64F13C6E" w14:textId="178E0090" w:rsidR="00F90712" w:rsidRDefault="00F90712" w:rsidP="004103B2">
      <w:pPr>
        <w:pStyle w:val="Title"/>
        <w:spacing w:line="276" w:lineRule="auto"/>
        <w:ind w:firstLine="567"/>
        <w:jc w:val="both"/>
        <w:rPr>
          <w:sz w:val="24"/>
          <w:szCs w:val="24"/>
        </w:rPr>
      </w:pPr>
      <w:r w:rsidRPr="00CE4117">
        <w:rPr>
          <w:sz w:val="24"/>
          <w:szCs w:val="24"/>
        </w:rPr>
        <w:t>Spriedums nav pārsūdzams.</w:t>
      </w:r>
    </w:p>
    <w:p w14:paraId="3DB8471D" w14:textId="5054F411" w:rsidR="00D91220" w:rsidRDefault="00D91220" w:rsidP="004103B2">
      <w:pPr>
        <w:pStyle w:val="Title"/>
        <w:spacing w:line="276" w:lineRule="auto"/>
        <w:ind w:firstLine="567"/>
        <w:jc w:val="both"/>
        <w:rPr>
          <w:sz w:val="24"/>
          <w:szCs w:val="24"/>
          <w:shd w:val="clear" w:color="auto" w:fill="FFFFFF"/>
        </w:rPr>
      </w:pPr>
    </w:p>
    <w:p w14:paraId="66240F55" w14:textId="77777777" w:rsidR="00A35205" w:rsidRPr="00CE4117" w:rsidRDefault="00A35205" w:rsidP="004103B2">
      <w:pPr>
        <w:pStyle w:val="Title"/>
        <w:spacing w:line="276" w:lineRule="auto"/>
        <w:ind w:firstLine="567"/>
        <w:jc w:val="both"/>
        <w:rPr>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6F0596" w:rsidRPr="00E162E0" w14:paraId="7D499694" w14:textId="77777777" w:rsidTr="006154D9">
        <w:tc>
          <w:tcPr>
            <w:tcW w:w="3020" w:type="dxa"/>
          </w:tcPr>
          <w:p w14:paraId="575928C8" w14:textId="15C6FBC6" w:rsidR="006F0596" w:rsidRDefault="006F0596" w:rsidP="0041191C">
            <w:pPr>
              <w:spacing w:line="276" w:lineRule="auto"/>
              <w:jc w:val="both"/>
              <w:rPr>
                <w:color w:val="FFFFFF" w:themeColor="background1"/>
                <w:lang w:val="lv-LV"/>
              </w:rPr>
            </w:pPr>
          </w:p>
          <w:p w14:paraId="40D3011D" w14:textId="7800F237" w:rsidR="009C52D7" w:rsidRPr="003F5E3A" w:rsidRDefault="009C52D7" w:rsidP="0041191C">
            <w:pPr>
              <w:spacing w:line="276" w:lineRule="auto"/>
              <w:jc w:val="both"/>
              <w:rPr>
                <w:color w:val="FFFFFF" w:themeColor="background1"/>
                <w:lang w:val="lv-LV"/>
              </w:rPr>
            </w:pPr>
          </w:p>
        </w:tc>
        <w:tc>
          <w:tcPr>
            <w:tcW w:w="3020" w:type="dxa"/>
          </w:tcPr>
          <w:p w14:paraId="79DE7CA4" w14:textId="77777777" w:rsidR="006F0596" w:rsidRPr="003F5E3A" w:rsidRDefault="006F0596" w:rsidP="006154D9">
            <w:pPr>
              <w:spacing w:line="276" w:lineRule="auto"/>
              <w:ind w:firstLine="836"/>
              <w:jc w:val="both"/>
              <w:rPr>
                <w:color w:val="FFFFFF" w:themeColor="background1"/>
                <w:lang w:val="lv-LV"/>
              </w:rPr>
            </w:pPr>
            <w:r w:rsidRPr="003F5E3A">
              <w:rPr>
                <w:color w:val="FFFFFF" w:themeColor="background1"/>
                <w:lang w:val="lv-LV"/>
              </w:rPr>
              <w:t>(paraksts)</w:t>
            </w:r>
          </w:p>
        </w:tc>
        <w:tc>
          <w:tcPr>
            <w:tcW w:w="3021" w:type="dxa"/>
          </w:tcPr>
          <w:p w14:paraId="676087E0" w14:textId="77777777" w:rsidR="006F0596" w:rsidRPr="003F5E3A" w:rsidRDefault="006F0596" w:rsidP="006154D9">
            <w:pPr>
              <w:spacing w:line="276" w:lineRule="auto"/>
              <w:ind w:firstLine="793"/>
              <w:jc w:val="both"/>
              <w:rPr>
                <w:color w:val="FFFFFF" w:themeColor="background1"/>
                <w:lang w:val="lv-LV"/>
              </w:rPr>
            </w:pPr>
            <w:r w:rsidRPr="003F5E3A">
              <w:rPr>
                <w:color w:val="FFFFFF" w:themeColor="background1"/>
                <w:lang w:val="lv-LV"/>
              </w:rPr>
              <w:t>(paraksts)</w:t>
            </w:r>
          </w:p>
        </w:tc>
      </w:tr>
    </w:tbl>
    <w:p w14:paraId="32D3052D" w14:textId="524BC94C" w:rsidR="00087361" w:rsidRPr="00961FDB" w:rsidRDefault="00087361" w:rsidP="00C41972">
      <w:pPr>
        <w:spacing w:line="276" w:lineRule="auto"/>
        <w:jc w:val="both"/>
        <w:rPr>
          <w:color w:val="FFFFFF" w:themeColor="background1"/>
        </w:rPr>
      </w:pPr>
    </w:p>
    <w:sectPr w:rsidR="00087361" w:rsidRPr="00961FDB" w:rsidSect="00A74828">
      <w:footerReference w:type="default" r:id="rId13"/>
      <w:footerReference w:type="firs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A58D8" w14:textId="77777777" w:rsidR="009161EF" w:rsidRDefault="009161EF">
      <w:r>
        <w:separator/>
      </w:r>
    </w:p>
  </w:endnote>
  <w:endnote w:type="continuationSeparator" w:id="0">
    <w:p w14:paraId="5B971C91" w14:textId="77777777" w:rsidR="009161EF" w:rsidRDefault="0091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6000F" w14:textId="505787A1" w:rsidR="00A74828" w:rsidRPr="00A74828" w:rsidRDefault="00A74828">
    <w:pPr>
      <w:pStyle w:val="Footer"/>
      <w:jc w:val="center"/>
      <w:rPr>
        <w:color w:val="000000" w:themeColor="text1"/>
      </w:rPr>
    </w:pPr>
    <w:r w:rsidRPr="00A74828">
      <w:rPr>
        <w:color w:val="000000" w:themeColor="text1"/>
      </w:rPr>
      <w:fldChar w:fldCharType="begin"/>
    </w:r>
    <w:r w:rsidRPr="00A74828">
      <w:rPr>
        <w:color w:val="000000" w:themeColor="text1"/>
      </w:rPr>
      <w:instrText xml:space="preserve"> PAGE  \* Arabic  \* MERGEFORMAT </w:instrText>
    </w:r>
    <w:r w:rsidRPr="00A74828">
      <w:rPr>
        <w:color w:val="000000" w:themeColor="text1"/>
      </w:rPr>
      <w:fldChar w:fldCharType="separate"/>
    </w:r>
    <w:r w:rsidR="00645725">
      <w:rPr>
        <w:noProof/>
        <w:color w:val="000000" w:themeColor="text1"/>
      </w:rPr>
      <w:t>12</w:t>
    </w:r>
    <w:r w:rsidRPr="00A74828">
      <w:rPr>
        <w:color w:val="000000" w:themeColor="text1"/>
      </w:rPr>
      <w:fldChar w:fldCharType="end"/>
    </w:r>
    <w:r w:rsidRPr="00A74828">
      <w:rPr>
        <w:color w:val="000000" w:themeColor="text1"/>
      </w:rPr>
      <w:t xml:space="preserve"> no </w:t>
    </w:r>
    <w:r w:rsidRPr="00A74828">
      <w:rPr>
        <w:color w:val="000000" w:themeColor="text1"/>
      </w:rPr>
      <w:fldChar w:fldCharType="begin"/>
    </w:r>
    <w:r w:rsidRPr="00A74828">
      <w:rPr>
        <w:color w:val="000000" w:themeColor="text1"/>
      </w:rPr>
      <w:instrText xml:space="preserve"> NUMPAGES  \* Arabic  \* MERGEFORMAT </w:instrText>
    </w:r>
    <w:r w:rsidRPr="00A74828">
      <w:rPr>
        <w:color w:val="000000" w:themeColor="text1"/>
      </w:rPr>
      <w:fldChar w:fldCharType="separate"/>
    </w:r>
    <w:r w:rsidR="00645725">
      <w:rPr>
        <w:noProof/>
        <w:color w:val="000000" w:themeColor="text1"/>
      </w:rPr>
      <w:t>12</w:t>
    </w:r>
    <w:r w:rsidRPr="00A74828">
      <w:rPr>
        <w:color w:val="000000" w:themeColor="text1"/>
      </w:rPr>
      <w:fldChar w:fldCharType="end"/>
    </w:r>
  </w:p>
  <w:p w14:paraId="2893C468" w14:textId="5E9E0A9E" w:rsidR="00026AA3" w:rsidRDefault="00026AA3" w:rsidP="006154D9">
    <w:pPr>
      <w:pStyle w:val="Footer"/>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235F" w14:textId="77777777" w:rsidR="00A74828" w:rsidRDefault="00A74828" w:rsidP="00A7482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Pr>
        <w:rStyle w:val="PageNumber"/>
      </w:rPr>
      <w:t>1</w:t>
    </w:r>
    <w:r w:rsidRPr="009F0E55">
      <w:rPr>
        <w:rStyle w:val="PageNumber"/>
      </w:rPr>
      <w:fldChar w:fldCharType="end"/>
    </w:r>
    <w:r w:rsidRPr="009F0E55">
      <w:rPr>
        <w:rStyle w:val="PageNumber"/>
      </w:rPr>
      <w:t xml:space="preserve"> no </w:t>
    </w:r>
    <w:r>
      <w:rPr>
        <w:rStyle w:val="PageNumber"/>
      </w:rPr>
      <w:t>7</w:t>
    </w:r>
  </w:p>
  <w:p w14:paraId="5790E355" w14:textId="77777777" w:rsidR="00A74828" w:rsidRDefault="00A74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3D83" w14:textId="77777777" w:rsidR="009161EF" w:rsidRDefault="009161EF">
      <w:r>
        <w:separator/>
      </w:r>
    </w:p>
  </w:footnote>
  <w:footnote w:type="continuationSeparator" w:id="0">
    <w:p w14:paraId="5BC87D1B" w14:textId="77777777" w:rsidR="009161EF" w:rsidRDefault="00916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0F3E"/>
    <w:multiLevelType w:val="hybridMultilevel"/>
    <w:tmpl w:val="00CA7DC6"/>
    <w:lvl w:ilvl="0" w:tplc="788ABF2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F6F4B95"/>
    <w:multiLevelType w:val="hybridMultilevel"/>
    <w:tmpl w:val="7EAACD86"/>
    <w:lvl w:ilvl="0" w:tplc="96CEE1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A7354F"/>
    <w:multiLevelType w:val="multilevel"/>
    <w:tmpl w:val="888627E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8765A7"/>
    <w:multiLevelType w:val="multilevel"/>
    <w:tmpl w:val="EF8096F4"/>
    <w:lvl w:ilvl="0">
      <w:start w:val="9"/>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37322A"/>
    <w:multiLevelType w:val="multilevel"/>
    <w:tmpl w:val="76505370"/>
    <w:lvl w:ilvl="0">
      <w:start w:val="1"/>
      <w:numFmt w:val="decimal"/>
      <w:lvlText w:val="§%1"/>
      <w:lvlJc w:val="left"/>
      <w:pPr>
        <w:tabs>
          <w:tab w:val="num" w:pos="567"/>
        </w:tabs>
        <w:ind w:left="1134" w:hanging="850"/>
      </w:pPr>
      <w:rPr>
        <w:rFonts w:cs="Times New Roman"/>
      </w:rPr>
    </w:lvl>
    <w:lvl w:ilvl="1">
      <w:start w:val="1"/>
      <w:numFmt w:val="upperRoman"/>
      <w:lvlText w:val="%2."/>
      <w:lvlJc w:val="left"/>
      <w:pPr>
        <w:tabs>
          <w:tab w:val="num" w:pos="567"/>
        </w:tabs>
        <w:ind w:left="1134" w:hanging="850"/>
      </w:pPr>
      <w:rPr>
        <w:rFonts w:cs="Times New Roman"/>
      </w:rPr>
    </w:lvl>
    <w:lvl w:ilvl="2">
      <w:start w:val="1"/>
      <w:numFmt w:val="decimal"/>
      <w:lvlText w:val="%3."/>
      <w:lvlJc w:val="left"/>
      <w:pPr>
        <w:tabs>
          <w:tab w:val="num" w:pos="567"/>
        </w:tabs>
        <w:ind w:left="0" w:firstLine="284"/>
      </w:pPr>
      <w:rPr>
        <w:rFonts w:cs="Times New Roman"/>
      </w:rPr>
    </w:lvl>
    <w:lvl w:ilvl="3">
      <w:start w:val="1"/>
      <w:numFmt w:val="decimal"/>
      <w:lvlText w:val="%3.%4."/>
      <w:lvlJc w:val="left"/>
      <w:pPr>
        <w:tabs>
          <w:tab w:val="num" w:pos="567"/>
        </w:tabs>
        <w:ind w:left="1134" w:hanging="850"/>
      </w:pPr>
      <w:rPr>
        <w:rFonts w:cs="Times New Roman"/>
      </w:rPr>
    </w:lvl>
    <w:lvl w:ilvl="4">
      <w:start w:val="1"/>
      <w:numFmt w:val="lowerLetter"/>
      <w:lvlText w:val="%5)"/>
      <w:lvlJc w:val="left"/>
      <w:pPr>
        <w:tabs>
          <w:tab w:val="num" w:pos="567"/>
        </w:tabs>
        <w:ind w:left="1134" w:hanging="850"/>
      </w:pPr>
      <w:rPr>
        <w:rFonts w:cs="Times New Roman"/>
      </w:rPr>
    </w:lvl>
    <w:lvl w:ilvl="5">
      <w:start w:val="1"/>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6">
      <w:start w:val="1"/>
      <w:numFmt w:val="decimal"/>
      <w:lvlText w:val="%7."/>
      <w:lvlJc w:val="left"/>
      <w:pPr>
        <w:tabs>
          <w:tab w:val="num" w:pos="567"/>
        </w:tabs>
        <w:ind w:left="1134" w:hanging="850"/>
      </w:pPr>
      <w:rPr>
        <w:rFonts w:cs="Times New Roman"/>
      </w:rPr>
    </w:lvl>
    <w:lvl w:ilvl="7">
      <w:start w:val="1"/>
      <w:numFmt w:val="lowerLetter"/>
      <w:lvlText w:val="%8."/>
      <w:lvlJc w:val="left"/>
      <w:pPr>
        <w:tabs>
          <w:tab w:val="num" w:pos="567"/>
        </w:tabs>
        <w:ind w:left="1134" w:hanging="850"/>
      </w:pPr>
      <w:rPr>
        <w:rFonts w:cs="Times New Roman"/>
      </w:rPr>
    </w:lvl>
    <w:lvl w:ilvl="8">
      <w:start w:val="1"/>
      <w:numFmt w:val="lowerRoman"/>
      <w:lvlText w:val="%9."/>
      <w:lvlJc w:val="left"/>
      <w:pPr>
        <w:tabs>
          <w:tab w:val="num" w:pos="567"/>
        </w:tabs>
        <w:ind w:left="1134" w:hanging="850"/>
      </w:pPr>
      <w:rPr>
        <w:rFonts w:cs="Times New Roman"/>
      </w:rPr>
    </w:lvl>
  </w:abstractNum>
  <w:abstractNum w:abstractNumId="5" w15:restartNumberingAfterBreak="0">
    <w:nsid w:val="257A636C"/>
    <w:multiLevelType w:val="multilevel"/>
    <w:tmpl w:val="D5C0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C91040"/>
    <w:multiLevelType w:val="multilevel"/>
    <w:tmpl w:val="5458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A8587D"/>
    <w:multiLevelType w:val="multilevel"/>
    <w:tmpl w:val="BC081B4A"/>
    <w:lvl w:ilvl="0">
      <w:start w:val="1"/>
      <w:numFmt w:val="decimal"/>
      <w:lvlText w:val="§%1"/>
      <w:lvlJc w:val="left"/>
      <w:pPr>
        <w:tabs>
          <w:tab w:val="num" w:pos="567"/>
        </w:tabs>
        <w:ind w:left="1134" w:hanging="850"/>
      </w:pPr>
      <w:rPr>
        <w:rFonts w:cs="Times New Roman"/>
      </w:rPr>
    </w:lvl>
    <w:lvl w:ilvl="1">
      <w:start w:val="1"/>
      <w:numFmt w:val="upperRoman"/>
      <w:lvlText w:val="%2."/>
      <w:lvlJc w:val="left"/>
      <w:pPr>
        <w:tabs>
          <w:tab w:val="num" w:pos="567"/>
        </w:tabs>
        <w:ind w:left="1134" w:hanging="850"/>
      </w:pPr>
      <w:rPr>
        <w:rFonts w:cs="Times New Roman"/>
      </w:rPr>
    </w:lvl>
    <w:lvl w:ilvl="2">
      <w:start w:val="1"/>
      <w:numFmt w:val="decimal"/>
      <w:lvlText w:val="%3."/>
      <w:lvlJc w:val="left"/>
      <w:pPr>
        <w:tabs>
          <w:tab w:val="num" w:pos="567"/>
        </w:tabs>
        <w:ind w:left="1134" w:hanging="850"/>
      </w:pPr>
      <w:rPr>
        <w:rFonts w:cs="Times New Roman"/>
      </w:rPr>
    </w:lvl>
    <w:lvl w:ilvl="3">
      <w:start w:val="1"/>
      <w:numFmt w:val="decimal"/>
      <w:lvlText w:val="%3.%4."/>
      <w:lvlJc w:val="left"/>
      <w:pPr>
        <w:tabs>
          <w:tab w:val="num" w:pos="567"/>
        </w:tabs>
        <w:ind w:left="0" w:firstLine="284"/>
      </w:pPr>
      <w:rPr>
        <w:rFonts w:cs="Times New Roman"/>
      </w:rPr>
    </w:lvl>
    <w:lvl w:ilvl="4">
      <w:start w:val="1"/>
      <w:numFmt w:val="lowerLetter"/>
      <w:lvlText w:val="%5)"/>
      <w:lvlJc w:val="left"/>
      <w:pPr>
        <w:tabs>
          <w:tab w:val="num" w:pos="567"/>
        </w:tabs>
        <w:ind w:left="1134" w:hanging="850"/>
      </w:pPr>
      <w:rPr>
        <w:rFonts w:cs="Times New Roman"/>
      </w:rPr>
    </w:lvl>
    <w:lvl w:ilvl="5">
      <w:start w:val="1"/>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6">
      <w:start w:val="1"/>
      <w:numFmt w:val="decimal"/>
      <w:lvlText w:val="%7."/>
      <w:lvlJc w:val="left"/>
      <w:pPr>
        <w:tabs>
          <w:tab w:val="num" w:pos="567"/>
        </w:tabs>
        <w:ind w:left="1134" w:hanging="850"/>
      </w:pPr>
      <w:rPr>
        <w:rFonts w:cs="Times New Roman"/>
      </w:rPr>
    </w:lvl>
    <w:lvl w:ilvl="7">
      <w:start w:val="1"/>
      <w:numFmt w:val="lowerLetter"/>
      <w:lvlText w:val="%8."/>
      <w:lvlJc w:val="left"/>
      <w:pPr>
        <w:tabs>
          <w:tab w:val="num" w:pos="567"/>
        </w:tabs>
        <w:ind w:left="1134" w:hanging="850"/>
      </w:pPr>
      <w:rPr>
        <w:rFonts w:cs="Times New Roman"/>
      </w:rPr>
    </w:lvl>
    <w:lvl w:ilvl="8">
      <w:start w:val="1"/>
      <w:numFmt w:val="lowerRoman"/>
      <w:lvlText w:val="%9."/>
      <w:lvlJc w:val="left"/>
      <w:pPr>
        <w:tabs>
          <w:tab w:val="num" w:pos="567"/>
        </w:tabs>
        <w:ind w:left="1134" w:hanging="850"/>
      </w:pPr>
      <w:rPr>
        <w:rFonts w:cs="Times New Roman"/>
      </w:rPr>
    </w:lvl>
  </w:abstractNum>
  <w:num w:numId="1">
    <w:abstractNumId w:val="0"/>
  </w:num>
  <w:num w:numId="2">
    <w:abstractNumId w:val="1"/>
  </w:num>
  <w:num w:numId="3">
    <w:abstractNumId w:val="6"/>
  </w:num>
  <w:num w:numId="4">
    <w:abstractNumId w:val="5"/>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41"/>
    <w:rsid w:val="000010D8"/>
    <w:rsid w:val="000014B9"/>
    <w:rsid w:val="00001F88"/>
    <w:rsid w:val="000021D5"/>
    <w:rsid w:val="00002532"/>
    <w:rsid w:val="00002EDD"/>
    <w:rsid w:val="0000492C"/>
    <w:rsid w:val="000052DD"/>
    <w:rsid w:val="00006064"/>
    <w:rsid w:val="00006B50"/>
    <w:rsid w:val="00006DC4"/>
    <w:rsid w:val="000104A1"/>
    <w:rsid w:val="000105C5"/>
    <w:rsid w:val="00010CF0"/>
    <w:rsid w:val="00011891"/>
    <w:rsid w:val="000119EC"/>
    <w:rsid w:val="0001469C"/>
    <w:rsid w:val="00014E9A"/>
    <w:rsid w:val="00014F52"/>
    <w:rsid w:val="000153DE"/>
    <w:rsid w:val="0001686D"/>
    <w:rsid w:val="00017AEC"/>
    <w:rsid w:val="000205C7"/>
    <w:rsid w:val="00021F75"/>
    <w:rsid w:val="000233A2"/>
    <w:rsid w:val="00023639"/>
    <w:rsid w:val="000249C8"/>
    <w:rsid w:val="0002505B"/>
    <w:rsid w:val="000257A9"/>
    <w:rsid w:val="000265DF"/>
    <w:rsid w:val="000267A7"/>
    <w:rsid w:val="00026867"/>
    <w:rsid w:val="00026943"/>
    <w:rsid w:val="00026AA3"/>
    <w:rsid w:val="000302C2"/>
    <w:rsid w:val="00030708"/>
    <w:rsid w:val="00030C09"/>
    <w:rsid w:val="00030F2F"/>
    <w:rsid w:val="00031F77"/>
    <w:rsid w:val="00032331"/>
    <w:rsid w:val="00033369"/>
    <w:rsid w:val="00033544"/>
    <w:rsid w:val="0003404E"/>
    <w:rsid w:val="0003552C"/>
    <w:rsid w:val="00035875"/>
    <w:rsid w:val="0003634D"/>
    <w:rsid w:val="00036F0C"/>
    <w:rsid w:val="00037195"/>
    <w:rsid w:val="000371BB"/>
    <w:rsid w:val="00037A63"/>
    <w:rsid w:val="0004195D"/>
    <w:rsid w:val="000425D1"/>
    <w:rsid w:val="00042F02"/>
    <w:rsid w:val="00042FB7"/>
    <w:rsid w:val="00043418"/>
    <w:rsid w:val="00044999"/>
    <w:rsid w:val="000452F6"/>
    <w:rsid w:val="0004660A"/>
    <w:rsid w:val="00046EE5"/>
    <w:rsid w:val="00047270"/>
    <w:rsid w:val="00047664"/>
    <w:rsid w:val="0005020B"/>
    <w:rsid w:val="00050D06"/>
    <w:rsid w:val="00051396"/>
    <w:rsid w:val="00051578"/>
    <w:rsid w:val="00051E68"/>
    <w:rsid w:val="00053FED"/>
    <w:rsid w:val="00054432"/>
    <w:rsid w:val="000547A9"/>
    <w:rsid w:val="000549E2"/>
    <w:rsid w:val="00054DF8"/>
    <w:rsid w:val="000554BC"/>
    <w:rsid w:val="00056A2F"/>
    <w:rsid w:val="00060225"/>
    <w:rsid w:val="0006035A"/>
    <w:rsid w:val="00060386"/>
    <w:rsid w:val="0006046D"/>
    <w:rsid w:val="0006145E"/>
    <w:rsid w:val="00061FC8"/>
    <w:rsid w:val="0006231E"/>
    <w:rsid w:val="00062B4A"/>
    <w:rsid w:val="00063257"/>
    <w:rsid w:val="000637CA"/>
    <w:rsid w:val="00063E98"/>
    <w:rsid w:val="00064455"/>
    <w:rsid w:val="0006518C"/>
    <w:rsid w:val="000675FD"/>
    <w:rsid w:val="0006768C"/>
    <w:rsid w:val="00067A49"/>
    <w:rsid w:val="00071223"/>
    <w:rsid w:val="00072C48"/>
    <w:rsid w:val="00072DD0"/>
    <w:rsid w:val="00072ECE"/>
    <w:rsid w:val="00072F4A"/>
    <w:rsid w:val="0007309A"/>
    <w:rsid w:val="0007321F"/>
    <w:rsid w:val="00074591"/>
    <w:rsid w:val="00075D8F"/>
    <w:rsid w:val="000766CE"/>
    <w:rsid w:val="00076AC3"/>
    <w:rsid w:val="00077556"/>
    <w:rsid w:val="00077A7A"/>
    <w:rsid w:val="00077AC1"/>
    <w:rsid w:val="00080636"/>
    <w:rsid w:val="00080E41"/>
    <w:rsid w:val="00081313"/>
    <w:rsid w:val="000826A0"/>
    <w:rsid w:val="0008298E"/>
    <w:rsid w:val="000838BB"/>
    <w:rsid w:val="00083A0E"/>
    <w:rsid w:val="00085449"/>
    <w:rsid w:val="00085B96"/>
    <w:rsid w:val="000861EE"/>
    <w:rsid w:val="00086735"/>
    <w:rsid w:val="00087361"/>
    <w:rsid w:val="00087506"/>
    <w:rsid w:val="00087BD5"/>
    <w:rsid w:val="0009184F"/>
    <w:rsid w:val="00091C7C"/>
    <w:rsid w:val="000931BA"/>
    <w:rsid w:val="0009357A"/>
    <w:rsid w:val="000935C8"/>
    <w:rsid w:val="00094079"/>
    <w:rsid w:val="000966FC"/>
    <w:rsid w:val="00097852"/>
    <w:rsid w:val="000A03C3"/>
    <w:rsid w:val="000A04E9"/>
    <w:rsid w:val="000A0537"/>
    <w:rsid w:val="000A0968"/>
    <w:rsid w:val="000A0CAE"/>
    <w:rsid w:val="000A2042"/>
    <w:rsid w:val="000A20C4"/>
    <w:rsid w:val="000A2756"/>
    <w:rsid w:val="000A2AB2"/>
    <w:rsid w:val="000A2C7D"/>
    <w:rsid w:val="000A39BE"/>
    <w:rsid w:val="000A3D71"/>
    <w:rsid w:val="000A4218"/>
    <w:rsid w:val="000A47D4"/>
    <w:rsid w:val="000A560D"/>
    <w:rsid w:val="000A6521"/>
    <w:rsid w:val="000A65C3"/>
    <w:rsid w:val="000A6A43"/>
    <w:rsid w:val="000A79E9"/>
    <w:rsid w:val="000A7E0B"/>
    <w:rsid w:val="000B0AF3"/>
    <w:rsid w:val="000B159C"/>
    <w:rsid w:val="000B53B9"/>
    <w:rsid w:val="000B6292"/>
    <w:rsid w:val="000B7339"/>
    <w:rsid w:val="000B7B3F"/>
    <w:rsid w:val="000C0378"/>
    <w:rsid w:val="000C079F"/>
    <w:rsid w:val="000C0B93"/>
    <w:rsid w:val="000C0C84"/>
    <w:rsid w:val="000C112A"/>
    <w:rsid w:val="000C1697"/>
    <w:rsid w:val="000C4B3E"/>
    <w:rsid w:val="000C4CA1"/>
    <w:rsid w:val="000C5B34"/>
    <w:rsid w:val="000C6176"/>
    <w:rsid w:val="000C6B08"/>
    <w:rsid w:val="000C7177"/>
    <w:rsid w:val="000C7B8B"/>
    <w:rsid w:val="000D04AA"/>
    <w:rsid w:val="000D06E0"/>
    <w:rsid w:val="000D111F"/>
    <w:rsid w:val="000D36E5"/>
    <w:rsid w:val="000D4A12"/>
    <w:rsid w:val="000D51E1"/>
    <w:rsid w:val="000D5B29"/>
    <w:rsid w:val="000D6887"/>
    <w:rsid w:val="000D6FC8"/>
    <w:rsid w:val="000D771E"/>
    <w:rsid w:val="000E00CA"/>
    <w:rsid w:val="000E02C7"/>
    <w:rsid w:val="000E047A"/>
    <w:rsid w:val="000E0D84"/>
    <w:rsid w:val="000E16BC"/>
    <w:rsid w:val="000E3DEA"/>
    <w:rsid w:val="000E4C78"/>
    <w:rsid w:val="000E5505"/>
    <w:rsid w:val="000E57A1"/>
    <w:rsid w:val="000E75AF"/>
    <w:rsid w:val="000E78ED"/>
    <w:rsid w:val="000E7E62"/>
    <w:rsid w:val="000F0889"/>
    <w:rsid w:val="000F2E87"/>
    <w:rsid w:val="000F4E0D"/>
    <w:rsid w:val="000F5051"/>
    <w:rsid w:val="000F70F1"/>
    <w:rsid w:val="001001F7"/>
    <w:rsid w:val="00100E43"/>
    <w:rsid w:val="00100ECB"/>
    <w:rsid w:val="00102D3D"/>
    <w:rsid w:val="0010305C"/>
    <w:rsid w:val="001037EC"/>
    <w:rsid w:val="001039B9"/>
    <w:rsid w:val="00103B42"/>
    <w:rsid w:val="00103C0E"/>
    <w:rsid w:val="001046FA"/>
    <w:rsid w:val="00105212"/>
    <w:rsid w:val="00105683"/>
    <w:rsid w:val="001060AC"/>
    <w:rsid w:val="00106107"/>
    <w:rsid w:val="0010620D"/>
    <w:rsid w:val="001062C3"/>
    <w:rsid w:val="00106305"/>
    <w:rsid w:val="001066A8"/>
    <w:rsid w:val="00106AB4"/>
    <w:rsid w:val="00106C18"/>
    <w:rsid w:val="00106DD7"/>
    <w:rsid w:val="0010734D"/>
    <w:rsid w:val="0010743A"/>
    <w:rsid w:val="00107A84"/>
    <w:rsid w:val="00107BF5"/>
    <w:rsid w:val="00107CF0"/>
    <w:rsid w:val="001103D3"/>
    <w:rsid w:val="0011072D"/>
    <w:rsid w:val="001143F0"/>
    <w:rsid w:val="00115556"/>
    <w:rsid w:val="00117E07"/>
    <w:rsid w:val="00121456"/>
    <w:rsid w:val="00121707"/>
    <w:rsid w:val="001220F1"/>
    <w:rsid w:val="00122C09"/>
    <w:rsid w:val="00122E7A"/>
    <w:rsid w:val="00124E44"/>
    <w:rsid w:val="00125044"/>
    <w:rsid w:val="001251DB"/>
    <w:rsid w:val="00125394"/>
    <w:rsid w:val="0012592B"/>
    <w:rsid w:val="00125B0D"/>
    <w:rsid w:val="00127114"/>
    <w:rsid w:val="001276D2"/>
    <w:rsid w:val="00132066"/>
    <w:rsid w:val="00133D96"/>
    <w:rsid w:val="00133DD4"/>
    <w:rsid w:val="00134870"/>
    <w:rsid w:val="0013495E"/>
    <w:rsid w:val="0013619A"/>
    <w:rsid w:val="0013619C"/>
    <w:rsid w:val="001361E1"/>
    <w:rsid w:val="0013634D"/>
    <w:rsid w:val="001369CF"/>
    <w:rsid w:val="00137598"/>
    <w:rsid w:val="00137D09"/>
    <w:rsid w:val="0014191E"/>
    <w:rsid w:val="00141ECA"/>
    <w:rsid w:val="0014214D"/>
    <w:rsid w:val="00142697"/>
    <w:rsid w:val="001427D0"/>
    <w:rsid w:val="00142FBC"/>
    <w:rsid w:val="00145B56"/>
    <w:rsid w:val="00145C92"/>
    <w:rsid w:val="0014629E"/>
    <w:rsid w:val="001471A1"/>
    <w:rsid w:val="00151257"/>
    <w:rsid w:val="00152C71"/>
    <w:rsid w:val="001537CA"/>
    <w:rsid w:val="001572E5"/>
    <w:rsid w:val="00157BF8"/>
    <w:rsid w:val="001605A1"/>
    <w:rsid w:val="001608ED"/>
    <w:rsid w:val="00160AD8"/>
    <w:rsid w:val="00160ED2"/>
    <w:rsid w:val="001612C9"/>
    <w:rsid w:val="001616AF"/>
    <w:rsid w:val="00162548"/>
    <w:rsid w:val="001644C0"/>
    <w:rsid w:val="00164A12"/>
    <w:rsid w:val="00167F8C"/>
    <w:rsid w:val="00171A9B"/>
    <w:rsid w:val="00172B05"/>
    <w:rsid w:val="0017357C"/>
    <w:rsid w:val="001746B9"/>
    <w:rsid w:val="001749C2"/>
    <w:rsid w:val="0017535D"/>
    <w:rsid w:val="0017552B"/>
    <w:rsid w:val="001758FD"/>
    <w:rsid w:val="00175DF7"/>
    <w:rsid w:val="0017611E"/>
    <w:rsid w:val="00176156"/>
    <w:rsid w:val="00176994"/>
    <w:rsid w:val="00176A4D"/>
    <w:rsid w:val="00176A9E"/>
    <w:rsid w:val="00177247"/>
    <w:rsid w:val="00180515"/>
    <w:rsid w:val="00180FC5"/>
    <w:rsid w:val="0018116C"/>
    <w:rsid w:val="00181630"/>
    <w:rsid w:val="0018172E"/>
    <w:rsid w:val="00181B22"/>
    <w:rsid w:val="0018224C"/>
    <w:rsid w:val="00183797"/>
    <w:rsid w:val="0018383A"/>
    <w:rsid w:val="00183C45"/>
    <w:rsid w:val="00184C56"/>
    <w:rsid w:val="0018581F"/>
    <w:rsid w:val="00185D7D"/>
    <w:rsid w:val="00187152"/>
    <w:rsid w:val="0018783E"/>
    <w:rsid w:val="0018797E"/>
    <w:rsid w:val="00187F95"/>
    <w:rsid w:val="00187FB8"/>
    <w:rsid w:val="00190BF0"/>
    <w:rsid w:val="00191108"/>
    <w:rsid w:val="0019122A"/>
    <w:rsid w:val="0019137C"/>
    <w:rsid w:val="001915F0"/>
    <w:rsid w:val="001929DA"/>
    <w:rsid w:val="00193F4B"/>
    <w:rsid w:val="0019497B"/>
    <w:rsid w:val="00194EA4"/>
    <w:rsid w:val="00195B33"/>
    <w:rsid w:val="00196D60"/>
    <w:rsid w:val="001976C5"/>
    <w:rsid w:val="00197E82"/>
    <w:rsid w:val="00197FCF"/>
    <w:rsid w:val="001A0398"/>
    <w:rsid w:val="001A042F"/>
    <w:rsid w:val="001A077E"/>
    <w:rsid w:val="001A09C6"/>
    <w:rsid w:val="001A0D8E"/>
    <w:rsid w:val="001A29E1"/>
    <w:rsid w:val="001A29FA"/>
    <w:rsid w:val="001A311F"/>
    <w:rsid w:val="001A3769"/>
    <w:rsid w:val="001A3A75"/>
    <w:rsid w:val="001A3EF3"/>
    <w:rsid w:val="001A410F"/>
    <w:rsid w:val="001A4C55"/>
    <w:rsid w:val="001A4F00"/>
    <w:rsid w:val="001A4FA8"/>
    <w:rsid w:val="001A533C"/>
    <w:rsid w:val="001A57EA"/>
    <w:rsid w:val="001A6010"/>
    <w:rsid w:val="001A626F"/>
    <w:rsid w:val="001A6858"/>
    <w:rsid w:val="001A7B72"/>
    <w:rsid w:val="001B042B"/>
    <w:rsid w:val="001B10AA"/>
    <w:rsid w:val="001B11B7"/>
    <w:rsid w:val="001B13E6"/>
    <w:rsid w:val="001B1C8B"/>
    <w:rsid w:val="001B1EDB"/>
    <w:rsid w:val="001B298E"/>
    <w:rsid w:val="001B3B1B"/>
    <w:rsid w:val="001B49BD"/>
    <w:rsid w:val="001B652F"/>
    <w:rsid w:val="001B7955"/>
    <w:rsid w:val="001B7C67"/>
    <w:rsid w:val="001C163B"/>
    <w:rsid w:val="001C17ED"/>
    <w:rsid w:val="001C18ED"/>
    <w:rsid w:val="001C19F2"/>
    <w:rsid w:val="001C2762"/>
    <w:rsid w:val="001C3391"/>
    <w:rsid w:val="001C3CEB"/>
    <w:rsid w:val="001C582C"/>
    <w:rsid w:val="001C5BC1"/>
    <w:rsid w:val="001C6478"/>
    <w:rsid w:val="001C664C"/>
    <w:rsid w:val="001D0601"/>
    <w:rsid w:val="001D06E1"/>
    <w:rsid w:val="001D0AB6"/>
    <w:rsid w:val="001D1167"/>
    <w:rsid w:val="001D1A9F"/>
    <w:rsid w:val="001D28B8"/>
    <w:rsid w:val="001D2B14"/>
    <w:rsid w:val="001D4498"/>
    <w:rsid w:val="001D4E8B"/>
    <w:rsid w:val="001D5045"/>
    <w:rsid w:val="001D5151"/>
    <w:rsid w:val="001D52E2"/>
    <w:rsid w:val="001D5893"/>
    <w:rsid w:val="001D6444"/>
    <w:rsid w:val="001D67FE"/>
    <w:rsid w:val="001D6A79"/>
    <w:rsid w:val="001D7780"/>
    <w:rsid w:val="001D7CF5"/>
    <w:rsid w:val="001E0102"/>
    <w:rsid w:val="001E0737"/>
    <w:rsid w:val="001E1711"/>
    <w:rsid w:val="001E1CC0"/>
    <w:rsid w:val="001E2320"/>
    <w:rsid w:val="001E248D"/>
    <w:rsid w:val="001E2A76"/>
    <w:rsid w:val="001E3386"/>
    <w:rsid w:val="001E3D68"/>
    <w:rsid w:val="001E45E0"/>
    <w:rsid w:val="001E46EB"/>
    <w:rsid w:val="001E58E3"/>
    <w:rsid w:val="001E616B"/>
    <w:rsid w:val="001E6225"/>
    <w:rsid w:val="001E73A8"/>
    <w:rsid w:val="001E7BFB"/>
    <w:rsid w:val="001E7FD0"/>
    <w:rsid w:val="001F024E"/>
    <w:rsid w:val="001F07CB"/>
    <w:rsid w:val="001F0927"/>
    <w:rsid w:val="001F13F5"/>
    <w:rsid w:val="001F19DA"/>
    <w:rsid w:val="001F1E93"/>
    <w:rsid w:val="001F2D4D"/>
    <w:rsid w:val="001F329E"/>
    <w:rsid w:val="001F46A0"/>
    <w:rsid w:val="001F489E"/>
    <w:rsid w:val="001F592A"/>
    <w:rsid w:val="001F5D87"/>
    <w:rsid w:val="001F5E36"/>
    <w:rsid w:val="001F6371"/>
    <w:rsid w:val="001F763D"/>
    <w:rsid w:val="00200259"/>
    <w:rsid w:val="002026CD"/>
    <w:rsid w:val="00202C33"/>
    <w:rsid w:val="0020379A"/>
    <w:rsid w:val="00203BB3"/>
    <w:rsid w:val="00203EE4"/>
    <w:rsid w:val="00204B01"/>
    <w:rsid w:val="00206960"/>
    <w:rsid w:val="00206EC0"/>
    <w:rsid w:val="00207F5C"/>
    <w:rsid w:val="00210AF4"/>
    <w:rsid w:val="002117D7"/>
    <w:rsid w:val="00211F2B"/>
    <w:rsid w:val="00213329"/>
    <w:rsid w:val="002134D2"/>
    <w:rsid w:val="00213CCA"/>
    <w:rsid w:val="0021456E"/>
    <w:rsid w:val="002145A4"/>
    <w:rsid w:val="00215B09"/>
    <w:rsid w:val="00215B22"/>
    <w:rsid w:val="00215FDB"/>
    <w:rsid w:val="00216528"/>
    <w:rsid w:val="00217507"/>
    <w:rsid w:val="00220850"/>
    <w:rsid w:val="00220C16"/>
    <w:rsid w:val="002212D8"/>
    <w:rsid w:val="00221787"/>
    <w:rsid w:val="00222552"/>
    <w:rsid w:val="002237C9"/>
    <w:rsid w:val="002237D0"/>
    <w:rsid w:val="00224C0B"/>
    <w:rsid w:val="00225132"/>
    <w:rsid w:val="00225C3B"/>
    <w:rsid w:val="00226173"/>
    <w:rsid w:val="00226B36"/>
    <w:rsid w:val="002277FE"/>
    <w:rsid w:val="00227BA4"/>
    <w:rsid w:val="0023057F"/>
    <w:rsid w:val="00230986"/>
    <w:rsid w:val="00233115"/>
    <w:rsid w:val="00235731"/>
    <w:rsid w:val="00237149"/>
    <w:rsid w:val="0023728A"/>
    <w:rsid w:val="00237493"/>
    <w:rsid w:val="002374CF"/>
    <w:rsid w:val="002424D0"/>
    <w:rsid w:val="002435D5"/>
    <w:rsid w:val="00243B18"/>
    <w:rsid w:val="00243B4B"/>
    <w:rsid w:val="002455CC"/>
    <w:rsid w:val="00247531"/>
    <w:rsid w:val="00250510"/>
    <w:rsid w:val="00250A99"/>
    <w:rsid w:val="0025113B"/>
    <w:rsid w:val="0025167A"/>
    <w:rsid w:val="0025223F"/>
    <w:rsid w:val="0025364B"/>
    <w:rsid w:val="0025495C"/>
    <w:rsid w:val="0025567E"/>
    <w:rsid w:val="002559DB"/>
    <w:rsid w:val="00255FC0"/>
    <w:rsid w:val="00256160"/>
    <w:rsid w:val="00260003"/>
    <w:rsid w:val="00261C66"/>
    <w:rsid w:val="00262D14"/>
    <w:rsid w:val="002632AB"/>
    <w:rsid w:val="002632F4"/>
    <w:rsid w:val="002635E9"/>
    <w:rsid w:val="00263DDC"/>
    <w:rsid w:val="00264056"/>
    <w:rsid w:val="00265D6D"/>
    <w:rsid w:val="00266A2F"/>
    <w:rsid w:val="00267748"/>
    <w:rsid w:val="002706E8"/>
    <w:rsid w:val="00270D98"/>
    <w:rsid w:val="00271948"/>
    <w:rsid w:val="00273106"/>
    <w:rsid w:val="002736CC"/>
    <w:rsid w:val="0027392B"/>
    <w:rsid w:val="00273F46"/>
    <w:rsid w:val="002756B2"/>
    <w:rsid w:val="00276E24"/>
    <w:rsid w:val="00277604"/>
    <w:rsid w:val="002809A8"/>
    <w:rsid w:val="00281685"/>
    <w:rsid w:val="00281EBC"/>
    <w:rsid w:val="002824C5"/>
    <w:rsid w:val="0028446B"/>
    <w:rsid w:val="00284794"/>
    <w:rsid w:val="00284A06"/>
    <w:rsid w:val="002850EE"/>
    <w:rsid w:val="002876B0"/>
    <w:rsid w:val="00290434"/>
    <w:rsid w:val="00290D43"/>
    <w:rsid w:val="00291D94"/>
    <w:rsid w:val="002930C7"/>
    <w:rsid w:val="002939AE"/>
    <w:rsid w:val="00293AAC"/>
    <w:rsid w:val="00294B10"/>
    <w:rsid w:val="002950B0"/>
    <w:rsid w:val="00296264"/>
    <w:rsid w:val="002963CD"/>
    <w:rsid w:val="002965F2"/>
    <w:rsid w:val="00296B87"/>
    <w:rsid w:val="002974FA"/>
    <w:rsid w:val="00297C5A"/>
    <w:rsid w:val="002A0774"/>
    <w:rsid w:val="002A0F97"/>
    <w:rsid w:val="002A2691"/>
    <w:rsid w:val="002A33E0"/>
    <w:rsid w:val="002A3584"/>
    <w:rsid w:val="002A3772"/>
    <w:rsid w:val="002A4508"/>
    <w:rsid w:val="002A53EB"/>
    <w:rsid w:val="002A551F"/>
    <w:rsid w:val="002A55B1"/>
    <w:rsid w:val="002A619E"/>
    <w:rsid w:val="002A62F5"/>
    <w:rsid w:val="002A6865"/>
    <w:rsid w:val="002A6F4A"/>
    <w:rsid w:val="002A755D"/>
    <w:rsid w:val="002B0145"/>
    <w:rsid w:val="002B0E31"/>
    <w:rsid w:val="002B127E"/>
    <w:rsid w:val="002B1DC3"/>
    <w:rsid w:val="002B22C7"/>
    <w:rsid w:val="002B23D8"/>
    <w:rsid w:val="002B28D4"/>
    <w:rsid w:val="002B2B9F"/>
    <w:rsid w:val="002B2DFF"/>
    <w:rsid w:val="002B2F3B"/>
    <w:rsid w:val="002B33F8"/>
    <w:rsid w:val="002B37F7"/>
    <w:rsid w:val="002B3979"/>
    <w:rsid w:val="002B3F13"/>
    <w:rsid w:val="002B4496"/>
    <w:rsid w:val="002B5EDE"/>
    <w:rsid w:val="002B7884"/>
    <w:rsid w:val="002B7C94"/>
    <w:rsid w:val="002B7D0E"/>
    <w:rsid w:val="002C0122"/>
    <w:rsid w:val="002C016F"/>
    <w:rsid w:val="002C05CC"/>
    <w:rsid w:val="002C0A59"/>
    <w:rsid w:val="002C0CA8"/>
    <w:rsid w:val="002C0D55"/>
    <w:rsid w:val="002C1B79"/>
    <w:rsid w:val="002C2019"/>
    <w:rsid w:val="002C3964"/>
    <w:rsid w:val="002C396A"/>
    <w:rsid w:val="002C3B4B"/>
    <w:rsid w:val="002C4DE9"/>
    <w:rsid w:val="002C5438"/>
    <w:rsid w:val="002C632B"/>
    <w:rsid w:val="002C6EFE"/>
    <w:rsid w:val="002D01CF"/>
    <w:rsid w:val="002D0B5E"/>
    <w:rsid w:val="002D1293"/>
    <w:rsid w:val="002D2355"/>
    <w:rsid w:val="002D33F0"/>
    <w:rsid w:val="002D3786"/>
    <w:rsid w:val="002D405B"/>
    <w:rsid w:val="002D5090"/>
    <w:rsid w:val="002D529F"/>
    <w:rsid w:val="002D5327"/>
    <w:rsid w:val="002D557E"/>
    <w:rsid w:val="002D5C20"/>
    <w:rsid w:val="002D5C23"/>
    <w:rsid w:val="002D5FFD"/>
    <w:rsid w:val="002D6336"/>
    <w:rsid w:val="002D661F"/>
    <w:rsid w:val="002D6B09"/>
    <w:rsid w:val="002E012A"/>
    <w:rsid w:val="002E0D22"/>
    <w:rsid w:val="002E14B1"/>
    <w:rsid w:val="002E2852"/>
    <w:rsid w:val="002E2B31"/>
    <w:rsid w:val="002E2D3B"/>
    <w:rsid w:val="002E562F"/>
    <w:rsid w:val="002E5651"/>
    <w:rsid w:val="002E5727"/>
    <w:rsid w:val="002E5D85"/>
    <w:rsid w:val="002E6D1F"/>
    <w:rsid w:val="002E6F4A"/>
    <w:rsid w:val="002F13CA"/>
    <w:rsid w:val="002F164B"/>
    <w:rsid w:val="002F17B8"/>
    <w:rsid w:val="002F1CF0"/>
    <w:rsid w:val="002F29A8"/>
    <w:rsid w:val="002F2C25"/>
    <w:rsid w:val="002F5240"/>
    <w:rsid w:val="002F5382"/>
    <w:rsid w:val="002F5858"/>
    <w:rsid w:val="002F608A"/>
    <w:rsid w:val="002F63B6"/>
    <w:rsid w:val="002F67B8"/>
    <w:rsid w:val="002F734D"/>
    <w:rsid w:val="002F75C2"/>
    <w:rsid w:val="002F7801"/>
    <w:rsid w:val="002F78FA"/>
    <w:rsid w:val="00300C74"/>
    <w:rsid w:val="00301BC8"/>
    <w:rsid w:val="0030290F"/>
    <w:rsid w:val="00302AC2"/>
    <w:rsid w:val="00302BB9"/>
    <w:rsid w:val="00303DDF"/>
    <w:rsid w:val="003041C9"/>
    <w:rsid w:val="00305208"/>
    <w:rsid w:val="00305829"/>
    <w:rsid w:val="003065CA"/>
    <w:rsid w:val="003066D6"/>
    <w:rsid w:val="00307143"/>
    <w:rsid w:val="00307DF4"/>
    <w:rsid w:val="00311406"/>
    <w:rsid w:val="00312F92"/>
    <w:rsid w:val="0031443D"/>
    <w:rsid w:val="00316820"/>
    <w:rsid w:val="00317E05"/>
    <w:rsid w:val="00320249"/>
    <w:rsid w:val="00320CC7"/>
    <w:rsid w:val="00320D56"/>
    <w:rsid w:val="003216BC"/>
    <w:rsid w:val="00321724"/>
    <w:rsid w:val="0032278E"/>
    <w:rsid w:val="00323E21"/>
    <w:rsid w:val="00323F02"/>
    <w:rsid w:val="003240F5"/>
    <w:rsid w:val="003241F6"/>
    <w:rsid w:val="003245AA"/>
    <w:rsid w:val="00325025"/>
    <w:rsid w:val="003263D8"/>
    <w:rsid w:val="003266EC"/>
    <w:rsid w:val="00326AE0"/>
    <w:rsid w:val="00326AE7"/>
    <w:rsid w:val="00326F29"/>
    <w:rsid w:val="0032756E"/>
    <w:rsid w:val="00330177"/>
    <w:rsid w:val="003301F2"/>
    <w:rsid w:val="0033023E"/>
    <w:rsid w:val="003304E4"/>
    <w:rsid w:val="003308F4"/>
    <w:rsid w:val="0033185C"/>
    <w:rsid w:val="00332705"/>
    <w:rsid w:val="00332ADA"/>
    <w:rsid w:val="00332D36"/>
    <w:rsid w:val="00332D44"/>
    <w:rsid w:val="0033309E"/>
    <w:rsid w:val="00333484"/>
    <w:rsid w:val="003344FE"/>
    <w:rsid w:val="00335674"/>
    <w:rsid w:val="00335CD5"/>
    <w:rsid w:val="00335CEA"/>
    <w:rsid w:val="00335E40"/>
    <w:rsid w:val="00337864"/>
    <w:rsid w:val="0034069C"/>
    <w:rsid w:val="00340E8C"/>
    <w:rsid w:val="00342386"/>
    <w:rsid w:val="00342638"/>
    <w:rsid w:val="003428C6"/>
    <w:rsid w:val="00342A4F"/>
    <w:rsid w:val="003448D3"/>
    <w:rsid w:val="00344B80"/>
    <w:rsid w:val="00344C0F"/>
    <w:rsid w:val="00345129"/>
    <w:rsid w:val="00345967"/>
    <w:rsid w:val="00345FD2"/>
    <w:rsid w:val="00346A2A"/>
    <w:rsid w:val="00346C0F"/>
    <w:rsid w:val="00346F4A"/>
    <w:rsid w:val="0034729D"/>
    <w:rsid w:val="00347A6E"/>
    <w:rsid w:val="00347AE7"/>
    <w:rsid w:val="003501D1"/>
    <w:rsid w:val="003509C0"/>
    <w:rsid w:val="0035188D"/>
    <w:rsid w:val="00352049"/>
    <w:rsid w:val="00352119"/>
    <w:rsid w:val="00352368"/>
    <w:rsid w:val="00352C1F"/>
    <w:rsid w:val="00353F09"/>
    <w:rsid w:val="003540E3"/>
    <w:rsid w:val="003548B6"/>
    <w:rsid w:val="00355C56"/>
    <w:rsid w:val="003564E3"/>
    <w:rsid w:val="00356548"/>
    <w:rsid w:val="0036002C"/>
    <w:rsid w:val="00360497"/>
    <w:rsid w:val="0036057B"/>
    <w:rsid w:val="003605E4"/>
    <w:rsid w:val="003608A7"/>
    <w:rsid w:val="00361188"/>
    <w:rsid w:val="003617FB"/>
    <w:rsid w:val="00362404"/>
    <w:rsid w:val="00362ACD"/>
    <w:rsid w:val="003632F0"/>
    <w:rsid w:val="00363C6A"/>
    <w:rsid w:val="00364A41"/>
    <w:rsid w:val="003653EC"/>
    <w:rsid w:val="00365DAC"/>
    <w:rsid w:val="003665D2"/>
    <w:rsid w:val="00366742"/>
    <w:rsid w:val="00366A9D"/>
    <w:rsid w:val="0037061C"/>
    <w:rsid w:val="00371D54"/>
    <w:rsid w:val="00371F72"/>
    <w:rsid w:val="00373398"/>
    <w:rsid w:val="00373D5B"/>
    <w:rsid w:val="003744E9"/>
    <w:rsid w:val="00374886"/>
    <w:rsid w:val="00376277"/>
    <w:rsid w:val="0037646F"/>
    <w:rsid w:val="003764A7"/>
    <w:rsid w:val="00376B37"/>
    <w:rsid w:val="00377A5D"/>
    <w:rsid w:val="00380474"/>
    <w:rsid w:val="00380AD3"/>
    <w:rsid w:val="00380BE7"/>
    <w:rsid w:val="00380FC8"/>
    <w:rsid w:val="00381896"/>
    <w:rsid w:val="0038235A"/>
    <w:rsid w:val="003824D3"/>
    <w:rsid w:val="003825B1"/>
    <w:rsid w:val="00382776"/>
    <w:rsid w:val="00383A85"/>
    <w:rsid w:val="00383DA6"/>
    <w:rsid w:val="00383DFF"/>
    <w:rsid w:val="00383EB0"/>
    <w:rsid w:val="00384ADF"/>
    <w:rsid w:val="0038538B"/>
    <w:rsid w:val="003858D3"/>
    <w:rsid w:val="00386E75"/>
    <w:rsid w:val="003871B1"/>
    <w:rsid w:val="003879EE"/>
    <w:rsid w:val="00387BB9"/>
    <w:rsid w:val="00387C12"/>
    <w:rsid w:val="003905C2"/>
    <w:rsid w:val="00392318"/>
    <w:rsid w:val="00392D87"/>
    <w:rsid w:val="00392ED7"/>
    <w:rsid w:val="00395394"/>
    <w:rsid w:val="00395AE7"/>
    <w:rsid w:val="00396641"/>
    <w:rsid w:val="003968B5"/>
    <w:rsid w:val="003969D6"/>
    <w:rsid w:val="003A02A0"/>
    <w:rsid w:val="003A11B0"/>
    <w:rsid w:val="003A1B81"/>
    <w:rsid w:val="003A38DA"/>
    <w:rsid w:val="003A39C7"/>
    <w:rsid w:val="003A3FF3"/>
    <w:rsid w:val="003A4B41"/>
    <w:rsid w:val="003A4C94"/>
    <w:rsid w:val="003A4CBB"/>
    <w:rsid w:val="003A4D16"/>
    <w:rsid w:val="003A6691"/>
    <w:rsid w:val="003A78F0"/>
    <w:rsid w:val="003A7D5C"/>
    <w:rsid w:val="003B0DFF"/>
    <w:rsid w:val="003B0FD3"/>
    <w:rsid w:val="003B1425"/>
    <w:rsid w:val="003B14B7"/>
    <w:rsid w:val="003B1D94"/>
    <w:rsid w:val="003B2834"/>
    <w:rsid w:val="003B2E54"/>
    <w:rsid w:val="003B3002"/>
    <w:rsid w:val="003B40BB"/>
    <w:rsid w:val="003B41D4"/>
    <w:rsid w:val="003B607D"/>
    <w:rsid w:val="003B74CF"/>
    <w:rsid w:val="003B7A69"/>
    <w:rsid w:val="003B7E95"/>
    <w:rsid w:val="003C1201"/>
    <w:rsid w:val="003C2072"/>
    <w:rsid w:val="003C2478"/>
    <w:rsid w:val="003C24E3"/>
    <w:rsid w:val="003C302A"/>
    <w:rsid w:val="003C3220"/>
    <w:rsid w:val="003C3A01"/>
    <w:rsid w:val="003C3ADD"/>
    <w:rsid w:val="003C4141"/>
    <w:rsid w:val="003C4AAD"/>
    <w:rsid w:val="003C56C9"/>
    <w:rsid w:val="003C5B90"/>
    <w:rsid w:val="003C6B4C"/>
    <w:rsid w:val="003C74C4"/>
    <w:rsid w:val="003C7AB9"/>
    <w:rsid w:val="003D0711"/>
    <w:rsid w:val="003D0C09"/>
    <w:rsid w:val="003D146D"/>
    <w:rsid w:val="003D14C3"/>
    <w:rsid w:val="003D3208"/>
    <w:rsid w:val="003D362A"/>
    <w:rsid w:val="003D4851"/>
    <w:rsid w:val="003D48E9"/>
    <w:rsid w:val="003D499C"/>
    <w:rsid w:val="003D50DB"/>
    <w:rsid w:val="003D5208"/>
    <w:rsid w:val="003D616C"/>
    <w:rsid w:val="003D719C"/>
    <w:rsid w:val="003D74E8"/>
    <w:rsid w:val="003D759B"/>
    <w:rsid w:val="003D7DE1"/>
    <w:rsid w:val="003E37EF"/>
    <w:rsid w:val="003E4F35"/>
    <w:rsid w:val="003E77E4"/>
    <w:rsid w:val="003E7EAA"/>
    <w:rsid w:val="003F01C7"/>
    <w:rsid w:val="003F19D1"/>
    <w:rsid w:val="003F378E"/>
    <w:rsid w:val="003F4889"/>
    <w:rsid w:val="003F616A"/>
    <w:rsid w:val="003F64FC"/>
    <w:rsid w:val="00403F17"/>
    <w:rsid w:val="00404207"/>
    <w:rsid w:val="00405AB5"/>
    <w:rsid w:val="00406BB3"/>
    <w:rsid w:val="004078F8"/>
    <w:rsid w:val="004103AF"/>
    <w:rsid w:val="004103B2"/>
    <w:rsid w:val="00410840"/>
    <w:rsid w:val="00410B58"/>
    <w:rsid w:val="0041191C"/>
    <w:rsid w:val="00411F4E"/>
    <w:rsid w:val="00412E07"/>
    <w:rsid w:val="00412E3B"/>
    <w:rsid w:val="004130EA"/>
    <w:rsid w:val="00413601"/>
    <w:rsid w:val="00413989"/>
    <w:rsid w:val="00414830"/>
    <w:rsid w:val="00414E67"/>
    <w:rsid w:val="00415C89"/>
    <w:rsid w:val="00416175"/>
    <w:rsid w:val="004169D0"/>
    <w:rsid w:val="00416A0D"/>
    <w:rsid w:val="00420151"/>
    <w:rsid w:val="00420BF1"/>
    <w:rsid w:val="00420C20"/>
    <w:rsid w:val="00420E67"/>
    <w:rsid w:val="00420F8D"/>
    <w:rsid w:val="00421F90"/>
    <w:rsid w:val="00423CAA"/>
    <w:rsid w:val="00424DE1"/>
    <w:rsid w:val="00424F3B"/>
    <w:rsid w:val="00426F97"/>
    <w:rsid w:val="00431BEE"/>
    <w:rsid w:val="0043283E"/>
    <w:rsid w:val="00433DF6"/>
    <w:rsid w:val="0043510A"/>
    <w:rsid w:val="00435900"/>
    <w:rsid w:val="00436AC9"/>
    <w:rsid w:val="00436B59"/>
    <w:rsid w:val="00442925"/>
    <w:rsid w:val="00443231"/>
    <w:rsid w:val="0044337C"/>
    <w:rsid w:val="004439F4"/>
    <w:rsid w:val="004442A2"/>
    <w:rsid w:val="0044431E"/>
    <w:rsid w:val="004472C0"/>
    <w:rsid w:val="0044763E"/>
    <w:rsid w:val="0045024B"/>
    <w:rsid w:val="00450684"/>
    <w:rsid w:val="00450AD6"/>
    <w:rsid w:val="004511F3"/>
    <w:rsid w:val="00451D72"/>
    <w:rsid w:val="00452225"/>
    <w:rsid w:val="00454002"/>
    <w:rsid w:val="004541A5"/>
    <w:rsid w:val="004548F7"/>
    <w:rsid w:val="00454ED3"/>
    <w:rsid w:val="00454EFA"/>
    <w:rsid w:val="004579AF"/>
    <w:rsid w:val="0046060D"/>
    <w:rsid w:val="004617CD"/>
    <w:rsid w:val="0046189C"/>
    <w:rsid w:val="004618C1"/>
    <w:rsid w:val="0046225F"/>
    <w:rsid w:val="00463BD0"/>
    <w:rsid w:val="00464C08"/>
    <w:rsid w:val="00465BF8"/>
    <w:rsid w:val="00470506"/>
    <w:rsid w:val="00470CB0"/>
    <w:rsid w:val="00470D50"/>
    <w:rsid w:val="00471588"/>
    <w:rsid w:val="00471B0F"/>
    <w:rsid w:val="00471B86"/>
    <w:rsid w:val="004724D9"/>
    <w:rsid w:val="00472B5C"/>
    <w:rsid w:val="004736F1"/>
    <w:rsid w:val="00473E49"/>
    <w:rsid w:val="00474E73"/>
    <w:rsid w:val="004750A6"/>
    <w:rsid w:val="00475286"/>
    <w:rsid w:val="00475414"/>
    <w:rsid w:val="004761D0"/>
    <w:rsid w:val="00476B20"/>
    <w:rsid w:val="00476F81"/>
    <w:rsid w:val="004773A4"/>
    <w:rsid w:val="0047786A"/>
    <w:rsid w:val="00480F21"/>
    <w:rsid w:val="00481C77"/>
    <w:rsid w:val="00482934"/>
    <w:rsid w:val="00483963"/>
    <w:rsid w:val="00483D0D"/>
    <w:rsid w:val="004841B5"/>
    <w:rsid w:val="0048464F"/>
    <w:rsid w:val="00484654"/>
    <w:rsid w:val="00484893"/>
    <w:rsid w:val="00484AE4"/>
    <w:rsid w:val="00484B90"/>
    <w:rsid w:val="00485924"/>
    <w:rsid w:val="00486315"/>
    <w:rsid w:val="00486B10"/>
    <w:rsid w:val="00486BC6"/>
    <w:rsid w:val="004871B4"/>
    <w:rsid w:val="00487F52"/>
    <w:rsid w:val="00490033"/>
    <w:rsid w:val="004902CF"/>
    <w:rsid w:val="00490D66"/>
    <w:rsid w:val="00490FD1"/>
    <w:rsid w:val="00491146"/>
    <w:rsid w:val="004916F0"/>
    <w:rsid w:val="00491ACC"/>
    <w:rsid w:val="00491BA1"/>
    <w:rsid w:val="004922F7"/>
    <w:rsid w:val="00492DF3"/>
    <w:rsid w:val="00492FA7"/>
    <w:rsid w:val="00493817"/>
    <w:rsid w:val="004946C2"/>
    <w:rsid w:val="00496363"/>
    <w:rsid w:val="0049652E"/>
    <w:rsid w:val="004965A8"/>
    <w:rsid w:val="00496DEC"/>
    <w:rsid w:val="004971FC"/>
    <w:rsid w:val="004A0431"/>
    <w:rsid w:val="004A18E9"/>
    <w:rsid w:val="004A26AA"/>
    <w:rsid w:val="004A2F10"/>
    <w:rsid w:val="004A30E3"/>
    <w:rsid w:val="004A491F"/>
    <w:rsid w:val="004A5333"/>
    <w:rsid w:val="004A63F7"/>
    <w:rsid w:val="004A6D07"/>
    <w:rsid w:val="004A6FD1"/>
    <w:rsid w:val="004B02CF"/>
    <w:rsid w:val="004B0C36"/>
    <w:rsid w:val="004B1E38"/>
    <w:rsid w:val="004B20C2"/>
    <w:rsid w:val="004B2CFA"/>
    <w:rsid w:val="004B38DE"/>
    <w:rsid w:val="004B3FE3"/>
    <w:rsid w:val="004B4388"/>
    <w:rsid w:val="004B5669"/>
    <w:rsid w:val="004B5DA9"/>
    <w:rsid w:val="004B6396"/>
    <w:rsid w:val="004B6CA8"/>
    <w:rsid w:val="004B6D05"/>
    <w:rsid w:val="004B7194"/>
    <w:rsid w:val="004B7B13"/>
    <w:rsid w:val="004C078F"/>
    <w:rsid w:val="004C0909"/>
    <w:rsid w:val="004C0AD1"/>
    <w:rsid w:val="004C1099"/>
    <w:rsid w:val="004C216E"/>
    <w:rsid w:val="004C2277"/>
    <w:rsid w:val="004C291F"/>
    <w:rsid w:val="004C2A18"/>
    <w:rsid w:val="004C457C"/>
    <w:rsid w:val="004C52A2"/>
    <w:rsid w:val="004C6298"/>
    <w:rsid w:val="004C6A12"/>
    <w:rsid w:val="004C7131"/>
    <w:rsid w:val="004C731F"/>
    <w:rsid w:val="004C7B9C"/>
    <w:rsid w:val="004C7EC0"/>
    <w:rsid w:val="004D132D"/>
    <w:rsid w:val="004D1C26"/>
    <w:rsid w:val="004D3122"/>
    <w:rsid w:val="004D47C2"/>
    <w:rsid w:val="004D4B91"/>
    <w:rsid w:val="004D5C18"/>
    <w:rsid w:val="004D64E1"/>
    <w:rsid w:val="004D709C"/>
    <w:rsid w:val="004D7F30"/>
    <w:rsid w:val="004D7F7F"/>
    <w:rsid w:val="004D7FFB"/>
    <w:rsid w:val="004E0DDB"/>
    <w:rsid w:val="004E110F"/>
    <w:rsid w:val="004E11D8"/>
    <w:rsid w:val="004E13F8"/>
    <w:rsid w:val="004E1725"/>
    <w:rsid w:val="004E1A74"/>
    <w:rsid w:val="004E1DE6"/>
    <w:rsid w:val="004E28E8"/>
    <w:rsid w:val="004E4869"/>
    <w:rsid w:val="004E4E72"/>
    <w:rsid w:val="004E544F"/>
    <w:rsid w:val="004E55FF"/>
    <w:rsid w:val="004E5DEC"/>
    <w:rsid w:val="004E5E8B"/>
    <w:rsid w:val="004E5EEB"/>
    <w:rsid w:val="004E62EB"/>
    <w:rsid w:val="004E7890"/>
    <w:rsid w:val="004F16F5"/>
    <w:rsid w:val="004F2182"/>
    <w:rsid w:val="004F348E"/>
    <w:rsid w:val="004F351B"/>
    <w:rsid w:val="004F586C"/>
    <w:rsid w:val="004F6252"/>
    <w:rsid w:val="004F6B0D"/>
    <w:rsid w:val="004F7C0C"/>
    <w:rsid w:val="00501D61"/>
    <w:rsid w:val="00501EF1"/>
    <w:rsid w:val="005044A4"/>
    <w:rsid w:val="0050477E"/>
    <w:rsid w:val="00504BEE"/>
    <w:rsid w:val="005055F2"/>
    <w:rsid w:val="00505D37"/>
    <w:rsid w:val="0050697D"/>
    <w:rsid w:val="00510BFB"/>
    <w:rsid w:val="0051189F"/>
    <w:rsid w:val="00511B29"/>
    <w:rsid w:val="00512994"/>
    <w:rsid w:val="00512A41"/>
    <w:rsid w:val="00512D91"/>
    <w:rsid w:val="005130B1"/>
    <w:rsid w:val="0051373D"/>
    <w:rsid w:val="005137B1"/>
    <w:rsid w:val="0051436D"/>
    <w:rsid w:val="005145EF"/>
    <w:rsid w:val="00514BE1"/>
    <w:rsid w:val="00515481"/>
    <w:rsid w:val="0051666D"/>
    <w:rsid w:val="00516681"/>
    <w:rsid w:val="005172D5"/>
    <w:rsid w:val="00517531"/>
    <w:rsid w:val="00517F7C"/>
    <w:rsid w:val="00517FE8"/>
    <w:rsid w:val="0052191B"/>
    <w:rsid w:val="00521C6F"/>
    <w:rsid w:val="00521ECA"/>
    <w:rsid w:val="00522159"/>
    <w:rsid w:val="00522AAE"/>
    <w:rsid w:val="00522F39"/>
    <w:rsid w:val="0052348E"/>
    <w:rsid w:val="0052438E"/>
    <w:rsid w:val="00524C1B"/>
    <w:rsid w:val="00524FF8"/>
    <w:rsid w:val="0052511E"/>
    <w:rsid w:val="00525874"/>
    <w:rsid w:val="00525B0E"/>
    <w:rsid w:val="00525E28"/>
    <w:rsid w:val="00525F57"/>
    <w:rsid w:val="00527031"/>
    <w:rsid w:val="0052730B"/>
    <w:rsid w:val="005275A4"/>
    <w:rsid w:val="00527D6C"/>
    <w:rsid w:val="0053095C"/>
    <w:rsid w:val="0053180C"/>
    <w:rsid w:val="00532A93"/>
    <w:rsid w:val="00533089"/>
    <w:rsid w:val="00533AEA"/>
    <w:rsid w:val="0053583F"/>
    <w:rsid w:val="0053688C"/>
    <w:rsid w:val="0053773F"/>
    <w:rsid w:val="00537E1D"/>
    <w:rsid w:val="00537FEA"/>
    <w:rsid w:val="0054122E"/>
    <w:rsid w:val="00542460"/>
    <w:rsid w:val="00542661"/>
    <w:rsid w:val="005426F1"/>
    <w:rsid w:val="00542A17"/>
    <w:rsid w:val="00542C0E"/>
    <w:rsid w:val="00542C7B"/>
    <w:rsid w:val="00542CCD"/>
    <w:rsid w:val="005431A6"/>
    <w:rsid w:val="00544848"/>
    <w:rsid w:val="00545386"/>
    <w:rsid w:val="0054572C"/>
    <w:rsid w:val="00545983"/>
    <w:rsid w:val="00545C72"/>
    <w:rsid w:val="00547A5E"/>
    <w:rsid w:val="00550077"/>
    <w:rsid w:val="00550506"/>
    <w:rsid w:val="005509B0"/>
    <w:rsid w:val="005510F7"/>
    <w:rsid w:val="00552C73"/>
    <w:rsid w:val="00553F67"/>
    <w:rsid w:val="00554DF0"/>
    <w:rsid w:val="00554EE2"/>
    <w:rsid w:val="00555E21"/>
    <w:rsid w:val="00556DEC"/>
    <w:rsid w:val="00556E55"/>
    <w:rsid w:val="0055719A"/>
    <w:rsid w:val="005604F4"/>
    <w:rsid w:val="005615B4"/>
    <w:rsid w:val="00562225"/>
    <w:rsid w:val="00562517"/>
    <w:rsid w:val="00562657"/>
    <w:rsid w:val="00562BA8"/>
    <w:rsid w:val="00562C5B"/>
    <w:rsid w:val="005633BB"/>
    <w:rsid w:val="00563A5A"/>
    <w:rsid w:val="00564234"/>
    <w:rsid w:val="005650EC"/>
    <w:rsid w:val="005656D4"/>
    <w:rsid w:val="005676ED"/>
    <w:rsid w:val="00567BBE"/>
    <w:rsid w:val="00567D6A"/>
    <w:rsid w:val="00570728"/>
    <w:rsid w:val="00571650"/>
    <w:rsid w:val="0057191A"/>
    <w:rsid w:val="00572615"/>
    <w:rsid w:val="0057347A"/>
    <w:rsid w:val="0057490B"/>
    <w:rsid w:val="00574B55"/>
    <w:rsid w:val="00574E02"/>
    <w:rsid w:val="00575483"/>
    <w:rsid w:val="00575A31"/>
    <w:rsid w:val="005774E3"/>
    <w:rsid w:val="00577717"/>
    <w:rsid w:val="005779E2"/>
    <w:rsid w:val="00577CAB"/>
    <w:rsid w:val="005800F6"/>
    <w:rsid w:val="00580727"/>
    <w:rsid w:val="005807F7"/>
    <w:rsid w:val="0058080C"/>
    <w:rsid w:val="00580C29"/>
    <w:rsid w:val="00580EB6"/>
    <w:rsid w:val="00581368"/>
    <w:rsid w:val="005818E3"/>
    <w:rsid w:val="00582ABB"/>
    <w:rsid w:val="0058302D"/>
    <w:rsid w:val="0058311D"/>
    <w:rsid w:val="005843E5"/>
    <w:rsid w:val="0058441C"/>
    <w:rsid w:val="0058459F"/>
    <w:rsid w:val="00584811"/>
    <w:rsid w:val="00584C4F"/>
    <w:rsid w:val="00584E14"/>
    <w:rsid w:val="0058505C"/>
    <w:rsid w:val="00585193"/>
    <w:rsid w:val="005867AB"/>
    <w:rsid w:val="005901A5"/>
    <w:rsid w:val="00590963"/>
    <w:rsid w:val="00590D3D"/>
    <w:rsid w:val="00591492"/>
    <w:rsid w:val="005924AA"/>
    <w:rsid w:val="00592513"/>
    <w:rsid w:val="005933D7"/>
    <w:rsid w:val="00593AD9"/>
    <w:rsid w:val="00595BA1"/>
    <w:rsid w:val="00596E7B"/>
    <w:rsid w:val="005979B2"/>
    <w:rsid w:val="00597C09"/>
    <w:rsid w:val="005A05F1"/>
    <w:rsid w:val="005A0945"/>
    <w:rsid w:val="005A0D13"/>
    <w:rsid w:val="005A16D3"/>
    <w:rsid w:val="005A1C6A"/>
    <w:rsid w:val="005A2A5E"/>
    <w:rsid w:val="005A34D3"/>
    <w:rsid w:val="005A37FF"/>
    <w:rsid w:val="005A3E97"/>
    <w:rsid w:val="005A3ED2"/>
    <w:rsid w:val="005A3FEE"/>
    <w:rsid w:val="005A5EC3"/>
    <w:rsid w:val="005A64AE"/>
    <w:rsid w:val="005A6C68"/>
    <w:rsid w:val="005A6F8D"/>
    <w:rsid w:val="005A7EFC"/>
    <w:rsid w:val="005A7F88"/>
    <w:rsid w:val="005B1981"/>
    <w:rsid w:val="005B301D"/>
    <w:rsid w:val="005B34F9"/>
    <w:rsid w:val="005B3893"/>
    <w:rsid w:val="005B4022"/>
    <w:rsid w:val="005B415E"/>
    <w:rsid w:val="005B54D0"/>
    <w:rsid w:val="005B58C8"/>
    <w:rsid w:val="005B5DD7"/>
    <w:rsid w:val="005B6DA5"/>
    <w:rsid w:val="005B74AB"/>
    <w:rsid w:val="005C00A9"/>
    <w:rsid w:val="005C0C73"/>
    <w:rsid w:val="005C1AC6"/>
    <w:rsid w:val="005C1C57"/>
    <w:rsid w:val="005C306C"/>
    <w:rsid w:val="005C388C"/>
    <w:rsid w:val="005C420B"/>
    <w:rsid w:val="005C4388"/>
    <w:rsid w:val="005C48E9"/>
    <w:rsid w:val="005C52C1"/>
    <w:rsid w:val="005C5831"/>
    <w:rsid w:val="005C629D"/>
    <w:rsid w:val="005C695A"/>
    <w:rsid w:val="005D0D1C"/>
    <w:rsid w:val="005D15D0"/>
    <w:rsid w:val="005D2624"/>
    <w:rsid w:val="005D5218"/>
    <w:rsid w:val="005D5B90"/>
    <w:rsid w:val="005D5FC6"/>
    <w:rsid w:val="005D6A68"/>
    <w:rsid w:val="005D6BC7"/>
    <w:rsid w:val="005D6C21"/>
    <w:rsid w:val="005D6FBB"/>
    <w:rsid w:val="005D7FC8"/>
    <w:rsid w:val="005E03D2"/>
    <w:rsid w:val="005E04E3"/>
    <w:rsid w:val="005E131C"/>
    <w:rsid w:val="005E1704"/>
    <w:rsid w:val="005E1741"/>
    <w:rsid w:val="005E2216"/>
    <w:rsid w:val="005E2557"/>
    <w:rsid w:val="005E25B5"/>
    <w:rsid w:val="005E3987"/>
    <w:rsid w:val="005E3C4A"/>
    <w:rsid w:val="005E3C74"/>
    <w:rsid w:val="005E3DE9"/>
    <w:rsid w:val="005E52D2"/>
    <w:rsid w:val="005E600C"/>
    <w:rsid w:val="005E66EF"/>
    <w:rsid w:val="005E74D1"/>
    <w:rsid w:val="005E7BA7"/>
    <w:rsid w:val="005F00D6"/>
    <w:rsid w:val="005F01EC"/>
    <w:rsid w:val="005F06EE"/>
    <w:rsid w:val="005F1B1B"/>
    <w:rsid w:val="005F202D"/>
    <w:rsid w:val="005F2171"/>
    <w:rsid w:val="005F22C9"/>
    <w:rsid w:val="005F31DC"/>
    <w:rsid w:val="005F31E6"/>
    <w:rsid w:val="005F38BD"/>
    <w:rsid w:val="005F4601"/>
    <w:rsid w:val="005F4A0F"/>
    <w:rsid w:val="005F663A"/>
    <w:rsid w:val="005F6C3D"/>
    <w:rsid w:val="005F78DB"/>
    <w:rsid w:val="0060087B"/>
    <w:rsid w:val="00600D5B"/>
    <w:rsid w:val="00601C4C"/>
    <w:rsid w:val="006021BE"/>
    <w:rsid w:val="006029F5"/>
    <w:rsid w:val="00602BFB"/>
    <w:rsid w:val="006030E0"/>
    <w:rsid w:val="006030E7"/>
    <w:rsid w:val="00603B16"/>
    <w:rsid w:val="00603DE9"/>
    <w:rsid w:val="00603ED5"/>
    <w:rsid w:val="00604001"/>
    <w:rsid w:val="00604419"/>
    <w:rsid w:val="00604AFF"/>
    <w:rsid w:val="00606E8C"/>
    <w:rsid w:val="006075BA"/>
    <w:rsid w:val="006102AD"/>
    <w:rsid w:val="006105BD"/>
    <w:rsid w:val="0061174F"/>
    <w:rsid w:val="006125FA"/>
    <w:rsid w:val="006128A6"/>
    <w:rsid w:val="006129EE"/>
    <w:rsid w:val="00612AE7"/>
    <w:rsid w:val="00612E6A"/>
    <w:rsid w:val="006136FF"/>
    <w:rsid w:val="006154D9"/>
    <w:rsid w:val="00615F7E"/>
    <w:rsid w:val="006163A8"/>
    <w:rsid w:val="006163AF"/>
    <w:rsid w:val="006164F5"/>
    <w:rsid w:val="00616514"/>
    <w:rsid w:val="006165E6"/>
    <w:rsid w:val="00616A1C"/>
    <w:rsid w:val="00616FB2"/>
    <w:rsid w:val="006173F8"/>
    <w:rsid w:val="00617CCB"/>
    <w:rsid w:val="006200AF"/>
    <w:rsid w:val="00621A0B"/>
    <w:rsid w:val="00621BAF"/>
    <w:rsid w:val="00622AC1"/>
    <w:rsid w:val="0062347C"/>
    <w:rsid w:val="0062486B"/>
    <w:rsid w:val="00624D1A"/>
    <w:rsid w:val="00624F72"/>
    <w:rsid w:val="006250A7"/>
    <w:rsid w:val="00625858"/>
    <w:rsid w:val="0062690A"/>
    <w:rsid w:val="00626B9C"/>
    <w:rsid w:val="00626C5D"/>
    <w:rsid w:val="00626F59"/>
    <w:rsid w:val="00627C6A"/>
    <w:rsid w:val="00627CA9"/>
    <w:rsid w:val="006313F5"/>
    <w:rsid w:val="0063186D"/>
    <w:rsid w:val="00631E4A"/>
    <w:rsid w:val="0063455C"/>
    <w:rsid w:val="00635583"/>
    <w:rsid w:val="00637263"/>
    <w:rsid w:val="00637B10"/>
    <w:rsid w:val="0064037D"/>
    <w:rsid w:val="00640EC2"/>
    <w:rsid w:val="00641183"/>
    <w:rsid w:val="00641721"/>
    <w:rsid w:val="006448BA"/>
    <w:rsid w:val="0064522B"/>
    <w:rsid w:val="006455B4"/>
    <w:rsid w:val="00645725"/>
    <w:rsid w:val="0064592F"/>
    <w:rsid w:val="00645E6C"/>
    <w:rsid w:val="006462DB"/>
    <w:rsid w:val="00646D70"/>
    <w:rsid w:val="0064706D"/>
    <w:rsid w:val="006504E6"/>
    <w:rsid w:val="00650E8F"/>
    <w:rsid w:val="00651342"/>
    <w:rsid w:val="00651391"/>
    <w:rsid w:val="0065191F"/>
    <w:rsid w:val="00651F9E"/>
    <w:rsid w:val="006547F5"/>
    <w:rsid w:val="006554B5"/>
    <w:rsid w:val="00655A2E"/>
    <w:rsid w:val="00656912"/>
    <w:rsid w:val="006571BB"/>
    <w:rsid w:val="006571CB"/>
    <w:rsid w:val="00657348"/>
    <w:rsid w:val="00657BD9"/>
    <w:rsid w:val="00661C83"/>
    <w:rsid w:val="00661EDD"/>
    <w:rsid w:val="00662807"/>
    <w:rsid w:val="00662D4D"/>
    <w:rsid w:val="006636D3"/>
    <w:rsid w:val="00664F6C"/>
    <w:rsid w:val="00665085"/>
    <w:rsid w:val="00665AC5"/>
    <w:rsid w:val="00665F64"/>
    <w:rsid w:val="006668CD"/>
    <w:rsid w:val="006675FE"/>
    <w:rsid w:val="00670D1C"/>
    <w:rsid w:val="0067296D"/>
    <w:rsid w:val="00673333"/>
    <w:rsid w:val="00674191"/>
    <w:rsid w:val="0067491B"/>
    <w:rsid w:val="00674A22"/>
    <w:rsid w:val="006755FB"/>
    <w:rsid w:val="00675A20"/>
    <w:rsid w:val="00675B6C"/>
    <w:rsid w:val="0067610E"/>
    <w:rsid w:val="00676394"/>
    <w:rsid w:val="00676BC9"/>
    <w:rsid w:val="006771DF"/>
    <w:rsid w:val="0067771E"/>
    <w:rsid w:val="0067775E"/>
    <w:rsid w:val="0068005E"/>
    <w:rsid w:val="00680487"/>
    <w:rsid w:val="0068053B"/>
    <w:rsid w:val="00680A3B"/>
    <w:rsid w:val="00680D48"/>
    <w:rsid w:val="00682760"/>
    <w:rsid w:val="00682B4C"/>
    <w:rsid w:val="00683CC2"/>
    <w:rsid w:val="00684929"/>
    <w:rsid w:val="006851AE"/>
    <w:rsid w:val="00685663"/>
    <w:rsid w:val="00686E92"/>
    <w:rsid w:val="0069043B"/>
    <w:rsid w:val="0069061D"/>
    <w:rsid w:val="006909F6"/>
    <w:rsid w:val="00690E25"/>
    <w:rsid w:val="00691A19"/>
    <w:rsid w:val="00691CD9"/>
    <w:rsid w:val="0069213F"/>
    <w:rsid w:val="00692372"/>
    <w:rsid w:val="00692FF9"/>
    <w:rsid w:val="00693FE7"/>
    <w:rsid w:val="00694A6B"/>
    <w:rsid w:val="00694B4A"/>
    <w:rsid w:val="006961CC"/>
    <w:rsid w:val="00696502"/>
    <w:rsid w:val="006969F2"/>
    <w:rsid w:val="00696A0B"/>
    <w:rsid w:val="00696E5D"/>
    <w:rsid w:val="00696F88"/>
    <w:rsid w:val="00697138"/>
    <w:rsid w:val="006975D9"/>
    <w:rsid w:val="00697B2B"/>
    <w:rsid w:val="00697E40"/>
    <w:rsid w:val="00697F12"/>
    <w:rsid w:val="00697F29"/>
    <w:rsid w:val="006A1CBD"/>
    <w:rsid w:val="006A1D23"/>
    <w:rsid w:val="006A2446"/>
    <w:rsid w:val="006A41F0"/>
    <w:rsid w:val="006A69CB"/>
    <w:rsid w:val="006A7C04"/>
    <w:rsid w:val="006A7E9D"/>
    <w:rsid w:val="006B1549"/>
    <w:rsid w:val="006B1780"/>
    <w:rsid w:val="006B1BB5"/>
    <w:rsid w:val="006B3B1D"/>
    <w:rsid w:val="006B511E"/>
    <w:rsid w:val="006B5CCD"/>
    <w:rsid w:val="006B7037"/>
    <w:rsid w:val="006B74D2"/>
    <w:rsid w:val="006B7874"/>
    <w:rsid w:val="006B7E5D"/>
    <w:rsid w:val="006C0C68"/>
    <w:rsid w:val="006C1853"/>
    <w:rsid w:val="006C1B97"/>
    <w:rsid w:val="006C2C76"/>
    <w:rsid w:val="006C311D"/>
    <w:rsid w:val="006C3A03"/>
    <w:rsid w:val="006C476F"/>
    <w:rsid w:val="006C5207"/>
    <w:rsid w:val="006C5535"/>
    <w:rsid w:val="006C6C98"/>
    <w:rsid w:val="006D032D"/>
    <w:rsid w:val="006D1567"/>
    <w:rsid w:val="006D2BD0"/>
    <w:rsid w:val="006D2C21"/>
    <w:rsid w:val="006D3384"/>
    <w:rsid w:val="006D33E6"/>
    <w:rsid w:val="006D3994"/>
    <w:rsid w:val="006D4AC7"/>
    <w:rsid w:val="006D4CE0"/>
    <w:rsid w:val="006D52B8"/>
    <w:rsid w:val="006D5355"/>
    <w:rsid w:val="006D60BB"/>
    <w:rsid w:val="006D6170"/>
    <w:rsid w:val="006D6A2A"/>
    <w:rsid w:val="006D6ECF"/>
    <w:rsid w:val="006D72B0"/>
    <w:rsid w:val="006D7ACC"/>
    <w:rsid w:val="006E0D58"/>
    <w:rsid w:val="006E32CD"/>
    <w:rsid w:val="006E3454"/>
    <w:rsid w:val="006E4516"/>
    <w:rsid w:val="006E4FF8"/>
    <w:rsid w:val="006E5D89"/>
    <w:rsid w:val="006E695B"/>
    <w:rsid w:val="006E78D8"/>
    <w:rsid w:val="006F0596"/>
    <w:rsid w:val="006F12B7"/>
    <w:rsid w:val="006F293A"/>
    <w:rsid w:val="006F2BD8"/>
    <w:rsid w:val="006F308C"/>
    <w:rsid w:val="006F3289"/>
    <w:rsid w:val="006F3924"/>
    <w:rsid w:val="006F531D"/>
    <w:rsid w:val="006F570A"/>
    <w:rsid w:val="006F613C"/>
    <w:rsid w:val="006F6B84"/>
    <w:rsid w:val="006F71CC"/>
    <w:rsid w:val="006F7CCE"/>
    <w:rsid w:val="00701145"/>
    <w:rsid w:val="0070213E"/>
    <w:rsid w:val="00702D41"/>
    <w:rsid w:val="0070327E"/>
    <w:rsid w:val="00704122"/>
    <w:rsid w:val="0070641C"/>
    <w:rsid w:val="00706B26"/>
    <w:rsid w:val="00707219"/>
    <w:rsid w:val="0070768A"/>
    <w:rsid w:val="00707AE4"/>
    <w:rsid w:val="00711545"/>
    <w:rsid w:val="00711AB9"/>
    <w:rsid w:val="00711D5F"/>
    <w:rsid w:val="00712306"/>
    <w:rsid w:val="00712CDB"/>
    <w:rsid w:val="0071358C"/>
    <w:rsid w:val="0071486A"/>
    <w:rsid w:val="007148F0"/>
    <w:rsid w:val="00714B2F"/>
    <w:rsid w:val="00714DCA"/>
    <w:rsid w:val="007151F0"/>
    <w:rsid w:val="0071549C"/>
    <w:rsid w:val="00715D68"/>
    <w:rsid w:val="00715EE2"/>
    <w:rsid w:val="00716A16"/>
    <w:rsid w:val="00716A21"/>
    <w:rsid w:val="00716E5D"/>
    <w:rsid w:val="0071730D"/>
    <w:rsid w:val="00717379"/>
    <w:rsid w:val="00717760"/>
    <w:rsid w:val="0071795B"/>
    <w:rsid w:val="00720201"/>
    <w:rsid w:val="007203D1"/>
    <w:rsid w:val="0072043C"/>
    <w:rsid w:val="00720BC5"/>
    <w:rsid w:val="0072172C"/>
    <w:rsid w:val="00721964"/>
    <w:rsid w:val="00721B8A"/>
    <w:rsid w:val="00722EFC"/>
    <w:rsid w:val="00725019"/>
    <w:rsid w:val="007267F1"/>
    <w:rsid w:val="00726C4A"/>
    <w:rsid w:val="00730191"/>
    <w:rsid w:val="00730F2A"/>
    <w:rsid w:val="0073128C"/>
    <w:rsid w:val="00731599"/>
    <w:rsid w:val="007316EE"/>
    <w:rsid w:val="007320CC"/>
    <w:rsid w:val="007336D2"/>
    <w:rsid w:val="0073506A"/>
    <w:rsid w:val="00735FEE"/>
    <w:rsid w:val="00736007"/>
    <w:rsid w:val="0073608B"/>
    <w:rsid w:val="007408D9"/>
    <w:rsid w:val="00740FF5"/>
    <w:rsid w:val="0074171D"/>
    <w:rsid w:val="00742A6F"/>
    <w:rsid w:val="00742B50"/>
    <w:rsid w:val="00742CF9"/>
    <w:rsid w:val="00742FD7"/>
    <w:rsid w:val="00743B73"/>
    <w:rsid w:val="00743FF9"/>
    <w:rsid w:val="00744A30"/>
    <w:rsid w:val="007450D4"/>
    <w:rsid w:val="00745295"/>
    <w:rsid w:val="00747845"/>
    <w:rsid w:val="0075014D"/>
    <w:rsid w:val="00751B17"/>
    <w:rsid w:val="00752470"/>
    <w:rsid w:val="00752C8F"/>
    <w:rsid w:val="00753FD0"/>
    <w:rsid w:val="007540A9"/>
    <w:rsid w:val="00754226"/>
    <w:rsid w:val="007543F1"/>
    <w:rsid w:val="0075492F"/>
    <w:rsid w:val="00754BF0"/>
    <w:rsid w:val="0075559B"/>
    <w:rsid w:val="007564B6"/>
    <w:rsid w:val="00756AC9"/>
    <w:rsid w:val="00756F4D"/>
    <w:rsid w:val="007570C2"/>
    <w:rsid w:val="007577D8"/>
    <w:rsid w:val="00757B6B"/>
    <w:rsid w:val="007605FA"/>
    <w:rsid w:val="007615C9"/>
    <w:rsid w:val="00761FBF"/>
    <w:rsid w:val="007628F7"/>
    <w:rsid w:val="00762A16"/>
    <w:rsid w:val="00762F2E"/>
    <w:rsid w:val="00763BAA"/>
    <w:rsid w:val="00763FA2"/>
    <w:rsid w:val="007647F8"/>
    <w:rsid w:val="00764EF3"/>
    <w:rsid w:val="007656EE"/>
    <w:rsid w:val="00765C21"/>
    <w:rsid w:val="00765F47"/>
    <w:rsid w:val="00766441"/>
    <w:rsid w:val="00766C43"/>
    <w:rsid w:val="00766F7C"/>
    <w:rsid w:val="00767055"/>
    <w:rsid w:val="007675BB"/>
    <w:rsid w:val="00767C85"/>
    <w:rsid w:val="00772707"/>
    <w:rsid w:val="00772960"/>
    <w:rsid w:val="00772F8E"/>
    <w:rsid w:val="007736AE"/>
    <w:rsid w:val="00774D54"/>
    <w:rsid w:val="00776153"/>
    <w:rsid w:val="00776452"/>
    <w:rsid w:val="00776671"/>
    <w:rsid w:val="00781453"/>
    <w:rsid w:val="00782883"/>
    <w:rsid w:val="00782FB6"/>
    <w:rsid w:val="0078304B"/>
    <w:rsid w:val="00783D00"/>
    <w:rsid w:val="0078410D"/>
    <w:rsid w:val="00785846"/>
    <w:rsid w:val="00786317"/>
    <w:rsid w:val="00786D39"/>
    <w:rsid w:val="007874DA"/>
    <w:rsid w:val="00787C43"/>
    <w:rsid w:val="00790FCF"/>
    <w:rsid w:val="007916E3"/>
    <w:rsid w:val="00793A1C"/>
    <w:rsid w:val="00793AF5"/>
    <w:rsid w:val="00794741"/>
    <w:rsid w:val="00794775"/>
    <w:rsid w:val="00794FB1"/>
    <w:rsid w:val="0079501B"/>
    <w:rsid w:val="00796454"/>
    <w:rsid w:val="007964BB"/>
    <w:rsid w:val="00796663"/>
    <w:rsid w:val="00796939"/>
    <w:rsid w:val="00796E31"/>
    <w:rsid w:val="007A20CF"/>
    <w:rsid w:val="007A366A"/>
    <w:rsid w:val="007A52F1"/>
    <w:rsid w:val="007A61F5"/>
    <w:rsid w:val="007A64FA"/>
    <w:rsid w:val="007B095A"/>
    <w:rsid w:val="007B11CD"/>
    <w:rsid w:val="007B2908"/>
    <w:rsid w:val="007B2CD4"/>
    <w:rsid w:val="007B32FB"/>
    <w:rsid w:val="007B3DB6"/>
    <w:rsid w:val="007B48DE"/>
    <w:rsid w:val="007B4C42"/>
    <w:rsid w:val="007B5702"/>
    <w:rsid w:val="007B58F7"/>
    <w:rsid w:val="007B5A9A"/>
    <w:rsid w:val="007B62FE"/>
    <w:rsid w:val="007B6741"/>
    <w:rsid w:val="007B68B5"/>
    <w:rsid w:val="007B7481"/>
    <w:rsid w:val="007B763B"/>
    <w:rsid w:val="007C17D5"/>
    <w:rsid w:val="007C337D"/>
    <w:rsid w:val="007C33DA"/>
    <w:rsid w:val="007C368C"/>
    <w:rsid w:val="007C5BFB"/>
    <w:rsid w:val="007C5F71"/>
    <w:rsid w:val="007C6105"/>
    <w:rsid w:val="007C79A1"/>
    <w:rsid w:val="007C7FA4"/>
    <w:rsid w:val="007D0AD3"/>
    <w:rsid w:val="007D378C"/>
    <w:rsid w:val="007D3B41"/>
    <w:rsid w:val="007D4A5B"/>
    <w:rsid w:val="007D4AFD"/>
    <w:rsid w:val="007D69E8"/>
    <w:rsid w:val="007D6A1F"/>
    <w:rsid w:val="007D6A92"/>
    <w:rsid w:val="007D7237"/>
    <w:rsid w:val="007D75CA"/>
    <w:rsid w:val="007D78F3"/>
    <w:rsid w:val="007D7CCD"/>
    <w:rsid w:val="007E00B1"/>
    <w:rsid w:val="007E0294"/>
    <w:rsid w:val="007E07CF"/>
    <w:rsid w:val="007E0D4C"/>
    <w:rsid w:val="007E2E47"/>
    <w:rsid w:val="007E41AF"/>
    <w:rsid w:val="007E425A"/>
    <w:rsid w:val="007E42C9"/>
    <w:rsid w:val="007E4871"/>
    <w:rsid w:val="007E6309"/>
    <w:rsid w:val="007E6620"/>
    <w:rsid w:val="007E666B"/>
    <w:rsid w:val="007E751E"/>
    <w:rsid w:val="007E7F4F"/>
    <w:rsid w:val="007F01F6"/>
    <w:rsid w:val="007F0C4D"/>
    <w:rsid w:val="007F14CE"/>
    <w:rsid w:val="007F1BB2"/>
    <w:rsid w:val="007F2A30"/>
    <w:rsid w:val="007F2D04"/>
    <w:rsid w:val="007F3559"/>
    <w:rsid w:val="007F3910"/>
    <w:rsid w:val="007F3A7A"/>
    <w:rsid w:val="007F4CF0"/>
    <w:rsid w:val="007F4EEA"/>
    <w:rsid w:val="007F5192"/>
    <w:rsid w:val="007F533A"/>
    <w:rsid w:val="007F5634"/>
    <w:rsid w:val="007F6A15"/>
    <w:rsid w:val="007F6C7B"/>
    <w:rsid w:val="007F6F50"/>
    <w:rsid w:val="00800589"/>
    <w:rsid w:val="00800CC9"/>
    <w:rsid w:val="00800D46"/>
    <w:rsid w:val="00800ED6"/>
    <w:rsid w:val="008022BC"/>
    <w:rsid w:val="0080299C"/>
    <w:rsid w:val="00803BC4"/>
    <w:rsid w:val="00803EDA"/>
    <w:rsid w:val="00804B6E"/>
    <w:rsid w:val="008055CC"/>
    <w:rsid w:val="00805676"/>
    <w:rsid w:val="00805922"/>
    <w:rsid w:val="00805B2A"/>
    <w:rsid w:val="0080605F"/>
    <w:rsid w:val="00806E7A"/>
    <w:rsid w:val="008076A6"/>
    <w:rsid w:val="00810113"/>
    <w:rsid w:val="00810AE1"/>
    <w:rsid w:val="00810F43"/>
    <w:rsid w:val="00812018"/>
    <w:rsid w:val="00812BBE"/>
    <w:rsid w:val="00812DEF"/>
    <w:rsid w:val="0081347A"/>
    <w:rsid w:val="008154A5"/>
    <w:rsid w:val="008158F9"/>
    <w:rsid w:val="00815F10"/>
    <w:rsid w:val="008160DD"/>
    <w:rsid w:val="008163B7"/>
    <w:rsid w:val="00816FAE"/>
    <w:rsid w:val="00817266"/>
    <w:rsid w:val="00817843"/>
    <w:rsid w:val="00817AB0"/>
    <w:rsid w:val="00820641"/>
    <w:rsid w:val="00820A2D"/>
    <w:rsid w:val="00820C95"/>
    <w:rsid w:val="00822007"/>
    <w:rsid w:val="00822411"/>
    <w:rsid w:val="00824A53"/>
    <w:rsid w:val="0082527D"/>
    <w:rsid w:val="00827BC1"/>
    <w:rsid w:val="0083109A"/>
    <w:rsid w:val="0083133C"/>
    <w:rsid w:val="0083221C"/>
    <w:rsid w:val="00832501"/>
    <w:rsid w:val="00832556"/>
    <w:rsid w:val="00832841"/>
    <w:rsid w:val="00832D47"/>
    <w:rsid w:val="00833E7D"/>
    <w:rsid w:val="00833F81"/>
    <w:rsid w:val="00834717"/>
    <w:rsid w:val="0083472C"/>
    <w:rsid w:val="008351B7"/>
    <w:rsid w:val="0083589A"/>
    <w:rsid w:val="00835BDE"/>
    <w:rsid w:val="0083613E"/>
    <w:rsid w:val="00836681"/>
    <w:rsid w:val="0083714F"/>
    <w:rsid w:val="00837D70"/>
    <w:rsid w:val="00837FD1"/>
    <w:rsid w:val="00841995"/>
    <w:rsid w:val="00841E6C"/>
    <w:rsid w:val="008422A3"/>
    <w:rsid w:val="00843390"/>
    <w:rsid w:val="00843620"/>
    <w:rsid w:val="00844752"/>
    <w:rsid w:val="00844A0E"/>
    <w:rsid w:val="00845871"/>
    <w:rsid w:val="00846D72"/>
    <w:rsid w:val="0084774A"/>
    <w:rsid w:val="008515AC"/>
    <w:rsid w:val="0085368A"/>
    <w:rsid w:val="00853864"/>
    <w:rsid w:val="00853C5B"/>
    <w:rsid w:val="00854E49"/>
    <w:rsid w:val="00856971"/>
    <w:rsid w:val="0085724C"/>
    <w:rsid w:val="008573F6"/>
    <w:rsid w:val="00857E8C"/>
    <w:rsid w:val="00862CD1"/>
    <w:rsid w:val="00863255"/>
    <w:rsid w:val="00863D68"/>
    <w:rsid w:val="0086419A"/>
    <w:rsid w:val="008641D8"/>
    <w:rsid w:val="008641F7"/>
    <w:rsid w:val="00864BD0"/>
    <w:rsid w:val="00865868"/>
    <w:rsid w:val="0086590A"/>
    <w:rsid w:val="00867082"/>
    <w:rsid w:val="00867193"/>
    <w:rsid w:val="00867BD9"/>
    <w:rsid w:val="00867E78"/>
    <w:rsid w:val="00871BE5"/>
    <w:rsid w:val="00872F0B"/>
    <w:rsid w:val="00873297"/>
    <w:rsid w:val="00873AC0"/>
    <w:rsid w:val="00877593"/>
    <w:rsid w:val="008778F9"/>
    <w:rsid w:val="0088037C"/>
    <w:rsid w:val="008806D6"/>
    <w:rsid w:val="008818B1"/>
    <w:rsid w:val="00881EBF"/>
    <w:rsid w:val="00881ED4"/>
    <w:rsid w:val="00881F83"/>
    <w:rsid w:val="00883ABC"/>
    <w:rsid w:val="0088434C"/>
    <w:rsid w:val="008847C3"/>
    <w:rsid w:val="0088485D"/>
    <w:rsid w:val="008852FB"/>
    <w:rsid w:val="0088599C"/>
    <w:rsid w:val="00885DA4"/>
    <w:rsid w:val="00886001"/>
    <w:rsid w:val="008863F5"/>
    <w:rsid w:val="0088667F"/>
    <w:rsid w:val="008868F9"/>
    <w:rsid w:val="008875E3"/>
    <w:rsid w:val="00887DB3"/>
    <w:rsid w:val="00890B4F"/>
    <w:rsid w:val="008910D6"/>
    <w:rsid w:val="00891EE0"/>
    <w:rsid w:val="0089245E"/>
    <w:rsid w:val="00892DAF"/>
    <w:rsid w:val="00893421"/>
    <w:rsid w:val="00895B87"/>
    <w:rsid w:val="008968CC"/>
    <w:rsid w:val="00897943"/>
    <w:rsid w:val="008A02FE"/>
    <w:rsid w:val="008A05D0"/>
    <w:rsid w:val="008A0DB6"/>
    <w:rsid w:val="008A1B3F"/>
    <w:rsid w:val="008A2188"/>
    <w:rsid w:val="008A2343"/>
    <w:rsid w:val="008A2B6E"/>
    <w:rsid w:val="008A3DA4"/>
    <w:rsid w:val="008A522E"/>
    <w:rsid w:val="008A5F22"/>
    <w:rsid w:val="008A632B"/>
    <w:rsid w:val="008A6B2B"/>
    <w:rsid w:val="008A70AC"/>
    <w:rsid w:val="008A732A"/>
    <w:rsid w:val="008A732E"/>
    <w:rsid w:val="008A793A"/>
    <w:rsid w:val="008B0643"/>
    <w:rsid w:val="008B25B5"/>
    <w:rsid w:val="008B25C1"/>
    <w:rsid w:val="008B4DCC"/>
    <w:rsid w:val="008B5080"/>
    <w:rsid w:val="008B5589"/>
    <w:rsid w:val="008B5B45"/>
    <w:rsid w:val="008B65E6"/>
    <w:rsid w:val="008B66C6"/>
    <w:rsid w:val="008B7495"/>
    <w:rsid w:val="008B7916"/>
    <w:rsid w:val="008C06C5"/>
    <w:rsid w:val="008C1096"/>
    <w:rsid w:val="008C12D1"/>
    <w:rsid w:val="008C1A6A"/>
    <w:rsid w:val="008C23B6"/>
    <w:rsid w:val="008C3595"/>
    <w:rsid w:val="008C3D50"/>
    <w:rsid w:val="008C4AF8"/>
    <w:rsid w:val="008C4C8B"/>
    <w:rsid w:val="008C4EBD"/>
    <w:rsid w:val="008C5049"/>
    <w:rsid w:val="008C61D5"/>
    <w:rsid w:val="008C67EF"/>
    <w:rsid w:val="008C7B78"/>
    <w:rsid w:val="008D009A"/>
    <w:rsid w:val="008D0AC2"/>
    <w:rsid w:val="008D1418"/>
    <w:rsid w:val="008D1456"/>
    <w:rsid w:val="008D27CF"/>
    <w:rsid w:val="008D2F08"/>
    <w:rsid w:val="008D30DD"/>
    <w:rsid w:val="008D3359"/>
    <w:rsid w:val="008D351B"/>
    <w:rsid w:val="008D45BD"/>
    <w:rsid w:val="008D5869"/>
    <w:rsid w:val="008D6298"/>
    <w:rsid w:val="008D71AE"/>
    <w:rsid w:val="008E0974"/>
    <w:rsid w:val="008E10E4"/>
    <w:rsid w:val="008E15F1"/>
    <w:rsid w:val="008E1FF0"/>
    <w:rsid w:val="008E22B0"/>
    <w:rsid w:val="008E26E5"/>
    <w:rsid w:val="008E3156"/>
    <w:rsid w:val="008E4F26"/>
    <w:rsid w:val="008E55B1"/>
    <w:rsid w:val="008E69F9"/>
    <w:rsid w:val="008F0E0C"/>
    <w:rsid w:val="008F0E5E"/>
    <w:rsid w:val="008F1C81"/>
    <w:rsid w:val="008F1CAC"/>
    <w:rsid w:val="008F1F63"/>
    <w:rsid w:val="008F209B"/>
    <w:rsid w:val="008F3972"/>
    <w:rsid w:val="008F3B78"/>
    <w:rsid w:val="008F4531"/>
    <w:rsid w:val="008F45F3"/>
    <w:rsid w:val="008F45FF"/>
    <w:rsid w:val="008F5262"/>
    <w:rsid w:val="008F5395"/>
    <w:rsid w:val="008F59AA"/>
    <w:rsid w:val="008F5D61"/>
    <w:rsid w:val="008F73EB"/>
    <w:rsid w:val="008F79EB"/>
    <w:rsid w:val="008F7CEA"/>
    <w:rsid w:val="008F7CFC"/>
    <w:rsid w:val="00900CF9"/>
    <w:rsid w:val="009011C2"/>
    <w:rsid w:val="009022ED"/>
    <w:rsid w:val="009025AD"/>
    <w:rsid w:val="0090350F"/>
    <w:rsid w:val="0090555E"/>
    <w:rsid w:val="00906886"/>
    <w:rsid w:val="009069EC"/>
    <w:rsid w:val="00906F99"/>
    <w:rsid w:val="0090714D"/>
    <w:rsid w:val="00907926"/>
    <w:rsid w:val="00907DD5"/>
    <w:rsid w:val="009100B3"/>
    <w:rsid w:val="00910C56"/>
    <w:rsid w:val="00910E52"/>
    <w:rsid w:val="00910F00"/>
    <w:rsid w:val="00911750"/>
    <w:rsid w:val="0091188A"/>
    <w:rsid w:val="00911A04"/>
    <w:rsid w:val="00911FEB"/>
    <w:rsid w:val="009127F4"/>
    <w:rsid w:val="00912F67"/>
    <w:rsid w:val="0091303A"/>
    <w:rsid w:val="00913756"/>
    <w:rsid w:val="00913A66"/>
    <w:rsid w:val="00913B08"/>
    <w:rsid w:val="00914921"/>
    <w:rsid w:val="0091555F"/>
    <w:rsid w:val="009161EF"/>
    <w:rsid w:val="00916506"/>
    <w:rsid w:val="0091701A"/>
    <w:rsid w:val="0091774E"/>
    <w:rsid w:val="009201B8"/>
    <w:rsid w:val="0092023A"/>
    <w:rsid w:val="00920563"/>
    <w:rsid w:val="00920B87"/>
    <w:rsid w:val="00920E76"/>
    <w:rsid w:val="00921E22"/>
    <w:rsid w:val="00922D18"/>
    <w:rsid w:val="00922DE6"/>
    <w:rsid w:val="009231B8"/>
    <w:rsid w:val="00923F49"/>
    <w:rsid w:val="00924A41"/>
    <w:rsid w:val="00925B56"/>
    <w:rsid w:val="00925FB3"/>
    <w:rsid w:val="00926052"/>
    <w:rsid w:val="00927307"/>
    <w:rsid w:val="009279E5"/>
    <w:rsid w:val="009304CF"/>
    <w:rsid w:val="00930D04"/>
    <w:rsid w:val="00931283"/>
    <w:rsid w:val="00933781"/>
    <w:rsid w:val="00933E0D"/>
    <w:rsid w:val="009340F5"/>
    <w:rsid w:val="009348E6"/>
    <w:rsid w:val="009361E4"/>
    <w:rsid w:val="0094012E"/>
    <w:rsid w:val="009405A4"/>
    <w:rsid w:val="0094088A"/>
    <w:rsid w:val="00941FC9"/>
    <w:rsid w:val="00942043"/>
    <w:rsid w:val="00942850"/>
    <w:rsid w:val="009428F3"/>
    <w:rsid w:val="00942B4F"/>
    <w:rsid w:val="00942C8F"/>
    <w:rsid w:val="00943A13"/>
    <w:rsid w:val="00944A8A"/>
    <w:rsid w:val="0094512E"/>
    <w:rsid w:val="00945F00"/>
    <w:rsid w:val="00946185"/>
    <w:rsid w:val="0094680B"/>
    <w:rsid w:val="00946C49"/>
    <w:rsid w:val="0094718F"/>
    <w:rsid w:val="00947460"/>
    <w:rsid w:val="00947A8F"/>
    <w:rsid w:val="0095149F"/>
    <w:rsid w:val="00952074"/>
    <w:rsid w:val="00952103"/>
    <w:rsid w:val="00953F60"/>
    <w:rsid w:val="00955045"/>
    <w:rsid w:val="009562E3"/>
    <w:rsid w:val="0095653A"/>
    <w:rsid w:val="009571F2"/>
    <w:rsid w:val="00960775"/>
    <w:rsid w:val="00961078"/>
    <w:rsid w:val="00961FDB"/>
    <w:rsid w:val="0096220C"/>
    <w:rsid w:val="00962260"/>
    <w:rsid w:val="009633C8"/>
    <w:rsid w:val="009643DB"/>
    <w:rsid w:val="009645F4"/>
    <w:rsid w:val="009656D4"/>
    <w:rsid w:val="00965CE4"/>
    <w:rsid w:val="00965CE5"/>
    <w:rsid w:val="009660B1"/>
    <w:rsid w:val="00966145"/>
    <w:rsid w:val="0096712F"/>
    <w:rsid w:val="00967280"/>
    <w:rsid w:val="00967540"/>
    <w:rsid w:val="009676D0"/>
    <w:rsid w:val="00967F1E"/>
    <w:rsid w:val="009710A7"/>
    <w:rsid w:val="00971339"/>
    <w:rsid w:val="0097136E"/>
    <w:rsid w:val="009713AB"/>
    <w:rsid w:val="0097164A"/>
    <w:rsid w:val="00971666"/>
    <w:rsid w:val="00971CFC"/>
    <w:rsid w:val="009724FF"/>
    <w:rsid w:val="00972FD3"/>
    <w:rsid w:val="009747CA"/>
    <w:rsid w:val="00975B5D"/>
    <w:rsid w:val="00975BFA"/>
    <w:rsid w:val="00976258"/>
    <w:rsid w:val="00976859"/>
    <w:rsid w:val="00976935"/>
    <w:rsid w:val="00976C3D"/>
    <w:rsid w:val="00976E03"/>
    <w:rsid w:val="009819A8"/>
    <w:rsid w:val="00981E7C"/>
    <w:rsid w:val="00981F1C"/>
    <w:rsid w:val="009828AD"/>
    <w:rsid w:val="00982DA0"/>
    <w:rsid w:val="00983078"/>
    <w:rsid w:val="009830F7"/>
    <w:rsid w:val="009839CE"/>
    <w:rsid w:val="00983C5E"/>
    <w:rsid w:val="0098444D"/>
    <w:rsid w:val="00984F18"/>
    <w:rsid w:val="00985A60"/>
    <w:rsid w:val="00987565"/>
    <w:rsid w:val="00987AB4"/>
    <w:rsid w:val="00987DC7"/>
    <w:rsid w:val="0099001C"/>
    <w:rsid w:val="00990249"/>
    <w:rsid w:val="00990E25"/>
    <w:rsid w:val="00990F7C"/>
    <w:rsid w:val="009910F5"/>
    <w:rsid w:val="00991A12"/>
    <w:rsid w:val="00991A43"/>
    <w:rsid w:val="00991BDE"/>
    <w:rsid w:val="0099270D"/>
    <w:rsid w:val="00992939"/>
    <w:rsid w:val="00993EBE"/>
    <w:rsid w:val="009946BC"/>
    <w:rsid w:val="0099511D"/>
    <w:rsid w:val="009955A7"/>
    <w:rsid w:val="00995B96"/>
    <w:rsid w:val="00995CEA"/>
    <w:rsid w:val="00996761"/>
    <w:rsid w:val="0099687A"/>
    <w:rsid w:val="00996999"/>
    <w:rsid w:val="00997284"/>
    <w:rsid w:val="00997347"/>
    <w:rsid w:val="009A039D"/>
    <w:rsid w:val="009A13A7"/>
    <w:rsid w:val="009A39E7"/>
    <w:rsid w:val="009A46C2"/>
    <w:rsid w:val="009A591B"/>
    <w:rsid w:val="009A6754"/>
    <w:rsid w:val="009B072F"/>
    <w:rsid w:val="009B08F6"/>
    <w:rsid w:val="009B3947"/>
    <w:rsid w:val="009B3B90"/>
    <w:rsid w:val="009B4FC2"/>
    <w:rsid w:val="009B5091"/>
    <w:rsid w:val="009B56C2"/>
    <w:rsid w:val="009B59CF"/>
    <w:rsid w:val="009B5EE0"/>
    <w:rsid w:val="009B699B"/>
    <w:rsid w:val="009B6A54"/>
    <w:rsid w:val="009B6C4D"/>
    <w:rsid w:val="009B6E6F"/>
    <w:rsid w:val="009B6F29"/>
    <w:rsid w:val="009B757B"/>
    <w:rsid w:val="009B7D12"/>
    <w:rsid w:val="009C02DC"/>
    <w:rsid w:val="009C0A1D"/>
    <w:rsid w:val="009C1219"/>
    <w:rsid w:val="009C12D8"/>
    <w:rsid w:val="009C2C19"/>
    <w:rsid w:val="009C3600"/>
    <w:rsid w:val="009C4092"/>
    <w:rsid w:val="009C4D7B"/>
    <w:rsid w:val="009C4E66"/>
    <w:rsid w:val="009C52D7"/>
    <w:rsid w:val="009C530D"/>
    <w:rsid w:val="009C5366"/>
    <w:rsid w:val="009C56CD"/>
    <w:rsid w:val="009C6403"/>
    <w:rsid w:val="009C78F7"/>
    <w:rsid w:val="009C7EE5"/>
    <w:rsid w:val="009D0365"/>
    <w:rsid w:val="009D1248"/>
    <w:rsid w:val="009D186E"/>
    <w:rsid w:val="009D19C8"/>
    <w:rsid w:val="009D2630"/>
    <w:rsid w:val="009D343A"/>
    <w:rsid w:val="009D3761"/>
    <w:rsid w:val="009D4187"/>
    <w:rsid w:val="009D45C9"/>
    <w:rsid w:val="009D4A5C"/>
    <w:rsid w:val="009D624B"/>
    <w:rsid w:val="009D6A05"/>
    <w:rsid w:val="009D6EA6"/>
    <w:rsid w:val="009D7307"/>
    <w:rsid w:val="009D7B71"/>
    <w:rsid w:val="009E023C"/>
    <w:rsid w:val="009E0BA1"/>
    <w:rsid w:val="009E134A"/>
    <w:rsid w:val="009E2663"/>
    <w:rsid w:val="009E304D"/>
    <w:rsid w:val="009E3888"/>
    <w:rsid w:val="009E3DB8"/>
    <w:rsid w:val="009E4396"/>
    <w:rsid w:val="009E4761"/>
    <w:rsid w:val="009E4F1D"/>
    <w:rsid w:val="009E51D7"/>
    <w:rsid w:val="009E57B1"/>
    <w:rsid w:val="009E7336"/>
    <w:rsid w:val="009E7E29"/>
    <w:rsid w:val="009F003C"/>
    <w:rsid w:val="009F02BE"/>
    <w:rsid w:val="009F06ED"/>
    <w:rsid w:val="009F0A9B"/>
    <w:rsid w:val="009F0E0B"/>
    <w:rsid w:val="009F13FC"/>
    <w:rsid w:val="009F1B6D"/>
    <w:rsid w:val="009F2E05"/>
    <w:rsid w:val="009F42FC"/>
    <w:rsid w:val="009F445E"/>
    <w:rsid w:val="009F4B94"/>
    <w:rsid w:val="009F54A9"/>
    <w:rsid w:val="009F5517"/>
    <w:rsid w:val="009F56CB"/>
    <w:rsid w:val="009F5BD3"/>
    <w:rsid w:val="009F6FC9"/>
    <w:rsid w:val="00A006E2"/>
    <w:rsid w:val="00A007B8"/>
    <w:rsid w:val="00A007FE"/>
    <w:rsid w:val="00A01768"/>
    <w:rsid w:val="00A02A56"/>
    <w:rsid w:val="00A032CD"/>
    <w:rsid w:val="00A045DD"/>
    <w:rsid w:val="00A04F77"/>
    <w:rsid w:val="00A05B1E"/>
    <w:rsid w:val="00A06D27"/>
    <w:rsid w:val="00A06DDD"/>
    <w:rsid w:val="00A0723B"/>
    <w:rsid w:val="00A105CE"/>
    <w:rsid w:val="00A107DB"/>
    <w:rsid w:val="00A10A1F"/>
    <w:rsid w:val="00A12BCB"/>
    <w:rsid w:val="00A12D8D"/>
    <w:rsid w:val="00A13CF7"/>
    <w:rsid w:val="00A14677"/>
    <w:rsid w:val="00A14767"/>
    <w:rsid w:val="00A15792"/>
    <w:rsid w:val="00A16128"/>
    <w:rsid w:val="00A173EF"/>
    <w:rsid w:val="00A210C2"/>
    <w:rsid w:val="00A2128A"/>
    <w:rsid w:val="00A2136B"/>
    <w:rsid w:val="00A21843"/>
    <w:rsid w:val="00A22307"/>
    <w:rsid w:val="00A22AC0"/>
    <w:rsid w:val="00A23422"/>
    <w:rsid w:val="00A23460"/>
    <w:rsid w:val="00A23604"/>
    <w:rsid w:val="00A2473E"/>
    <w:rsid w:val="00A24FE9"/>
    <w:rsid w:val="00A25F3C"/>
    <w:rsid w:val="00A26470"/>
    <w:rsid w:val="00A2696B"/>
    <w:rsid w:val="00A27109"/>
    <w:rsid w:val="00A272EA"/>
    <w:rsid w:val="00A277D7"/>
    <w:rsid w:val="00A2797A"/>
    <w:rsid w:val="00A27C30"/>
    <w:rsid w:val="00A30227"/>
    <w:rsid w:val="00A312CC"/>
    <w:rsid w:val="00A3175E"/>
    <w:rsid w:val="00A319B2"/>
    <w:rsid w:val="00A31EB0"/>
    <w:rsid w:val="00A32287"/>
    <w:rsid w:val="00A3286D"/>
    <w:rsid w:val="00A32D91"/>
    <w:rsid w:val="00A32E07"/>
    <w:rsid w:val="00A33379"/>
    <w:rsid w:val="00A33392"/>
    <w:rsid w:val="00A3378E"/>
    <w:rsid w:val="00A33A11"/>
    <w:rsid w:val="00A35205"/>
    <w:rsid w:val="00A353FE"/>
    <w:rsid w:val="00A35421"/>
    <w:rsid w:val="00A35B73"/>
    <w:rsid w:val="00A366F2"/>
    <w:rsid w:val="00A37277"/>
    <w:rsid w:val="00A379B2"/>
    <w:rsid w:val="00A37E29"/>
    <w:rsid w:val="00A40216"/>
    <w:rsid w:val="00A40307"/>
    <w:rsid w:val="00A40453"/>
    <w:rsid w:val="00A4060B"/>
    <w:rsid w:val="00A407A2"/>
    <w:rsid w:val="00A40A1B"/>
    <w:rsid w:val="00A41083"/>
    <w:rsid w:val="00A411A2"/>
    <w:rsid w:val="00A41349"/>
    <w:rsid w:val="00A41C03"/>
    <w:rsid w:val="00A41DD7"/>
    <w:rsid w:val="00A4226C"/>
    <w:rsid w:val="00A42656"/>
    <w:rsid w:val="00A426B5"/>
    <w:rsid w:val="00A42AFB"/>
    <w:rsid w:val="00A42C47"/>
    <w:rsid w:val="00A43041"/>
    <w:rsid w:val="00A4331A"/>
    <w:rsid w:val="00A433C5"/>
    <w:rsid w:val="00A438D1"/>
    <w:rsid w:val="00A43E5F"/>
    <w:rsid w:val="00A447C0"/>
    <w:rsid w:val="00A4528F"/>
    <w:rsid w:val="00A45339"/>
    <w:rsid w:val="00A45AEA"/>
    <w:rsid w:val="00A46F53"/>
    <w:rsid w:val="00A47211"/>
    <w:rsid w:val="00A4793E"/>
    <w:rsid w:val="00A47BDC"/>
    <w:rsid w:val="00A52146"/>
    <w:rsid w:val="00A52C9B"/>
    <w:rsid w:val="00A54403"/>
    <w:rsid w:val="00A55094"/>
    <w:rsid w:val="00A55388"/>
    <w:rsid w:val="00A55670"/>
    <w:rsid w:val="00A55F92"/>
    <w:rsid w:val="00A56DF5"/>
    <w:rsid w:val="00A570DE"/>
    <w:rsid w:val="00A579C8"/>
    <w:rsid w:val="00A6074C"/>
    <w:rsid w:val="00A63A6A"/>
    <w:rsid w:val="00A63CB8"/>
    <w:rsid w:val="00A64327"/>
    <w:rsid w:val="00A64D3B"/>
    <w:rsid w:val="00A65131"/>
    <w:rsid w:val="00A65D2F"/>
    <w:rsid w:val="00A66524"/>
    <w:rsid w:val="00A66545"/>
    <w:rsid w:val="00A667D1"/>
    <w:rsid w:val="00A668CD"/>
    <w:rsid w:val="00A679F6"/>
    <w:rsid w:val="00A70361"/>
    <w:rsid w:val="00A70485"/>
    <w:rsid w:val="00A7093C"/>
    <w:rsid w:val="00A70BA5"/>
    <w:rsid w:val="00A70E13"/>
    <w:rsid w:val="00A71434"/>
    <w:rsid w:val="00A71B42"/>
    <w:rsid w:val="00A72229"/>
    <w:rsid w:val="00A7249D"/>
    <w:rsid w:val="00A73A49"/>
    <w:rsid w:val="00A73C77"/>
    <w:rsid w:val="00A74828"/>
    <w:rsid w:val="00A74EF8"/>
    <w:rsid w:val="00A75950"/>
    <w:rsid w:val="00A76376"/>
    <w:rsid w:val="00A7702F"/>
    <w:rsid w:val="00A77F20"/>
    <w:rsid w:val="00A83639"/>
    <w:rsid w:val="00A838B4"/>
    <w:rsid w:val="00A85E24"/>
    <w:rsid w:val="00A86A27"/>
    <w:rsid w:val="00A86C7D"/>
    <w:rsid w:val="00A90C10"/>
    <w:rsid w:val="00A90CEA"/>
    <w:rsid w:val="00A90F80"/>
    <w:rsid w:val="00A912CA"/>
    <w:rsid w:val="00A913F0"/>
    <w:rsid w:val="00A937BE"/>
    <w:rsid w:val="00A9391C"/>
    <w:rsid w:val="00A943F9"/>
    <w:rsid w:val="00A95E38"/>
    <w:rsid w:val="00A97607"/>
    <w:rsid w:val="00A97798"/>
    <w:rsid w:val="00AA0680"/>
    <w:rsid w:val="00AA13FA"/>
    <w:rsid w:val="00AA1425"/>
    <w:rsid w:val="00AA14B9"/>
    <w:rsid w:val="00AA2FD6"/>
    <w:rsid w:val="00AA30E1"/>
    <w:rsid w:val="00AA466A"/>
    <w:rsid w:val="00AA64DC"/>
    <w:rsid w:val="00AA69CF"/>
    <w:rsid w:val="00AA7D1E"/>
    <w:rsid w:val="00AA7E05"/>
    <w:rsid w:val="00AB0755"/>
    <w:rsid w:val="00AB15ED"/>
    <w:rsid w:val="00AB1C6E"/>
    <w:rsid w:val="00AB1DC7"/>
    <w:rsid w:val="00AB1DFA"/>
    <w:rsid w:val="00AB2008"/>
    <w:rsid w:val="00AB2A33"/>
    <w:rsid w:val="00AB3019"/>
    <w:rsid w:val="00AB3396"/>
    <w:rsid w:val="00AB3603"/>
    <w:rsid w:val="00AB3CA3"/>
    <w:rsid w:val="00AB403E"/>
    <w:rsid w:val="00AB4196"/>
    <w:rsid w:val="00AB4393"/>
    <w:rsid w:val="00AB4449"/>
    <w:rsid w:val="00AB4470"/>
    <w:rsid w:val="00AB45F5"/>
    <w:rsid w:val="00AB4956"/>
    <w:rsid w:val="00AB6D66"/>
    <w:rsid w:val="00AB6F76"/>
    <w:rsid w:val="00AB7248"/>
    <w:rsid w:val="00AB7421"/>
    <w:rsid w:val="00AB74C6"/>
    <w:rsid w:val="00AB74E2"/>
    <w:rsid w:val="00AB7B08"/>
    <w:rsid w:val="00AB7C3A"/>
    <w:rsid w:val="00AC0618"/>
    <w:rsid w:val="00AC0BAB"/>
    <w:rsid w:val="00AC12C8"/>
    <w:rsid w:val="00AC1AF2"/>
    <w:rsid w:val="00AC496A"/>
    <w:rsid w:val="00AC5148"/>
    <w:rsid w:val="00AC57D7"/>
    <w:rsid w:val="00AC5D28"/>
    <w:rsid w:val="00AC72E3"/>
    <w:rsid w:val="00AC7618"/>
    <w:rsid w:val="00AC76DA"/>
    <w:rsid w:val="00AD1117"/>
    <w:rsid w:val="00AD20B8"/>
    <w:rsid w:val="00AD20CD"/>
    <w:rsid w:val="00AD38A9"/>
    <w:rsid w:val="00AD3FE2"/>
    <w:rsid w:val="00AD4270"/>
    <w:rsid w:val="00AD4ACC"/>
    <w:rsid w:val="00AD6CDD"/>
    <w:rsid w:val="00AD739D"/>
    <w:rsid w:val="00AE1120"/>
    <w:rsid w:val="00AE112B"/>
    <w:rsid w:val="00AE1277"/>
    <w:rsid w:val="00AE21E8"/>
    <w:rsid w:val="00AE376D"/>
    <w:rsid w:val="00AE51F9"/>
    <w:rsid w:val="00AE6B56"/>
    <w:rsid w:val="00AE73A9"/>
    <w:rsid w:val="00AE74F6"/>
    <w:rsid w:val="00AE7856"/>
    <w:rsid w:val="00AE7C57"/>
    <w:rsid w:val="00AE7F71"/>
    <w:rsid w:val="00AF0FA2"/>
    <w:rsid w:val="00AF19A3"/>
    <w:rsid w:val="00AF25B2"/>
    <w:rsid w:val="00AF2947"/>
    <w:rsid w:val="00AF2D56"/>
    <w:rsid w:val="00AF35D6"/>
    <w:rsid w:val="00AF448C"/>
    <w:rsid w:val="00AF5197"/>
    <w:rsid w:val="00AF552D"/>
    <w:rsid w:val="00AF6361"/>
    <w:rsid w:val="00AF7346"/>
    <w:rsid w:val="00AF7987"/>
    <w:rsid w:val="00B016FA"/>
    <w:rsid w:val="00B02496"/>
    <w:rsid w:val="00B02DB3"/>
    <w:rsid w:val="00B0394E"/>
    <w:rsid w:val="00B03E99"/>
    <w:rsid w:val="00B042F9"/>
    <w:rsid w:val="00B04DA9"/>
    <w:rsid w:val="00B04DCB"/>
    <w:rsid w:val="00B05287"/>
    <w:rsid w:val="00B05353"/>
    <w:rsid w:val="00B064A1"/>
    <w:rsid w:val="00B06733"/>
    <w:rsid w:val="00B073F1"/>
    <w:rsid w:val="00B07E2F"/>
    <w:rsid w:val="00B100C3"/>
    <w:rsid w:val="00B1057A"/>
    <w:rsid w:val="00B10904"/>
    <w:rsid w:val="00B10C1B"/>
    <w:rsid w:val="00B10C3C"/>
    <w:rsid w:val="00B11D3C"/>
    <w:rsid w:val="00B12635"/>
    <w:rsid w:val="00B126F0"/>
    <w:rsid w:val="00B13516"/>
    <w:rsid w:val="00B13C5F"/>
    <w:rsid w:val="00B13F71"/>
    <w:rsid w:val="00B14348"/>
    <w:rsid w:val="00B15033"/>
    <w:rsid w:val="00B15E18"/>
    <w:rsid w:val="00B16116"/>
    <w:rsid w:val="00B177D0"/>
    <w:rsid w:val="00B17D7C"/>
    <w:rsid w:val="00B202A6"/>
    <w:rsid w:val="00B20453"/>
    <w:rsid w:val="00B20702"/>
    <w:rsid w:val="00B20D80"/>
    <w:rsid w:val="00B22178"/>
    <w:rsid w:val="00B2236E"/>
    <w:rsid w:val="00B22671"/>
    <w:rsid w:val="00B2298F"/>
    <w:rsid w:val="00B2400C"/>
    <w:rsid w:val="00B242DB"/>
    <w:rsid w:val="00B24C21"/>
    <w:rsid w:val="00B24D2E"/>
    <w:rsid w:val="00B25B25"/>
    <w:rsid w:val="00B26A23"/>
    <w:rsid w:val="00B27B72"/>
    <w:rsid w:val="00B316D3"/>
    <w:rsid w:val="00B31944"/>
    <w:rsid w:val="00B334D4"/>
    <w:rsid w:val="00B34584"/>
    <w:rsid w:val="00B34F06"/>
    <w:rsid w:val="00B36CFC"/>
    <w:rsid w:val="00B37D18"/>
    <w:rsid w:val="00B37DBD"/>
    <w:rsid w:val="00B407B5"/>
    <w:rsid w:val="00B40A6C"/>
    <w:rsid w:val="00B413E4"/>
    <w:rsid w:val="00B4250F"/>
    <w:rsid w:val="00B4345F"/>
    <w:rsid w:val="00B4461A"/>
    <w:rsid w:val="00B44CF4"/>
    <w:rsid w:val="00B454D6"/>
    <w:rsid w:val="00B457E8"/>
    <w:rsid w:val="00B45A76"/>
    <w:rsid w:val="00B45E6B"/>
    <w:rsid w:val="00B465A1"/>
    <w:rsid w:val="00B468E4"/>
    <w:rsid w:val="00B4729D"/>
    <w:rsid w:val="00B47885"/>
    <w:rsid w:val="00B50820"/>
    <w:rsid w:val="00B5196F"/>
    <w:rsid w:val="00B51A9B"/>
    <w:rsid w:val="00B51C24"/>
    <w:rsid w:val="00B5331F"/>
    <w:rsid w:val="00B53564"/>
    <w:rsid w:val="00B53588"/>
    <w:rsid w:val="00B53FD0"/>
    <w:rsid w:val="00B54230"/>
    <w:rsid w:val="00B54992"/>
    <w:rsid w:val="00B54AB3"/>
    <w:rsid w:val="00B55F70"/>
    <w:rsid w:val="00B56E32"/>
    <w:rsid w:val="00B57F35"/>
    <w:rsid w:val="00B60849"/>
    <w:rsid w:val="00B6122A"/>
    <w:rsid w:val="00B612D0"/>
    <w:rsid w:val="00B6197B"/>
    <w:rsid w:val="00B61C30"/>
    <w:rsid w:val="00B62267"/>
    <w:rsid w:val="00B632A0"/>
    <w:rsid w:val="00B6388B"/>
    <w:rsid w:val="00B63DE1"/>
    <w:rsid w:val="00B645A7"/>
    <w:rsid w:val="00B6544A"/>
    <w:rsid w:val="00B65978"/>
    <w:rsid w:val="00B66988"/>
    <w:rsid w:val="00B67FFC"/>
    <w:rsid w:val="00B70108"/>
    <w:rsid w:val="00B70304"/>
    <w:rsid w:val="00B7032F"/>
    <w:rsid w:val="00B709E5"/>
    <w:rsid w:val="00B70B6D"/>
    <w:rsid w:val="00B7127E"/>
    <w:rsid w:val="00B71C57"/>
    <w:rsid w:val="00B726CF"/>
    <w:rsid w:val="00B72C1A"/>
    <w:rsid w:val="00B74028"/>
    <w:rsid w:val="00B75521"/>
    <w:rsid w:val="00B76613"/>
    <w:rsid w:val="00B76FB6"/>
    <w:rsid w:val="00B77457"/>
    <w:rsid w:val="00B774C3"/>
    <w:rsid w:val="00B8122A"/>
    <w:rsid w:val="00B8156E"/>
    <w:rsid w:val="00B81940"/>
    <w:rsid w:val="00B81BEA"/>
    <w:rsid w:val="00B826B8"/>
    <w:rsid w:val="00B826EA"/>
    <w:rsid w:val="00B83655"/>
    <w:rsid w:val="00B83AA1"/>
    <w:rsid w:val="00B8442D"/>
    <w:rsid w:val="00B845FE"/>
    <w:rsid w:val="00B84DD4"/>
    <w:rsid w:val="00B8572E"/>
    <w:rsid w:val="00B857BD"/>
    <w:rsid w:val="00B85931"/>
    <w:rsid w:val="00B8607F"/>
    <w:rsid w:val="00B863D4"/>
    <w:rsid w:val="00B86DBC"/>
    <w:rsid w:val="00B87027"/>
    <w:rsid w:val="00B87B0F"/>
    <w:rsid w:val="00B90FB0"/>
    <w:rsid w:val="00B911D0"/>
    <w:rsid w:val="00B91418"/>
    <w:rsid w:val="00B921BB"/>
    <w:rsid w:val="00B930EF"/>
    <w:rsid w:val="00B9358B"/>
    <w:rsid w:val="00B946E8"/>
    <w:rsid w:val="00B97229"/>
    <w:rsid w:val="00B97460"/>
    <w:rsid w:val="00B9753A"/>
    <w:rsid w:val="00BA021E"/>
    <w:rsid w:val="00BA059F"/>
    <w:rsid w:val="00BA0F2C"/>
    <w:rsid w:val="00BA135C"/>
    <w:rsid w:val="00BA17FB"/>
    <w:rsid w:val="00BA1952"/>
    <w:rsid w:val="00BA1B01"/>
    <w:rsid w:val="00BA1B54"/>
    <w:rsid w:val="00BA2693"/>
    <w:rsid w:val="00BA2A96"/>
    <w:rsid w:val="00BA3018"/>
    <w:rsid w:val="00BA4492"/>
    <w:rsid w:val="00BA6B99"/>
    <w:rsid w:val="00BA6BF4"/>
    <w:rsid w:val="00BA753F"/>
    <w:rsid w:val="00BA778E"/>
    <w:rsid w:val="00BA7B21"/>
    <w:rsid w:val="00BA7B52"/>
    <w:rsid w:val="00BB07A5"/>
    <w:rsid w:val="00BB11D6"/>
    <w:rsid w:val="00BB193F"/>
    <w:rsid w:val="00BB2569"/>
    <w:rsid w:val="00BB2D2C"/>
    <w:rsid w:val="00BB3128"/>
    <w:rsid w:val="00BB75F0"/>
    <w:rsid w:val="00BC01F3"/>
    <w:rsid w:val="00BC02D5"/>
    <w:rsid w:val="00BC0325"/>
    <w:rsid w:val="00BC09E4"/>
    <w:rsid w:val="00BC1008"/>
    <w:rsid w:val="00BC2447"/>
    <w:rsid w:val="00BC2E4A"/>
    <w:rsid w:val="00BC3484"/>
    <w:rsid w:val="00BC386F"/>
    <w:rsid w:val="00BC49E8"/>
    <w:rsid w:val="00BC4E85"/>
    <w:rsid w:val="00BC50AA"/>
    <w:rsid w:val="00BC6856"/>
    <w:rsid w:val="00BC7554"/>
    <w:rsid w:val="00BC7AA9"/>
    <w:rsid w:val="00BC7D4F"/>
    <w:rsid w:val="00BC7FDF"/>
    <w:rsid w:val="00BD05C2"/>
    <w:rsid w:val="00BD1252"/>
    <w:rsid w:val="00BD1399"/>
    <w:rsid w:val="00BD2AF6"/>
    <w:rsid w:val="00BD2B01"/>
    <w:rsid w:val="00BD3FDB"/>
    <w:rsid w:val="00BD4CD5"/>
    <w:rsid w:val="00BD4FF1"/>
    <w:rsid w:val="00BD5D0E"/>
    <w:rsid w:val="00BD671F"/>
    <w:rsid w:val="00BD6968"/>
    <w:rsid w:val="00BD6A6C"/>
    <w:rsid w:val="00BD6BDC"/>
    <w:rsid w:val="00BD728A"/>
    <w:rsid w:val="00BD7563"/>
    <w:rsid w:val="00BD7DEF"/>
    <w:rsid w:val="00BE0751"/>
    <w:rsid w:val="00BE0C6B"/>
    <w:rsid w:val="00BE1A28"/>
    <w:rsid w:val="00BE1C84"/>
    <w:rsid w:val="00BE2949"/>
    <w:rsid w:val="00BE2CCF"/>
    <w:rsid w:val="00BE4542"/>
    <w:rsid w:val="00BE52A2"/>
    <w:rsid w:val="00BE5909"/>
    <w:rsid w:val="00BE5AAB"/>
    <w:rsid w:val="00BE6164"/>
    <w:rsid w:val="00BE731A"/>
    <w:rsid w:val="00BE77A0"/>
    <w:rsid w:val="00BE7E34"/>
    <w:rsid w:val="00BF0207"/>
    <w:rsid w:val="00BF0E0C"/>
    <w:rsid w:val="00BF16A5"/>
    <w:rsid w:val="00BF1810"/>
    <w:rsid w:val="00BF1918"/>
    <w:rsid w:val="00BF19F8"/>
    <w:rsid w:val="00BF1F29"/>
    <w:rsid w:val="00BF218E"/>
    <w:rsid w:val="00BF2834"/>
    <w:rsid w:val="00BF2A5A"/>
    <w:rsid w:val="00BF2C4D"/>
    <w:rsid w:val="00BF357F"/>
    <w:rsid w:val="00BF3F66"/>
    <w:rsid w:val="00BF5B90"/>
    <w:rsid w:val="00BF5C41"/>
    <w:rsid w:val="00BF69CA"/>
    <w:rsid w:val="00BF70F9"/>
    <w:rsid w:val="00BF742E"/>
    <w:rsid w:val="00C0002D"/>
    <w:rsid w:val="00C0039D"/>
    <w:rsid w:val="00C00691"/>
    <w:rsid w:val="00C0163F"/>
    <w:rsid w:val="00C01A1C"/>
    <w:rsid w:val="00C02164"/>
    <w:rsid w:val="00C02AE3"/>
    <w:rsid w:val="00C048E2"/>
    <w:rsid w:val="00C05603"/>
    <w:rsid w:val="00C060A4"/>
    <w:rsid w:val="00C0660F"/>
    <w:rsid w:val="00C06840"/>
    <w:rsid w:val="00C07C4D"/>
    <w:rsid w:val="00C1045C"/>
    <w:rsid w:val="00C10968"/>
    <w:rsid w:val="00C111B5"/>
    <w:rsid w:val="00C11230"/>
    <w:rsid w:val="00C11BD9"/>
    <w:rsid w:val="00C120A3"/>
    <w:rsid w:val="00C13219"/>
    <w:rsid w:val="00C146D8"/>
    <w:rsid w:val="00C1559E"/>
    <w:rsid w:val="00C15740"/>
    <w:rsid w:val="00C1589B"/>
    <w:rsid w:val="00C16534"/>
    <w:rsid w:val="00C17D89"/>
    <w:rsid w:val="00C20C2A"/>
    <w:rsid w:val="00C21077"/>
    <w:rsid w:val="00C21081"/>
    <w:rsid w:val="00C21CA7"/>
    <w:rsid w:val="00C23079"/>
    <w:rsid w:val="00C2332C"/>
    <w:rsid w:val="00C233E9"/>
    <w:rsid w:val="00C23765"/>
    <w:rsid w:val="00C238FE"/>
    <w:rsid w:val="00C24DA1"/>
    <w:rsid w:val="00C25AC6"/>
    <w:rsid w:val="00C25C18"/>
    <w:rsid w:val="00C266A7"/>
    <w:rsid w:val="00C2714D"/>
    <w:rsid w:val="00C27704"/>
    <w:rsid w:val="00C277A5"/>
    <w:rsid w:val="00C2788A"/>
    <w:rsid w:val="00C30017"/>
    <w:rsid w:val="00C30EEB"/>
    <w:rsid w:val="00C3107B"/>
    <w:rsid w:val="00C31B03"/>
    <w:rsid w:val="00C31FB1"/>
    <w:rsid w:val="00C3251E"/>
    <w:rsid w:val="00C3291C"/>
    <w:rsid w:val="00C3325B"/>
    <w:rsid w:val="00C33C5B"/>
    <w:rsid w:val="00C33D8C"/>
    <w:rsid w:val="00C36279"/>
    <w:rsid w:val="00C36387"/>
    <w:rsid w:val="00C364A2"/>
    <w:rsid w:val="00C3679C"/>
    <w:rsid w:val="00C37561"/>
    <w:rsid w:val="00C3759B"/>
    <w:rsid w:val="00C375B5"/>
    <w:rsid w:val="00C402CD"/>
    <w:rsid w:val="00C408FA"/>
    <w:rsid w:val="00C40D9B"/>
    <w:rsid w:val="00C41008"/>
    <w:rsid w:val="00C41505"/>
    <w:rsid w:val="00C4180D"/>
    <w:rsid w:val="00C41972"/>
    <w:rsid w:val="00C430D5"/>
    <w:rsid w:val="00C43D6E"/>
    <w:rsid w:val="00C43D7E"/>
    <w:rsid w:val="00C44793"/>
    <w:rsid w:val="00C4496D"/>
    <w:rsid w:val="00C44B1D"/>
    <w:rsid w:val="00C44BA1"/>
    <w:rsid w:val="00C44D4D"/>
    <w:rsid w:val="00C454E3"/>
    <w:rsid w:val="00C4566A"/>
    <w:rsid w:val="00C46F3F"/>
    <w:rsid w:val="00C471A8"/>
    <w:rsid w:val="00C476BF"/>
    <w:rsid w:val="00C50775"/>
    <w:rsid w:val="00C50A06"/>
    <w:rsid w:val="00C50CCA"/>
    <w:rsid w:val="00C51AA7"/>
    <w:rsid w:val="00C52AEF"/>
    <w:rsid w:val="00C540DC"/>
    <w:rsid w:val="00C55776"/>
    <w:rsid w:val="00C5745F"/>
    <w:rsid w:val="00C6040C"/>
    <w:rsid w:val="00C60785"/>
    <w:rsid w:val="00C60B36"/>
    <w:rsid w:val="00C62811"/>
    <w:rsid w:val="00C63728"/>
    <w:rsid w:val="00C63A2B"/>
    <w:rsid w:val="00C654B3"/>
    <w:rsid w:val="00C65A1F"/>
    <w:rsid w:val="00C6634D"/>
    <w:rsid w:val="00C7034E"/>
    <w:rsid w:val="00C70690"/>
    <w:rsid w:val="00C70A77"/>
    <w:rsid w:val="00C71103"/>
    <w:rsid w:val="00C732C1"/>
    <w:rsid w:val="00C73B08"/>
    <w:rsid w:val="00C74267"/>
    <w:rsid w:val="00C744B3"/>
    <w:rsid w:val="00C750D4"/>
    <w:rsid w:val="00C76758"/>
    <w:rsid w:val="00C76AA2"/>
    <w:rsid w:val="00C77F5B"/>
    <w:rsid w:val="00C80A53"/>
    <w:rsid w:val="00C816D7"/>
    <w:rsid w:val="00C835A7"/>
    <w:rsid w:val="00C838C7"/>
    <w:rsid w:val="00C838ED"/>
    <w:rsid w:val="00C83D96"/>
    <w:rsid w:val="00C844FB"/>
    <w:rsid w:val="00C86FE9"/>
    <w:rsid w:val="00C876F7"/>
    <w:rsid w:val="00C87F6A"/>
    <w:rsid w:val="00C91884"/>
    <w:rsid w:val="00C925A3"/>
    <w:rsid w:val="00C926B6"/>
    <w:rsid w:val="00C93D19"/>
    <w:rsid w:val="00C9406E"/>
    <w:rsid w:val="00C9627B"/>
    <w:rsid w:val="00C96355"/>
    <w:rsid w:val="00C965D3"/>
    <w:rsid w:val="00C969C5"/>
    <w:rsid w:val="00CA014C"/>
    <w:rsid w:val="00CA04D1"/>
    <w:rsid w:val="00CA138B"/>
    <w:rsid w:val="00CA17A7"/>
    <w:rsid w:val="00CA1B8E"/>
    <w:rsid w:val="00CA20C1"/>
    <w:rsid w:val="00CA2129"/>
    <w:rsid w:val="00CA2B41"/>
    <w:rsid w:val="00CA2DE7"/>
    <w:rsid w:val="00CA2FCB"/>
    <w:rsid w:val="00CA38F8"/>
    <w:rsid w:val="00CA51CC"/>
    <w:rsid w:val="00CA54AA"/>
    <w:rsid w:val="00CA58AF"/>
    <w:rsid w:val="00CA5993"/>
    <w:rsid w:val="00CA66A5"/>
    <w:rsid w:val="00CA7E7A"/>
    <w:rsid w:val="00CB014F"/>
    <w:rsid w:val="00CB1595"/>
    <w:rsid w:val="00CB1AF1"/>
    <w:rsid w:val="00CB1B45"/>
    <w:rsid w:val="00CB1D45"/>
    <w:rsid w:val="00CB1DF7"/>
    <w:rsid w:val="00CB35E1"/>
    <w:rsid w:val="00CB3B7B"/>
    <w:rsid w:val="00CB3DDF"/>
    <w:rsid w:val="00CB4803"/>
    <w:rsid w:val="00CB4DCC"/>
    <w:rsid w:val="00CB4F4F"/>
    <w:rsid w:val="00CB5A7A"/>
    <w:rsid w:val="00CB600E"/>
    <w:rsid w:val="00CB63D9"/>
    <w:rsid w:val="00CB6605"/>
    <w:rsid w:val="00CB7283"/>
    <w:rsid w:val="00CB7688"/>
    <w:rsid w:val="00CB76F1"/>
    <w:rsid w:val="00CB7781"/>
    <w:rsid w:val="00CB77D0"/>
    <w:rsid w:val="00CB7825"/>
    <w:rsid w:val="00CC0A4F"/>
    <w:rsid w:val="00CC0F16"/>
    <w:rsid w:val="00CC18DF"/>
    <w:rsid w:val="00CC1F16"/>
    <w:rsid w:val="00CC23B9"/>
    <w:rsid w:val="00CC2879"/>
    <w:rsid w:val="00CC2FE6"/>
    <w:rsid w:val="00CC31BE"/>
    <w:rsid w:val="00CC3203"/>
    <w:rsid w:val="00CC426A"/>
    <w:rsid w:val="00CC4789"/>
    <w:rsid w:val="00CC4A64"/>
    <w:rsid w:val="00CC4B3B"/>
    <w:rsid w:val="00CC54B6"/>
    <w:rsid w:val="00CC61F9"/>
    <w:rsid w:val="00CC6432"/>
    <w:rsid w:val="00CC7279"/>
    <w:rsid w:val="00CC72C6"/>
    <w:rsid w:val="00CC73C8"/>
    <w:rsid w:val="00CD0710"/>
    <w:rsid w:val="00CD0801"/>
    <w:rsid w:val="00CD145B"/>
    <w:rsid w:val="00CD174C"/>
    <w:rsid w:val="00CD1BBB"/>
    <w:rsid w:val="00CD297D"/>
    <w:rsid w:val="00CD2B01"/>
    <w:rsid w:val="00CD2C28"/>
    <w:rsid w:val="00CD3090"/>
    <w:rsid w:val="00CD33D8"/>
    <w:rsid w:val="00CD3B00"/>
    <w:rsid w:val="00CD3B76"/>
    <w:rsid w:val="00CD40C1"/>
    <w:rsid w:val="00CD4218"/>
    <w:rsid w:val="00CD4553"/>
    <w:rsid w:val="00CD4BA5"/>
    <w:rsid w:val="00CD5493"/>
    <w:rsid w:val="00CD5502"/>
    <w:rsid w:val="00CD62D6"/>
    <w:rsid w:val="00CD63E1"/>
    <w:rsid w:val="00CD63F2"/>
    <w:rsid w:val="00CD6B87"/>
    <w:rsid w:val="00CE0033"/>
    <w:rsid w:val="00CE1322"/>
    <w:rsid w:val="00CE15A3"/>
    <w:rsid w:val="00CE311D"/>
    <w:rsid w:val="00CE4117"/>
    <w:rsid w:val="00CE43AF"/>
    <w:rsid w:val="00CE541A"/>
    <w:rsid w:val="00CE653B"/>
    <w:rsid w:val="00CF0661"/>
    <w:rsid w:val="00CF23EF"/>
    <w:rsid w:val="00CF2945"/>
    <w:rsid w:val="00CF2AE1"/>
    <w:rsid w:val="00CF470F"/>
    <w:rsid w:val="00CF4DD0"/>
    <w:rsid w:val="00CF5CE2"/>
    <w:rsid w:val="00CF6911"/>
    <w:rsid w:val="00CF6B2E"/>
    <w:rsid w:val="00CF6B3F"/>
    <w:rsid w:val="00CF76ED"/>
    <w:rsid w:val="00CF7855"/>
    <w:rsid w:val="00D01C54"/>
    <w:rsid w:val="00D03139"/>
    <w:rsid w:val="00D03C7B"/>
    <w:rsid w:val="00D04A92"/>
    <w:rsid w:val="00D04E86"/>
    <w:rsid w:val="00D051D0"/>
    <w:rsid w:val="00D0642F"/>
    <w:rsid w:val="00D06542"/>
    <w:rsid w:val="00D06965"/>
    <w:rsid w:val="00D06D76"/>
    <w:rsid w:val="00D0798E"/>
    <w:rsid w:val="00D07B09"/>
    <w:rsid w:val="00D07B8D"/>
    <w:rsid w:val="00D103F9"/>
    <w:rsid w:val="00D10A5E"/>
    <w:rsid w:val="00D10AB1"/>
    <w:rsid w:val="00D11E6A"/>
    <w:rsid w:val="00D120AD"/>
    <w:rsid w:val="00D122AD"/>
    <w:rsid w:val="00D124C4"/>
    <w:rsid w:val="00D126DB"/>
    <w:rsid w:val="00D134AB"/>
    <w:rsid w:val="00D14429"/>
    <w:rsid w:val="00D14B1C"/>
    <w:rsid w:val="00D15708"/>
    <w:rsid w:val="00D164F6"/>
    <w:rsid w:val="00D16CB5"/>
    <w:rsid w:val="00D1796B"/>
    <w:rsid w:val="00D17CC7"/>
    <w:rsid w:val="00D20210"/>
    <w:rsid w:val="00D20B9C"/>
    <w:rsid w:val="00D212EF"/>
    <w:rsid w:val="00D21576"/>
    <w:rsid w:val="00D21BEC"/>
    <w:rsid w:val="00D24035"/>
    <w:rsid w:val="00D24356"/>
    <w:rsid w:val="00D24D8B"/>
    <w:rsid w:val="00D25943"/>
    <w:rsid w:val="00D311C4"/>
    <w:rsid w:val="00D31354"/>
    <w:rsid w:val="00D3155D"/>
    <w:rsid w:val="00D31FC0"/>
    <w:rsid w:val="00D333BA"/>
    <w:rsid w:val="00D33702"/>
    <w:rsid w:val="00D34491"/>
    <w:rsid w:val="00D34589"/>
    <w:rsid w:val="00D3549E"/>
    <w:rsid w:val="00D3657D"/>
    <w:rsid w:val="00D365A4"/>
    <w:rsid w:val="00D365FF"/>
    <w:rsid w:val="00D36676"/>
    <w:rsid w:val="00D36814"/>
    <w:rsid w:val="00D36C2C"/>
    <w:rsid w:val="00D40CFF"/>
    <w:rsid w:val="00D41357"/>
    <w:rsid w:val="00D42179"/>
    <w:rsid w:val="00D44A08"/>
    <w:rsid w:val="00D455D8"/>
    <w:rsid w:val="00D45669"/>
    <w:rsid w:val="00D456FC"/>
    <w:rsid w:val="00D47CAB"/>
    <w:rsid w:val="00D50047"/>
    <w:rsid w:val="00D50C56"/>
    <w:rsid w:val="00D51253"/>
    <w:rsid w:val="00D5144F"/>
    <w:rsid w:val="00D515ED"/>
    <w:rsid w:val="00D516EC"/>
    <w:rsid w:val="00D52A3F"/>
    <w:rsid w:val="00D52F6A"/>
    <w:rsid w:val="00D53EC6"/>
    <w:rsid w:val="00D5482B"/>
    <w:rsid w:val="00D54B28"/>
    <w:rsid w:val="00D553FC"/>
    <w:rsid w:val="00D56D21"/>
    <w:rsid w:val="00D56DF4"/>
    <w:rsid w:val="00D56E36"/>
    <w:rsid w:val="00D61055"/>
    <w:rsid w:val="00D613D9"/>
    <w:rsid w:val="00D61760"/>
    <w:rsid w:val="00D62410"/>
    <w:rsid w:val="00D630F1"/>
    <w:rsid w:val="00D63384"/>
    <w:rsid w:val="00D633DD"/>
    <w:rsid w:val="00D634BA"/>
    <w:rsid w:val="00D643AA"/>
    <w:rsid w:val="00D65DF3"/>
    <w:rsid w:val="00D664C0"/>
    <w:rsid w:val="00D66CDF"/>
    <w:rsid w:val="00D66EE7"/>
    <w:rsid w:val="00D703E8"/>
    <w:rsid w:val="00D71032"/>
    <w:rsid w:val="00D713E9"/>
    <w:rsid w:val="00D72C77"/>
    <w:rsid w:val="00D72F2E"/>
    <w:rsid w:val="00D736BC"/>
    <w:rsid w:val="00D73815"/>
    <w:rsid w:val="00D74E57"/>
    <w:rsid w:val="00D74EFB"/>
    <w:rsid w:val="00D75363"/>
    <w:rsid w:val="00D75E2E"/>
    <w:rsid w:val="00D76ECB"/>
    <w:rsid w:val="00D77252"/>
    <w:rsid w:val="00D779AA"/>
    <w:rsid w:val="00D800D5"/>
    <w:rsid w:val="00D8010A"/>
    <w:rsid w:val="00D80EB4"/>
    <w:rsid w:val="00D82729"/>
    <w:rsid w:val="00D82A22"/>
    <w:rsid w:val="00D83084"/>
    <w:rsid w:val="00D83756"/>
    <w:rsid w:val="00D84E55"/>
    <w:rsid w:val="00D855FF"/>
    <w:rsid w:val="00D85B8A"/>
    <w:rsid w:val="00D85F44"/>
    <w:rsid w:val="00D86386"/>
    <w:rsid w:val="00D86C66"/>
    <w:rsid w:val="00D87088"/>
    <w:rsid w:val="00D87141"/>
    <w:rsid w:val="00D87FF3"/>
    <w:rsid w:val="00D90CF7"/>
    <w:rsid w:val="00D91220"/>
    <w:rsid w:val="00D92CAA"/>
    <w:rsid w:val="00D934AA"/>
    <w:rsid w:val="00D93AD5"/>
    <w:rsid w:val="00D94FE3"/>
    <w:rsid w:val="00D9534B"/>
    <w:rsid w:val="00D953FA"/>
    <w:rsid w:val="00D954F2"/>
    <w:rsid w:val="00D95522"/>
    <w:rsid w:val="00D95DBC"/>
    <w:rsid w:val="00D965F8"/>
    <w:rsid w:val="00D96A94"/>
    <w:rsid w:val="00D9722D"/>
    <w:rsid w:val="00D9771F"/>
    <w:rsid w:val="00D97A24"/>
    <w:rsid w:val="00D97AE2"/>
    <w:rsid w:val="00DA19EF"/>
    <w:rsid w:val="00DA2578"/>
    <w:rsid w:val="00DA3106"/>
    <w:rsid w:val="00DA3434"/>
    <w:rsid w:val="00DA4364"/>
    <w:rsid w:val="00DA492D"/>
    <w:rsid w:val="00DA4C00"/>
    <w:rsid w:val="00DA7F7E"/>
    <w:rsid w:val="00DB00FC"/>
    <w:rsid w:val="00DB044D"/>
    <w:rsid w:val="00DB268A"/>
    <w:rsid w:val="00DB2B8B"/>
    <w:rsid w:val="00DB2F42"/>
    <w:rsid w:val="00DB36C8"/>
    <w:rsid w:val="00DB3F64"/>
    <w:rsid w:val="00DB4807"/>
    <w:rsid w:val="00DB5FE2"/>
    <w:rsid w:val="00DB60FC"/>
    <w:rsid w:val="00DB6922"/>
    <w:rsid w:val="00DC04A7"/>
    <w:rsid w:val="00DC06A1"/>
    <w:rsid w:val="00DC1191"/>
    <w:rsid w:val="00DC12A8"/>
    <w:rsid w:val="00DC1390"/>
    <w:rsid w:val="00DC1AD1"/>
    <w:rsid w:val="00DC1CE0"/>
    <w:rsid w:val="00DC257F"/>
    <w:rsid w:val="00DC3530"/>
    <w:rsid w:val="00DC3C61"/>
    <w:rsid w:val="00DC4519"/>
    <w:rsid w:val="00DC4541"/>
    <w:rsid w:val="00DC463E"/>
    <w:rsid w:val="00DC5302"/>
    <w:rsid w:val="00DC57E9"/>
    <w:rsid w:val="00DC5AC6"/>
    <w:rsid w:val="00DC5C45"/>
    <w:rsid w:val="00DC64A1"/>
    <w:rsid w:val="00DC6A15"/>
    <w:rsid w:val="00DC6C6F"/>
    <w:rsid w:val="00DD0F4F"/>
    <w:rsid w:val="00DD1710"/>
    <w:rsid w:val="00DD2F27"/>
    <w:rsid w:val="00DD5B2D"/>
    <w:rsid w:val="00DD5B3F"/>
    <w:rsid w:val="00DD5B62"/>
    <w:rsid w:val="00DD7DF2"/>
    <w:rsid w:val="00DD7F43"/>
    <w:rsid w:val="00DE18A0"/>
    <w:rsid w:val="00DE22B8"/>
    <w:rsid w:val="00DE3541"/>
    <w:rsid w:val="00DE368D"/>
    <w:rsid w:val="00DE3E3A"/>
    <w:rsid w:val="00DE4124"/>
    <w:rsid w:val="00DE4BD5"/>
    <w:rsid w:val="00DE54EA"/>
    <w:rsid w:val="00DE5A0F"/>
    <w:rsid w:val="00DE7038"/>
    <w:rsid w:val="00DE7252"/>
    <w:rsid w:val="00DE7803"/>
    <w:rsid w:val="00DF0FE9"/>
    <w:rsid w:val="00DF1216"/>
    <w:rsid w:val="00DF1C32"/>
    <w:rsid w:val="00DF1C49"/>
    <w:rsid w:val="00DF2DF9"/>
    <w:rsid w:val="00DF2FE6"/>
    <w:rsid w:val="00DF324B"/>
    <w:rsid w:val="00DF39E4"/>
    <w:rsid w:val="00DF3D62"/>
    <w:rsid w:val="00DF4588"/>
    <w:rsid w:val="00DF4C57"/>
    <w:rsid w:val="00DF4F33"/>
    <w:rsid w:val="00DF50D9"/>
    <w:rsid w:val="00DF61BB"/>
    <w:rsid w:val="00DF685B"/>
    <w:rsid w:val="00DF7151"/>
    <w:rsid w:val="00DF767B"/>
    <w:rsid w:val="00DF768D"/>
    <w:rsid w:val="00E0007E"/>
    <w:rsid w:val="00E00BF1"/>
    <w:rsid w:val="00E01898"/>
    <w:rsid w:val="00E0222E"/>
    <w:rsid w:val="00E0309F"/>
    <w:rsid w:val="00E03156"/>
    <w:rsid w:val="00E03F1F"/>
    <w:rsid w:val="00E0474A"/>
    <w:rsid w:val="00E06253"/>
    <w:rsid w:val="00E06FD6"/>
    <w:rsid w:val="00E11E5F"/>
    <w:rsid w:val="00E125C6"/>
    <w:rsid w:val="00E12C26"/>
    <w:rsid w:val="00E13A23"/>
    <w:rsid w:val="00E13B80"/>
    <w:rsid w:val="00E146F3"/>
    <w:rsid w:val="00E14CE8"/>
    <w:rsid w:val="00E14FA3"/>
    <w:rsid w:val="00E15651"/>
    <w:rsid w:val="00E157ED"/>
    <w:rsid w:val="00E15C22"/>
    <w:rsid w:val="00E15EDC"/>
    <w:rsid w:val="00E17145"/>
    <w:rsid w:val="00E17153"/>
    <w:rsid w:val="00E176A8"/>
    <w:rsid w:val="00E2006D"/>
    <w:rsid w:val="00E212BE"/>
    <w:rsid w:val="00E22869"/>
    <w:rsid w:val="00E241E6"/>
    <w:rsid w:val="00E249F2"/>
    <w:rsid w:val="00E24C0C"/>
    <w:rsid w:val="00E26378"/>
    <w:rsid w:val="00E26AAC"/>
    <w:rsid w:val="00E27192"/>
    <w:rsid w:val="00E274E8"/>
    <w:rsid w:val="00E27688"/>
    <w:rsid w:val="00E27A61"/>
    <w:rsid w:val="00E27AF2"/>
    <w:rsid w:val="00E27C26"/>
    <w:rsid w:val="00E301E7"/>
    <w:rsid w:val="00E3026D"/>
    <w:rsid w:val="00E30E65"/>
    <w:rsid w:val="00E312BA"/>
    <w:rsid w:val="00E31A8E"/>
    <w:rsid w:val="00E31C4B"/>
    <w:rsid w:val="00E31CCC"/>
    <w:rsid w:val="00E31DB2"/>
    <w:rsid w:val="00E31E1E"/>
    <w:rsid w:val="00E32109"/>
    <w:rsid w:val="00E32AAD"/>
    <w:rsid w:val="00E32D40"/>
    <w:rsid w:val="00E332DC"/>
    <w:rsid w:val="00E339B5"/>
    <w:rsid w:val="00E339B6"/>
    <w:rsid w:val="00E341EA"/>
    <w:rsid w:val="00E34FC7"/>
    <w:rsid w:val="00E35A5B"/>
    <w:rsid w:val="00E3602D"/>
    <w:rsid w:val="00E378E7"/>
    <w:rsid w:val="00E37929"/>
    <w:rsid w:val="00E37F26"/>
    <w:rsid w:val="00E40958"/>
    <w:rsid w:val="00E40DDD"/>
    <w:rsid w:val="00E4166E"/>
    <w:rsid w:val="00E41B26"/>
    <w:rsid w:val="00E4228E"/>
    <w:rsid w:val="00E422F7"/>
    <w:rsid w:val="00E4437F"/>
    <w:rsid w:val="00E446F0"/>
    <w:rsid w:val="00E4501E"/>
    <w:rsid w:val="00E456AE"/>
    <w:rsid w:val="00E45BB9"/>
    <w:rsid w:val="00E50A44"/>
    <w:rsid w:val="00E50E08"/>
    <w:rsid w:val="00E513E1"/>
    <w:rsid w:val="00E51ACD"/>
    <w:rsid w:val="00E51BFA"/>
    <w:rsid w:val="00E525D4"/>
    <w:rsid w:val="00E52A04"/>
    <w:rsid w:val="00E52AE9"/>
    <w:rsid w:val="00E530E7"/>
    <w:rsid w:val="00E53166"/>
    <w:rsid w:val="00E533EF"/>
    <w:rsid w:val="00E53C3D"/>
    <w:rsid w:val="00E53DEC"/>
    <w:rsid w:val="00E542F2"/>
    <w:rsid w:val="00E55088"/>
    <w:rsid w:val="00E551DE"/>
    <w:rsid w:val="00E559ED"/>
    <w:rsid w:val="00E559F4"/>
    <w:rsid w:val="00E561D6"/>
    <w:rsid w:val="00E56331"/>
    <w:rsid w:val="00E567DB"/>
    <w:rsid w:val="00E57349"/>
    <w:rsid w:val="00E57761"/>
    <w:rsid w:val="00E57AB3"/>
    <w:rsid w:val="00E60294"/>
    <w:rsid w:val="00E60BB2"/>
    <w:rsid w:val="00E61875"/>
    <w:rsid w:val="00E61B2E"/>
    <w:rsid w:val="00E61B73"/>
    <w:rsid w:val="00E62063"/>
    <w:rsid w:val="00E62101"/>
    <w:rsid w:val="00E62733"/>
    <w:rsid w:val="00E63676"/>
    <w:rsid w:val="00E63963"/>
    <w:rsid w:val="00E63BE4"/>
    <w:rsid w:val="00E65687"/>
    <w:rsid w:val="00E6585F"/>
    <w:rsid w:val="00E6591B"/>
    <w:rsid w:val="00E661AB"/>
    <w:rsid w:val="00E67695"/>
    <w:rsid w:val="00E6788C"/>
    <w:rsid w:val="00E7064F"/>
    <w:rsid w:val="00E70F1C"/>
    <w:rsid w:val="00E71B14"/>
    <w:rsid w:val="00E72313"/>
    <w:rsid w:val="00E72F1B"/>
    <w:rsid w:val="00E733D6"/>
    <w:rsid w:val="00E737E3"/>
    <w:rsid w:val="00E751C4"/>
    <w:rsid w:val="00E76414"/>
    <w:rsid w:val="00E76D0B"/>
    <w:rsid w:val="00E77737"/>
    <w:rsid w:val="00E77971"/>
    <w:rsid w:val="00E77BAB"/>
    <w:rsid w:val="00E77ECC"/>
    <w:rsid w:val="00E80032"/>
    <w:rsid w:val="00E80326"/>
    <w:rsid w:val="00E803FF"/>
    <w:rsid w:val="00E806EA"/>
    <w:rsid w:val="00E8099E"/>
    <w:rsid w:val="00E81054"/>
    <w:rsid w:val="00E8143B"/>
    <w:rsid w:val="00E81848"/>
    <w:rsid w:val="00E82413"/>
    <w:rsid w:val="00E82627"/>
    <w:rsid w:val="00E83BD8"/>
    <w:rsid w:val="00E84F07"/>
    <w:rsid w:val="00E858CB"/>
    <w:rsid w:val="00E8670C"/>
    <w:rsid w:val="00E9008F"/>
    <w:rsid w:val="00E90C71"/>
    <w:rsid w:val="00E90F3E"/>
    <w:rsid w:val="00E915F2"/>
    <w:rsid w:val="00E917D6"/>
    <w:rsid w:val="00E92209"/>
    <w:rsid w:val="00E926CC"/>
    <w:rsid w:val="00E92D00"/>
    <w:rsid w:val="00E933AD"/>
    <w:rsid w:val="00E93BB7"/>
    <w:rsid w:val="00E93F23"/>
    <w:rsid w:val="00E96C3C"/>
    <w:rsid w:val="00E970E6"/>
    <w:rsid w:val="00E977A6"/>
    <w:rsid w:val="00E97984"/>
    <w:rsid w:val="00E97D7D"/>
    <w:rsid w:val="00EA0A69"/>
    <w:rsid w:val="00EA1F9B"/>
    <w:rsid w:val="00EA2150"/>
    <w:rsid w:val="00EA378B"/>
    <w:rsid w:val="00EA3991"/>
    <w:rsid w:val="00EA4217"/>
    <w:rsid w:val="00EA43A1"/>
    <w:rsid w:val="00EA4C52"/>
    <w:rsid w:val="00EA4F64"/>
    <w:rsid w:val="00EA54FD"/>
    <w:rsid w:val="00EA56F1"/>
    <w:rsid w:val="00EA5E13"/>
    <w:rsid w:val="00EA6245"/>
    <w:rsid w:val="00EA6D42"/>
    <w:rsid w:val="00EA75A1"/>
    <w:rsid w:val="00EB0111"/>
    <w:rsid w:val="00EB0F1C"/>
    <w:rsid w:val="00EB1147"/>
    <w:rsid w:val="00EB176E"/>
    <w:rsid w:val="00EB19F2"/>
    <w:rsid w:val="00EB1C0E"/>
    <w:rsid w:val="00EB1F99"/>
    <w:rsid w:val="00EB2FB5"/>
    <w:rsid w:val="00EB3336"/>
    <w:rsid w:val="00EB479B"/>
    <w:rsid w:val="00EB47B0"/>
    <w:rsid w:val="00EB4A4D"/>
    <w:rsid w:val="00EB5412"/>
    <w:rsid w:val="00EB56B0"/>
    <w:rsid w:val="00EB67C7"/>
    <w:rsid w:val="00EB6BF2"/>
    <w:rsid w:val="00EB75C6"/>
    <w:rsid w:val="00EB7F10"/>
    <w:rsid w:val="00EC1791"/>
    <w:rsid w:val="00EC2486"/>
    <w:rsid w:val="00EC24F6"/>
    <w:rsid w:val="00EC2E97"/>
    <w:rsid w:val="00EC3E47"/>
    <w:rsid w:val="00EC404E"/>
    <w:rsid w:val="00EC4103"/>
    <w:rsid w:val="00EC4801"/>
    <w:rsid w:val="00EC4ADB"/>
    <w:rsid w:val="00EC6043"/>
    <w:rsid w:val="00EC6097"/>
    <w:rsid w:val="00EC68B6"/>
    <w:rsid w:val="00EC78AB"/>
    <w:rsid w:val="00EC7B99"/>
    <w:rsid w:val="00ED0657"/>
    <w:rsid w:val="00ED0B80"/>
    <w:rsid w:val="00ED11F3"/>
    <w:rsid w:val="00ED2F8E"/>
    <w:rsid w:val="00ED48D0"/>
    <w:rsid w:val="00ED4A41"/>
    <w:rsid w:val="00ED4C4A"/>
    <w:rsid w:val="00ED5DFD"/>
    <w:rsid w:val="00ED5FE9"/>
    <w:rsid w:val="00ED623A"/>
    <w:rsid w:val="00ED6B96"/>
    <w:rsid w:val="00ED79BC"/>
    <w:rsid w:val="00EE0FE9"/>
    <w:rsid w:val="00EE2543"/>
    <w:rsid w:val="00EE2A3B"/>
    <w:rsid w:val="00EE2D68"/>
    <w:rsid w:val="00EE3EEE"/>
    <w:rsid w:val="00EE4A2B"/>
    <w:rsid w:val="00EE6426"/>
    <w:rsid w:val="00EE6E4F"/>
    <w:rsid w:val="00EE719C"/>
    <w:rsid w:val="00EE77F1"/>
    <w:rsid w:val="00EE7B41"/>
    <w:rsid w:val="00EF02E6"/>
    <w:rsid w:val="00EF05F9"/>
    <w:rsid w:val="00EF08EC"/>
    <w:rsid w:val="00EF163D"/>
    <w:rsid w:val="00EF261A"/>
    <w:rsid w:val="00EF2BE0"/>
    <w:rsid w:val="00EF2DB7"/>
    <w:rsid w:val="00EF364D"/>
    <w:rsid w:val="00EF3BD2"/>
    <w:rsid w:val="00EF5522"/>
    <w:rsid w:val="00EF5A04"/>
    <w:rsid w:val="00EF659D"/>
    <w:rsid w:val="00F003BB"/>
    <w:rsid w:val="00F0057E"/>
    <w:rsid w:val="00F015FE"/>
    <w:rsid w:val="00F019AE"/>
    <w:rsid w:val="00F019E6"/>
    <w:rsid w:val="00F02859"/>
    <w:rsid w:val="00F034F7"/>
    <w:rsid w:val="00F04185"/>
    <w:rsid w:val="00F05707"/>
    <w:rsid w:val="00F058D9"/>
    <w:rsid w:val="00F05A25"/>
    <w:rsid w:val="00F05C17"/>
    <w:rsid w:val="00F0620A"/>
    <w:rsid w:val="00F06367"/>
    <w:rsid w:val="00F075C4"/>
    <w:rsid w:val="00F07600"/>
    <w:rsid w:val="00F076A3"/>
    <w:rsid w:val="00F104D9"/>
    <w:rsid w:val="00F107FA"/>
    <w:rsid w:val="00F114C9"/>
    <w:rsid w:val="00F1196E"/>
    <w:rsid w:val="00F11C20"/>
    <w:rsid w:val="00F11D69"/>
    <w:rsid w:val="00F132B9"/>
    <w:rsid w:val="00F14370"/>
    <w:rsid w:val="00F14C7B"/>
    <w:rsid w:val="00F154B4"/>
    <w:rsid w:val="00F1551B"/>
    <w:rsid w:val="00F17B3A"/>
    <w:rsid w:val="00F20596"/>
    <w:rsid w:val="00F228F4"/>
    <w:rsid w:val="00F2430A"/>
    <w:rsid w:val="00F24F10"/>
    <w:rsid w:val="00F26661"/>
    <w:rsid w:val="00F26A03"/>
    <w:rsid w:val="00F26C2D"/>
    <w:rsid w:val="00F2708D"/>
    <w:rsid w:val="00F271C6"/>
    <w:rsid w:val="00F272F0"/>
    <w:rsid w:val="00F27B48"/>
    <w:rsid w:val="00F31722"/>
    <w:rsid w:val="00F31A8F"/>
    <w:rsid w:val="00F31B69"/>
    <w:rsid w:val="00F31E52"/>
    <w:rsid w:val="00F33082"/>
    <w:rsid w:val="00F33095"/>
    <w:rsid w:val="00F33366"/>
    <w:rsid w:val="00F33889"/>
    <w:rsid w:val="00F33E73"/>
    <w:rsid w:val="00F3411E"/>
    <w:rsid w:val="00F34631"/>
    <w:rsid w:val="00F36003"/>
    <w:rsid w:val="00F364BE"/>
    <w:rsid w:val="00F364F6"/>
    <w:rsid w:val="00F369C7"/>
    <w:rsid w:val="00F37A4A"/>
    <w:rsid w:val="00F37C48"/>
    <w:rsid w:val="00F401D3"/>
    <w:rsid w:val="00F403E5"/>
    <w:rsid w:val="00F40C73"/>
    <w:rsid w:val="00F41116"/>
    <w:rsid w:val="00F4128A"/>
    <w:rsid w:val="00F41599"/>
    <w:rsid w:val="00F4249F"/>
    <w:rsid w:val="00F42F4B"/>
    <w:rsid w:val="00F42FD5"/>
    <w:rsid w:val="00F43179"/>
    <w:rsid w:val="00F44D4D"/>
    <w:rsid w:val="00F44F67"/>
    <w:rsid w:val="00F45183"/>
    <w:rsid w:val="00F45DDD"/>
    <w:rsid w:val="00F4669F"/>
    <w:rsid w:val="00F46DBE"/>
    <w:rsid w:val="00F46FEC"/>
    <w:rsid w:val="00F4760A"/>
    <w:rsid w:val="00F47F9F"/>
    <w:rsid w:val="00F511BD"/>
    <w:rsid w:val="00F516B2"/>
    <w:rsid w:val="00F521E0"/>
    <w:rsid w:val="00F52F37"/>
    <w:rsid w:val="00F5371E"/>
    <w:rsid w:val="00F53A01"/>
    <w:rsid w:val="00F53D69"/>
    <w:rsid w:val="00F54C92"/>
    <w:rsid w:val="00F55818"/>
    <w:rsid w:val="00F5703D"/>
    <w:rsid w:val="00F603E0"/>
    <w:rsid w:val="00F603E4"/>
    <w:rsid w:val="00F60D72"/>
    <w:rsid w:val="00F6108E"/>
    <w:rsid w:val="00F6294E"/>
    <w:rsid w:val="00F632B3"/>
    <w:rsid w:val="00F63D85"/>
    <w:rsid w:val="00F64843"/>
    <w:rsid w:val="00F64C67"/>
    <w:rsid w:val="00F65187"/>
    <w:rsid w:val="00F65911"/>
    <w:rsid w:val="00F65B2A"/>
    <w:rsid w:val="00F65D66"/>
    <w:rsid w:val="00F66DFF"/>
    <w:rsid w:val="00F66E42"/>
    <w:rsid w:val="00F6709D"/>
    <w:rsid w:val="00F67418"/>
    <w:rsid w:val="00F6787D"/>
    <w:rsid w:val="00F678BC"/>
    <w:rsid w:val="00F70AC0"/>
    <w:rsid w:val="00F70B74"/>
    <w:rsid w:val="00F714A1"/>
    <w:rsid w:val="00F72757"/>
    <w:rsid w:val="00F72B2B"/>
    <w:rsid w:val="00F7377C"/>
    <w:rsid w:val="00F73F06"/>
    <w:rsid w:val="00F74AE0"/>
    <w:rsid w:val="00F756C4"/>
    <w:rsid w:val="00F75CA9"/>
    <w:rsid w:val="00F766BC"/>
    <w:rsid w:val="00F77A36"/>
    <w:rsid w:val="00F77B51"/>
    <w:rsid w:val="00F800DD"/>
    <w:rsid w:val="00F80FAC"/>
    <w:rsid w:val="00F8122A"/>
    <w:rsid w:val="00F847E1"/>
    <w:rsid w:val="00F84D63"/>
    <w:rsid w:val="00F856EF"/>
    <w:rsid w:val="00F86387"/>
    <w:rsid w:val="00F87161"/>
    <w:rsid w:val="00F8741F"/>
    <w:rsid w:val="00F87BA7"/>
    <w:rsid w:val="00F90712"/>
    <w:rsid w:val="00F90ABB"/>
    <w:rsid w:val="00F90BE0"/>
    <w:rsid w:val="00F914B5"/>
    <w:rsid w:val="00F91558"/>
    <w:rsid w:val="00F92D9A"/>
    <w:rsid w:val="00F9341C"/>
    <w:rsid w:val="00F944CF"/>
    <w:rsid w:val="00F94A62"/>
    <w:rsid w:val="00F94F52"/>
    <w:rsid w:val="00F96343"/>
    <w:rsid w:val="00F96D23"/>
    <w:rsid w:val="00F97B82"/>
    <w:rsid w:val="00F97CAB"/>
    <w:rsid w:val="00F97E6D"/>
    <w:rsid w:val="00FA14E6"/>
    <w:rsid w:val="00FA2053"/>
    <w:rsid w:val="00FA26CE"/>
    <w:rsid w:val="00FA2B76"/>
    <w:rsid w:val="00FA3140"/>
    <w:rsid w:val="00FA3F33"/>
    <w:rsid w:val="00FA3F8F"/>
    <w:rsid w:val="00FA456B"/>
    <w:rsid w:val="00FA4FDF"/>
    <w:rsid w:val="00FA50E2"/>
    <w:rsid w:val="00FA51BA"/>
    <w:rsid w:val="00FA5B99"/>
    <w:rsid w:val="00FA5C10"/>
    <w:rsid w:val="00FA64BE"/>
    <w:rsid w:val="00FA6726"/>
    <w:rsid w:val="00FA6A38"/>
    <w:rsid w:val="00FA70C4"/>
    <w:rsid w:val="00FB06DB"/>
    <w:rsid w:val="00FB1D5E"/>
    <w:rsid w:val="00FB39A9"/>
    <w:rsid w:val="00FB4881"/>
    <w:rsid w:val="00FB515F"/>
    <w:rsid w:val="00FB59CF"/>
    <w:rsid w:val="00FB5E64"/>
    <w:rsid w:val="00FB6193"/>
    <w:rsid w:val="00FB644C"/>
    <w:rsid w:val="00FB7082"/>
    <w:rsid w:val="00FB72F1"/>
    <w:rsid w:val="00FB752B"/>
    <w:rsid w:val="00FB754C"/>
    <w:rsid w:val="00FC0160"/>
    <w:rsid w:val="00FC0396"/>
    <w:rsid w:val="00FC0487"/>
    <w:rsid w:val="00FC0A51"/>
    <w:rsid w:val="00FC1C9C"/>
    <w:rsid w:val="00FC3149"/>
    <w:rsid w:val="00FC331F"/>
    <w:rsid w:val="00FC56EF"/>
    <w:rsid w:val="00FC65C2"/>
    <w:rsid w:val="00FC69FA"/>
    <w:rsid w:val="00FC6B86"/>
    <w:rsid w:val="00FC704C"/>
    <w:rsid w:val="00FC7B66"/>
    <w:rsid w:val="00FD0500"/>
    <w:rsid w:val="00FD0BB1"/>
    <w:rsid w:val="00FD0D8A"/>
    <w:rsid w:val="00FD1304"/>
    <w:rsid w:val="00FD1A93"/>
    <w:rsid w:val="00FD1A9B"/>
    <w:rsid w:val="00FD2E59"/>
    <w:rsid w:val="00FD3598"/>
    <w:rsid w:val="00FD3C4F"/>
    <w:rsid w:val="00FD3CCE"/>
    <w:rsid w:val="00FD40EB"/>
    <w:rsid w:val="00FD4FE9"/>
    <w:rsid w:val="00FD5D3B"/>
    <w:rsid w:val="00FD61A7"/>
    <w:rsid w:val="00FD6DAD"/>
    <w:rsid w:val="00FD729A"/>
    <w:rsid w:val="00FD731B"/>
    <w:rsid w:val="00FD76F6"/>
    <w:rsid w:val="00FD7881"/>
    <w:rsid w:val="00FD7D4E"/>
    <w:rsid w:val="00FD7E23"/>
    <w:rsid w:val="00FE02F6"/>
    <w:rsid w:val="00FE0418"/>
    <w:rsid w:val="00FE0AB8"/>
    <w:rsid w:val="00FE0BB6"/>
    <w:rsid w:val="00FE0DCD"/>
    <w:rsid w:val="00FE115B"/>
    <w:rsid w:val="00FE20EA"/>
    <w:rsid w:val="00FE22FB"/>
    <w:rsid w:val="00FE2714"/>
    <w:rsid w:val="00FE3812"/>
    <w:rsid w:val="00FE3ABC"/>
    <w:rsid w:val="00FE5576"/>
    <w:rsid w:val="00FE57E4"/>
    <w:rsid w:val="00FE61AD"/>
    <w:rsid w:val="00FE671B"/>
    <w:rsid w:val="00FE7B07"/>
    <w:rsid w:val="00FF08EB"/>
    <w:rsid w:val="00FF0EF5"/>
    <w:rsid w:val="00FF118C"/>
    <w:rsid w:val="00FF1468"/>
    <w:rsid w:val="00FF1A68"/>
    <w:rsid w:val="00FF229C"/>
    <w:rsid w:val="00FF3E77"/>
    <w:rsid w:val="00FF424B"/>
    <w:rsid w:val="00FF78E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596"/>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F0596"/>
    <w:pPr>
      <w:spacing w:after="120" w:line="480" w:lineRule="auto"/>
    </w:pPr>
    <w:rPr>
      <w:lang w:val="x-none"/>
    </w:rPr>
  </w:style>
  <w:style w:type="character" w:customStyle="1" w:styleId="BodyText2Char">
    <w:name w:val="Body Text 2 Char"/>
    <w:basedOn w:val="DefaultParagraphFont"/>
    <w:link w:val="BodyText2"/>
    <w:rsid w:val="006F0596"/>
    <w:rPr>
      <w:rFonts w:eastAsia="Times New Roman" w:cs="Times New Roman"/>
      <w:szCs w:val="24"/>
      <w:lang w:val="x-none" w:eastAsia="ru-RU"/>
    </w:rPr>
  </w:style>
  <w:style w:type="paragraph" w:styleId="Footer">
    <w:name w:val="footer"/>
    <w:basedOn w:val="Normal"/>
    <w:link w:val="FooterChar"/>
    <w:uiPriority w:val="99"/>
    <w:unhideWhenUsed/>
    <w:rsid w:val="006F0596"/>
    <w:pPr>
      <w:tabs>
        <w:tab w:val="center" w:pos="4153"/>
        <w:tab w:val="right" w:pos="8306"/>
      </w:tabs>
    </w:pPr>
  </w:style>
  <w:style w:type="character" w:customStyle="1" w:styleId="FooterChar">
    <w:name w:val="Footer Char"/>
    <w:basedOn w:val="DefaultParagraphFont"/>
    <w:link w:val="Footer"/>
    <w:uiPriority w:val="99"/>
    <w:rsid w:val="006F0596"/>
    <w:rPr>
      <w:rFonts w:eastAsia="Times New Roman" w:cs="Times New Roman"/>
      <w:szCs w:val="24"/>
      <w:lang w:eastAsia="ru-RU"/>
    </w:rPr>
  </w:style>
  <w:style w:type="character" w:styleId="PageNumber">
    <w:name w:val="page number"/>
    <w:basedOn w:val="DefaultParagraphFont"/>
    <w:rsid w:val="006F0596"/>
  </w:style>
  <w:style w:type="paragraph" w:customStyle="1" w:styleId="ATpamattesksts">
    <w:name w:val="AT pamattesksts"/>
    <w:basedOn w:val="BodyText2"/>
    <w:link w:val="ATpamatteskstsChar"/>
    <w:qFormat/>
    <w:rsid w:val="006F0596"/>
    <w:pPr>
      <w:spacing w:after="0" w:line="276" w:lineRule="auto"/>
      <w:ind w:firstLine="567"/>
      <w:jc w:val="both"/>
    </w:pPr>
  </w:style>
  <w:style w:type="character" w:customStyle="1" w:styleId="ATpamatteskstsChar">
    <w:name w:val="AT pamattesksts Char"/>
    <w:basedOn w:val="BodyText2Char"/>
    <w:link w:val="ATpamattesksts"/>
    <w:rsid w:val="006F0596"/>
    <w:rPr>
      <w:rFonts w:eastAsia="Times New Roman" w:cs="Times New Roman"/>
      <w:szCs w:val="24"/>
      <w:lang w:val="x-none" w:eastAsia="ru-RU"/>
    </w:rPr>
  </w:style>
  <w:style w:type="paragraph" w:customStyle="1" w:styleId="ATvirsraksts">
    <w:name w:val="AT virsraksts"/>
    <w:basedOn w:val="Normal"/>
    <w:link w:val="ATvirsrakstsChar"/>
    <w:qFormat/>
    <w:rsid w:val="006F0596"/>
    <w:pPr>
      <w:spacing w:line="276" w:lineRule="auto"/>
      <w:jc w:val="center"/>
      <w:outlineLvl w:val="0"/>
    </w:pPr>
    <w:rPr>
      <w:b/>
    </w:rPr>
  </w:style>
  <w:style w:type="character" w:customStyle="1" w:styleId="ATvirsrakstsChar">
    <w:name w:val="AT virsraksts Char"/>
    <w:basedOn w:val="DefaultParagraphFont"/>
    <w:link w:val="ATvirsraksts"/>
    <w:rsid w:val="006F0596"/>
    <w:rPr>
      <w:rFonts w:eastAsia="Times New Roman" w:cs="Times New Roman"/>
      <w:b/>
      <w:szCs w:val="24"/>
      <w:lang w:eastAsia="ru-RU"/>
    </w:rPr>
  </w:style>
  <w:style w:type="table" w:styleId="TableGrid">
    <w:name w:val="Table Grid"/>
    <w:basedOn w:val="TableNormal"/>
    <w:uiPriority w:val="39"/>
    <w:rsid w:val="006F05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18C"/>
    <w:pPr>
      <w:ind w:left="720"/>
      <w:contextualSpacing/>
    </w:pPr>
  </w:style>
  <w:style w:type="paragraph" w:styleId="NormalWeb">
    <w:name w:val="Normal (Web)"/>
    <w:basedOn w:val="Normal"/>
    <w:uiPriority w:val="99"/>
    <w:unhideWhenUsed/>
    <w:rsid w:val="00C01A1C"/>
    <w:pPr>
      <w:spacing w:before="100" w:beforeAutospacing="1" w:after="100" w:afterAutospacing="1"/>
    </w:pPr>
    <w:rPr>
      <w:lang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01A1C"/>
    <w:rPr>
      <w:rFonts w:eastAsiaTheme="minorHAnsi" w:cstheme="minorBid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C01A1C"/>
    <w:rPr>
      <w:sz w:val="20"/>
      <w:szCs w:val="20"/>
    </w:rPr>
  </w:style>
  <w:style w:type="character" w:styleId="FootnoteReference">
    <w:name w:val="footnote reference"/>
    <w:basedOn w:val="DefaultParagraphFont"/>
    <w:semiHidden/>
    <w:unhideWhenUsed/>
    <w:rsid w:val="00C01A1C"/>
    <w:rPr>
      <w:vertAlign w:val="superscript"/>
    </w:rPr>
  </w:style>
  <w:style w:type="paragraph" w:customStyle="1" w:styleId="tv213">
    <w:name w:val="tv213"/>
    <w:basedOn w:val="Normal"/>
    <w:rsid w:val="00E125C6"/>
    <w:pPr>
      <w:spacing w:before="100" w:beforeAutospacing="1" w:after="100" w:afterAutospacing="1"/>
    </w:pPr>
    <w:rPr>
      <w:lang w:eastAsia="lv-LV"/>
    </w:rPr>
  </w:style>
  <w:style w:type="paragraph" w:styleId="Header">
    <w:name w:val="header"/>
    <w:basedOn w:val="Normal"/>
    <w:link w:val="HeaderChar"/>
    <w:uiPriority w:val="99"/>
    <w:unhideWhenUsed/>
    <w:rsid w:val="00794FB1"/>
    <w:pPr>
      <w:tabs>
        <w:tab w:val="center" w:pos="4513"/>
        <w:tab w:val="right" w:pos="9026"/>
      </w:tabs>
    </w:pPr>
  </w:style>
  <w:style w:type="character" w:customStyle="1" w:styleId="HeaderChar">
    <w:name w:val="Header Char"/>
    <w:basedOn w:val="DefaultParagraphFont"/>
    <w:link w:val="Header"/>
    <w:uiPriority w:val="99"/>
    <w:rsid w:val="00794FB1"/>
    <w:rPr>
      <w:rFonts w:eastAsia="Times New Roman" w:cs="Times New Roman"/>
      <w:szCs w:val="24"/>
      <w:lang w:eastAsia="ru-RU"/>
    </w:rPr>
  </w:style>
  <w:style w:type="paragraph" w:customStyle="1" w:styleId="Normal1">
    <w:name w:val="Normal1"/>
    <w:basedOn w:val="Normal"/>
    <w:rsid w:val="007408D9"/>
    <w:pPr>
      <w:spacing w:before="100" w:beforeAutospacing="1" w:after="100" w:afterAutospacing="1"/>
    </w:pPr>
    <w:rPr>
      <w:lang w:eastAsia="lv-LV"/>
    </w:rPr>
  </w:style>
  <w:style w:type="character" w:styleId="Hyperlink">
    <w:name w:val="Hyperlink"/>
    <w:basedOn w:val="DefaultParagraphFont"/>
    <w:uiPriority w:val="99"/>
    <w:unhideWhenUsed/>
    <w:rsid w:val="00C120A3"/>
    <w:rPr>
      <w:color w:val="0000FF"/>
      <w:u w:val="single"/>
    </w:rPr>
  </w:style>
  <w:style w:type="paragraph" w:customStyle="1" w:styleId="Normal2">
    <w:name w:val="Normal2"/>
    <w:basedOn w:val="Normal"/>
    <w:rsid w:val="00766F7C"/>
    <w:pPr>
      <w:spacing w:before="100" w:beforeAutospacing="1" w:after="100" w:afterAutospacing="1"/>
    </w:pPr>
    <w:rPr>
      <w:lang w:eastAsia="lv-LV"/>
    </w:rPr>
  </w:style>
  <w:style w:type="character" w:styleId="Strong">
    <w:name w:val="Strong"/>
    <w:basedOn w:val="DefaultParagraphFont"/>
    <w:uiPriority w:val="22"/>
    <w:qFormat/>
    <w:rsid w:val="003448D3"/>
    <w:rPr>
      <w:b/>
      <w:bCs/>
    </w:rPr>
  </w:style>
  <w:style w:type="paragraph" w:customStyle="1" w:styleId="Normal3">
    <w:name w:val="Normal3"/>
    <w:basedOn w:val="Normal"/>
    <w:rsid w:val="004C2277"/>
    <w:pPr>
      <w:spacing w:before="100" w:beforeAutospacing="1" w:after="100" w:afterAutospacing="1"/>
    </w:pPr>
    <w:rPr>
      <w:lang w:eastAsia="lv-LV"/>
    </w:rPr>
  </w:style>
  <w:style w:type="paragraph" w:customStyle="1" w:styleId="Normal4">
    <w:name w:val="Normal4"/>
    <w:basedOn w:val="Normal"/>
    <w:rsid w:val="001E46EB"/>
    <w:pPr>
      <w:spacing w:before="100" w:beforeAutospacing="1" w:after="100" w:afterAutospacing="1"/>
    </w:pPr>
    <w:rPr>
      <w:lang w:eastAsia="lv-LV"/>
    </w:rPr>
  </w:style>
  <w:style w:type="character" w:customStyle="1" w:styleId="super">
    <w:name w:val="super"/>
    <w:basedOn w:val="DefaultParagraphFont"/>
    <w:rsid w:val="00993EBE"/>
  </w:style>
  <w:style w:type="paragraph" w:customStyle="1" w:styleId="oj-normal">
    <w:name w:val="oj-normal"/>
    <w:basedOn w:val="Normal"/>
    <w:rsid w:val="00486BC6"/>
    <w:pPr>
      <w:spacing w:before="100" w:beforeAutospacing="1" w:after="100" w:afterAutospacing="1"/>
    </w:pPr>
    <w:rPr>
      <w:lang w:eastAsia="lv-LV"/>
    </w:rPr>
  </w:style>
  <w:style w:type="paragraph" w:styleId="Title">
    <w:name w:val="Title"/>
    <w:basedOn w:val="Normal"/>
    <w:link w:val="TitleChar"/>
    <w:qFormat/>
    <w:rsid w:val="00F90712"/>
    <w:pPr>
      <w:jc w:val="center"/>
    </w:pPr>
    <w:rPr>
      <w:sz w:val="28"/>
      <w:szCs w:val="20"/>
      <w:lang w:eastAsia="en-US"/>
    </w:rPr>
  </w:style>
  <w:style w:type="character" w:customStyle="1" w:styleId="TitleChar">
    <w:name w:val="Title Char"/>
    <w:basedOn w:val="DefaultParagraphFont"/>
    <w:link w:val="Title"/>
    <w:rsid w:val="00F90712"/>
    <w:rPr>
      <w:rFonts w:eastAsia="Times New Roman" w:cs="Times New Roman"/>
      <w:sz w:val="28"/>
      <w:szCs w:val="20"/>
    </w:rPr>
  </w:style>
  <w:style w:type="paragraph" w:customStyle="1" w:styleId="Normal5">
    <w:name w:val="Normal5"/>
    <w:basedOn w:val="Normal"/>
    <w:rsid w:val="00CD62D6"/>
    <w:pPr>
      <w:spacing w:before="100" w:beforeAutospacing="1" w:after="100" w:afterAutospacing="1"/>
    </w:pPr>
    <w:rPr>
      <w:lang w:eastAsia="lv-LV"/>
    </w:rPr>
  </w:style>
  <w:style w:type="character" w:customStyle="1" w:styleId="apple-style-span">
    <w:name w:val="apple-style-span"/>
    <w:basedOn w:val="DefaultParagraphFont"/>
    <w:rsid w:val="00233115"/>
  </w:style>
  <w:style w:type="paragraph" w:customStyle="1" w:styleId="norm">
    <w:name w:val="norm"/>
    <w:basedOn w:val="Normal"/>
    <w:rsid w:val="009C4E66"/>
    <w:pPr>
      <w:spacing w:before="100" w:beforeAutospacing="1" w:after="100" w:afterAutospacing="1"/>
    </w:pPr>
    <w:rPr>
      <w:lang w:eastAsia="lv-LV"/>
    </w:rPr>
  </w:style>
  <w:style w:type="character" w:customStyle="1" w:styleId="boldface">
    <w:name w:val="boldface"/>
    <w:basedOn w:val="DefaultParagraphFont"/>
    <w:rsid w:val="009C4E66"/>
  </w:style>
  <w:style w:type="paragraph" w:customStyle="1" w:styleId="c36centre">
    <w:name w:val="c36centre"/>
    <w:basedOn w:val="Normal"/>
    <w:rsid w:val="007F6F50"/>
    <w:pPr>
      <w:spacing w:before="100" w:beforeAutospacing="1" w:after="100" w:afterAutospacing="1"/>
    </w:pPr>
    <w:rPr>
      <w:lang w:eastAsia="lv-LV"/>
    </w:rPr>
  </w:style>
  <w:style w:type="paragraph" w:customStyle="1" w:styleId="c38centregrasgrandespacement">
    <w:name w:val="c38centregrasgrandespacement"/>
    <w:basedOn w:val="Normal"/>
    <w:rsid w:val="007F6F50"/>
    <w:pPr>
      <w:spacing w:before="100" w:beforeAutospacing="1" w:after="100" w:afterAutospacing="1"/>
    </w:pPr>
    <w:rPr>
      <w:lang w:eastAsia="lv-LV"/>
    </w:rPr>
  </w:style>
  <w:style w:type="paragraph" w:customStyle="1" w:styleId="c37centregras">
    <w:name w:val="c37centregras"/>
    <w:basedOn w:val="Normal"/>
    <w:rsid w:val="00F77A36"/>
    <w:pPr>
      <w:spacing w:before="100" w:beforeAutospacing="1" w:after="100" w:afterAutospacing="1"/>
    </w:pPr>
    <w:rPr>
      <w:lang w:eastAsia="lv-LV"/>
    </w:rPr>
  </w:style>
  <w:style w:type="paragraph" w:customStyle="1" w:styleId="c01pointnumerotealtn">
    <w:name w:val="c01pointnumerotealtn"/>
    <w:basedOn w:val="Normal"/>
    <w:rsid w:val="000E0D84"/>
    <w:pPr>
      <w:spacing w:before="100" w:beforeAutospacing="1" w:after="100" w:afterAutospacing="1"/>
    </w:pPr>
    <w:rPr>
      <w:lang w:eastAsia="lv-LV"/>
    </w:rPr>
  </w:style>
  <w:style w:type="paragraph" w:customStyle="1" w:styleId="title-article-norm">
    <w:name w:val="title-article-norm"/>
    <w:basedOn w:val="Normal"/>
    <w:rsid w:val="00B413E4"/>
    <w:pPr>
      <w:spacing w:before="100" w:beforeAutospacing="1" w:after="100" w:afterAutospacing="1"/>
    </w:pPr>
    <w:rPr>
      <w:lang w:eastAsia="lv-LV"/>
    </w:rPr>
  </w:style>
  <w:style w:type="paragraph" w:customStyle="1" w:styleId="Normal6">
    <w:name w:val="Normal6"/>
    <w:basedOn w:val="Normal"/>
    <w:rsid w:val="00DD0F4F"/>
    <w:pPr>
      <w:spacing w:before="100" w:beforeAutospacing="1" w:after="100" w:afterAutospacing="1"/>
    </w:pPr>
    <w:rPr>
      <w:lang w:eastAsia="lv-LV"/>
    </w:rPr>
  </w:style>
  <w:style w:type="paragraph" w:customStyle="1" w:styleId="Normalnumberedpara">
    <w:name w:val="Normal numbered para"/>
    <w:basedOn w:val="Normal"/>
    <w:uiPriority w:val="99"/>
    <w:rsid w:val="00EA378B"/>
    <w:pPr>
      <w:keepNext/>
      <w:spacing w:before="120" w:after="120" w:line="276" w:lineRule="auto"/>
      <w:ind w:left="567" w:hanging="567"/>
      <w:jc w:val="both"/>
    </w:pPr>
    <w:rPr>
      <w:rFonts w:cs="Arial"/>
      <w:szCs w:val="20"/>
      <w:lang w:eastAsia="en-US"/>
    </w:rPr>
  </w:style>
  <w:style w:type="character" w:styleId="CommentReference">
    <w:name w:val="annotation reference"/>
    <w:basedOn w:val="DefaultParagraphFont"/>
    <w:uiPriority w:val="99"/>
    <w:semiHidden/>
    <w:unhideWhenUsed/>
    <w:rsid w:val="00B6122A"/>
    <w:rPr>
      <w:sz w:val="16"/>
      <w:szCs w:val="16"/>
    </w:rPr>
  </w:style>
  <w:style w:type="paragraph" w:styleId="CommentText">
    <w:name w:val="annotation text"/>
    <w:basedOn w:val="Normal"/>
    <w:link w:val="CommentTextChar"/>
    <w:uiPriority w:val="99"/>
    <w:unhideWhenUsed/>
    <w:rsid w:val="00B6122A"/>
    <w:rPr>
      <w:sz w:val="20"/>
      <w:szCs w:val="20"/>
    </w:rPr>
  </w:style>
  <w:style w:type="character" w:customStyle="1" w:styleId="CommentTextChar">
    <w:name w:val="Comment Text Char"/>
    <w:basedOn w:val="DefaultParagraphFont"/>
    <w:link w:val="CommentText"/>
    <w:uiPriority w:val="99"/>
    <w:rsid w:val="00B6122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B6122A"/>
    <w:rPr>
      <w:b/>
      <w:bCs/>
    </w:rPr>
  </w:style>
  <w:style w:type="character" w:customStyle="1" w:styleId="CommentSubjectChar">
    <w:name w:val="Comment Subject Char"/>
    <w:basedOn w:val="CommentTextChar"/>
    <w:link w:val="CommentSubject"/>
    <w:uiPriority w:val="99"/>
    <w:semiHidden/>
    <w:rsid w:val="00B6122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B61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A"/>
    <w:rPr>
      <w:rFonts w:ascii="Segoe UI" w:eastAsia="Times New Roman" w:hAnsi="Segoe UI" w:cs="Segoe UI"/>
      <w:sz w:val="18"/>
      <w:szCs w:val="18"/>
      <w:lang w:eastAsia="ru-RU"/>
    </w:rPr>
  </w:style>
  <w:style w:type="paragraph" w:styleId="Revision">
    <w:name w:val="Revision"/>
    <w:hidden/>
    <w:uiPriority w:val="99"/>
    <w:semiHidden/>
    <w:rsid w:val="000A6521"/>
    <w:pPr>
      <w:spacing w:after="0" w:line="240" w:lineRule="auto"/>
    </w:pPr>
    <w:rPr>
      <w:rFonts w:eastAsia="Times New Roman" w:cs="Times New Roman"/>
      <w:szCs w:val="24"/>
      <w:lang w:eastAsia="ru-RU"/>
    </w:rPr>
  </w:style>
  <w:style w:type="character" w:customStyle="1" w:styleId="UnresolvedMention">
    <w:name w:val="Unresolved Mention"/>
    <w:basedOn w:val="DefaultParagraphFont"/>
    <w:uiPriority w:val="99"/>
    <w:semiHidden/>
    <w:unhideWhenUsed/>
    <w:rsid w:val="009955A7"/>
    <w:rPr>
      <w:color w:val="605E5C"/>
      <w:shd w:val="clear" w:color="auto" w:fill="E1DFDD"/>
    </w:rPr>
  </w:style>
  <w:style w:type="paragraph" w:customStyle="1" w:styleId="CharCharChar1">
    <w:name w:val="Char Char Char1"/>
    <w:basedOn w:val="Normal"/>
    <w:rsid w:val="00E53DEC"/>
    <w:pPr>
      <w:spacing w:after="160" w:line="240" w:lineRule="exact"/>
    </w:pPr>
    <w:rPr>
      <w:rFonts w:ascii="Tahoma" w:hAnsi="Tahoma"/>
      <w:sz w:val="20"/>
      <w:szCs w:val="20"/>
      <w:lang w:val="en-US" w:eastAsia="en-US"/>
    </w:rPr>
  </w:style>
  <w:style w:type="character" w:styleId="FollowedHyperlink">
    <w:name w:val="FollowedHyperlink"/>
    <w:basedOn w:val="DefaultParagraphFont"/>
    <w:uiPriority w:val="99"/>
    <w:semiHidden/>
    <w:unhideWhenUsed/>
    <w:rsid w:val="004E7890"/>
    <w:rPr>
      <w:color w:val="954F72" w:themeColor="followedHyperlink"/>
      <w:u w:val="single"/>
    </w:rPr>
  </w:style>
  <w:style w:type="character" w:customStyle="1" w:styleId="outputecliaff">
    <w:name w:val="outputecliaff"/>
    <w:rsid w:val="003D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544">
      <w:bodyDiv w:val="1"/>
      <w:marLeft w:val="0"/>
      <w:marRight w:val="0"/>
      <w:marTop w:val="0"/>
      <w:marBottom w:val="0"/>
      <w:divBdr>
        <w:top w:val="none" w:sz="0" w:space="0" w:color="auto"/>
        <w:left w:val="none" w:sz="0" w:space="0" w:color="auto"/>
        <w:bottom w:val="none" w:sz="0" w:space="0" w:color="auto"/>
        <w:right w:val="none" w:sz="0" w:space="0" w:color="auto"/>
      </w:divBdr>
    </w:div>
    <w:div w:id="22832347">
      <w:bodyDiv w:val="1"/>
      <w:marLeft w:val="0"/>
      <w:marRight w:val="0"/>
      <w:marTop w:val="0"/>
      <w:marBottom w:val="0"/>
      <w:divBdr>
        <w:top w:val="none" w:sz="0" w:space="0" w:color="auto"/>
        <w:left w:val="none" w:sz="0" w:space="0" w:color="auto"/>
        <w:bottom w:val="none" w:sz="0" w:space="0" w:color="auto"/>
        <w:right w:val="none" w:sz="0" w:space="0" w:color="auto"/>
      </w:divBdr>
    </w:div>
    <w:div w:id="26763617">
      <w:bodyDiv w:val="1"/>
      <w:marLeft w:val="0"/>
      <w:marRight w:val="0"/>
      <w:marTop w:val="0"/>
      <w:marBottom w:val="0"/>
      <w:divBdr>
        <w:top w:val="none" w:sz="0" w:space="0" w:color="auto"/>
        <w:left w:val="none" w:sz="0" w:space="0" w:color="auto"/>
        <w:bottom w:val="none" w:sz="0" w:space="0" w:color="auto"/>
        <w:right w:val="none" w:sz="0" w:space="0" w:color="auto"/>
      </w:divBdr>
    </w:div>
    <w:div w:id="63990103">
      <w:bodyDiv w:val="1"/>
      <w:marLeft w:val="0"/>
      <w:marRight w:val="0"/>
      <w:marTop w:val="0"/>
      <w:marBottom w:val="0"/>
      <w:divBdr>
        <w:top w:val="none" w:sz="0" w:space="0" w:color="auto"/>
        <w:left w:val="none" w:sz="0" w:space="0" w:color="auto"/>
        <w:bottom w:val="none" w:sz="0" w:space="0" w:color="auto"/>
        <w:right w:val="none" w:sz="0" w:space="0" w:color="auto"/>
      </w:divBdr>
    </w:div>
    <w:div w:id="77557232">
      <w:bodyDiv w:val="1"/>
      <w:marLeft w:val="0"/>
      <w:marRight w:val="0"/>
      <w:marTop w:val="0"/>
      <w:marBottom w:val="0"/>
      <w:divBdr>
        <w:top w:val="none" w:sz="0" w:space="0" w:color="auto"/>
        <w:left w:val="none" w:sz="0" w:space="0" w:color="auto"/>
        <w:bottom w:val="none" w:sz="0" w:space="0" w:color="auto"/>
        <w:right w:val="none" w:sz="0" w:space="0" w:color="auto"/>
      </w:divBdr>
    </w:div>
    <w:div w:id="87890652">
      <w:bodyDiv w:val="1"/>
      <w:marLeft w:val="0"/>
      <w:marRight w:val="0"/>
      <w:marTop w:val="0"/>
      <w:marBottom w:val="0"/>
      <w:divBdr>
        <w:top w:val="none" w:sz="0" w:space="0" w:color="auto"/>
        <w:left w:val="none" w:sz="0" w:space="0" w:color="auto"/>
        <w:bottom w:val="none" w:sz="0" w:space="0" w:color="auto"/>
        <w:right w:val="none" w:sz="0" w:space="0" w:color="auto"/>
      </w:divBdr>
    </w:div>
    <w:div w:id="90204976">
      <w:bodyDiv w:val="1"/>
      <w:marLeft w:val="0"/>
      <w:marRight w:val="0"/>
      <w:marTop w:val="0"/>
      <w:marBottom w:val="0"/>
      <w:divBdr>
        <w:top w:val="none" w:sz="0" w:space="0" w:color="auto"/>
        <w:left w:val="none" w:sz="0" w:space="0" w:color="auto"/>
        <w:bottom w:val="none" w:sz="0" w:space="0" w:color="auto"/>
        <w:right w:val="none" w:sz="0" w:space="0" w:color="auto"/>
      </w:divBdr>
    </w:div>
    <w:div w:id="107892821">
      <w:bodyDiv w:val="1"/>
      <w:marLeft w:val="0"/>
      <w:marRight w:val="0"/>
      <w:marTop w:val="0"/>
      <w:marBottom w:val="0"/>
      <w:divBdr>
        <w:top w:val="none" w:sz="0" w:space="0" w:color="auto"/>
        <w:left w:val="none" w:sz="0" w:space="0" w:color="auto"/>
        <w:bottom w:val="none" w:sz="0" w:space="0" w:color="auto"/>
        <w:right w:val="none" w:sz="0" w:space="0" w:color="auto"/>
      </w:divBdr>
      <w:divsChild>
        <w:div w:id="174853371">
          <w:marLeft w:val="0"/>
          <w:marRight w:val="0"/>
          <w:marTop w:val="0"/>
          <w:marBottom w:val="0"/>
          <w:divBdr>
            <w:top w:val="none" w:sz="0" w:space="0" w:color="auto"/>
            <w:left w:val="none" w:sz="0" w:space="0" w:color="auto"/>
            <w:bottom w:val="none" w:sz="0" w:space="0" w:color="auto"/>
            <w:right w:val="none" w:sz="0" w:space="0" w:color="auto"/>
          </w:divBdr>
        </w:div>
      </w:divsChild>
    </w:div>
    <w:div w:id="133064001">
      <w:bodyDiv w:val="1"/>
      <w:marLeft w:val="0"/>
      <w:marRight w:val="0"/>
      <w:marTop w:val="0"/>
      <w:marBottom w:val="0"/>
      <w:divBdr>
        <w:top w:val="none" w:sz="0" w:space="0" w:color="auto"/>
        <w:left w:val="none" w:sz="0" w:space="0" w:color="auto"/>
        <w:bottom w:val="none" w:sz="0" w:space="0" w:color="auto"/>
        <w:right w:val="none" w:sz="0" w:space="0" w:color="auto"/>
      </w:divBdr>
      <w:divsChild>
        <w:div w:id="83308267">
          <w:marLeft w:val="240"/>
          <w:marRight w:val="0"/>
          <w:marTop w:val="0"/>
          <w:marBottom w:val="0"/>
          <w:divBdr>
            <w:top w:val="none" w:sz="0" w:space="0" w:color="auto"/>
            <w:left w:val="none" w:sz="0" w:space="0" w:color="auto"/>
            <w:bottom w:val="none" w:sz="0" w:space="0" w:color="auto"/>
            <w:right w:val="none" w:sz="0" w:space="0" w:color="auto"/>
          </w:divBdr>
        </w:div>
        <w:div w:id="526868435">
          <w:marLeft w:val="240"/>
          <w:marRight w:val="0"/>
          <w:marTop w:val="0"/>
          <w:marBottom w:val="0"/>
          <w:divBdr>
            <w:top w:val="none" w:sz="0" w:space="0" w:color="auto"/>
            <w:left w:val="none" w:sz="0" w:space="0" w:color="auto"/>
            <w:bottom w:val="none" w:sz="0" w:space="0" w:color="auto"/>
            <w:right w:val="none" w:sz="0" w:space="0" w:color="auto"/>
          </w:divBdr>
        </w:div>
        <w:div w:id="1361083424">
          <w:marLeft w:val="240"/>
          <w:marRight w:val="0"/>
          <w:marTop w:val="0"/>
          <w:marBottom w:val="0"/>
          <w:divBdr>
            <w:top w:val="none" w:sz="0" w:space="0" w:color="auto"/>
            <w:left w:val="none" w:sz="0" w:space="0" w:color="auto"/>
            <w:bottom w:val="none" w:sz="0" w:space="0" w:color="auto"/>
            <w:right w:val="none" w:sz="0" w:space="0" w:color="auto"/>
          </w:divBdr>
        </w:div>
      </w:divsChild>
    </w:div>
    <w:div w:id="214198937">
      <w:bodyDiv w:val="1"/>
      <w:marLeft w:val="0"/>
      <w:marRight w:val="0"/>
      <w:marTop w:val="0"/>
      <w:marBottom w:val="0"/>
      <w:divBdr>
        <w:top w:val="none" w:sz="0" w:space="0" w:color="auto"/>
        <w:left w:val="none" w:sz="0" w:space="0" w:color="auto"/>
        <w:bottom w:val="none" w:sz="0" w:space="0" w:color="auto"/>
        <w:right w:val="none" w:sz="0" w:space="0" w:color="auto"/>
      </w:divBdr>
    </w:div>
    <w:div w:id="228613242">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7">
          <w:marLeft w:val="0"/>
          <w:marRight w:val="0"/>
          <w:marTop w:val="0"/>
          <w:marBottom w:val="0"/>
          <w:divBdr>
            <w:top w:val="none" w:sz="0" w:space="0" w:color="auto"/>
            <w:left w:val="none" w:sz="0" w:space="0" w:color="auto"/>
            <w:bottom w:val="none" w:sz="0" w:space="0" w:color="auto"/>
            <w:right w:val="none" w:sz="0" w:space="0" w:color="auto"/>
          </w:divBdr>
        </w:div>
      </w:divsChild>
    </w:div>
    <w:div w:id="280234953">
      <w:bodyDiv w:val="1"/>
      <w:marLeft w:val="0"/>
      <w:marRight w:val="0"/>
      <w:marTop w:val="0"/>
      <w:marBottom w:val="0"/>
      <w:divBdr>
        <w:top w:val="none" w:sz="0" w:space="0" w:color="auto"/>
        <w:left w:val="none" w:sz="0" w:space="0" w:color="auto"/>
        <w:bottom w:val="none" w:sz="0" w:space="0" w:color="auto"/>
        <w:right w:val="none" w:sz="0" w:space="0" w:color="auto"/>
      </w:divBdr>
    </w:div>
    <w:div w:id="302542994">
      <w:bodyDiv w:val="1"/>
      <w:marLeft w:val="0"/>
      <w:marRight w:val="0"/>
      <w:marTop w:val="0"/>
      <w:marBottom w:val="0"/>
      <w:divBdr>
        <w:top w:val="none" w:sz="0" w:space="0" w:color="auto"/>
        <w:left w:val="none" w:sz="0" w:space="0" w:color="auto"/>
        <w:bottom w:val="none" w:sz="0" w:space="0" w:color="auto"/>
        <w:right w:val="none" w:sz="0" w:space="0" w:color="auto"/>
      </w:divBdr>
    </w:div>
    <w:div w:id="353074190">
      <w:bodyDiv w:val="1"/>
      <w:marLeft w:val="0"/>
      <w:marRight w:val="0"/>
      <w:marTop w:val="0"/>
      <w:marBottom w:val="0"/>
      <w:divBdr>
        <w:top w:val="none" w:sz="0" w:space="0" w:color="auto"/>
        <w:left w:val="none" w:sz="0" w:space="0" w:color="auto"/>
        <w:bottom w:val="none" w:sz="0" w:space="0" w:color="auto"/>
        <w:right w:val="none" w:sz="0" w:space="0" w:color="auto"/>
      </w:divBdr>
    </w:div>
    <w:div w:id="358052047">
      <w:bodyDiv w:val="1"/>
      <w:marLeft w:val="0"/>
      <w:marRight w:val="0"/>
      <w:marTop w:val="0"/>
      <w:marBottom w:val="0"/>
      <w:divBdr>
        <w:top w:val="none" w:sz="0" w:space="0" w:color="auto"/>
        <w:left w:val="none" w:sz="0" w:space="0" w:color="auto"/>
        <w:bottom w:val="none" w:sz="0" w:space="0" w:color="auto"/>
        <w:right w:val="none" w:sz="0" w:space="0" w:color="auto"/>
      </w:divBdr>
    </w:div>
    <w:div w:id="409816095">
      <w:bodyDiv w:val="1"/>
      <w:marLeft w:val="0"/>
      <w:marRight w:val="0"/>
      <w:marTop w:val="0"/>
      <w:marBottom w:val="0"/>
      <w:divBdr>
        <w:top w:val="none" w:sz="0" w:space="0" w:color="auto"/>
        <w:left w:val="none" w:sz="0" w:space="0" w:color="auto"/>
        <w:bottom w:val="none" w:sz="0" w:space="0" w:color="auto"/>
        <w:right w:val="none" w:sz="0" w:space="0" w:color="auto"/>
      </w:divBdr>
      <w:divsChild>
        <w:div w:id="1504276058">
          <w:marLeft w:val="240"/>
          <w:marRight w:val="0"/>
          <w:marTop w:val="0"/>
          <w:marBottom w:val="0"/>
          <w:divBdr>
            <w:top w:val="none" w:sz="0" w:space="0" w:color="auto"/>
            <w:left w:val="none" w:sz="0" w:space="0" w:color="auto"/>
            <w:bottom w:val="none" w:sz="0" w:space="0" w:color="auto"/>
            <w:right w:val="none" w:sz="0" w:space="0" w:color="auto"/>
          </w:divBdr>
        </w:div>
        <w:div w:id="1813789683">
          <w:marLeft w:val="240"/>
          <w:marRight w:val="0"/>
          <w:marTop w:val="0"/>
          <w:marBottom w:val="0"/>
          <w:divBdr>
            <w:top w:val="none" w:sz="0" w:space="0" w:color="auto"/>
            <w:left w:val="none" w:sz="0" w:space="0" w:color="auto"/>
            <w:bottom w:val="none" w:sz="0" w:space="0" w:color="auto"/>
            <w:right w:val="none" w:sz="0" w:space="0" w:color="auto"/>
          </w:divBdr>
        </w:div>
        <w:div w:id="2073577069">
          <w:marLeft w:val="240"/>
          <w:marRight w:val="0"/>
          <w:marTop w:val="0"/>
          <w:marBottom w:val="0"/>
          <w:divBdr>
            <w:top w:val="none" w:sz="0" w:space="0" w:color="auto"/>
            <w:left w:val="none" w:sz="0" w:space="0" w:color="auto"/>
            <w:bottom w:val="none" w:sz="0" w:space="0" w:color="auto"/>
            <w:right w:val="none" w:sz="0" w:space="0" w:color="auto"/>
          </w:divBdr>
        </w:div>
      </w:divsChild>
    </w:div>
    <w:div w:id="432284782">
      <w:bodyDiv w:val="1"/>
      <w:marLeft w:val="0"/>
      <w:marRight w:val="0"/>
      <w:marTop w:val="0"/>
      <w:marBottom w:val="0"/>
      <w:divBdr>
        <w:top w:val="none" w:sz="0" w:space="0" w:color="auto"/>
        <w:left w:val="none" w:sz="0" w:space="0" w:color="auto"/>
        <w:bottom w:val="none" w:sz="0" w:space="0" w:color="auto"/>
        <w:right w:val="none" w:sz="0" w:space="0" w:color="auto"/>
      </w:divBdr>
    </w:div>
    <w:div w:id="520893989">
      <w:bodyDiv w:val="1"/>
      <w:marLeft w:val="0"/>
      <w:marRight w:val="0"/>
      <w:marTop w:val="0"/>
      <w:marBottom w:val="0"/>
      <w:divBdr>
        <w:top w:val="none" w:sz="0" w:space="0" w:color="auto"/>
        <w:left w:val="none" w:sz="0" w:space="0" w:color="auto"/>
        <w:bottom w:val="none" w:sz="0" w:space="0" w:color="auto"/>
        <w:right w:val="none" w:sz="0" w:space="0" w:color="auto"/>
      </w:divBdr>
    </w:div>
    <w:div w:id="533344397">
      <w:bodyDiv w:val="1"/>
      <w:marLeft w:val="0"/>
      <w:marRight w:val="0"/>
      <w:marTop w:val="0"/>
      <w:marBottom w:val="0"/>
      <w:divBdr>
        <w:top w:val="none" w:sz="0" w:space="0" w:color="auto"/>
        <w:left w:val="none" w:sz="0" w:space="0" w:color="auto"/>
        <w:bottom w:val="none" w:sz="0" w:space="0" w:color="auto"/>
        <w:right w:val="none" w:sz="0" w:space="0" w:color="auto"/>
      </w:divBdr>
    </w:div>
    <w:div w:id="620499013">
      <w:bodyDiv w:val="1"/>
      <w:marLeft w:val="0"/>
      <w:marRight w:val="0"/>
      <w:marTop w:val="0"/>
      <w:marBottom w:val="0"/>
      <w:divBdr>
        <w:top w:val="none" w:sz="0" w:space="0" w:color="auto"/>
        <w:left w:val="none" w:sz="0" w:space="0" w:color="auto"/>
        <w:bottom w:val="none" w:sz="0" w:space="0" w:color="auto"/>
        <w:right w:val="none" w:sz="0" w:space="0" w:color="auto"/>
      </w:divBdr>
    </w:div>
    <w:div w:id="640306037">
      <w:bodyDiv w:val="1"/>
      <w:marLeft w:val="0"/>
      <w:marRight w:val="0"/>
      <w:marTop w:val="0"/>
      <w:marBottom w:val="0"/>
      <w:divBdr>
        <w:top w:val="none" w:sz="0" w:space="0" w:color="auto"/>
        <w:left w:val="none" w:sz="0" w:space="0" w:color="auto"/>
        <w:bottom w:val="none" w:sz="0" w:space="0" w:color="auto"/>
        <w:right w:val="none" w:sz="0" w:space="0" w:color="auto"/>
      </w:divBdr>
    </w:div>
    <w:div w:id="668947599">
      <w:bodyDiv w:val="1"/>
      <w:marLeft w:val="0"/>
      <w:marRight w:val="0"/>
      <w:marTop w:val="0"/>
      <w:marBottom w:val="0"/>
      <w:divBdr>
        <w:top w:val="none" w:sz="0" w:space="0" w:color="auto"/>
        <w:left w:val="none" w:sz="0" w:space="0" w:color="auto"/>
        <w:bottom w:val="none" w:sz="0" w:space="0" w:color="auto"/>
        <w:right w:val="none" w:sz="0" w:space="0" w:color="auto"/>
      </w:divBdr>
    </w:div>
    <w:div w:id="780876226">
      <w:bodyDiv w:val="1"/>
      <w:marLeft w:val="0"/>
      <w:marRight w:val="0"/>
      <w:marTop w:val="0"/>
      <w:marBottom w:val="0"/>
      <w:divBdr>
        <w:top w:val="none" w:sz="0" w:space="0" w:color="auto"/>
        <w:left w:val="none" w:sz="0" w:space="0" w:color="auto"/>
        <w:bottom w:val="none" w:sz="0" w:space="0" w:color="auto"/>
        <w:right w:val="none" w:sz="0" w:space="0" w:color="auto"/>
      </w:divBdr>
    </w:div>
    <w:div w:id="879702458">
      <w:bodyDiv w:val="1"/>
      <w:marLeft w:val="0"/>
      <w:marRight w:val="0"/>
      <w:marTop w:val="0"/>
      <w:marBottom w:val="0"/>
      <w:divBdr>
        <w:top w:val="none" w:sz="0" w:space="0" w:color="auto"/>
        <w:left w:val="none" w:sz="0" w:space="0" w:color="auto"/>
        <w:bottom w:val="none" w:sz="0" w:space="0" w:color="auto"/>
        <w:right w:val="none" w:sz="0" w:space="0" w:color="auto"/>
      </w:divBdr>
    </w:div>
    <w:div w:id="888029664">
      <w:bodyDiv w:val="1"/>
      <w:marLeft w:val="0"/>
      <w:marRight w:val="0"/>
      <w:marTop w:val="0"/>
      <w:marBottom w:val="0"/>
      <w:divBdr>
        <w:top w:val="none" w:sz="0" w:space="0" w:color="auto"/>
        <w:left w:val="none" w:sz="0" w:space="0" w:color="auto"/>
        <w:bottom w:val="none" w:sz="0" w:space="0" w:color="auto"/>
        <w:right w:val="none" w:sz="0" w:space="0" w:color="auto"/>
      </w:divBdr>
    </w:div>
    <w:div w:id="897781365">
      <w:bodyDiv w:val="1"/>
      <w:marLeft w:val="0"/>
      <w:marRight w:val="0"/>
      <w:marTop w:val="0"/>
      <w:marBottom w:val="0"/>
      <w:divBdr>
        <w:top w:val="none" w:sz="0" w:space="0" w:color="auto"/>
        <w:left w:val="none" w:sz="0" w:space="0" w:color="auto"/>
        <w:bottom w:val="none" w:sz="0" w:space="0" w:color="auto"/>
        <w:right w:val="none" w:sz="0" w:space="0" w:color="auto"/>
      </w:divBdr>
    </w:div>
    <w:div w:id="974874569">
      <w:bodyDiv w:val="1"/>
      <w:marLeft w:val="0"/>
      <w:marRight w:val="0"/>
      <w:marTop w:val="0"/>
      <w:marBottom w:val="0"/>
      <w:divBdr>
        <w:top w:val="none" w:sz="0" w:space="0" w:color="auto"/>
        <w:left w:val="none" w:sz="0" w:space="0" w:color="auto"/>
        <w:bottom w:val="none" w:sz="0" w:space="0" w:color="auto"/>
        <w:right w:val="none" w:sz="0" w:space="0" w:color="auto"/>
      </w:divBdr>
    </w:div>
    <w:div w:id="1021934880">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8434333">
      <w:bodyDiv w:val="1"/>
      <w:marLeft w:val="0"/>
      <w:marRight w:val="0"/>
      <w:marTop w:val="0"/>
      <w:marBottom w:val="0"/>
      <w:divBdr>
        <w:top w:val="none" w:sz="0" w:space="0" w:color="auto"/>
        <w:left w:val="none" w:sz="0" w:space="0" w:color="auto"/>
        <w:bottom w:val="none" w:sz="0" w:space="0" w:color="auto"/>
        <w:right w:val="none" w:sz="0" w:space="0" w:color="auto"/>
      </w:divBdr>
    </w:div>
    <w:div w:id="1059288017">
      <w:bodyDiv w:val="1"/>
      <w:marLeft w:val="0"/>
      <w:marRight w:val="0"/>
      <w:marTop w:val="0"/>
      <w:marBottom w:val="0"/>
      <w:divBdr>
        <w:top w:val="none" w:sz="0" w:space="0" w:color="auto"/>
        <w:left w:val="none" w:sz="0" w:space="0" w:color="auto"/>
        <w:bottom w:val="none" w:sz="0" w:space="0" w:color="auto"/>
        <w:right w:val="none" w:sz="0" w:space="0" w:color="auto"/>
      </w:divBdr>
    </w:div>
    <w:div w:id="1126896871">
      <w:bodyDiv w:val="1"/>
      <w:marLeft w:val="0"/>
      <w:marRight w:val="0"/>
      <w:marTop w:val="0"/>
      <w:marBottom w:val="0"/>
      <w:divBdr>
        <w:top w:val="none" w:sz="0" w:space="0" w:color="auto"/>
        <w:left w:val="none" w:sz="0" w:space="0" w:color="auto"/>
        <w:bottom w:val="none" w:sz="0" w:space="0" w:color="auto"/>
        <w:right w:val="none" w:sz="0" w:space="0" w:color="auto"/>
      </w:divBdr>
    </w:div>
    <w:div w:id="1127504209">
      <w:bodyDiv w:val="1"/>
      <w:marLeft w:val="0"/>
      <w:marRight w:val="0"/>
      <w:marTop w:val="0"/>
      <w:marBottom w:val="0"/>
      <w:divBdr>
        <w:top w:val="none" w:sz="0" w:space="0" w:color="auto"/>
        <w:left w:val="none" w:sz="0" w:space="0" w:color="auto"/>
        <w:bottom w:val="none" w:sz="0" w:space="0" w:color="auto"/>
        <w:right w:val="none" w:sz="0" w:space="0" w:color="auto"/>
      </w:divBdr>
    </w:div>
    <w:div w:id="1144394865">
      <w:bodyDiv w:val="1"/>
      <w:marLeft w:val="0"/>
      <w:marRight w:val="0"/>
      <w:marTop w:val="0"/>
      <w:marBottom w:val="0"/>
      <w:divBdr>
        <w:top w:val="none" w:sz="0" w:space="0" w:color="auto"/>
        <w:left w:val="none" w:sz="0" w:space="0" w:color="auto"/>
        <w:bottom w:val="none" w:sz="0" w:space="0" w:color="auto"/>
        <w:right w:val="none" w:sz="0" w:space="0" w:color="auto"/>
      </w:divBdr>
    </w:div>
    <w:div w:id="1196314298">
      <w:bodyDiv w:val="1"/>
      <w:marLeft w:val="0"/>
      <w:marRight w:val="0"/>
      <w:marTop w:val="0"/>
      <w:marBottom w:val="0"/>
      <w:divBdr>
        <w:top w:val="none" w:sz="0" w:space="0" w:color="auto"/>
        <w:left w:val="none" w:sz="0" w:space="0" w:color="auto"/>
        <w:bottom w:val="none" w:sz="0" w:space="0" w:color="auto"/>
        <w:right w:val="none" w:sz="0" w:space="0" w:color="auto"/>
      </w:divBdr>
    </w:div>
    <w:div w:id="1215654576">
      <w:bodyDiv w:val="1"/>
      <w:marLeft w:val="0"/>
      <w:marRight w:val="0"/>
      <w:marTop w:val="0"/>
      <w:marBottom w:val="0"/>
      <w:divBdr>
        <w:top w:val="none" w:sz="0" w:space="0" w:color="auto"/>
        <w:left w:val="none" w:sz="0" w:space="0" w:color="auto"/>
        <w:bottom w:val="none" w:sz="0" w:space="0" w:color="auto"/>
        <w:right w:val="none" w:sz="0" w:space="0" w:color="auto"/>
      </w:divBdr>
    </w:div>
    <w:div w:id="1250652020">
      <w:bodyDiv w:val="1"/>
      <w:marLeft w:val="0"/>
      <w:marRight w:val="0"/>
      <w:marTop w:val="0"/>
      <w:marBottom w:val="0"/>
      <w:divBdr>
        <w:top w:val="none" w:sz="0" w:space="0" w:color="auto"/>
        <w:left w:val="none" w:sz="0" w:space="0" w:color="auto"/>
        <w:bottom w:val="none" w:sz="0" w:space="0" w:color="auto"/>
        <w:right w:val="none" w:sz="0" w:space="0" w:color="auto"/>
      </w:divBdr>
    </w:div>
    <w:div w:id="1262033590">
      <w:bodyDiv w:val="1"/>
      <w:marLeft w:val="0"/>
      <w:marRight w:val="0"/>
      <w:marTop w:val="0"/>
      <w:marBottom w:val="0"/>
      <w:divBdr>
        <w:top w:val="none" w:sz="0" w:space="0" w:color="auto"/>
        <w:left w:val="none" w:sz="0" w:space="0" w:color="auto"/>
        <w:bottom w:val="none" w:sz="0" w:space="0" w:color="auto"/>
        <w:right w:val="none" w:sz="0" w:space="0" w:color="auto"/>
      </w:divBdr>
    </w:div>
    <w:div w:id="1271008744">
      <w:bodyDiv w:val="1"/>
      <w:marLeft w:val="0"/>
      <w:marRight w:val="0"/>
      <w:marTop w:val="0"/>
      <w:marBottom w:val="0"/>
      <w:divBdr>
        <w:top w:val="none" w:sz="0" w:space="0" w:color="auto"/>
        <w:left w:val="none" w:sz="0" w:space="0" w:color="auto"/>
        <w:bottom w:val="none" w:sz="0" w:space="0" w:color="auto"/>
        <w:right w:val="none" w:sz="0" w:space="0" w:color="auto"/>
      </w:divBdr>
    </w:div>
    <w:div w:id="1277566312">
      <w:bodyDiv w:val="1"/>
      <w:marLeft w:val="0"/>
      <w:marRight w:val="0"/>
      <w:marTop w:val="0"/>
      <w:marBottom w:val="0"/>
      <w:divBdr>
        <w:top w:val="none" w:sz="0" w:space="0" w:color="auto"/>
        <w:left w:val="none" w:sz="0" w:space="0" w:color="auto"/>
        <w:bottom w:val="none" w:sz="0" w:space="0" w:color="auto"/>
        <w:right w:val="none" w:sz="0" w:space="0" w:color="auto"/>
      </w:divBdr>
    </w:div>
    <w:div w:id="1294409591">
      <w:bodyDiv w:val="1"/>
      <w:marLeft w:val="0"/>
      <w:marRight w:val="0"/>
      <w:marTop w:val="0"/>
      <w:marBottom w:val="0"/>
      <w:divBdr>
        <w:top w:val="none" w:sz="0" w:space="0" w:color="auto"/>
        <w:left w:val="none" w:sz="0" w:space="0" w:color="auto"/>
        <w:bottom w:val="none" w:sz="0" w:space="0" w:color="auto"/>
        <w:right w:val="none" w:sz="0" w:space="0" w:color="auto"/>
      </w:divBdr>
    </w:div>
    <w:div w:id="1302232340">
      <w:bodyDiv w:val="1"/>
      <w:marLeft w:val="0"/>
      <w:marRight w:val="0"/>
      <w:marTop w:val="0"/>
      <w:marBottom w:val="0"/>
      <w:divBdr>
        <w:top w:val="none" w:sz="0" w:space="0" w:color="auto"/>
        <w:left w:val="none" w:sz="0" w:space="0" w:color="auto"/>
        <w:bottom w:val="none" w:sz="0" w:space="0" w:color="auto"/>
        <w:right w:val="none" w:sz="0" w:space="0" w:color="auto"/>
      </w:divBdr>
    </w:div>
    <w:div w:id="1308783447">
      <w:bodyDiv w:val="1"/>
      <w:marLeft w:val="0"/>
      <w:marRight w:val="0"/>
      <w:marTop w:val="0"/>
      <w:marBottom w:val="0"/>
      <w:divBdr>
        <w:top w:val="none" w:sz="0" w:space="0" w:color="auto"/>
        <w:left w:val="none" w:sz="0" w:space="0" w:color="auto"/>
        <w:bottom w:val="none" w:sz="0" w:space="0" w:color="auto"/>
        <w:right w:val="none" w:sz="0" w:space="0" w:color="auto"/>
      </w:divBdr>
    </w:div>
    <w:div w:id="1351177691">
      <w:bodyDiv w:val="1"/>
      <w:marLeft w:val="0"/>
      <w:marRight w:val="0"/>
      <w:marTop w:val="0"/>
      <w:marBottom w:val="0"/>
      <w:divBdr>
        <w:top w:val="none" w:sz="0" w:space="0" w:color="auto"/>
        <w:left w:val="none" w:sz="0" w:space="0" w:color="auto"/>
        <w:bottom w:val="none" w:sz="0" w:space="0" w:color="auto"/>
        <w:right w:val="none" w:sz="0" w:space="0" w:color="auto"/>
      </w:divBdr>
    </w:div>
    <w:div w:id="1460295775">
      <w:bodyDiv w:val="1"/>
      <w:marLeft w:val="0"/>
      <w:marRight w:val="0"/>
      <w:marTop w:val="0"/>
      <w:marBottom w:val="0"/>
      <w:divBdr>
        <w:top w:val="none" w:sz="0" w:space="0" w:color="auto"/>
        <w:left w:val="none" w:sz="0" w:space="0" w:color="auto"/>
        <w:bottom w:val="none" w:sz="0" w:space="0" w:color="auto"/>
        <w:right w:val="none" w:sz="0" w:space="0" w:color="auto"/>
      </w:divBdr>
    </w:div>
    <w:div w:id="1465584912">
      <w:bodyDiv w:val="1"/>
      <w:marLeft w:val="0"/>
      <w:marRight w:val="0"/>
      <w:marTop w:val="0"/>
      <w:marBottom w:val="0"/>
      <w:divBdr>
        <w:top w:val="none" w:sz="0" w:space="0" w:color="auto"/>
        <w:left w:val="none" w:sz="0" w:space="0" w:color="auto"/>
        <w:bottom w:val="none" w:sz="0" w:space="0" w:color="auto"/>
        <w:right w:val="none" w:sz="0" w:space="0" w:color="auto"/>
      </w:divBdr>
    </w:div>
    <w:div w:id="1517814903">
      <w:bodyDiv w:val="1"/>
      <w:marLeft w:val="0"/>
      <w:marRight w:val="0"/>
      <w:marTop w:val="0"/>
      <w:marBottom w:val="0"/>
      <w:divBdr>
        <w:top w:val="none" w:sz="0" w:space="0" w:color="auto"/>
        <w:left w:val="none" w:sz="0" w:space="0" w:color="auto"/>
        <w:bottom w:val="none" w:sz="0" w:space="0" w:color="auto"/>
        <w:right w:val="none" w:sz="0" w:space="0" w:color="auto"/>
      </w:divBdr>
    </w:div>
    <w:div w:id="1536310720">
      <w:bodyDiv w:val="1"/>
      <w:marLeft w:val="0"/>
      <w:marRight w:val="0"/>
      <w:marTop w:val="0"/>
      <w:marBottom w:val="0"/>
      <w:divBdr>
        <w:top w:val="none" w:sz="0" w:space="0" w:color="auto"/>
        <w:left w:val="none" w:sz="0" w:space="0" w:color="auto"/>
        <w:bottom w:val="none" w:sz="0" w:space="0" w:color="auto"/>
        <w:right w:val="none" w:sz="0" w:space="0" w:color="auto"/>
      </w:divBdr>
    </w:div>
    <w:div w:id="1563979639">
      <w:bodyDiv w:val="1"/>
      <w:marLeft w:val="0"/>
      <w:marRight w:val="0"/>
      <w:marTop w:val="0"/>
      <w:marBottom w:val="0"/>
      <w:divBdr>
        <w:top w:val="none" w:sz="0" w:space="0" w:color="auto"/>
        <w:left w:val="none" w:sz="0" w:space="0" w:color="auto"/>
        <w:bottom w:val="none" w:sz="0" w:space="0" w:color="auto"/>
        <w:right w:val="none" w:sz="0" w:space="0" w:color="auto"/>
      </w:divBdr>
      <w:divsChild>
        <w:div w:id="919601324">
          <w:marLeft w:val="0"/>
          <w:marRight w:val="0"/>
          <w:marTop w:val="0"/>
          <w:marBottom w:val="0"/>
          <w:divBdr>
            <w:top w:val="none" w:sz="0" w:space="0" w:color="auto"/>
            <w:left w:val="none" w:sz="0" w:space="0" w:color="auto"/>
            <w:bottom w:val="none" w:sz="0" w:space="0" w:color="auto"/>
            <w:right w:val="none" w:sz="0" w:space="0" w:color="auto"/>
          </w:divBdr>
        </w:div>
        <w:div w:id="1198935291">
          <w:marLeft w:val="0"/>
          <w:marRight w:val="0"/>
          <w:marTop w:val="0"/>
          <w:marBottom w:val="0"/>
          <w:divBdr>
            <w:top w:val="none" w:sz="0" w:space="0" w:color="auto"/>
            <w:left w:val="none" w:sz="0" w:space="0" w:color="auto"/>
            <w:bottom w:val="none" w:sz="0" w:space="0" w:color="auto"/>
            <w:right w:val="none" w:sz="0" w:space="0" w:color="auto"/>
          </w:divBdr>
        </w:div>
      </w:divsChild>
    </w:div>
    <w:div w:id="1569150853">
      <w:bodyDiv w:val="1"/>
      <w:marLeft w:val="0"/>
      <w:marRight w:val="0"/>
      <w:marTop w:val="0"/>
      <w:marBottom w:val="0"/>
      <w:divBdr>
        <w:top w:val="none" w:sz="0" w:space="0" w:color="auto"/>
        <w:left w:val="none" w:sz="0" w:space="0" w:color="auto"/>
        <w:bottom w:val="none" w:sz="0" w:space="0" w:color="auto"/>
        <w:right w:val="none" w:sz="0" w:space="0" w:color="auto"/>
      </w:divBdr>
    </w:div>
    <w:div w:id="1583637046">
      <w:bodyDiv w:val="1"/>
      <w:marLeft w:val="0"/>
      <w:marRight w:val="0"/>
      <w:marTop w:val="0"/>
      <w:marBottom w:val="0"/>
      <w:divBdr>
        <w:top w:val="none" w:sz="0" w:space="0" w:color="auto"/>
        <w:left w:val="none" w:sz="0" w:space="0" w:color="auto"/>
        <w:bottom w:val="none" w:sz="0" w:space="0" w:color="auto"/>
        <w:right w:val="none" w:sz="0" w:space="0" w:color="auto"/>
      </w:divBdr>
    </w:div>
    <w:div w:id="1586375044">
      <w:bodyDiv w:val="1"/>
      <w:marLeft w:val="0"/>
      <w:marRight w:val="0"/>
      <w:marTop w:val="0"/>
      <w:marBottom w:val="0"/>
      <w:divBdr>
        <w:top w:val="none" w:sz="0" w:space="0" w:color="auto"/>
        <w:left w:val="none" w:sz="0" w:space="0" w:color="auto"/>
        <w:bottom w:val="none" w:sz="0" w:space="0" w:color="auto"/>
        <w:right w:val="none" w:sz="0" w:space="0" w:color="auto"/>
      </w:divBdr>
    </w:div>
    <w:div w:id="1587153459">
      <w:bodyDiv w:val="1"/>
      <w:marLeft w:val="0"/>
      <w:marRight w:val="0"/>
      <w:marTop w:val="0"/>
      <w:marBottom w:val="0"/>
      <w:divBdr>
        <w:top w:val="none" w:sz="0" w:space="0" w:color="auto"/>
        <w:left w:val="none" w:sz="0" w:space="0" w:color="auto"/>
        <w:bottom w:val="none" w:sz="0" w:space="0" w:color="auto"/>
        <w:right w:val="none" w:sz="0" w:space="0" w:color="auto"/>
      </w:divBdr>
    </w:div>
    <w:div w:id="1595479806">
      <w:bodyDiv w:val="1"/>
      <w:marLeft w:val="0"/>
      <w:marRight w:val="0"/>
      <w:marTop w:val="0"/>
      <w:marBottom w:val="0"/>
      <w:divBdr>
        <w:top w:val="none" w:sz="0" w:space="0" w:color="auto"/>
        <w:left w:val="none" w:sz="0" w:space="0" w:color="auto"/>
        <w:bottom w:val="none" w:sz="0" w:space="0" w:color="auto"/>
        <w:right w:val="none" w:sz="0" w:space="0" w:color="auto"/>
      </w:divBdr>
    </w:div>
    <w:div w:id="1603689096">
      <w:bodyDiv w:val="1"/>
      <w:marLeft w:val="0"/>
      <w:marRight w:val="0"/>
      <w:marTop w:val="0"/>
      <w:marBottom w:val="0"/>
      <w:divBdr>
        <w:top w:val="none" w:sz="0" w:space="0" w:color="auto"/>
        <w:left w:val="none" w:sz="0" w:space="0" w:color="auto"/>
        <w:bottom w:val="none" w:sz="0" w:space="0" w:color="auto"/>
        <w:right w:val="none" w:sz="0" w:space="0" w:color="auto"/>
      </w:divBdr>
    </w:div>
    <w:div w:id="1617909147">
      <w:bodyDiv w:val="1"/>
      <w:marLeft w:val="0"/>
      <w:marRight w:val="0"/>
      <w:marTop w:val="0"/>
      <w:marBottom w:val="0"/>
      <w:divBdr>
        <w:top w:val="none" w:sz="0" w:space="0" w:color="auto"/>
        <w:left w:val="none" w:sz="0" w:space="0" w:color="auto"/>
        <w:bottom w:val="none" w:sz="0" w:space="0" w:color="auto"/>
        <w:right w:val="none" w:sz="0" w:space="0" w:color="auto"/>
      </w:divBdr>
    </w:div>
    <w:div w:id="1630743953">
      <w:bodyDiv w:val="1"/>
      <w:marLeft w:val="0"/>
      <w:marRight w:val="0"/>
      <w:marTop w:val="0"/>
      <w:marBottom w:val="0"/>
      <w:divBdr>
        <w:top w:val="none" w:sz="0" w:space="0" w:color="auto"/>
        <w:left w:val="none" w:sz="0" w:space="0" w:color="auto"/>
        <w:bottom w:val="none" w:sz="0" w:space="0" w:color="auto"/>
        <w:right w:val="none" w:sz="0" w:space="0" w:color="auto"/>
      </w:divBdr>
    </w:div>
    <w:div w:id="1691833154">
      <w:bodyDiv w:val="1"/>
      <w:marLeft w:val="0"/>
      <w:marRight w:val="0"/>
      <w:marTop w:val="0"/>
      <w:marBottom w:val="0"/>
      <w:divBdr>
        <w:top w:val="none" w:sz="0" w:space="0" w:color="auto"/>
        <w:left w:val="none" w:sz="0" w:space="0" w:color="auto"/>
        <w:bottom w:val="none" w:sz="0" w:space="0" w:color="auto"/>
        <w:right w:val="none" w:sz="0" w:space="0" w:color="auto"/>
      </w:divBdr>
    </w:div>
    <w:div w:id="1713992197">
      <w:bodyDiv w:val="1"/>
      <w:marLeft w:val="0"/>
      <w:marRight w:val="0"/>
      <w:marTop w:val="0"/>
      <w:marBottom w:val="0"/>
      <w:divBdr>
        <w:top w:val="none" w:sz="0" w:space="0" w:color="auto"/>
        <w:left w:val="none" w:sz="0" w:space="0" w:color="auto"/>
        <w:bottom w:val="none" w:sz="0" w:space="0" w:color="auto"/>
        <w:right w:val="none" w:sz="0" w:space="0" w:color="auto"/>
      </w:divBdr>
    </w:div>
    <w:div w:id="1751927938">
      <w:bodyDiv w:val="1"/>
      <w:marLeft w:val="0"/>
      <w:marRight w:val="0"/>
      <w:marTop w:val="0"/>
      <w:marBottom w:val="0"/>
      <w:divBdr>
        <w:top w:val="none" w:sz="0" w:space="0" w:color="auto"/>
        <w:left w:val="none" w:sz="0" w:space="0" w:color="auto"/>
        <w:bottom w:val="none" w:sz="0" w:space="0" w:color="auto"/>
        <w:right w:val="none" w:sz="0" w:space="0" w:color="auto"/>
      </w:divBdr>
    </w:div>
    <w:div w:id="1758601016">
      <w:bodyDiv w:val="1"/>
      <w:marLeft w:val="0"/>
      <w:marRight w:val="0"/>
      <w:marTop w:val="0"/>
      <w:marBottom w:val="0"/>
      <w:divBdr>
        <w:top w:val="none" w:sz="0" w:space="0" w:color="auto"/>
        <w:left w:val="none" w:sz="0" w:space="0" w:color="auto"/>
        <w:bottom w:val="none" w:sz="0" w:space="0" w:color="auto"/>
        <w:right w:val="none" w:sz="0" w:space="0" w:color="auto"/>
      </w:divBdr>
      <w:divsChild>
        <w:div w:id="1869368104">
          <w:marLeft w:val="480"/>
          <w:marRight w:val="0"/>
          <w:marTop w:val="0"/>
          <w:marBottom w:val="0"/>
          <w:divBdr>
            <w:top w:val="none" w:sz="0" w:space="0" w:color="auto"/>
            <w:left w:val="none" w:sz="0" w:space="0" w:color="auto"/>
            <w:bottom w:val="none" w:sz="0" w:space="0" w:color="auto"/>
            <w:right w:val="none" w:sz="0" w:space="0" w:color="auto"/>
          </w:divBdr>
        </w:div>
      </w:divsChild>
    </w:div>
    <w:div w:id="1766850731">
      <w:bodyDiv w:val="1"/>
      <w:marLeft w:val="0"/>
      <w:marRight w:val="0"/>
      <w:marTop w:val="0"/>
      <w:marBottom w:val="0"/>
      <w:divBdr>
        <w:top w:val="none" w:sz="0" w:space="0" w:color="auto"/>
        <w:left w:val="none" w:sz="0" w:space="0" w:color="auto"/>
        <w:bottom w:val="none" w:sz="0" w:space="0" w:color="auto"/>
        <w:right w:val="none" w:sz="0" w:space="0" w:color="auto"/>
      </w:divBdr>
    </w:div>
    <w:div w:id="1789080530">
      <w:bodyDiv w:val="1"/>
      <w:marLeft w:val="0"/>
      <w:marRight w:val="0"/>
      <w:marTop w:val="0"/>
      <w:marBottom w:val="0"/>
      <w:divBdr>
        <w:top w:val="none" w:sz="0" w:space="0" w:color="auto"/>
        <w:left w:val="none" w:sz="0" w:space="0" w:color="auto"/>
        <w:bottom w:val="none" w:sz="0" w:space="0" w:color="auto"/>
        <w:right w:val="none" w:sz="0" w:space="0" w:color="auto"/>
      </w:divBdr>
    </w:div>
    <w:div w:id="1810390864">
      <w:bodyDiv w:val="1"/>
      <w:marLeft w:val="0"/>
      <w:marRight w:val="0"/>
      <w:marTop w:val="0"/>
      <w:marBottom w:val="0"/>
      <w:divBdr>
        <w:top w:val="none" w:sz="0" w:space="0" w:color="auto"/>
        <w:left w:val="none" w:sz="0" w:space="0" w:color="auto"/>
        <w:bottom w:val="none" w:sz="0" w:space="0" w:color="auto"/>
        <w:right w:val="none" w:sz="0" w:space="0" w:color="auto"/>
      </w:divBdr>
    </w:div>
    <w:div w:id="1830554008">
      <w:bodyDiv w:val="1"/>
      <w:marLeft w:val="0"/>
      <w:marRight w:val="0"/>
      <w:marTop w:val="0"/>
      <w:marBottom w:val="0"/>
      <w:divBdr>
        <w:top w:val="none" w:sz="0" w:space="0" w:color="auto"/>
        <w:left w:val="none" w:sz="0" w:space="0" w:color="auto"/>
        <w:bottom w:val="none" w:sz="0" w:space="0" w:color="auto"/>
        <w:right w:val="none" w:sz="0" w:space="0" w:color="auto"/>
      </w:divBdr>
    </w:div>
    <w:div w:id="1857764069">
      <w:bodyDiv w:val="1"/>
      <w:marLeft w:val="0"/>
      <w:marRight w:val="0"/>
      <w:marTop w:val="0"/>
      <w:marBottom w:val="0"/>
      <w:divBdr>
        <w:top w:val="none" w:sz="0" w:space="0" w:color="auto"/>
        <w:left w:val="none" w:sz="0" w:space="0" w:color="auto"/>
        <w:bottom w:val="none" w:sz="0" w:space="0" w:color="auto"/>
        <w:right w:val="none" w:sz="0" w:space="0" w:color="auto"/>
      </w:divBdr>
    </w:div>
    <w:div w:id="1905989171">
      <w:bodyDiv w:val="1"/>
      <w:marLeft w:val="0"/>
      <w:marRight w:val="0"/>
      <w:marTop w:val="0"/>
      <w:marBottom w:val="0"/>
      <w:divBdr>
        <w:top w:val="none" w:sz="0" w:space="0" w:color="auto"/>
        <w:left w:val="none" w:sz="0" w:space="0" w:color="auto"/>
        <w:bottom w:val="none" w:sz="0" w:space="0" w:color="auto"/>
        <w:right w:val="none" w:sz="0" w:space="0" w:color="auto"/>
      </w:divBdr>
    </w:div>
    <w:div w:id="1914394804">
      <w:bodyDiv w:val="1"/>
      <w:marLeft w:val="0"/>
      <w:marRight w:val="0"/>
      <w:marTop w:val="0"/>
      <w:marBottom w:val="0"/>
      <w:divBdr>
        <w:top w:val="none" w:sz="0" w:space="0" w:color="auto"/>
        <w:left w:val="none" w:sz="0" w:space="0" w:color="auto"/>
        <w:bottom w:val="none" w:sz="0" w:space="0" w:color="auto"/>
        <w:right w:val="none" w:sz="0" w:space="0" w:color="auto"/>
      </w:divBdr>
    </w:div>
    <w:div w:id="1980643073">
      <w:bodyDiv w:val="1"/>
      <w:marLeft w:val="0"/>
      <w:marRight w:val="0"/>
      <w:marTop w:val="0"/>
      <w:marBottom w:val="0"/>
      <w:divBdr>
        <w:top w:val="none" w:sz="0" w:space="0" w:color="auto"/>
        <w:left w:val="none" w:sz="0" w:space="0" w:color="auto"/>
        <w:bottom w:val="none" w:sz="0" w:space="0" w:color="auto"/>
        <w:right w:val="none" w:sz="0" w:space="0" w:color="auto"/>
      </w:divBdr>
    </w:div>
    <w:div w:id="1982076059">
      <w:bodyDiv w:val="1"/>
      <w:marLeft w:val="0"/>
      <w:marRight w:val="0"/>
      <w:marTop w:val="0"/>
      <w:marBottom w:val="0"/>
      <w:divBdr>
        <w:top w:val="none" w:sz="0" w:space="0" w:color="auto"/>
        <w:left w:val="none" w:sz="0" w:space="0" w:color="auto"/>
        <w:bottom w:val="none" w:sz="0" w:space="0" w:color="auto"/>
        <w:right w:val="none" w:sz="0" w:space="0" w:color="auto"/>
      </w:divBdr>
    </w:div>
    <w:div w:id="2000645765">
      <w:bodyDiv w:val="1"/>
      <w:marLeft w:val="0"/>
      <w:marRight w:val="0"/>
      <w:marTop w:val="0"/>
      <w:marBottom w:val="0"/>
      <w:divBdr>
        <w:top w:val="none" w:sz="0" w:space="0" w:color="auto"/>
        <w:left w:val="none" w:sz="0" w:space="0" w:color="auto"/>
        <w:bottom w:val="none" w:sz="0" w:space="0" w:color="auto"/>
        <w:right w:val="none" w:sz="0" w:space="0" w:color="auto"/>
      </w:divBdr>
    </w:div>
    <w:div w:id="2004157972">
      <w:bodyDiv w:val="1"/>
      <w:marLeft w:val="0"/>
      <w:marRight w:val="0"/>
      <w:marTop w:val="0"/>
      <w:marBottom w:val="0"/>
      <w:divBdr>
        <w:top w:val="none" w:sz="0" w:space="0" w:color="auto"/>
        <w:left w:val="none" w:sz="0" w:space="0" w:color="auto"/>
        <w:bottom w:val="none" w:sz="0" w:space="0" w:color="auto"/>
        <w:right w:val="none" w:sz="0" w:space="0" w:color="auto"/>
      </w:divBdr>
    </w:div>
    <w:div w:id="2009747941">
      <w:bodyDiv w:val="1"/>
      <w:marLeft w:val="0"/>
      <w:marRight w:val="0"/>
      <w:marTop w:val="0"/>
      <w:marBottom w:val="0"/>
      <w:divBdr>
        <w:top w:val="none" w:sz="0" w:space="0" w:color="auto"/>
        <w:left w:val="none" w:sz="0" w:space="0" w:color="auto"/>
        <w:bottom w:val="none" w:sz="0" w:space="0" w:color="auto"/>
        <w:right w:val="none" w:sz="0" w:space="0" w:color="auto"/>
      </w:divBdr>
    </w:div>
    <w:div w:id="2011251161">
      <w:bodyDiv w:val="1"/>
      <w:marLeft w:val="0"/>
      <w:marRight w:val="0"/>
      <w:marTop w:val="0"/>
      <w:marBottom w:val="0"/>
      <w:divBdr>
        <w:top w:val="none" w:sz="0" w:space="0" w:color="auto"/>
        <w:left w:val="none" w:sz="0" w:space="0" w:color="auto"/>
        <w:bottom w:val="none" w:sz="0" w:space="0" w:color="auto"/>
        <w:right w:val="none" w:sz="0" w:space="0" w:color="auto"/>
      </w:divBdr>
    </w:div>
    <w:div w:id="2020886829">
      <w:bodyDiv w:val="1"/>
      <w:marLeft w:val="0"/>
      <w:marRight w:val="0"/>
      <w:marTop w:val="0"/>
      <w:marBottom w:val="0"/>
      <w:divBdr>
        <w:top w:val="none" w:sz="0" w:space="0" w:color="auto"/>
        <w:left w:val="none" w:sz="0" w:space="0" w:color="auto"/>
        <w:bottom w:val="none" w:sz="0" w:space="0" w:color="auto"/>
        <w:right w:val="none" w:sz="0" w:space="0" w:color="auto"/>
      </w:divBdr>
    </w:div>
    <w:div w:id="2059090570">
      <w:bodyDiv w:val="1"/>
      <w:marLeft w:val="0"/>
      <w:marRight w:val="0"/>
      <w:marTop w:val="0"/>
      <w:marBottom w:val="0"/>
      <w:divBdr>
        <w:top w:val="none" w:sz="0" w:space="0" w:color="auto"/>
        <w:left w:val="none" w:sz="0" w:space="0" w:color="auto"/>
        <w:bottom w:val="none" w:sz="0" w:space="0" w:color="auto"/>
        <w:right w:val="none" w:sz="0" w:space="0" w:color="auto"/>
      </w:divBdr>
      <w:divsChild>
        <w:div w:id="1813793375">
          <w:marLeft w:val="0"/>
          <w:marRight w:val="0"/>
          <w:marTop w:val="0"/>
          <w:marBottom w:val="0"/>
          <w:divBdr>
            <w:top w:val="none" w:sz="0" w:space="0" w:color="auto"/>
            <w:left w:val="none" w:sz="0" w:space="0" w:color="auto"/>
            <w:bottom w:val="none" w:sz="0" w:space="0" w:color="auto"/>
            <w:right w:val="none" w:sz="0" w:space="0" w:color="auto"/>
          </w:divBdr>
          <w:divsChild>
            <w:div w:id="1738436996">
              <w:marLeft w:val="0"/>
              <w:marRight w:val="0"/>
              <w:marTop w:val="0"/>
              <w:marBottom w:val="450"/>
              <w:divBdr>
                <w:top w:val="none" w:sz="0" w:space="0" w:color="auto"/>
                <w:left w:val="none" w:sz="0" w:space="0" w:color="auto"/>
                <w:bottom w:val="none" w:sz="0" w:space="0" w:color="auto"/>
                <w:right w:val="none" w:sz="0" w:space="0" w:color="auto"/>
              </w:divBdr>
              <w:divsChild>
                <w:div w:id="1355688869">
                  <w:marLeft w:val="0"/>
                  <w:marRight w:val="0"/>
                  <w:marTop w:val="0"/>
                  <w:marBottom w:val="0"/>
                  <w:divBdr>
                    <w:top w:val="none" w:sz="0" w:space="0" w:color="auto"/>
                    <w:left w:val="none" w:sz="0" w:space="0" w:color="auto"/>
                    <w:bottom w:val="none" w:sz="0" w:space="0" w:color="auto"/>
                    <w:right w:val="none" w:sz="0" w:space="0" w:color="auto"/>
                  </w:divBdr>
                  <w:divsChild>
                    <w:div w:id="1362590911">
                      <w:marLeft w:val="0"/>
                      <w:marRight w:val="0"/>
                      <w:marTop w:val="0"/>
                      <w:marBottom w:val="0"/>
                      <w:divBdr>
                        <w:top w:val="none" w:sz="0" w:space="0" w:color="auto"/>
                        <w:left w:val="none" w:sz="0" w:space="0" w:color="auto"/>
                        <w:bottom w:val="none" w:sz="0" w:space="0" w:color="auto"/>
                        <w:right w:val="none" w:sz="0" w:space="0" w:color="auto"/>
                      </w:divBdr>
                      <w:divsChild>
                        <w:div w:id="55787089">
                          <w:marLeft w:val="0"/>
                          <w:marRight w:val="0"/>
                          <w:marTop w:val="0"/>
                          <w:marBottom w:val="0"/>
                          <w:divBdr>
                            <w:top w:val="none" w:sz="0" w:space="0" w:color="auto"/>
                            <w:left w:val="none" w:sz="0" w:space="0" w:color="auto"/>
                            <w:bottom w:val="none" w:sz="0" w:space="0" w:color="auto"/>
                            <w:right w:val="none" w:sz="0" w:space="0" w:color="auto"/>
                          </w:divBdr>
                          <w:divsChild>
                            <w:div w:id="1098911982">
                              <w:marLeft w:val="0"/>
                              <w:marRight w:val="0"/>
                              <w:marTop w:val="0"/>
                              <w:marBottom w:val="0"/>
                              <w:divBdr>
                                <w:top w:val="none" w:sz="0" w:space="0" w:color="auto"/>
                                <w:left w:val="none" w:sz="0" w:space="0" w:color="auto"/>
                                <w:bottom w:val="none" w:sz="0" w:space="0" w:color="auto"/>
                                <w:right w:val="none" w:sz="0" w:space="0" w:color="auto"/>
                              </w:divBdr>
                              <w:divsChild>
                                <w:div w:id="2037195433">
                                  <w:marLeft w:val="0"/>
                                  <w:marRight w:val="0"/>
                                  <w:marTop w:val="0"/>
                                  <w:marBottom w:val="0"/>
                                  <w:divBdr>
                                    <w:top w:val="none" w:sz="0" w:space="0" w:color="auto"/>
                                    <w:left w:val="none" w:sz="0" w:space="0" w:color="auto"/>
                                    <w:bottom w:val="none" w:sz="0" w:space="0" w:color="auto"/>
                                    <w:right w:val="none" w:sz="0" w:space="0" w:color="auto"/>
                                  </w:divBdr>
                                  <w:divsChild>
                                    <w:div w:id="18458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68965">
      <w:bodyDiv w:val="1"/>
      <w:marLeft w:val="0"/>
      <w:marRight w:val="0"/>
      <w:marTop w:val="0"/>
      <w:marBottom w:val="0"/>
      <w:divBdr>
        <w:top w:val="none" w:sz="0" w:space="0" w:color="auto"/>
        <w:left w:val="none" w:sz="0" w:space="0" w:color="auto"/>
        <w:bottom w:val="none" w:sz="0" w:space="0" w:color="auto"/>
        <w:right w:val="none" w:sz="0" w:space="0" w:color="auto"/>
      </w:divBdr>
      <w:divsChild>
        <w:div w:id="323894473">
          <w:marLeft w:val="480"/>
          <w:marRight w:val="0"/>
          <w:marTop w:val="0"/>
          <w:marBottom w:val="0"/>
          <w:divBdr>
            <w:top w:val="none" w:sz="0" w:space="0" w:color="auto"/>
            <w:left w:val="none" w:sz="0" w:space="0" w:color="auto"/>
            <w:bottom w:val="none" w:sz="0" w:space="0" w:color="auto"/>
            <w:right w:val="none" w:sz="0" w:space="0" w:color="auto"/>
          </w:divBdr>
        </w:div>
        <w:div w:id="588346916">
          <w:marLeft w:val="480"/>
          <w:marRight w:val="0"/>
          <w:marTop w:val="0"/>
          <w:marBottom w:val="0"/>
          <w:divBdr>
            <w:top w:val="none" w:sz="0" w:space="0" w:color="auto"/>
            <w:left w:val="none" w:sz="0" w:space="0" w:color="auto"/>
            <w:bottom w:val="none" w:sz="0" w:space="0" w:color="auto"/>
            <w:right w:val="none" w:sz="0" w:space="0" w:color="auto"/>
          </w:divBdr>
        </w:div>
        <w:div w:id="1454515677">
          <w:marLeft w:val="480"/>
          <w:marRight w:val="0"/>
          <w:marTop w:val="0"/>
          <w:marBottom w:val="0"/>
          <w:divBdr>
            <w:top w:val="none" w:sz="0" w:space="0" w:color="auto"/>
            <w:left w:val="none" w:sz="0" w:space="0" w:color="auto"/>
            <w:bottom w:val="none" w:sz="0" w:space="0" w:color="auto"/>
            <w:right w:val="none" w:sz="0" w:space="0" w:color="auto"/>
          </w:divBdr>
        </w:div>
        <w:div w:id="1813525872">
          <w:marLeft w:val="480"/>
          <w:marRight w:val="0"/>
          <w:marTop w:val="0"/>
          <w:marBottom w:val="0"/>
          <w:divBdr>
            <w:top w:val="none" w:sz="0" w:space="0" w:color="auto"/>
            <w:left w:val="none" w:sz="0" w:space="0" w:color="auto"/>
            <w:bottom w:val="none" w:sz="0" w:space="0" w:color="auto"/>
            <w:right w:val="none" w:sz="0" w:space="0" w:color="auto"/>
          </w:divBdr>
        </w:div>
      </w:divsChild>
    </w:div>
    <w:div w:id="2098793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20.A420565812.12.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system-worl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gov.lv/lv/judikatura/tiesu-praksesapkopojumi/administrativajas-tiesib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is.ta.gov.lv/tisreal?Form=STAT_PROC_ENTER&amp;task=edit&amp;procid=5859995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005%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58599956&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8%26procnum%3D0005%26sort%3D1%26liststep%3D10%26%3DPar%25C4%2581d%25C4%25ABt%26plparam1%3Dlist%26pljmimetype%3D1%26%3DIzdruk%25C4%2581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95D4E-F21A-43BF-A31A-92942F5F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6194</Words>
  <Characters>35311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2022-09-23T08:49:00Z</dcterms:created>
  <dcterms:modified xsi:type="dcterms:W3CDTF">2022-09-26T18:48:00Z</dcterms:modified>
</cp:coreProperties>
</file>