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9D83A" w14:textId="77777777" w:rsidR="00BE3CFD" w:rsidRDefault="00BE3CFD" w:rsidP="00BE3CFD">
      <w:pPr>
        <w:autoSpaceDE w:val="0"/>
        <w:autoSpaceDN w:val="0"/>
        <w:spacing w:line="276" w:lineRule="auto"/>
        <w:jc w:val="both"/>
        <w:rPr>
          <w:b/>
          <w:bCs/>
          <w:lang w:eastAsia="en-US"/>
        </w:rPr>
      </w:pPr>
      <w:r>
        <w:rPr>
          <w:b/>
          <w:bCs/>
        </w:rPr>
        <w:t xml:space="preserve">Pieteicēja zvērests administratīvajā procesā un priekšnoteikumi tā pieļaujamībai tiesā </w:t>
      </w:r>
    </w:p>
    <w:p w14:paraId="40F8EC6E" w14:textId="77777777" w:rsidR="00BE3CFD" w:rsidRDefault="00BE3CFD" w:rsidP="00BE3CFD">
      <w:pPr>
        <w:autoSpaceDE w:val="0"/>
        <w:autoSpaceDN w:val="0"/>
        <w:spacing w:line="276" w:lineRule="auto"/>
        <w:jc w:val="both"/>
      </w:pPr>
      <w:r>
        <w:t>No Administratīvā procesa likuma 161.panta trešajā daļā un 224.panta pirmajā daļā ietvertā formulējuma un jēgas secināms, ka pieteicēja zvērests ir pieļaujams tikai tad, ja, pirmkārt, citi pierādījumi tiesai nav un nevar būt pieejami tāpēc, ka tie objektīvi nepastāv. Otrkārt, pieteicēja zvērests ir pieļaujams tad, ja ir izsmeltas visas iespējas iegūt citus pierādīšanas līdzekļus. No Administratīvā procesa likuma 224.panta pirmās daļas izriet, ka par pieteicēja zvēresta kā pierādīšanas līdzekļa pieļaujam</w:t>
      </w:r>
      <w:bookmarkStart w:id="0" w:name="_GoBack"/>
      <w:bookmarkEnd w:id="0"/>
      <w:r>
        <w:t xml:space="preserve">ību lemj tiesa. Tātad tiesai vispirms ir jāvērtē, vai pastāv zvēresta sniegšanas priekšnoteikumi, tostarp – citu pierādījumu nav vai tie nav pietiekami droši. Pretējā gadījumā zvērests nav pieļaujams. </w:t>
      </w:r>
    </w:p>
    <w:p w14:paraId="28931D1E" w14:textId="77777777" w:rsidR="00BE3CFD" w:rsidRDefault="00BE3CFD" w:rsidP="00BE3CFD">
      <w:pPr>
        <w:autoSpaceDE w:val="0"/>
        <w:autoSpaceDN w:val="0"/>
        <w:spacing w:line="276" w:lineRule="auto"/>
        <w:jc w:val="both"/>
      </w:pPr>
      <w:r>
        <w:t>Apstākļu, kas vispārīgi būtu jāapliecina ar medicīniskiem dokumentiem, nevis tikai ar personas paskaidrojumiem, pamatošanā zvēresta izmantošana nav pieļaujama. Šādā situācijā tiesa tai iesniegto zvērestu atsaka pieņemt.</w:t>
      </w:r>
    </w:p>
    <w:p w14:paraId="252CBE4E" w14:textId="2ED0C39E" w:rsidR="003047F5" w:rsidRPr="00B17B0C" w:rsidRDefault="003047F5" w:rsidP="00BE3CFD">
      <w:pPr>
        <w:pStyle w:val="BodyText2"/>
        <w:spacing w:after="0" w:line="276" w:lineRule="auto"/>
      </w:pPr>
    </w:p>
    <w:p w14:paraId="408D7DE5" w14:textId="123DE59D" w:rsidR="001D6DA5" w:rsidRPr="00BE3CFD" w:rsidRDefault="00BE3CFD" w:rsidP="00BE3CFD">
      <w:pPr>
        <w:spacing w:line="276" w:lineRule="auto"/>
        <w:jc w:val="center"/>
        <w:rPr>
          <w:b/>
        </w:rPr>
      </w:pPr>
      <w:r w:rsidRPr="00BE3CFD">
        <w:rPr>
          <w:b/>
        </w:rPr>
        <w:t>Latvijas Republikas Senāta</w:t>
      </w:r>
    </w:p>
    <w:p w14:paraId="40EF0B39" w14:textId="04FB1D44" w:rsidR="00BE3CFD" w:rsidRPr="00BE3CFD" w:rsidRDefault="00BE3CFD" w:rsidP="00BE3CFD">
      <w:pPr>
        <w:spacing w:line="276" w:lineRule="auto"/>
        <w:jc w:val="center"/>
        <w:rPr>
          <w:b/>
        </w:rPr>
      </w:pPr>
      <w:r w:rsidRPr="00BE3CFD">
        <w:rPr>
          <w:b/>
        </w:rPr>
        <w:t xml:space="preserve">Administratīvo kleitu departamenta </w:t>
      </w:r>
    </w:p>
    <w:p w14:paraId="309E6DA1" w14:textId="48E08E9B" w:rsidR="00BE3CFD" w:rsidRPr="00BE3CFD" w:rsidRDefault="00BE3CFD" w:rsidP="00BE3CFD">
      <w:pPr>
        <w:spacing w:line="276" w:lineRule="auto"/>
        <w:jc w:val="center"/>
        <w:rPr>
          <w:b/>
        </w:rPr>
      </w:pPr>
      <w:r w:rsidRPr="00BE3CFD">
        <w:rPr>
          <w:b/>
        </w:rPr>
        <w:t>2022.gada 3.maija</w:t>
      </w:r>
    </w:p>
    <w:p w14:paraId="0F237F94" w14:textId="77777777" w:rsidR="001D6DA5" w:rsidRPr="00BE3CFD" w:rsidRDefault="00E10E2F" w:rsidP="00BE3CFD">
      <w:pPr>
        <w:spacing w:line="276" w:lineRule="auto"/>
        <w:jc w:val="center"/>
        <w:rPr>
          <w:b/>
        </w:rPr>
      </w:pPr>
      <w:r w:rsidRPr="00BE3CFD">
        <w:rPr>
          <w:b/>
        </w:rPr>
        <w:t xml:space="preserve">RĪCĪBAS SĒDES </w:t>
      </w:r>
      <w:r w:rsidR="001D6DA5" w:rsidRPr="00BE3CFD">
        <w:rPr>
          <w:b/>
        </w:rPr>
        <w:t>LĒMUMS</w:t>
      </w:r>
    </w:p>
    <w:p w14:paraId="441DFF77" w14:textId="77777777" w:rsidR="00BE3CFD" w:rsidRPr="00BE3CFD" w:rsidRDefault="00BE3CFD" w:rsidP="00BE3CFD">
      <w:pPr>
        <w:spacing w:line="276" w:lineRule="auto"/>
        <w:jc w:val="center"/>
        <w:rPr>
          <w:b/>
        </w:rPr>
      </w:pPr>
      <w:r w:rsidRPr="00BE3CFD">
        <w:rPr>
          <w:b/>
        </w:rPr>
        <w:t>Lieta Nr. A420197619</w:t>
      </w:r>
      <w:r w:rsidRPr="00BE3CFD">
        <w:rPr>
          <w:b/>
          <w:lang w:eastAsia="lv-LV"/>
        </w:rPr>
        <w:t xml:space="preserve">, </w:t>
      </w:r>
      <w:r w:rsidRPr="00BE3CFD">
        <w:rPr>
          <w:b/>
        </w:rPr>
        <w:t>SKA-429/2022</w:t>
      </w:r>
    </w:p>
    <w:p w14:paraId="47452EB7" w14:textId="7674E4B2" w:rsidR="00BE3CFD" w:rsidRPr="00BE3CFD" w:rsidRDefault="00BE3CFD" w:rsidP="00BE3CFD">
      <w:pPr>
        <w:spacing w:line="276" w:lineRule="auto"/>
        <w:jc w:val="center"/>
      </w:pPr>
      <w:hyperlink r:id="rId7" w:history="1">
        <w:r w:rsidRPr="00BE3CFD">
          <w:rPr>
            <w:rStyle w:val="Hyperlink"/>
          </w:rPr>
          <w:t>ECLI:LV:AT:2022:0503.A420197619.10.L</w:t>
        </w:r>
      </w:hyperlink>
      <w:r w:rsidRPr="00BE3CFD">
        <w:t xml:space="preserve"> </w:t>
      </w:r>
    </w:p>
    <w:p w14:paraId="7DEEC300" w14:textId="77777777" w:rsidR="003047F5" w:rsidRPr="00B17B0C" w:rsidRDefault="003047F5" w:rsidP="00BE3CFD">
      <w:pPr>
        <w:spacing w:line="276" w:lineRule="auto"/>
        <w:jc w:val="center"/>
      </w:pPr>
    </w:p>
    <w:p w14:paraId="4BBBD867" w14:textId="0F9E0931" w:rsidR="002C10DC" w:rsidRPr="00F91755" w:rsidRDefault="002C10DC" w:rsidP="00BE3CFD">
      <w:pPr>
        <w:spacing w:line="276" w:lineRule="auto"/>
        <w:ind w:firstLine="567"/>
        <w:jc w:val="both"/>
      </w:pPr>
      <w:r w:rsidRPr="00F91755">
        <w:t>[1] </w:t>
      </w:r>
      <w:r w:rsidR="009756AE">
        <w:t>Pieteicēj</w:t>
      </w:r>
      <w:r w:rsidR="002F6B48">
        <w:t>s</w:t>
      </w:r>
      <w:r w:rsidR="009756AE">
        <w:t xml:space="preserve"> </w:t>
      </w:r>
      <w:r w:rsidR="00BE3CFD">
        <w:t xml:space="preserve">[pers. A] </w:t>
      </w:r>
      <w:r w:rsidRPr="00F91755">
        <w:t>ir iesnie</w:t>
      </w:r>
      <w:r w:rsidR="002F6B48">
        <w:t>dzis</w:t>
      </w:r>
      <w:r w:rsidRPr="00F91755">
        <w:t xml:space="preserve"> kasācijas sūdzību par Administratīvās apgabaltiesas 20</w:t>
      </w:r>
      <w:r w:rsidR="002F6B48">
        <w:t>21</w:t>
      </w:r>
      <w:r w:rsidRPr="00F91755">
        <w:t xml:space="preserve">.gada </w:t>
      </w:r>
      <w:r w:rsidR="002F6B48">
        <w:t>27.aprīļa</w:t>
      </w:r>
      <w:r w:rsidRPr="00F91755">
        <w:t xml:space="preserve"> spriedumu, ar kuru </w:t>
      </w:r>
      <w:r w:rsidR="009756AE">
        <w:t>noraidīts viņa</w:t>
      </w:r>
      <w:r w:rsidR="00252404">
        <w:t xml:space="preserve"> </w:t>
      </w:r>
      <w:r w:rsidRPr="00F91755">
        <w:t xml:space="preserve">pieteikums par </w:t>
      </w:r>
      <w:r w:rsidR="00124C5E">
        <w:t>labvēlīg</w:t>
      </w:r>
      <w:r w:rsidR="002F6B48">
        <w:t>āka</w:t>
      </w:r>
      <w:r w:rsidR="00124C5E">
        <w:t xml:space="preserve"> administratīvā akta izdošanu, ar kuru</w:t>
      </w:r>
      <w:r w:rsidR="002F6B48">
        <w:t xml:space="preserve"> viņam</w:t>
      </w:r>
      <w:r w:rsidR="00124C5E">
        <w:t xml:space="preserve"> </w:t>
      </w:r>
      <w:r w:rsidR="00252404">
        <w:t xml:space="preserve">tiktu </w:t>
      </w:r>
      <w:r w:rsidR="002F6B48">
        <w:t>noteikta II invaliditātes grupa</w:t>
      </w:r>
      <w:r w:rsidR="00124C5E">
        <w:t>.</w:t>
      </w:r>
    </w:p>
    <w:p w14:paraId="0069B593" w14:textId="459233DE" w:rsidR="005E6076" w:rsidRPr="00F91755" w:rsidRDefault="00613EBB" w:rsidP="00BE3CFD">
      <w:pPr>
        <w:spacing w:line="276" w:lineRule="auto"/>
        <w:ind w:firstLine="567"/>
        <w:jc w:val="both"/>
      </w:pPr>
      <w:r>
        <w:t>A</w:t>
      </w:r>
      <w:r w:rsidR="00124C5E">
        <w:t>pgabaltiesa</w:t>
      </w:r>
      <w:r w:rsidR="002F6B48">
        <w:t xml:space="preserve">, </w:t>
      </w:r>
      <w:r w:rsidR="00942BD4">
        <w:t>pievienojoties</w:t>
      </w:r>
      <w:r w:rsidR="00603AD3">
        <w:t xml:space="preserve"> </w:t>
      </w:r>
      <w:r w:rsidR="002F6B48">
        <w:t>rajona tiesas sprieduma motivācijai,</w:t>
      </w:r>
      <w:r w:rsidR="00CB2C79">
        <w:t xml:space="preserve"> </w:t>
      </w:r>
      <w:r w:rsidR="001A0568">
        <w:t xml:space="preserve">atzina, ka pieteicēja </w:t>
      </w:r>
      <w:r w:rsidR="00BF071A">
        <w:t>funkcionēšanas ierobežojum</w:t>
      </w:r>
      <w:r w:rsidR="00E60192">
        <w:t>i</w:t>
      </w:r>
      <w:r w:rsidR="001A0568">
        <w:t xml:space="preserve"> atbilst mērenai pakāpei, tāpēc pieteicējam pamatoti </w:t>
      </w:r>
      <w:r w:rsidR="00675EA0">
        <w:t>gan ar Veselības un darbspēju ekspertīzes ārstu valsts komisijas (turpmāk – komisija) 2019.</w:t>
      </w:r>
      <w:r w:rsidR="00675EA0" w:rsidRPr="00DE2536">
        <w:t>gada 1</w:t>
      </w:r>
      <w:r w:rsidR="00B71B69" w:rsidRPr="00DE2536">
        <w:t>8</w:t>
      </w:r>
      <w:r w:rsidR="00675EA0" w:rsidRPr="00DE2536">
        <w:t xml:space="preserve">.aprīļa </w:t>
      </w:r>
      <w:r w:rsidR="00675EA0">
        <w:t xml:space="preserve">lēmumu, gan </w:t>
      </w:r>
      <w:r w:rsidR="00942BD4">
        <w:t xml:space="preserve">ar </w:t>
      </w:r>
      <w:r w:rsidR="002C2740">
        <w:t xml:space="preserve">22.novembra lēmumu, kad pieteicējs bija vērsies komisijā </w:t>
      </w:r>
      <w:r w:rsidR="00595717">
        <w:t xml:space="preserve">ar atkārtotu lūgumu </w:t>
      </w:r>
      <w:r w:rsidR="002C2740">
        <w:t>invaliditātes ekspertīzes veikšanai</w:t>
      </w:r>
      <w:r w:rsidR="00942BD4">
        <w:t xml:space="preserve"> (</w:t>
      </w:r>
      <w:r w:rsidR="00BF071A">
        <w:t>uzskatot, ka viņa veselības stāvoklis ir pasliktinājies un tā radītais funkcionēšanas ierobežojums ir uzskatāms par stabilu</w:t>
      </w:r>
      <w:r w:rsidR="00942BD4">
        <w:t>),</w:t>
      </w:r>
      <w:r w:rsidR="00BF071A">
        <w:t xml:space="preserve"> </w:t>
      </w:r>
      <w:r w:rsidR="001A0568">
        <w:t xml:space="preserve">noteikta III invaliditātes grupa. Savukārt priekšnoteikumus II invaliditātes grupas noteikšanai </w:t>
      </w:r>
      <w:r w:rsidR="002C2740">
        <w:t xml:space="preserve">ne </w:t>
      </w:r>
      <w:r w:rsidR="00942BD4">
        <w:t>vienā, ne otrā invaliditātes ekspertīzes veikšanas reizē</w:t>
      </w:r>
      <w:r w:rsidR="00BF071A">
        <w:t xml:space="preserve"> </w:t>
      </w:r>
      <w:r w:rsidR="001A0568">
        <w:t>tiesa nekonstatēja.</w:t>
      </w:r>
      <w:r w:rsidR="00B67C01">
        <w:t xml:space="preserve"> Tiesa </w:t>
      </w:r>
      <w:r w:rsidR="00B71B69">
        <w:t xml:space="preserve">arī </w:t>
      </w:r>
      <w:r w:rsidR="00977FED">
        <w:t xml:space="preserve">atzina, ka </w:t>
      </w:r>
      <w:r w:rsidR="00B71B69">
        <w:t xml:space="preserve">komisija </w:t>
      </w:r>
      <w:r w:rsidR="000C7805">
        <w:t xml:space="preserve">2019.gada 22.novembra lēmumā </w:t>
      </w:r>
      <w:r w:rsidR="00C003AE">
        <w:t xml:space="preserve">ir </w:t>
      </w:r>
      <w:r w:rsidR="00B71B69">
        <w:t xml:space="preserve">pareizi noteikusi invaliditātes </w:t>
      </w:r>
      <w:r w:rsidR="000C7805">
        <w:t xml:space="preserve">termiņu. </w:t>
      </w:r>
    </w:p>
    <w:p w14:paraId="726766D2" w14:textId="77777777" w:rsidR="005E6076" w:rsidRPr="00F91755" w:rsidRDefault="005E6076" w:rsidP="00BE3CFD">
      <w:pPr>
        <w:spacing w:line="276" w:lineRule="auto"/>
        <w:ind w:firstLine="567"/>
        <w:jc w:val="both"/>
      </w:pPr>
    </w:p>
    <w:p w14:paraId="03E07CC2" w14:textId="77777777" w:rsidR="00C959FA" w:rsidRPr="00F91755" w:rsidRDefault="005E6076" w:rsidP="00BE3CFD">
      <w:pPr>
        <w:spacing w:line="276" w:lineRule="auto"/>
        <w:ind w:firstLine="567"/>
        <w:jc w:val="both"/>
      </w:pPr>
      <w:r w:rsidRPr="00F91755">
        <w:lastRenderedPageBreak/>
        <w:t>[2] Izvērtējot kasācijas sūdzībā minētos argumentus, senatoru kolēģijai nerodas šaubas par apgabaltiesas sprieduma tiesiskumu. Lietā nav arī risināmi tādi tiesību jautājumi, kuru dēļ kasācijas tiesvedībai būtu nozīme judikatūras veidošanā.</w:t>
      </w:r>
      <w:r w:rsidR="00C959FA" w:rsidRPr="00F91755">
        <w:t xml:space="preserve"> </w:t>
      </w:r>
    </w:p>
    <w:p w14:paraId="561EC0B8" w14:textId="77777777" w:rsidR="005E6076" w:rsidRPr="00F91755" w:rsidRDefault="005E6076" w:rsidP="00BE3CFD">
      <w:pPr>
        <w:spacing w:line="276" w:lineRule="auto"/>
        <w:ind w:firstLine="567"/>
        <w:jc w:val="both"/>
      </w:pPr>
    </w:p>
    <w:p w14:paraId="5596A0A6" w14:textId="3A118038" w:rsidR="00F06104" w:rsidRDefault="005E6076" w:rsidP="00BE3CFD">
      <w:pPr>
        <w:spacing w:line="276" w:lineRule="auto"/>
        <w:ind w:firstLine="567"/>
        <w:jc w:val="both"/>
      </w:pPr>
      <w:r w:rsidRPr="00F91755">
        <w:t>[3]</w:t>
      </w:r>
      <w:r w:rsidR="001254B9">
        <w:t> Pieteicēj</w:t>
      </w:r>
      <w:r w:rsidR="00F06104">
        <w:t>s, atsaucoties uz Administratīvā procesa likuma 103., 154.</w:t>
      </w:r>
      <w:r w:rsidR="001177EF">
        <w:t>, 250.</w:t>
      </w:r>
      <w:r w:rsidR="00F06104">
        <w:t xml:space="preserve">pantu un administratīvā procesa principiem (5., 7., 9. un 10.pantu), kasācijas sūdzībā norādījis, ka </w:t>
      </w:r>
      <w:r w:rsidR="00AD293F">
        <w:t>apgabal</w:t>
      </w:r>
      <w:r w:rsidR="00F06104">
        <w:t>tiesa nav vispusīgi</w:t>
      </w:r>
      <w:r w:rsidR="00643745">
        <w:t xml:space="preserve"> un </w:t>
      </w:r>
      <w:r w:rsidR="00F06104">
        <w:t>pilnīgi veikusi kontroli pār iestādes izdotā administratīvā akta tiesiskumu, nav objektīvi noskaidrojusi lietas apstākļus, nav devusi juridiski pamatotu vērtējumu tam, kāpēc administratīvais akts nav pamatots atbilstoši likuma prasībām</w:t>
      </w:r>
      <w:r w:rsidR="004A0BA5">
        <w:t>, nav pārbaudījusi, vai administratīvais akts izdots, ievērojot procesuālos un formālos priekšnoteikumus, nav vispusīgi, pilnīgi un objektīvi novērtējusi pierādījumus, dodot priekšroku tikai komisijas viedoklim, bet neņemot vērā pieteicēja iesniegtos pierādījumus.</w:t>
      </w:r>
    </w:p>
    <w:p w14:paraId="7B04CA49" w14:textId="40659113" w:rsidR="00F51149" w:rsidRDefault="00473DC4" w:rsidP="00BE3CFD">
      <w:pPr>
        <w:spacing w:line="276" w:lineRule="auto"/>
        <w:ind w:firstLine="567"/>
        <w:jc w:val="both"/>
      </w:pPr>
      <w:r>
        <w:t xml:space="preserve">Senatoru kolēģija </w:t>
      </w:r>
      <w:r w:rsidR="00C95CCF">
        <w:t>minētajam nepiekrīt. No pārsūdzētā sprieduma, ņemot vērā arī pievienošanos pirmās instances tiesas motivācijai, redzams</w:t>
      </w:r>
      <w:r w:rsidR="00AD293F">
        <w:t xml:space="preserve">, ka tiesa ir </w:t>
      </w:r>
      <w:r w:rsidR="0093081B">
        <w:t>rūpīgi</w:t>
      </w:r>
      <w:r w:rsidR="00AD293F">
        <w:t xml:space="preserve"> </w:t>
      </w:r>
      <w:r w:rsidR="0093081B">
        <w:t>iz</w:t>
      </w:r>
      <w:r w:rsidR="00AD293F">
        <w:t>vērtējusi abā</w:t>
      </w:r>
      <w:r w:rsidR="00987F14">
        <w:t xml:space="preserve">s strīdus </w:t>
      </w:r>
      <w:r w:rsidR="00AD293F">
        <w:t>invaliditātes ekspertīzes veikšanas reizē</w:t>
      </w:r>
      <w:r w:rsidR="00987F14">
        <w:t>s</w:t>
      </w:r>
      <w:r w:rsidR="00AD293F">
        <w:t xml:space="preserve"> </w:t>
      </w:r>
      <w:r w:rsidR="0093081B">
        <w:t xml:space="preserve">konstatēto, </w:t>
      </w:r>
      <w:r w:rsidR="00AD293F">
        <w:t xml:space="preserve">iesniegtos medicīniskos dokumentus, pieteicēja </w:t>
      </w:r>
      <w:r w:rsidR="0093081B">
        <w:t xml:space="preserve">funkcionālo spēju pašnovērtējuma anketā norādīto kopsakarā ar pieteicēja un komisijas papildu paskaidrojumiem un </w:t>
      </w:r>
      <w:r w:rsidR="0093081B" w:rsidRPr="001E4528">
        <w:t>Ministru kabineta 2014.gada 23.decembra noteikum</w:t>
      </w:r>
      <w:r w:rsidR="0093081B">
        <w:t>os</w:t>
      </w:r>
      <w:r w:rsidR="0093081B" w:rsidRPr="001E4528">
        <w:t xml:space="preserve"> Nr.</w:t>
      </w:r>
      <w:r w:rsidR="0093081B">
        <w:t> </w:t>
      </w:r>
      <w:r w:rsidR="0093081B" w:rsidRPr="001E4528">
        <w:t xml:space="preserve">805 „Noteikumi par prognozējamas invaliditātes, invaliditātes un darbspēju zaudējuma noteikšanas kritērijiem, termiņiem un kārtību” (nosaukums šobrīd – „Prognozējamas invaliditātes, invaliditātes un darbspēju zaudējuma noteikšanas un invaliditāti apliecinoša dokumenta izsniegšanas noteikumi”; turpmāk – Invaliditātes noteikšanas noteikumi) </w:t>
      </w:r>
      <w:r w:rsidR="0093081B">
        <w:t xml:space="preserve">ietvertajiem kritērijiem. </w:t>
      </w:r>
      <w:r w:rsidR="00894F35">
        <w:t>Tiesa nav balstījusies tikai uz pašnovērtējuma anketu vai iestādes viedokli, kā kasācijas sūdzībā norāda pieteicējs, bet gan iz</w:t>
      </w:r>
      <w:r w:rsidR="00894F35">
        <w:lastRenderedPageBreak/>
        <w:t>vērtējusi visus lietā esošos pierādījumus kopsakarā</w:t>
      </w:r>
      <w:r w:rsidR="004A273A">
        <w:t xml:space="preserve">, lietā </w:t>
      </w:r>
      <w:r w:rsidR="00831682">
        <w:t xml:space="preserve">neskaidro </w:t>
      </w:r>
      <w:r w:rsidR="004A273A">
        <w:t xml:space="preserve">jautājumu noskaidrošanai iegūstot arī papildu pierādījumus. </w:t>
      </w:r>
      <w:r w:rsidR="0093081B">
        <w:t>Tiesa, ņemot vērā, ka pieteikuma priekšmets ir labvēlīga (labvēlīgāka) administratīvā akta izdošana, pati ir pārbaudījusi, vai</w:t>
      </w:r>
      <w:r w:rsidR="00894F35">
        <w:t xml:space="preserve"> pieteicēja gadījumā</w:t>
      </w:r>
      <w:r w:rsidR="0093081B">
        <w:t xml:space="preserve"> laikā, kad komisija pieņēma pārsūdzētos lēmumus, pastāvēja tiesību normās ietvertie priekšnoteikumi II invaliditātes grupas noteikšanai</w:t>
      </w:r>
      <w:r w:rsidR="00B504C9">
        <w:t xml:space="preserve">, </w:t>
      </w:r>
      <w:r w:rsidR="00B504C9" w:rsidRPr="008B7013">
        <w:t>rūpīgi izvērtējot</w:t>
      </w:r>
      <w:r w:rsidR="00A07354" w:rsidRPr="008B7013">
        <w:t xml:space="preserve"> gan </w:t>
      </w:r>
      <w:r w:rsidR="00966FD1" w:rsidRPr="008B7013">
        <w:t>pieteicēja veselības traucējumus, gan funkcionālās spējas atbilstoši Invaliditātes noteikšanas noteikumu 5.pielikumā ietvertaj</w:t>
      </w:r>
      <w:r w:rsidR="006F4489">
        <w:t>iem kritērijiem</w:t>
      </w:r>
      <w:r w:rsidR="00A07354" w:rsidRPr="008B7013">
        <w:t xml:space="preserve"> un izdarot kopējo secinājumu, ka pieteicēja funkcionēšanas ierobežojumi atbilst mēren</w:t>
      </w:r>
      <w:r w:rsidR="00966FD1" w:rsidRPr="008B7013">
        <w:t>u ierobežojumu</w:t>
      </w:r>
      <w:r w:rsidR="00A07354" w:rsidRPr="008B7013">
        <w:t xml:space="preserve"> aprakstam</w:t>
      </w:r>
      <w:r w:rsidR="00F51149">
        <w:t>, kā konstatējusi arī komisija</w:t>
      </w:r>
      <w:r w:rsidR="00A07354" w:rsidRPr="008B7013">
        <w:t xml:space="preserve">. Tāpat tiesa </w:t>
      </w:r>
      <w:r w:rsidR="003506D3">
        <w:t>ir secinājusi</w:t>
      </w:r>
      <w:r w:rsidR="006230F1">
        <w:t>, ka lietā esošie pierādījumi neliecina par to, ka pieteicējam būtu nepieciešama epizodiska palīdzība vai uzraudzība ikdienas dzīves aktivitāšu veikšanā</w:t>
      </w:r>
      <w:r w:rsidR="006230F1" w:rsidRPr="00A702B6">
        <w:t>, kas ir galvenā atšķirība starp mēreniem un smagiem funkcionēšanas ierobežojumiem.</w:t>
      </w:r>
      <w:r w:rsidR="00966FD1" w:rsidRPr="00A702B6">
        <w:t xml:space="preserve"> </w:t>
      </w:r>
      <w:r w:rsidR="00C06FD5" w:rsidRPr="00A702B6">
        <w:t xml:space="preserve">Līdz ar to tiesa </w:t>
      </w:r>
      <w:r w:rsidR="00DB115C">
        <w:t>atzina</w:t>
      </w:r>
      <w:r w:rsidR="00C06FD5" w:rsidRPr="00A702B6">
        <w:t xml:space="preserve">, ka nepastāv priekšnoteikumi pieteicējam labvēlīgāka administratīvā akta izdošanai. </w:t>
      </w:r>
    </w:p>
    <w:p w14:paraId="18D80E63" w14:textId="5F3EF42D" w:rsidR="00F51149" w:rsidRPr="005168CE" w:rsidRDefault="00ED7DA4" w:rsidP="00BE3CFD">
      <w:pPr>
        <w:spacing w:line="276" w:lineRule="auto"/>
        <w:ind w:firstLine="567"/>
        <w:jc w:val="both"/>
      </w:pPr>
      <w:r w:rsidRPr="005168CE">
        <w:t>Tiesas secinājumi ir loģiski</w:t>
      </w:r>
      <w:r w:rsidR="00A702B6" w:rsidRPr="005168CE">
        <w:t xml:space="preserve">, saskanīgi un </w:t>
      </w:r>
      <w:r w:rsidRPr="005168CE">
        <w:t xml:space="preserve">balstīti </w:t>
      </w:r>
      <w:r w:rsidR="00A702B6" w:rsidRPr="005168CE">
        <w:t xml:space="preserve">rūpīgā </w:t>
      </w:r>
      <w:r w:rsidRPr="005168CE">
        <w:t xml:space="preserve">pierādījumu novērtējumā. </w:t>
      </w:r>
      <w:r w:rsidR="00E31BBD" w:rsidRPr="005168CE">
        <w:t>P</w:t>
      </w:r>
      <w:r w:rsidRPr="005168CE">
        <w:t>ieteicēja atšķirīgs viedoklis par pierādījumu vērtējumu nenozīmē, ka tiesa pierādījumus nav izvērtējusi vispusīgi, pilnīgi un objektīvi</w:t>
      </w:r>
      <w:r w:rsidR="001177EF" w:rsidRPr="005168CE">
        <w:t xml:space="preserve"> vai nav veikusi atbilstošu kontroli pār iestādes izdotajiem administratīvajiem aktiem</w:t>
      </w:r>
      <w:r w:rsidR="003506D3" w:rsidRPr="005168CE">
        <w:t>.</w:t>
      </w:r>
    </w:p>
    <w:p w14:paraId="795F0107" w14:textId="77777777" w:rsidR="00ED7DA4" w:rsidRDefault="00ED7DA4" w:rsidP="00BE3CFD">
      <w:pPr>
        <w:spacing w:line="276" w:lineRule="auto"/>
        <w:ind w:firstLine="567"/>
        <w:jc w:val="both"/>
      </w:pPr>
    </w:p>
    <w:p w14:paraId="017142D3" w14:textId="227D13E5" w:rsidR="002A6B0C" w:rsidRDefault="00F51149" w:rsidP="00BE3CFD">
      <w:pPr>
        <w:spacing w:line="276" w:lineRule="auto"/>
        <w:ind w:firstLine="567"/>
        <w:jc w:val="both"/>
      </w:pPr>
      <w:r>
        <w:t xml:space="preserve">[4] Pieteicējs kasācijas sūdzībā </w:t>
      </w:r>
      <w:r w:rsidR="00AF5B52">
        <w:t>iebilst</w:t>
      </w:r>
      <w:r>
        <w:t>, ka tiesa</w:t>
      </w:r>
      <w:r w:rsidR="005C73EF">
        <w:t xml:space="preserve"> ir</w:t>
      </w:r>
      <w:r>
        <w:t xml:space="preserve"> ignorējusi pierādījumus, no k</w:t>
      </w:r>
      <w:r w:rsidR="009F5CFC">
        <w:t>uriem</w:t>
      </w:r>
      <w:r>
        <w:t xml:space="preserve"> izriet, ka pieteicējam periodiski nepieciešama palīdzība vai uzraudzība, piemēram, ārsta </w:t>
      </w:r>
      <w:r w:rsidR="00BE3CFD">
        <w:t>[pers. </w:t>
      </w:r>
      <w:r w:rsidR="00BE3CFD">
        <w:t>B</w:t>
      </w:r>
      <w:r w:rsidR="00BE3CFD">
        <w:t xml:space="preserve">] </w:t>
      </w:r>
      <w:r>
        <w:t xml:space="preserve">2020.gada 26.marta vēstuli, kas </w:t>
      </w:r>
      <w:r w:rsidR="00F67F9C">
        <w:t xml:space="preserve">to </w:t>
      </w:r>
      <w:r>
        <w:t xml:space="preserve">nepārprotami pierādot, proti, ka pieteicēja pirkstu pozīcija visu laiku ir </w:t>
      </w:r>
      <w:r w:rsidR="00C127CD" w:rsidRPr="001E4528">
        <w:t>„</w:t>
      </w:r>
      <w:r w:rsidR="00C127CD">
        <w:t>sasaldēta</w:t>
      </w:r>
      <w:r w:rsidR="00C127CD" w:rsidRPr="001E4528">
        <w:t>”</w:t>
      </w:r>
      <w:r w:rsidR="00C127CD">
        <w:t xml:space="preserve"> un pieļauj tikai niecīga apjoma pirkstu kustības. Tiesa esot ignorējusi to, ka pieteicējam nepieciešama palīdzība mazgājoties, roku, kāju kopšanā, ģērbjoties, veicot mājas soli, veselības uzturēšanai (ortožu izmantošanai</w:t>
      </w:r>
      <w:r w:rsidR="002A6B0C">
        <w:t>) u.</w:t>
      </w:r>
      <w:r w:rsidR="009F5CFC">
        <w:t> </w:t>
      </w:r>
      <w:r w:rsidR="002A6B0C">
        <w:t>c., kā arī pieteicēja iesniegto zvērestu.</w:t>
      </w:r>
    </w:p>
    <w:p w14:paraId="08E6DB17" w14:textId="1F2C4A54" w:rsidR="00253CC8" w:rsidRDefault="005C73EF" w:rsidP="00BE3CFD">
      <w:pPr>
        <w:spacing w:line="276" w:lineRule="auto"/>
        <w:ind w:firstLine="567"/>
        <w:jc w:val="both"/>
      </w:pPr>
      <w:r>
        <w:lastRenderedPageBreak/>
        <w:t xml:space="preserve">Senatoru kolēģija nepiekrīt, ka tiesa </w:t>
      </w:r>
      <w:r w:rsidR="00AF5B52">
        <w:t>minēto</w:t>
      </w:r>
      <w:r>
        <w:t xml:space="preserve"> būtu ignorējusi. Apgabaltiesa, ņemot vērā arī pievienošanos pirmās instances tiesas sprieduma motivācijai, ir secinājusi, ka</w:t>
      </w:r>
      <w:r w:rsidR="00013A89">
        <w:t xml:space="preserve"> būtiskākā atšķirība starp mērenas un smagas pakāpes funkcionēšanas ierobežojumiem </w:t>
      </w:r>
      <w:r w:rsidR="002606F9">
        <w:t xml:space="preserve">no piemērojamo tiesību normu viedokļa </w:t>
      </w:r>
      <w:r w:rsidR="00013A89">
        <w:t>ir tajā, ka personai ar smagas pakāpes funkcionēšanas ierobežojumiem</w:t>
      </w:r>
      <w:r>
        <w:t xml:space="preserve"> </w:t>
      </w:r>
      <w:r w:rsidR="00013A89">
        <w:t>ikdienas dzīves aktivitātēs epizodiski nepieciešama palīdzība vai uzraudzība</w:t>
      </w:r>
      <w:r w:rsidR="002606F9">
        <w:t xml:space="preserve">, taču </w:t>
      </w:r>
      <w:r>
        <w:t>no lietā esošajiem</w:t>
      </w:r>
      <w:r w:rsidR="00B548A4">
        <w:t xml:space="preserve"> </w:t>
      </w:r>
      <w:r>
        <w:t>medicīniskajiem dokumentiem</w:t>
      </w:r>
      <w:r w:rsidR="006F4489">
        <w:t xml:space="preserve"> </w:t>
      </w:r>
      <w:r>
        <w:t>neizriet, ka pieteicējam būtu nepieciešama citu cilvēku palīdzība vai uzraudzība</w:t>
      </w:r>
      <w:r w:rsidR="00B548A4">
        <w:t xml:space="preserve">. </w:t>
      </w:r>
      <w:r w:rsidR="00952150">
        <w:t xml:space="preserve">Pieteicēja vispārīga norāde par to, kādās aktivitātēs viņam nepieciešama palīdzība, pati par sevi bez </w:t>
      </w:r>
      <w:r w:rsidR="007551C6">
        <w:t xml:space="preserve">attiecīga </w:t>
      </w:r>
      <w:r w:rsidR="00952150">
        <w:t>apstiprinājuma medicīnas dokumentos nevar apliecināt palīdzības vai uzraudzības nepieciešamību</w:t>
      </w:r>
      <w:r w:rsidR="003506D3">
        <w:t xml:space="preserve"> Invaliditātes noteikšanas noteikumu 5.pielikuma</w:t>
      </w:r>
      <w:r w:rsidR="0075436B">
        <w:t xml:space="preserve"> 3.3.piezīmes</w:t>
      </w:r>
      <w:r w:rsidR="003506D3">
        <w:t xml:space="preserve"> izpratnē</w:t>
      </w:r>
      <w:r w:rsidR="00952150">
        <w:t xml:space="preserve">. Pretēji kasācijas sūdzībā norādītajam </w:t>
      </w:r>
      <w:r w:rsidR="009D3DBB">
        <w:t>pats par sevi to neapliecina</w:t>
      </w:r>
      <w:r w:rsidR="00952150">
        <w:t xml:space="preserve"> arī </w:t>
      </w:r>
      <w:r w:rsidR="00BE3CFD">
        <w:t>[pers. </w:t>
      </w:r>
      <w:r w:rsidR="00BE3CFD">
        <w:t>B</w:t>
      </w:r>
      <w:r w:rsidR="00BE3CFD">
        <w:t xml:space="preserve">] </w:t>
      </w:r>
      <w:r w:rsidR="004C0EC7">
        <w:t>2020.gada 26.marta vēstul</w:t>
      </w:r>
      <w:r w:rsidR="00C8222A">
        <w:t>ē norādītais</w:t>
      </w:r>
      <w:r w:rsidR="004C0EC7">
        <w:t xml:space="preserve">, ka pieteicējam ir tikai niecīga apjoma pirkstu kustības. </w:t>
      </w:r>
      <w:r w:rsidR="0075436B">
        <w:t xml:space="preserve">Tiesa vēstuli un citus šī ārsta sastādītos dokumentos ir vērtējusi, nekonstatējot, ka tajos norādītais liecinātu par palīdzības vai uzraudzības nepieciešamību pieteicējam. </w:t>
      </w:r>
      <w:r w:rsidR="004C0EC7">
        <w:t>Turklāt vēstulē arī atzīt</w:t>
      </w:r>
      <w:r w:rsidR="00ED7DA4">
        <w:t>s, ka, neskatoties uz to, ka pieteicējam ir traucētas pilnvērtīga apjoma pirkstu kustības, pieteicējs ir pieradis izmantot rokas un plaukstas koordinētu darbību veikšanai, ko viņš acīmredzot dara ar kompensatorām kustībām un citām muskuļu grupām</w:t>
      </w:r>
      <w:r w:rsidR="00A702B6">
        <w:t xml:space="preserve"> (</w:t>
      </w:r>
      <w:r w:rsidR="00A702B6" w:rsidRPr="00A702B6">
        <w:rPr>
          <w:i/>
          <w:iCs/>
        </w:rPr>
        <w:t>lietas 1.sējuma 37.lapa</w:t>
      </w:r>
      <w:r w:rsidR="00A702B6">
        <w:t>)</w:t>
      </w:r>
      <w:r w:rsidR="00ED7DA4">
        <w:t xml:space="preserve">. </w:t>
      </w:r>
      <w:r w:rsidR="00E31BBD">
        <w:t xml:space="preserve">Tādējādi vēstule drīzāk apliecina tieši to, ka pieteicējs ikdienas aktivitātes spēj veikt patstāvīgi. </w:t>
      </w:r>
      <w:r w:rsidR="00ED7DA4">
        <w:t>Savukārt c</w:t>
      </w:r>
      <w:r w:rsidR="00B30948">
        <w:t>itus konkrētus pierādījumus, kas liecinātu</w:t>
      </w:r>
      <w:r w:rsidR="00A702B6">
        <w:t xml:space="preserve"> par to, ka pieteicējam būtu nepieciešama palīdzība vai uzraudzība kādu ikdienas aktivitāšu veikšanā</w:t>
      </w:r>
      <w:r w:rsidR="00B30948">
        <w:t xml:space="preserve">, pieteicējs </w:t>
      </w:r>
      <w:r w:rsidR="00934605">
        <w:t xml:space="preserve">kasācijas sūdzībā </w:t>
      </w:r>
      <w:r w:rsidR="00B30948">
        <w:t xml:space="preserve">nav </w:t>
      </w:r>
      <w:r w:rsidR="009D3DBB">
        <w:t>minējis</w:t>
      </w:r>
      <w:r w:rsidR="00B30948">
        <w:t xml:space="preserve"> un arī </w:t>
      </w:r>
      <w:r w:rsidR="0075436B">
        <w:t>tiesa tādus nav konstatējusi</w:t>
      </w:r>
      <w:r w:rsidR="00B30948">
        <w:t>.</w:t>
      </w:r>
      <w:r w:rsidR="00A702B6">
        <w:t xml:space="preserve"> </w:t>
      </w:r>
      <w:r w:rsidR="004C0EC7">
        <w:t>Turklāt pieteicējs ne iestādē (nevienā no strīdus invaliditātes ekspertīzes reizēm), ne arī pieteikumos tiesai vispār nebija norādījis uz to, ka viņam kādās ikdienas dzīves aktivitātēs būtu nepieciešama palīdzība vai uzraudzība. Pirm</w:t>
      </w:r>
      <w:r w:rsidR="00A702B6">
        <w:t xml:space="preserve">o </w:t>
      </w:r>
      <w:r w:rsidR="00A702B6">
        <w:lastRenderedPageBreak/>
        <w:t>reizi šāda</w:t>
      </w:r>
      <w:r w:rsidR="004C0EC7">
        <w:t xml:space="preserve"> </w:t>
      </w:r>
      <w:r w:rsidR="00A702B6">
        <w:t xml:space="preserve">vispārīga </w:t>
      </w:r>
      <w:r w:rsidR="004C0EC7">
        <w:t xml:space="preserve">norāde </w:t>
      </w:r>
      <w:r w:rsidR="00A702B6">
        <w:t>(</w:t>
      </w:r>
      <w:r w:rsidR="00A702B6" w:rsidRPr="0054079F">
        <w:t>„</w:t>
      </w:r>
      <w:r w:rsidR="00A702B6">
        <w:t>ikdienas aktivitāšu lielāko daļu es varu veikt patstāvīgi, bet nevis visu veikt patstāvīgi</w:t>
      </w:r>
      <w:r w:rsidR="00A702B6" w:rsidRPr="0054079F">
        <w:t>”</w:t>
      </w:r>
      <w:r w:rsidR="00A702B6">
        <w:t xml:space="preserve">) parādās, sniedzot papildu paskaidrojumus pirmās instances tiesai, </w:t>
      </w:r>
      <w:r w:rsidR="002B0203">
        <w:t>un</w:t>
      </w:r>
      <w:r w:rsidR="00A702B6">
        <w:t xml:space="preserve"> tikai apelācijas sūdzībā </w:t>
      </w:r>
      <w:r w:rsidR="00495684">
        <w:t xml:space="preserve">(un vēlreiz kasācijas sūdzībā) </w:t>
      </w:r>
      <w:r w:rsidR="00A702B6">
        <w:t xml:space="preserve">pieteicējs ir </w:t>
      </w:r>
      <w:r w:rsidR="003506D3">
        <w:t>nosaucis</w:t>
      </w:r>
      <w:r w:rsidR="00A702B6">
        <w:t xml:space="preserve"> konkrētas </w:t>
      </w:r>
      <w:r w:rsidR="00952150">
        <w:t xml:space="preserve">ikdienas dzīves </w:t>
      </w:r>
      <w:r w:rsidR="00A702B6">
        <w:t>aktivitātes</w:t>
      </w:r>
      <w:r w:rsidR="00952150">
        <w:t xml:space="preserve">, kuras viņš nevarot veikt patstāvīgi. </w:t>
      </w:r>
      <w:r w:rsidR="002606F9">
        <w:t xml:space="preserve">Taču, kā jau minēts, </w:t>
      </w:r>
      <w:r>
        <w:t xml:space="preserve">tiesa, pārbaudot </w:t>
      </w:r>
      <w:r w:rsidR="00583A1A">
        <w:t xml:space="preserve">uz strīdus invaliditātes ekspertīzēm iesniegtos </w:t>
      </w:r>
      <w:r w:rsidR="007D2755">
        <w:t xml:space="preserve">medicīniskos </w:t>
      </w:r>
      <w:r w:rsidR="00583A1A">
        <w:t>dokumentus</w:t>
      </w:r>
      <w:r w:rsidR="007D2755">
        <w:t xml:space="preserve"> un citus lietā esošos pierādījumus</w:t>
      </w:r>
      <w:r w:rsidR="00583A1A">
        <w:t>,</w:t>
      </w:r>
      <w:r w:rsidR="00DB115C">
        <w:t xml:space="preserve"> </w:t>
      </w:r>
      <w:r w:rsidR="00583A1A">
        <w:t xml:space="preserve">nav konstatējusi </w:t>
      </w:r>
      <w:r w:rsidR="004555A8">
        <w:t xml:space="preserve">tādus </w:t>
      </w:r>
      <w:r w:rsidR="00583A1A">
        <w:t>apstākļus, kas liecinātu par to, ka pieteicējam kādās</w:t>
      </w:r>
      <w:r w:rsidR="007D2755">
        <w:t xml:space="preserve"> ikdienas</w:t>
      </w:r>
      <w:r w:rsidR="00583A1A">
        <w:t xml:space="preserve"> aktivitātēs būtu nepieciešama palīdzība vai uzraudzība</w:t>
      </w:r>
      <w:r w:rsidR="002606F9">
        <w:t xml:space="preserve">. </w:t>
      </w:r>
    </w:p>
    <w:p w14:paraId="4FD6BA42" w14:textId="61C79F96" w:rsidR="006017F0" w:rsidRPr="005168CE" w:rsidRDefault="00FD5C6E" w:rsidP="00BE3CFD">
      <w:pPr>
        <w:spacing w:line="276" w:lineRule="auto"/>
        <w:ind w:firstLine="567"/>
        <w:jc w:val="both"/>
        <w:rPr>
          <w:i/>
          <w:iCs/>
        </w:rPr>
      </w:pPr>
      <w:r w:rsidRPr="005168CE">
        <w:t>T</w:t>
      </w:r>
      <w:r w:rsidR="000829F8" w:rsidRPr="005168CE">
        <w:t>āpat t</w:t>
      </w:r>
      <w:r w:rsidR="008949BF" w:rsidRPr="005168CE">
        <w:t xml:space="preserve">o </w:t>
      </w:r>
      <w:r w:rsidRPr="005168CE">
        <w:t>nevar apliecināt</w:t>
      </w:r>
      <w:r w:rsidR="008949BF" w:rsidRPr="005168CE">
        <w:t xml:space="preserve"> arī pieteicēja iesniegtais zvērests. </w:t>
      </w:r>
      <w:r w:rsidR="00E00033" w:rsidRPr="005168CE">
        <w:t>No Administratīvā procesa likuma 161.panta trešajā daļā un 224.panta pirmajā daļā ietvertā formulējuma un jēgas secināms, ka pieteicēja zvērests ir pieļaujams tikai tad, ja, pirmkārt, citi pierādījumi tiesai nav un nevar būt pieejami tāpēc, ka tie objektīvi nepastāv. Otrkārt, pieteicēja zvērests ir pieļaujams tad, ja ir izsmeltas visas iespējas iegūt citus pierādīšanas līdzekļus. No Administratīvā procesa likuma 224.panta pirmās daļas izriet, ka par pieteicēja zvēresta kā pierādīšanas līdzekļa</w:t>
      </w:r>
      <w:r w:rsidR="00952043" w:rsidRPr="005168CE">
        <w:t xml:space="preserve"> pieļaujamību lemj tiesa. Tātad tiesai vispirms ir jāvērtē, vai pastāv zvēresta sniegšanas priekšnoteikumi, tostarp – citu pierādījumu nav vai tie nav pietiekami droši. Pretējā gadījumā zvērests nav pieļaujams (</w:t>
      </w:r>
      <w:r w:rsidR="002C15F8" w:rsidRPr="005168CE">
        <w:rPr>
          <w:i/>
          <w:iCs/>
        </w:rPr>
        <w:t>Senāta 2018.gada 19.jūnija sprieduma lietā Nr. SKA-103/2018 (</w:t>
      </w:r>
      <w:hyperlink r:id="rId8" w:history="1">
        <w:r w:rsidR="000C469D" w:rsidRPr="005168CE">
          <w:rPr>
            <w:rStyle w:val="Hyperlink"/>
            <w:i/>
            <w:iCs/>
            <w:color w:val="auto"/>
            <w:u w:val="none"/>
          </w:rPr>
          <w:t>ECLI:LV:AT:2018:0619.A42930909.2.S</w:t>
        </w:r>
      </w:hyperlink>
      <w:r w:rsidR="002C15F8" w:rsidRPr="005168CE">
        <w:rPr>
          <w:i/>
          <w:iCs/>
        </w:rPr>
        <w:t>) 7.punkts</w:t>
      </w:r>
      <w:r w:rsidR="00952043" w:rsidRPr="005168CE">
        <w:t xml:space="preserve">). No pieteicēja norādītā izriet, ka pieteicējs ar zvērestu gribējis apliecināt to, ka viņam </w:t>
      </w:r>
      <w:r w:rsidR="00593A7C" w:rsidRPr="005168CE">
        <w:t xml:space="preserve">konkrētu </w:t>
      </w:r>
      <w:r w:rsidR="00952043" w:rsidRPr="005168CE">
        <w:t xml:space="preserve">ikdienas dzīves aktivitāšu veikšanā epizodiski nepieciešama palīdzība un uzraudzība. Tomēr, tā kā šāda </w:t>
      </w:r>
      <w:r w:rsidR="009B5CA5" w:rsidRPr="005168CE">
        <w:t>konstatējuma</w:t>
      </w:r>
      <w:r w:rsidR="00952043" w:rsidRPr="005168CE">
        <w:t xml:space="preserve"> izdarīšanai nav pietiekami tikai ar pašas personas norādīto, bet nepieciešams apstiprinājums medicīniskajos dokumentos</w:t>
      </w:r>
      <w:r w:rsidR="00593A7C" w:rsidRPr="005168CE">
        <w:t xml:space="preserve"> (</w:t>
      </w:r>
      <w:r w:rsidR="00495684" w:rsidRPr="005168CE">
        <w:t>sūdzības un</w:t>
      </w:r>
      <w:r w:rsidR="00593A7C" w:rsidRPr="005168CE">
        <w:t xml:space="preserve"> ārstu konstatējumi par to, kādas aktivitātes </w:t>
      </w:r>
      <w:r w:rsidR="0005280D" w:rsidRPr="005168CE">
        <w:t xml:space="preserve">persona </w:t>
      </w:r>
      <w:r w:rsidR="00593A7C" w:rsidRPr="005168CE">
        <w:t>nespēj veikt pa</w:t>
      </w:r>
      <w:r w:rsidR="00EB0AFB" w:rsidRPr="005168CE">
        <w:t>t</w:t>
      </w:r>
      <w:r w:rsidR="00593A7C" w:rsidRPr="005168CE">
        <w:t>stāvīgi; veselības traucējumi, kas paši par sevi to acīmredzami apliecina)</w:t>
      </w:r>
      <w:r w:rsidR="00443883">
        <w:t>,</w:t>
      </w:r>
      <w:r w:rsidR="00593A7C" w:rsidRPr="005168CE">
        <w:t xml:space="preserve"> </w:t>
      </w:r>
      <w:r w:rsidR="00952043" w:rsidRPr="005168CE">
        <w:t xml:space="preserve">nav pamata uzskatīt, ka citi pierādīšanas līdzekļi </w:t>
      </w:r>
      <w:r w:rsidR="00C95FA3" w:rsidRPr="005168CE">
        <w:t xml:space="preserve">objektīvi nepastāv vai </w:t>
      </w:r>
      <w:r w:rsidR="00952043" w:rsidRPr="005168CE">
        <w:t>nevarētu pastāvēt</w:t>
      </w:r>
      <w:r w:rsidR="00593A7C" w:rsidRPr="005168CE">
        <w:t>.</w:t>
      </w:r>
      <w:r w:rsidR="00EB0AFB" w:rsidRPr="005168CE">
        <w:t xml:space="preserve"> Proti, šādi apstākļi vispārīgi būtu jāapliecina ar medicīniskiem dokumentiem</w:t>
      </w:r>
      <w:r w:rsidR="001D0DA8" w:rsidRPr="005168CE">
        <w:t xml:space="preserve">, </w:t>
      </w:r>
      <w:r w:rsidR="004555A8" w:rsidRPr="005168CE">
        <w:t xml:space="preserve">nevis </w:t>
      </w:r>
      <w:r w:rsidR="00AF1EE7" w:rsidRPr="005168CE">
        <w:t xml:space="preserve">tikai ar </w:t>
      </w:r>
      <w:r w:rsidR="004555A8" w:rsidRPr="005168CE">
        <w:t>personas paskaidrojumiem</w:t>
      </w:r>
      <w:r w:rsidR="00EB0AFB" w:rsidRPr="005168CE">
        <w:t>.</w:t>
      </w:r>
      <w:r w:rsidR="00593A7C" w:rsidRPr="005168CE">
        <w:t xml:space="preserve"> </w:t>
      </w:r>
      <w:r w:rsidR="005C66A6" w:rsidRPr="005168CE">
        <w:t>Līdz ar to</w:t>
      </w:r>
      <w:r w:rsidR="00495684" w:rsidRPr="005168CE">
        <w:t xml:space="preserve"> pieteicēja zvēresta izmantošana </w:t>
      </w:r>
      <w:r w:rsidR="005C66A6" w:rsidRPr="005168CE">
        <w:t xml:space="preserve">konkrēto apstākļu apliecināšanai </w:t>
      </w:r>
      <w:r w:rsidR="00495684" w:rsidRPr="005168CE">
        <w:t>nav pieļaujama</w:t>
      </w:r>
      <w:r w:rsidR="005C66A6" w:rsidRPr="001D100C">
        <w:t xml:space="preserve">, </w:t>
      </w:r>
      <w:r w:rsidR="000829F8" w:rsidRPr="001D100C">
        <w:t xml:space="preserve">tādēļ </w:t>
      </w:r>
      <w:r w:rsidR="005636CC" w:rsidRPr="001D100C">
        <w:t>tiesa pamatoti nav pieņēmusi zvērestu, proti, nav aicinājusi pieteicēju apstiprināt savus paskaidrojumus ar zvērestu un attiecīgi nav brīdinājusi pieteicēju par kriminālatbildību.</w:t>
      </w:r>
      <w:r w:rsidR="00E00033" w:rsidRPr="001D100C">
        <w:t xml:space="preserve"> </w:t>
      </w:r>
      <w:r w:rsidR="00E00033" w:rsidRPr="005168CE">
        <w:t xml:space="preserve">Turklāt </w:t>
      </w:r>
      <w:r w:rsidR="00495684" w:rsidRPr="005168CE">
        <w:t>pieteicējs tiesai iesniegtajā zvērestā</w:t>
      </w:r>
      <w:r w:rsidR="009B5CA5" w:rsidRPr="005168CE">
        <w:t>, lai gan tam pievienotajā iesniegumā ir norādījis, ka iesniedz zvērestu</w:t>
      </w:r>
      <w:r w:rsidR="005C66A6" w:rsidRPr="005168CE">
        <w:t xml:space="preserve">, lai apliecinātu apelācijas sūdzībā </w:t>
      </w:r>
      <w:r w:rsidR="00966EFE" w:rsidRPr="005168CE">
        <w:t>paskaidroto</w:t>
      </w:r>
      <w:r w:rsidR="005C66A6" w:rsidRPr="005168CE">
        <w:t xml:space="preserve"> par aktivitātēm, kurās viņam nepieciešama palīdzība,</w:t>
      </w:r>
      <w:r w:rsidR="009B5CA5" w:rsidRPr="005168CE">
        <w:t xml:space="preserve"> </w:t>
      </w:r>
      <w:r w:rsidR="008D1922" w:rsidRPr="005168CE">
        <w:t>zvēresta tekstā ir apstiprinājis, ka atbilst Invaliditātes noteikšanas noteikumu 5.pielikuma 3.3.piezīmei un citējis to, nevis</w:t>
      </w:r>
      <w:r w:rsidR="00C667CF" w:rsidRPr="005168CE">
        <w:t xml:space="preserve"> </w:t>
      </w:r>
      <w:r w:rsidR="00C32938" w:rsidRPr="005168CE">
        <w:t>apstiprinājis</w:t>
      </w:r>
      <w:r w:rsidR="00C667CF" w:rsidRPr="005168CE">
        <w:t xml:space="preserve"> </w:t>
      </w:r>
      <w:r w:rsidR="008D1922" w:rsidRPr="005168CE">
        <w:t>konkrēt</w:t>
      </w:r>
      <w:r w:rsidR="00C32938" w:rsidRPr="005168CE">
        <w:t>us</w:t>
      </w:r>
      <w:r w:rsidR="008D1922" w:rsidRPr="005168CE">
        <w:t xml:space="preserve"> sav</w:t>
      </w:r>
      <w:r w:rsidR="00C32938" w:rsidRPr="005168CE">
        <w:t>us</w:t>
      </w:r>
      <w:r w:rsidR="008D1922" w:rsidRPr="005168CE">
        <w:t xml:space="preserve"> paskaidrojum</w:t>
      </w:r>
      <w:r w:rsidR="00C32938" w:rsidRPr="005168CE">
        <w:t>us</w:t>
      </w:r>
      <w:r w:rsidR="00C95FA3" w:rsidRPr="005168CE">
        <w:t xml:space="preserve"> par faktiem</w:t>
      </w:r>
      <w:r w:rsidR="00C667CF" w:rsidRPr="005168CE">
        <w:t>.</w:t>
      </w:r>
    </w:p>
    <w:p w14:paraId="6D0B64BD" w14:textId="77777777" w:rsidR="00E60192" w:rsidRDefault="00E60192" w:rsidP="00BE3CFD">
      <w:pPr>
        <w:spacing w:line="276" w:lineRule="auto"/>
        <w:ind w:firstLine="567"/>
        <w:jc w:val="both"/>
      </w:pPr>
    </w:p>
    <w:p w14:paraId="45D27327" w14:textId="236C5957" w:rsidR="001177EF" w:rsidRDefault="00E60192" w:rsidP="00BE3CFD">
      <w:pPr>
        <w:spacing w:line="276" w:lineRule="auto"/>
        <w:ind w:firstLine="567"/>
        <w:jc w:val="both"/>
      </w:pPr>
      <w:r>
        <w:t>[</w:t>
      </w:r>
      <w:r w:rsidR="00FA6E27">
        <w:t>5</w:t>
      </w:r>
      <w:r>
        <w:t>]</w:t>
      </w:r>
      <w:r w:rsidR="001177EF">
        <w:t xml:space="preserve"> Kasācijas sūdzībā norādīts uz komisijas lēmumu pamatojuma trūkumiem (tie </w:t>
      </w:r>
      <w:r w:rsidR="009A404C">
        <w:t>satur tikai diagnozes, tajos nav izvērtēti pieteicēja veselības un funkcionālie traucējumi, nav pamatots, kāpēc nav nosakāma II invaliditātes grupa, ir kļūdas un pretrunas)</w:t>
      </w:r>
      <w:r w:rsidR="00B70AD3">
        <w:t xml:space="preserve"> un pieļautiem procesuāliem pārkāpumiem</w:t>
      </w:r>
      <w:r w:rsidR="00DA454D">
        <w:t>, kurus apgabaltiesa neesot ņēmusi vērā, tā neizpildot Administratīvā procesa likuma 250.panta prasības.</w:t>
      </w:r>
    </w:p>
    <w:p w14:paraId="66DA5478" w14:textId="65D75DCE" w:rsidR="00DA454D" w:rsidRDefault="00DA454D" w:rsidP="00BE3CFD">
      <w:pPr>
        <w:spacing w:line="276" w:lineRule="auto"/>
        <w:ind w:firstLine="567"/>
        <w:jc w:val="both"/>
      </w:pPr>
      <w:r>
        <w:t>Senatoru kolēģija nekonstatē, ka apgabaltiesa minētos pieteicēja iebildumus nebūtu ņēmusi vērā. Tiesa ir rūpīgi pārbaudījusi komisijas lēmumos un ekspertīzes aktos</w:t>
      </w:r>
      <w:r w:rsidR="00B70AD3">
        <w:t xml:space="preserve"> norādīto un </w:t>
      </w:r>
      <w:r w:rsidR="001248D1">
        <w:t xml:space="preserve">papildus </w:t>
      </w:r>
      <w:r w:rsidR="00B70AD3">
        <w:t>p</w:t>
      </w:r>
      <w:r w:rsidR="001248D1">
        <w:t>ieprasījusi komisijai sniegt detalizētu pieteicēja veselības traucējumu un funkcionāl</w:t>
      </w:r>
      <w:r w:rsidR="00A5232B">
        <w:t>o</w:t>
      </w:r>
      <w:r w:rsidR="001248D1">
        <w:t xml:space="preserve"> spēju novērtējumu</w:t>
      </w:r>
      <w:r w:rsidR="00F43A7B">
        <w:t xml:space="preserve"> un skaidrojumu par to, kas dinamikā pieteicēja stāvoklī ir uzlabojies, salīdzinot ar 2018.gadu, kad tika noteikta II invaliditātes grupa</w:t>
      </w:r>
      <w:r w:rsidR="00B70AD3">
        <w:t xml:space="preserve">. Tiesa ir </w:t>
      </w:r>
      <w:r>
        <w:t xml:space="preserve">konstatējusi </w:t>
      </w:r>
      <w:r w:rsidR="00F43A7B">
        <w:t xml:space="preserve">pamatojuma trūkumus un </w:t>
      </w:r>
      <w:r w:rsidR="00B70AD3">
        <w:t>kļūdas komisijas novērtējumā atsevišķās pieteicēja funkcionālo spēju kategorijās</w:t>
      </w:r>
      <w:r w:rsidR="00742C7F">
        <w:t>, t</w:t>
      </w:r>
      <w:r w:rsidR="00B70AD3">
        <w:t>omēr</w:t>
      </w:r>
      <w:r w:rsidR="00742C7F">
        <w:t xml:space="preserve"> secinājusi, ka tas nav ietekmējis pārsūdzēto lēmumu rezultātu. Tāpat tiesa</w:t>
      </w:r>
      <w:r w:rsidR="001248D1">
        <w:t xml:space="preserve"> ir</w:t>
      </w:r>
      <w:r w:rsidR="00921E76">
        <w:t xml:space="preserve"> arī </w:t>
      </w:r>
      <w:r w:rsidR="001248D1">
        <w:t xml:space="preserve">izvērtējusi pieteicēja argumentus par </w:t>
      </w:r>
      <w:r w:rsidR="00921E76">
        <w:t xml:space="preserve">komisijas </w:t>
      </w:r>
      <w:r w:rsidR="001248D1">
        <w:t>pieļaut</w:t>
      </w:r>
      <w:r w:rsidR="00921E76">
        <w:t xml:space="preserve">o termiņa nokavējumu un atzinusi, ka šis </w:t>
      </w:r>
      <w:r w:rsidR="00C156C8">
        <w:t xml:space="preserve">procesuālais </w:t>
      </w:r>
      <w:r w:rsidR="00921E76">
        <w:t xml:space="preserve">pārkāpums bijis nebūtisks. </w:t>
      </w:r>
    </w:p>
    <w:p w14:paraId="30C7D32D" w14:textId="5322B9D1" w:rsidR="00921E76" w:rsidRDefault="00921E76" w:rsidP="00BE3CFD">
      <w:pPr>
        <w:spacing w:line="276" w:lineRule="auto"/>
        <w:ind w:firstLine="567"/>
        <w:jc w:val="both"/>
      </w:pPr>
      <w:r>
        <w:t xml:space="preserve">Vienlaikus saistībā ar administratīvā akta pamatojumu Senāts jau iepriekš ir norādījis, ka pamatojuma trūkums, skatot </w:t>
      </w:r>
      <w:r w:rsidRPr="00EB17B2">
        <w:rPr>
          <w:i/>
          <w:iCs/>
        </w:rPr>
        <w:t>pieteikumu par administratīvā akta atcelšanu</w:t>
      </w:r>
      <w:r>
        <w:t xml:space="preserve">, var tikt uzskatīts gan par tik būtisku procesuālu pārkāpumu, ka tā dēļ administratīvais akts ir atceļams, gan par tādu pārkāpumu, kurš norādāms kā administratīvā akta trūkums, bet kurš pats par sevi nerada tādas tiesiskās sekas kā administratīvā akta atcelšana (piemēram, </w:t>
      </w:r>
      <w:r w:rsidRPr="00EB17B2">
        <w:rPr>
          <w:i/>
          <w:iCs/>
        </w:rPr>
        <w:t>Senāta 2006.gada 14.novembra sprieduma lietā Nr. SKA-432/2006 (A42003404) 10.punkt</w:t>
      </w:r>
      <w:r>
        <w:rPr>
          <w:i/>
          <w:iCs/>
        </w:rPr>
        <w:t>s</w:t>
      </w:r>
      <w:r>
        <w:t xml:space="preserve">). Taču konkrētajā gadījumā pieteikuma priekšmets ir pieteicējam </w:t>
      </w:r>
      <w:r w:rsidRPr="00EB17B2">
        <w:rPr>
          <w:i/>
          <w:iCs/>
        </w:rPr>
        <w:t>labvēlīga administratīvā akta izdošana</w:t>
      </w:r>
      <w:r>
        <w:t>, nevis administratīvā akta atcelšana. Administratīvā procesa likuma 250.panta otrā daļa paredz, ka ierobežojums tiesai ņemt vērā tikai administratīvajā aktā norādīto pamatojumu neattiecas uz lietām, kurās prasījums ir labvēlīga administratīvā akta izdošana. Tas izskaidrojams ar to, ka persona tiesības uz labvēlīgu administratīvo aktu iegūst tikai tad, ja pastāv visi tiesību normās minētie priekšnoteikumi. Pat tad, ja iestāde administratīvā akta izdošanu nepamatoti balstījusi uz kļūdainiem apsvērumiem par kāda priekšnoteikuma neesību un tādējādi administratīvais akts (atteikums) ir nepamatots, tiesai tomēr ir pienākums pašai pārbaudīt visu priekšnoteikumu pastāvēšanu. Pretējā gadījumā tiesiskā labuma piešķiršana personai būtu prettiesiska (</w:t>
      </w:r>
      <w:r w:rsidRPr="0067407E">
        <w:rPr>
          <w:i/>
          <w:iCs/>
        </w:rPr>
        <w:t>Senāta 2014.gada 14.janvāra sprieduma lietā Nr. SKA-7/2014 (A42884409) 10.punkts</w:t>
      </w:r>
      <w:r>
        <w:t xml:space="preserve">). </w:t>
      </w:r>
      <w:r w:rsidRPr="00522DA7">
        <w:t>Ievērojot minēto, pārsūdzētaj</w:t>
      </w:r>
      <w:r w:rsidR="00626ECC">
        <w:t>os</w:t>
      </w:r>
      <w:r w:rsidRPr="00522DA7">
        <w:t xml:space="preserve"> lēmum</w:t>
      </w:r>
      <w:r w:rsidR="00626ECC">
        <w:t>os</w:t>
      </w:r>
      <w:r w:rsidRPr="00522DA7">
        <w:t xml:space="preserve"> norādītajam iestādes pamatojumam (vai tā trūkumiem) izskatāmajā lietā nav izšķirošas nozīmes, ja vien tiesa pati ir pārbaudījusi tiesību normās ietvertos priekšnoteikumus pieteicējam labvēlīga administratīvā akta izdošanai</w:t>
      </w:r>
      <w:r>
        <w:t>, ko tiesa</w:t>
      </w:r>
      <w:r w:rsidR="005C6AD4">
        <w:t xml:space="preserve">, kā jau minēts, </w:t>
      </w:r>
      <w:r>
        <w:t>ir darījusi</w:t>
      </w:r>
      <w:r w:rsidRPr="00522DA7">
        <w:t>.</w:t>
      </w:r>
    </w:p>
    <w:p w14:paraId="7C05022C" w14:textId="0971EB60" w:rsidR="002E2201" w:rsidRPr="00522DA7" w:rsidRDefault="002E2201" w:rsidP="00BE3CFD">
      <w:pPr>
        <w:spacing w:line="276" w:lineRule="auto"/>
        <w:ind w:firstLine="567"/>
        <w:jc w:val="both"/>
      </w:pPr>
      <w:r>
        <w:t>Tādējādi senatoru kolēģija nekonstatē, ka apgabaltiesa būtu pārkāpusi Administratīvā procesa likuma 250.panta prasības.</w:t>
      </w:r>
    </w:p>
    <w:p w14:paraId="7C89AE08" w14:textId="455E90ED" w:rsidR="00E60192" w:rsidRDefault="00E60192" w:rsidP="00BE3CFD">
      <w:pPr>
        <w:spacing w:line="276" w:lineRule="auto"/>
        <w:jc w:val="both"/>
      </w:pPr>
    </w:p>
    <w:p w14:paraId="56E415F1" w14:textId="3CE4C312" w:rsidR="002253E4" w:rsidRDefault="002253E4" w:rsidP="00BE3CFD">
      <w:pPr>
        <w:spacing w:line="276" w:lineRule="auto"/>
        <w:ind w:firstLine="567"/>
        <w:jc w:val="both"/>
      </w:pPr>
      <w:r>
        <w:t>[6]</w:t>
      </w:r>
      <w:r w:rsidR="00CC574D">
        <w:t xml:space="preserve"> Kasācijas sūdzībā arī norādīts, ka tiesa nepareizi interpretējusi Invaliditātes noteikšanas noteikumu 15.punktu. Tiesa </w:t>
      </w:r>
      <w:r w:rsidR="002C3ABE">
        <w:t xml:space="preserve">esot </w:t>
      </w:r>
      <w:r w:rsidR="00CC574D">
        <w:t xml:space="preserve">nepatiesi norādījusi, ka pieteicējs atteicies ierasties uz ekspertīzi klātienē, lai gan pieteicējs bija vērsis tiesas uzmanību, ka gadījumā, ja komisija vēlējās veikt ekspertīzi klātienē, tad tai vajadzēja pamatot klātienes ekspertīzes nepieciešamību. </w:t>
      </w:r>
      <w:r w:rsidR="00335BF3">
        <w:t>Turklāt p</w:t>
      </w:r>
      <w:r w:rsidR="00CC574D">
        <w:t>ieteicēja ieskatā klātienes ekspertīze tāpat nevarētu būt objektīva.</w:t>
      </w:r>
    </w:p>
    <w:p w14:paraId="2F0B8F93" w14:textId="6052AEB0" w:rsidR="0004059E" w:rsidRPr="005168CE" w:rsidRDefault="0004059E" w:rsidP="00BE3CFD">
      <w:pPr>
        <w:spacing w:line="276" w:lineRule="auto"/>
        <w:ind w:firstLine="567"/>
        <w:jc w:val="both"/>
      </w:pPr>
      <w:r w:rsidRPr="005168CE">
        <w:t xml:space="preserve">No Invaliditātes noteikšanas noteikumu 14.punkta izriet, ka parasti invaliditātes un darbspēju ekspertīzi veic komisijas ārsts bez personas klātbūtnes. </w:t>
      </w:r>
      <w:r w:rsidR="002C3ABE" w:rsidRPr="005168CE">
        <w:t>Savukārt noteikumu 15.punkts paredz: ja komisijas rīcībā nav pietiekamas informācijas vai tā ir pretrunīga, personas veselības traucējumu un funkcionālo spēju novērtēšanu veic personas klātbūtnē, saskaņojot ar personu novērtēšanas laiku un vietu.</w:t>
      </w:r>
    </w:p>
    <w:p w14:paraId="5F04795E" w14:textId="5496BC0C" w:rsidR="002C3ABE" w:rsidRDefault="002C3ABE" w:rsidP="00BE3CFD">
      <w:pPr>
        <w:spacing w:line="276" w:lineRule="auto"/>
        <w:ind w:firstLine="567"/>
        <w:jc w:val="both"/>
      </w:pPr>
      <w:r>
        <w:t>Apgabaltiesa pamatoti norādījusi, ka Invaliditātes noteikšanas noteikumu 15.punkts tiešā tekstā noteic komisijas tiesības veikt personas novērtēšanu klātienē un tieši komisija ir tiesīga izlemt, vai ir nepieciešams aplūkot personu klātienē</w:t>
      </w:r>
      <w:r w:rsidR="009C3DFB">
        <w:t>. Savukārt</w:t>
      </w:r>
      <w:r>
        <w:t xml:space="preserve"> personai</w:t>
      </w:r>
      <w:r w:rsidR="00D20F1C">
        <w:t>, ņemot vērā, ka pašas personas interesēs ir atbilstošas invaliditātes grupas noteikšana,</w:t>
      </w:r>
      <w:r>
        <w:t xml:space="preserve"> ir pienākums sadarboties ar iestādi, lai saņemtu tai labvēlīgu administratīvo aktu. </w:t>
      </w:r>
      <w:r w:rsidR="00F3003C">
        <w:t>Tiesa arī konstatējusi, ka komisija 2019.gada 2.septembra lēmumā par administratīvā akta izdošanas termiņa pagarināšanu bija norādījusi pamatojumu, kāpēc nepieciešama pieteicēja novērtēšana klātienē</w:t>
      </w:r>
      <w:r w:rsidR="00335BF3">
        <w:t>. P</w:t>
      </w:r>
      <w:r w:rsidR="00F3003C">
        <w:t>roti, k</w:t>
      </w:r>
      <w:r w:rsidR="00D20F1C">
        <w:t>omisija bija secinājusi, ka</w:t>
      </w:r>
      <w:r w:rsidR="00F3003C">
        <w:t xml:space="preserve"> no iesniegtajiem medicīniskajiem dokumentiem nav iespējams objektīvi izvērtēt pieteicēja veselības stāvokli</w:t>
      </w:r>
      <w:r w:rsidR="00D20F1C">
        <w:t>, neveicot ekspertīzi klātienē</w:t>
      </w:r>
      <w:r w:rsidR="00F3003C">
        <w:t>.</w:t>
      </w:r>
      <w:r w:rsidR="00330D02">
        <w:t xml:space="preserve"> Savukārt pieteicējs uz klātienes ekspertīzi tā arī neieradās, lai gan tika aicināts vairākkārt. </w:t>
      </w:r>
      <w:r w:rsidR="00E23ACA">
        <w:t xml:space="preserve">Tiesa arī nekonstatēja pamatu apšaubīt komisijas lēmumu veikt ekspertīzi klātienē, ņemot vērā, ka pieteicējs dokumentus atkārtotai ekspertīzei bija iesniedzis trīs mēnešus pēc iepriekšējās invaliditātes ekspertīzes noslēgšanās, un no jauna iesniegtie dokumenti neliecināja par pieteicēja veselības stāvokļa būtisku pasliktināšanos, </w:t>
      </w:r>
      <w:r w:rsidR="00335BF3">
        <w:t xml:space="preserve">uz ko uzstāja pieteicējs un </w:t>
      </w:r>
      <w:r w:rsidR="00E23ACA">
        <w:t>kas būtu pamats smagākas invaliditātes grupas noteikšanai.</w:t>
      </w:r>
      <w:r w:rsidR="00330D02" w:rsidRPr="00330D02">
        <w:t xml:space="preserve"> </w:t>
      </w:r>
    </w:p>
    <w:p w14:paraId="7F2D7C83" w14:textId="73037EBE" w:rsidR="0004059E" w:rsidRDefault="00D20F1C" w:rsidP="00BE3CFD">
      <w:pPr>
        <w:spacing w:line="276" w:lineRule="auto"/>
        <w:ind w:firstLine="567"/>
        <w:jc w:val="both"/>
      </w:pPr>
      <w:r>
        <w:t xml:space="preserve">Senatoru kolēģija apgabaltiesas secinājumus atzīst par pamatotiem. </w:t>
      </w:r>
      <w:r w:rsidR="00013D8C">
        <w:t>Invaliditātes noteikšanas noteikumi paredz tiesības komisijai noteikt klātienes ekspertīzi</w:t>
      </w:r>
      <w:r w:rsidR="00C4399A">
        <w:t>,</w:t>
      </w:r>
      <w:r w:rsidR="00013D8C">
        <w:t xml:space="preserve"> komisija bija pamatojusi nepieciešamību tādu noteikt</w:t>
      </w:r>
      <w:r w:rsidR="006D280F">
        <w:t xml:space="preserve">, un tiesa </w:t>
      </w:r>
      <w:r w:rsidR="00C5277F">
        <w:t xml:space="preserve">pamatoti </w:t>
      </w:r>
      <w:r w:rsidR="006D280F">
        <w:t xml:space="preserve">nav saskatījusi pārkāpumu komisijas rīcībā, </w:t>
      </w:r>
      <w:r w:rsidR="00127E8C">
        <w:t>t</w:t>
      </w:r>
      <w:r w:rsidR="00F3641F">
        <w:t>o</w:t>
      </w:r>
      <w:r w:rsidR="00127E8C">
        <w:t xml:space="preserve"> nosakot</w:t>
      </w:r>
      <w:r w:rsidR="00013D8C">
        <w:t xml:space="preserve">. </w:t>
      </w:r>
      <w:r w:rsidR="00C4399A">
        <w:t>P</w:t>
      </w:r>
      <w:r w:rsidR="00013D8C">
        <w:t xml:space="preserve">ieteicējam, atsakoties ierasties uz klātienes ekspertīzi, </w:t>
      </w:r>
      <w:r w:rsidR="00C4399A">
        <w:t xml:space="preserve">ko komisija bija uzskatījusi par nepieciešamu, lai objektīvi novērtētu pieteicēja veselības traucējumus un funkcionālās spējas, </w:t>
      </w:r>
      <w:r w:rsidR="00013D8C">
        <w:t xml:space="preserve">bija jārēķinās, ka komisija </w:t>
      </w:r>
      <w:r w:rsidR="00C4399A">
        <w:t>minētos apstākļus</w:t>
      </w:r>
      <w:r w:rsidR="00013D8C">
        <w:t xml:space="preserve"> novērtēs pēc iesniegtajiem dokumentiem.</w:t>
      </w:r>
      <w:r w:rsidR="00C4399A">
        <w:t xml:space="preserve"> </w:t>
      </w:r>
      <w:r w:rsidR="00E23ACA">
        <w:t>P</w:t>
      </w:r>
      <w:r w:rsidR="00C4399A">
        <w:t>roti, p</w:t>
      </w:r>
      <w:r w:rsidR="00E23ACA">
        <w:t xml:space="preserve">ieteicējam bija </w:t>
      </w:r>
      <w:r w:rsidR="00D45477">
        <w:t xml:space="preserve">jārēķinās ar to, ka </w:t>
      </w:r>
      <w:r w:rsidR="000D6818">
        <w:t>nesadarbošanās</w:t>
      </w:r>
      <w:r w:rsidR="00D45477">
        <w:t xml:space="preserve"> ar iestādi tam labvēlīga administratīvā akta izdošanā var rezultēties ar atteikumu</w:t>
      </w:r>
      <w:r w:rsidR="00C4399A">
        <w:t xml:space="preserve">. Savukārt pieteicēja uzskats, ka klātienes ekspertīze tāpat nebūtu objektīva, ir tikai </w:t>
      </w:r>
      <w:r w:rsidR="00F17206">
        <w:t>p</w:t>
      </w:r>
      <w:r w:rsidR="00C4399A">
        <w:t>ieņēmum</w:t>
      </w:r>
      <w:r w:rsidR="00F17206">
        <w:t>s</w:t>
      </w:r>
      <w:r w:rsidR="00C4399A">
        <w:t>.</w:t>
      </w:r>
    </w:p>
    <w:p w14:paraId="2C70F7EF" w14:textId="77777777" w:rsidR="002253E4" w:rsidRDefault="002253E4" w:rsidP="00BE3CFD">
      <w:pPr>
        <w:spacing w:line="276" w:lineRule="auto"/>
        <w:ind w:firstLine="567"/>
        <w:jc w:val="both"/>
      </w:pPr>
    </w:p>
    <w:p w14:paraId="3BE4C8DC" w14:textId="77FBF7CB" w:rsidR="00556EAB" w:rsidRDefault="00C13CC4" w:rsidP="00BE3CFD">
      <w:pPr>
        <w:spacing w:line="276" w:lineRule="auto"/>
        <w:ind w:firstLine="567"/>
        <w:jc w:val="both"/>
      </w:pPr>
      <w:r>
        <w:t>[</w:t>
      </w:r>
      <w:r w:rsidR="000D6818">
        <w:t>7</w:t>
      </w:r>
      <w:r>
        <w:t>]</w:t>
      </w:r>
      <w:r w:rsidR="00727989">
        <w:t> </w:t>
      </w:r>
      <w:r w:rsidR="00556EAB">
        <w:t xml:space="preserve">Senatoru kolēģija arī nekonstatē, ka apgabaltiesa būtu ignorējusi pieteicēja iebildumus par Invaliditātes noteikšanas noteikumu neatbilstību Latvijas Republikas Satversmes </w:t>
      </w:r>
      <w:r w:rsidR="00DA440D">
        <w:t xml:space="preserve">(turpmāk – Satversme) </w:t>
      </w:r>
      <w:r w:rsidR="00556EAB">
        <w:t>109.pantam</w:t>
      </w:r>
      <w:r w:rsidR="007E4D3C">
        <w:t>. Tiesa ir norādījusi, ka konkrētajā gadījumā nesaskata lietā piemēroto tiesību normu neatbilstību augstāka juridiskā spēka tiesību normām</w:t>
      </w:r>
      <w:r w:rsidR="00442592">
        <w:t xml:space="preserve"> un</w:t>
      </w:r>
      <w:r w:rsidR="007E4D3C">
        <w:t xml:space="preserve"> līdz ar to</w:t>
      </w:r>
      <w:r w:rsidR="00442592">
        <w:t xml:space="preserve"> </w:t>
      </w:r>
      <w:r w:rsidR="007F64CD">
        <w:t xml:space="preserve">arī </w:t>
      </w:r>
      <w:r w:rsidR="00442592">
        <w:t>pamatu</w:t>
      </w:r>
      <w:r w:rsidR="007E4D3C">
        <w:t xml:space="preserve"> pieteikuma iesniegšanai Satversmes tiesā.</w:t>
      </w:r>
      <w:r w:rsidR="00727989">
        <w:t xml:space="preserve"> </w:t>
      </w:r>
      <w:r w:rsidR="00D20B62">
        <w:t xml:space="preserve">Senāts jau iepriekš ir atzinis, ka </w:t>
      </w:r>
      <w:r w:rsidR="00727989">
        <w:t>tiesai nav pienākuma vērsties Satversmes tiesā ar pieteikumu, ja tiesai pašai nepastāv šaubas par piemērojamo tiesību normu atbilstību Satversmei</w:t>
      </w:r>
      <w:r w:rsidR="00D20B62">
        <w:t xml:space="preserve"> (</w:t>
      </w:r>
      <w:r w:rsidR="00D20B62" w:rsidRPr="00D20B62">
        <w:rPr>
          <w:i/>
          <w:iCs/>
        </w:rPr>
        <w:t>Senāta 2017.gada 13.janvāra lēmuma lietā Nr. SKA-348/2017 (A420359514) 8.punkts</w:t>
      </w:r>
      <w:r w:rsidR="00D20B62">
        <w:t>)</w:t>
      </w:r>
      <w:r w:rsidR="00727989">
        <w:t>.</w:t>
      </w:r>
    </w:p>
    <w:p w14:paraId="101E5388" w14:textId="08B98F3A" w:rsidR="006039AE" w:rsidRDefault="00727989" w:rsidP="00BE3CFD">
      <w:pPr>
        <w:spacing w:line="276" w:lineRule="auto"/>
        <w:ind w:firstLine="567"/>
        <w:jc w:val="both"/>
      </w:pPr>
      <w:r>
        <w:t>Arī senatoru kolēģija ne</w:t>
      </w:r>
      <w:r w:rsidR="00147119">
        <w:t>saskata</w:t>
      </w:r>
      <w:r>
        <w:t xml:space="preserve"> pamatu vērsties Satversmes tiesā</w:t>
      </w:r>
      <w:r w:rsidR="0076732B">
        <w:t xml:space="preserve"> par Invaliditātes noteikšanas noteikumu 13.</w:t>
      </w:r>
      <w:r w:rsidR="00546675">
        <w:t>–</w:t>
      </w:r>
      <w:r w:rsidR="0076732B">
        <w:t>17.punkta, 18.2.apakšpunkta, 5.pielikuma neatbilstību augstāka juridiskā spēka normām</w:t>
      </w:r>
      <w:r w:rsidR="00760596">
        <w:t>, k</w:t>
      </w:r>
      <w:r w:rsidR="00E87F99">
        <w:t>ā</w:t>
      </w:r>
      <w:r w:rsidR="00760596">
        <w:t xml:space="preserve"> kasācijas sūdzībā lūdzis pieteicējs</w:t>
      </w:r>
      <w:r>
        <w:t xml:space="preserve">. </w:t>
      </w:r>
      <w:r w:rsidR="00147119">
        <w:t>Tas, ka</w:t>
      </w:r>
      <w:r w:rsidR="0076732B">
        <w:t xml:space="preserve"> </w:t>
      </w:r>
      <w:r w:rsidR="009F307E">
        <w:t xml:space="preserve">starptautisko ekspertu sagatavotajos ziņojumos un </w:t>
      </w:r>
      <w:r w:rsidR="0076732B">
        <w:t>politikas plānošanas dokumentos ir norādīts uz nepieciešamību pilnveidot invaliditātes noteikšanas kārtību, tajā skaitā ieviest metodoloģiski pamatotu funkcionēšanas novērtēšanas anketu, pats par sevi nenozīmē, ka spēkā esošais regulējums būtu neatbilstošs Satversmei</w:t>
      </w:r>
      <w:r w:rsidR="00501DC8">
        <w:t xml:space="preserve"> un nenodrošinātu personu tiesības uz atbilstošas invaliditātes grupas noteikšanu</w:t>
      </w:r>
      <w:r w:rsidR="0076732B">
        <w:t xml:space="preserve">. </w:t>
      </w:r>
      <w:r w:rsidR="009F307E">
        <w:t>Invaliditātes noteikšanas noteikumi, tostarp to 5.pielikums, kopumā paredz pietiekami skaidrus</w:t>
      </w:r>
      <w:r w:rsidR="006039AE">
        <w:t>, Starptautiskajā funkcionēšanas, nespējas un veselības klasifikācijā balstītus kritērijus</w:t>
      </w:r>
      <w:r w:rsidR="009F307E">
        <w:t xml:space="preserve"> invaliditātes noteikšanai, </w:t>
      </w:r>
      <w:r w:rsidR="006039AE">
        <w:t>ievērojot arī to, ka individuālās situācijas var būt ļoti dažādas</w:t>
      </w:r>
      <w:r w:rsidR="00E87F99">
        <w:t xml:space="preserve"> (saistītas arī ar komplicētu vairāku saslimšanu, to ietekmes un mijiedarbības izvērtējumu)</w:t>
      </w:r>
      <w:r w:rsidR="006039AE">
        <w:t xml:space="preserve">, kas ievērojami apgrūtina precīzāku </w:t>
      </w:r>
      <w:r w:rsidR="00501DC8">
        <w:t xml:space="preserve">(ar matemātiski </w:t>
      </w:r>
      <w:r w:rsidR="00EE3827">
        <w:t xml:space="preserve">izskaitļojamu </w:t>
      </w:r>
      <w:r w:rsidR="00501DC8">
        <w:t xml:space="preserve">algoritmu) </w:t>
      </w:r>
      <w:r w:rsidR="006039AE">
        <w:t xml:space="preserve">kritēriju </w:t>
      </w:r>
      <w:r w:rsidR="00501DC8" w:rsidRPr="003F0375">
        <w:t>paredzēšanu</w:t>
      </w:r>
      <w:r w:rsidR="006E461E" w:rsidRPr="003F0375">
        <w:t xml:space="preserve"> (kā tas ir, piemēram, pieteicēja norādītajā noteikumu 6.pielikumā)</w:t>
      </w:r>
      <w:r w:rsidR="006039AE" w:rsidRPr="003F0375">
        <w:t xml:space="preserve">. </w:t>
      </w:r>
      <w:r w:rsidR="00901491">
        <w:t xml:space="preserve">Pieteicējs nav </w:t>
      </w:r>
      <w:r w:rsidR="00245AB0">
        <w:t xml:space="preserve">arī </w:t>
      </w:r>
      <w:r w:rsidR="00901491">
        <w:t>norādījis, konkrēti kuri kritēriji un kāpēc neatbils</w:t>
      </w:r>
      <w:r w:rsidR="00245AB0">
        <w:t xml:space="preserve">t </w:t>
      </w:r>
      <w:r w:rsidR="006E461E">
        <w:t>Satversmei</w:t>
      </w:r>
      <w:r w:rsidR="00245AB0">
        <w:t>.</w:t>
      </w:r>
    </w:p>
    <w:p w14:paraId="580EDFD7" w14:textId="65C5A40B" w:rsidR="000D6818" w:rsidRPr="005168CE" w:rsidRDefault="00055F70" w:rsidP="00BE3CFD">
      <w:pPr>
        <w:spacing w:line="276" w:lineRule="auto"/>
        <w:ind w:firstLine="567"/>
        <w:jc w:val="both"/>
      </w:pPr>
      <w:r w:rsidRPr="00C0579A">
        <w:t>S</w:t>
      </w:r>
      <w:r w:rsidR="00245AB0" w:rsidRPr="00C0579A">
        <w:t xml:space="preserve">enatoru kolēģijai nerodas šaubas arī par Administratīvā procesa likuma 67. un 126.panta atbilstību </w:t>
      </w:r>
      <w:r w:rsidR="00245AB0" w:rsidRPr="005168CE">
        <w:t xml:space="preserve">Satversmei. </w:t>
      </w:r>
      <w:r w:rsidR="00576A3D" w:rsidRPr="005168CE">
        <w:t xml:space="preserve">Pieteicējs nav sniedzis nekādu argumentāciju, kāpēc </w:t>
      </w:r>
      <w:r w:rsidR="009C60C2" w:rsidRPr="005168CE">
        <w:t xml:space="preserve">būtu pamats apšaubīt Administratīvā procesa likuma 67.panta konstitucionalitāti. </w:t>
      </w:r>
      <w:r w:rsidR="00B46533" w:rsidRPr="005168CE">
        <w:t xml:space="preserve">Lūgumu veikt normas hierarhijas kontroli pieteicējs izteicis, norādot, ka komisijai savi lēmumi būtu jāpamato, </w:t>
      </w:r>
      <w:r w:rsidR="00384694" w:rsidRPr="005168CE">
        <w:t>t</w:t>
      </w:r>
      <w:r w:rsidR="00972919" w:rsidRPr="005168CE">
        <w:t xml:space="preserve">omēr </w:t>
      </w:r>
      <w:r w:rsidR="00384694" w:rsidRPr="005168CE">
        <w:t>tas tiešā tekstā</w:t>
      </w:r>
      <w:r w:rsidR="0041712E" w:rsidRPr="005168CE">
        <w:t xml:space="preserve"> </w:t>
      </w:r>
      <w:r w:rsidR="00271B43" w:rsidRPr="005168CE">
        <w:t xml:space="preserve">jau </w:t>
      </w:r>
      <w:r w:rsidR="00384694" w:rsidRPr="005168CE">
        <w:t>izriet no minētās normas</w:t>
      </w:r>
      <w:r w:rsidR="006E461E" w:rsidRPr="005168CE">
        <w:t xml:space="preserve">, līdz ar to pieteicējs būtībā iebilst tam, kā norma </w:t>
      </w:r>
      <w:r w:rsidR="003F0375" w:rsidRPr="005168CE">
        <w:t xml:space="preserve">konkrētajā gadījumā </w:t>
      </w:r>
      <w:r w:rsidR="006E461E" w:rsidRPr="005168CE">
        <w:t>piemērota</w:t>
      </w:r>
      <w:r w:rsidR="0041712E" w:rsidRPr="005168CE">
        <w:t xml:space="preserve">. </w:t>
      </w:r>
      <w:r w:rsidRPr="005168CE">
        <w:t>Tāp</w:t>
      </w:r>
      <w:r w:rsidR="005F2E12" w:rsidRPr="005168CE">
        <w:t>at</w:t>
      </w:r>
      <w:r w:rsidRPr="005168CE">
        <w:t xml:space="preserve"> senatoru kolēģija nekonstatē, ka Administratīvā procesa likuma 126.pant</w:t>
      </w:r>
      <w:r w:rsidR="00EE7BAD" w:rsidRPr="005168CE">
        <w:t>a regulējums</w:t>
      </w:r>
      <w:r w:rsidRPr="005168CE">
        <w:t xml:space="preserve"> pārkāptu personas tiesības uz taisnīgu tiesu, neparedzot samaksātās valsts nodevas at</w:t>
      </w:r>
      <w:r w:rsidR="00EE7BAD" w:rsidRPr="005168CE">
        <w:t>līdzināšanu</w:t>
      </w:r>
      <w:r w:rsidRPr="005168CE">
        <w:t xml:space="preserve"> </w:t>
      </w:r>
      <w:r w:rsidR="008762F7" w:rsidRPr="005168CE">
        <w:t>gadījumā, ja pieteikums ir noraidāms, bet</w:t>
      </w:r>
      <w:r w:rsidRPr="005168CE">
        <w:t xml:space="preserve"> lietā ir konstatēti iestādes pieļauti normatīvo aktu pārkāpumi. </w:t>
      </w:r>
      <w:r w:rsidR="005D338A" w:rsidRPr="005168CE">
        <w:t xml:space="preserve">Satversmes tiesa </w:t>
      </w:r>
      <w:r w:rsidR="00B250C6" w:rsidRPr="005168CE">
        <w:t xml:space="preserve">jau </w:t>
      </w:r>
      <w:r w:rsidR="005D338A" w:rsidRPr="005168CE">
        <w:t xml:space="preserve">2004.gada 4.janvāra spriedumā lietā Nr. 2004-16-01 ir secinājusi, ka valsts nodeva ir atzīstama par leģitīmu veidu, kādā, ievērojot samērīguma principu, pieļaujams ierobežot personas pieeju tiesai un mazināt nepamatotu pieteikumu vai apelācijas sūdzību iesniegšanas iespējamību, un arī </w:t>
      </w:r>
      <w:r w:rsidR="00B250C6" w:rsidRPr="005168CE">
        <w:t>daļēji segt tiesu uzturēšanas izdevumus. Valsts nodeva tiek atmaksāta, ja sūdzība ir pamatota, savukārt nepamatotas sūdzības gadījumā persona samaksāto nodevu zaudē</w:t>
      </w:r>
      <w:r w:rsidR="005F2E12" w:rsidRPr="005168CE">
        <w:t xml:space="preserve">. </w:t>
      </w:r>
      <w:r w:rsidR="00C0579A" w:rsidRPr="005168CE">
        <w:t>S</w:t>
      </w:r>
      <w:r w:rsidR="000914F2" w:rsidRPr="005168CE">
        <w:t xml:space="preserve">ūdzība </w:t>
      </w:r>
      <w:r w:rsidR="00C0579A" w:rsidRPr="005168CE">
        <w:t>ir atzīstama par nepamatotu arī tad</w:t>
      </w:r>
      <w:r w:rsidR="000914F2" w:rsidRPr="005168CE">
        <w:t>, ja tiesa ir konstatējusi iestādes pieļautus normatīvo aktu pārkāpumus vai kļūdas</w:t>
      </w:r>
      <w:r w:rsidR="005E1452" w:rsidRPr="005168CE">
        <w:t xml:space="preserve">, tomēr atzinusi, ka tas nav ietekmējis </w:t>
      </w:r>
      <w:r w:rsidR="005F2E12" w:rsidRPr="005168CE">
        <w:t xml:space="preserve">iestādes </w:t>
      </w:r>
      <w:r w:rsidR="005E1452" w:rsidRPr="005168CE">
        <w:t>lēmuma pareizību</w:t>
      </w:r>
      <w:r w:rsidR="003F0375" w:rsidRPr="005168CE">
        <w:t xml:space="preserve"> (</w:t>
      </w:r>
      <w:r w:rsidR="00416151" w:rsidRPr="005168CE">
        <w:t xml:space="preserve">proti, </w:t>
      </w:r>
      <w:r w:rsidR="003F0375" w:rsidRPr="005168CE">
        <w:t>sūdzīb</w:t>
      </w:r>
      <w:r w:rsidR="00416151" w:rsidRPr="005168CE">
        <w:t xml:space="preserve">u par pamatotu padara </w:t>
      </w:r>
      <w:r w:rsidR="003F0375" w:rsidRPr="005168CE">
        <w:t>tikai tie iestādes pārkāpumi</w:t>
      </w:r>
      <w:r w:rsidR="00416151" w:rsidRPr="005168CE">
        <w:t xml:space="preserve"> un kļūdas</w:t>
      </w:r>
      <w:r w:rsidR="003F0375" w:rsidRPr="005168CE">
        <w:t>, kur</w:t>
      </w:r>
      <w:r w:rsidR="00416151" w:rsidRPr="005168CE">
        <w:t>as</w:t>
      </w:r>
      <w:r w:rsidR="003F0375" w:rsidRPr="005168CE">
        <w:t xml:space="preserve"> ir</w:t>
      </w:r>
      <w:r w:rsidR="00416151" w:rsidRPr="005168CE">
        <w:t xml:space="preserve"> ietekmējušas lietas rezultātu</w:t>
      </w:r>
      <w:r w:rsidR="00DC0922" w:rsidRPr="005168CE">
        <w:t xml:space="preserve"> pēc būtības</w:t>
      </w:r>
      <w:r w:rsidR="003F0375" w:rsidRPr="005168CE">
        <w:t>)</w:t>
      </w:r>
      <w:r w:rsidR="005E1452" w:rsidRPr="005168CE">
        <w:t>.</w:t>
      </w:r>
      <w:r w:rsidR="00C0579A" w:rsidRPr="005168CE">
        <w:t xml:space="preserve"> Šāda kārtība </w:t>
      </w:r>
      <w:r w:rsidR="0052389E" w:rsidRPr="005168CE">
        <w:t>vispārīgi atbilst valsts nodevas mērķim – samazināt nelietderīgas tiesāšanās</w:t>
      </w:r>
      <w:r w:rsidR="00367057" w:rsidRPr="005168CE">
        <w:t xml:space="preserve"> –, rosinot personas rūpīgi apsvērt tiesa</w:t>
      </w:r>
      <w:r w:rsidR="001352C2" w:rsidRPr="005168CE">
        <w:t>s pārbaudei</w:t>
      </w:r>
      <w:r w:rsidR="00367057" w:rsidRPr="005168CE">
        <w:t xml:space="preserve"> izvirzāmo jautājumu būtiskumu</w:t>
      </w:r>
      <w:r w:rsidR="00DC0922" w:rsidRPr="005168CE">
        <w:t>, un tas nav uzskatāms par tiesību uz taisnīgu tiesu pārkāpumu</w:t>
      </w:r>
      <w:r w:rsidR="0052389E" w:rsidRPr="005168CE">
        <w:t>.</w:t>
      </w:r>
      <w:r w:rsidR="005E1452" w:rsidRPr="005168CE">
        <w:t xml:space="preserve"> </w:t>
      </w:r>
    </w:p>
    <w:p w14:paraId="2294CE0D" w14:textId="77777777" w:rsidR="00310120" w:rsidRPr="005168CE" w:rsidRDefault="00310120" w:rsidP="00BE3CFD">
      <w:pPr>
        <w:spacing w:line="276" w:lineRule="auto"/>
        <w:ind w:firstLine="567"/>
        <w:jc w:val="both"/>
      </w:pPr>
    </w:p>
    <w:p w14:paraId="3EDAB377" w14:textId="6E94E6B6" w:rsidR="000D6818" w:rsidRPr="005168CE" w:rsidRDefault="000D6818" w:rsidP="00BE3CFD">
      <w:pPr>
        <w:spacing w:line="276" w:lineRule="auto"/>
        <w:ind w:firstLine="567"/>
        <w:jc w:val="both"/>
      </w:pPr>
      <w:r w:rsidRPr="005168CE">
        <w:t>[8] </w:t>
      </w:r>
      <w:r w:rsidR="00245AB0" w:rsidRPr="005168CE">
        <w:t>N</w:t>
      </w:r>
      <w:r w:rsidRPr="005168CE">
        <w:t>av pamatot</w:t>
      </w:r>
      <w:r w:rsidR="001043AB" w:rsidRPr="005168CE">
        <w:t>i arī kasācijas sūdzības argumenti par nepareizu Administratīvā procesa likuma 193.panta otrās daļas interpretāciju, tiesai neapvienojot vienā tiesvedībā izskatāmo lietu ar lietu, kurā pieteicējs pārsūdzējis komisijas</w:t>
      </w:r>
      <w:r w:rsidR="006E2316" w:rsidRPr="005168CE">
        <w:t xml:space="preserve"> 2020.gada 1</w:t>
      </w:r>
      <w:r w:rsidR="00876DEC" w:rsidRPr="005168CE">
        <w:t>4.septembra</w:t>
      </w:r>
      <w:r w:rsidR="001043AB" w:rsidRPr="005168CE">
        <w:t xml:space="preserve"> lēmumu par nākamo invaliditātes periodu</w:t>
      </w:r>
      <w:r w:rsidR="002F4272" w:rsidRPr="005168CE">
        <w:t xml:space="preserve">. </w:t>
      </w:r>
      <w:r w:rsidR="00233B6E" w:rsidRPr="005168CE">
        <w:t>Senāts ir atzinis, ka atbilstoši Administratīvā procesa likuma 193.panta otrajai daļai</w:t>
      </w:r>
      <w:r w:rsidR="0084603C" w:rsidRPr="005168CE">
        <w:t xml:space="preserve"> lietu apvienošanu vienā tiesvedībā ir tiesneša prerogatīva, lai sekmētu lietu ātrāku un pareizāku izskatīšanu (</w:t>
      </w:r>
      <w:r w:rsidR="0084603C" w:rsidRPr="005168CE">
        <w:rPr>
          <w:i/>
          <w:iCs/>
        </w:rPr>
        <w:t>Senāta 2017.gada 23.augusta lēmuma lietā Nr. SKA-542/2017 (A420414114) 13.punkts</w:t>
      </w:r>
      <w:r w:rsidR="0084603C" w:rsidRPr="005168CE">
        <w:t>).</w:t>
      </w:r>
      <w:r w:rsidR="001214D0" w:rsidRPr="005168CE">
        <w:t xml:space="preserve"> Tiesnesis pamatu lietu apvienošanai nav konstatējis. </w:t>
      </w:r>
      <w:r w:rsidR="00972919" w:rsidRPr="005168CE">
        <w:t>P</w:t>
      </w:r>
      <w:r w:rsidR="0084603C" w:rsidRPr="005168CE">
        <w:t xml:space="preserve">ieteicējs nepamatoti uzskata, ka pieteikumi par secīgiem invaliditātes periodiem veido vienu kopīgu nepārtrauktu procesu, kas obligāti būtu </w:t>
      </w:r>
      <w:r w:rsidR="00824418" w:rsidRPr="005168CE">
        <w:t xml:space="preserve">pārbaudāms </w:t>
      </w:r>
      <w:r w:rsidR="0084603C" w:rsidRPr="005168CE">
        <w:t>vienas tiesvedības ietvaros.</w:t>
      </w:r>
      <w:r w:rsidR="00824418" w:rsidRPr="005168CE">
        <w:t xml:space="preserve"> Komisija katrā konkrētā gadījumā invaliditātes noteikšanu veic no jauna, </w:t>
      </w:r>
      <w:r w:rsidR="00B23025">
        <w:t xml:space="preserve">un </w:t>
      </w:r>
      <w:r w:rsidR="009D6256" w:rsidRPr="005168CE">
        <w:t xml:space="preserve">katrs </w:t>
      </w:r>
      <w:r w:rsidR="00B23025">
        <w:t xml:space="preserve">no tiem </w:t>
      </w:r>
      <w:r w:rsidR="009D6256" w:rsidRPr="005168CE">
        <w:t xml:space="preserve">ir atsevišķs administratīvais process, </w:t>
      </w:r>
      <w:r w:rsidR="00824418" w:rsidRPr="005168CE">
        <w:t xml:space="preserve">nevis </w:t>
      </w:r>
      <w:r w:rsidR="009D6256" w:rsidRPr="005168CE">
        <w:t>iepriekšējo procesu turpinājums.</w:t>
      </w:r>
      <w:r w:rsidR="00876DEC" w:rsidRPr="005168CE">
        <w:t xml:space="preserve"> </w:t>
      </w:r>
    </w:p>
    <w:p w14:paraId="2C90A03C" w14:textId="77777777" w:rsidR="00F06104" w:rsidRDefault="00F06104" w:rsidP="00BE3CFD">
      <w:pPr>
        <w:spacing w:line="276" w:lineRule="auto"/>
        <w:jc w:val="both"/>
      </w:pPr>
    </w:p>
    <w:p w14:paraId="113ACD09" w14:textId="16CCEDAB" w:rsidR="006E7A50" w:rsidRDefault="00F06104" w:rsidP="00BE3CFD">
      <w:pPr>
        <w:spacing w:line="276" w:lineRule="auto"/>
        <w:ind w:firstLine="567"/>
        <w:jc w:val="both"/>
      </w:pPr>
      <w:r w:rsidRPr="006725F4">
        <w:t>[</w:t>
      </w:r>
      <w:r w:rsidR="002253E4">
        <w:t>9</w:t>
      </w:r>
      <w:r w:rsidRPr="006725F4">
        <w:t>]</w:t>
      </w:r>
      <w:r w:rsidR="00B93994">
        <w:t xml:space="preserve"> Kasators arī iebildis komisijas noteiktajam invaliditātes termiņam – gan tam, ka atkārtotajā ekspertīzē III invaliditātes grupa pieteicējam noteikta tā paša termiņa ietvaros, uz kuru invaliditāte noteikta </w:t>
      </w:r>
      <w:r w:rsidR="00267CB5">
        <w:t>sākotnējā</w:t>
      </w:r>
      <w:r w:rsidR="00B93994">
        <w:t xml:space="preserve"> ekspertīzē, gan tam, ka komisija nav noteikusi pieteicējam invaliditāti uz pieciem gadiem.</w:t>
      </w:r>
      <w:r w:rsidR="001254B9" w:rsidRPr="006725F4">
        <w:t xml:space="preserve"> </w:t>
      </w:r>
    </w:p>
    <w:p w14:paraId="25361391" w14:textId="6081AF9A" w:rsidR="005168CE" w:rsidRPr="005168CE" w:rsidRDefault="005168CE" w:rsidP="00BE3CFD">
      <w:pPr>
        <w:spacing w:line="276" w:lineRule="auto"/>
        <w:ind w:firstLine="567"/>
        <w:jc w:val="both"/>
      </w:pPr>
      <w:r w:rsidRPr="005168CE">
        <w:t xml:space="preserve">Apgabaltiesa, atsaucoties arī uz Senāta praksi, ir pamatoti norādījusi, ka ne Invaliditātes likuma, ne Invaliditātes noteikšanas noteikumu normas neparedz kritērijus (izņemot invaliditātes noteikšanai uz mūžu), pēc kuriem nosakāms viens no iespējamiem invaliditātes termiņiem (seši mēneši, viens gads, divi gadi vai pieci gadi). Tādējādi iestādei šajā jautājumā pastāv iespēja izvēlēties akta saturu, taču iestāde termiņu nevar noteikt patvaļīgi – tam būtu </w:t>
      </w:r>
      <w:r w:rsidR="00B23025">
        <w:t>jā</w:t>
      </w:r>
      <w:r w:rsidRPr="005168CE">
        <w:t xml:space="preserve">atbilst konstatētajam invaliditātes cēlonim (diagnozei) un situācijas attīstības prognozēm. Lai gan tiesa tieši nav izvērtējusi, vai pieteicēja gadījumā komisija invaliditātes termiņu (uz vienu gadu) nav noteikusi patvaļīgi, no pārsūdzētā sprieduma kopumā secināms, ka tiesa ir apsvērusi tos apstākļus, kas varētu ietekmēt termiņu, uz kādu pieteicējam nosakāma invaliditāte (pieteicējam noteiktās diagnozes, funkcionālo spēju ierobežojumi, to smagums, stabilitāte un prognozes, pielietotā ārstēšana un sagaidāmie rezultāti), un nav konstatējusi, ka pieteicējam būtu kādi neatgriezeniski traucējumi, ka, neskatoties uz nepārtrauktu ārstēšanos, pieteicēja veselības stāvokli neizdotos uzlabot, ka situācijas attīstības prognozes būtu ļoti skaidras. Tieši pretēji, tiesa ir secinājusi, ka lielāko daļu pieteicēja sūdzību neapliecina medicīniskajos dokumentos norādītais, medicīniskajos dokumentos nav pietiekamas informācijas, trūkst plašāka simptomu apraksta, nav ziņu par nozīmēto ārstēšanu un līdz ar to par sagaidāmajiem rezultātiem. Minētie apstākļi acīmredzami neliecina, ka iestāde savu rīcības brīvību termiņa noteikšanā būtu izmantojusi patvaļīgi vai ka būtu kāds pamats ilgāka termiņa (uz pieciem gadiem, kā vēlas pieteicējs) noteikšanai. Var piekrist pieteicējam, ka tik īss invaliditātes termiņš var radīt zināmu apgrūtinājumu gan personai (jo salīdzinoši bieži ir jāgatavo dokumenti invaliditātes ekspertīzes veikšanai), gan iestādei (jo tai rodas papildu noslogojums). Tajā pašā laikā šāds termiņš var būt arī personai labvēlīgs, it īpaši tādā situācijā, kāda ir izskatāmajā lietā, kad pieteicējs uzskata, ka viņam būtu nosakāma smagāka invaliditātes grupa (tādēļ viņa interesēs faktiski ir ātrāk pārskatīt iepriekš noteikto grupu), savukārt iestāde norāda, ka iesniegtie medicīniskie dokumenti šāda konstatējuma izdarīšanai nav pietiekami (un, nosakot īsāku termiņu, faktiski dod laiku pieteicējam savākt nepieciešamos pierādījumus savu apgalvojumu apliecināšanai). </w:t>
      </w:r>
    </w:p>
    <w:p w14:paraId="5464040B" w14:textId="7E3002C2" w:rsidR="002F3BAE" w:rsidRDefault="002F3BAE" w:rsidP="00BE3CFD">
      <w:pPr>
        <w:spacing w:line="276" w:lineRule="auto"/>
        <w:ind w:firstLine="567"/>
        <w:jc w:val="both"/>
      </w:pPr>
      <w:r w:rsidRPr="00435B08">
        <w:t xml:space="preserve">Invaliditātes noteikšanas noteikumi detalizētāk neregulē 13.punktā paredzētās atkārtotās invaliditātes ekspertīzes veikšanu. Apgabaltiesa ir atzinusi, ka, tā kā komisija, izskatot pieteicēja iesniegumu atkārtotai invaliditātes ekspertīzes veikšanai, nekonstatēja </w:t>
      </w:r>
      <w:r w:rsidR="00103E31" w:rsidRPr="00435B08">
        <w:t>izmaiņas (</w:t>
      </w:r>
      <w:r w:rsidRPr="00435B08">
        <w:t>pieteicēja veselības stāvokļa pasliktināšanos</w:t>
      </w:r>
      <w:r w:rsidR="00103E31" w:rsidRPr="00435B08">
        <w:t>)</w:t>
      </w:r>
      <w:r w:rsidRPr="00435B08">
        <w:t xml:space="preserve">, atkārtotajā ekspertīzē noteiktajam invaliditātes termiņam nebija jābūt atšķirīgam no </w:t>
      </w:r>
      <w:r w:rsidR="00267CB5" w:rsidRPr="00435B08">
        <w:t>sākotnēji</w:t>
      </w:r>
      <w:r w:rsidRPr="00435B08">
        <w:t xml:space="preserve"> noteiktā. </w:t>
      </w:r>
      <w:r w:rsidR="009041F6" w:rsidRPr="00435B08">
        <w:t>Š</w:t>
      </w:r>
      <w:r w:rsidRPr="00435B08">
        <w:t xml:space="preserve">im tiesas secinājumam </w:t>
      </w:r>
      <w:r w:rsidR="009041F6" w:rsidRPr="00435B08">
        <w:t>vispārīgi var piekrist</w:t>
      </w:r>
      <w:r w:rsidR="009041F6" w:rsidRPr="005168CE">
        <w:t>.</w:t>
      </w:r>
      <w:r w:rsidRPr="005168CE">
        <w:t xml:space="preserve"> Invaliditātes noteikšanas noteikumu 13.punktā paredzētās tiesības personai, kurai jau ir noteikta invaliditāte, lūgt atkārtotu invaliditātes un darbspēju ekspertīzi jebkurā laikā, ja personas veselības stāvoklis ir būtiski pasliktinājies un tā radītais funkcionēšanas ierobežojums ir uzskatāms par stabilu, pēc būtības ir </w:t>
      </w:r>
      <w:r w:rsidR="00117D22" w:rsidRPr="005168CE">
        <w:t>tiesības lūgt</w:t>
      </w:r>
      <w:r w:rsidRPr="005168CE">
        <w:t xml:space="preserve"> </w:t>
      </w:r>
      <w:r w:rsidR="008D3CC7" w:rsidRPr="005168CE">
        <w:t>uzsākt administratīvo procesu no jauna</w:t>
      </w:r>
      <w:r w:rsidRPr="005168CE">
        <w:t xml:space="preserve">. </w:t>
      </w:r>
      <w:r w:rsidR="009041F6" w:rsidRPr="005168CE">
        <w:t xml:space="preserve">Tāpēc, iztrūkstot citam regulējumam, uz šādu situāciju </w:t>
      </w:r>
      <w:r w:rsidR="008D3CC7" w:rsidRPr="005168CE">
        <w:t>attiecināmi</w:t>
      </w:r>
      <w:r w:rsidR="009041F6" w:rsidRPr="005168CE">
        <w:t xml:space="preserve"> vispārīgie administratīvā procesa </w:t>
      </w:r>
      <w:r w:rsidR="00587D58" w:rsidRPr="005168CE">
        <w:t>no</w:t>
      </w:r>
      <w:r w:rsidR="00D23C2D" w:rsidRPr="005168CE">
        <w:t>teikumi</w:t>
      </w:r>
      <w:r w:rsidR="00267CB5" w:rsidRPr="005168CE">
        <w:t xml:space="preserve"> par procesa uzsākšanu no jauna</w:t>
      </w:r>
      <w:r w:rsidR="009041F6" w:rsidRPr="005168CE">
        <w:t xml:space="preserve">. </w:t>
      </w:r>
      <w:r w:rsidR="00B552A6" w:rsidRPr="005168CE">
        <w:t>Senāts, interpretējot Administratīvā procesa likuma 87.pantu („Administratīvā procesa uzsākšana no jauna uz iesnieguma pamata”)</w:t>
      </w:r>
      <w:r w:rsidR="00D23C2D" w:rsidRPr="005168CE">
        <w:t>,</w:t>
      </w:r>
      <w:r w:rsidR="00B552A6" w:rsidRPr="005168CE">
        <w:t xml:space="preserve"> ir secinājis, ka, izskatot lietu vēlreiz pēc būtības, iestāde izdod administratīvo aktu, ar kuru: 1)</w:t>
      </w:r>
      <w:r w:rsidR="00103E31" w:rsidRPr="005168CE">
        <w:t> </w:t>
      </w:r>
      <w:r w:rsidR="00B552A6" w:rsidRPr="005168CE">
        <w:t>iesniegumu izdot labvēlīgāku administratīvo aktu noraida un sākotnējo administratīvo aktu atstāj spēkā, vai arī 2) iesniegumu izdot labvēlīgāku administratīvo aktu apmierina, sākotnējo administratīvo aktu atceļ un izdod personai labvēlīgāku aktu (</w:t>
      </w:r>
      <w:r w:rsidR="00B552A6" w:rsidRPr="005168CE">
        <w:rPr>
          <w:i/>
          <w:iCs/>
        </w:rPr>
        <w:t>Senāta 2007.gada 5.novembra spriedum</w:t>
      </w:r>
      <w:r w:rsidR="009738E8" w:rsidRPr="005168CE">
        <w:rPr>
          <w:i/>
          <w:iCs/>
        </w:rPr>
        <w:t>s</w:t>
      </w:r>
      <w:r w:rsidR="00B552A6" w:rsidRPr="005168CE">
        <w:rPr>
          <w:i/>
          <w:iCs/>
        </w:rPr>
        <w:t xml:space="preserve"> lietā Nr. SKA-304/2007 (</w:t>
      </w:r>
      <w:r w:rsidR="009738E8" w:rsidRPr="005168CE">
        <w:rPr>
          <w:i/>
          <w:iCs/>
        </w:rPr>
        <w:t>A42187005</w:t>
      </w:r>
      <w:r w:rsidR="00B552A6" w:rsidRPr="005168CE">
        <w:rPr>
          <w:i/>
          <w:iCs/>
        </w:rPr>
        <w:t>)</w:t>
      </w:r>
      <w:r w:rsidR="009738E8" w:rsidRPr="005168CE">
        <w:t>)</w:t>
      </w:r>
      <w:r w:rsidR="00B552A6" w:rsidRPr="005168CE">
        <w:t>.</w:t>
      </w:r>
      <w:r w:rsidR="00103E31" w:rsidRPr="005168CE">
        <w:t xml:space="preserve"> </w:t>
      </w:r>
      <w:r w:rsidR="00D23C2D" w:rsidRPr="00435B08">
        <w:t>Izskatāmajā lietā komisija, izskatot</w:t>
      </w:r>
      <w:r w:rsidR="009457BD" w:rsidRPr="00435B08">
        <w:t xml:space="preserve"> pieteicēja invaliditātes</w:t>
      </w:r>
      <w:r w:rsidR="00D23C2D" w:rsidRPr="00435B08">
        <w:t xml:space="preserve"> lietu vēlreiz pēc būtības, ir atzinusi, ka pieteicēja veselības stāvoklis, salīdzinot ar sākotnējo ekspertīzi, nav pasliktinājies, un pēc būtības atstājusi spēkā iepriekš izdoto administratīvo aktu, tostarp </w:t>
      </w:r>
      <w:r w:rsidR="00366823" w:rsidRPr="00435B08">
        <w:t>arī daļā par</w:t>
      </w:r>
      <w:r w:rsidR="00D23C2D" w:rsidRPr="00435B08">
        <w:t xml:space="preserve"> noteikto invaliditātes termiņu.</w:t>
      </w:r>
      <w:r w:rsidRPr="00435B08">
        <w:t xml:space="preserve"> </w:t>
      </w:r>
      <w:r w:rsidR="00D23C2D" w:rsidRPr="00435B08">
        <w:t>Līdz ar to</w:t>
      </w:r>
      <w:r w:rsidR="00366823" w:rsidRPr="00435B08">
        <w:t xml:space="preserve">, </w:t>
      </w:r>
      <w:r w:rsidR="00D749BE" w:rsidRPr="00435B08">
        <w:t xml:space="preserve">pilnībā </w:t>
      </w:r>
      <w:r w:rsidR="00366823" w:rsidRPr="00435B08">
        <w:t>a</w:t>
      </w:r>
      <w:r w:rsidR="00D23C2D" w:rsidRPr="00435B08">
        <w:t xml:space="preserve">tstājot spēkā iepriekšējo administratīvo aktu, komisijai </w:t>
      </w:r>
      <w:r w:rsidR="00117D22" w:rsidRPr="00435B08">
        <w:t>ne</w:t>
      </w:r>
      <w:r w:rsidR="002B16A4" w:rsidRPr="00435B08">
        <w:t xml:space="preserve">bija </w:t>
      </w:r>
      <w:r w:rsidR="00DE145A" w:rsidRPr="00435B08">
        <w:t>jānosaka</w:t>
      </w:r>
      <w:r w:rsidRPr="00435B08">
        <w:t xml:space="preserve"> </w:t>
      </w:r>
      <w:r w:rsidR="00D23C2D" w:rsidRPr="00435B08">
        <w:t>jauns invaliditātes termiņš</w:t>
      </w:r>
      <w:r w:rsidR="00117D22" w:rsidRPr="00435B08">
        <w:t>, kā uzskata kasators</w:t>
      </w:r>
      <w:r w:rsidR="00C8746B">
        <w:t>, un apgabaltiesas secinājumi</w:t>
      </w:r>
      <w:r w:rsidR="00056FDC">
        <w:t xml:space="preserve"> par atkārtotajā ekspertīzē nosakāmo termiņu</w:t>
      </w:r>
      <w:r w:rsidR="00C8746B">
        <w:t xml:space="preserve"> ir pareizi.</w:t>
      </w:r>
    </w:p>
    <w:p w14:paraId="118D55DB" w14:textId="77777777" w:rsidR="005168CE" w:rsidRPr="00112CD8" w:rsidRDefault="005168CE" w:rsidP="00BE3CFD">
      <w:pPr>
        <w:spacing w:line="276" w:lineRule="auto"/>
        <w:ind w:firstLine="567"/>
        <w:jc w:val="both"/>
        <w:rPr>
          <w:color w:val="FF0000"/>
        </w:rPr>
      </w:pPr>
    </w:p>
    <w:p w14:paraId="538746A2" w14:textId="4FE69547" w:rsidR="005168CE" w:rsidRPr="005168CE" w:rsidRDefault="005168CE" w:rsidP="00BE3CFD">
      <w:pPr>
        <w:spacing w:line="276" w:lineRule="auto"/>
        <w:ind w:firstLine="567"/>
        <w:jc w:val="both"/>
      </w:pPr>
      <w:r>
        <w:t>[10] </w:t>
      </w:r>
      <w:r w:rsidRPr="005168CE">
        <w:t>No kasācijas sūdzības iebildumiem kopumā izriet, ka pieteicējs, atsaucoties uz Administratīvā procesa likuma normām, it kā norāda uz šo normu pārkāpumiem, taču būtībā nepiekrīt iestādes un tiesas veiktajam viņa funkcionēšanas ierobežojumu novērtējumam un vēlas panākt lietas pārskatīšanu un viņam labvēlīgu secinājumu izdarīšanu. Proti, lai arī pieteicējs formāli norādījis uz tiesas pieļautiem pārkāpumiem, pieteicējs būtībā nepiekrīt tam, kā apgabaltiesa vērtējusi pierādījumus un kādus secinājumus no tiem izdarījusi. Tomēr faktisko apstākļu noskaidrošana un pierādījumu pārvērtēšana nav kasācijas instances tiesas kompetencē. Tāpat kasācijas instances tiesas kompetencē nav, pārbaudot pierādījumus, pārliecināties, ka izslēgta jebkura iespējamība, ka pierādījumu pārbaudes rezultātā varētu izdarīt kasatoram labvēlīgāku secinājumu. Tā būtu atkārtota pierādījumu novērtēšana pēc būtības, ko veic pirmās un apelācijas instances tiesa. Tas vien, ka pieteicējam ir cits viedoklis par lietā konstatēto apstākļu kopumu, nav pamats atzīt, ka tiesas izdarītie secinājumi nav pareizi un tiesa tādēļ būtu nonākusi pie nepareiza lietas iznākuma.</w:t>
      </w:r>
    </w:p>
    <w:p w14:paraId="07ADA94B" w14:textId="77777777" w:rsidR="005168CE" w:rsidRPr="00F91755" w:rsidRDefault="005168CE" w:rsidP="00BE3CFD">
      <w:pPr>
        <w:spacing w:line="276" w:lineRule="auto"/>
        <w:ind w:firstLine="567"/>
        <w:jc w:val="both"/>
      </w:pPr>
      <w:r>
        <w:t>Rezumējot minēto, kasācijas sūdzības argumenti nerada šaubas par sprieduma tiesiskumu un kasācijas tiesvedības ierosināšanai šajā lietā nav pamata.</w:t>
      </w:r>
    </w:p>
    <w:p w14:paraId="27303E8D" w14:textId="77777777" w:rsidR="00366823" w:rsidRDefault="00366823" w:rsidP="00BE3CFD">
      <w:pPr>
        <w:spacing w:line="276" w:lineRule="auto"/>
        <w:ind w:firstLine="567"/>
        <w:jc w:val="both"/>
        <w:rPr>
          <w:color w:val="FF0000"/>
          <w:highlight w:val="yellow"/>
          <w:u w:val="single"/>
        </w:rPr>
      </w:pPr>
    </w:p>
    <w:p w14:paraId="4D2FCB3F" w14:textId="5492C766" w:rsidR="006725F4" w:rsidRPr="00BD6698" w:rsidRDefault="006725F4" w:rsidP="00BE3CFD">
      <w:pPr>
        <w:spacing w:line="276" w:lineRule="auto"/>
        <w:ind w:firstLine="567"/>
        <w:jc w:val="both"/>
      </w:pPr>
      <w:r w:rsidRPr="00BD6698">
        <w:t>[</w:t>
      </w:r>
      <w:r w:rsidR="002253E4" w:rsidRPr="00BD6698">
        <w:t>1</w:t>
      </w:r>
      <w:r w:rsidR="005168CE" w:rsidRPr="00BD6698">
        <w:t>1</w:t>
      </w:r>
      <w:r w:rsidRPr="00BD6698">
        <w:t xml:space="preserve">] </w:t>
      </w:r>
      <w:r w:rsidR="005168CE" w:rsidRPr="00BD6698">
        <w:t xml:space="preserve">Pieteicējs kasācijas sūdzībā arī lūdzis atmaksāt apgabaltiesas prettiesiski pieprasīto maksājumu par dokumentu atvasinājumu izgatavošanu 1,40 </w:t>
      </w:r>
      <w:r w:rsidR="005168CE" w:rsidRPr="00BD6698">
        <w:rPr>
          <w:i/>
          <w:iCs/>
        </w:rPr>
        <w:t>euro</w:t>
      </w:r>
      <w:r w:rsidR="005168CE" w:rsidRPr="00BD6698">
        <w:t xml:space="preserve">, kā arī papildu izdevumus – komisijas maksu 0,36 </w:t>
      </w:r>
      <w:r w:rsidR="005168CE" w:rsidRPr="00BD6698">
        <w:rPr>
          <w:i/>
          <w:iCs/>
        </w:rPr>
        <w:t>euro</w:t>
      </w:r>
      <w:r w:rsidR="006A44D0" w:rsidRPr="00BD6698">
        <w:t>, jo pieteicējs kā persona ar invaliditāti atbilstoši Ministru kabineta 2013.gada 19.februāra noteikumu Nr. 96 „Noteikumi par tiesas sniegtajiem maksas pakalpojumiem” 5.1.1.apakšpunktam no samaksas par pakalpojumu bija atbrīvojams.</w:t>
      </w:r>
    </w:p>
    <w:p w14:paraId="1DF8746A" w14:textId="3691A153" w:rsidR="000A5062" w:rsidRPr="004C1CFE" w:rsidRDefault="000A5062" w:rsidP="00BE3CFD">
      <w:pPr>
        <w:spacing w:line="276" w:lineRule="auto"/>
        <w:ind w:firstLine="567"/>
        <w:jc w:val="both"/>
      </w:pPr>
      <w:r w:rsidRPr="00BD6698">
        <w:t xml:space="preserve">Senatoru kolēģija </w:t>
      </w:r>
      <w:r w:rsidR="000201F3" w:rsidRPr="00BD6698">
        <w:t xml:space="preserve">norāda, </w:t>
      </w:r>
      <w:r w:rsidR="000201F3" w:rsidRPr="00CF07AA">
        <w:t xml:space="preserve">ka </w:t>
      </w:r>
      <w:r w:rsidR="00BD6698" w:rsidRPr="00CF07AA">
        <w:t xml:space="preserve">dokumentu atvasinājumu izgatavošana un maksas par šo pakalpojumu iekasēšana vai neiekasēšana ir tiesas kā iestādes rīcība, nevis tiesas spriešanas sastāvdaļa. Tādējādi </w:t>
      </w:r>
      <w:r w:rsidR="000201F3" w:rsidRPr="00CF07AA">
        <w:t>šis nav kasācijas tiesvedības ietvaros risināms jautājums. Lai atgūtu abas nepamatoti samaksātās summas</w:t>
      </w:r>
      <w:r w:rsidR="000201F3" w:rsidRPr="004C1CFE">
        <w:t>, pieteicējam jāvēršas Tiesu administrācijā ar attiecīgu iesniegumu, lūdzot to atmaksu.</w:t>
      </w:r>
    </w:p>
    <w:p w14:paraId="73C56116" w14:textId="77777777" w:rsidR="004431E8" w:rsidRPr="00F91755" w:rsidRDefault="004431E8" w:rsidP="00BE3CFD">
      <w:pPr>
        <w:spacing w:line="276" w:lineRule="auto"/>
        <w:jc w:val="both"/>
      </w:pPr>
    </w:p>
    <w:p w14:paraId="4B59D238" w14:textId="2F78D8E8" w:rsidR="007A65A8" w:rsidRDefault="009A6A06" w:rsidP="00BE3CFD">
      <w:pPr>
        <w:spacing w:line="276" w:lineRule="auto"/>
        <w:ind w:firstLine="567"/>
        <w:jc w:val="both"/>
      </w:pPr>
      <w:r w:rsidRPr="00F91755">
        <w:t>Pamatojoties uz Administratīvā procesa likuma 338.panta otro daļu un 338.</w:t>
      </w:r>
      <w:r w:rsidRPr="00F91755">
        <w:rPr>
          <w:vertAlign w:val="superscript"/>
        </w:rPr>
        <w:t>1</w:t>
      </w:r>
      <w:r w:rsidRPr="00F91755">
        <w:t xml:space="preserve">panta </w:t>
      </w:r>
      <w:r w:rsidR="00FB6DEB" w:rsidRPr="00F91755">
        <w:t>otrās daļas 2.punktu</w:t>
      </w:r>
      <w:r w:rsidRPr="00F91755">
        <w:t>, senatoru kolēģija</w:t>
      </w:r>
    </w:p>
    <w:p w14:paraId="4A26093B" w14:textId="77777777" w:rsidR="00083FE3" w:rsidRPr="005F3320" w:rsidRDefault="00083FE3" w:rsidP="00BE3CFD">
      <w:pPr>
        <w:spacing w:line="276" w:lineRule="auto"/>
        <w:ind w:firstLine="567"/>
        <w:jc w:val="both"/>
      </w:pPr>
    </w:p>
    <w:p w14:paraId="2B7C160D" w14:textId="77777777" w:rsidR="001A0953" w:rsidRPr="00F91755" w:rsidRDefault="001A0953" w:rsidP="00BE3CFD">
      <w:pPr>
        <w:spacing w:line="276" w:lineRule="auto"/>
        <w:jc w:val="center"/>
        <w:rPr>
          <w:b/>
        </w:rPr>
      </w:pPr>
      <w:r w:rsidRPr="00F91755">
        <w:rPr>
          <w:b/>
        </w:rPr>
        <w:t>nolēma</w:t>
      </w:r>
    </w:p>
    <w:p w14:paraId="5266ACAA" w14:textId="77777777" w:rsidR="001A0953" w:rsidRPr="00F91755" w:rsidRDefault="001A0953" w:rsidP="00BE3CFD">
      <w:pPr>
        <w:spacing w:line="276" w:lineRule="auto"/>
        <w:jc w:val="center"/>
        <w:rPr>
          <w:b/>
        </w:rPr>
      </w:pPr>
    </w:p>
    <w:p w14:paraId="47FADB96" w14:textId="1B1E4D38" w:rsidR="006576FA" w:rsidRPr="00F91755" w:rsidRDefault="005C5CEE" w:rsidP="00BE3CFD">
      <w:pPr>
        <w:spacing w:line="276" w:lineRule="auto"/>
        <w:ind w:firstLine="567"/>
        <w:jc w:val="both"/>
      </w:pPr>
      <w:r>
        <w:t>a</w:t>
      </w:r>
      <w:r w:rsidR="00611C4B" w:rsidRPr="00F91755">
        <w:t>tteikt</w:t>
      </w:r>
      <w:r w:rsidR="006576FA" w:rsidRPr="00F91755">
        <w:t xml:space="preserve"> ierosināt kasācijas tiesvedību sakarā ar </w:t>
      </w:r>
      <w:r w:rsidR="00BE3CFD">
        <w:t xml:space="preserve">[pers. A] </w:t>
      </w:r>
      <w:r w:rsidR="006576FA" w:rsidRPr="00F91755">
        <w:t xml:space="preserve">kasācijas sūdzību par Administratīvās </w:t>
      </w:r>
      <w:r w:rsidR="00F91755" w:rsidRPr="00F91755">
        <w:t>apgabaltiesas 20</w:t>
      </w:r>
      <w:r w:rsidR="009B734C">
        <w:t>21</w:t>
      </w:r>
      <w:r w:rsidR="00F91755" w:rsidRPr="00F91755">
        <w:t xml:space="preserve">.gada </w:t>
      </w:r>
      <w:r w:rsidR="009B734C">
        <w:t>27.aprīļa</w:t>
      </w:r>
      <w:r w:rsidR="00F91755" w:rsidRPr="00F91755">
        <w:t xml:space="preserve"> </w:t>
      </w:r>
      <w:r w:rsidR="00611C4B" w:rsidRPr="00F91755">
        <w:t>spriedumu.</w:t>
      </w:r>
    </w:p>
    <w:p w14:paraId="7DC6DD8F" w14:textId="77777777" w:rsidR="00125D9E" w:rsidRDefault="001A0953" w:rsidP="00BE3CFD">
      <w:pPr>
        <w:spacing w:line="276" w:lineRule="auto"/>
        <w:ind w:firstLine="567"/>
        <w:jc w:val="both"/>
      </w:pPr>
      <w:r w:rsidRPr="00F91755">
        <w:t xml:space="preserve">Lēmums </w:t>
      </w:r>
      <w:r w:rsidR="00125D9E" w:rsidRPr="00F91755">
        <w:t>nav pārsūdzams.</w:t>
      </w:r>
    </w:p>
    <w:p w14:paraId="512EAF82" w14:textId="77777777" w:rsidR="00A272FF" w:rsidRPr="00F91755" w:rsidRDefault="00A272FF" w:rsidP="00BE3CFD">
      <w:pPr>
        <w:spacing w:line="276" w:lineRule="auto"/>
        <w:ind w:firstLine="567"/>
        <w:jc w:val="both"/>
      </w:pPr>
    </w:p>
    <w:p w14:paraId="070FF21C" w14:textId="77777777" w:rsidR="00125D9E" w:rsidRPr="00F91755" w:rsidRDefault="00125D9E" w:rsidP="00BE3CFD">
      <w:pPr>
        <w:spacing w:line="276" w:lineRule="auto"/>
        <w:ind w:firstLine="567"/>
        <w:jc w:val="both"/>
        <w:rPr>
          <w:bCs/>
        </w:rPr>
      </w:pPr>
    </w:p>
    <w:p w14:paraId="09C7D486" w14:textId="77777777" w:rsidR="00125D9E" w:rsidRDefault="00125D9E" w:rsidP="00BE3CFD">
      <w:pPr>
        <w:tabs>
          <w:tab w:val="center" w:pos="1276"/>
          <w:tab w:val="center" w:pos="4678"/>
          <w:tab w:val="center" w:pos="8080"/>
        </w:tabs>
        <w:spacing w:line="276" w:lineRule="auto"/>
        <w:jc w:val="both"/>
        <w:rPr>
          <w:color w:val="000000"/>
        </w:rPr>
      </w:pPr>
      <w:r w:rsidRPr="00F91755">
        <w:rPr>
          <w:color w:val="000000"/>
        </w:rPr>
        <w:tab/>
      </w:r>
    </w:p>
    <w:p w14:paraId="1B21676D" w14:textId="77777777" w:rsidR="000272D5" w:rsidRPr="00F91755" w:rsidRDefault="000272D5" w:rsidP="00BE3CFD">
      <w:pPr>
        <w:tabs>
          <w:tab w:val="center" w:pos="1276"/>
          <w:tab w:val="center" w:pos="4678"/>
          <w:tab w:val="center" w:pos="8080"/>
        </w:tabs>
        <w:spacing w:line="276" w:lineRule="auto"/>
        <w:jc w:val="both"/>
        <w:rPr>
          <w:color w:val="000000"/>
        </w:rPr>
      </w:pPr>
    </w:p>
    <w:p w14:paraId="5230BC92" w14:textId="5E56DDE7" w:rsidR="00F43FAD" w:rsidRPr="00B17B0C" w:rsidRDefault="00AD4DA6" w:rsidP="00BE3CFD">
      <w:pPr>
        <w:tabs>
          <w:tab w:val="center" w:pos="1276"/>
          <w:tab w:val="center" w:pos="4678"/>
          <w:tab w:val="center" w:pos="8080"/>
        </w:tabs>
        <w:spacing w:line="276" w:lineRule="auto"/>
        <w:ind w:firstLine="567"/>
        <w:jc w:val="both"/>
        <w:rPr>
          <w:color w:val="000000"/>
        </w:rPr>
      </w:pPr>
      <w:r w:rsidRPr="00F91755">
        <w:rPr>
          <w:color w:val="000000"/>
        </w:rPr>
        <w:tab/>
      </w:r>
      <w:r w:rsidR="00331B6E" w:rsidRPr="00F91755">
        <w:rPr>
          <w:color w:val="000000"/>
        </w:rPr>
        <w:t>S</w:t>
      </w:r>
      <w:r w:rsidRPr="00F91755">
        <w:rPr>
          <w:color w:val="000000"/>
        </w:rPr>
        <w:t>enatore</w:t>
      </w:r>
      <w:r w:rsidR="00331B6E" w:rsidRPr="00F91755">
        <w:rPr>
          <w:color w:val="000000"/>
        </w:rPr>
        <w:t xml:space="preserve"> </w:t>
      </w:r>
      <w:r w:rsidR="00F91755" w:rsidRPr="00F91755">
        <w:rPr>
          <w:color w:val="000000"/>
        </w:rPr>
        <w:t>A. Kovaļevska</w:t>
      </w:r>
      <w:r w:rsidR="00331B6E" w:rsidRPr="00F91755">
        <w:rPr>
          <w:color w:val="000000"/>
        </w:rPr>
        <w:tab/>
      </w:r>
      <w:r w:rsidR="00F91755">
        <w:rPr>
          <w:color w:val="000000"/>
        </w:rPr>
        <w:t xml:space="preserve">     </w:t>
      </w:r>
      <w:r w:rsidR="00543A15">
        <w:rPr>
          <w:color w:val="000000"/>
        </w:rPr>
        <w:t xml:space="preserve">  </w:t>
      </w:r>
      <w:r w:rsidR="00F91755">
        <w:rPr>
          <w:color w:val="000000"/>
        </w:rPr>
        <w:t xml:space="preserve"> </w:t>
      </w:r>
      <w:r w:rsidR="00331B6E" w:rsidRPr="00F91755">
        <w:rPr>
          <w:color w:val="000000"/>
        </w:rPr>
        <w:t>S</w:t>
      </w:r>
      <w:r w:rsidRPr="00F91755">
        <w:rPr>
          <w:color w:val="000000"/>
        </w:rPr>
        <w:t>enatore</w:t>
      </w:r>
      <w:r w:rsidR="00331B6E" w:rsidRPr="00F91755">
        <w:rPr>
          <w:color w:val="000000"/>
        </w:rPr>
        <w:t xml:space="preserve"> </w:t>
      </w:r>
      <w:r w:rsidR="00B46BF7">
        <w:rPr>
          <w:color w:val="000000"/>
        </w:rPr>
        <w:t>Dz. Amerika</w:t>
      </w:r>
      <w:r w:rsidRPr="00F91755">
        <w:rPr>
          <w:color w:val="000000"/>
        </w:rPr>
        <w:tab/>
      </w:r>
      <w:r w:rsidR="00331B6E" w:rsidRPr="00F91755">
        <w:rPr>
          <w:color w:val="000000"/>
        </w:rPr>
        <w:t>S</w:t>
      </w:r>
      <w:r w:rsidRPr="00F91755">
        <w:rPr>
          <w:color w:val="000000"/>
        </w:rPr>
        <w:t>enator</w:t>
      </w:r>
      <w:r w:rsidR="00B46BF7">
        <w:rPr>
          <w:color w:val="000000"/>
        </w:rPr>
        <w:t>e</w:t>
      </w:r>
      <w:r w:rsidR="00331B6E" w:rsidRPr="00F91755">
        <w:rPr>
          <w:color w:val="000000"/>
        </w:rPr>
        <w:t xml:space="preserve"> </w:t>
      </w:r>
      <w:r w:rsidR="00B46BF7">
        <w:rPr>
          <w:color w:val="000000"/>
        </w:rPr>
        <w:t>I. Višķere</w:t>
      </w:r>
    </w:p>
    <w:sectPr w:rsidR="00F43FAD" w:rsidRPr="00B17B0C" w:rsidSect="00A7610E">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02D10" w14:textId="77777777" w:rsidR="0016478D" w:rsidRDefault="0016478D" w:rsidP="003047F5">
      <w:r>
        <w:separator/>
      </w:r>
    </w:p>
  </w:endnote>
  <w:endnote w:type="continuationSeparator" w:id="0">
    <w:p w14:paraId="1ACBE6CA" w14:textId="77777777" w:rsidR="0016478D" w:rsidRDefault="0016478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47E60" w14:textId="7B50CD5C" w:rsidR="00ED74FC" w:rsidRDefault="00ED74F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B35FE">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B35FE">
      <w:rPr>
        <w:rStyle w:val="PageNumber"/>
        <w:noProof/>
      </w:rPr>
      <w:t>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07561" w14:textId="77777777" w:rsidR="0016478D" w:rsidRDefault="0016478D" w:rsidP="003047F5">
      <w:r>
        <w:separator/>
      </w:r>
    </w:p>
  </w:footnote>
  <w:footnote w:type="continuationSeparator" w:id="0">
    <w:p w14:paraId="41D9F9D5" w14:textId="77777777" w:rsidR="0016478D" w:rsidRDefault="0016478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32D"/>
    <w:rsid w:val="000017D5"/>
    <w:rsid w:val="00005089"/>
    <w:rsid w:val="00006212"/>
    <w:rsid w:val="00006BA2"/>
    <w:rsid w:val="00007B74"/>
    <w:rsid w:val="00012BF0"/>
    <w:rsid w:val="000132C9"/>
    <w:rsid w:val="00013A89"/>
    <w:rsid w:val="00013D8C"/>
    <w:rsid w:val="00014D1F"/>
    <w:rsid w:val="00014FF5"/>
    <w:rsid w:val="00015412"/>
    <w:rsid w:val="00017964"/>
    <w:rsid w:val="000201F3"/>
    <w:rsid w:val="000223CE"/>
    <w:rsid w:val="0002332E"/>
    <w:rsid w:val="000271CF"/>
    <w:rsid w:val="000272D5"/>
    <w:rsid w:val="00034054"/>
    <w:rsid w:val="000364E1"/>
    <w:rsid w:val="00036C9C"/>
    <w:rsid w:val="0004059E"/>
    <w:rsid w:val="00040B59"/>
    <w:rsid w:val="0004232E"/>
    <w:rsid w:val="000525E8"/>
    <w:rsid w:val="0005280D"/>
    <w:rsid w:val="000532F1"/>
    <w:rsid w:val="00053385"/>
    <w:rsid w:val="000551C2"/>
    <w:rsid w:val="00055F70"/>
    <w:rsid w:val="00056FDC"/>
    <w:rsid w:val="000723F9"/>
    <w:rsid w:val="0008248F"/>
    <w:rsid w:val="000829F8"/>
    <w:rsid w:val="00083FE3"/>
    <w:rsid w:val="00084F6E"/>
    <w:rsid w:val="00086108"/>
    <w:rsid w:val="00091227"/>
    <w:rsid w:val="0009137B"/>
    <w:rsid w:val="000914F2"/>
    <w:rsid w:val="00094761"/>
    <w:rsid w:val="000A175D"/>
    <w:rsid w:val="000A5062"/>
    <w:rsid w:val="000A7F1D"/>
    <w:rsid w:val="000B0238"/>
    <w:rsid w:val="000B06A3"/>
    <w:rsid w:val="000B0A3A"/>
    <w:rsid w:val="000B20EF"/>
    <w:rsid w:val="000B3B82"/>
    <w:rsid w:val="000B5DB3"/>
    <w:rsid w:val="000C0D71"/>
    <w:rsid w:val="000C2400"/>
    <w:rsid w:val="000C469D"/>
    <w:rsid w:val="000C574A"/>
    <w:rsid w:val="000C59D3"/>
    <w:rsid w:val="000C7805"/>
    <w:rsid w:val="000D1276"/>
    <w:rsid w:val="000D3053"/>
    <w:rsid w:val="000D5DDF"/>
    <w:rsid w:val="000D6818"/>
    <w:rsid w:val="000E0DA8"/>
    <w:rsid w:val="000E4006"/>
    <w:rsid w:val="000E5EEF"/>
    <w:rsid w:val="000E7A45"/>
    <w:rsid w:val="000E7C08"/>
    <w:rsid w:val="000F06CF"/>
    <w:rsid w:val="000F370F"/>
    <w:rsid w:val="00102819"/>
    <w:rsid w:val="00102C47"/>
    <w:rsid w:val="00103E31"/>
    <w:rsid w:val="001043AB"/>
    <w:rsid w:val="00104B7E"/>
    <w:rsid w:val="00105EE9"/>
    <w:rsid w:val="00107D1F"/>
    <w:rsid w:val="001108D8"/>
    <w:rsid w:val="00112CD8"/>
    <w:rsid w:val="0011443A"/>
    <w:rsid w:val="001177EF"/>
    <w:rsid w:val="00117D22"/>
    <w:rsid w:val="001207CD"/>
    <w:rsid w:val="001214D0"/>
    <w:rsid w:val="00121AA4"/>
    <w:rsid w:val="0012253E"/>
    <w:rsid w:val="001248D1"/>
    <w:rsid w:val="00124C5E"/>
    <w:rsid w:val="001254B9"/>
    <w:rsid w:val="00125D9E"/>
    <w:rsid w:val="00127E8C"/>
    <w:rsid w:val="00130CEF"/>
    <w:rsid w:val="001321E6"/>
    <w:rsid w:val="001352C2"/>
    <w:rsid w:val="0013630F"/>
    <w:rsid w:val="00136549"/>
    <w:rsid w:val="0013724A"/>
    <w:rsid w:val="001401B6"/>
    <w:rsid w:val="00140AF6"/>
    <w:rsid w:val="001422A5"/>
    <w:rsid w:val="00143A68"/>
    <w:rsid w:val="001440B8"/>
    <w:rsid w:val="00144DFA"/>
    <w:rsid w:val="001467FF"/>
    <w:rsid w:val="00147119"/>
    <w:rsid w:val="001646E9"/>
    <w:rsid w:val="0016478D"/>
    <w:rsid w:val="0016757A"/>
    <w:rsid w:val="00170F37"/>
    <w:rsid w:val="00173D81"/>
    <w:rsid w:val="001764CD"/>
    <w:rsid w:val="001820A1"/>
    <w:rsid w:val="00185D72"/>
    <w:rsid w:val="0019238A"/>
    <w:rsid w:val="00192A59"/>
    <w:rsid w:val="00192FCC"/>
    <w:rsid w:val="00197AE8"/>
    <w:rsid w:val="001A0495"/>
    <w:rsid w:val="001A0568"/>
    <w:rsid w:val="001A0953"/>
    <w:rsid w:val="001A1190"/>
    <w:rsid w:val="001A1C93"/>
    <w:rsid w:val="001A5C16"/>
    <w:rsid w:val="001A7713"/>
    <w:rsid w:val="001B5B9C"/>
    <w:rsid w:val="001B6945"/>
    <w:rsid w:val="001C005E"/>
    <w:rsid w:val="001C12F2"/>
    <w:rsid w:val="001C1525"/>
    <w:rsid w:val="001C271A"/>
    <w:rsid w:val="001C36D4"/>
    <w:rsid w:val="001C43BF"/>
    <w:rsid w:val="001C47BE"/>
    <w:rsid w:val="001C7500"/>
    <w:rsid w:val="001C7753"/>
    <w:rsid w:val="001D0DA8"/>
    <w:rsid w:val="001D100C"/>
    <w:rsid w:val="001D28F9"/>
    <w:rsid w:val="001D3CD2"/>
    <w:rsid w:val="001D4301"/>
    <w:rsid w:val="001D5684"/>
    <w:rsid w:val="001D6DA5"/>
    <w:rsid w:val="001E0CA6"/>
    <w:rsid w:val="001E0D87"/>
    <w:rsid w:val="001E2137"/>
    <w:rsid w:val="001E3A09"/>
    <w:rsid w:val="001E7150"/>
    <w:rsid w:val="001F12C3"/>
    <w:rsid w:val="001F2B01"/>
    <w:rsid w:val="001F3879"/>
    <w:rsid w:val="002027CD"/>
    <w:rsid w:val="00204098"/>
    <w:rsid w:val="002042D7"/>
    <w:rsid w:val="00205970"/>
    <w:rsid w:val="0021208D"/>
    <w:rsid w:val="00214F34"/>
    <w:rsid w:val="00216F2C"/>
    <w:rsid w:val="00221D1B"/>
    <w:rsid w:val="00221F39"/>
    <w:rsid w:val="002229BE"/>
    <w:rsid w:val="0022366A"/>
    <w:rsid w:val="00223D38"/>
    <w:rsid w:val="002253E4"/>
    <w:rsid w:val="00227D6E"/>
    <w:rsid w:val="002301F6"/>
    <w:rsid w:val="00230F2F"/>
    <w:rsid w:val="00233B6E"/>
    <w:rsid w:val="00233EC8"/>
    <w:rsid w:val="00235CF5"/>
    <w:rsid w:val="00237F92"/>
    <w:rsid w:val="00240A11"/>
    <w:rsid w:val="00242A21"/>
    <w:rsid w:val="00242CB7"/>
    <w:rsid w:val="00243D46"/>
    <w:rsid w:val="00245193"/>
    <w:rsid w:val="00245AB0"/>
    <w:rsid w:val="00246EB8"/>
    <w:rsid w:val="00250677"/>
    <w:rsid w:val="00251C3E"/>
    <w:rsid w:val="00252404"/>
    <w:rsid w:val="00252574"/>
    <w:rsid w:val="00253CC8"/>
    <w:rsid w:val="00254CDF"/>
    <w:rsid w:val="002555BA"/>
    <w:rsid w:val="00256C51"/>
    <w:rsid w:val="00257F4B"/>
    <w:rsid w:val="002606F9"/>
    <w:rsid w:val="002668DA"/>
    <w:rsid w:val="00267CB5"/>
    <w:rsid w:val="00271B43"/>
    <w:rsid w:val="0027469B"/>
    <w:rsid w:val="00274B3A"/>
    <w:rsid w:val="00277611"/>
    <w:rsid w:val="00284802"/>
    <w:rsid w:val="002908FC"/>
    <w:rsid w:val="00292986"/>
    <w:rsid w:val="00292F85"/>
    <w:rsid w:val="00293462"/>
    <w:rsid w:val="00293DC1"/>
    <w:rsid w:val="0029680D"/>
    <w:rsid w:val="002A27D2"/>
    <w:rsid w:val="002A3D9C"/>
    <w:rsid w:val="002A6B0C"/>
    <w:rsid w:val="002A7620"/>
    <w:rsid w:val="002B0203"/>
    <w:rsid w:val="002B16A4"/>
    <w:rsid w:val="002B37AB"/>
    <w:rsid w:val="002B4386"/>
    <w:rsid w:val="002B582F"/>
    <w:rsid w:val="002B6F7D"/>
    <w:rsid w:val="002C0562"/>
    <w:rsid w:val="002C10DC"/>
    <w:rsid w:val="002C15F8"/>
    <w:rsid w:val="002C18C0"/>
    <w:rsid w:val="002C2740"/>
    <w:rsid w:val="002C2B29"/>
    <w:rsid w:val="002C3ABE"/>
    <w:rsid w:val="002D25C0"/>
    <w:rsid w:val="002D30CE"/>
    <w:rsid w:val="002D3CB5"/>
    <w:rsid w:val="002D3F95"/>
    <w:rsid w:val="002D495D"/>
    <w:rsid w:val="002E01C0"/>
    <w:rsid w:val="002E2201"/>
    <w:rsid w:val="002E2FFC"/>
    <w:rsid w:val="002E34B4"/>
    <w:rsid w:val="002E4F5F"/>
    <w:rsid w:val="002E5CC3"/>
    <w:rsid w:val="002F1303"/>
    <w:rsid w:val="002F1B98"/>
    <w:rsid w:val="002F1F72"/>
    <w:rsid w:val="002F29C2"/>
    <w:rsid w:val="002F3BAE"/>
    <w:rsid w:val="002F4272"/>
    <w:rsid w:val="002F6B48"/>
    <w:rsid w:val="00301A51"/>
    <w:rsid w:val="003047F5"/>
    <w:rsid w:val="003049D1"/>
    <w:rsid w:val="0030503D"/>
    <w:rsid w:val="003077F0"/>
    <w:rsid w:val="00310120"/>
    <w:rsid w:val="00310AE9"/>
    <w:rsid w:val="00312144"/>
    <w:rsid w:val="00313892"/>
    <w:rsid w:val="0031510B"/>
    <w:rsid w:val="00316DB0"/>
    <w:rsid w:val="00316DD0"/>
    <w:rsid w:val="00316FF4"/>
    <w:rsid w:val="00325715"/>
    <w:rsid w:val="00325CB4"/>
    <w:rsid w:val="00330413"/>
    <w:rsid w:val="003308CC"/>
    <w:rsid w:val="00330D02"/>
    <w:rsid w:val="003315C0"/>
    <w:rsid w:val="003319A6"/>
    <w:rsid w:val="003319E1"/>
    <w:rsid w:val="00331B6E"/>
    <w:rsid w:val="0033419C"/>
    <w:rsid w:val="0033551E"/>
    <w:rsid w:val="00335BF3"/>
    <w:rsid w:val="00340161"/>
    <w:rsid w:val="00342BF7"/>
    <w:rsid w:val="00343250"/>
    <w:rsid w:val="00347B5A"/>
    <w:rsid w:val="00350036"/>
    <w:rsid w:val="003506D3"/>
    <w:rsid w:val="00352C01"/>
    <w:rsid w:val="0035346E"/>
    <w:rsid w:val="0035406C"/>
    <w:rsid w:val="00365BB9"/>
    <w:rsid w:val="00365D13"/>
    <w:rsid w:val="00366823"/>
    <w:rsid w:val="00367057"/>
    <w:rsid w:val="003706EE"/>
    <w:rsid w:val="00371406"/>
    <w:rsid w:val="00372918"/>
    <w:rsid w:val="00372F1F"/>
    <w:rsid w:val="00384063"/>
    <w:rsid w:val="00384694"/>
    <w:rsid w:val="0038561C"/>
    <w:rsid w:val="00387DAF"/>
    <w:rsid w:val="0039206B"/>
    <w:rsid w:val="00392783"/>
    <w:rsid w:val="00393A25"/>
    <w:rsid w:val="00397D82"/>
    <w:rsid w:val="003A134E"/>
    <w:rsid w:val="003A373C"/>
    <w:rsid w:val="003B4ECF"/>
    <w:rsid w:val="003B52B4"/>
    <w:rsid w:val="003B5467"/>
    <w:rsid w:val="003C32D3"/>
    <w:rsid w:val="003C4830"/>
    <w:rsid w:val="003C78DD"/>
    <w:rsid w:val="003D0FB1"/>
    <w:rsid w:val="003D3B22"/>
    <w:rsid w:val="003D4A46"/>
    <w:rsid w:val="003D4B4A"/>
    <w:rsid w:val="003E2E35"/>
    <w:rsid w:val="003E7614"/>
    <w:rsid w:val="003F0375"/>
    <w:rsid w:val="003F790E"/>
    <w:rsid w:val="00401696"/>
    <w:rsid w:val="004033F9"/>
    <w:rsid w:val="004038D6"/>
    <w:rsid w:val="0040683F"/>
    <w:rsid w:val="00410E0C"/>
    <w:rsid w:val="0041148B"/>
    <w:rsid w:val="00415519"/>
    <w:rsid w:val="00415D16"/>
    <w:rsid w:val="00415E8D"/>
    <w:rsid w:val="00416151"/>
    <w:rsid w:val="0041707F"/>
    <w:rsid w:val="0041712E"/>
    <w:rsid w:val="00424B84"/>
    <w:rsid w:val="0043182C"/>
    <w:rsid w:val="00433651"/>
    <w:rsid w:val="004340DF"/>
    <w:rsid w:val="00435B08"/>
    <w:rsid w:val="00442592"/>
    <w:rsid w:val="004427D9"/>
    <w:rsid w:val="004431E8"/>
    <w:rsid w:val="00443883"/>
    <w:rsid w:val="0044633C"/>
    <w:rsid w:val="00446D91"/>
    <w:rsid w:val="00446DF4"/>
    <w:rsid w:val="00451EF1"/>
    <w:rsid w:val="00452391"/>
    <w:rsid w:val="004551EC"/>
    <w:rsid w:val="004555A8"/>
    <w:rsid w:val="00455F87"/>
    <w:rsid w:val="0045601A"/>
    <w:rsid w:val="004610BE"/>
    <w:rsid w:val="004615B1"/>
    <w:rsid w:val="00462426"/>
    <w:rsid w:val="00463FF3"/>
    <w:rsid w:val="004640A1"/>
    <w:rsid w:val="00464796"/>
    <w:rsid w:val="00470F99"/>
    <w:rsid w:val="004735C3"/>
    <w:rsid w:val="00473DC4"/>
    <w:rsid w:val="0048200F"/>
    <w:rsid w:val="004826DA"/>
    <w:rsid w:val="0048413C"/>
    <w:rsid w:val="004872AC"/>
    <w:rsid w:val="00487C00"/>
    <w:rsid w:val="00490A8E"/>
    <w:rsid w:val="00491DEC"/>
    <w:rsid w:val="00493581"/>
    <w:rsid w:val="00494451"/>
    <w:rsid w:val="00494531"/>
    <w:rsid w:val="00494F54"/>
    <w:rsid w:val="00495684"/>
    <w:rsid w:val="0049641D"/>
    <w:rsid w:val="0049679C"/>
    <w:rsid w:val="00496F1E"/>
    <w:rsid w:val="0049791E"/>
    <w:rsid w:val="004A0BA5"/>
    <w:rsid w:val="004A273A"/>
    <w:rsid w:val="004A460E"/>
    <w:rsid w:val="004A4903"/>
    <w:rsid w:val="004B0FFB"/>
    <w:rsid w:val="004B1564"/>
    <w:rsid w:val="004B440C"/>
    <w:rsid w:val="004B4515"/>
    <w:rsid w:val="004B4C85"/>
    <w:rsid w:val="004C0146"/>
    <w:rsid w:val="004C0B3E"/>
    <w:rsid w:val="004C0EC7"/>
    <w:rsid w:val="004C1CFE"/>
    <w:rsid w:val="004C79B7"/>
    <w:rsid w:val="004C7C93"/>
    <w:rsid w:val="004D4B62"/>
    <w:rsid w:val="004E234F"/>
    <w:rsid w:val="004E2E0D"/>
    <w:rsid w:val="004E3C8B"/>
    <w:rsid w:val="004E5539"/>
    <w:rsid w:val="004E756C"/>
    <w:rsid w:val="004E7F6D"/>
    <w:rsid w:val="004F23EF"/>
    <w:rsid w:val="004F3406"/>
    <w:rsid w:val="004F56D3"/>
    <w:rsid w:val="004F5FD9"/>
    <w:rsid w:val="00501DC8"/>
    <w:rsid w:val="00510A03"/>
    <w:rsid w:val="00514A8B"/>
    <w:rsid w:val="005168CE"/>
    <w:rsid w:val="00517F52"/>
    <w:rsid w:val="00521A02"/>
    <w:rsid w:val="00522A76"/>
    <w:rsid w:val="0052389E"/>
    <w:rsid w:val="00523ED3"/>
    <w:rsid w:val="00526BF5"/>
    <w:rsid w:val="00532DE6"/>
    <w:rsid w:val="00535C5B"/>
    <w:rsid w:val="0054079F"/>
    <w:rsid w:val="00541F82"/>
    <w:rsid w:val="00543A15"/>
    <w:rsid w:val="00543E46"/>
    <w:rsid w:val="00544A11"/>
    <w:rsid w:val="00544B27"/>
    <w:rsid w:val="005451F8"/>
    <w:rsid w:val="00546675"/>
    <w:rsid w:val="00546751"/>
    <w:rsid w:val="00550755"/>
    <w:rsid w:val="00554732"/>
    <w:rsid w:val="00555A4C"/>
    <w:rsid w:val="00555B6C"/>
    <w:rsid w:val="00556EAB"/>
    <w:rsid w:val="00557A3D"/>
    <w:rsid w:val="005636CC"/>
    <w:rsid w:val="00566E67"/>
    <w:rsid w:val="005678D7"/>
    <w:rsid w:val="00571247"/>
    <w:rsid w:val="00572876"/>
    <w:rsid w:val="005758BC"/>
    <w:rsid w:val="005766F3"/>
    <w:rsid w:val="00576A3D"/>
    <w:rsid w:val="00576E6E"/>
    <w:rsid w:val="00580743"/>
    <w:rsid w:val="00580A84"/>
    <w:rsid w:val="0058127D"/>
    <w:rsid w:val="005836BD"/>
    <w:rsid w:val="00583A1A"/>
    <w:rsid w:val="0058520C"/>
    <w:rsid w:val="005863F2"/>
    <w:rsid w:val="00586882"/>
    <w:rsid w:val="00587D58"/>
    <w:rsid w:val="00592B6C"/>
    <w:rsid w:val="00593A7C"/>
    <w:rsid w:val="005952F2"/>
    <w:rsid w:val="00595717"/>
    <w:rsid w:val="00596417"/>
    <w:rsid w:val="00596EF2"/>
    <w:rsid w:val="005970CF"/>
    <w:rsid w:val="005A4017"/>
    <w:rsid w:val="005A53C1"/>
    <w:rsid w:val="005B18C3"/>
    <w:rsid w:val="005B23DD"/>
    <w:rsid w:val="005B280B"/>
    <w:rsid w:val="005B571A"/>
    <w:rsid w:val="005B63E0"/>
    <w:rsid w:val="005B6C8C"/>
    <w:rsid w:val="005C0BF2"/>
    <w:rsid w:val="005C27A4"/>
    <w:rsid w:val="005C3E54"/>
    <w:rsid w:val="005C5CEE"/>
    <w:rsid w:val="005C603E"/>
    <w:rsid w:val="005C66A6"/>
    <w:rsid w:val="005C6719"/>
    <w:rsid w:val="005C6AD4"/>
    <w:rsid w:val="005C73EF"/>
    <w:rsid w:val="005D2C83"/>
    <w:rsid w:val="005D338A"/>
    <w:rsid w:val="005D4049"/>
    <w:rsid w:val="005D4568"/>
    <w:rsid w:val="005D53B7"/>
    <w:rsid w:val="005D6094"/>
    <w:rsid w:val="005D7EDF"/>
    <w:rsid w:val="005E1452"/>
    <w:rsid w:val="005E18C0"/>
    <w:rsid w:val="005E2C49"/>
    <w:rsid w:val="005E3243"/>
    <w:rsid w:val="005E6076"/>
    <w:rsid w:val="005E62C4"/>
    <w:rsid w:val="005F2E12"/>
    <w:rsid w:val="005F3320"/>
    <w:rsid w:val="005F3A4D"/>
    <w:rsid w:val="005F3B4E"/>
    <w:rsid w:val="005F48EC"/>
    <w:rsid w:val="005F4CD3"/>
    <w:rsid w:val="005F5EE3"/>
    <w:rsid w:val="005F6040"/>
    <w:rsid w:val="00601189"/>
    <w:rsid w:val="006017F0"/>
    <w:rsid w:val="00601FE9"/>
    <w:rsid w:val="006039AE"/>
    <w:rsid w:val="00603AD3"/>
    <w:rsid w:val="006064A6"/>
    <w:rsid w:val="0060674B"/>
    <w:rsid w:val="00610D01"/>
    <w:rsid w:val="00611C4B"/>
    <w:rsid w:val="00613EBB"/>
    <w:rsid w:val="0062096B"/>
    <w:rsid w:val="00621FDB"/>
    <w:rsid w:val="006230F1"/>
    <w:rsid w:val="0062485E"/>
    <w:rsid w:val="00624C02"/>
    <w:rsid w:val="0062595E"/>
    <w:rsid w:val="006261BD"/>
    <w:rsid w:val="00626ECC"/>
    <w:rsid w:val="0063459F"/>
    <w:rsid w:val="00635667"/>
    <w:rsid w:val="00635A96"/>
    <w:rsid w:val="0064060C"/>
    <w:rsid w:val="0064165A"/>
    <w:rsid w:val="00641997"/>
    <w:rsid w:val="00642B3B"/>
    <w:rsid w:val="00643745"/>
    <w:rsid w:val="006451D7"/>
    <w:rsid w:val="00645257"/>
    <w:rsid w:val="00650D78"/>
    <w:rsid w:val="0065244A"/>
    <w:rsid w:val="006538EC"/>
    <w:rsid w:val="00653AAE"/>
    <w:rsid w:val="00654DB5"/>
    <w:rsid w:val="00655861"/>
    <w:rsid w:val="00656C66"/>
    <w:rsid w:val="006576FA"/>
    <w:rsid w:val="00660ACF"/>
    <w:rsid w:val="00663ACE"/>
    <w:rsid w:val="0066460D"/>
    <w:rsid w:val="00667652"/>
    <w:rsid w:val="006712BD"/>
    <w:rsid w:val="006725F4"/>
    <w:rsid w:val="00675EA0"/>
    <w:rsid w:val="006760B0"/>
    <w:rsid w:val="0068006E"/>
    <w:rsid w:val="00682FB5"/>
    <w:rsid w:val="00683164"/>
    <w:rsid w:val="00690BB3"/>
    <w:rsid w:val="0069184A"/>
    <w:rsid w:val="006955B6"/>
    <w:rsid w:val="006A44D0"/>
    <w:rsid w:val="006A4DBA"/>
    <w:rsid w:val="006A5738"/>
    <w:rsid w:val="006A5A55"/>
    <w:rsid w:val="006A7868"/>
    <w:rsid w:val="006B39C4"/>
    <w:rsid w:val="006B532A"/>
    <w:rsid w:val="006C12A2"/>
    <w:rsid w:val="006C199C"/>
    <w:rsid w:val="006C27F3"/>
    <w:rsid w:val="006C3D5F"/>
    <w:rsid w:val="006C3F8F"/>
    <w:rsid w:val="006C4C42"/>
    <w:rsid w:val="006C721F"/>
    <w:rsid w:val="006D280F"/>
    <w:rsid w:val="006E11C6"/>
    <w:rsid w:val="006E2316"/>
    <w:rsid w:val="006E255E"/>
    <w:rsid w:val="006E3675"/>
    <w:rsid w:val="006E461E"/>
    <w:rsid w:val="006E5236"/>
    <w:rsid w:val="006E7353"/>
    <w:rsid w:val="006E7A50"/>
    <w:rsid w:val="006F115F"/>
    <w:rsid w:val="006F3084"/>
    <w:rsid w:val="006F3F0D"/>
    <w:rsid w:val="006F4489"/>
    <w:rsid w:val="006F475C"/>
    <w:rsid w:val="006F4DF3"/>
    <w:rsid w:val="006F5966"/>
    <w:rsid w:val="006F5D3B"/>
    <w:rsid w:val="006F6BDC"/>
    <w:rsid w:val="006F78BC"/>
    <w:rsid w:val="006F7E46"/>
    <w:rsid w:val="00700309"/>
    <w:rsid w:val="007004CD"/>
    <w:rsid w:val="00702430"/>
    <w:rsid w:val="00702E4E"/>
    <w:rsid w:val="007118C3"/>
    <w:rsid w:val="0071766D"/>
    <w:rsid w:val="00721D11"/>
    <w:rsid w:val="007242FA"/>
    <w:rsid w:val="00724854"/>
    <w:rsid w:val="00727989"/>
    <w:rsid w:val="00730E1E"/>
    <w:rsid w:val="00732089"/>
    <w:rsid w:val="0073247E"/>
    <w:rsid w:val="00732A32"/>
    <w:rsid w:val="00736B7A"/>
    <w:rsid w:val="00737053"/>
    <w:rsid w:val="007414CD"/>
    <w:rsid w:val="00742C7F"/>
    <w:rsid w:val="00743A89"/>
    <w:rsid w:val="007446A7"/>
    <w:rsid w:val="0074561D"/>
    <w:rsid w:val="007474D1"/>
    <w:rsid w:val="00751F23"/>
    <w:rsid w:val="0075414F"/>
    <w:rsid w:val="0075436B"/>
    <w:rsid w:val="007551C6"/>
    <w:rsid w:val="00760596"/>
    <w:rsid w:val="00763FEF"/>
    <w:rsid w:val="0076488C"/>
    <w:rsid w:val="00764DF8"/>
    <w:rsid w:val="007655EB"/>
    <w:rsid w:val="0076732B"/>
    <w:rsid w:val="00771312"/>
    <w:rsid w:val="007725C0"/>
    <w:rsid w:val="00772E4F"/>
    <w:rsid w:val="007734A8"/>
    <w:rsid w:val="007740F3"/>
    <w:rsid w:val="00774313"/>
    <w:rsid w:val="007752B9"/>
    <w:rsid w:val="00776457"/>
    <w:rsid w:val="00777A70"/>
    <w:rsid w:val="007828B9"/>
    <w:rsid w:val="00782DA2"/>
    <w:rsid w:val="00785195"/>
    <w:rsid w:val="00791AF7"/>
    <w:rsid w:val="007920C2"/>
    <w:rsid w:val="00793298"/>
    <w:rsid w:val="007936CA"/>
    <w:rsid w:val="00794D66"/>
    <w:rsid w:val="007A3499"/>
    <w:rsid w:val="007A376A"/>
    <w:rsid w:val="007A497A"/>
    <w:rsid w:val="007A60C4"/>
    <w:rsid w:val="007A65A8"/>
    <w:rsid w:val="007B0B84"/>
    <w:rsid w:val="007B1D45"/>
    <w:rsid w:val="007B3322"/>
    <w:rsid w:val="007B3556"/>
    <w:rsid w:val="007B46BB"/>
    <w:rsid w:val="007B7A45"/>
    <w:rsid w:val="007C30AD"/>
    <w:rsid w:val="007C47CB"/>
    <w:rsid w:val="007C6FA3"/>
    <w:rsid w:val="007D2755"/>
    <w:rsid w:val="007D29C2"/>
    <w:rsid w:val="007D3169"/>
    <w:rsid w:val="007D4902"/>
    <w:rsid w:val="007D594B"/>
    <w:rsid w:val="007D7A59"/>
    <w:rsid w:val="007E4D3C"/>
    <w:rsid w:val="007E5EA2"/>
    <w:rsid w:val="007E66D2"/>
    <w:rsid w:val="007E725B"/>
    <w:rsid w:val="007F1BFF"/>
    <w:rsid w:val="007F2A08"/>
    <w:rsid w:val="007F2C04"/>
    <w:rsid w:val="007F3565"/>
    <w:rsid w:val="007F4BE8"/>
    <w:rsid w:val="007F589F"/>
    <w:rsid w:val="007F64CD"/>
    <w:rsid w:val="007F6C69"/>
    <w:rsid w:val="00804EBA"/>
    <w:rsid w:val="0081279B"/>
    <w:rsid w:val="00812C94"/>
    <w:rsid w:val="0081567B"/>
    <w:rsid w:val="00824091"/>
    <w:rsid w:val="00824418"/>
    <w:rsid w:val="00824B9B"/>
    <w:rsid w:val="008272E6"/>
    <w:rsid w:val="00831682"/>
    <w:rsid w:val="008323D9"/>
    <w:rsid w:val="008325D3"/>
    <w:rsid w:val="00834587"/>
    <w:rsid w:val="008365BB"/>
    <w:rsid w:val="00836F8C"/>
    <w:rsid w:val="008414C6"/>
    <w:rsid w:val="008450ED"/>
    <w:rsid w:val="0084603C"/>
    <w:rsid w:val="008479FA"/>
    <w:rsid w:val="00850C98"/>
    <w:rsid w:val="00850CAD"/>
    <w:rsid w:val="008543AE"/>
    <w:rsid w:val="00857CCC"/>
    <w:rsid w:val="0086370B"/>
    <w:rsid w:val="008642C2"/>
    <w:rsid w:val="0086434B"/>
    <w:rsid w:val="008720AA"/>
    <w:rsid w:val="0087430B"/>
    <w:rsid w:val="008762F7"/>
    <w:rsid w:val="00876DEC"/>
    <w:rsid w:val="0088069D"/>
    <w:rsid w:val="00880B8A"/>
    <w:rsid w:val="0088108C"/>
    <w:rsid w:val="008843B4"/>
    <w:rsid w:val="00885178"/>
    <w:rsid w:val="008949BF"/>
    <w:rsid w:val="00894F35"/>
    <w:rsid w:val="00897CB0"/>
    <w:rsid w:val="008A5B68"/>
    <w:rsid w:val="008B02B4"/>
    <w:rsid w:val="008B09F2"/>
    <w:rsid w:val="008B2A07"/>
    <w:rsid w:val="008B3762"/>
    <w:rsid w:val="008B4B2E"/>
    <w:rsid w:val="008B5000"/>
    <w:rsid w:val="008B7013"/>
    <w:rsid w:val="008C0B70"/>
    <w:rsid w:val="008C2C67"/>
    <w:rsid w:val="008C41F2"/>
    <w:rsid w:val="008C7A12"/>
    <w:rsid w:val="008D08C2"/>
    <w:rsid w:val="008D0D10"/>
    <w:rsid w:val="008D1922"/>
    <w:rsid w:val="008D1B24"/>
    <w:rsid w:val="008D3CC7"/>
    <w:rsid w:val="008E1EC9"/>
    <w:rsid w:val="008E35AA"/>
    <w:rsid w:val="008E72F1"/>
    <w:rsid w:val="008E7E35"/>
    <w:rsid w:val="00901491"/>
    <w:rsid w:val="009041F6"/>
    <w:rsid w:val="00905910"/>
    <w:rsid w:val="009062C4"/>
    <w:rsid w:val="00906406"/>
    <w:rsid w:val="009078D7"/>
    <w:rsid w:val="00907928"/>
    <w:rsid w:val="009118D2"/>
    <w:rsid w:val="00913721"/>
    <w:rsid w:val="0091702E"/>
    <w:rsid w:val="009178B1"/>
    <w:rsid w:val="0092069D"/>
    <w:rsid w:val="00921E76"/>
    <w:rsid w:val="009229FE"/>
    <w:rsid w:val="0092446C"/>
    <w:rsid w:val="009248FB"/>
    <w:rsid w:val="00927381"/>
    <w:rsid w:val="0093081B"/>
    <w:rsid w:val="00934605"/>
    <w:rsid w:val="00941C69"/>
    <w:rsid w:val="00942BD4"/>
    <w:rsid w:val="00944587"/>
    <w:rsid w:val="009457BD"/>
    <w:rsid w:val="00947624"/>
    <w:rsid w:val="009479C2"/>
    <w:rsid w:val="00952043"/>
    <w:rsid w:val="00952150"/>
    <w:rsid w:val="009545ED"/>
    <w:rsid w:val="009548CA"/>
    <w:rsid w:val="009568E5"/>
    <w:rsid w:val="00957A3B"/>
    <w:rsid w:val="00957C39"/>
    <w:rsid w:val="00960BC9"/>
    <w:rsid w:val="00961198"/>
    <w:rsid w:val="009639F7"/>
    <w:rsid w:val="009646E1"/>
    <w:rsid w:val="00966EFE"/>
    <w:rsid w:val="00966FD1"/>
    <w:rsid w:val="009708C9"/>
    <w:rsid w:val="009711DF"/>
    <w:rsid w:val="00972919"/>
    <w:rsid w:val="009738E8"/>
    <w:rsid w:val="009756AE"/>
    <w:rsid w:val="009766C9"/>
    <w:rsid w:val="00977EA9"/>
    <w:rsid w:val="00977FED"/>
    <w:rsid w:val="00981A6A"/>
    <w:rsid w:val="00983D41"/>
    <w:rsid w:val="00985581"/>
    <w:rsid w:val="00986C58"/>
    <w:rsid w:val="00987F14"/>
    <w:rsid w:val="00990016"/>
    <w:rsid w:val="009944CF"/>
    <w:rsid w:val="00996941"/>
    <w:rsid w:val="00996C85"/>
    <w:rsid w:val="009A08EA"/>
    <w:rsid w:val="009A0B48"/>
    <w:rsid w:val="009A3F01"/>
    <w:rsid w:val="009A404C"/>
    <w:rsid w:val="009A67BF"/>
    <w:rsid w:val="009A6A06"/>
    <w:rsid w:val="009B0E91"/>
    <w:rsid w:val="009B1403"/>
    <w:rsid w:val="009B5CA5"/>
    <w:rsid w:val="009B734C"/>
    <w:rsid w:val="009C3DFB"/>
    <w:rsid w:val="009C55A5"/>
    <w:rsid w:val="009C5CEB"/>
    <w:rsid w:val="009C60C2"/>
    <w:rsid w:val="009D3DBB"/>
    <w:rsid w:val="009D6256"/>
    <w:rsid w:val="009D667A"/>
    <w:rsid w:val="009E24C8"/>
    <w:rsid w:val="009E3326"/>
    <w:rsid w:val="009E3389"/>
    <w:rsid w:val="009E4CD7"/>
    <w:rsid w:val="009E6635"/>
    <w:rsid w:val="009E7033"/>
    <w:rsid w:val="009E75BB"/>
    <w:rsid w:val="009F307E"/>
    <w:rsid w:val="009F5AA4"/>
    <w:rsid w:val="009F5CFC"/>
    <w:rsid w:val="009F729A"/>
    <w:rsid w:val="009F7AFA"/>
    <w:rsid w:val="00A00062"/>
    <w:rsid w:val="00A00D98"/>
    <w:rsid w:val="00A021CF"/>
    <w:rsid w:val="00A03062"/>
    <w:rsid w:val="00A04DB5"/>
    <w:rsid w:val="00A04E22"/>
    <w:rsid w:val="00A05F7A"/>
    <w:rsid w:val="00A07354"/>
    <w:rsid w:val="00A07477"/>
    <w:rsid w:val="00A07A98"/>
    <w:rsid w:val="00A12B74"/>
    <w:rsid w:val="00A17BB0"/>
    <w:rsid w:val="00A25001"/>
    <w:rsid w:val="00A25F81"/>
    <w:rsid w:val="00A272FF"/>
    <w:rsid w:val="00A341AC"/>
    <w:rsid w:val="00A40722"/>
    <w:rsid w:val="00A41F0C"/>
    <w:rsid w:val="00A44A79"/>
    <w:rsid w:val="00A5232B"/>
    <w:rsid w:val="00A55457"/>
    <w:rsid w:val="00A567E1"/>
    <w:rsid w:val="00A65847"/>
    <w:rsid w:val="00A6596A"/>
    <w:rsid w:val="00A702B6"/>
    <w:rsid w:val="00A72194"/>
    <w:rsid w:val="00A72FE4"/>
    <w:rsid w:val="00A737C3"/>
    <w:rsid w:val="00A7610E"/>
    <w:rsid w:val="00A81EC9"/>
    <w:rsid w:val="00A8271F"/>
    <w:rsid w:val="00A831F1"/>
    <w:rsid w:val="00A83AB5"/>
    <w:rsid w:val="00A90E71"/>
    <w:rsid w:val="00A91F7D"/>
    <w:rsid w:val="00A9404D"/>
    <w:rsid w:val="00A96C9B"/>
    <w:rsid w:val="00AA2114"/>
    <w:rsid w:val="00AA3EC3"/>
    <w:rsid w:val="00AA7B32"/>
    <w:rsid w:val="00AB1DE8"/>
    <w:rsid w:val="00AB2D3A"/>
    <w:rsid w:val="00AB4887"/>
    <w:rsid w:val="00AB5476"/>
    <w:rsid w:val="00AB7303"/>
    <w:rsid w:val="00AC07C7"/>
    <w:rsid w:val="00AC0BE0"/>
    <w:rsid w:val="00AC0CE8"/>
    <w:rsid w:val="00AC20FF"/>
    <w:rsid w:val="00AC35F2"/>
    <w:rsid w:val="00AC5D46"/>
    <w:rsid w:val="00AD1242"/>
    <w:rsid w:val="00AD293F"/>
    <w:rsid w:val="00AD4DA6"/>
    <w:rsid w:val="00AD4ED2"/>
    <w:rsid w:val="00AE0B2D"/>
    <w:rsid w:val="00AE1933"/>
    <w:rsid w:val="00AE193A"/>
    <w:rsid w:val="00AE2041"/>
    <w:rsid w:val="00AE2405"/>
    <w:rsid w:val="00AE5305"/>
    <w:rsid w:val="00AE59EC"/>
    <w:rsid w:val="00AE6CE4"/>
    <w:rsid w:val="00AF0293"/>
    <w:rsid w:val="00AF04BE"/>
    <w:rsid w:val="00AF0861"/>
    <w:rsid w:val="00AF1EE7"/>
    <w:rsid w:val="00AF5B52"/>
    <w:rsid w:val="00B0053A"/>
    <w:rsid w:val="00B011E7"/>
    <w:rsid w:val="00B01D52"/>
    <w:rsid w:val="00B04E52"/>
    <w:rsid w:val="00B07DD7"/>
    <w:rsid w:val="00B1023E"/>
    <w:rsid w:val="00B10810"/>
    <w:rsid w:val="00B11D98"/>
    <w:rsid w:val="00B12B44"/>
    <w:rsid w:val="00B1350A"/>
    <w:rsid w:val="00B14B41"/>
    <w:rsid w:val="00B14F0B"/>
    <w:rsid w:val="00B1702F"/>
    <w:rsid w:val="00B17B0C"/>
    <w:rsid w:val="00B223DC"/>
    <w:rsid w:val="00B23025"/>
    <w:rsid w:val="00B23EE6"/>
    <w:rsid w:val="00B2425F"/>
    <w:rsid w:val="00B250C6"/>
    <w:rsid w:val="00B25DB2"/>
    <w:rsid w:val="00B30948"/>
    <w:rsid w:val="00B30E3F"/>
    <w:rsid w:val="00B31314"/>
    <w:rsid w:val="00B31CA6"/>
    <w:rsid w:val="00B32299"/>
    <w:rsid w:val="00B33465"/>
    <w:rsid w:val="00B43F64"/>
    <w:rsid w:val="00B44224"/>
    <w:rsid w:val="00B46533"/>
    <w:rsid w:val="00B46BF7"/>
    <w:rsid w:val="00B5034A"/>
    <w:rsid w:val="00B504C9"/>
    <w:rsid w:val="00B548A4"/>
    <w:rsid w:val="00B5497E"/>
    <w:rsid w:val="00B54C81"/>
    <w:rsid w:val="00B552A6"/>
    <w:rsid w:val="00B621A8"/>
    <w:rsid w:val="00B67C01"/>
    <w:rsid w:val="00B70317"/>
    <w:rsid w:val="00B705A4"/>
    <w:rsid w:val="00B70AD3"/>
    <w:rsid w:val="00B71B69"/>
    <w:rsid w:val="00B76F1D"/>
    <w:rsid w:val="00B82589"/>
    <w:rsid w:val="00B84DAF"/>
    <w:rsid w:val="00B852E0"/>
    <w:rsid w:val="00B8644C"/>
    <w:rsid w:val="00B8669D"/>
    <w:rsid w:val="00B87DA8"/>
    <w:rsid w:val="00B9286D"/>
    <w:rsid w:val="00B93994"/>
    <w:rsid w:val="00B94076"/>
    <w:rsid w:val="00B954B5"/>
    <w:rsid w:val="00B96A39"/>
    <w:rsid w:val="00B9716E"/>
    <w:rsid w:val="00BA0281"/>
    <w:rsid w:val="00BA10BE"/>
    <w:rsid w:val="00BA20E4"/>
    <w:rsid w:val="00BA3890"/>
    <w:rsid w:val="00BA544F"/>
    <w:rsid w:val="00BA7183"/>
    <w:rsid w:val="00BB2C34"/>
    <w:rsid w:val="00BB4182"/>
    <w:rsid w:val="00BB6F43"/>
    <w:rsid w:val="00BB750C"/>
    <w:rsid w:val="00BC016D"/>
    <w:rsid w:val="00BC4756"/>
    <w:rsid w:val="00BD3D15"/>
    <w:rsid w:val="00BD6698"/>
    <w:rsid w:val="00BE00A4"/>
    <w:rsid w:val="00BE3CFD"/>
    <w:rsid w:val="00BE405B"/>
    <w:rsid w:val="00BF0622"/>
    <w:rsid w:val="00BF071A"/>
    <w:rsid w:val="00BF10A3"/>
    <w:rsid w:val="00BF2ADB"/>
    <w:rsid w:val="00BF2D22"/>
    <w:rsid w:val="00BF41D9"/>
    <w:rsid w:val="00BF439B"/>
    <w:rsid w:val="00BF7D38"/>
    <w:rsid w:val="00C003AE"/>
    <w:rsid w:val="00C007CF"/>
    <w:rsid w:val="00C02473"/>
    <w:rsid w:val="00C05057"/>
    <w:rsid w:val="00C0579A"/>
    <w:rsid w:val="00C06FD5"/>
    <w:rsid w:val="00C10D4F"/>
    <w:rsid w:val="00C127CD"/>
    <w:rsid w:val="00C13CC4"/>
    <w:rsid w:val="00C156C8"/>
    <w:rsid w:val="00C1752A"/>
    <w:rsid w:val="00C23948"/>
    <w:rsid w:val="00C3052A"/>
    <w:rsid w:val="00C32938"/>
    <w:rsid w:val="00C331A3"/>
    <w:rsid w:val="00C41DD9"/>
    <w:rsid w:val="00C431AC"/>
    <w:rsid w:val="00C4399A"/>
    <w:rsid w:val="00C43D3B"/>
    <w:rsid w:val="00C43E89"/>
    <w:rsid w:val="00C46541"/>
    <w:rsid w:val="00C5277F"/>
    <w:rsid w:val="00C54511"/>
    <w:rsid w:val="00C54947"/>
    <w:rsid w:val="00C61D1F"/>
    <w:rsid w:val="00C62DD7"/>
    <w:rsid w:val="00C65077"/>
    <w:rsid w:val="00C667CF"/>
    <w:rsid w:val="00C7423A"/>
    <w:rsid w:val="00C776DC"/>
    <w:rsid w:val="00C77E8F"/>
    <w:rsid w:val="00C81C71"/>
    <w:rsid w:val="00C8222A"/>
    <w:rsid w:val="00C8746B"/>
    <w:rsid w:val="00C947C9"/>
    <w:rsid w:val="00C959FA"/>
    <w:rsid w:val="00C95CCF"/>
    <w:rsid w:val="00C95FA3"/>
    <w:rsid w:val="00CA11D7"/>
    <w:rsid w:val="00CA7ED2"/>
    <w:rsid w:val="00CB0EA1"/>
    <w:rsid w:val="00CB2C79"/>
    <w:rsid w:val="00CB35FE"/>
    <w:rsid w:val="00CB6EE7"/>
    <w:rsid w:val="00CC1FAF"/>
    <w:rsid w:val="00CC2438"/>
    <w:rsid w:val="00CC5212"/>
    <w:rsid w:val="00CC574D"/>
    <w:rsid w:val="00CD4D32"/>
    <w:rsid w:val="00CD5204"/>
    <w:rsid w:val="00CE094D"/>
    <w:rsid w:val="00CE2915"/>
    <w:rsid w:val="00CE52BC"/>
    <w:rsid w:val="00CF07AA"/>
    <w:rsid w:val="00CF1199"/>
    <w:rsid w:val="00CF45E7"/>
    <w:rsid w:val="00CF68AD"/>
    <w:rsid w:val="00D00382"/>
    <w:rsid w:val="00D020AB"/>
    <w:rsid w:val="00D04598"/>
    <w:rsid w:val="00D04E61"/>
    <w:rsid w:val="00D05EE0"/>
    <w:rsid w:val="00D10AD6"/>
    <w:rsid w:val="00D10D9B"/>
    <w:rsid w:val="00D11C36"/>
    <w:rsid w:val="00D20B62"/>
    <w:rsid w:val="00D20F1C"/>
    <w:rsid w:val="00D23C2D"/>
    <w:rsid w:val="00D266BB"/>
    <w:rsid w:val="00D3210B"/>
    <w:rsid w:val="00D351EB"/>
    <w:rsid w:val="00D36575"/>
    <w:rsid w:val="00D41860"/>
    <w:rsid w:val="00D42C58"/>
    <w:rsid w:val="00D45477"/>
    <w:rsid w:val="00D45D39"/>
    <w:rsid w:val="00D5413E"/>
    <w:rsid w:val="00D564A2"/>
    <w:rsid w:val="00D56ED0"/>
    <w:rsid w:val="00D57697"/>
    <w:rsid w:val="00D613DB"/>
    <w:rsid w:val="00D61813"/>
    <w:rsid w:val="00D63394"/>
    <w:rsid w:val="00D64A4D"/>
    <w:rsid w:val="00D65133"/>
    <w:rsid w:val="00D7028E"/>
    <w:rsid w:val="00D70CE9"/>
    <w:rsid w:val="00D73FEF"/>
    <w:rsid w:val="00D747AC"/>
    <w:rsid w:val="00D749BE"/>
    <w:rsid w:val="00D7626F"/>
    <w:rsid w:val="00D7750B"/>
    <w:rsid w:val="00D8063F"/>
    <w:rsid w:val="00D80D51"/>
    <w:rsid w:val="00D832E9"/>
    <w:rsid w:val="00D83A01"/>
    <w:rsid w:val="00D91758"/>
    <w:rsid w:val="00D9442F"/>
    <w:rsid w:val="00DA26A8"/>
    <w:rsid w:val="00DA3098"/>
    <w:rsid w:val="00DA440D"/>
    <w:rsid w:val="00DA454D"/>
    <w:rsid w:val="00DB115C"/>
    <w:rsid w:val="00DB1F4C"/>
    <w:rsid w:val="00DB26F2"/>
    <w:rsid w:val="00DB3163"/>
    <w:rsid w:val="00DB4BDC"/>
    <w:rsid w:val="00DB6C93"/>
    <w:rsid w:val="00DC0922"/>
    <w:rsid w:val="00DC0FE6"/>
    <w:rsid w:val="00DC30EC"/>
    <w:rsid w:val="00DC33BC"/>
    <w:rsid w:val="00DC365C"/>
    <w:rsid w:val="00DD36EC"/>
    <w:rsid w:val="00DD663F"/>
    <w:rsid w:val="00DE1003"/>
    <w:rsid w:val="00DE145A"/>
    <w:rsid w:val="00DE21C6"/>
    <w:rsid w:val="00DE2536"/>
    <w:rsid w:val="00DE26C1"/>
    <w:rsid w:val="00DE402D"/>
    <w:rsid w:val="00DE4A7A"/>
    <w:rsid w:val="00DF001E"/>
    <w:rsid w:val="00DF5042"/>
    <w:rsid w:val="00E00033"/>
    <w:rsid w:val="00E00D11"/>
    <w:rsid w:val="00E06CFA"/>
    <w:rsid w:val="00E07C68"/>
    <w:rsid w:val="00E10E2F"/>
    <w:rsid w:val="00E226E8"/>
    <w:rsid w:val="00E2334A"/>
    <w:rsid w:val="00E23ACA"/>
    <w:rsid w:val="00E26FF9"/>
    <w:rsid w:val="00E27DAA"/>
    <w:rsid w:val="00E3133B"/>
    <w:rsid w:val="00E31BBD"/>
    <w:rsid w:val="00E32AD0"/>
    <w:rsid w:val="00E40537"/>
    <w:rsid w:val="00E41677"/>
    <w:rsid w:val="00E41B28"/>
    <w:rsid w:val="00E41C75"/>
    <w:rsid w:val="00E43AE0"/>
    <w:rsid w:val="00E460F5"/>
    <w:rsid w:val="00E56934"/>
    <w:rsid w:val="00E570D2"/>
    <w:rsid w:val="00E60192"/>
    <w:rsid w:val="00E60C3F"/>
    <w:rsid w:val="00E62FAB"/>
    <w:rsid w:val="00E71DCE"/>
    <w:rsid w:val="00E72674"/>
    <w:rsid w:val="00E73054"/>
    <w:rsid w:val="00E73258"/>
    <w:rsid w:val="00E74A49"/>
    <w:rsid w:val="00E7523B"/>
    <w:rsid w:val="00E7719D"/>
    <w:rsid w:val="00E829D7"/>
    <w:rsid w:val="00E84E81"/>
    <w:rsid w:val="00E87F99"/>
    <w:rsid w:val="00E92FD5"/>
    <w:rsid w:val="00E95DEB"/>
    <w:rsid w:val="00E965C2"/>
    <w:rsid w:val="00E97821"/>
    <w:rsid w:val="00EA211D"/>
    <w:rsid w:val="00EA2D3D"/>
    <w:rsid w:val="00EA2E1C"/>
    <w:rsid w:val="00EA2F5D"/>
    <w:rsid w:val="00EA3115"/>
    <w:rsid w:val="00EA5773"/>
    <w:rsid w:val="00EA5EAA"/>
    <w:rsid w:val="00EA7CEE"/>
    <w:rsid w:val="00EB0AFB"/>
    <w:rsid w:val="00EB69CB"/>
    <w:rsid w:val="00EC1D83"/>
    <w:rsid w:val="00EC7D39"/>
    <w:rsid w:val="00EC7E42"/>
    <w:rsid w:val="00ED1762"/>
    <w:rsid w:val="00ED25B8"/>
    <w:rsid w:val="00ED74FC"/>
    <w:rsid w:val="00ED79F2"/>
    <w:rsid w:val="00ED7DA4"/>
    <w:rsid w:val="00EE0388"/>
    <w:rsid w:val="00EE3827"/>
    <w:rsid w:val="00EE5AC0"/>
    <w:rsid w:val="00EE60F6"/>
    <w:rsid w:val="00EE637C"/>
    <w:rsid w:val="00EE683F"/>
    <w:rsid w:val="00EE7BAD"/>
    <w:rsid w:val="00EF33F6"/>
    <w:rsid w:val="00EF3649"/>
    <w:rsid w:val="00EF4216"/>
    <w:rsid w:val="00EF6D32"/>
    <w:rsid w:val="00EF79DD"/>
    <w:rsid w:val="00F00478"/>
    <w:rsid w:val="00F0158E"/>
    <w:rsid w:val="00F0243E"/>
    <w:rsid w:val="00F03737"/>
    <w:rsid w:val="00F06104"/>
    <w:rsid w:val="00F10293"/>
    <w:rsid w:val="00F10C97"/>
    <w:rsid w:val="00F12051"/>
    <w:rsid w:val="00F124C8"/>
    <w:rsid w:val="00F13CE7"/>
    <w:rsid w:val="00F145FC"/>
    <w:rsid w:val="00F17206"/>
    <w:rsid w:val="00F229E3"/>
    <w:rsid w:val="00F3003C"/>
    <w:rsid w:val="00F311C6"/>
    <w:rsid w:val="00F3130E"/>
    <w:rsid w:val="00F35E16"/>
    <w:rsid w:val="00F3641F"/>
    <w:rsid w:val="00F4046F"/>
    <w:rsid w:val="00F43A7B"/>
    <w:rsid w:val="00F43FAD"/>
    <w:rsid w:val="00F46D07"/>
    <w:rsid w:val="00F47812"/>
    <w:rsid w:val="00F508C9"/>
    <w:rsid w:val="00F50C24"/>
    <w:rsid w:val="00F51149"/>
    <w:rsid w:val="00F51BBD"/>
    <w:rsid w:val="00F55E8D"/>
    <w:rsid w:val="00F5614E"/>
    <w:rsid w:val="00F60014"/>
    <w:rsid w:val="00F63760"/>
    <w:rsid w:val="00F67123"/>
    <w:rsid w:val="00F67F9C"/>
    <w:rsid w:val="00F75647"/>
    <w:rsid w:val="00F80AF6"/>
    <w:rsid w:val="00F87F45"/>
    <w:rsid w:val="00F91755"/>
    <w:rsid w:val="00F92834"/>
    <w:rsid w:val="00F95A5E"/>
    <w:rsid w:val="00F97AD0"/>
    <w:rsid w:val="00FA3DA6"/>
    <w:rsid w:val="00FA4E8B"/>
    <w:rsid w:val="00FA6E27"/>
    <w:rsid w:val="00FA7846"/>
    <w:rsid w:val="00FB02E1"/>
    <w:rsid w:val="00FB3405"/>
    <w:rsid w:val="00FB5885"/>
    <w:rsid w:val="00FB6DEB"/>
    <w:rsid w:val="00FC14A9"/>
    <w:rsid w:val="00FC2F78"/>
    <w:rsid w:val="00FC34E4"/>
    <w:rsid w:val="00FC36CB"/>
    <w:rsid w:val="00FC5AE2"/>
    <w:rsid w:val="00FD0469"/>
    <w:rsid w:val="00FD3F01"/>
    <w:rsid w:val="00FD5C6E"/>
    <w:rsid w:val="00FE0F10"/>
    <w:rsid w:val="00FE1E89"/>
    <w:rsid w:val="00FE7597"/>
    <w:rsid w:val="00FF1FAD"/>
    <w:rsid w:val="00FF2E6F"/>
    <w:rsid w:val="00FF6607"/>
    <w:rsid w:val="00FF743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52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148B"/>
    <w:rPr>
      <w:color w:val="0563C1" w:themeColor="hyperlink"/>
      <w:u w:val="single"/>
    </w:rPr>
  </w:style>
  <w:style w:type="character" w:customStyle="1" w:styleId="UnresolvedMention">
    <w:name w:val="Unresolved Mention"/>
    <w:basedOn w:val="DefaultParagraphFont"/>
    <w:uiPriority w:val="99"/>
    <w:semiHidden/>
    <w:unhideWhenUsed/>
    <w:rsid w:val="0041148B"/>
    <w:rPr>
      <w:color w:val="605E5C"/>
      <w:shd w:val="clear" w:color="auto" w:fill="E1DFDD"/>
    </w:rPr>
  </w:style>
  <w:style w:type="paragraph" w:styleId="Revision">
    <w:name w:val="Revision"/>
    <w:hidden/>
    <w:uiPriority w:val="99"/>
    <w:semiHidden/>
    <w:rsid w:val="009248FB"/>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0C46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1118">
      <w:bodyDiv w:val="1"/>
      <w:marLeft w:val="0"/>
      <w:marRight w:val="0"/>
      <w:marTop w:val="0"/>
      <w:marBottom w:val="0"/>
      <w:divBdr>
        <w:top w:val="none" w:sz="0" w:space="0" w:color="auto"/>
        <w:left w:val="none" w:sz="0" w:space="0" w:color="auto"/>
        <w:bottom w:val="none" w:sz="0" w:space="0" w:color="auto"/>
        <w:right w:val="none" w:sz="0" w:space="0" w:color="auto"/>
      </w:divBdr>
      <w:divsChild>
        <w:div w:id="590622203">
          <w:marLeft w:val="0"/>
          <w:marRight w:val="0"/>
          <w:marTop w:val="0"/>
          <w:marBottom w:val="0"/>
          <w:divBdr>
            <w:top w:val="none" w:sz="0" w:space="0" w:color="auto"/>
            <w:left w:val="none" w:sz="0" w:space="0" w:color="auto"/>
            <w:bottom w:val="none" w:sz="0" w:space="0" w:color="auto"/>
            <w:right w:val="none" w:sz="0" w:space="0" w:color="auto"/>
          </w:divBdr>
        </w:div>
      </w:divsChild>
    </w:div>
    <w:div w:id="360055090">
      <w:bodyDiv w:val="1"/>
      <w:marLeft w:val="0"/>
      <w:marRight w:val="0"/>
      <w:marTop w:val="0"/>
      <w:marBottom w:val="0"/>
      <w:divBdr>
        <w:top w:val="none" w:sz="0" w:space="0" w:color="auto"/>
        <w:left w:val="none" w:sz="0" w:space="0" w:color="auto"/>
        <w:bottom w:val="none" w:sz="0" w:space="0" w:color="auto"/>
        <w:right w:val="none" w:sz="0" w:space="0" w:color="auto"/>
      </w:divBdr>
    </w:div>
    <w:div w:id="1024671070">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882132494">
      <w:bodyDiv w:val="1"/>
      <w:marLeft w:val="0"/>
      <w:marRight w:val="0"/>
      <w:marTop w:val="0"/>
      <w:marBottom w:val="0"/>
      <w:divBdr>
        <w:top w:val="none" w:sz="0" w:space="0" w:color="auto"/>
        <w:left w:val="none" w:sz="0" w:space="0" w:color="auto"/>
        <w:bottom w:val="none" w:sz="0" w:space="0" w:color="auto"/>
        <w:right w:val="none" w:sz="0" w:space="0" w:color="auto"/>
      </w:divBdr>
    </w:div>
    <w:div w:id="19745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619.A42930909.2.S" TargetMode="External"/><Relationship Id="rId3" Type="http://schemas.openxmlformats.org/officeDocument/2006/relationships/settings" Target="settings.xml"/><Relationship Id="rId7" Type="http://schemas.openxmlformats.org/officeDocument/2006/relationships/hyperlink" Target="https://manas.tiesas.lv/eTiesasMvc/eclinolemumi/ECLI:LV:AT:2022:0503.A420197619.10.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0ED0A-EAD6-4FF0-8385-B5FF8014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4387</Words>
  <Characters>25012</Characters>
  <Application>Microsoft Office Word</Application>
  <DocSecurity>0</DocSecurity>
  <Lines>208</Lines>
  <Paragraphs>58</Paragraphs>
  <ScaleCrop>false</ScaleCrop>
  <Company/>
  <LinksUpToDate>false</LinksUpToDate>
  <CharactersWithSpaces>29341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2022-09-23T12:28:00Z</dcterms:created>
  <dcterms:modified xsi:type="dcterms:W3CDTF">2022-09-23T12:29:00Z</dcterms:modified>
</cp:coreProperties>
</file>