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C6D7E" w14:textId="154B94C9" w:rsidR="003F1B18" w:rsidRDefault="003F1B18" w:rsidP="003F1B18">
      <w:pPr>
        <w:autoSpaceDE w:val="0"/>
        <w:autoSpaceDN w:val="0"/>
        <w:contextualSpacing/>
        <w:jc w:val="both"/>
        <w:rPr>
          <w:rFonts w:ascii="TimesNewRomanPSMT" w:eastAsiaTheme="minorHAnsi" w:hAnsi="TimesNewRomanPSMT"/>
          <w:b/>
          <w:bCs/>
          <w:sz w:val="24"/>
          <w:szCs w:val="24"/>
          <w:lang w:val="lv-LV"/>
        </w:rPr>
      </w:pPr>
      <w:bookmarkStart w:id="0" w:name="OLE_LINK1"/>
      <w:bookmarkStart w:id="1" w:name="OLE_LINK2"/>
      <w:r>
        <w:rPr>
          <w:rFonts w:ascii="TimesNewRomanPSMT" w:hAnsi="TimesNewRomanPSMT"/>
          <w:b/>
          <w:bCs/>
          <w:sz w:val="24"/>
          <w:szCs w:val="24"/>
          <w:lang w:val="lv-LV"/>
        </w:rPr>
        <w:t>Publisko iepirkumu procedūras pārtraukšanas pieļaujamība, ja pastāv objektīvs pamatojums</w:t>
      </w:r>
    </w:p>
    <w:p w14:paraId="0F9794B3" w14:textId="77777777" w:rsidR="003F1B18" w:rsidRPr="003F1B18" w:rsidRDefault="003F1B18" w:rsidP="003F1B18">
      <w:pPr>
        <w:autoSpaceDE w:val="0"/>
        <w:autoSpaceDN w:val="0"/>
        <w:contextualSpacing/>
        <w:jc w:val="both"/>
        <w:rPr>
          <w:rFonts w:ascii="TimesNewRomanPSMT" w:eastAsiaTheme="minorHAnsi" w:hAnsi="TimesNewRomanPSMT"/>
          <w:b/>
          <w:bCs/>
          <w:sz w:val="24"/>
          <w:szCs w:val="24"/>
          <w:lang w:val="lv-LV"/>
        </w:rPr>
      </w:pPr>
    </w:p>
    <w:p w14:paraId="15914F38" w14:textId="77777777" w:rsidR="003F1B18" w:rsidRDefault="003F1B18" w:rsidP="003F1B18">
      <w:pPr>
        <w:autoSpaceDE w:val="0"/>
        <w:autoSpaceDN w:val="0"/>
        <w:contextualSpacing/>
        <w:jc w:val="both"/>
        <w:rPr>
          <w:rFonts w:ascii="TimesNewRomanPSMT" w:hAnsi="TimesNewRomanPSMT"/>
          <w:b/>
          <w:bCs/>
          <w:sz w:val="24"/>
          <w:szCs w:val="24"/>
          <w:lang w:val="lv-LV"/>
        </w:rPr>
      </w:pPr>
      <w:r>
        <w:rPr>
          <w:rFonts w:ascii="TimesNewRomanPSMT" w:hAnsi="TimesNewRomanPSMT"/>
          <w:b/>
          <w:bCs/>
          <w:sz w:val="24"/>
          <w:szCs w:val="24"/>
          <w:lang w:val="lv-LV"/>
        </w:rPr>
        <w:t xml:space="preserve">Pretendenta tiesības ietvert atlaidi publiskā iepirkuma piedāvājumā </w:t>
      </w:r>
    </w:p>
    <w:p w14:paraId="0298E606" w14:textId="77777777" w:rsidR="003F1B18" w:rsidRDefault="003F1B18" w:rsidP="003F1B18">
      <w:pPr>
        <w:autoSpaceDE w:val="0"/>
        <w:autoSpaceDN w:val="0"/>
        <w:contextualSpacing/>
        <w:jc w:val="both"/>
        <w:rPr>
          <w:rFonts w:ascii="TimesNewRomanPSMT" w:hAnsi="TimesNewRomanPSMT"/>
          <w:sz w:val="24"/>
          <w:szCs w:val="24"/>
          <w:lang w:val="lv-LV"/>
        </w:rPr>
      </w:pPr>
      <w:r>
        <w:rPr>
          <w:rFonts w:ascii="TimesNewRomanPSMT" w:hAnsi="TimesNewRomanPSMT"/>
          <w:sz w:val="24"/>
          <w:szCs w:val="24"/>
          <w:lang w:val="lv-LV"/>
        </w:rPr>
        <w:t>Iepirkuma uzvarētāja noteikšanā vērā ņemamie kritēriji var būt tikai cena vai arī konkrētu apstākļu kopums, kas pamato, ka piedāvājums pasūtītājam būs saimnieciski visizdevīgākais. Pasūtītājam nav tiesību lēmuma pieņemšanā ņemt vērā vēl kādus citus kritērijus.</w:t>
      </w:r>
    </w:p>
    <w:p w14:paraId="3EBD1D04" w14:textId="77777777" w:rsidR="003F1B18" w:rsidRDefault="003F1B18" w:rsidP="003F1B18">
      <w:pPr>
        <w:autoSpaceDE w:val="0"/>
        <w:autoSpaceDN w:val="0"/>
        <w:contextualSpacing/>
        <w:jc w:val="both"/>
        <w:rPr>
          <w:rFonts w:ascii="TimesNewRomanPSMT" w:hAnsi="TimesNewRomanPSMT"/>
          <w:sz w:val="24"/>
          <w:szCs w:val="24"/>
          <w:lang w:val="lv-LV"/>
        </w:rPr>
      </w:pPr>
      <w:r>
        <w:rPr>
          <w:rFonts w:ascii="TimesNewRomanPSMT" w:hAnsi="TimesNewRomanPSMT"/>
          <w:sz w:val="24"/>
          <w:szCs w:val="24"/>
          <w:lang w:val="lv-LV"/>
        </w:rPr>
        <w:t xml:space="preserve">Apstāklis, ka pretendents piedāvājumā piedāvājis atlaidi, pats par sevi negarantē, ka tātad pretendents noteikti piedāvājis viszemāko cenu. Tāpat atlaides piemērošana pati par sevi nevar piedāvājumu padarīt par saimnieciski izdevīgāku salīdzinājumā ar citu pretendentu piedāvājumiem. </w:t>
      </w:r>
    </w:p>
    <w:p w14:paraId="780EFC11" w14:textId="77777777" w:rsidR="003F1B18" w:rsidRDefault="003F1B18" w:rsidP="003F1B18">
      <w:pPr>
        <w:autoSpaceDE w:val="0"/>
        <w:autoSpaceDN w:val="0"/>
        <w:contextualSpacing/>
        <w:jc w:val="both"/>
        <w:rPr>
          <w:rFonts w:ascii="TimesNewRomanPSMT" w:hAnsi="TimesNewRomanPSMT"/>
          <w:sz w:val="24"/>
          <w:szCs w:val="24"/>
          <w:lang w:val="lv-LV"/>
        </w:rPr>
      </w:pPr>
      <w:r>
        <w:rPr>
          <w:rFonts w:ascii="TimesNewRomanPSMT" w:hAnsi="TimesNewRomanPSMT"/>
          <w:sz w:val="24"/>
          <w:szCs w:val="24"/>
          <w:lang w:val="lv-LV"/>
        </w:rPr>
        <w:t xml:space="preserve">Apstāklis, ka pretendents publiskā iepirkuma piedāvājumā ietver atlaidi, nevar ietekmēt pasūtītājas amatpersonu personiskās vai mantiskās intereses, </w:t>
      </w:r>
      <w:bookmarkStart w:id="2" w:name="_GoBack"/>
      <w:bookmarkEnd w:id="2"/>
      <w:r>
        <w:rPr>
          <w:rFonts w:ascii="TimesNewRomanPSMT" w:hAnsi="TimesNewRomanPSMT"/>
          <w:sz w:val="24"/>
          <w:szCs w:val="24"/>
          <w:lang w:val="lv-LV"/>
        </w:rPr>
        <w:t xml:space="preserve">jo piedāvājums tiek izteikts pasūtītājam, nevis pasūtītāja konkrētām amatpersonām. </w:t>
      </w:r>
    </w:p>
    <w:p w14:paraId="71E9124E" w14:textId="77777777" w:rsidR="003F1B18" w:rsidRDefault="003F1B18" w:rsidP="003F1B18">
      <w:pPr>
        <w:autoSpaceDE w:val="0"/>
        <w:autoSpaceDN w:val="0"/>
        <w:contextualSpacing/>
        <w:jc w:val="both"/>
        <w:rPr>
          <w:rFonts w:ascii="TimesNewRomanPSMT" w:hAnsi="TimesNewRomanPSMT"/>
          <w:sz w:val="24"/>
          <w:szCs w:val="24"/>
          <w:lang w:val="lv-LV"/>
        </w:rPr>
      </w:pPr>
      <w:r>
        <w:rPr>
          <w:rFonts w:ascii="TimesNewRomanPSMT" w:hAnsi="TimesNewRomanPSMT"/>
          <w:sz w:val="24"/>
          <w:szCs w:val="24"/>
          <w:lang w:val="lv-LV"/>
        </w:rPr>
        <w:t xml:space="preserve">Atlaide, ko pretendents piedāvā publiskā iepirkuma ietvaros, pamatojot piedāvāto cenu, Interešu konflikta novēršanas likuma izpratnē nevar tikt uzskatīta par ziedojumu, kas ietekmē lēmuma pieņemšanu attiecībā uz atlaides piedāvātāju. </w:t>
      </w:r>
    </w:p>
    <w:p w14:paraId="5EF346D3" w14:textId="77777777" w:rsidR="003F1B18" w:rsidRDefault="003F1B18" w:rsidP="003F1B18">
      <w:pPr>
        <w:autoSpaceDE w:val="0"/>
        <w:autoSpaceDN w:val="0"/>
        <w:contextualSpacing/>
        <w:jc w:val="both"/>
        <w:rPr>
          <w:rFonts w:ascii="TimesNewRomanPSMT" w:hAnsi="TimesNewRomanPSMT"/>
          <w:color w:val="000000"/>
          <w:sz w:val="24"/>
          <w:szCs w:val="24"/>
          <w:lang w:val="lv-LV"/>
        </w:rPr>
      </w:pPr>
    </w:p>
    <w:p w14:paraId="190B224D" w14:textId="77777777" w:rsidR="003F1B18" w:rsidRDefault="003F1B18" w:rsidP="003F1B18">
      <w:pPr>
        <w:autoSpaceDE w:val="0"/>
        <w:autoSpaceDN w:val="0"/>
        <w:contextualSpacing/>
        <w:jc w:val="both"/>
        <w:rPr>
          <w:rFonts w:ascii="TimesNewRomanPSMT" w:hAnsi="TimesNewRomanPSMT"/>
          <w:color w:val="000000"/>
          <w:sz w:val="24"/>
          <w:szCs w:val="24"/>
          <w:lang w:val="lv-LV"/>
        </w:rPr>
      </w:pPr>
      <w:r>
        <w:rPr>
          <w:rFonts w:ascii="TimesNewRomanPSMT" w:hAnsi="TimesNewRomanPSMT"/>
          <w:b/>
          <w:bCs/>
          <w:color w:val="000000"/>
          <w:sz w:val="24"/>
          <w:szCs w:val="24"/>
          <w:lang w:val="lv-LV"/>
        </w:rPr>
        <w:t>Zaudējumu atlīdzība publisko iepirkumu procedūrā iestādes pieļauta pārkāpuma dēļ</w:t>
      </w:r>
    </w:p>
    <w:p w14:paraId="5B2F9653" w14:textId="77777777" w:rsidR="003F1B18" w:rsidRDefault="003F1B18" w:rsidP="003F1B18">
      <w:pPr>
        <w:autoSpaceDE w:val="0"/>
        <w:autoSpaceDN w:val="0"/>
        <w:contextualSpacing/>
        <w:jc w:val="both"/>
        <w:rPr>
          <w:rFonts w:ascii="TimesNewRomanPSMT" w:hAnsi="TimesNewRomanPSMT"/>
          <w:color w:val="000000"/>
          <w:sz w:val="24"/>
          <w:szCs w:val="24"/>
          <w:lang w:val="lv-LV"/>
        </w:rPr>
      </w:pPr>
      <w:r>
        <w:rPr>
          <w:rFonts w:ascii="TimesNewRomanPSMT" w:hAnsi="TimesNewRomanPSMT"/>
          <w:color w:val="000000"/>
          <w:sz w:val="24"/>
          <w:szCs w:val="24"/>
          <w:lang w:val="lv-LV"/>
        </w:rPr>
        <w:t>Publisko iepirkumu likuma normu, kas paredz zaudējumu atlīdzināšanas iespēju, uzdevums ir ne tikai izpildīt prasības, kas izriet no Eiropas Savienības tiesiskā regulējuma, bet arī nodrošināt privātpersonām Satversmē garantētās tiesības uz atbilstīgu atlīdzinājumu.</w:t>
      </w:r>
    </w:p>
    <w:p w14:paraId="4BA6CA64" w14:textId="77777777" w:rsidR="003F1B18" w:rsidRDefault="003F1B18" w:rsidP="003F1B18">
      <w:pPr>
        <w:autoSpaceDE w:val="0"/>
        <w:autoSpaceDN w:val="0"/>
        <w:contextualSpacing/>
        <w:jc w:val="both"/>
        <w:rPr>
          <w:rFonts w:ascii="TimesNewRomanPSMT" w:hAnsi="TimesNewRomanPSMT"/>
          <w:color w:val="000000"/>
          <w:sz w:val="24"/>
          <w:szCs w:val="24"/>
          <w:lang w:val="lv-LV"/>
        </w:rPr>
      </w:pPr>
      <w:r>
        <w:rPr>
          <w:rFonts w:ascii="TimesNewRomanPSMT" w:hAnsi="TimesNewRomanPSMT"/>
          <w:color w:val="000000"/>
          <w:sz w:val="24"/>
          <w:szCs w:val="24"/>
          <w:lang w:val="lv-LV"/>
        </w:rPr>
        <w:t>Tiesību normās nav paredzēts, ka zaudējumu atlīdzināšanas priekšnoteikumi publisko iepirkumu gadījumos, salīdzinot ar citiem administratīvā procesa ietvaros nodarītu zaudējumu gadījumiem, būtu atšķirīgi. Tādējādi secināms, ka atlīdzinājums publisko iepirkumu gadījumā piešķirams, balstoties uz Valsts pārvaldes iestāžu nodarīto zaudējumu atlīdzināšanas likumu. Šis likums kā priekšnoteikumus zaudējumu atlīdzināšanai noteic iestādes rīcības prettiesiskumu un cēloņsakarību starp attiecīgo iestādes rīcību un personai nodarītajiem zaudējumiem (kaitējumu). Iestādes pieļautā pārkāpuma būtiskums nav priekšnoteikums tiesībām prasīt atlīdzinājumu.</w:t>
      </w:r>
    </w:p>
    <w:p w14:paraId="44919A0D" w14:textId="77777777" w:rsidR="003F1B18" w:rsidRPr="003F1B18" w:rsidRDefault="003F1B18" w:rsidP="003F1B18">
      <w:pPr>
        <w:autoSpaceDE w:val="0"/>
        <w:autoSpaceDN w:val="0"/>
        <w:spacing w:after="0"/>
        <w:jc w:val="both"/>
        <w:rPr>
          <w:rFonts w:ascii="TimesNewRomanPSMT" w:hAnsi="TimesNewRomanPSMT"/>
          <w:color w:val="000000"/>
          <w:sz w:val="24"/>
          <w:szCs w:val="24"/>
          <w:lang w:val="lv-LV"/>
        </w:rPr>
      </w:pPr>
    </w:p>
    <w:p w14:paraId="20CFB2E0" w14:textId="77777777" w:rsidR="003F1B18" w:rsidRDefault="003F1B18" w:rsidP="003F1B18">
      <w:pPr>
        <w:autoSpaceDE w:val="0"/>
        <w:autoSpaceDN w:val="0"/>
        <w:contextualSpacing/>
        <w:jc w:val="both"/>
        <w:rPr>
          <w:rFonts w:ascii="TimesNewRomanPSMT" w:hAnsi="TimesNewRomanPSMT"/>
          <w:color w:val="000000"/>
          <w:sz w:val="24"/>
          <w:szCs w:val="24"/>
          <w:lang w:val="lv-LV"/>
        </w:rPr>
      </w:pPr>
      <w:r>
        <w:rPr>
          <w:rFonts w:ascii="TimesNewRomanPSMT" w:hAnsi="TimesNewRomanPSMT"/>
          <w:b/>
          <w:bCs/>
          <w:color w:val="000000"/>
          <w:sz w:val="24"/>
          <w:szCs w:val="24"/>
          <w:lang w:val="lv-LV"/>
        </w:rPr>
        <w:t>Zaudējumi neiegūtās peļņas veidā publisko iepirkumu procedūrā</w:t>
      </w:r>
    </w:p>
    <w:p w14:paraId="5B0E0028" w14:textId="77777777" w:rsidR="003F1B18" w:rsidRDefault="003F1B18" w:rsidP="003F1B18">
      <w:pPr>
        <w:autoSpaceDE w:val="0"/>
        <w:autoSpaceDN w:val="0"/>
        <w:contextualSpacing/>
        <w:jc w:val="both"/>
        <w:rPr>
          <w:rFonts w:ascii="TimesNewRomanPSMT" w:hAnsi="TimesNewRomanPSMT"/>
          <w:color w:val="000000"/>
          <w:sz w:val="24"/>
          <w:szCs w:val="24"/>
          <w:lang w:val="lv-LV"/>
        </w:rPr>
      </w:pPr>
      <w:r>
        <w:rPr>
          <w:rFonts w:ascii="TimesNewRomanPSMT" w:hAnsi="TimesNewRomanPSMT"/>
          <w:color w:val="000000"/>
          <w:sz w:val="24"/>
          <w:szCs w:val="24"/>
          <w:lang w:val="lv-LV"/>
        </w:rPr>
        <w:t xml:space="preserve">Aprēķinot mantisko zaudējumu, ņem vērā arī neiegūto peļņu, ja cietušais spēj pierādīt, ka notikumu parastās attīstības gaitā peļņa tiktu gūta. </w:t>
      </w:r>
      <w:r>
        <w:rPr>
          <w:rFonts w:ascii="TimesNewRomanPSMT" w:hAnsi="TimesNewRomanPSMT"/>
          <w:sz w:val="24"/>
          <w:szCs w:val="24"/>
          <w:lang w:val="lv-LV"/>
        </w:rPr>
        <w:t xml:space="preserve">Neiegūtās peļņas aprēķināšana pamatā veicama, noskaidrojot, kādus ieņēmumus persona būtu guvusi un kādi būtu bijuši personas izdevumi, ja tam būtu bijusi dota iespēja pildīt iepirkuma līgumu, un kāda attiecīgi ir neiegūtā peļņa, un ir pietiekami, ja tiek pierādīta minēto elementu liela varbūtība. </w:t>
      </w:r>
      <w:r>
        <w:rPr>
          <w:rFonts w:ascii="TimesNewRomanPSMT" w:hAnsi="TimesNewRomanPSMT"/>
          <w:color w:val="000000"/>
          <w:sz w:val="24"/>
          <w:szCs w:val="24"/>
          <w:lang w:val="lv-LV"/>
        </w:rPr>
        <w:t>Zaudējumu atlīdzināšanas – neiegūtās peļņas - jēga ir, lai pēc zaudējuma atlīdzināšanas cietušā stāvoklis būtu tāds, it kā zaudējums nebūtu nodarīts, taču ne vairāk.</w:t>
      </w:r>
    </w:p>
    <w:p w14:paraId="101D8363" w14:textId="7EF5DAFB" w:rsidR="000802E4" w:rsidRPr="007B4062" w:rsidRDefault="000802E4" w:rsidP="003F1B18">
      <w:pPr>
        <w:spacing w:after="0"/>
        <w:rPr>
          <w:rFonts w:ascii="Times New Roman" w:hAnsi="Times New Roman" w:cs="Times New Roman"/>
          <w:sz w:val="24"/>
          <w:szCs w:val="24"/>
          <w:lang w:val="lv-LV"/>
        </w:rPr>
      </w:pPr>
    </w:p>
    <w:p w14:paraId="53D2DCA6" w14:textId="359C16C0" w:rsidR="003F1B18" w:rsidRPr="003F1B18" w:rsidRDefault="003F1B18" w:rsidP="003F1B18">
      <w:pPr>
        <w:spacing w:after="0"/>
        <w:jc w:val="center"/>
        <w:rPr>
          <w:rFonts w:ascii="Times New Roman" w:hAnsi="Times New Roman" w:cs="Times New Roman"/>
          <w:b/>
          <w:sz w:val="24"/>
          <w:szCs w:val="24"/>
          <w:lang w:val="lv-LV"/>
        </w:rPr>
      </w:pPr>
      <w:r w:rsidRPr="003F1B18">
        <w:rPr>
          <w:rFonts w:ascii="Times New Roman" w:hAnsi="Times New Roman" w:cs="Times New Roman"/>
          <w:b/>
          <w:sz w:val="24"/>
          <w:szCs w:val="24"/>
          <w:lang w:val="lv-LV"/>
        </w:rPr>
        <w:t>Latvijas Republikas Senāta</w:t>
      </w:r>
    </w:p>
    <w:p w14:paraId="7233504A" w14:textId="149EFB6C" w:rsidR="003F1B18" w:rsidRPr="003F1B18" w:rsidRDefault="003F1B18" w:rsidP="003F1B18">
      <w:pPr>
        <w:spacing w:after="0"/>
        <w:jc w:val="center"/>
        <w:rPr>
          <w:rFonts w:ascii="Times New Roman" w:hAnsi="Times New Roman" w:cs="Times New Roman"/>
          <w:b/>
          <w:sz w:val="24"/>
          <w:szCs w:val="24"/>
          <w:lang w:val="lv-LV"/>
        </w:rPr>
      </w:pPr>
      <w:r w:rsidRPr="003F1B18">
        <w:rPr>
          <w:rFonts w:ascii="Times New Roman" w:hAnsi="Times New Roman" w:cs="Times New Roman"/>
          <w:b/>
          <w:sz w:val="24"/>
          <w:szCs w:val="24"/>
          <w:lang w:val="lv-LV"/>
        </w:rPr>
        <w:t>Administratīvo lietu departamenta</w:t>
      </w:r>
    </w:p>
    <w:p w14:paraId="3F2F4CB8" w14:textId="32202A23" w:rsidR="003F1B18" w:rsidRPr="003F1B18" w:rsidRDefault="003F1B18" w:rsidP="003F1B18">
      <w:pPr>
        <w:spacing w:after="0"/>
        <w:jc w:val="center"/>
        <w:rPr>
          <w:rFonts w:ascii="Times New Roman" w:hAnsi="Times New Roman" w:cs="Times New Roman"/>
          <w:b/>
          <w:sz w:val="24"/>
          <w:szCs w:val="24"/>
          <w:lang w:val="lv-LV"/>
        </w:rPr>
      </w:pPr>
      <w:r w:rsidRPr="003F1B18">
        <w:rPr>
          <w:rFonts w:ascii="Times New Roman" w:hAnsi="Times New Roman" w:cs="Times New Roman"/>
          <w:b/>
          <w:sz w:val="24"/>
          <w:szCs w:val="24"/>
          <w:lang w:val="lv-LV"/>
        </w:rPr>
        <w:t xml:space="preserve">2022.gada 10.maija </w:t>
      </w:r>
    </w:p>
    <w:p w14:paraId="381DE34F" w14:textId="77777777" w:rsidR="000802E4" w:rsidRPr="003F1B18" w:rsidRDefault="000802E4" w:rsidP="003F1B18">
      <w:pPr>
        <w:spacing w:after="0"/>
        <w:jc w:val="center"/>
        <w:rPr>
          <w:rFonts w:ascii="Times New Roman" w:hAnsi="Times New Roman" w:cs="Times New Roman"/>
          <w:b/>
          <w:sz w:val="24"/>
          <w:szCs w:val="24"/>
          <w:lang w:val="lv-LV"/>
        </w:rPr>
      </w:pPr>
      <w:r w:rsidRPr="003F1B18">
        <w:rPr>
          <w:rFonts w:ascii="Times New Roman" w:hAnsi="Times New Roman" w:cs="Times New Roman"/>
          <w:b/>
          <w:sz w:val="24"/>
          <w:szCs w:val="24"/>
          <w:lang w:val="lv-LV"/>
        </w:rPr>
        <w:t>SPRIEDUMS</w:t>
      </w:r>
    </w:p>
    <w:p w14:paraId="1B10E1C1" w14:textId="06354095" w:rsidR="000802E4" w:rsidRPr="003F1B18" w:rsidRDefault="003F1B18" w:rsidP="003F1B18">
      <w:pPr>
        <w:spacing w:after="0"/>
        <w:jc w:val="center"/>
        <w:rPr>
          <w:rFonts w:ascii="Times New Roman" w:hAnsi="Times New Roman" w:cs="Times New Roman"/>
          <w:b/>
          <w:sz w:val="24"/>
          <w:szCs w:val="24"/>
          <w:lang w:val="lv-LV"/>
        </w:rPr>
      </w:pPr>
      <w:r w:rsidRPr="003F1B18">
        <w:rPr>
          <w:rFonts w:ascii="Times New Roman" w:hAnsi="Times New Roman" w:cs="Times New Roman"/>
          <w:b/>
          <w:sz w:val="24"/>
          <w:szCs w:val="24"/>
          <w:lang w:val="lv-LV"/>
        </w:rPr>
        <w:t>Lieta Nr. A420340016, SKA</w:t>
      </w:r>
      <w:r w:rsidRPr="003F1B18">
        <w:rPr>
          <w:rFonts w:ascii="Times New Roman" w:hAnsi="Times New Roman" w:cs="Times New Roman"/>
          <w:b/>
          <w:sz w:val="24"/>
          <w:szCs w:val="24"/>
          <w:lang w:val="lv-LV"/>
        </w:rPr>
        <w:noBreakHyphen/>
        <w:t>471/2022</w:t>
      </w:r>
    </w:p>
    <w:p w14:paraId="43FB35FF" w14:textId="62C4113D" w:rsidR="003F1B18" w:rsidRPr="003F1B18" w:rsidRDefault="003F1B18" w:rsidP="003F1B18">
      <w:pPr>
        <w:spacing w:after="0"/>
        <w:jc w:val="center"/>
        <w:rPr>
          <w:rFonts w:ascii="Times New Roman" w:hAnsi="Times New Roman" w:cs="Times New Roman"/>
          <w:sz w:val="24"/>
          <w:szCs w:val="24"/>
          <w:lang w:val="lv-LV"/>
        </w:rPr>
      </w:pPr>
      <w:hyperlink r:id="rId8" w:history="1">
        <w:r w:rsidRPr="003F1B18">
          <w:rPr>
            <w:rStyle w:val="Hyperlink"/>
            <w:rFonts w:ascii="Times New Roman" w:hAnsi="Times New Roman" w:cs="Times New Roman"/>
            <w:sz w:val="24"/>
            <w:szCs w:val="24"/>
            <w:lang w:val="lv-LV"/>
          </w:rPr>
          <w:t>ECLI:LV:AT:2022:0510.A420340016.15.S</w:t>
        </w:r>
      </w:hyperlink>
      <w:r w:rsidRPr="003F1B18">
        <w:rPr>
          <w:rFonts w:ascii="Times New Roman" w:hAnsi="Times New Roman" w:cs="Times New Roman"/>
          <w:sz w:val="24"/>
          <w:szCs w:val="24"/>
          <w:lang w:val="lv-LV"/>
        </w:rPr>
        <w:t xml:space="preserve"> </w:t>
      </w:r>
    </w:p>
    <w:p w14:paraId="7D312E24" w14:textId="77777777" w:rsidR="003F1B18" w:rsidRPr="007B4062" w:rsidRDefault="003F1B18" w:rsidP="003F1B18">
      <w:pPr>
        <w:spacing w:after="0"/>
        <w:jc w:val="center"/>
        <w:rPr>
          <w:rFonts w:ascii="Times New Roman" w:hAnsi="Times New Roman" w:cs="Times New Roman"/>
          <w:sz w:val="24"/>
          <w:szCs w:val="24"/>
          <w:lang w:val="lv-LV"/>
        </w:rPr>
      </w:pPr>
    </w:p>
    <w:p w14:paraId="3EEBBF7D" w14:textId="420B76F1" w:rsidR="000802E4" w:rsidRPr="007B4062" w:rsidRDefault="007D5257" w:rsidP="003F1B18">
      <w:pPr>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Administratīvo lietu departaments kopsēdē šādā sastāvā: senatori Ieva Višķere, Dzintra Amerika, Andris Guļāns, Vēsma Kakste, Veronika Krūmiņa, Diāna Makarova, Valters Poķis, Līvija Slica un Rudīte Vīduša </w:t>
      </w:r>
    </w:p>
    <w:p w14:paraId="751E0057" w14:textId="77777777" w:rsidR="000802E4" w:rsidRPr="007B4062" w:rsidRDefault="000802E4"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rakstveida procesā izskatīja administratīvo lietu, kas ierosināta, pamatojoties uz SIA „Skonto būve” pieteikumu par zaudējumu atlīdzināšanu, sakarā ar Latvijas Universitātes kasācijas sūdzību par Administratīvās rajona tiesas 2021.gada 11.jūnija spriedumu.</w:t>
      </w:r>
    </w:p>
    <w:p w14:paraId="1AFFF2F5" w14:textId="77777777" w:rsidR="000802E4" w:rsidRPr="007B4062" w:rsidRDefault="000802E4" w:rsidP="003F1B18">
      <w:pPr>
        <w:spacing w:after="0"/>
        <w:rPr>
          <w:rFonts w:ascii="Times New Roman" w:eastAsia="Times New Roman" w:hAnsi="Times New Roman" w:cs="Times New Roman"/>
          <w:sz w:val="24"/>
          <w:szCs w:val="24"/>
          <w:lang w:val="lv-LV" w:eastAsia="lv-LV"/>
        </w:rPr>
      </w:pPr>
    </w:p>
    <w:p w14:paraId="68186377" w14:textId="77777777" w:rsidR="000802E4" w:rsidRPr="007B4062" w:rsidRDefault="000802E4" w:rsidP="003F1B18">
      <w:pPr>
        <w:spacing w:after="0"/>
        <w:jc w:val="center"/>
        <w:rPr>
          <w:rFonts w:ascii="Times New Roman" w:hAnsi="Times New Roman" w:cs="Times New Roman"/>
          <w:b/>
          <w:sz w:val="24"/>
          <w:szCs w:val="24"/>
          <w:lang w:val="lv-LV"/>
        </w:rPr>
      </w:pPr>
      <w:r w:rsidRPr="007B4062">
        <w:rPr>
          <w:rFonts w:ascii="Times New Roman" w:hAnsi="Times New Roman" w:cs="Times New Roman"/>
          <w:b/>
          <w:sz w:val="24"/>
          <w:szCs w:val="24"/>
          <w:lang w:val="lv-LV"/>
        </w:rPr>
        <w:t>Aprakstošā daļa</w:t>
      </w:r>
    </w:p>
    <w:p w14:paraId="0AACAA7E" w14:textId="77777777" w:rsidR="000802E4" w:rsidRPr="007B4062" w:rsidRDefault="000802E4" w:rsidP="003F1B18">
      <w:pPr>
        <w:spacing w:after="0"/>
        <w:ind w:firstLine="540"/>
        <w:jc w:val="both"/>
        <w:rPr>
          <w:rFonts w:ascii="Times New Roman" w:hAnsi="Times New Roman" w:cs="Times New Roman"/>
          <w:sz w:val="24"/>
          <w:szCs w:val="24"/>
          <w:lang w:val="lv-LV"/>
        </w:rPr>
      </w:pPr>
    </w:p>
    <w:p w14:paraId="1D156A95" w14:textId="725EC4A7" w:rsidR="000802E4" w:rsidRPr="007B4062" w:rsidRDefault="000802E4"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[1] </w:t>
      </w:r>
      <w:bookmarkEnd w:id="0"/>
      <w:bookmarkEnd w:id="1"/>
      <w:r w:rsidRPr="007B4062">
        <w:rPr>
          <w:rFonts w:ascii="Times New Roman" w:hAnsi="Times New Roman" w:cs="Times New Roman"/>
          <w:sz w:val="24"/>
          <w:szCs w:val="24"/>
          <w:lang w:val="lv-LV"/>
        </w:rPr>
        <w:t xml:space="preserve">Pieteicēja </w:t>
      </w:r>
      <w:r w:rsidR="00B343DD" w:rsidRPr="007B4062">
        <w:rPr>
          <w:rFonts w:ascii="Times New Roman" w:hAnsi="Times New Roman" w:cs="Times New Roman"/>
          <w:sz w:val="24"/>
          <w:szCs w:val="24"/>
          <w:lang w:val="lv-LV"/>
        </w:rPr>
        <w:t xml:space="preserve">SIA „Skonto būve” </w:t>
      </w:r>
      <w:r w:rsidRPr="007B4062">
        <w:rPr>
          <w:rFonts w:ascii="Times New Roman" w:hAnsi="Times New Roman" w:cs="Times New Roman"/>
          <w:sz w:val="24"/>
          <w:szCs w:val="24"/>
          <w:lang w:val="lv-LV"/>
        </w:rPr>
        <w:t xml:space="preserve">piedalījās Latvijas Universitātes (turpmāk – pasūtītāja) rīkotajā iepirkumā </w:t>
      </w:r>
      <w:r w:rsidRPr="007B4062">
        <w:rPr>
          <w:rFonts w:ascii="Times New Roman" w:eastAsiaTheme="minorHAnsi" w:hAnsi="Times New Roman" w:cs="Times New Roman"/>
          <w:sz w:val="24"/>
          <w:szCs w:val="24"/>
          <w:lang w:val="lv-LV"/>
        </w:rPr>
        <w:t xml:space="preserve">„Latvijas Universitātes </w:t>
      </w:r>
      <w:r w:rsidRPr="007B4062">
        <w:rPr>
          <w:rFonts w:ascii="Times New Roman" w:hAnsi="Times New Roman" w:cs="Times New Roman"/>
          <w:sz w:val="24"/>
          <w:szCs w:val="24"/>
          <w:lang w:val="lv-LV"/>
        </w:rPr>
        <w:t xml:space="preserve">Akadēmiskā centra Torņakalnā, Rīgā, 1.kārtas tehniskā projekta izstrāde, būvniecība un autoruzraudzība”. </w:t>
      </w:r>
    </w:p>
    <w:p w14:paraId="59A6A28E" w14:textId="77777777" w:rsidR="000802E4" w:rsidRPr="007B4062" w:rsidRDefault="000802E4"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Viens no piedāvājumu vērtēšanas kritērijiem bija pretendentu piedāvāto tehniskā projekta sastāvā iekļauto inženiersistēmu un iekārtu regulārās apkalpošanas </w:t>
      </w:r>
      <w:r w:rsidRPr="007B4062">
        <w:rPr>
          <w:rFonts w:ascii="Times New Roman" w:hAnsi="Times New Roman" w:cs="Times New Roman"/>
          <w:sz w:val="24"/>
          <w:szCs w:val="24"/>
          <w:lang w:val="lv-LV"/>
        </w:rPr>
        <w:lastRenderedPageBreak/>
        <w:t>izmaksu apjoms gadā, kuru bija paredzēts vērtēt, pamatojoties uz finanšu piedāvājumā ietverto informāciju.</w:t>
      </w:r>
    </w:p>
    <w:p w14:paraId="68B705EA" w14:textId="376EB533" w:rsidR="000802E4" w:rsidRPr="007B4062" w:rsidRDefault="000802E4"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Piedāvājumu līdz ar citiem pretendentiem iesniedza arī pieteicēja. Pieteicēja inženiersistēmu un iekārtu regulāro apkopi bija piedāvājusi veikt par 0,33</w:t>
      </w:r>
      <w:r w:rsidR="000E7DAC">
        <w:rPr>
          <w:rFonts w:ascii="Times New Roman" w:hAnsi="Times New Roman" w:cs="Times New Roman"/>
          <w:sz w:val="24"/>
          <w:szCs w:val="24"/>
          <w:lang w:val="lv-LV"/>
        </w:rPr>
        <w:t> </w:t>
      </w:r>
      <w:r w:rsidRPr="007B4062">
        <w:rPr>
          <w:rFonts w:ascii="Times New Roman" w:hAnsi="Times New Roman" w:cs="Times New Roman"/>
          <w:sz w:val="24"/>
          <w:szCs w:val="24"/>
          <w:lang w:val="lv-LV"/>
        </w:rPr>
        <w:t>latiem gadā, vienlaikus norādot, ka šāda cena noteikta, piešķirot 25 899,67</w:t>
      </w:r>
      <w:r w:rsidR="000E7DAC">
        <w:rPr>
          <w:rFonts w:ascii="Times New Roman" w:hAnsi="Times New Roman" w:cs="Times New Roman"/>
          <w:sz w:val="24"/>
          <w:szCs w:val="24"/>
          <w:lang w:val="lv-LV"/>
        </w:rPr>
        <w:t> </w:t>
      </w:r>
      <w:r w:rsidRPr="007B4062">
        <w:rPr>
          <w:rFonts w:ascii="Times New Roman" w:hAnsi="Times New Roman" w:cs="Times New Roman"/>
          <w:sz w:val="24"/>
          <w:szCs w:val="24"/>
          <w:lang w:val="lv-LV"/>
        </w:rPr>
        <w:t>latu atlaidi. Konstatējusi, ka patiesais iekārtu apkopes izmaksu apjoms gadā ir 25</w:t>
      </w:r>
      <w:r w:rsidR="000E7DAC">
        <w:rPr>
          <w:rFonts w:ascii="Times New Roman" w:hAnsi="Times New Roman" w:cs="Times New Roman"/>
          <w:sz w:val="24"/>
          <w:szCs w:val="24"/>
          <w:lang w:val="lv-LV"/>
        </w:rPr>
        <w:t> </w:t>
      </w:r>
      <w:r w:rsidRPr="007B4062">
        <w:rPr>
          <w:rFonts w:ascii="Times New Roman" w:hAnsi="Times New Roman" w:cs="Times New Roman"/>
          <w:sz w:val="24"/>
          <w:szCs w:val="24"/>
          <w:lang w:val="lv-LV"/>
        </w:rPr>
        <w:t>900</w:t>
      </w:r>
      <w:r w:rsidR="000E7DAC">
        <w:rPr>
          <w:rFonts w:ascii="Times New Roman" w:hAnsi="Times New Roman" w:cs="Times New Roman"/>
          <w:sz w:val="24"/>
          <w:szCs w:val="24"/>
          <w:lang w:val="lv-LV"/>
        </w:rPr>
        <w:t> </w:t>
      </w:r>
      <w:r w:rsidRPr="007B4062">
        <w:rPr>
          <w:rFonts w:ascii="Times New Roman" w:hAnsi="Times New Roman" w:cs="Times New Roman"/>
          <w:sz w:val="24"/>
          <w:szCs w:val="24"/>
          <w:lang w:val="lv-LV"/>
        </w:rPr>
        <w:t>latu, pasūtītāja pieteicējas piedāvājuma vērtēšanā ņēma vērā šo faktisko izmaksu apjomu, nevis pieteicējas piedāvāto cenu ar atlaidi. Par uzvarētāju iepirkumā pasūtītāja atzina citu pretendentu.</w:t>
      </w:r>
    </w:p>
    <w:p w14:paraId="506AC42A" w14:textId="693A9C5B" w:rsidR="000802E4" w:rsidRPr="007B4062" w:rsidRDefault="000802E4"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Pieteicēja par pasūtītājas rīcību, nevērtējot tās faktiski piedāvāto cenu (0,33</w:t>
      </w:r>
      <w:r w:rsidR="000E7DAC">
        <w:rPr>
          <w:rFonts w:ascii="Times New Roman" w:hAnsi="Times New Roman" w:cs="Times New Roman"/>
          <w:sz w:val="24"/>
          <w:szCs w:val="24"/>
          <w:lang w:val="lv-LV"/>
        </w:rPr>
        <w:t> </w:t>
      </w:r>
      <w:r w:rsidRPr="007B4062">
        <w:rPr>
          <w:rFonts w:ascii="Times New Roman" w:hAnsi="Times New Roman" w:cs="Times New Roman"/>
          <w:sz w:val="24"/>
          <w:szCs w:val="24"/>
          <w:lang w:val="lv-LV"/>
        </w:rPr>
        <w:t xml:space="preserve">lati gadā), iesniedza sūdzības Iepirkumu uzraudzības birojam, bet birojs šīs sūdzības atzina par nepamatotām. Savukārt Administratīvā rajona tiesa ar </w:t>
      </w:r>
      <w:r w:rsidRPr="007B4062">
        <w:rPr>
          <w:rFonts w:ascii="Times New Roman" w:eastAsiaTheme="minorHAnsi" w:hAnsi="Times New Roman" w:cs="Times New Roman"/>
          <w:sz w:val="24"/>
          <w:szCs w:val="24"/>
          <w:lang w:val="lv-LV"/>
        </w:rPr>
        <w:t xml:space="preserve">2015.gada 22.janvāra spriedumu lietā Nr. A420451113 </w:t>
      </w:r>
      <w:r w:rsidR="00E13D1F" w:rsidRPr="007B4062">
        <w:rPr>
          <w:rFonts w:ascii="Times New Roman" w:eastAsiaTheme="minorHAnsi" w:hAnsi="Times New Roman" w:cs="Times New Roman"/>
          <w:sz w:val="24"/>
          <w:szCs w:val="24"/>
          <w:lang w:val="lv-LV"/>
        </w:rPr>
        <w:t xml:space="preserve">(turpmāk – pamatlieta) </w:t>
      </w:r>
      <w:r w:rsidRPr="007B4062">
        <w:rPr>
          <w:rFonts w:ascii="Times New Roman" w:eastAsiaTheme="minorHAnsi" w:hAnsi="Times New Roman" w:cs="Times New Roman"/>
          <w:sz w:val="24"/>
          <w:szCs w:val="24"/>
          <w:lang w:val="lv-LV"/>
        </w:rPr>
        <w:t>biroja lēmumus, ar kuriem pieteicējas sūdzības noraidītas, atzina par prettiesiskiem</w:t>
      </w:r>
      <w:r w:rsidR="004F22B9" w:rsidRPr="007B4062">
        <w:rPr>
          <w:rFonts w:ascii="Times New Roman" w:eastAsiaTheme="minorHAnsi" w:hAnsi="Times New Roman" w:cs="Times New Roman"/>
          <w:sz w:val="24"/>
          <w:szCs w:val="24"/>
          <w:lang w:val="lv-LV"/>
        </w:rPr>
        <w:t xml:space="preserve">, secinot, ka </w:t>
      </w:r>
      <w:r w:rsidR="002D1138" w:rsidRPr="007B4062">
        <w:rPr>
          <w:rFonts w:ascii="Times New Roman" w:eastAsiaTheme="minorHAnsi" w:hAnsi="Times New Roman" w:cs="Times New Roman"/>
          <w:sz w:val="24"/>
          <w:szCs w:val="24"/>
          <w:lang w:val="lv-LV"/>
        </w:rPr>
        <w:t>pieteicējas pārsūdzētā pasūtītājas rīcība ir iepirkuma procedūras pārkāpums.</w:t>
      </w:r>
      <w:r w:rsidRPr="007B4062">
        <w:rPr>
          <w:rFonts w:ascii="Times New Roman" w:eastAsiaTheme="minorHAnsi" w:hAnsi="Times New Roman" w:cs="Times New Roman"/>
          <w:sz w:val="24"/>
          <w:szCs w:val="24"/>
          <w:lang w:val="lv-LV"/>
        </w:rPr>
        <w:t xml:space="preserve"> Minētais rajona tiesas spriedums ar Senāta 2016.gada 22.februāra spriedumu lietā Nr. SKA-138/2016 atstāts negrozīts.</w:t>
      </w:r>
    </w:p>
    <w:p w14:paraId="2AF45726" w14:textId="77777777" w:rsidR="000802E4" w:rsidRPr="007B4062" w:rsidRDefault="000802E4" w:rsidP="003F1B18">
      <w:pPr>
        <w:spacing w:after="0"/>
        <w:ind w:firstLine="567"/>
        <w:jc w:val="both"/>
        <w:rPr>
          <w:rFonts w:ascii="Times New Roman" w:eastAsiaTheme="minorHAnsi" w:hAnsi="Times New Roman" w:cs="Times New Roman"/>
          <w:sz w:val="24"/>
          <w:szCs w:val="24"/>
          <w:lang w:val="lv-LV"/>
        </w:rPr>
      </w:pPr>
    </w:p>
    <w:p w14:paraId="7AC0291D" w14:textId="53524D79" w:rsidR="00321FBB" w:rsidRPr="007B4062" w:rsidRDefault="000802E4" w:rsidP="003F1B18">
      <w:pPr>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 xml:space="preserve">[2] Pieteicēja vērsās pie pasūtītājas un pēc tam Administratīvajā rajona tiesā ar prasījumu atlīdzināt </w:t>
      </w:r>
      <w:r w:rsidR="004F22B9" w:rsidRPr="007B4062">
        <w:rPr>
          <w:rFonts w:ascii="Times New Roman" w:eastAsiaTheme="minorHAnsi" w:hAnsi="Times New Roman" w:cs="Times New Roman"/>
          <w:sz w:val="24"/>
          <w:szCs w:val="24"/>
          <w:lang w:val="lv-LV"/>
        </w:rPr>
        <w:t>iepirkuma procedūras pārkāpum</w:t>
      </w:r>
      <w:r w:rsidR="002D1138" w:rsidRPr="007B4062">
        <w:rPr>
          <w:rFonts w:ascii="Times New Roman" w:eastAsiaTheme="minorHAnsi" w:hAnsi="Times New Roman" w:cs="Times New Roman"/>
          <w:sz w:val="24"/>
          <w:szCs w:val="24"/>
          <w:lang w:val="lv-LV"/>
        </w:rPr>
        <w:t>a</w:t>
      </w:r>
      <w:r w:rsidR="004F22B9" w:rsidRPr="007B4062">
        <w:rPr>
          <w:rFonts w:ascii="Times New Roman" w:eastAsiaTheme="minorHAnsi" w:hAnsi="Times New Roman" w:cs="Times New Roman"/>
          <w:sz w:val="24"/>
          <w:szCs w:val="24"/>
          <w:lang w:val="lv-LV"/>
        </w:rPr>
        <w:t xml:space="preserve"> izraisītos </w:t>
      </w:r>
      <w:r w:rsidRPr="007B4062">
        <w:rPr>
          <w:rFonts w:ascii="Times New Roman" w:eastAsiaTheme="minorHAnsi" w:hAnsi="Times New Roman" w:cs="Times New Roman"/>
          <w:sz w:val="24"/>
          <w:szCs w:val="24"/>
          <w:lang w:val="lv-LV"/>
        </w:rPr>
        <w:t>zaudējumus</w:t>
      </w:r>
      <w:r w:rsidR="004F22B9" w:rsidRPr="007B4062">
        <w:rPr>
          <w:rFonts w:ascii="Times New Roman" w:eastAsiaTheme="minorHAnsi" w:hAnsi="Times New Roman" w:cs="Times New Roman"/>
          <w:sz w:val="24"/>
          <w:szCs w:val="24"/>
          <w:lang w:val="lv-LV"/>
        </w:rPr>
        <w:t xml:space="preserve"> </w:t>
      </w:r>
      <w:r w:rsidRPr="007B4062">
        <w:rPr>
          <w:rFonts w:ascii="Times New Roman" w:eastAsiaTheme="minorHAnsi" w:hAnsi="Times New Roman" w:cs="Times New Roman"/>
          <w:sz w:val="24"/>
          <w:szCs w:val="24"/>
          <w:lang w:val="lv-LV"/>
        </w:rPr>
        <w:t>1 655 441 </w:t>
      </w:r>
      <w:r w:rsidRPr="007B4062">
        <w:rPr>
          <w:rFonts w:ascii="Times New Roman" w:eastAsiaTheme="minorHAnsi" w:hAnsi="Times New Roman" w:cs="Times New Roman"/>
          <w:i/>
          <w:sz w:val="24"/>
          <w:szCs w:val="24"/>
          <w:lang w:val="lv-LV"/>
        </w:rPr>
        <w:t>euro</w:t>
      </w:r>
      <w:r w:rsidRPr="007B4062">
        <w:rPr>
          <w:rFonts w:ascii="Times New Roman" w:eastAsiaTheme="minorHAnsi" w:hAnsi="Times New Roman" w:cs="Times New Roman"/>
          <w:sz w:val="24"/>
          <w:szCs w:val="24"/>
          <w:lang w:val="lv-LV"/>
        </w:rPr>
        <w:t>.</w:t>
      </w:r>
      <w:r w:rsidR="00321FBB" w:rsidRPr="007B4062">
        <w:rPr>
          <w:rFonts w:ascii="Times New Roman" w:eastAsiaTheme="minorHAnsi" w:hAnsi="Times New Roman" w:cs="Times New Roman"/>
          <w:sz w:val="24"/>
          <w:szCs w:val="24"/>
          <w:lang w:val="lv-LV"/>
        </w:rPr>
        <w:t xml:space="preserve"> </w:t>
      </w:r>
    </w:p>
    <w:p w14:paraId="38F63559" w14:textId="38267BC5" w:rsidR="00E13D1F" w:rsidRPr="007B4062" w:rsidRDefault="00E13D1F" w:rsidP="003F1B18">
      <w:pPr>
        <w:shd w:val="clear" w:color="auto" w:fill="FFFFFF"/>
        <w:spacing w:after="0"/>
        <w:ind w:firstLine="567"/>
        <w:jc w:val="both"/>
        <w:rPr>
          <w:rFonts w:ascii="Times New Roman" w:hAnsi="Times New Roman" w:cs="Times New Roman"/>
          <w:sz w:val="24"/>
          <w:szCs w:val="24"/>
          <w:lang w:val="lv-LV"/>
        </w:rPr>
      </w:pPr>
      <w:r w:rsidRPr="007B4062">
        <w:rPr>
          <w:rFonts w:ascii="Times New Roman" w:eastAsiaTheme="minorHAnsi" w:hAnsi="Times New Roman" w:cs="Times New Roman"/>
          <w:sz w:val="24"/>
          <w:szCs w:val="24"/>
          <w:lang w:val="lv-LV"/>
        </w:rPr>
        <w:t>Ar Administratīvās rajona tiesas 2019.gada 9.maija spriedumu pieteicējas pieteikums tika noraidīts</w:t>
      </w:r>
      <w:r w:rsidR="00622A44" w:rsidRPr="007B4062">
        <w:rPr>
          <w:rFonts w:ascii="Times New Roman" w:eastAsiaTheme="minorHAnsi" w:hAnsi="Times New Roman" w:cs="Times New Roman"/>
          <w:sz w:val="24"/>
          <w:szCs w:val="24"/>
          <w:lang w:val="lv-LV"/>
        </w:rPr>
        <w:t>. Ti</w:t>
      </w:r>
      <w:r w:rsidRPr="007B4062">
        <w:rPr>
          <w:rFonts w:ascii="Times New Roman" w:eastAsiaTheme="minorHAnsi" w:hAnsi="Times New Roman" w:cs="Times New Roman"/>
          <w:sz w:val="24"/>
          <w:szCs w:val="24"/>
          <w:lang w:val="lv-LV"/>
        </w:rPr>
        <w:t>esa secināja</w:t>
      </w:r>
      <w:r w:rsidR="00622A44" w:rsidRPr="007B4062">
        <w:rPr>
          <w:rFonts w:ascii="Times New Roman" w:eastAsiaTheme="minorHAnsi" w:hAnsi="Times New Roman" w:cs="Times New Roman"/>
          <w:sz w:val="24"/>
          <w:szCs w:val="24"/>
          <w:lang w:val="lv-LV"/>
        </w:rPr>
        <w:t xml:space="preserve">, ka, arī neesot pamatlietā konstatētajam pasūtītājas pārkāpumam, </w:t>
      </w:r>
      <w:r w:rsidRPr="007B4062">
        <w:rPr>
          <w:rFonts w:ascii="Times New Roman" w:eastAsiaTheme="minorHAnsi" w:hAnsi="Times New Roman" w:cs="Times New Roman"/>
          <w:sz w:val="24"/>
          <w:szCs w:val="24"/>
          <w:lang w:val="lv-LV"/>
        </w:rPr>
        <w:t>pieteicēja nebūtu ieguvusi līguma slēgšanas tiesības</w:t>
      </w:r>
      <w:r w:rsidR="006C5CFE" w:rsidRPr="007B4062">
        <w:rPr>
          <w:rFonts w:ascii="Times New Roman" w:eastAsiaTheme="minorHAnsi" w:hAnsi="Times New Roman" w:cs="Times New Roman"/>
          <w:sz w:val="24"/>
          <w:szCs w:val="24"/>
          <w:lang w:val="lv-LV"/>
        </w:rPr>
        <w:t xml:space="preserve">, jo </w:t>
      </w:r>
      <w:r w:rsidRPr="007B4062">
        <w:rPr>
          <w:rFonts w:ascii="Times New Roman" w:eastAsiaTheme="minorHAnsi" w:hAnsi="Times New Roman" w:cs="Times New Roman"/>
          <w:sz w:val="24"/>
          <w:szCs w:val="24"/>
          <w:lang w:val="lv-LV"/>
        </w:rPr>
        <w:t xml:space="preserve">pieteicējas piedāvājums </w:t>
      </w:r>
      <w:r w:rsidRPr="007B4062">
        <w:rPr>
          <w:rFonts w:ascii="Times New Roman" w:hAnsi="Times New Roman" w:cs="Times New Roman"/>
          <w:sz w:val="24"/>
          <w:szCs w:val="24"/>
          <w:lang w:val="lv-LV"/>
        </w:rPr>
        <w:t>būtu atzīts par nepamatoti lētu</w:t>
      </w:r>
      <w:r w:rsidR="00622A44" w:rsidRPr="007B4062">
        <w:rPr>
          <w:rFonts w:ascii="Times New Roman" w:hAnsi="Times New Roman" w:cs="Times New Roman"/>
          <w:sz w:val="24"/>
          <w:szCs w:val="24"/>
          <w:lang w:val="lv-LV"/>
        </w:rPr>
        <w:t xml:space="preserve">, ņemot vērā, ka </w:t>
      </w:r>
      <w:r w:rsidR="006C5CFE" w:rsidRPr="007B4062">
        <w:rPr>
          <w:rFonts w:ascii="Times New Roman" w:hAnsi="Times New Roman" w:cs="Times New Roman"/>
          <w:sz w:val="24"/>
          <w:szCs w:val="24"/>
          <w:lang w:val="lv-LV"/>
        </w:rPr>
        <w:t xml:space="preserve">pieteicēja </w:t>
      </w:r>
      <w:r w:rsidR="006C5CFE" w:rsidRPr="007B4062">
        <w:rPr>
          <w:rFonts w:ascii="Times New Roman" w:hAnsi="Times New Roman" w:cs="Times New Roman"/>
          <w:sz w:val="24"/>
          <w:szCs w:val="24"/>
          <w:lang w:val="lv-LV"/>
        </w:rPr>
        <w:lastRenderedPageBreak/>
        <w:t>spēju piedāvāt strīdus pozīcijā cenu 0,33</w:t>
      </w:r>
      <w:r w:rsidR="000E7DAC">
        <w:rPr>
          <w:rFonts w:ascii="Times New Roman" w:hAnsi="Times New Roman" w:cs="Times New Roman"/>
          <w:sz w:val="24"/>
          <w:szCs w:val="24"/>
          <w:lang w:val="lv-LV"/>
        </w:rPr>
        <w:t> </w:t>
      </w:r>
      <w:r w:rsidR="006C5CFE" w:rsidRPr="007B4062">
        <w:rPr>
          <w:rFonts w:ascii="Times New Roman" w:hAnsi="Times New Roman" w:cs="Times New Roman"/>
          <w:sz w:val="24"/>
          <w:szCs w:val="24"/>
          <w:lang w:val="lv-LV"/>
        </w:rPr>
        <w:t>lati gadā skaidro ar to, ka tā savas finansiālās situācijas dēļ var atļauties piešķirt pasūtītāja</w:t>
      </w:r>
      <w:r w:rsidR="00622A44" w:rsidRPr="007B4062">
        <w:rPr>
          <w:rFonts w:ascii="Times New Roman" w:hAnsi="Times New Roman" w:cs="Times New Roman"/>
          <w:sz w:val="24"/>
          <w:szCs w:val="24"/>
          <w:lang w:val="lv-LV"/>
        </w:rPr>
        <w:t>i</w:t>
      </w:r>
      <w:r w:rsidR="006C5CFE" w:rsidRPr="007B4062">
        <w:rPr>
          <w:rFonts w:ascii="Times New Roman" w:hAnsi="Times New Roman" w:cs="Times New Roman"/>
          <w:sz w:val="24"/>
          <w:szCs w:val="24"/>
          <w:lang w:val="lv-LV"/>
        </w:rPr>
        <w:t xml:space="preserve"> </w:t>
      </w:r>
      <w:r w:rsidR="00622A44" w:rsidRPr="007B4062">
        <w:rPr>
          <w:rFonts w:ascii="Times New Roman" w:eastAsiaTheme="minorHAnsi" w:hAnsi="Times New Roman" w:cs="Times New Roman"/>
          <w:sz w:val="24"/>
          <w:szCs w:val="24"/>
          <w:lang w:val="lv-LV"/>
        </w:rPr>
        <w:t>šādu</w:t>
      </w:r>
      <w:r w:rsidR="00622A44" w:rsidRPr="007B4062">
        <w:rPr>
          <w:rFonts w:ascii="Times New Roman" w:hAnsi="Times New Roman" w:cs="Times New Roman"/>
          <w:sz w:val="24"/>
          <w:szCs w:val="24"/>
          <w:lang w:val="lv-LV"/>
        </w:rPr>
        <w:t xml:space="preserve"> </w:t>
      </w:r>
      <w:r w:rsidR="006C5CFE" w:rsidRPr="007B4062">
        <w:rPr>
          <w:rFonts w:ascii="Times New Roman" w:hAnsi="Times New Roman" w:cs="Times New Roman"/>
          <w:sz w:val="24"/>
          <w:szCs w:val="24"/>
          <w:lang w:val="lv-LV"/>
        </w:rPr>
        <w:t xml:space="preserve">atlaidi, nevis ar </w:t>
      </w:r>
      <w:r w:rsidR="006C5CFE" w:rsidRPr="007B4062">
        <w:rPr>
          <w:rFonts w:ascii="Times New Roman" w:eastAsiaTheme="minorHAnsi" w:hAnsi="Times New Roman" w:cs="Times New Roman"/>
          <w:sz w:val="24"/>
          <w:szCs w:val="24"/>
          <w:lang w:val="lv-LV"/>
        </w:rPr>
        <w:t xml:space="preserve">Publisko iepirkumu likuma </w:t>
      </w:r>
      <w:r w:rsidR="006C5CFE" w:rsidRPr="007B4062">
        <w:rPr>
          <w:rFonts w:ascii="Times New Roman" w:hAnsi="Times New Roman" w:cs="Times New Roman"/>
          <w:sz w:val="24"/>
          <w:szCs w:val="24"/>
          <w:lang w:val="lv-LV"/>
        </w:rPr>
        <w:t>(</w:t>
      </w:r>
      <w:r w:rsidR="006C5CFE" w:rsidRPr="0045627A">
        <w:rPr>
          <w:rFonts w:ascii="Times New Roman" w:hAnsi="Times New Roman" w:cs="Times New Roman"/>
          <w:sz w:val="24"/>
          <w:szCs w:val="24"/>
          <w:lang w:val="lv-LV"/>
        </w:rPr>
        <w:t xml:space="preserve">šeit un turpmāk – likums, kas bija spēkā </w:t>
      </w:r>
      <w:r w:rsidR="002D1138" w:rsidRPr="0045627A">
        <w:rPr>
          <w:rFonts w:ascii="Times New Roman" w:hAnsi="Times New Roman" w:cs="Times New Roman"/>
          <w:sz w:val="24"/>
          <w:szCs w:val="24"/>
          <w:lang w:val="lv-LV"/>
        </w:rPr>
        <w:t>iepirkuma norises laikā</w:t>
      </w:r>
      <w:r w:rsidR="006C5CFE" w:rsidRPr="007B4062">
        <w:rPr>
          <w:rFonts w:ascii="Times New Roman" w:hAnsi="Times New Roman" w:cs="Times New Roman"/>
          <w:sz w:val="24"/>
          <w:szCs w:val="24"/>
          <w:lang w:val="lv-LV"/>
        </w:rPr>
        <w:t>)</w:t>
      </w:r>
      <w:r w:rsidR="006C5CFE" w:rsidRPr="007B4062">
        <w:rPr>
          <w:rFonts w:ascii="Times New Roman" w:eastAsiaTheme="minorHAnsi" w:hAnsi="Times New Roman" w:cs="Times New Roman"/>
          <w:sz w:val="24"/>
          <w:szCs w:val="24"/>
          <w:lang w:val="lv-LV"/>
        </w:rPr>
        <w:t xml:space="preserve"> 48.panta otrajā daļā norādītajiem apstākļiem.</w:t>
      </w:r>
      <w:r w:rsidR="006436C6" w:rsidRPr="007B4062">
        <w:rPr>
          <w:rFonts w:ascii="Times New Roman" w:eastAsiaTheme="minorHAnsi" w:hAnsi="Times New Roman" w:cs="Times New Roman"/>
          <w:sz w:val="24"/>
          <w:szCs w:val="24"/>
          <w:lang w:val="lv-LV"/>
        </w:rPr>
        <w:t xml:space="preserve"> </w:t>
      </w:r>
      <w:r w:rsidRPr="007B4062">
        <w:rPr>
          <w:rFonts w:ascii="Times New Roman" w:hAnsi="Times New Roman" w:cs="Times New Roman"/>
          <w:sz w:val="24"/>
          <w:szCs w:val="24"/>
          <w:lang w:val="lv-LV"/>
        </w:rPr>
        <w:t xml:space="preserve">Senāts </w:t>
      </w:r>
      <w:r w:rsidR="0041152F" w:rsidRPr="007B4062">
        <w:rPr>
          <w:rFonts w:ascii="Times New Roman" w:hAnsi="Times New Roman" w:cs="Times New Roman"/>
          <w:sz w:val="24"/>
          <w:szCs w:val="24"/>
          <w:lang w:val="lv-LV"/>
        </w:rPr>
        <w:t xml:space="preserve">ar </w:t>
      </w:r>
      <w:r w:rsidRPr="007B4062">
        <w:rPr>
          <w:rFonts w:ascii="Times New Roman" w:hAnsi="Times New Roman" w:cs="Times New Roman"/>
          <w:sz w:val="24"/>
          <w:szCs w:val="24"/>
          <w:lang w:val="lv-LV"/>
        </w:rPr>
        <w:t>2020.gada 30.marta spriedumu lietā Nr.</w:t>
      </w:r>
      <w:r w:rsidR="006C5CFE" w:rsidRPr="007B4062">
        <w:rPr>
          <w:rFonts w:ascii="Times New Roman" w:hAnsi="Times New Roman" w:cs="Times New Roman"/>
          <w:sz w:val="24"/>
          <w:szCs w:val="24"/>
          <w:lang w:val="lv-LV"/>
        </w:rPr>
        <w:t> </w:t>
      </w:r>
      <w:r w:rsidRPr="007B4062">
        <w:rPr>
          <w:rFonts w:ascii="Times New Roman" w:hAnsi="Times New Roman" w:cs="Times New Roman"/>
          <w:sz w:val="24"/>
          <w:szCs w:val="24"/>
          <w:lang w:val="lv-LV"/>
        </w:rPr>
        <w:t>SKA-605/2020 minēto rajona tiesas spriedumu atcēla, norādot, ka</w:t>
      </w:r>
      <w:r w:rsidR="00F75F98" w:rsidRPr="007B4062">
        <w:rPr>
          <w:rFonts w:ascii="Times New Roman" w:hAnsi="Times New Roman" w:cs="Times New Roman"/>
          <w:sz w:val="24"/>
          <w:szCs w:val="24"/>
          <w:lang w:val="lv-LV"/>
        </w:rPr>
        <w:t>, pretēji tiesas uzskatam, piedāvāto zemo cenu pretendents var izskaidrot arī ar citiem apstākļiem, ne tikai tiem, kas norādīti Publisko iepirkumu likuma 48.panta otrajā daļā.</w:t>
      </w:r>
      <w:r w:rsidRPr="007B4062">
        <w:rPr>
          <w:rFonts w:ascii="Times New Roman" w:hAnsi="Times New Roman" w:cs="Times New Roman"/>
          <w:sz w:val="24"/>
          <w:szCs w:val="24"/>
          <w:lang w:val="lv-LV"/>
        </w:rPr>
        <w:t xml:space="preserve"> </w:t>
      </w:r>
    </w:p>
    <w:p w14:paraId="58695BE4" w14:textId="77777777" w:rsidR="00E13D1F" w:rsidRPr="007B4062" w:rsidRDefault="00E13D1F" w:rsidP="003F1B18">
      <w:pPr>
        <w:spacing w:after="0"/>
        <w:ind w:firstLine="567"/>
        <w:jc w:val="both"/>
        <w:rPr>
          <w:rFonts w:ascii="Times New Roman" w:hAnsi="Times New Roman" w:cs="Times New Roman"/>
          <w:sz w:val="24"/>
          <w:szCs w:val="24"/>
          <w:lang w:val="lv-LV"/>
        </w:rPr>
      </w:pPr>
    </w:p>
    <w:p w14:paraId="5CF71B62" w14:textId="710EB754" w:rsidR="003E71BD" w:rsidRPr="007B4062" w:rsidRDefault="000802E4" w:rsidP="003F1B18">
      <w:pPr>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[3] </w:t>
      </w:r>
      <w:r w:rsidRPr="007B4062">
        <w:rPr>
          <w:rFonts w:ascii="Times New Roman" w:hAnsi="Times New Roman" w:cs="Times New Roman"/>
          <w:sz w:val="24"/>
          <w:szCs w:val="24"/>
          <w:lang w:val="lv-LV"/>
        </w:rPr>
        <w:t>Administratīvā rajona tiesa</w:t>
      </w:r>
      <w:r w:rsidR="00E13D1F" w:rsidRPr="007B4062">
        <w:rPr>
          <w:rFonts w:ascii="Times New Roman" w:hAnsi="Times New Roman" w:cs="Times New Roman"/>
          <w:sz w:val="24"/>
          <w:szCs w:val="24"/>
          <w:lang w:val="lv-LV"/>
        </w:rPr>
        <w:t xml:space="preserve">, izskatījusi lietu no jauna, </w:t>
      </w:r>
      <w:r w:rsidRPr="007B4062">
        <w:rPr>
          <w:rFonts w:ascii="Times New Roman" w:hAnsi="Times New Roman" w:cs="Times New Roman"/>
          <w:sz w:val="24"/>
          <w:szCs w:val="24"/>
          <w:lang w:val="lv-LV"/>
        </w:rPr>
        <w:t xml:space="preserve">ar </w:t>
      </w:r>
      <w:r w:rsidRPr="007B4062">
        <w:rPr>
          <w:rFonts w:ascii="Times New Roman" w:eastAsiaTheme="minorHAnsi" w:hAnsi="Times New Roman" w:cs="Times New Roman"/>
          <w:sz w:val="24"/>
          <w:szCs w:val="24"/>
          <w:lang w:val="lv-LV"/>
        </w:rPr>
        <w:t xml:space="preserve">2021.gada 11.jūnija spriedumu pieteikumu apmierināja daļā par zaudējumu </w:t>
      </w:r>
      <w:r w:rsidR="00622A44" w:rsidRPr="007B4062">
        <w:rPr>
          <w:rFonts w:ascii="Times New Roman" w:eastAsiaTheme="minorHAnsi" w:hAnsi="Times New Roman" w:cs="Times New Roman"/>
          <w:sz w:val="24"/>
          <w:szCs w:val="24"/>
          <w:lang w:val="lv-LV"/>
        </w:rPr>
        <w:t>– ne</w:t>
      </w:r>
      <w:r w:rsidR="00F90F90">
        <w:rPr>
          <w:rFonts w:ascii="Times New Roman" w:eastAsiaTheme="minorHAnsi" w:hAnsi="Times New Roman" w:cs="Times New Roman"/>
          <w:sz w:val="24"/>
          <w:szCs w:val="24"/>
          <w:lang w:val="lv-LV"/>
        </w:rPr>
        <w:t>ie</w:t>
      </w:r>
      <w:r w:rsidR="00622A44" w:rsidRPr="007B4062">
        <w:rPr>
          <w:rFonts w:ascii="Times New Roman" w:eastAsiaTheme="minorHAnsi" w:hAnsi="Times New Roman" w:cs="Times New Roman"/>
          <w:sz w:val="24"/>
          <w:szCs w:val="24"/>
          <w:lang w:val="lv-LV"/>
        </w:rPr>
        <w:t xml:space="preserve">gūtās peļņas – </w:t>
      </w:r>
      <w:r w:rsidRPr="007B4062">
        <w:rPr>
          <w:rFonts w:ascii="Times New Roman" w:eastAsiaTheme="minorHAnsi" w:hAnsi="Times New Roman" w:cs="Times New Roman"/>
          <w:sz w:val="24"/>
          <w:szCs w:val="24"/>
          <w:lang w:val="lv-LV"/>
        </w:rPr>
        <w:t>827</w:t>
      </w:r>
      <w:r w:rsidR="00B343DD" w:rsidRPr="007B4062">
        <w:rPr>
          <w:rFonts w:ascii="Times New Roman" w:eastAsiaTheme="minorHAnsi" w:hAnsi="Times New Roman" w:cs="Times New Roman"/>
          <w:sz w:val="24"/>
          <w:szCs w:val="24"/>
          <w:lang w:val="lv-LV"/>
        </w:rPr>
        <w:t> </w:t>
      </w:r>
      <w:r w:rsidRPr="007B4062">
        <w:rPr>
          <w:rFonts w:ascii="Times New Roman" w:eastAsiaTheme="minorHAnsi" w:hAnsi="Times New Roman" w:cs="Times New Roman"/>
          <w:sz w:val="24"/>
          <w:szCs w:val="24"/>
          <w:lang w:val="lv-LV"/>
        </w:rPr>
        <w:t>720,50</w:t>
      </w:r>
      <w:r w:rsidR="00B343DD" w:rsidRPr="007B4062">
        <w:rPr>
          <w:rFonts w:ascii="Times New Roman" w:eastAsiaTheme="minorHAnsi" w:hAnsi="Times New Roman" w:cs="Times New Roman"/>
          <w:sz w:val="24"/>
          <w:szCs w:val="24"/>
          <w:lang w:val="lv-LV"/>
        </w:rPr>
        <w:t> </w:t>
      </w:r>
      <w:r w:rsidRPr="007B4062">
        <w:rPr>
          <w:rFonts w:ascii="Times New Roman" w:eastAsiaTheme="minorHAnsi" w:hAnsi="Times New Roman" w:cs="Times New Roman"/>
          <w:i/>
          <w:iCs/>
          <w:sz w:val="24"/>
          <w:szCs w:val="24"/>
          <w:lang w:val="lv-LV"/>
        </w:rPr>
        <w:t>euro</w:t>
      </w:r>
      <w:r w:rsidRPr="007B4062">
        <w:rPr>
          <w:rFonts w:ascii="Times New Roman" w:eastAsiaTheme="minorHAnsi" w:hAnsi="Times New Roman" w:cs="Times New Roman"/>
          <w:sz w:val="24"/>
          <w:szCs w:val="24"/>
          <w:lang w:val="lv-LV"/>
        </w:rPr>
        <w:t xml:space="preserve"> atlīdzināšanu. Tiesas spriedums pamatots ar turpmāk norādītajiem apsvērumiem. </w:t>
      </w:r>
    </w:p>
    <w:p w14:paraId="0EE26B7A" w14:textId="6D1D88FC" w:rsidR="003E71BD" w:rsidRPr="007B4062" w:rsidRDefault="00171C1B" w:rsidP="003F1B18">
      <w:pPr>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[3.1]</w:t>
      </w:r>
      <w:r w:rsidR="006654C5">
        <w:rPr>
          <w:rFonts w:ascii="Times New Roman" w:eastAsiaTheme="minorHAnsi" w:hAnsi="Times New Roman" w:cs="Times New Roman"/>
          <w:sz w:val="24"/>
          <w:szCs w:val="24"/>
          <w:lang w:val="lv-LV"/>
        </w:rPr>
        <w:t> </w:t>
      </w:r>
      <w:r w:rsidRPr="007B4062">
        <w:rPr>
          <w:rFonts w:ascii="Times New Roman" w:eastAsiaTheme="minorHAnsi" w:hAnsi="Times New Roman" w:cs="Times New Roman"/>
          <w:sz w:val="24"/>
          <w:szCs w:val="24"/>
          <w:lang w:val="lv-LV"/>
        </w:rPr>
        <w:t xml:space="preserve">Vispārīgi tiek akceptēts, ka pretendents kādā pozīcijā piedāvā cenu ar atlaidi, noteiktu izmaksu daļu uzņemoties segt </w:t>
      </w:r>
      <w:r w:rsidR="004F22B9" w:rsidRPr="007B4062">
        <w:rPr>
          <w:rFonts w:ascii="Times New Roman" w:eastAsiaTheme="minorHAnsi" w:hAnsi="Times New Roman" w:cs="Times New Roman"/>
          <w:sz w:val="24"/>
          <w:szCs w:val="24"/>
          <w:lang w:val="lv-LV"/>
        </w:rPr>
        <w:t>pats</w:t>
      </w:r>
      <w:r w:rsidRPr="007B4062">
        <w:rPr>
          <w:rFonts w:ascii="Times New Roman" w:eastAsiaTheme="minorHAnsi" w:hAnsi="Times New Roman" w:cs="Times New Roman"/>
          <w:sz w:val="24"/>
          <w:szCs w:val="24"/>
          <w:lang w:val="lv-LV"/>
        </w:rPr>
        <w:t>, ja šāds pretendenta nodoms izriet jau no paša piedāvājuma. Tādējādi pieteicējas kopējā finansiālā situācija var būt apstāklis, kas var</w:t>
      </w:r>
      <w:r w:rsidR="004F22B9" w:rsidRPr="007B4062">
        <w:rPr>
          <w:rFonts w:ascii="Times New Roman" w:eastAsiaTheme="minorHAnsi" w:hAnsi="Times New Roman" w:cs="Times New Roman"/>
          <w:sz w:val="24"/>
          <w:szCs w:val="24"/>
          <w:lang w:val="lv-LV"/>
        </w:rPr>
        <w:t>ēja</w:t>
      </w:r>
      <w:r w:rsidRPr="007B4062">
        <w:rPr>
          <w:rFonts w:ascii="Times New Roman" w:eastAsiaTheme="minorHAnsi" w:hAnsi="Times New Roman" w:cs="Times New Roman"/>
          <w:sz w:val="24"/>
          <w:szCs w:val="24"/>
          <w:lang w:val="lv-LV"/>
        </w:rPr>
        <w:t xml:space="preserve"> objektīvi kliedēt pasūtītāja</w:t>
      </w:r>
      <w:r w:rsidR="00775067">
        <w:rPr>
          <w:rFonts w:ascii="Times New Roman" w:eastAsiaTheme="minorHAnsi" w:hAnsi="Times New Roman" w:cs="Times New Roman"/>
          <w:sz w:val="24"/>
          <w:szCs w:val="24"/>
          <w:lang w:val="lv-LV"/>
        </w:rPr>
        <w:t>s</w:t>
      </w:r>
      <w:r w:rsidRPr="007B4062">
        <w:rPr>
          <w:rFonts w:ascii="Times New Roman" w:eastAsiaTheme="minorHAnsi" w:hAnsi="Times New Roman" w:cs="Times New Roman"/>
          <w:sz w:val="24"/>
          <w:szCs w:val="24"/>
          <w:lang w:val="lv-LV"/>
        </w:rPr>
        <w:t xml:space="preserve"> šaubas par pieteicējas spēju izpildīt līgumu ar piedāvājumā ietvertajiem nosacījumiem.</w:t>
      </w:r>
      <w:r w:rsidR="003E71BD" w:rsidRPr="007B4062">
        <w:rPr>
          <w:rFonts w:ascii="Times New Roman" w:eastAsiaTheme="minorHAnsi" w:hAnsi="Times New Roman" w:cs="Times New Roman"/>
          <w:sz w:val="24"/>
          <w:szCs w:val="24"/>
          <w:lang w:val="lv-LV"/>
        </w:rPr>
        <w:t xml:space="preserve"> </w:t>
      </w:r>
    </w:p>
    <w:p w14:paraId="1F41D7E0" w14:textId="01C918B1" w:rsidR="003E71BD" w:rsidRPr="007B4062" w:rsidRDefault="00560A25" w:rsidP="003F1B18">
      <w:pPr>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 xml:space="preserve">Izvērtējot no gada pārskatiem izrietošo informāciju par pieteicējas finansiālo situāciju, secināms, ka </w:t>
      </w:r>
      <w:r w:rsidR="003E71BD" w:rsidRPr="007B4062">
        <w:rPr>
          <w:rFonts w:ascii="Times New Roman" w:eastAsiaTheme="minorHAnsi" w:hAnsi="Times New Roman" w:cs="Times New Roman"/>
          <w:sz w:val="24"/>
          <w:szCs w:val="24"/>
          <w:lang w:val="lv-LV"/>
        </w:rPr>
        <w:t>pieteicējas skaidrojums pamato piedāvājumā iekļauto atlaid</w:t>
      </w:r>
      <w:r w:rsidR="004F22B9" w:rsidRPr="007B4062">
        <w:rPr>
          <w:rFonts w:ascii="Times New Roman" w:eastAsiaTheme="minorHAnsi" w:hAnsi="Times New Roman" w:cs="Times New Roman"/>
          <w:sz w:val="24"/>
          <w:szCs w:val="24"/>
          <w:lang w:val="lv-LV"/>
        </w:rPr>
        <w:t>es</w:t>
      </w:r>
      <w:r w:rsidR="003E71BD" w:rsidRPr="007B4062">
        <w:rPr>
          <w:rFonts w:ascii="Times New Roman" w:eastAsiaTheme="minorHAnsi" w:hAnsi="Times New Roman" w:cs="Times New Roman"/>
          <w:sz w:val="24"/>
          <w:szCs w:val="24"/>
          <w:lang w:val="lv-LV"/>
        </w:rPr>
        <w:t xml:space="preserve"> piemērošanu strīdus pozīcijā. Līdz ar to pieteicējas piedāvājums, ņemot vērā minēto atlaidi, ir bijis nopietns un īsts, un pasūtītājai objektīvi nevarēja pastāvēt šaubas par pieteicējas spējām izpildīt līgumu. </w:t>
      </w:r>
    </w:p>
    <w:p w14:paraId="3C037AD3" w14:textId="42309354" w:rsidR="00B35B88" w:rsidRPr="007B4062" w:rsidRDefault="00A92E72" w:rsidP="003F1B18">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 xml:space="preserve">Pēc </w:t>
      </w:r>
      <w:r w:rsidR="003E71BD" w:rsidRPr="007B4062">
        <w:rPr>
          <w:rFonts w:ascii="Times New Roman" w:eastAsiaTheme="minorHAnsi" w:hAnsi="Times New Roman" w:cs="Times New Roman"/>
          <w:sz w:val="24"/>
          <w:szCs w:val="24"/>
          <w:lang w:val="lv-LV"/>
        </w:rPr>
        <w:t xml:space="preserve">pieteicējas </w:t>
      </w:r>
      <w:r w:rsidRPr="007B4062">
        <w:rPr>
          <w:rFonts w:ascii="Times New Roman" w:eastAsiaTheme="minorHAnsi" w:hAnsi="Times New Roman" w:cs="Times New Roman"/>
          <w:sz w:val="24"/>
          <w:szCs w:val="24"/>
          <w:lang w:val="lv-LV"/>
        </w:rPr>
        <w:t>piedāvājum</w:t>
      </w:r>
      <w:r>
        <w:rPr>
          <w:rFonts w:ascii="Times New Roman" w:eastAsiaTheme="minorHAnsi" w:hAnsi="Times New Roman" w:cs="Times New Roman"/>
          <w:sz w:val="24"/>
          <w:szCs w:val="24"/>
          <w:lang w:val="lv-LV"/>
        </w:rPr>
        <w:t>a</w:t>
      </w:r>
      <w:r w:rsidRPr="007B4062">
        <w:rPr>
          <w:rFonts w:ascii="Times New Roman" w:eastAsiaTheme="minorHAnsi" w:hAnsi="Times New Roman" w:cs="Times New Roman"/>
          <w:sz w:val="24"/>
          <w:szCs w:val="24"/>
          <w:lang w:val="lv-LV"/>
        </w:rPr>
        <w:t xml:space="preserve"> </w:t>
      </w:r>
      <w:r w:rsidR="003E71BD" w:rsidRPr="007B4062">
        <w:rPr>
          <w:rFonts w:ascii="Times New Roman" w:eastAsiaTheme="minorHAnsi" w:hAnsi="Times New Roman" w:cs="Times New Roman"/>
          <w:sz w:val="24"/>
          <w:szCs w:val="24"/>
          <w:lang w:val="lv-LV"/>
        </w:rPr>
        <w:t xml:space="preserve">un </w:t>
      </w:r>
      <w:r w:rsidRPr="007B4062">
        <w:rPr>
          <w:rFonts w:ascii="Times New Roman" w:eastAsiaTheme="minorHAnsi" w:hAnsi="Times New Roman" w:cs="Times New Roman"/>
          <w:sz w:val="24"/>
          <w:szCs w:val="24"/>
          <w:lang w:val="lv-LV"/>
        </w:rPr>
        <w:t>informācij</w:t>
      </w:r>
      <w:r>
        <w:rPr>
          <w:rFonts w:ascii="Times New Roman" w:eastAsiaTheme="minorHAnsi" w:hAnsi="Times New Roman" w:cs="Times New Roman"/>
          <w:sz w:val="24"/>
          <w:szCs w:val="24"/>
          <w:lang w:val="lv-LV"/>
        </w:rPr>
        <w:t>as</w:t>
      </w:r>
      <w:r w:rsidRPr="007B4062">
        <w:rPr>
          <w:rFonts w:ascii="Times New Roman" w:eastAsiaTheme="minorHAnsi" w:hAnsi="Times New Roman" w:cs="Times New Roman"/>
          <w:sz w:val="24"/>
          <w:szCs w:val="24"/>
          <w:lang w:val="lv-LV"/>
        </w:rPr>
        <w:t xml:space="preserve"> </w:t>
      </w:r>
      <w:r w:rsidR="003E71BD" w:rsidRPr="007B4062">
        <w:rPr>
          <w:rFonts w:ascii="Times New Roman" w:eastAsiaTheme="minorHAnsi" w:hAnsi="Times New Roman" w:cs="Times New Roman"/>
          <w:sz w:val="24"/>
          <w:szCs w:val="24"/>
          <w:lang w:val="lv-LV"/>
        </w:rPr>
        <w:t>par citu pretendentu iesniegtajiem piedāvājumiem</w:t>
      </w:r>
      <w:r>
        <w:rPr>
          <w:rFonts w:ascii="Times New Roman" w:eastAsiaTheme="minorHAnsi" w:hAnsi="Times New Roman" w:cs="Times New Roman"/>
          <w:sz w:val="24"/>
          <w:szCs w:val="24"/>
          <w:lang w:val="lv-LV"/>
        </w:rPr>
        <w:t xml:space="preserve"> pārbaudes</w:t>
      </w:r>
      <w:r w:rsidR="003E71BD" w:rsidRPr="007B4062">
        <w:rPr>
          <w:rFonts w:ascii="Times New Roman" w:eastAsiaTheme="minorHAnsi" w:hAnsi="Times New Roman" w:cs="Times New Roman"/>
          <w:sz w:val="24"/>
          <w:szCs w:val="24"/>
          <w:lang w:val="lv-LV"/>
        </w:rPr>
        <w:t xml:space="preserve"> secināms, ka iepirkuma tiesiskas norises gadījumā </w:t>
      </w:r>
      <w:r w:rsidR="003E71BD" w:rsidRPr="007B4062">
        <w:rPr>
          <w:rFonts w:ascii="Times New Roman" w:eastAsiaTheme="minorHAnsi" w:hAnsi="Times New Roman" w:cs="Times New Roman"/>
          <w:sz w:val="24"/>
          <w:szCs w:val="24"/>
          <w:lang w:val="lv-LV"/>
        </w:rPr>
        <w:lastRenderedPageBreak/>
        <w:t>pieteicējas piedāvājums tiktu atzīts par saimnieciski visizdevīgāko un līguma slēgšanas tiesības būtu</w:t>
      </w:r>
      <w:r w:rsidR="004F22B9" w:rsidRPr="007B4062">
        <w:rPr>
          <w:rFonts w:ascii="Times New Roman" w:eastAsiaTheme="minorHAnsi" w:hAnsi="Times New Roman" w:cs="Times New Roman"/>
          <w:sz w:val="24"/>
          <w:szCs w:val="24"/>
          <w:lang w:val="lv-LV"/>
        </w:rPr>
        <w:t xml:space="preserve"> bijis</w:t>
      </w:r>
      <w:r w:rsidR="003E71BD" w:rsidRPr="007B4062">
        <w:rPr>
          <w:rFonts w:ascii="Times New Roman" w:eastAsiaTheme="minorHAnsi" w:hAnsi="Times New Roman" w:cs="Times New Roman"/>
          <w:sz w:val="24"/>
          <w:szCs w:val="24"/>
          <w:lang w:val="lv-LV"/>
        </w:rPr>
        <w:t xml:space="preserve"> jāpiešķir pieteicējai.</w:t>
      </w:r>
      <w:r w:rsidR="00B35B88" w:rsidRPr="007B4062">
        <w:rPr>
          <w:rFonts w:ascii="Times New Roman" w:eastAsiaTheme="minorHAnsi" w:hAnsi="Times New Roman" w:cs="Times New Roman"/>
          <w:sz w:val="24"/>
          <w:szCs w:val="24"/>
          <w:lang w:val="lv-LV"/>
        </w:rPr>
        <w:t xml:space="preserve"> </w:t>
      </w:r>
    </w:p>
    <w:p w14:paraId="6C8BD14F" w14:textId="4CF81CDF" w:rsidR="00B35B88" w:rsidRPr="007B4062" w:rsidRDefault="003E71BD" w:rsidP="003F1B18">
      <w:pPr>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[3.2]</w:t>
      </w:r>
      <w:r w:rsidR="006654C5">
        <w:rPr>
          <w:rFonts w:ascii="Times New Roman" w:eastAsiaTheme="minorHAnsi" w:hAnsi="Times New Roman" w:cs="Times New Roman"/>
          <w:sz w:val="24"/>
          <w:szCs w:val="24"/>
          <w:lang w:val="lv-LV"/>
        </w:rPr>
        <w:t> </w:t>
      </w:r>
      <w:r w:rsidR="00B35B88" w:rsidRPr="007B4062">
        <w:rPr>
          <w:rFonts w:ascii="Times New Roman" w:eastAsiaTheme="minorHAnsi" w:hAnsi="Times New Roman" w:cs="Times New Roman"/>
          <w:sz w:val="24"/>
          <w:szCs w:val="24"/>
          <w:lang w:val="lv-LV"/>
        </w:rPr>
        <w:t xml:space="preserve">Tas, vai un kādā apmērā pieteicēja iepirkuma līguma noslēgšanas rezultātā būtu guvusi peļņu, ir jāpierāda pieteicējai. </w:t>
      </w:r>
    </w:p>
    <w:p w14:paraId="4AE9A9AD" w14:textId="0E7F1242" w:rsidR="00077112" w:rsidRPr="007B4062" w:rsidRDefault="005560FE" w:rsidP="003F1B18">
      <w:pPr>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P</w:t>
      </w:r>
      <w:r w:rsidR="00B35B88" w:rsidRPr="007B4062">
        <w:rPr>
          <w:rFonts w:ascii="Times New Roman" w:eastAsiaTheme="minorHAnsi" w:hAnsi="Times New Roman" w:cs="Times New Roman"/>
          <w:sz w:val="24"/>
          <w:szCs w:val="24"/>
          <w:lang w:val="lv-LV"/>
        </w:rPr>
        <w:t>ieteicējas iesniegt</w:t>
      </w:r>
      <w:r w:rsidRPr="007B4062">
        <w:rPr>
          <w:rFonts w:ascii="Times New Roman" w:eastAsiaTheme="minorHAnsi" w:hAnsi="Times New Roman" w:cs="Times New Roman"/>
          <w:sz w:val="24"/>
          <w:szCs w:val="24"/>
          <w:lang w:val="lv-LV"/>
        </w:rPr>
        <w:t xml:space="preserve">ajā </w:t>
      </w:r>
      <w:r w:rsidR="00B35B88" w:rsidRPr="007B4062">
        <w:rPr>
          <w:rFonts w:ascii="Times New Roman" w:eastAsiaTheme="minorHAnsi" w:hAnsi="Times New Roman" w:cs="Times New Roman"/>
          <w:sz w:val="24"/>
          <w:szCs w:val="24"/>
          <w:lang w:val="lv-LV"/>
        </w:rPr>
        <w:t xml:space="preserve">grāmatvedības un konsultāciju pakalpojumu uzņēmuma </w:t>
      </w:r>
      <w:r w:rsidR="00B21BC8" w:rsidRPr="007B4062">
        <w:rPr>
          <w:rFonts w:ascii="Times New Roman" w:hAnsi="Times New Roman" w:cs="Times New Roman"/>
          <w:sz w:val="24"/>
          <w:szCs w:val="24"/>
          <w:lang w:val="lv-LV"/>
        </w:rPr>
        <w:t>„</w:t>
      </w:r>
      <w:r w:rsidR="00B35B88" w:rsidRPr="0045627A">
        <w:rPr>
          <w:rFonts w:ascii="Times New Roman" w:eastAsiaTheme="minorHAnsi" w:hAnsi="Times New Roman" w:cs="Times New Roman"/>
          <w:sz w:val="24"/>
          <w:szCs w:val="24"/>
          <w:lang w:val="lv-LV"/>
        </w:rPr>
        <w:t>Grant Thornton</w:t>
      </w:r>
      <w:r w:rsidR="00B21BC8">
        <w:rPr>
          <w:rFonts w:ascii="Times New Roman" w:eastAsiaTheme="minorHAnsi" w:hAnsi="Times New Roman" w:cs="Times New Roman"/>
          <w:sz w:val="24"/>
          <w:szCs w:val="24"/>
          <w:lang w:val="lv-LV"/>
        </w:rPr>
        <w:t>”</w:t>
      </w:r>
      <w:r w:rsidR="00B35B88" w:rsidRPr="007B4062">
        <w:rPr>
          <w:rFonts w:ascii="Times New Roman" w:eastAsiaTheme="minorHAnsi" w:hAnsi="Times New Roman" w:cs="Times New Roman"/>
          <w:i/>
          <w:iCs/>
          <w:sz w:val="24"/>
          <w:szCs w:val="24"/>
          <w:lang w:val="lv-LV"/>
        </w:rPr>
        <w:t xml:space="preserve"> </w:t>
      </w:r>
      <w:r w:rsidR="00B35B88" w:rsidRPr="007B4062">
        <w:rPr>
          <w:rFonts w:ascii="Times New Roman" w:eastAsiaTheme="minorHAnsi" w:hAnsi="Times New Roman" w:cs="Times New Roman"/>
          <w:sz w:val="24"/>
          <w:szCs w:val="24"/>
          <w:lang w:val="lv-LV"/>
        </w:rPr>
        <w:t>novērtējum</w:t>
      </w:r>
      <w:r w:rsidRPr="007B4062">
        <w:rPr>
          <w:rFonts w:ascii="Times New Roman" w:eastAsiaTheme="minorHAnsi" w:hAnsi="Times New Roman" w:cs="Times New Roman"/>
          <w:sz w:val="24"/>
          <w:szCs w:val="24"/>
          <w:lang w:val="lv-LV"/>
        </w:rPr>
        <w:t xml:space="preserve">ā (turpmāk – </w:t>
      </w:r>
      <w:r w:rsidR="00B21BC8" w:rsidRPr="007B4062">
        <w:rPr>
          <w:rFonts w:ascii="Times New Roman" w:hAnsi="Times New Roman" w:cs="Times New Roman"/>
          <w:sz w:val="24"/>
          <w:szCs w:val="24"/>
          <w:lang w:val="lv-LV"/>
        </w:rPr>
        <w:t>„</w:t>
      </w:r>
      <w:r w:rsidRPr="0045627A">
        <w:rPr>
          <w:rFonts w:ascii="Times New Roman" w:eastAsiaTheme="minorHAnsi" w:hAnsi="Times New Roman" w:cs="Times New Roman"/>
          <w:sz w:val="24"/>
          <w:szCs w:val="24"/>
          <w:lang w:val="lv-LV"/>
        </w:rPr>
        <w:t>Grant Thornton</w:t>
      </w:r>
      <w:r w:rsidR="00B21BC8">
        <w:rPr>
          <w:rFonts w:ascii="Times New Roman" w:eastAsiaTheme="minorHAnsi" w:hAnsi="Times New Roman" w:cs="Times New Roman"/>
          <w:sz w:val="24"/>
          <w:szCs w:val="24"/>
          <w:lang w:val="lv-LV"/>
        </w:rPr>
        <w:t>”</w:t>
      </w:r>
      <w:r w:rsidRPr="007B4062">
        <w:rPr>
          <w:rFonts w:ascii="Times New Roman" w:eastAsiaTheme="minorHAnsi" w:hAnsi="Times New Roman" w:cs="Times New Roman"/>
          <w:i/>
          <w:iCs/>
          <w:sz w:val="24"/>
          <w:szCs w:val="24"/>
          <w:lang w:val="lv-LV"/>
        </w:rPr>
        <w:t xml:space="preserve"> </w:t>
      </w:r>
      <w:r w:rsidRPr="007B4062">
        <w:rPr>
          <w:rFonts w:ascii="Times New Roman" w:eastAsiaTheme="minorHAnsi" w:hAnsi="Times New Roman" w:cs="Times New Roman"/>
          <w:sz w:val="24"/>
          <w:szCs w:val="24"/>
          <w:lang w:val="lv-LV"/>
        </w:rPr>
        <w:t>novērtējums), iz</w:t>
      </w:r>
      <w:r w:rsidR="00B35B88" w:rsidRPr="007B4062">
        <w:rPr>
          <w:rFonts w:ascii="Times New Roman" w:eastAsiaTheme="minorHAnsi" w:hAnsi="Times New Roman" w:cs="Times New Roman"/>
          <w:sz w:val="24"/>
          <w:szCs w:val="24"/>
          <w:lang w:val="lv-LV"/>
        </w:rPr>
        <w:t>manto</w:t>
      </w:r>
      <w:r w:rsidRPr="007B4062">
        <w:rPr>
          <w:rFonts w:ascii="Times New Roman" w:eastAsiaTheme="minorHAnsi" w:hAnsi="Times New Roman" w:cs="Times New Roman"/>
          <w:sz w:val="24"/>
          <w:szCs w:val="24"/>
          <w:lang w:val="lv-LV"/>
        </w:rPr>
        <w:t>jot</w:t>
      </w:r>
      <w:r w:rsidR="00B35B88" w:rsidRPr="007B4062">
        <w:rPr>
          <w:rFonts w:ascii="Times New Roman" w:eastAsiaTheme="minorHAnsi" w:hAnsi="Times New Roman" w:cs="Times New Roman"/>
          <w:sz w:val="24"/>
          <w:szCs w:val="24"/>
          <w:lang w:val="lv-LV"/>
        </w:rPr>
        <w:t xml:space="preserve"> informācij</w:t>
      </w:r>
      <w:r w:rsidRPr="007B4062">
        <w:rPr>
          <w:rFonts w:ascii="Times New Roman" w:eastAsiaTheme="minorHAnsi" w:hAnsi="Times New Roman" w:cs="Times New Roman"/>
          <w:sz w:val="24"/>
          <w:szCs w:val="24"/>
          <w:lang w:val="lv-LV"/>
        </w:rPr>
        <w:t>u</w:t>
      </w:r>
      <w:r w:rsidR="00B35B88" w:rsidRPr="007B4062">
        <w:rPr>
          <w:rFonts w:ascii="Times New Roman" w:eastAsiaTheme="minorHAnsi" w:hAnsi="Times New Roman" w:cs="Times New Roman"/>
          <w:sz w:val="24"/>
          <w:szCs w:val="24"/>
          <w:lang w:val="lv-LV"/>
        </w:rPr>
        <w:t>, kas saņemta no</w:t>
      </w:r>
      <w:r w:rsidRPr="007B4062">
        <w:rPr>
          <w:rFonts w:ascii="Times New Roman" w:eastAsiaTheme="minorHAnsi" w:hAnsi="Times New Roman" w:cs="Times New Roman"/>
          <w:sz w:val="24"/>
          <w:szCs w:val="24"/>
          <w:lang w:val="lv-LV"/>
        </w:rPr>
        <w:t xml:space="preserve"> </w:t>
      </w:r>
      <w:r w:rsidR="00B35B88" w:rsidRPr="007B4062">
        <w:rPr>
          <w:rFonts w:ascii="Times New Roman" w:eastAsiaTheme="minorHAnsi" w:hAnsi="Times New Roman" w:cs="Times New Roman"/>
          <w:sz w:val="24"/>
          <w:szCs w:val="24"/>
          <w:lang w:val="lv-LV"/>
        </w:rPr>
        <w:t>pieteicējas, citām personām, kā arī publiski pieejamiem avotiem</w:t>
      </w:r>
      <w:r w:rsidRPr="007B4062">
        <w:rPr>
          <w:rFonts w:ascii="Times New Roman" w:eastAsiaTheme="minorHAnsi" w:hAnsi="Times New Roman" w:cs="Times New Roman"/>
          <w:sz w:val="24"/>
          <w:szCs w:val="24"/>
          <w:lang w:val="lv-LV"/>
        </w:rPr>
        <w:t xml:space="preserve">, konstatēts, ka pieteicējas </w:t>
      </w:r>
      <w:r w:rsidR="00B35B88" w:rsidRPr="007B4062">
        <w:rPr>
          <w:rFonts w:ascii="Times New Roman" w:eastAsiaTheme="minorHAnsi" w:hAnsi="Times New Roman" w:cs="Times New Roman"/>
          <w:sz w:val="24"/>
          <w:szCs w:val="24"/>
          <w:lang w:val="lv-LV"/>
        </w:rPr>
        <w:t>ne</w:t>
      </w:r>
      <w:r w:rsidR="00320CBC">
        <w:rPr>
          <w:rFonts w:ascii="Times New Roman" w:eastAsiaTheme="minorHAnsi" w:hAnsi="Times New Roman" w:cs="Times New Roman"/>
          <w:sz w:val="24"/>
          <w:szCs w:val="24"/>
          <w:lang w:val="lv-LV"/>
        </w:rPr>
        <w:t>ie</w:t>
      </w:r>
      <w:r w:rsidR="00B35B88" w:rsidRPr="007B4062">
        <w:rPr>
          <w:rFonts w:ascii="Times New Roman" w:eastAsiaTheme="minorHAnsi" w:hAnsi="Times New Roman" w:cs="Times New Roman"/>
          <w:sz w:val="24"/>
          <w:szCs w:val="24"/>
          <w:lang w:val="lv-LV"/>
        </w:rPr>
        <w:t>gūto peļņu veido divi galvenie elementi: 1) projekta</w:t>
      </w:r>
      <w:r w:rsidRPr="007B4062">
        <w:rPr>
          <w:rFonts w:ascii="Times New Roman" w:eastAsiaTheme="minorHAnsi" w:hAnsi="Times New Roman" w:cs="Times New Roman"/>
          <w:sz w:val="24"/>
          <w:szCs w:val="24"/>
          <w:lang w:val="lv-LV"/>
        </w:rPr>
        <w:t xml:space="preserve"> </w:t>
      </w:r>
      <w:r w:rsidR="00B35B88" w:rsidRPr="007B4062">
        <w:rPr>
          <w:rFonts w:ascii="Times New Roman" w:eastAsiaTheme="minorHAnsi" w:hAnsi="Times New Roman" w:cs="Times New Roman"/>
          <w:sz w:val="24"/>
          <w:szCs w:val="24"/>
          <w:lang w:val="lv-LV"/>
        </w:rPr>
        <w:t>tāmē aprēķinātā peļņa no darbu veikšanas; 2) projekta tāmē norādītie virsizdevumi – fiksētās</w:t>
      </w:r>
      <w:r w:rsidRPr="007B4062">
        <w:rPr>
          <w:rFonts w:ascii="Times New Roman" w:eastAsiaTheme="minorHAnsi" w:hAnsi="Times New Roman" w:cs="Times New Roman"/>
          <w:sz w:val="24"/>
          <w:szCs w:val="24"/>
          <w:lang w:val="lv-LV"/>
        </w:rPr>
        <w:t xml:space="preserve"> </w:t>
      </w:r>
      <w:r w:rsidR="00B35B88" w:rsidRPr="007B4062">
        <w:rPr>
          <w:rFonts w:ascii="Times New Roman" w:eastAsiaTheme="minorHAnsi" w:hAnsi="Times New Roman" w:cs="Times New Roman"/>
          <w:sz w:val="24"/>
          <w:szCs w:val="24"/>
          <w:lang w:val="lv-LV"/>
        </w:rPr>
        <w:t>pieteicējas izmaksas, kas saistītas ar sabiedrības saimnieciskās darbības vispārējo atbalstu un rodas</w:t>
      </w:r>
      <w:r w:rsidRPr="007B4062">
        <w:rPr>
          <w:rFonts w:ascii="Times New Roman" w:eastAsiaTheme="minorHAnsi" w:hAnsi="Times New Roman" w:cs="Times New Roman"/>
          <w:sz w:val="24"/>
          <w:szCs w:val="24"/>
          <w:lang w:val="lv-LV"/>
        </w:rPr>
        <w:t xml:space="preserve"> </w:t>
      </w:r>
      <w:r w:rsidR="00B35B88" w:rsidRPr="007B4062">
        <w:rPr>
          <w:rFonts w:ascii="Times New Roman" w:eastAsiaTheme="minorHAnsi" w:hAnsi="Times New Roman" w:cs="Times New Roman"/>
          <w:sz w:val="24"/>
          <w:szCs w:val="24"/>
          <w:lang w:val="lv-LV"/>
        </w:rPr>
        <w:t xml:space="preserve">neatkarīgi no iegūto pasūtījumu skaita un apjoma. </w:t>
      </w:r>
      <w:r w:rsidRPr="007B4062">
        <w:rPr>
          <w:rFonts w:ascii="Times New Roman" w:eastAsiaTheme="minorHAnsi" w:hAnsi="Times New Roman" w:cs="Times New Roman"/>
          <w:sz w:val="24"/>
          <w:szCs w:val="24"/>
          <w:lang w:val="lv-LV"/>
        </w:rPr>
        <w:t xml:space="preserve">Novērtējot </w:t>
      </w:r>
      <w:r w:rsidR="00B35B88" w:rsidRPr="007B4062">
        <w:rPr>
          <w:rFonts w:ascii="Times New Roman" w:eastAsiaTheme="minorHAnsi" w:hAnsi="Times New Roman" w:cs="Times New Roman"/>
          <w:sz w:val="24"/>
          <w:szCs w:val="24"/>
          <w:lang w:val="lv-LV"/>
        </w:rPr>
        <w:t>zaudējumu</w:t>
      </w:r>
      <w:r w:rsidRPr="007B4062">
        <w:rPr>
          <w:rFonts w:ascii="Times New Roman" w:eastAsiaTheme="minorHAnsi" w:hAnsi="Times New Roman" w:cs="Times New Roman"/>
          <w:sz w:val="24"/>
          <w:szCs w:val="24"/>
          <w:lang w:val="lv-LV"/>
        </w:rPr>
        <w:t>s</w:t>
      </w:r>
      <w:r w:rsidR="00B35B88" w:rsidRPr="007B4062">
        <w:rPr>
          <w:rFonts w:ascii="Times New Roman" w:eastAsiaTheme="minorHAnsi" w:hAnsi="Times New Roman" w:cs="Times New Roman"/>
          <w:sz w:val="24"/>
          <w:szCs w:val="24"/>
          <w:lang w:val="lv-LV"/>
        </w:rPr>
        <w:t>, ņemts</w:t>
      </w:r>
      <w:r w:rsidRPr="007B4062">
        <w:rPr>
          <w:rFonts w:ascii="Times New Roman" w:eastAsiaTheme="minorHAnsi" w:hAnsi="Times New Roman" w:cs="Times New Roman"/>
          <w:sz w:val="24"/>
          <w:szCs w:val="24"/>
          <w:lang w:val="lv-LV"/>
        </w:rPr>
        <w:t xml:space="preserve"> </w:t>
      </w:r>
      <w:r w:rsidR="00B35B88" w:rsidRPr="007B4062">
        <w:rPr>
          <w:rFonts w:ascii="Times New Roman" w:eastAsiaTheme="minorHAnsi" w:hAnsi="Times New Roman" w:cs="Times New Roman"/>
          <w:sz w:val="24"/>
          <w:szCs w:val="24"/>
          <w:lang w:val="lv-LV"/>
        </w:rPr>
        <w:t>vērā iepirkuma nolikumam pievienotais būvniecības līguma projekts un tajā norādītais būvdarbu</w:t>
      </w:r>
      <w:r w:rsidRPr="007B4062">
        <w:rPr>
          <w:rFonts w:ascii="Times New Roman" w:eastAsiaTheme="minorHAnsi" w:hAnsi="Times New Roman" w:cs="Times New Roman"/>
          <w:sz w:val="24"/>
          <w:szCs w:val="24"/>
          <w:lang w:val="lv-LV"/>
        </w:rPr>
        <w:t xml:space="preserve"> </w:t>
      </w:r>
      <w:r w:rsidR="00B35B88" w:rsidRPr="007B4062">
        <w:rPr>
          <w:rFonts w:ascii="Times New Roman" w:eastAsiaTheme="minorHAnsi" w:hAnsi="Times New Roman" w:cs="Times New Roman"/>
          <w:sz w:val="24"/>
          <w:szCs w:val="24"/>
          <w:lang w:val="lv-LV"/>
        </w:rPr>
        <w:t>izpildes termiņš un norēķinu kārtība, kā arī pieteicējas izstrādātais projekta īstenošanas laika grafiks</w:t>
      </w:r>
      <w:r w:rsidRPr="007B4062">
        <w:rPr>
          <w:rFonts w:ascii="Times New Roman" w:eastAsiaTheme="minorHAnsi" w:hAnsi="Times New Roman" w:cs="Times New Roman"/>
          <w:sz w:val="24"/>
          <w:szCs w:val="24"/>
          <w:lang w:val="lv-LV"/>
        </w:rPr>
        <w:t xml:space="preserve"> </w:t>
      </w:r>
      <w:r w:rsidR="00B35B88" w:rsidRPr="007B4062">
        <w:rPr>
          <w:rFonts w:ascii="Times New Roman" w:eastAsiaTheme="minorHAnsi" w:hAnsi="Times New Roman" w:cs="Times New Roman"/>
          <w:sz w:val="24"/>
          <w:szCs w:val="24"/>
          <w:lang w:val="lv-LV"/>
        </w:rPr>
        <w:t>un naudas plūsmas plāns.</w:t>
      </w:r>
      <w:r w:rsidRPr="007B4062">
        <w:rPr>
          <w:rFonts w:ascii="Times New Roman" w:eastAsiaTheme="minorHAnsi" w:hAnsi="Times New Roman" w:cs="Times New Roman"/>
          <w:sz w:val="24"/>
          <w:szCs w:val="24"/>
          <w:lang w:val="lv-LV"/>
        </w:rPr>
        <w:t xml:space="preserve"> </w:t>
      </w:r>
      <w:r w:rsidR="00B35B88" w:rsidRPr="007B4062">
        <w:rPr>
          <w:rFonts w:ascii="Times New Roman" w:eastAsiaTheme="minorHAnsi" w:hAnsi="Times New Roman" w:cs="Times New Roman"/>
          <w:sz w:val="24"/>
          <w:szCs w:val="24"/>
          <w:lang w:val="lv-LV"/>
        </w:rPr>
        <w:t>Ieņēmumu plūsma no projekta tika noteikta, ņemot vērā pieteicējas finanšu</w:t>
      </w:r>
      <w:r w:rsidRPr="007B4062">
        <w:rPr>
          <w:rFonts w:ascii="Times New Roman" w:eastAsiaTheme="minorHAnsi" w:hAnsi="Times New Roman" w:cs="Times New Roman"/>
          <w:sz w:val="24"/>
          <w:szCs w:val="24"/>
          <w:lang w:val="lv-LV"/>
        </w:rPr>
        <w:t xml:space="preserve"> </w:t>
      </w:r>
      <w:r w:rsidR="00B35B88" w:rsidRPr="007B4062">
        <w:rPr>
          <w:rFonts w:ascii="Times New Roman" w:eastAsiaTheme="minorHAnsi" w:hAnsi="Times New Roman" w:cs="Times New Roman"/>
          <w:sz w:val="24"/>
          <w:szCs w:val="24"/>
          <w:lang w:val="lv-LV"/>
        </w:rPr>
        <w:t>piedāvājumu, darbu izpildes grafiku, konkursa nolikumu un tam pievienoto līguma projektu</w:t>
      </w:r>
      <w:r w:rsidRPr="007B4062">
        <w:rPr>
          <w:rFonts w:ascii="Times New Roman" w:eastAsiaTheme="minorHAnsi" w:hAnsi="Times New Roman" w:cs="Times New Roman"/>
          <w:sz w:val="24"/>
          <w:szCs w:val="24"/>
          <w:lang w:val="lv-LV"/>
        </w:rPr>
        <w:t>. Novērtējumā secināts, ka p</w:t>
      </w:r>
      <w:r w:rsidR="00B35B88" w:rsidRPr="007B4062">
        <w:rPr>
          <w:rFonts w:ascii="Times New Roman" w:eastAsiaTheme="minorHAnsi" w:hAnsi="Times New Roman" w:cs="Times New Roman"/>
          <w:sz w:val="24"/>
          <w:szCs w:val="24"/>
          <w:lang w:val="lv-LV"/>
        </w:rPr>
        <w:t>ieteicējas piedāvājumā kopējā tāmes summa atbil</w:t>
      </w:r>
      <w:r w:rsidRPr="007B4062">
        <w:rPr>
          <w:rFonts w:ascii="Times New Roman" w:eastAsiaTheme="minorHAnsi" w:hAnsi="Times New Roman" w:cs="Times New Roman"/>
          <w:sz w:val="24"/>
          <w:szCs w:val="24"/>
          <w:lang w:val="lv-LV"/>
        </w:rPr>
        <w:t>da</w:t>
      </w:r>
      <w:r w:rsidR="00B35B88" w:rsidRPr="007B4062">
        <w:rPr>
          <w:rFonts w:ascii="Times New Roman" w:eastAsiaTheme="minorHAnsi" w:hAnsi="Times New Roman" w:cs="Times New Roman"/>
          <w:sz w:val="24"/>
          <w:szCs w:val="24"/>
          <w:lang w:val="lv-LV"/>
        </w:rPr>
        <w:t xml:space="preserve"> vidējām tirgus izmaksām par</w:t>
      </w:r>
      <w:r w:rsidRPr="007B4062">
        <w:rPr>
          <w:rFonts w:ascii="Times New Roman" w:eastAsiaTheme="minorHAnsi" w:hAnsi="Times New Roman" w:cs="Times New Roman"/>
          <w:sz w:val="24"/>
          <w:szCs w:val="24"/>
          <w:lang w:val="lv-LV"/>
        </w:rPr>
        <w:t xml:space="preserve"> </w:t>
      </w:r>
      <w:r w:rsidR="00B35B88" w:rsidRPr="007B4062">
        <w:rPr>
          <w:rFonts w:ascii="Times New Roman" w:eastAsiaTheme="minorHAnsi" w:hAnsi="Times New Roman" w:cs="Times New Roman"/>
          <w:sz w:val="24"/>
          <w:szCs w:val="24"/>
          <w:lang w:val="lv-LV"/>
        </w:rPr>
        <w:t>konkrētā projekta īstenošanu</w:t>
      </w:r>
      <w:r w:rsidRPr="007B4062">
        <w:rPr>
          <w:rFonts w:ascii="Times New Roman" w:eastAsiaTheme="minorHAnsi" w:hAnsi="Times New Roman" w:cs="Times New Roman"/>
          <w:sz w:val="24"/>
          <w:szCs w:val="24"/>
          <w:lang w:val="lv-LV"/>
        </w:rPr>
        <w:t xml:space="preserve"> un var uzskatīt, ka </w:t>
      </w:r>
      <w:r w:rsidR="00B35B88" w:rsidRPr="007B4062">
        <w:rPr>
          <w:rFonts w:ascii="Times New Roman" w:eastAsiaTheme="minorHAnsi" w:hAnsi="Times New Roman" w:cs="Times New Roman"/>
          <w:sz w:val="24"/>
          <w:szCs w:val="24"/>
          <w:lang w:val="lv-LV"/>
        </w:rPr>
        <w:t>tāmē iekļautais peļņas procents</w:t>
      </w:r>
      <w:r w:rsidRPr="007B4062">
        <w:rPr>
          <w:rFonts w:ascii="Times New Roman" w:eastAsiaTheme="minorHAnsi" w:hAnsi="Times New Roman" w:cs="Times New Roman"/>
          <w:sz w:val="24"/>
          <w:szCs w:val="24"/>
          <w:lang w:val="lv-LV"/>
        </w:rPr>
        <w:t xml:space="preserve"> (5 </w:t>
      </w:r>
      <w:r w:rsidR="00F90F90">
        <w:rPr>
          <w:rFonts w:ascii="Times New Roman" w:eastAsiaTheme="minorHAnsi" w:hAnsi="Times New Roman" w:cs="Times New Roman"/>
          <w:sz w:val="24"/>
          <w:szCs w:val="24"/>
          <w:lang w:val="lv-LV"/>
        </w:rPr>
        <w:t>%</w:t>
      </w:r>
      <w:r w:rsidRPr="007B4062">
        <w:rPr>
          <w:rFonts w:ascii="Times New Roman" w:eastAsiaTheme="minorHAnsi" w:hAnsi="Times New Roman" w:cs="Times New Roman"/>
          <w:sz w:val="24"/>
          <w:szCs w:val="24"/>
          <w:lang w:val="lv-LV"/>
        </w:rPr>
        <w:t>)</w:t>
      </w:r>
      <w:r w:rsidR="00B35B88" w:rsidRPr="007B4062">
        <w:rPr>
          <w:rFonts w:ascii="Times New Roman" w:eastAsiaTheme="minorHAnsi" w:hAnsi="Times New Roman" w:cs="Times New Roman"/>
          <w:sz w:val="24"/>
          <w:szCs w:val="24"/>
          <w:lang w:val="lv-LV"/>
        </w:rPr>
        <w:t xml:space="preserve"> atbilst vidēji</w:t>
      </w:r>
      <w:r w:rsidRPr="007B4062">
        <w:rPr>
          <w:rFonts w:ascii="Times New Roman" w:eastAsiaTheme="minorHAnsi" w:hAnsi="Times New Roman" w:cs="Times New Roman"/>
          <w:sz w:val="24"/>
          <w:szCs w:val="24"/>
          <w:lang w:val="lv-LV"/>
        </w:rPr>
        <w:t xml:space="preserve"> </w:t>
      </w:r>
      <w:r w:rsidR="00B35B88" w:rsidRPr="007B4062">
        <w:rPr>
          <w:rFonts w:ascii="Times New Roman" w:eastAsiaTheme="minorHAnsi" w:hAnsi="Times New Roman" w:cs="Times New Roman"/>
          <w:sz w:val="24"/>
          <w:szCs w:val="24"/>
          <w:lang w:val="lv-LV"/>
        </w:rPr>
        <w:t xml:space="preserve">nozarē pastāvošajam rentabilitātes līmenim. </w:t>
      </w:r>
    </w:p>
    <w:p w14:paraId="011F33EF" w14:textId="308246C5" w:rsidR="00077112" w:rsidRPr="007B4062" w:rsidRDefault="00B35B88" w:rsidP="003F1B18">
      <w:pPr>
        <w:autoSpaceDE w:val="0"/>
        <w:autoSpaceDN w:val="0"/>
        <w:adjustRightInd w:val="0"/>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 xml:space="preserve">Tiesai nav pamata apšaubīt </w:t>
      </w:r>
      <w:r w:rsidR="00B21BC8" w:rsidRPr="007B4062">
        <w:rPr>
          <w:rFonts w:ascii="Times New Roman" w:hAnsi="Times New Roman" w:cs="Times New Roman"/>
          <w:sz w:val="24"/>
          <w:szCs w:val="24"/>
          <w:lang w:val="lv-LV"/>
        </w:rPr>
        <w:t>„</w:t>
      </w:r>
      <w:r w:rsidR="00077112" w:rsidRPr="0045627A">
        <w:rPr>
          <w:rFonts w:ascii="Times New Roman" w:eastAsiaTheme="minorHAnsi" w:hAnsi="Times New Roman" w:cs="Times New Roman"/>
          <w:sz w:val="24"/>
          <w:szCs w:val="24"/>
          <w:lang w:val="lv-LV"/>
        </w:rPr>
        <w:t>Grant Thornton</w:t>
      </w:r>
      <w:r w:rsidR="00B21BC8">
        <w:rPr>
          <w:rFonts w:ascii="Times New Roman" w:eastAsiaTheme="minorHAnsi" w:hAnsi="Times New Roman" w:cs="Times New Roman"/>
          <w:sz w:val="24"/>
          <w:szCs w:val="24"/>
          <w:lang w:val="lv-LV"/>
        </w:rPr>
        <w:t>”</w:t>
      </w:r>
      <w:r w:rsidR="00077112" w:rsidRPr="007B4062">
        <w:rPr>
          <w:rFonts w:ascii="Times New Roman" w:eastAsiaTheme="minorHAnsi" w:hAnsi="Times New Roman" w:cs="Times New Roman"/>
          <w:i/>
          <w:iCs/>
          <w:sz w:val="24"/>
          <w:szCs w:val="24"/>
          <w:lang w:val="lv-LV"/>
        </w:rPr>
        <w:t xml:space="preserve"> </w:t>
      </w:r>
      <w:r w:rsidR="00077112" w:rsidRPr="007B4062">
        <w:rPr>
          <w:rFonts w:ascii="Times New Roman" w:eastAsiaTheme="minorHAnsi" w:hAnsi="Times New Roman" w:cs="Times New Roman"/>
          <w:sz w:val="24"/>
          <w:szCs w:val="24"/>
          <w:lang w:val="lv-LV"/>
        </w:rPr>
        <w:t xml:space="preserve">novērtējuma sagatavotāja </w:t>
      </w:r>
      <w:r w:rsidRPr="007B4062">
        <w:rPr>
          <w:rFonts w:ascii="Times New Roman" w:eastAsiaTheme="minorHAnsi" w:hAnsi="Times New Roman" w:cs="Times New Roman"/>
          <w:sz w:val="24"/>
          <w:szCs w:val="24"/>
          <w:lang w:val="lv-LV"/>
        </w:rPr>
        <w:t>kompetenci un</w:t>
      </w:r>
      <w:r w:rsidR="00077112" w:rsidRPr="007B4062">
        <w:rPr>
          <w:rFonts w:ascii="Times New Roman" w:eastAsiaTheme="minorHAnsi" w:hAnsi="Times New Roman" w:cs="Times New Roman"/>
          <w:sz w:val="24"/>
          <w:szCs w:val="24"/>
          <w:lang w:val="lv-LV"/>
        </w:rPr>
        <w:t xml:space="preserve"> </w:t>
      </w:r>
      <w:r w:rsidRPr="007B4062">
        <w:rPr>
          <w:rFonts w:ascii="Times New Roman" w:eastAsiaTheme="minorHAnsi" w:hAnsi="Times New Roman" w:cs="Times New Roman"/>
          <w:sz w:val="24"/>
          <w:szCs w:val="24"/>
          <w:lang w:val="lv-LV"/>
        </w:rPr>
        <w:t xml:space="preserve">reputāciju, kā arī novērtējuma veicēju objektivitāti un profesionalitāti. </w:t>
      </w:r>
      <w:r w:rsidR="00077112" w:rsidRPr="007B4062">
        <w:rPr>
          <w:rFonts w:ascii="Times New Roman" w:eastAsiaTheme="minorHAnsi" w:hAnsi="Times New Roman" w:cs="Times New Roman"/>
          <w:sz w:val="24"/>
          <w:szCs w:val="24"/>
          <w:lang w:val="lv-LV"/>
        </w:rPr>
        <w:t xml:space="preserve">Lietā nav </w:t>
      </w:r>
      <w:r w:rsidRPr="007B4062">
        <w:rPr>
          <w:rFonts w:ascii="Times New Roman" w:eastAsiaTheme="minorHAnsi" w:hAnsi="Times New Roman" w:cs="Times New Roman"/>
          <w:sz w:val="24"/>
          <w:szCs w:val="24"/>
          <w:lang w:val="lv-LV"/>
        </w:rPr>
        <w:t>strīd</w:t>
      </w:r>
      <w:r w:rsidR="00077112" w:rsidRPr="007B4062">
        <w:rPr>
          <w:rFonts w:ascii="Times New Roman" w:eastAsiaTheme="minorHAnsi" w:hAnsi="Times New Roman" w:cs="Times New Roman"/>
          <w:sz w:val="24"/>
          <w:szCs w:val="24"/>
          <w:lang w:val="lv-LV"/>
        </w:rPr>
        <w:t>a</w:t>
      </w:r>
      <w:r w:rsidRPr="007B4062">
        <w:rPr>
          <w:rFonts w:ascii="Times New Roman" w:eastAsiaTheme="minorHAnsi" w:hAnsi="Times New Roman" w:cs="Times New Roman"/>
          <w:sz w:val="24"/>
          <w:szCs w:val="24"/>
          <w:lang w:val="lv-LV"/>
        </w:rPr>
        <w:t xml:space="preserve"> par matemātisko aprēķinu pareizību</w:t>
      </w:r>
      <w:r w:rsidR="00077112" w:rsidRPr="007B4062">
        <w:rPr>
          <w:rFonts w:ascii="Times New Roman" w:eastAsiaTheme="minorHAnsi" w:hAnsi="Times New Roman" w:cs="Times New Roman"/>
          <w:sz w:val="24"/>
          <w:szCs w:val="24"/>
          <w:lang w:val="lv-LV"/>
        </w:rPr>
        <w:t>. N</w:t>
      </w:r>
      <w:r w:rsidRPr="007B4062">
        <w:rPr>
          <w:rFonts w:ascii="Times New Roman" w:eastAsiaTheme="minorHAnsi" w:hAnsi="Times New Roman" w:cs="Times New Roman"/>
          <w:sz w:val="24"/>
          <w:szCs w:val="24"/>
          <w:lang w:val="lv-LV"/>
        </w:rPr>
        <w:t xml:space="preserve">av </w:t>
      </w:r>
      <w:r w:rsidR="00077112" w:rsidRPr="007B4062">
        <w:rPr>
          <w:rFonts w:ascii="Times New Roman" w:eastAsiaTheme="minorHAnsi" w:hAnsi="Times New Roman" w:cs="Times New Roman"/>
          <w:sz w:val="24"/>
          <w:szCs w:val="24"/>
          <w:lang w:val="lv-LV"/>
        </w:rPr>
        <w:t xml:space="preserve">arī </w:t>
      </w:r>
      <w:r w:rsidRPr="007B4062">
        <w:rPr>
          <w:rFonts w:ascii="Times New Roman" w:eastAsiaTheme="minorHAnsi" w:hAnsi="Times New Roman" w:cs="Times New Roman"/>
          <w:sz w:val="24"/>
          <w:szCs w:val="24"/>
          <w:lang w:val="lv-LV"/>
        </w:rPr>
        <w:t>pamata uzskatīt, ka pieteicējas finanšu piedāvājumā iekļautais peļņas</w:t>
      </w:r>
      <w:r w:rsidR="00077112" w:rsidRPr="007B4062">
        <w:rPr>
          <w:rFonts w:ascii="Times New Roman" w:eastAsiaTheme="minorHAnsi" w:hAnsi="Times New Roman" w:cs="Times New Roman"/>
          <w:sz w:val="24"/>
          <w:szCs w:val="24"/>
          <w:lang w:val="lv-LV"/>
        </w:rPr>
        <w:t xml:space="preserve"> </w:t>
      </w:r>
      <w:r w:rsidRPr="007B4062">
        <w:rPr>
          <w:rFonts w:ascii="Times New Roman" w:eastAsiaTheme="minorHAnsi" w:hAnsi="Times New Roman" w:cs="Times New Roman"/>
          <w:sz w:val="24"/>
          <w:szCs w:val="24"/>
          <w:lang w:val="lv-LV"/>
        </w:rPr>
        <w:t xml:space="preserve">apmērs </w:t>
      </w:r>
      <w:r w:rsidR="00AF0875" w:rsidRPr="007B4062">
        <w:rPr>
          <w:rFonts w:ascii="Times New Roman" w:eastAsiaTheme="minorHAnsi" w:hAnsi="Times New Roman" w:cs="Times New Roman"/>
          <w:sz w:val="24"/>
          <w:szCs w:val="24"/>
          <w:lang w:val="lv-LV"/>
        </w:rPr>
        <w:t>b</w:t>
      </w:r>
      <w:r w:rsidRPr="007B4062">
        <w:rPr>
          <w:rFonts w:ascii="Times New Roman" w:eastAsiaTheme="minorHAnsi" w:hAnsi="Times New Roman" w:cs="Times New Roman"/>
          <w:sz w:val="24"/>
          <w:szCs w:val="24"/>
          <w:lang w:val="lv-LV"/>
        </w:rPr>
        <w:t>ūtu nesamērīgs vai neatbilstošs kopējai tirgus situācijai piedāvājumu iesniegšanas</w:t>
      </w:r>
      <w:r w:rsidR="00077112" w:rsidRPr="007B4062">
        <w:rPr>
          <w:rFonts w:ascii="Times New Roman" w:eastAsiaTheme="minorHAnsi" w:hAnsi="Times New Roman" w:cs="Times New Roman"/>
          <w:sz w:val="24"/>
          <w:szCs w:val="24"/>
          <w:lang w:val="lv-LV"/>
        </w:rPr>
        <w:t xml:space="preserve"> </w:t>
      </w:r>
      <w:r w:rsidRPr="007B4062">
        <w:rPr>
          <w:rFonts w:ascii="Times New Roman" w:eastAsiaTheme="minorHAnsi" w:hAnsi="Times New Roman" w:cs="Times New Roman"/>
          <w:sz w:val="24"/>
          <w:szCs w:val="24"/>
          <w:lang w:val="lv-LV"/>
        </w:rPr>
        <w:t>brīdī. Pieteicēja</w:t>
      </w:r>
      <w:r w:rsidR="00077112" w:rsidRPr="007B4062">
        <w:rPr>
          <w:rFonts w:ascii="Times New Roman" w:eastAsiaTheme="minorHAnsi" w:hAnsi="Times New Roman" w:cs="Times New Roman"/>
          <w:sz w:val="24"/>
          <w:szCs w:val="24"/>
          <w:lang w:val="lv-LV"/>
        </w:rPr>
        <w:t xml:space="preserve">s iesniegtā </w:t>
      </w:r>
      <w:r w:rsidRPr="007B4062">
        <w:rPr>
          <w:rFonts w:ascii="Times New Roman" w:eastAsiaTheme="minorHAnsi" w:hAnsi="Times New Roman" w:cs="Times New Roman"/>
          <w:sz w:val="24"/>
          <w:szCs w:val="24"/>
          <w:lang w:val="lv-LV"/>
        </w:rPr>
        <w:t>izziņ</w:t>
      </w:r>
      <w:r w:rsidR="00077112" w:rsidRPr="007B4062">
        <w:rPr>
          <w:rFonts w:ascii="Times New Roman" w:eastAsiaTheme="minorHAnsi" w:hAnsi="Times New Roman" w:cs="Times New Roman"/>
          <w:sz w:val="24"/>
          <w:szCs w:val="24"/>
          <w:lang w:val="lv-LV"/>
        </w:rPr>
        <w:t>a</w:t>
      </w:r>
      <w:r w:rsidRPr="007B4062">
        <w:rPr>
          <w:rFonts w:ascii="Times New Roman" w:eastAsiaTheme="minorHAnsi" w:hAnsi="Times New Roman" w:cs="Times New Roman"/>
          <w:sz w:val="24"/>
          <w:szCs w:val="24"/>
          <w:lang w:val="lv-LV"/>
        </w:rPr>
        <w:t xml:space="preserve"> </w:t>
      </w:r>
      <w:r w:rsidR="00077112" w:rsidRPr="007B4062">
        <w:rPr>
          <w:rFonts w:ascii="Times New Roman" w:eastAsiaTheme="minorHAnsi" w:hAnsi="Times New Roman" w:cs="Times New Roman"/>
          <w:sz w:val="24"/>
          <w:szCs w:val="24"/>
          <w:lang w:val="lv-LV"/>
        </w:rPr>
        <w:t xml:space="preserve">apliecina, ka pieteicēja </w:t>
      </w:r>
      <w:r w:rsidRPr="007B4062">
        <w:rPr>
          <w:rFonts w:ascii="Times New Roman" w:eastAsiaTheme="minorHAnsi" w:hAnsi="Times New Roman" w:cs="Times New Roman"/>
          <w:sz w:val="24"/>
          <w:szCs w:val="24"/>
          <w:lang w:val="lv-LV"/>
        </w:rPr>
        <w:t>2013., 2014. un 2015.gadā g</w:t>
      </w:r>
      <w:r w:rsidR="00077112" w:rsidRPr="007B4062">
        <w:rPr>
          <w:rFonts w:ascii="Times New Roman" w:eastAsiaTheme="minorHAnsi" w:hAnsi="Times New Roman" w:cs="Times New Roman"/>
          <w:sz w:val="24"/>
          <w:szCs w:val="24"/>
          <w:lang w:val="lv-LV"/>
        </w:rPr>
        <w:t>uva</w:t>
      </w:r>
      <w:r w:rsidRPr="007B4062">
        <w:rPr>
          <w:rFonts w:ascii="Times New Roman" w:eastAsiaTheme="minorHAnsi" w:hAnsi="Times New Roman" w:cs="Times New Roman"/>
          <w:sz w:val="24"/>
          <w:szCs w:val="24"/>
          <w:lang w:val="lv-LV"/>
        </w:rPr>
        <w:t xml:space="preserve"> tīro peļņu </w:t>
      </w:r>
      <w:r w:rsidRPr="007B4062">
        <w:rPr>
          <w:rFonts w:ascii="Times New Roman" w:eastAsiaTheme="minorHAnsi" w:hAnsi="Times New Roman" w:cs="Times New Roman"/>
          <w:sz w:val="24"/>
          <w:szCs w:val="24"/>
          <w:lang w:val="lv-LV"/>
        </w:rPr>
        <w:lastRenderedPageBreak/>
        <w:t>no gada</w:t>
      </w:r>
      <w:r w:rsidR="00077112" w:rsidRPr="007B4062">
        <w:rPr>
          <w:rFonts w:ascii="Times New Roman" w:eastAsiaTheme="minorHAnsi" w:hAnsi="Times New Roman" w:cs="Times New Roman"/>
          <w:sz w:val="24"/>
          <w:szCs w:val="24"/>
          <w:lang w:val="lv-LV"/>
        </w:rPr>
        <w:t xml:space="preserve"> </w:t>
      </w:r>
      <w:r w:rsidRPr="007B4062">
        <w:rPr>
          <w:rFonts w:ascii="Times New Roman" w:eastAsiaTheme="minorHAnsi" w:hAnsi="Times New Roman" w:cs="Times New Roman"/>
          <w:sz w:val="24"/>
          <w:szCs w:val="24"/>
          <w:lang w:val="lv-LV"/>
        </w:rPr>
        <w:t>apgrozījuma attiecīgi 4,82</w:t>
      </w:r>
      <w:r w:rsidR="000E7DAC">
        <w:rPr>
          <w:rFonts w:ascii="Times New Roman" w:eastAsiaTheme="minorHAnsi" w:hAnsi="Times New Roman" w:cs="Times New Roman"/>
          <w:sz w:val="24"/>
          <w:szCs w:val="24"/>
          <w:lang w:val="lv-LV"/>
        </w:rPr>
        <w:t> </w:t>
      </w:r>
      <w:r w:rsidRPr="007B4062">
        <w:rPr>
          <w:rFonts w:ascii="Times New Roman" w:eastAsiaTheme="minorHAnsi" w:hAnsi="Times New Roman" w:cs="Times New Roman"/>
          <w:sz w:val="24"/>
          <w:szCs w:val="24"/>
          <w:lang w:val="lv-LV"/>
        </w:rPr>
        <w:t>%, 4,72</w:t>
      </w:r>
      <w:r w:rsidR="000E7DAC">
        <w:rPr>
          <w:rFonts w:ascii="Times New Roman" w:eastAsiaTheme="minorHAnsi" w:hAnsi="Times New Roman" w:cs="Times New Roman"/>
          <w:sz w:val="24"/>
          <w:szCs w:val="24"/>
          <w:lang w:val="lv-LV"/>
        </w:rPr>
        <w:t> </w:t>
      </w:r>
      <w:r w:rsidRPr="007B4062">
        <w:rPr>
          <w:rFonts w:ascii="Times New Roman" w:eastAsiaTheme="minorHAnsi" w:hAnsi="Times New Roman" w:cs="Times New Roman"/>
          <w:sz w:val="24"/>
          <w:szCs w:val="24"/>
          <w:lang w:val="lv-LV"/>
        </w:rPr>
        <w:t>% un 4,92</w:t>
      </w:r>
      <w:r w:rsidR="000E7DAC">
        <w:rPr>
          <w:rFonts w:ascii="Times New Roman" w:eastAsiaTheme="minorHAnsi" w:hAnsi="Times New Roman" w:cs="Times New Roman"/>
          <w:sz w:val="24"/>
          <w:szCs w:val="24"/>
          <w:lang w:val="lv-LV"/>
        </w:rPr>
        <w:t> </w:t>
      </w:r>
      <w:r w:rsidRPr="007B4062">
        <w:rPr>
          <w:rFonts w:ascii="Times New Roman" w:eastAsiaTheme="minorHAnsi" w:hAnsi="Times New Roman" w:cs="Times New Roman"/>
          <w:sz w:val="24"/>
          <w:szCs w:val="24"/>
          <w:lang w:val="lv-LV"/>
        </w:rPr>
        <w:t xml:space="preserve">%. </w:t>
      </w:r>
      <w:r w:rsidR="00077112" w:rsidRPr="007B4062">
        <w:rPr>
          <w:rFonts w:ascii="Times New Roman" w:eastAsiaTheme="minorHAnsi" w:hAnsi="Times New Roman" w:cs="Times New Roman"/>
          <w:sz w:val="24"/>
          <w:szCs w:val="24"/>
          <w:lang w:val="lv-LV"/>
        </w:rPr>
        <w:t xml:space="preserve">Lai arī šie </w:t>
      </w:r>
      <w:r w:rsidRPr="007B4062">
        <w:rPr>
          <w:rFonts w:ascii="Times New Roman" w:eastAsiaTheme="minorHAnsi" w:hAnsi="Times New Roman" w:cs="Times New Roman"/>
          <w:sz w:val="24"/>
          <w:szCs w:val="24"/>
          <w:lang w:val="lv-LV"/>
        </w:rPr>
        <w:t>peļņas rādītāji</w:t>
      </w:r>
      <w:r w:rsidR="00077112" w:rsidRPr="007B4062">
        <w:rPr>
          <w:rFonts w:ascii="Times New Roman" w:eastAsiaTheme="minorHAnsi" w:hAnsi="Times New Roman" w:cs="Times New Roman"/>
          <w:sz w:val="24"/>
          <w:szCs w:val="24"/>
          <w:lang w:val="lv-LV"/>
        </w:rPr>
        <w:t xml:space="preserve"> </w:t>
      </w:r>
      <w:r w:rsidRPr="007B4062">
        <w:rPr>
          <w:rFonts w:ascii="Times New Roman" w:eastAsiaTheme="minorHAnsi" w:hAnsi="Times New Roman" w:cs="Times New Roman"/>
          <w:sz w:val="24"/>
          <w:szCs w:val="24"/>
          <w:lang w:val="lv-LV"/>
        </w:rPr>
        <w:t>tieši neraksturo atrautās peļņas apmēru izskatāmajā gadījumā, tie parāda, ka</w:t>
      </w:r>
      <w:r w:rsidR="00077112" w:rsidRPr="007B4062">
        <w:rPr>
          <w:rFonts w:ascii="Times New Roman" w:eastAsiaTheme="minorHAnsi" w:hAnsi="Times New Roman" w:cs="Times New Roman"/>
          <w:sz w:val="24"/>
          <w:szCs w:val="24"/>
          <w:lang w:val="lv-LV"/>
        </w:rPr>
        <w:t xml:space="preserve"> </w:t>
      </w:r>
      <w:r w:rsidRPr="007B4062">
        <w:rPr>
          <w:rFonts w:ascii="Times New Roman" w:eastAsiaTheme="minorHAnsi" w:hAnsi="Times New Roman" w:cs="Times New Roman"/>
          <w:sz w:val="24"/>
          <w:szCs w:val="24"/>
          <w:lang w:val="lv-LV"/>
        </w:rPr>
        <w:t>pieteicējas norādītais atrautās peļņas procentuālais apmērs ir saprātīgs un neliecina par parastai</w:t>
      </w:r>
      <w:r w:rsidR="00077112" w:rsidRPr="007B4062">
        <w:rPr>
          <w:rFonts w:ascii="Times New Roman" w:eastAsiaTheme="minorHAnsi" w:hAnsi="Times New Roman" w:cs="Times New Roman"/>
          <w:sz w:val="24"/>
          <w:szCs w:val="24"/>
          <w:lang w:val="lv-LV"/>
        </w:rPr>
        <w:t xml:space="preserve"> </w:t>
      </w:r>
      <w:r w:rsidRPr="007B4062">
        <w:rPr>
          <w:rFonts w:ascii="Times New Roman" w:eastAsiaTheme="minorHAnsi" w:hAnsi="Times New Roman" w:cs="Times New Roman"/>
          <w:sz w:val="24"/>
          <w:szCs w:val="24"/>
          <w:lang w:val="lv-LV"/>
        </w:rPr>
        <w:t>tirgus situācijai neatbilstošu sadārdzinājumu.</w:t>
      </w:r>
      <w:r w:rsidR="00077112" w:rsidRPr="007B4062">
        <w:rPr>
          <w:rFonts w:ascii="Times New Roman" w:eastAsiaTheme="minorHAnsi" w:hAnsi="Times New Roman" w:cs="Times New Roman"/>
          <w:sz w:val="24"/>
          <w:szCs w:val="24"/>
          <w:lang w:val="lv-LV"/>
        </w:rPr>
        <w:t xml:space="preserve"> </w:t>
      </w:r>
    </w:p>
    <w:p w14:paraId="25180263" w14:textId="77777777" w:rsidR="00077112" w:rsidRPr="007B4062" w:rsidRDefault="00077112" w:rsidP="003F1B18">
      <w:pPr>
        <w:autoSpaceDE w:val="0"/>
        <w:autoSpaceDN w:val="0"/>
        <w:adjustRightInd w:val="0"/>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 xml:space="preserve">Līdz ar to pieteicējai atlīdzināmi zaudējumi, kas aprēķināti saskaņā ar pieteicējas tāmē iekļauto peļņas procentu. </w:t>
      </w:r>
    </w:p>
    <w:p w14:paraId="25204A0A" w14:textId="2175697F" w:rsidR="00171C1B" w:rsidRPr="007B4062" w:rsidRDefault="00077112" w:rsidP="003F1B18">
      <w:pPr>
        <w:autoSpaceDE w:val="0"/>
        <w:autoSpaceDN w:val="0"/>
        <w:adjustRightInd w:val="0"/>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[3.3]</w:t>
      </w:r>
      <w:r w:rsidR="00FC519C">
        <w:rPr>
          <w:rFonts w:ascii="Times New Roman" w:eastAsiaTheme="minorHAnsi" w:hAnsi="Times New Roman" w:cs="Times New Roman"/>
          <w:sz w:val="24"/>
          <w:szCs w:val="24"/>
          <w:lang w:val="lv-LV"/>
        </w:rPr>
        <w:t> </w:t>
      </w:r>
      <w:r w:rsidRPr="007B4062">
        <w:rPr>
          <w:rFonts w:ascii="Times New Roman" w:eastAsiaTheme="minorHAnsi" w:hAnsi="Times New Roman" w:cs="Times New Roman"/>
          <w:sz w:val="24"/>
          <w:szCs w:val="24"/>
          <w:lang w:val="lv-LV"/>
        </w:rPr>
        <w:t xml:space="preserve">Pieteicējai nav atlīdzināmi zaudējumi, kas aprēķināti </w:t>
      </w:r>
      <w:r w:rsidR="00B35B88" w:rsidRPr="007B4062">
        <w:rPr>
          <w:rFonts w:ascii="Times New Roman" w:eastAsiaTheme="minorHAnsi" w:hAnsi="Times New Roman" w:cs="Times New Roman"/>
          <w:sz w:val="24"/>
          <w:szCs w:val="24"/>
          <w:lang w:val="lv-LV"/>
        </w:rPr>
        <w:t>saskaņā ar projekta tāmē iekļautajiem virsizdevumiem.</w:t>
      </w:r>
    </w:p>
    <w:p w14:paraId="62C517D7" w14:textId="77777777" w:rsidR="00171C1B" w:rsidRPr="007B4062" w:rsidRDefault="00171C1B" w:rsidP="003F1B18">
      <w:pPr>
        <w:spacing w:after="0"/>
        <w:ind w:firstLine="567"/>
        <w:jc w:val="both"/>
        <w:rPr>
          <w:rFonts w:ascii="Times New Roman" w:eastAsiaTheme="minorHAnsi" w:hAnsi="Times New Roman" w:cs="Times New Roman"/>
          <w:sz w:val="24"/>
          <w:szCs w:val="24"/>
          <w:lang w:val="lv-LV"/>
        </w:rPr>
      </w:pPr>
    </w:p>
    <w:p w14:paraId="3E309020" w14:textId="77777777" w:rsidR="00AF0875" w:rsidRPr="007B4062" w:rsidRDefault="000802E4" w:rsidP="003F1B18">
      <w:pPr>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[4] </w:t>
      </w:r>
      <w:r w:rsidR="00415BC9" w:rsidRPr="007B4062">
        <w:rPr>
          <w:rFonts w:ascii="Times New Roman" w:eastAsiaTheme="minorHAnsi" w:hAnsi="Times New Roman" w:cs="Times New Roman"/>
          <w:sz w:val="24"/>
          <w:szCs w:val="24"/>
          <w:lang w:val="lv-LV"/>
        </w:rPr>
        <w:t>Pasūtītāja iesnie</w:t>
      </w:r>
      <w:r w:rsidR="00AF0875" w:rsidRPr="007B4062">
        <w:rPr>
          <w:rFonts w:ascii="Times New Roman" w:eastAsiaTheme="minorHAnsi" w:hAnsi="Times New Roman" w:cs="Times New Roman"/>
          <w:sz w:val="24"/>
          <w:szCs w:val="24"/>
          <w:lang w:val="lv-LV"/>
        </w:rPr>
        <w:t>dza</w:t>
      </w:r>
      <w:r w:rsidR="00415BC9" w:rsidRPr="007B4062">
        <w:rPr>
          <w:rFonts w:ascii="Times New Roman" w:eastAsiaTheme="minorHAnsi" w:hAnsi="Times New Roman" w:cs="Times New Roman"/>
          <w:sz w:val="24"/>
          <w:szCs w:val="24"/>
          <w:lang w:val="lv-LV"/>
        </w:rPr>
        <w:t xml:space="preserve"> kas</w:t>
      </w:r>
      <w:r w:rsidR="00F51945" w:rsidRPr="007B4062">
        <w:rPr>
          <w:rFonts w:ascii="Times New Roman" w:eastAsiaTheme="minorHAnsi" w:hAnsi="Times New Roman" w:cs="Times New Roman"/>
          <w:sz w:val="24"/>
          <w:szCs w:val="24"/>
          <w:lang w:val="lv-LV"/>
        </w:rPr>
        <w:t>ā</w:t>
      </w:r>
      <w:r w:rsidR="00415BC9" w:rsidRPr="007B4062">
        <w:rPr>
          <w:rFonts w:ascii="Times New Roman" w:eastAsiaTheme="minorHAnsi" w:hAnsi="Times New Roman" w:cs="Times New Roman"/>
          <w:sz w:val="24"/>
          <w:szCs w:val="24"/>
          <w:lang w:val="lv-LV"/>
        </w:rPr>
        <w:t>cijas sūdzību</w:t>
      </w:r>
      <w:r w:rsidR="00AF0875" w:rsidRPr="007B4062">
        <w:rPr>
          <w:rFonts w:ascii="Times New Roman" w:eastAsiaTheme="minorHAnsi" w:hAnsi="Times New Roman" w:cs="Times New Roman"/>
          <w:sz w:val="24"/>
          <w:szCs w:val="24"/>
          <w:lang w:val="lv-LV"/>
        </w:rPr>
        <w:t xml:space="preserve"> par minēto spriedumu daļā, kurā pieteikums apmierināts. Kasācijas sūdzība </w:t>
      </w:r>
      <w:r w:rsidR="00415BC9" w:rsidRPr="007B4062">
        <w:rPr>
          <w:rFonts w:ascii="Times New Roman" w:eastAsiaTheme="minorHAnsi" w:hAnsi="Times New Roman" w:cs="Times New Roman"/>
          <w:sz w:val="24"/>
          <w:szCs w:val="24"/>
          <w:lang w:val="lv-LV"/>
        </w:rPr>
        <w:t>pamatota ar turpmāk norādītajiem apsvērumiem.</w:t>
      </w:r>
      <w:r w:rsidR="00AF0875" w:rsidRPr="007B4062">
        <w:rPr>
          <w:rFonts w:ascii="Times New Roman" w:eastAsiaTheme="minorHAnsi" w:hAnsi="Times New Roman" w:cs="Times New Roman"/>
          <w:sz w:val="24"/>
          <w:szCs w:val="24"/>
          <w:lang w:val="lv-LV"/>
        </w:rPr>
        <w:t xml:space="preserve"> </w:t>
      </w:r>
    </w:p>
    <w:p w14:paraId="6815E4E7" w14:textId="377C62AC" w:rsidR="00AF0875" w:rsidRPr="007B4062" w:rsidRDefault="00415BC9" w:rsidP="003F1B18">
      <w:pPr>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[4.1]</w:t>
      </w:r>
      <w:r w:rsidR="00FC519C">
        <w:rPr>
          <w:rFonts w:ascii="Times New Roman" w:eastAsiaTheme="minorHAnsi" w:hAnsi="Times New Roman" w:cs="Times New Roman"/>
          <w:sz w:val="24"/>
          <w:szCs w:val="24"/>
          <w:lang w:val="lv-LV"/>
        </w:rPr>
        <w:t> </w:t>
      </w:r>
      <w:r w:rsidR="00AF0875" w:rsidRPr="007B4062">
        <w:rPr>
          <w:rFonts w:ascii="Times New Roman" w:eastAsiaTheme="minorHAnsi" w:hAnsi="Times New Roman" w:cs="Times New Roman"/>
          <w:sz w:val="24"/>
          <w:szCs w:val="24"/>
          <w:lang w:val="lv-LV"/>
        </w:rPr>
        <w:t xml:space="preserve">Tiesa, vērtējot, vai pieteicējas piedāvājums būtu atzīstams kā nepamatoti lēts, nav pareizi piemērojusi Publisko iepirkumu likuma 2. un 48.panta normas. </w:t>
      </w:r>
    </w:p>
    <w:p w14:paraId="2AFB647C" w14:textId="6730ABDF" w:rsidR="00146BAC" w:rsidRPr="007B4062" w:rsidRDefault="00AF0875" w:rsidP="003F1B18">
      <w:pPr>
        <w:spacing w:after="0"/>
        <w:ind w:firstLine="567"/>
        <w:jc w:val="both"/>
        <w:rPr>
          <w:rFonts w:ascii="Times New Roman" w:hAnsi="Times New Roman" w:cs="Times New Roman"/>
          <w:sz w:val="24"/>
          <w:szCs w:val="24"/>
          <w:lang w:val="lv-LV"/>
        </w:rPr>
      </w:pPr>
      <w:r w:rsidRPr="007B4062">
        <w:rPr>
          <w:rFonts w:ascii="Times New Roman" w:eastAsiaTheme="minorHAnsi" w:hAnsi="Times New Roman" w:cs="Times New Roman"/>
          <w:sz w:val="24"/>
          <w:szCs w:val="24"/>
          <w:lang w:val="lv-LV"/>
        </w:rPr>
        <w:t xml:space="preserve">Tiesa nepamatoti pievērsās tam, vai pieteicējas </w:t>
      </w:r>
      <w:r w:rsidRPr="007B4062">
        <w:rPr>
          <w:rFonts w:ascii="Times New Roman" w:hAnsi="Times New Roman" w:cs="Times New Roman"/>
          <w:sz w:val="24"/>
          <w:szCs w:val="24"/>
          <w:shd w:val="clear" w:color="auto" w:fill="FFFFFF"/>
          <w:lang w:val="lv-LV"/>
        </w:rPr>
        <w:t>resursi ļāva pieteicējai piedāvāt atlaidi; tiesai vajadzēja pārbaudīt, vai pieteicējas piedāvātā cena (0,33</w:t>
      </w:r>
      <w:r w:rsidR="000E7DAC">
        <w:rPr>
          <w:rFonts w:ascii="Times New Roman" w:hAnsi="Times New Roman" w:cs="Times New Roman"/>
          <w:sz w:val="24"/>
          <w:szCs w:val="24"/>
          <w:shd w:val="clear" w:color="auto" w:fill="FFFFFF"/>
          <w:lang w:val="lv-LV"/>
        </w:rPr>
        <w:t> </w:t>
      </w:r>
      <w:r w:rsidR="00B343DD" w:rsidRPr="007B4062">
        <w:rPr>
          <w:rFonts w:ascii="Times New Roman" w:hAnsi="Times New Roman" w:cs="Times New Roman"/>
          <w:sz w:val="24"/>
          <w:szCs w:val="24"/>
          <w:shd w:val="clear" w:color="auto" w:fill="FFFFFF"/>
          <w:lang w:val="lv-LV"/>
        </w:rPr>
        <w:t>lati</w:t>
      </w:r>
      <w:r w:rsidRPr="007B4062">
        <w:rPr>
          <w:rFonts w:ascii="Times New Roman" w:hAnsi="Times New Roman" w:cs="Times New Roman"/>
          <w:sz w:val="24"/>
          <w:szCs w:val="24"/>
          <w:shd w:val="clear" w:color="auto" w:fill="FFFFFF"/>
          <w:lang w:val="lv-LV"/>
        </w:rPr>
        <w:t xml:space="preserve">) atbilstoši </w:t>
      </w:r>
      <w:r w:rsidRPr="007B4062">
        <w:rPr>
          <w:rFonts w:ascii="Times New Roman" w:hAnsi="Times New Roman" w:cs="Times New Roman"/>
          <w:sz w:val="24"/>
          <w:szCs w:val="24"/>
          <w:lang w:val="lv-LV"/>
        </w:rPr>
        <w:t>Publisko iepirkumu likuma 48.panta otrajā daļā norādītajiem vērtējamiem apstākļiem ir tāda, par kuru faktiski var izpildīt attiecīgos darbus.</w:t>
      </w:r>
      <w:r w:rsidR="00146BAC" w:rsidRPr="007B4062">
        <w:rPr>
          <w:rFonts w:ascii="Times New Roman" w:hAnsi="Times New Roman" w:cs="Times New Roman"/>
          <w:sz w:val="24"/>
          <w:szCs w:val="24"/>
          <w:lang w:val="lv-LV"/>
        </w:rPr>
        <w:t xml:space="preserve"> </w:t>
      </w:r>
    </w:p>
    <w:p w14:paraId="094AB879" w14:textId="5C90C60B" w:rsidR="00AF0875" w:rsidRPr="007B4062" w:rsidRDefault="00AF0875"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Tiesai arī vajadzēja ņemt vērā, ka piedāvājums, kurā ietverta </w:t>
      </w:r>
      <w:r w:rsidR="00146BAC" w:rsidRPr="007B4062">
        <w:rPr>
          <w:rFonts w:ascii="Times New Roman" w:hAnsi="Times New Roman" w:cs="Times New Roman"/>
          <w:sz w:val="24"/>
          <w:szCs w:val="24"/>
          <w:lang w:val="lv-LV"/>
        </w:rPr>
        <w:t>a</w:t>
      </w:r>
      <w:r w:rsidRPr="007B4062">
        <w:rPr>
          <w:rFonts w:ascii="Times New Roman" w:hAnsi="Times New Roman" w:cs="Times New Roman"/>
          <w:sz w:val="24"/>
          <w:szCs w:val="24"/>
          <w:lang w:val="lv-LV"/>
        </w:rPr>
        <w:t xml:space="preserve">tlaide, neatbilda iepirkuma </w:t>
      </w:r>
      <w:r w:rsidR="006603D3" w:rsidRPr="007B4062">
        <w:rPr>
          <w:rFonts w:ascii="Times New Roman" w:hAnsi="Times New Roman" w:cs="Times New Roman"/>
          <w:sz w:val="24"/>
          <w:szCs w:val="24"/>
          <w:lang w:val="lv-LV"/>
        </w:rPr>
        <w:t xml:space="preserve">nolikuma </w:t>
      </w:r>
      <w:r w:rsidRPr="007B4062">
        <w:rPr>
          <w:rFonts w:ascii="Times New Roman" w:hAnsi="Times New Roman" w:cs="Times New Roman"/>
          <w:sz w:val="24"/>
          <w:szCs w:val="24"/>
          <w:lang w:val="lv-LV"/>
        </w:rPr>
        <w:t xml:space="preserve">prasībām un </w:t>
      </w:r>
      <w:r w:rsidR="00146BAC" w:rsidRPr="007B4062">
        <w:rPr>
          <w:rFonts w:ascii="Times New Roman" w:hAnsi="Times New Roman" w:cs="Times New Roman"/>
          <w:sz w:val="24"/>
          <w:szCs w:val="24"/>
          <w:lang w:val="lv-LV"/>
        </w:rPr>
        <w:t>šāda piedāvājuma akceptēšana pārkāptu vienlīdzīgas un taisnīgas attieksmes pret visiem pretendentiem principu un tātad arī Publisko iepirkumu likuma 2.pantā identificētos mērķus.</w:t>
      </w:r>
      <w:r w:rsidRPr="007B4062">
        <w:rPr>
          <w:rFonts w:ascii="Times New Roman" w:hAnsi="Times New Roman" w:cs="Times New Roman"/>
          <w:sz w:val="24"/>
          <w:szCs w:val="24"/>
          <w:lang w:val="lv-LV"/>
        </w:rPr>
        <w:t xml:space="preserve"> </w:t>
      </w:r>
      <w:r w:rsidR="00146BAC" w:rsidRPr="007B4062">
        <w:rPr>
          <w:rFonts w:ascii="Times New Roman" w:hAnsi="Times New Roman" w:cs="Times New Roman"/>
          <w:sz w:val="24"/>
          <w:szCs w:val="24"/>
          <w:lang w:val="lv-LV"/>
        </w:rPr>
        <w:t xml:space="preserve">Vērtējot to, vai bija pieļaujams piedāvājumā ietvert atlaidi, tiesai bija jāņem vērā arī </w:t>
      </w:r>
      <w:r w:rsidR="00B343DD" w:rsidRPr="007B4062">
        <w:rPr>
          <w:rFonts w:ascii="Times New Roman" w:hAnsi="Times New Roman" w:cs="Times New Roman"/>
          <w:sz w:val="24"/>
          <w:szCs w:val="24"/>
          <w:lang w:val="lv-LV"/>
        </w:rPr>
        <w:t xml:space="preserve">likuma „Par interešu konflikta novēršanu valsts amatpersonu darbībā” (turpmāk – </w:t>
      </w:r>
      <w:r w:rsidR="00146BAC" w:rsidRPr="007B4062">
        <w:rPr>
          <w:rFonts w:ascii="Times New Roman" w:hAnsi="Times New Roman" w:cs="Times New Roman"/>
          <w:sz w:val="24"/>
          <w:szCs w:val="24"/>
          <w:lang w:val="lv-LV"/>
        </w:rPr>
        <w:t>Interešu konflikta novēršanas likum</w:t>
      </w:r>
      <w:r w:rsidR="00B343DD" w:rsidRPr="007B4062">
        <w:rPr>
          <w:rFonts w:ascii="Times New Roman" w:hAnsi="Times New Roman" w:cs="Times New Roman"/>
          <w:sz w:val="24"/>
          <w:szCs w:val="24"/>
          <w:lang w:val="lv-LV"/>
        </w:rPr>
        <w:t>s)</w:t>
      </w:r>
      <w:r w:rsidR="00146BAC" w:rsidRPr="007B4062">
        <w:rPr>
          <w:rFonts w:ascii="Times New Roman" w:hAnsi="Times New Roman" w:cs="Times New Roman"/>
          <w:sz w:val="24"/>
          <w:szCs w:val="24"/>
          <w:lang w:val="lv-LV"/>
        </w:rPr>
        <w:t xml:space="preserve"> regulējum</w:t>
      </w:r>
      <w:r w:rsidR="006603D3" w:rsidRPr="007B4062">
        <w:rPr>
          <w:rFonts w:ascii="Times New Roman" w:hAnsi="Times New Roman" w:cs="Times New Roman"/>
          <w:sz w:val="24"/>
          <w:szCs w:val="24"/>
          <w:lang w:val="lv-LV"/>
        </w:rPr>
        <w:t>s</w:t>
      </w:r>
      <w:r w:rsidR="00146BAC" w:rsidRPr="007B4062">
        <w:rPr>
          <w:rFonts w:ascii="Times New Roman" w:hAnsi="Times New Roman" w:cs="Times New Roman"/>
          <w:sz w:val="24"/>
          <w:szCs w:val="24"/>
          <w:lang w:val="lv-LV"/>
        </w:rPr>
        <w:t>.</w:t>
      </w:r>
    </w:p>
    <w:p w14:paraId="1293C21E" w14:textId="107C91E5" w:rsidR="00146BAC" w:rsidRPr="007B4062" w:rsidRDefault="00146BAC"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lastRenderedPageBreak/>
        <w:t>[4.2]</w:t>
      </w:r>
      <w:r w:rsidR="00FC519C">
        <w:rPr>
          <w:rFonts w:ascii="Times New Roman" w:hAnsi="Times New Roman" w:cs="Times New Roman"/>
          <w:sz w:val="24"/>
          <w:szCs w:val="24"/>
          <w:lang w:val="lv-LV"/>
        </w:rPr>
        <w:t> </w:t>
      </w:r>
      <w:r w:rsidRPr="007B4062">
        <w:rPr>
          <w:rFonts w:ascii="Times New Roman" w:hAnsi="Times New Roman" w:cs="Times New Roman"/>
          <w:sz w:val="24"/>
          <w:szCs w:val="24"/>
          <w:lang w:val="lv-LV"/>
        </w:rPr>
        <w:t xml:space="preserve">Ja </w:t>
      </w:r>
      <w:r w:rsidR="004E33AA" w:rsidRPr="007B4062">
        <w:rPr>
          <w:rFonts w:ascii="Times New Roman" w:hAnsi="Times New Roman" w:cs="Times New Roman"/>
          <w:sz w:val="24"/>
          <w:szCs w:val="24"/>
          <w:lang w:val="lv-LV"/>
        </w:rPr>
        <w:t xml:space="preserve">pārbaudē par piedāvājuma iespējamu nepamatotu lētumu piešķir nozīmi apstākļiem, kas nav norādīti Publisko iepirkumu likuma 48.panta otrajā daļā, rodas pamatotas šaubas par to, vai tas atbilst Eiropas Parlamenta un Padomes 2004.gada 31.marta </w:t>
      </w:r>
      <w:r w:rsidR="00340E40" w:rsidRPr="007B4062">
        <w:rPr>
          <w:rFonts w:ascii="Times New Roman" w:hAnsi="Times New Roman" w:cs="Times New Roman"/>
          <w:sz w:val="24"/>
          <w:szCs w:val="24"/>
          <w:lang w:val="lv-LV"/>
        </w:rPr>
        <w:t>D</w:t>
      </w:r>
      <w:r w:rsidR="004E33AA" w:rsidRPr="007B4062">
        <w:rPr>
          <w:rFonts w:ascii="Times New Roman" w:hAnsi="Times New Roman" w:cs="Times New Roman"/>
          <w:sz w:val="24"/>
          <w:szCs w:val="24"/>
          <w:lang w:val="lv-LV"/>
        </w:rPr>
        <w:t xml:space="preserve">irektīvas 2004/18/EK par to, kā koordinēt būvdarbu valsts līgumu, piegādes valsts līgumu un pakalpojumu valsts līgumu slēgšanas tiesību piešķiršanas procedūru (turpmāk – </w:t>
      </w:r>
      <w:r w:rsidR="004E52B1" w:rsidRPr="007B4062">
        <w:rPr>
          <w:rFonts w:ascii="Times New Roman" w:hAnsi="Times New Roman" w:cs="Times New Roman"/>
          <w:sz w:val="24"/>
          <w:szCs w:val="24"/>
          <w:lang w:val="lv-LV"/>
        </w:rPr>
        <w:t>d</w:t>
      </w:r>
      <w:r w:rsidR="004E33AA" w:rsidRPr="007B4062">
        <w:rPr>
          <w:rFonts w:ascii="Times New Roman" w:hAnsi="Times New Roman" w:cs="Times New Roman"/>
          <w:sz w:val="24"/>
          <w:szCs w:val="24"/>
          <w:lang w:val="lv-LV"/>
        </w:rPr>
        <w:t>irektīva 2004/18/EK)</w:t>
      </w:r>
      <w:r w:rsidR="00B343DD" w:rsidRPr="007B4062">
        <w:rPr>
          <w:rFonts w:ascii="Times New Roman" w:hAnsi="Times New Roman" w:cs="Times New Roman"/>
          <w:sz w:val="24"/>
          <w:szCs w:val="24"/>
          <w:lang w:val="lv-LV"/>
        </w:rPr>
        <w:t>,</w:t>
      </w:r>
      <w:r w:rsidR="004E33AA" w:rsidRPr="007B4062">
        <w:rPr>
          <w:rFonts w:ascii="Times New Roman" w:hAnsi="Times New Roman" w:cs="Times New Roman"/>
          <w:sz w:val="24"/>
          <w:szCs w:val="24"/>
          <w:lang w:val="lv-LV"/>
        </w:rPr>
        <w:t xml:space="preserve"> normu jēgai.</w:t>
      </w:r>
      <w:r w:rsidR="00E57C67" w:rsidRPr="007B4062">
        <w:rPr>
          <w:rFonts w:ascii="Times New Roman" w:hAnsi="Times New Roman" w:cs="Times New Roman"/>
          <w:sz w:val="24"/>
          <w:szCs w:val="24"/>
          <w:lang w:val="lv-LV"/>
        </w:rPr>
        <w:t xml:space="preserve"> Turklāt, j</w:t>
      </w:r>
      <w:r w:rsidR="004E33AA" w:rsidRPr="007B4062">
        <w:rPr>
          <w:rFonts w:ascii="Times New Roman" w:hAnsi="Times New Roman" w:cs="Times New Roman"/>
          <w:sz w:val="24"/>
          <w:szCs w:val="24"/>
          <w:lang w:val="lv-LV"/>
        </w:rPr>
        <w:t xml:space="preserve">a tiek uzskatīts, ka piedāvājumā var ietvert atlaidi, lai arī nolikums to neparedz, ir bažas par pareizu minētās direktīvas normu piemērošanu. Tāpēc būtu pamats vērsties Eiropas Savienības </w:t>
      </w:r>
      <w:r w:rsidR="00B343DD" w:rsidRPr="007B4062">
        <w:rPr>
          <w:rFonts w:ascii="Times New Roman" w:hAnsi="Times New Roman" w:cs="Times New Roman"/>
          <w:sz w:val="24"/>
          <w:szCs w:val="24"/>
          <w:lang w:val="lv-LV"/>
        </w:rPr>
        <w:t>T</w:t>
      </w:r>
      <w:r w:rsidR="004E33AA" w:rsidRPr="007B4062">
        <w:rPr>
          <w:rFonts w:ascii="Times New Roman" w:hAnsi="Times New Roman" w:cs="Times New Roman"/>
          <w:sz w:val="24"/>
          <w:szCs w:val="24"/>
          <w:lang w:val="lv-LV"/>
        </w:rPr>
        <w:t xml:space="preserve">iesā ar jautājumiem par </w:t>
      </w:r>
      <w:r w:rsidR="004E52B1" w:rsidRPr="007B4062">
        <w:rPr>
          <w:rFonts w:ascii="Times New Roman" w:hAnsi="Times New Roman" w:cs="Times New Roman"/>
          <w:sz w:val="24"/>
          <w:szCs w:val="24"/>
          <w:lang w:val="lv-LV"/>
        </w:rPr>
        <w:t>d</w:t>
      </w:r>
      <w:r w:rsidR="004E33AA" w:rsidRPr="007B4062">
        <w:rPr>
          <w:rFonts w:ascii="Times New Roman" w:hAnsi="Times New Roman" w:cs="Times New Roman"/>
          <w:sz w:val="24"/>
          <w:szCs w:val="24"/>
          <w:lang w:val="lv-LV"/>
        </w:rPr>
        <w:t>irektīvas 2004/18/EK 2.panta un 55.panta 1.punkta otrās daļas un 2.punkta interpretāciju.</w:t>
      </w:r>
    </w:p>
    <w:p w14:paraId="498AA94D" w14:textId="7E767A2B" w:rsidR="009C4C01" w:rsidRPr="007B4062" w:rsidRDefault="009C4C01"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[4.3]</w:t>
      </w:r>
      <w:r w:rsidR="00FC519C">
        <w:rPr>
          <w:rFonts w:ascii="Times New Roman" w:hAnsi="Times New Roman" w:cs="Times New Roman"/>
          <w:sz w:val="24"/>
          <w:szCs w:val="24"/>
          <w:lang w:val="lv-LV"/>
        </w:rPr>
        <w:t> </w:t>
      </w:r>
      <w:r w:rsidRPr="007B4062">
        <w:rPr>
          <w:rFonts w:ascii="Times New Roman" w:hAnsi="Times New Roman" w:cs="Times New Roman"/>
          <w:sz w:val="24"/>
          <w:szCs w:val="24"/>
          <w:lang w:val="lv-LV"/>
        </w:rPr>
        <w:t xml:space="preserve">Vērtējot, vai pieteicēja būtu uzvarējusi iepirkumā, tiesa nav ņēmusi vērā, ka pasūtītāja būtu </w:t>
      </w:r>
      <w:r w:rsidR="00EC1D79" w:rsidRPr="007B4062">
        <w:rPr>
          <w:rFonts w:ascii="Times New Roman" w:hAnsi="Times New Roman" w:cs="Times New Roman"/>
          <w:sz w:val="24"/>
          <w:szCs w:val="24"/>
          <w:lang w:val="lv-LV"/>
        </w:rPr>
        <w:t>varējusi</w:t>
      </w:r>
      <w:r w:rsidRPr="007B4062">
        <w:rPr>
          <w:rFonts w:ascii="Times New Roman" w:hAnsi="Times New Roman" w:cs="Times New Roman"/>
          <w:sz w:val="24"/>
          <w:szCs w:val="24"/>
          <w:lang w:val="lv-LV"/>
        </w:rPr>
        <w:t xml:space="preserve"> pārtraukt iepirkumu un līdz ar to pieteicēja nebūtu kļuvusi par iepirkuma uzvarētāju. Ne</w:t>
      </w:r>
      <w:r w:rsidR="00EC1D79" w:rsidRPr="007B4062">
        <w:rPr>
          <w:rFonts w:ascii="Times New Roman" w:hAnsi="Times New Roman" w:cs="Times New Roman"/>
          <w:sz w:val="24"/>
          <w:szCs w:val="24"/>
          <w:lang w:val="lv-LV"/>
        </w:rPr>
        <w:t>iz</w:t>
      </w:r>
      <w:r w:rsidRPr="007B4062">
        <w:rPr>
          <w:rFonts w:ascii="Times New Roman" w:hAnsi="Times New Roman" w:cs="Times New Roman"/>
          <w:sz w:val="24"/>
          <w:szCs w:val="24"/>
          <w:lang w:val="lv-LV"/>
        </w:rPr>
        <w:t>vērtējot šo p</w:t>
      </w:r>
      <w:r w:rsidR="00EC1D79" w:rsidRPr="007B4062">
        <w:rPr>
          <w:rFonts w:ascii="Times New Roman" w:hAnsi="Times New Roman" w:cs="Times New Roman"/>
          <w:sz w:val="24"/>
          <w:szCs w:val="24"/>
          <w:lang w:val="lv-LV"/>
        </w:rPr>
        <w:t>asūtītājas</w:t>
      </w:r>
      <w:r w:rsidRPr="007B4062">
        <w:rPr>
          <w:rFonts w:ascii="Times New Roman" w:hAnsi="Times New Roman" w:cs="Times New Roman"/>
          <w:sz w:val="24"/>
          <w:szCs w:val="24"/>
          <w:lang w:val="lv-LV"/>
        </w:rPr>
        <w:t xml:space="preserve"> argumentu, tiesa pārkāpusi procesuālā taisnīguma principu.</w:t>
      </w:r>
    </w:p>
    <w:p w14:paraId="678DD5D9" w14:textId="16B18D7B" w:rsidR="00EC1D79" w:rsidRPr="007B4062" w:rsidRDefault="009C4C01"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[4.4]</w:t>
      </w:r>
      <w:r w:rsidR="00FC519C">
        <w:rPr>
          <w:rFonts w:ascii="Times New Roman" w:hAnsi="Times New Roman" w:cs="Times New Roman"/>
          <w:sz w:val="24"/>
          <w:szCs w:val="24"/>
          <w:lang w:val="lv-LV"/>
        </w:rPr>
        <w:t> </w:t>
      </w:r>
      <w:r w:rsidR="00EC1D79" w:rsidRPr="007B4062">
        <w:rPr>
          <w:rFonts w:ascii="Times New Roman" w:hAnsi="Times New Roman" w:cs="Times New Roman"/>
          <w:sz w:val="24"/>
          <w:szCs w:val="24"/>
          <w:lang w:val="lv-LV"/>
        </w:rPr>
        <w:t xml:space="preserve">Vērtējot pamatu atlīdzināt pieteicējas prasītos zaudējumus, tiesa nav vērtējusi pasūtītājas pieļautā pārkāpuma būtiskumu, lai arī tas ir priekšnoteikums zaudējumu atlīdzināšanai iepirkumu lietās. </w:t>
      </w:r>
    </w:p>
    <w:p w14:paraId="4751CEBB" w14:textId="616053E3" w:rsidR="00415BC9" w:rsidRPr="007B4062" w:rsidRDefault="00EC1D79" w:rsidP="003F1B18">
      <w:pPr>
        <w:spacing w:after="0"/>
        <w:ind w:firstLine="567"/>
        <w:jc w:val="both"/>
        <w:rPr>
          <w:rFonts w:ascii="Times New Roman" w:eastAsiaTheme="minorHAnsi" w:hAnsi="Times New Roman" w:cs="Times New Roman"/>
          <w:sz w:val="24"/>
          <w:szCs w:val="24"/>
          <w:lang w:val="lv-LV"/>
        </w:rPr>
      </w:pPr>
      <w:r w:rsidRPr="007B4062">
        <w:rPr>
          <w:rFonts w:ascii="Times New Roman" w:hAnsi="Times New Roman" w:cs="Times New Roman"/>
          <w:sz w:val="24"/>
          <w:szCs w:val="24"/>
          <w:lang w:val="lv-LV"/>
        </w:rPr>
        <w:t>[4.5]</w:t>
      </w:r>
      <w:r w:rsidR="00FC519C">
        <w:rPr>
          <w:rFonts w:ascii="Times New Roman" w:hAnsi="Times New Roman" w:cs="Times New Roman"/>
          <w:sz w:val="24"/>
          <w:szCs w:val="24"/>
          <w:lang w:val="lv-LV"/>
        </w:rPr>
        <w:t> </w:t>
      </w:r>
      <w:r w:rsidRPr="007B4062">
        <w:rPr>
          <w:rFonts w:ascii="Times New Roman" w:hAnsi="Times New Roman" w:cs="Times New Roman"/>
          <w:sz w:val="24"/>
          <w:szCs w:val="24"/>
          <w:lang w:val="lv-LV"/>
        </w:rPr>
        <w:t>Tiesa ir apmierinājusi prasījumu par ne</w:t>
      </w:r>
      <w:r w:rsidR="00320CBC">
        <w:rPr>
          <w:rFonts w:ascii="Times New Roman" w:hAnsi="Times New Roman" w:cs="Times New Roman"/>
          <w:sz w:val="24"/>
          <w:szCs w:val="24"/>
          <w:lang w:val="lv-LV"/>
        </w:rPr>
        <w:t>ie</w:t>
      </w:r>
      <w:r w:rsidRPr="007B4062">
        <w:rPr>
          <w:rFonts w:ascii="Times New Roman" w:hAnsi="Times New Roman" w:cs="Times New Roman"/>
          <w:sz w:val="24"/>
          <w:szCs w:val="24"/>
          <w:lang w:val="lv-LV"/>
        </w:rPr>
        <w:t>gūtās peļņas atlīdzināšanu, lai arī zaudējumu apmērs nav ticami pierādīts. Tiesa nav ņēmusi vērā, ka atbilstoši judikatūrai ne</w:t>
      </w:r>
      <w:r w:rsidR="00320CBC">
        <w:rPr>
          <w:rFonts w:ascii="Times New Roman" w:hAnsi="Times New Roman" w:cs="Times New Roman"/>
          <w:sz w:val="24"/>
          <w:szCs w:val="24"/>
          <w:lang w:val="lv-LV"/>
        </w:rPr>
        <w:t>ie</w:t>
      </w:r>
      <w:r w:rsidRPr="007B4062">
        <w:rPr>
          <w:rFonts w:ascii="Times New Roman" w:hAnsi="Times New Roman" w:cs="Times New Roman"/>
          <w:sz w:val="24"/>
          <w:szCs w:val="24"/>
          <w:lang w:val="lv-LV"/>
        </w:rPr>
        <w:t xml:space="preserve">gūto peļņu nevar pierādīt ar pieņēmumos balstītu </w:t>
      </w:r>
      <w:r w:rsidR="00E57C67" w:rsidRPr="007B4062">
        <w:rPr>
          <w:rFonts w:ascii="Times New Roman" w:hAnsi="Times New Roman" w:cs="Times New Roman"/>
          <w:sz w:val="24"/>
          <w:szCs w:val="24"/>
          <w:lang w:val="lv-LV"/>
        </w:rPr>
        <w:t xml:space="preserve">speciālista </w:t>
      </w:r>
      <w:r w:rsidRPr="007B4062">
        <w:rPr>
          <w:rFonts w:ascii="Times New Roman" w:hAnsi="Times New Roman" w:cs="Times New Roman"/>
          <w:sz w:val="24"/>
          <w:szCs w:val="24"/>
          <w:lang w:val="lv-LV"/>
        </w:rPr>
        <w:t>novērtējumu. Tāpat tiesa nav ņēmusi vērā, ka iepirkumā pieļautā pasūtītājas kļūda neizraisīja pieteicējas dīkstāvi, pieteicēja savus resursus novirzīja citu projektu īstenošanai un tā rezultātā guva peļņu. Līdz ar to nav pamata uzskatīt, ka pieteicējai ir nodarīti zaudējumi.</w:t>
      </w:r>
      <w:r w:rsidR="009A6DDD" w:rsidRPr="007B4062">
        <w:rPr>
          <w:rFonts w:ascii="Times New Roman" w:hAnsi="Times New Roman" w:cs="Times New Roman"/>
          <w:sz w:val="24"/>
          <w:szCs w:val="24"/>
          <w:lang w:val="lv-LV"/>
        </w:rPr>
        <w:t xml:space="preserve"> </w:t>
      </w:r>
    </w:p>
    <w:p w14:paraId="2874C12A" w14:textId="77777777" w:rsidR="000802E4" w:rsidRPr="007B4062" w:rsidRDefault="000802E4" w:rsidP="003F1B18">
      <w:pPr>
        <w:spacing w:after="0"/>
        <w:ind w:firstLine="567"/>
        <w:jc w:val="both"/>
        <w:rPr>
          <w:rFonts w:ascii="Times New Roman" w:eastAsiaTheme="minorHAnsi" w:hAnsi="Times New Roman" w:cs="Times New Roman"/>
          <w:sz w:val="24"/>
          <w:szCs w:val="24"/>
          <w:lang w:val="lv-LV"/>
        </w:rPr>
      </w:pPr>
    </w:p>
    <w:p w14:paraId="22232AF2" w14:textId="06470EB2" w:rsidR="000802E4" w:rsidRPr="007B4062" w:rsidRDefault="000802E4" w:rsidP="003F1B18">
      <w:pPr>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[5] Pieteicēja ir sniegusi paskaidrojumu par kasācijas sūdzību, norādot, ka tā ir nepamatota.</w:t>
      </w:r>
      <w:r w:rsidR="00E57C67" w:rsidRPr="007B4062">
        <w:rPr>
          <w:rFonts w:ascii="Times New Roman" w:eastAsiaTheme="minorHAnsi" w:hAnsi="Times New Roman" w:cs="Times New Roman"/>
          <w:sz w:val="24"/>
          <w:szCs w:val="24"/>
          <w:lang w:val="lv-LV"/>
        </w:rPr>
        <w:t xml:space="preserve"> Kasatore iesniegusi paskaidrojumu par pieteicējas paskaidrojumiem, uzsverot, ka tās kasācijas sūdzība ir pamatota.</w:t>
      </w:r>
    </w:p>
    <w:p w14:paraId="3A3352B7" w14:textId="77777777" w:rsidR="000802E4" w:rsidRPr="007B4062" w:rsidRDefault="000802E4" w:rsidP="003F1B18">
      <w:pPr>
        <w:shd w:val="clear" w:color="auto" w:fill="FFFFFF"/>
        <w:spacing w:after="0"/>
        <w:jc w:val="both"/>
        <w:rPr>
          <w:rFonts w:ascii="Times New Roman" w:hAnsi="Times New Roman" w:cs="Times New Roman"/>
          <w:sz w:val="24"/>
          <w:szCs w:val="24"/>
          <w:lang w:val="lv-LV"/>
        </w:rPr>
      </w:pPr>
    </w:p>
    <w:p w14:paraId="5DF91749" w14:textId="77777777" w:rsidR="000802E4" w:rsidRPr="007B4062" w:rsidRDefault="000802E4" w:rsidP="003F1B18">
      <w:pPr>
        <w:shd w:val="clear" w:color="auto" w:fill="FFFFFF"/>
        <w:spacing w:after="0"/>
        <w:jc w:val="center"/>
        <w:rPr>
          <w:rFonts w:ascii="Times New Roman" w:hAnsi="Times New Roman" w:cs="Times New Roman"/>
          <w:b/>
          <w:bCs/>
          <w:sz w:val="24"/>
          <w:szCs w:val="24"/>
          <w:lang w:val="lv-LV"/>
        </w:rPr>
      </w:pPr>
      <w:r w:rsidRPr="007B4062">
        <w:rPr>
          <w:rFonts w:ascii="Times New Roman" w:hAnsi="Times New Roman" w:cs="Times New Roman"/>
          <w:b/>
          <w:bCs/>
          <w:sz w:val="24"/>
          <w:szCs w:val="24"/>
          <w:lang w:val="lv-LV"/>
        </w:rPr>
        <w:t>Motīvu daļa</w:t>
      </w:r>
    </w:p>
    <w:p w14:paraId="37FF3F6F" w14:textId="77777777" w:rsidR="000802E4" w:rsidRPr="007B4062" w:rsidRDefault="000802E4" w:rsidP="003F1B18">
      <w:pPr>
        <w:shd w:val="clear" w:color="auto" w:fill="FFFFFF"/>
        <w:spacing w:after="0"/>
        <w:jc w:val="center"/>
        <w:rPr>
          <w:rFonts w:ascii="Times New Roman" w:hAnsi="Times New Roman" w:cs="Times New Roman"/>
          <w:b/>
          <w:bCs/>
          <w:sz w:val="24"/>
          <w:szCs w:val="24"/>
          <w:lang w:val="lv-LV"/>
        </w:rPr>
      </w:pPr>
    </w:p>
    <w:p w14:paraId="56315F16" w14:textId="5ADCE9F1" w:rsidR="00B424A2" w:rsidRPr="007B4062" w:rsidRDefault="000802E4"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[6]</w:t>
      </w:r>
      <w:r w:rsidR="00FC519C">
        <w:rPr>
          <w:rFonts w:ascii="Times New Roman" w:hAnsi="Times New Roman" w:cs="Times New Roman"/>
          <w:sz w:val="24"/>
          <w:szCs w:val="24"/>
          <w:lang w:val="lv-LV"/>
        </w:rPr>
        <w:t> </w:t>
      </w:r>
      <w:r w:rsidR="00D868A4" w:rsidRPr="007B4062">
        <w:rPr>
          <w:rFonts w:ascii="Times New Roman" w:hAnsi="Times New Roman" w:cs="Times New Roman"/>
          <w:sz w:val="24"/>
          <w:szCs w:val="24"/>
          <w:lang w:val="lv-LV"/>
        </w:rPr>
        <w:t>Izskatāmajā lietā ir strīds par to, vai pasūtītāja, pieļaujot pamatlietā konstatēto pārkāpumu, ir radījusi pieteicējai zaudējumus.</w:t>
      </w:r>
      <w:r w:rsidR="00AB40B6" w:rsidRPr="007B4062">
        <w:rPr>
          <w:rFonts w:ascii="Times New Roman" w:hAnsi="Times New Roman" w:cs="Times New Roman"/>
          <w:sz w:val="24"/>
          <w:szCs w:val="24"/>
          <w:lang w:val="lv-LV"/>
        </w:rPr>
        <w:t xml:space="preserve"> </w:t>
      </w:r>
      <w:r w:rsidR="00090D50" w:rsidRPr="007B4062">
        <w:rPr>
          <w:rFonts w:ascii="Times New Roman" w:hAnsi="Times New Roman" w:cs="Times New Roman"/>
          <w:sz w:val="24"/>
          <w:szCs w:val="24"/>
          <w:lang w:val="lv-LV"/>
        </w:rPr>
        <w:t>Tiesa pārsūdzētajā spriedumā atzinusi, ka pieteicējai ir nodarīti zaudējumi ne</w:t>
      </w:r>
      <w:r w:rsidR="00320CBC">
        <w:rPr>
          <w:rFonts w:ascii="Times New Roman" w:hAnsi="Times New Roman" w:cs="Times New Roman"/>
          <w:sz w:val="24"/>
          <w:szCs w:val="24"/>
          <w:lang w:val="lv-LV"/>
        </w:rPr>
        <w:t>ie</w:t>
      </w:r>
      <w:r w:rsidR="00090D50" w:rsidRPr="007B4062">
        <w:rPr>
          <w:rFonts w:ascii="Times New Roman" w:hAnsi="Times New Roman" w:cs="Times New Roman"/>
          <w:sz w:val="24"/>
          <w:szCs w:val="24"/>
          <w:lang w:val="lv-LV"/>
        </w:rPr>
        <w:t xml:space="preserve">gūtās peļņas veidā. </w:t>
      </w:r>
      <w:r w:rsidR="00AB40B6" w:rsidRPr="007B4062">
        <w:rPr>
          <w:rFonts w:ascii="Times New Roman" w:hAnsi="Times New Roman" w:cs="Times New Roman"/>
          <w:sz w:val="24"/>
          <w:szCs w:val="24"/>
          <w:lang w:val="lv-LV"/>
        </w:rPr>
        <w:t>Savukārt k</w:t>
      </w:r>
      <w:r w:rsidR="001F645E" w:rsidRPr="007B4062">
        <w:rPr>
          <w:rFonts w:ascii="Times New Roman" w:hAnsi="Times New Roman" w:cs="Times New Roman"/>
          <w:sz w:val="24"/>
          <w:szCs w:val="24"/>
          <w:lang w:val="lv-LV"/>
        </w:rPr>
        <w:t>asatore uzskata, ka</w:t>
      </w:r>
      <w:r w:rsidR="00AB40B6" w:rsidRPr="007B4062">
        <w:rPr>
          <w:rFonts w:ascii="Times New Roman" w:hAnsi="Times New Roman" w:cs="Times New Roman"/>
          <w:sz w:val="24"/>
          <w:szCs w:val="24"/>
          <w:lang w:val="lv-LV"/>
        </w:rPr>
        <w:t xml:space="preserve"> tiesas secinājums ir nepareizs, jo balstīts kļūdainā tiesību normu piemērošanā un nepienācīgā pierādījumu novērtējumā.</w:t>
      </w:r>
    </w:p>
    <w:p w14:paraId="3F19C00F" w14:textId="63B8BDAA" w:rsidR="00AB40B6" w:rsidRPr="007B4062" w:rsidRDefault="00B424A2"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Kasācijas kārtībā pārbaudāms, vai kasācijas sūdzībā norādīto </w:t>
      </w:r>
      <w:r w:rsidR="004C3A9B" w:rsidRPr="007B4062">
        <w:rPr>
          <w:rFonts w:ascii="Times New Roman" w:hAnsi="Times New Roman" w:cs="Times New Roman"/>
          <w:sz w:val="24"/>
          <w:szCs w:val="24"/>
          <w:lang w:val="lv-LV"/>
        </w:rPr>
        <w:t>argumentu dēļ ir pamats uzskatīt, ka tiesa varētu būt nonākusi pie nepareiza lietas izspriešanas rezultāta.</w:t>
      </w:r>
    </w:p>
    <w:p w14:paraId="4151097C" w14:textId="0E0F4CE8" w:rsidR="00E05C5F" w:rsidRPr="007B4062" w:rsidRDefault="00E05C5F" w:rsidP="003F1B18">
      <w:pPr>
        <w:shd w:val="clear" w:color="auto" w:fill="FFFFFF"/>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Senāts vienlaikus ņem vērā, ka </w:t>
      </w:r>
      <w:r w:rsidRPr="007B4062">
        <w:rPr>
          <w:rFonts w:ascii="Times New Roman" w:eastAsiaTheme="minorHAnsi" w:hAnsi="Times New Roman" w:cs="Times New Roman"/>
          <w:sz w:val="24"/>
          <w:szCs w:val="24"/>
          <w:lang w:val="lv-LV"/>
        </w:rPr>
        <w:t>ar pirmās instances tiesas spriedumu ir noraidīts pieteicējas pieteikums par to zaudējumu atlīdzināšanu, kurus veido virs</w:t>
      </w:r>
      <w:r w:rsidR="002409AE">
        <w:rPr>
          <w:rFonts w:ascii="Times New Roman" w:eastAsiaTheme="minorHAnsi" w:hAnsi="Times New Roman" w:cs="Times New Roman"/>
          <w:sz w:val="24"/>
          <w:szCs w:val="24"/>
          <w:lang w:val="lv-LV"/>
        </w:rPr>
        <w:t>i</w:t>
      </w:r>
      <w:r w:rsidRPr="007B4062">
        <w:rPr>
          <w:rFonts w:ascii="Times New Roman" w:eastAsiaTheme="minorHAnsi" w:hAnsi="Times New Roman" w:cs="Times New Roman"/>
          <w:sz w:val="24"/>
          <w:szCs w:val="24"/>
          <w:lang w:val="lv-LV"/>
        </w:rPr>
        <w:t xml:space="preserve">zdevumi, un šajā daļā tiesas spriedums nav pārsūdzēts un tātad ir stājies spēkā. </w:t>
      </w:r>
    </w:p>
    <w:p w14:paraId="59E9DCF5" w14:textId="77777777" w:rsidR="001F05A2" w:rsidRPr="007B4062" w:rsidRDefault="001F05A2" w:rsidP="003F1B18">
      <w:pPr>
        <w:spacing w:after="0"/>
        <w:ind w:firstLine="567"/>
        <w:jc w:val="both"/>
        <w:rPr>
          <w:rFonts w:ascii="Times New Roman" w:hAnsi="Times New Roman" w:cs="Times New Roman"/>
          <w:sz w:val="24"/>
          <w:szCs w:val="24"/>
          <w:lang w:val="lv-LV"/>
        </w:rPr>
      </w:pPr>
    </w:p>
    <w:p w14:paraId="7BCE9737" w14:textId="77777777" w:rsidR="001F05A2" w:rsidRPr="007B4062" w:rsidRDefault="001F05A2" w:rsidP="003F1B18">
      <w:pPr>
        <w:spacing w:after="0"/>
        <w:jc w:val="center"/>
        <w:rPr>
          <w:rFonts w:ascii="Times New Roman" w:hAnsi="Times New Roman" w:cs="Times New Roman"/>
          <w:b/>
          <w:bCs/>
          <w:sz w:val="24"/>
          <w:szCs w:val="24"/>
          <w:lang w:val="lv-LV"/>
        </w:rPr>
      </w:pPr>
      <w:r w:rsidRPr="007B4062">
        <w:rPr>
          <w:rFonts w:ascii="Times New Roman" w:hAnsi="Times New Roman" w:cs="Times New Roman"/>
          <w:b/>
          <w:bCs/>
          <w:sz w:val="24"/>
          <w:szCs w:val="24"/>
          <w:lang w:val="lv-LV"/>
        </w:rPr>
        <w:t>I</w:t>
      </w:r>
    </w:p>
    <w:p w14:paraId="3F8C0E9E" w14:textId="77777777" w:rsidR="004C3A9B" w:rsidRPr="007B4062" w:rsidRDefault="004C3A9B" w:rsidP="003F1B18">
      <w:pPr>
        <w:spacing w:after="0"/>
        <w:ind w:firstLine="567"/>
        <w:jc w:val="both"/>
        <w:rPr>
          <w:rFonts w:ascii="Times New Roman" w:hAnsi="Times New Roman" w:cs="Times New Roman"/>
          <w:sz w:val="24"/>
          <w:szCs w:val="24"/>
          <w:lang w:val="lv-LV"/>
        </w:rPr>
      </w:pPr>
    </w:p>
    <w:p w14:paraId="7B19A421" w14:textId="2E9BBA67" w:rsidR="003403E0" w:rsidRPr="007B4062" w:rsidRDefault="00B424A2"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[7]</w:t>
      </w:r>
      <w:r w:rsidR="00FC519C">
        <w:rPr>
          <w:rFonts w:ascii="Times New Roman" w:hAnsi="Times New Roman" w:cs="Times New Roman"/>
          <w:sz w:val="24"/>
          <w:szCs w:val="24"/>
          <w:lang w:val="lv-LV"/>
        </w:rPr>
        <w:t> </w:t>
      </w:r>
      <w:r w:rsidRPr="007B4062">
        <w:rPr>
          <w:rFonts w:ascii="Times New Roman" w:hAnsi="Times New Roman" w:cs="Times New Roman"/>
          <w:sz w:val="24"/>
          <w:szCs w:val="24"/>
          <w:lang w:val="lv-LV"/>
        </w:rPr>
        <w:t xml:space="preserve">Viens no </w:t>
      </w:r>
      <w:r w:rsidR="002B6580" w:rsidRPr="007B4062">
        <w:rPr>
          <w:rFonts w:ascii="Times New Roman" w:hAnsi="Times New Roman" w:cs="Times New Roman"/>
          <w:sz w:val="24"/>
          <w:szCs w:val="24"/>
          <w:lang w:val="lv-LV"/>
        </w:rPr>
        <w:t>kasatores</w:t>
      </w:r>
      <w:r w:rsidRPr="007B4062">
        <w:rPr>
          <w:rFonts w:ascii="Times New Roman" w:hAnsi="Times New Roman" w:cs="Times New Roman"/>
          <w:sz w:val="24"/>
          <w:szCs w:val="24"/>
          <w:lang w:val="lv-LV"/>
        </w:rPr>
        <w:t xml:space="preserve"> galvenajiem argumentiem, kas caurvij kasācijas sūdzību, ir </w:t>
      </w:r>
      <w:r w:rsidR="00CA77C7">
        <w:rPr>
          <w:rFonts w:ascii="Times New Roman" w:hAnsi="Times New Roman" w:cs="Times New Roman"/>
          <w:sz w:val="24"/>
          <w:szCs w:val="24"/>
          <w:lang w:val="lv-LV"/>
        </w:rPr>
        <w:t>tas</w:t>
      </w:r>
      <w:r w:rsidR="00AB40B6" w:rsidRPr="007B4062">
        <w:rPr>
          <w:rFonts w:ascii="Times New Roman" w:hAnsi="Times New Roman" w:cs="Times New Roman"/>
          <w:sz w:val="24"/>
          <w:szCs w:val="24"/>
          <w:lang w:val="lv-LV"/>
        </w:rPr>
        <w:t xml:space="preserve">, ka </w:t>
      </w:r>
      <w:r w:rsidR="004C3A9B" w:rsidRPr="007B4062">
        <w:rPr>
          <w:rFonts w:ascii="Times New Roman" w:hAnsi="Times New Roman" w:cs="Times New Roman"/>
          <w:sz w:val="24"/>
          <w:szCs w:val="24"/>
          <w:lang w:val="lv-LV"/>
        </w:rPr>
        <w:t xml:space="preserve">pieteicēja iepirkuma tiesiskas norises </w:t>
      </w:r>
      <w:r w:rsidR="003403E0" w:rsidRPr="007B4062">
        <w:rPr>
          <w:rFonts w:ascii="Times New Roman" w:hAnsi="Times New Roman" w:cs="Times New Roman"/>
          <w:sz w:val="24"/>
          <w:szCs w:val="24"/>
          <w:lang w:val="lv-LV"/>
        </w:rPr>
        <w:t xml:space="preserve">gadījumā </w:t>
      </w:r>
      <w:r w:rsidR="004C3A9B" w:rsidRPr="007B4062">
        <w:rPr>
          <w:rFonts w:ascii="Times New Roman" w:hAnsi="Times New Roman" w:cs="Times New Roman"/>
          <w:sz w:val="24"/>
          <w:szCs w:val="24"/>
          <w:lang w:val="lv-LV"/>
        </w:rPr>
        <w:t>nebūtu uzvarējusi strīdus iepirkumā.</w:t>
      </w:r>
    </w:p>
    <w:p w14:paraId="21BA72F0" w14:textId="2C1BE8CB" w:rsidR="001F645E" w:rsidRPr="007B4062" w:rsidRDefault="003403E0"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Kasatore</w:t>
      </w:r>
      <w:r w:rsidR="003D575B" w:rsidRPr="007B4062">
        <w:rPr>
          <w:rFonts w:ascii="Times New Roman" w:hAnsi="Times New Roman" w:cs="Times New Roman"/>
          <w:sz w:val="24"/>
          <w:szCs w:val="24"/>
          <w:lang w:val="lv-LV"/>
        </w:rPr>
        <w:t xml:space="preserve"> to </w:t>
      </w:r>
      <w:r w:rsidR="001F05A2" w:rsidRPr="007B4062">
        <w:rPr>
          <w:rFonts w:ascii="Times New Roman" w:hAnsi="Times New Roman" w:cs="Times New Roman"/>
          <w:sz w:val="24"/>
          <w:szCs w:val="24"/>
          <w:lang w:val="lv-LV"/>
        </w:rPr>
        <w:t xml:space="preserve">visupirms </w:t>
      </w:r>
      <w:r w:rsidR="003D575B" w:rsidRPr="007B4062">
        <w:rPr>
          <w:rFonts w:ascii="Times New Roman" w:hAnsi="Times New Roman" w:cs="Times New Roman"/>
          <w:sz w:val="24"/>
          <w:szCs w:val="24"/>
          <w:lang w:val="lv-LV"/>
        </w:rPr>
        <w:t>pamato ar apgalvojumu</w:t>
      </w:r>
      <w:r w:rsidRPr="007B4062">
        <w:rPr>
          <w:rFonts w:ascii="Times New Roman" w:hAnsi="Times New Roman" w:cs="Times New Roman"/>
          <w:sz w:val="24"/>
          <w:szCs w:val="24"/>
          <w:lang w:val="lv-LV"/>
        </w:rPr>
        <w:t xml:space="preserve">, ka </w:t>
      </w:r>
      <w:r w:rsidR="00AB40B6" w:rsidRPr="007B4062">
        <w:rPr>
          <w:rFonts w:ascii="Times New Roman" w:hAnsi="Times New Roman" w:cs="Times New Roman"/>
          <w:sz w:val="24"/>
          <w:szCs w:val="24"/>
          <w:lang w:val="lv-LV"/>
        </w:rPr>
        <w:t>pieteicējas</w:t>
      </w:r>
      <w:r w:rsidR="001F645E" w:rsidRPr="007B4062">
        <w:rPr>
          <w:rFonts w:ascii="Times New Roman" w:hAnsi="Times New Roman" w:cs="Times New Roman"/>
          <w:sz w:val="24"/>
          <w:szCs w:val="24"/>
          <w:lang w:val="lv-LV"/>
        </w:rPr>
        <w:t xml:space="preserve"> piedāvājums, strīdus pozīcijā piedāvājot cenu ar atlaidi, </w:t>
      </w:r>
      <w:r w:rsidR="00AB40B6" w:rsidRPr="007B4062">
        <w:rPr>
          <w:rFonts w:ascii="Times New Roman" w:hAnsi="Times New Roman" w:cs="Times New Roman"/>
          <w:sz w:val="24"/>
          <w:szCs w:val="24"/>
          <w:lang w:val="lv-LV"/>
        </w:rPr>
        <w:t>ne</w:t>
      </w:r>
      <w:r w:rsidR="001F645E" w:rsidRPr="007B4062">
        <w:rPr>
          <w:rFonts w:ascii="Times New Roman" w:hAnsi="Times New Roman" w:cs="Times New Roman"/>
          <w:sz w:val="24"/>
          <w:szCs w:val="24"/>
          <w:lang w:val="lv-LV"/>
        </w:rPr>
        <w:t xml:space="preserve">atbilda iepirkuma nolikumā izvirzītajām prasībām un </w:t>
      </w:r>
      <w:r w:rsidR="00AB40B6" w:rsidRPr="007B4062">
        <w:rPr>
          <w:rFonts w:ascii="Times New Roman" w:hAnsi="Times New Roman" w:cs="Times New Roman"/>
          <w:sz w:val="24"/>
          <w:szCs w:val="24"/>
          <w:lang w:val="lv-LV"/>
        </w:rPr>
        <w:t>tāpēc šād</w:t>
      </w:r>
      <w:r w:rsidR="002B6580" w:rsidRPr="007B4062">
        <w:rPr>
          <w:rFonts w:ascii="Times New Roman" w:hAnsi="Times New Roman" w:cs="Times New Roman"/>
          <w:sz w:val="24"/>
          <w:szCs w:val="24"/>
          <w:lang w:val="lv-LV"/>
        </w:rPr>
        <w:t>a</w:t>
      </w:r>
      <w:r w:rsidR="00AB40B6" w:rsidRPr="007B4062">
        <w:rPr>
          <w:rFonts w:ascii="Times New Roman" w:hAnsi="Times New Roman" w:cs="Times New Roman"/>
          <w:sz w:val="24"/>
          <w:szCs w:val="24"/>
          <w:lang w:val="lv-LV"/>
        </w:rPr>
        <w:t xml:space="preserve"> piedāvājuma akceptēšana </w:t>
      </w:r>
      <w:r w:rsidR="004C3A9B" w:rsidRPr="007B4062">
        <w:rPr>
          <w:rFonts w:ascii="Times New Roman" w:hAnsi="Times New Roman" w:cs="Times New Roman"/>
          <w:sz w:val="24"/>
          <w:szCs w:val="24"/>
          <w:lang w:val="lv-LV"/>
        </w:rPr>
        <w:t>būtu</w:t>
      </w:r>
      <w:r w:rsidRPr="007B4062">
        <w:rPr>
          <w:rFonts w:ascii="Times New Roman" w:hAnsi="Times New Roman" w:cs="Times New Roman"/>
          <w:sz w:val="24"/>
          <w:szCs w:val="24"/>
          <w:lang w:val="lv-LV"/>
        </w:rPr>
        <w:t xml:space="preserve"> </w:t>
      </w:r>
      <w:r w:rsidR="001F645E" w:rsidRPr="007B4062">
        <w:rPr>
          <w:rFonts w:ascii="Times New Roman" w:hAnsi="Times New Roman" w:cs="Times New Roman"/>
          <w:sz w:val="24"/>
          <w:szCs w:val="24"/>
          <w:lang w:val="lv-LV"/>
        </w:rPr>
        <w:t xml:space="preserve">pretrunā ar pretendentu brīvas un vienlīdzīgas konkurences principiem. </w:t>
      </w:r>
      <w:r w:rsidR="00AB40B6" w:rsidRPr="007B4062">
        <w:rPr>
          <w:rFonts w:ascii="Times New Roman" w:hAnsi="Times New Roman" w:cs="Times New Roman"/>
          <w:sz w:val="24"/>
          <w:szCs w:val="24"/>
          <w:lang w:val="lv-LV"/>
        </w:rPr>
        <w:t>Tiesa</w:t>
      </w:r>
      <w:r w:rsidRPr="007B4062">
        <w:rPr>
          <w:rFonts w:ascii="Times New Roman" w:hAnsi="Times New Roman" w:cs="Times New Roman"/>
          <w:sz w:val="24"/>
          <w:szCs w:val="24"/>
          <w:lang w:val="lv-LV"/>
        </w:rPr>
        <w:t xml:space="preserve">, uzskatot, ka piedāvājuma iespējami nepamatotu lētumu var izvērtēt, vispirms nepārbaudot piedāvājuma atbilstību iepirkuma </w:t>
      </w:r>
      <w:r w:rsidR="002B6580" w:rsidRPr="007B4062">
        <w:rPr>
          <w:rFonts w:ascii="Times New Roman" w:hAnsi="Times New Roman" w:cs="Times New Roman"/>
          <w:sz w:val="24"/>
          <w:szCs w:val="24"/>
          <w:lang w:val="lv-LV"/>
        </w:rPr>
        <w:t xml:space="preserve">nolikuma </w:t>
      </w:r>
      <w:r w:rsidRPr="007B4062">
        <w:rPr>
          <w:rFonts w:ascii="Times New Roman" w:hAnsi="Times New Roman" w:cs="Times New Roman"/>
          <w:sz w:val="24"/>
          <w:szCs w:val="24"/>
          <w:lang w:val="lv-LV"/>
        </w:rPr>
        <w:t>prasībām, esot pieļāvusi Publisko iepirkumu likuma 2.panta (kurā atspoguļoti likuma mērķi un publisko iepirkumu pamatprincipi) pārkāpumu.</w:t>
      </w:r>
    </w:p>
    <w:p w14:paraId="08D818DD" w14:textId="77777777" w:rsidR="003403E0" w:rsidRPr="007B4062" w:rsidRDefault="003403E0"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Senāts šo kasatores argumentu turpmāk norādīto apsvērumu dēļ atzīst par nepamatotu.</w:t>
      </w:r>
    </w:p>
    <w:p w14:paraId="653E882F" w14:textId="77777777" w:rsidR="003403E0" w:rsidRPr="007B4062" w:rsidRDefault="003403E0" w:rsidP="003F1B18">
      <w:pPr>
        <w:spacing w:after="0"/>
        <w:ind w:firstLine="567"/>
        <w:jc w:val="both"/>
        <w:rPr>
          <w:rFonts w:ascii="Times New Roman" w:hAnsi="Times New Roman" w:cs="Times New Roman"/>
          <w:sz w:val="24"/>
          <w:szCs w:val="24"/>
          <w:lang w:val="lv-LV"/>
        </w:rPr>
      </w:pPr>
    </w:p>
    <w:p w14:paraId="2AFB723B" w14:textId="001989CF" w:rsidR="002C6279" w:rsidRPr="007B4062" w:rsidRDefault="003403E0" w:rsidP="003F1B18">
      <w:pPr>
        <w:tabs>
          <w:tab w:val="left" w:pos="540"/>
        </w:tabs>
        <w:spacing w:after="0"/>
        <w:ind w:firstLine="567"/>
        <w:jc w:val="both"/>
        <w:rPr>
          <w:rFonts w:ascii="Times New Roman" w:eastAsiaTheme="minorHAnsi" w:hAnsi="Times New Roman" w:cs="Times New Roman"/>
          <w:sz w:val="24"/>
          <w:szCs w:val="24"/>
          <w:lang w:val="lv-LV"/>
        </w:rPr>
      </w:pPr>
      <w:r w:rsidRPr="007B4062">
        <w:rPr>
          <w:rFonts w:ascii="Times New Roman" w:hAnsi="Times New Roman" w:cs="Times New Roman"/>
          <w:sz w:val="24"/>
          <w:szCs w:val="24"/>
          <w:lang w:val="lv-LV"/>
        </w:rPr>
        <w:t>[8]</w:t>
      </w:r>
      <w:r w:rsidR="00FC519C">
        <w:rPr>
          <w:rFonts w:ascii="Times New Roman" w:hAnsi="Times New Roman" w:cs="Times New Roman"/>
          <w:sz w:val="24"/>
          <w:szCs w:val="24"/>
          <w:lang w:val="lv-LV"/>
        </w:rPr>
        <w:t> </w:t>
      </w:r>
      <w:r w:rsidR="00CA77C7">
        <w:rPr>
          <w:rFonts w:ascii="Times New Roman" w:hAnsi="Times New Roman" w:cs="Times New Roman"/>
          <w:sz w:val="24"/>
          <w:szCs w:val="24"/>
          <w:lang w:val="lv-LV"/>
        </w:rPr>
        <w:t>J</w:t>
      </w:r>
      <w:r w:rsidR="003178CE" w:rsidRPr="007B4062">
        <w:rPr>
          <w:rFonts w:ascii="Times New Roman" w:hAnsi="Times New Roman" w:cs="Times New Roman"/>
          <w:sz w:val="24"/>
          <w:szCs w:val="24"/>
          <w:lang w:val="lv-LV"/>
        </w:rPr>
        <w:t>a tiek prasīts atlīdzināt iepirkuma procedūras pārkāpuma dēļ ne</w:t>
      </w:r>
      <w:r w:rsidR="00320CBC">
        <w:rPr>
          <w:rFonts w:ascii="Times New Roman" w:hAnsi="Times New Roman" w:cs="Times New Roman"/>
          <w:sz w:val="24"/>
          <w:szCs w:val="24"/>
          <w:lang w:val="lv-LV"/>
        </w:rPr>
        <w:t>ie</w:t>
      </w:r>
      <w:r w:rsidR="003178CE" w:rsidRPr="007B4062">
        <w:rPr>
          <w:rFonts w:ascii="Times New Roman" w:hAnsi="Times New Roman" w:cs="Times New Roman"/>
          <w:sz w:val="24"/>
          <w:szCs w:val="24"/>
          <w:lang w:val="lv-LV"/>
        </w:rPr>
        <w:t>gūtu peļņu, viens no izšķirošajiem apstākļiem ir tas</w:t>
      </w:r>
      <w:r w:rsidRPr="007B4062">
        <w:rPr>
          <w:rFonts w:ascii="Times New Roman" w:hAnsi="Times New Roman" w:cs="Times New Roman"/>
          <w:sz w:val="24"/>
          <w:szCs w:val="24"/>
          <w:lang w:val="lv-LV"/>
        </w:rPr>
        <w:t>, vai pieteicējs iepirkum</w:t>
      </w:r>
      <w:r w:rsidR="002B6580" w:rsidRPr="007B4062">
        <w:rPr>
          <w:rFonts w:ascii="Times New Roman" w:hAnsi="Times New Roman" w:cs="Times New Roman"/>
          <w:sz w:val="24"/>
          <w:szCs w:val="24"/>
          <w:lang w:val="lv-LV"/>
        </w:rPr>
        <w:t>a</w:t>
      </w:r>
      <w:r w:rsidRPr="007B4062">
        <w:rPr>
          <w:rFonts w:ascii="Times New Roman" w:hAnsi="Times New Roman" w:cs="Times New Roman"/>
          <w:sz w:val="24"/>
          <w:szCs w:val="24"/>
          <w:lang w:val="lv-LV"/>
        </w:rPr>
        <w:t xml:space="preserve"> procedūras paredzamās norises gaitā būtu ieguvis tiesības slēgt iepirkuma līgumu. Vienīgi pēc tam, kad ir noskaidrots, </w:t>
      </w:r>
      <w:r w:rsidR="003178CE" w:rsidRPr="007B4062">
        <w:rPr>
          <w:rFonts w:ascii="Times New Roman" w:hAnsi="Times New Roman" w:cs="Times New Roman"/>
          <w:sz w:val="24"/>
          <w:szCs w:val="24"/>
          <w:lang w:val="lv-LV"/>
        </w:rPr>
        <w:t>ka</w:t>
      </w:r>
      <w:r w:rsidRPr="007B4062">
        <w:rPr>
          <w:rFonts w:ascii="Times New Roman" w:hAnsi="Times New Roman" w:cs="Times New Roman"/>
          <w:sz w:val="24"/>
          <w:szCs w:val="24"/>
          <w:lang w:val="lv-LV"/>
        </w:rPr>
        <w:t xml:space="preserve"> pieteicējs būtu iepirkumā uzvarē</w:t>
      </w:r>
      <w:r w:rsidR="003178CE" w:rsidRPr="007B4062">
        <w:rPr>
          <w:rFonts w:ascii="Times New Roman" w:hAnsi="Times New Roman" w:cs="Times New Roman"/>
          <w:sz w:val="24"/>
          <w:szCs w:val="24"/>
          <w:lang w:val="lv-LV"/>
        </w:rPr>
        <w:t>jis</w:t>
      </w:r>
      <w:r w:rsidRPr="007B4062">
        <w:rPr>
          <w:rFonts w:ascii="Times New Roman" w:hAnsi="Times New Roman" w:cs="Times New Roman"/>
          <w:sz w:val="24"/>
          <w:szCs w:val="24"/>
          <w:lang w:val="lv-LV"/>
        </w:rPr>
        <w:t xml:space="preserve">, ja nebūtu pieļautā pārkāpuma, var pievērsties jautājumam par to, vai un kādā apmērā pieteicējs iepirkuma līguma noslēgšanas rezultātā būtu guvis peļņu. </w:t>
      </w:r>
      <w:r w:rsidR="002C6279" w:rsidRPr="007B4062">
        <w:rPr>
          <w:rFonts w:ascii="Times New Roman" w:hAnsi="Times New Roman" w:cs="Times New Roman"/>
          <w:sz w:val="24"/>
          <w:szCs w:val="24"/>
          <w:lang w:val="lv-LV"/>
        </w:rPr>
        <w:t>Savukārt, v</w:t>
      </w:r>
      <w:r w:rsidR="003178CE" w:rsidRPr="007B4062">
        <w:rPr>
          <w:rFonts w:ascii="Times New Roman" w:eastAsiaTheme="minorHAnsi" w:hAnsi="Times New Roman" w:cs="Times New Roman"/>
          <w:sz w:val="24"/>
          <w:szCs w:val="24"/>
          <w:lang w:val="lv-LV"/>
        </w:rPr>
        <w:t xml:space="preserve">ērtējot pieteicēja izredzes iepirkumā uzvarēt, jāņem vērā </w:t>
      </w:r>
      <w:r w:rsidR="002C6279" w:rsidRPr="007B4062">
        <w:rPr>
          <w:rFonts w:ascii="Times New Roman" w:eastAsiaTheme="minorHAnsi" w:hAnsi="Times New Roman" w:cs="Times New Roman"/>
          <w:sz w:val="24"/>
          <w:szCs w:val="24"/>
          <w:lang w:val="lv-LV"/>
        </w:rPr>
        <w:t>visi</w:t>
      </w:r>
      <w:r w:rsidR="003178CE" w:rsidRPr="007B4062">
        <w:rPr>
          <w:rFonts w:ascii="Times New Roman" w:eastAsiaTheme="minorHAnsi" w:hAnsi="Times New Roman" w:cs="Times New Roman"/>
          <w:sz w:val="24"/>
          <w:szCs w:val="24"/>
          <w:lang w:val="lv-LV"/>
        </w:rPr>
        <w:t xml:space="preserve"> apstākļi, kas šīs izredzes, iespējams, varēja ietekmēt</w:t>
      </w:r>
      <w:r w:rsidR="00BC08AB" w:rsidRPr="007B4062">
        <w:rPr>
          <w:rFonts w:ascii="Times New Roman" w:eastAsiaTheme="minorHAnsi" w:hAnsi="Times New Roman" w:cs="Times New Roman"/>
          <w:sz w:val="24"/>
          <w:szCs w:val="24"/>
          <w:lang w:val="lv-LV"/>
        </w:rPr>
        <w:t>, tātad arī apstāklis, vai pieteicēja piedāv</w:t>
      </w:r>
      <w:r w:rsidR="00F5087B" w:rsidRPr="007B4062">
        <w:rPr>
          <w:rFonts w:ascii="Times New Roman" w:eastAsiaTheme="minorHAnsi" w:hAnsi="Times New Roman" w:cs="Times New Roman"/>
          <w:sz w:val="24"/>
          <w:szCs w:val="24"/>
          <w:lang w:val="lv-LV"/>
        </w:rPr>
        <w:t>ā</w:t>
      </w:r>
      <w:r w:rsidR="00BC08AB" w:rsidRPr="007B4062">
        <w:rPr>
          <w:rFonts w:ascii="Times New Roman" w:eastAsiaTheme="minorHAnsi" w:hAnsi="Times New Roman" w:cs="Times New Roman"/>
          <w:sz w:val="24"/>
          <w:szCs w:val="24"/>
          <w:lang w:val="lv-LV"/>
        </w:rPr>
        <w:t>jums atbilst iepirkuma nolikuma prasībām</w:t>
      </w:r>
      <w:r w:rsidR="002C6279" w:rsidRPr="007B4062">
        <w:rPr>
          <w:rFonts w:ascii="Times New Roman" w:eastAsiaTheme="minorHAnsi" w:hAnsi="Times New Roman" w:cs="Times New Roman"/>
          <w:sz w:val="24"/>
          <w:szCs w:val="24"/>
          <w:lang w:val="lv-LV"/>
        </w:rPr>
        <w:t xml:space="preserve"> (</w:t>
      </w:r>
      <w:r w:rsidR="00BC08AB" w:rsidRPr="007B4062">
        <w:rPr>
          <w:rFonts w:ascii="Times New Roman" w:eastAsiaTheme="minorHAnsi" w:hAnsi="Times New Roman" w:cs="Times New Roman"/>
          <w:sz w:val="24"/>
          <w:szCs w:val="24"/>
          <w:lang w:val="lv-LV"/>
        </w:rPr>
        <w:t xml:space="preserve">sal. </w:t>
      </w:r>
      <w:r w:rsidR="002C6279" w:rsidRPr="007B4062">
        <w:rPr>
          <w:rFonts w:ascii="Times New Roman" w:eastAsiaTheme="minorHAnsi" w:hAnsi="Times New Roman" w:cs="Times New Roman"/>
          <w:i/>
          <w:iCs/>
          <w:sz w:val="24"/>
          <w:szCs w:val="24"/>
          <w:lang w:val="lv-LV"/>
        </w:rPr>
        <w:t xml:space="preserve">Senāta </w:t>
      </w:r>
      <w:r w:rsidR="0026538C" w:rsidRPr="007B4062">
        <w:rPr>
          <w:rFonts w:ascii="Times New Roman" w:eastAsiaTheme="minorHAnsi" w:hAnsi="Times New Roman" w:cs="Times New Roman"/>
          <w:i/>
          <w:iCs/>
          <w:sz w:val="24"/>
          <w:szCs w:val="24"/>
          <w:lang w:val="lv-LV"/>
        </w:rPr>
        <w:t xml:space="preserve">2014.gada 22.oktobra sprieduma lietā Nr. SKA-807/2014 (A420572412) 12.punkts, </w:t>
      </w:r>
      <w:r w:rsidR="002C6279" w:rsidRPr="007B4062">
        <w:rPr>
          <w:rFonts w:ascii="Times New Roman" w:eastAsiaTheme="minorHAnsi" w:hAnsi="Times New Roman" w:cs="Times New Roman"/>
          <w:i/>
          <w:iCs/>
          <w:sz w:val="24"/>
          <w:szCs w:val="24"/>
          <w:lang w:val="lv-LV"/>
        </w:rPr>
        <w:t>2017.gada 22.septembra sprieduma lietā Nr. SKA-558/2017 (</w:t>
      </w:r>
      <w:hyperlink r:id="rId9" w:history="1">
        <w:r w:rsidR="004F1D0F" w:rsidRPr="007B4062">
          <w:rPr>
            <w:rStyle w:val="Hyperlink"/>
            <w:rFonts w:ascii="Times New Roman" w:eastAsiaTheme="minorHAnsi" w:hAnsi="Times New Roman" w:cs="Times New Roman"/>
            <w:i/>
            <w:iCs/>
            <w:color w:val="auto"/>
            <w:sz w:val="24"/>
            <w:szCs w:val="24"/>
            <w:u w:val="none"/>
            <w:lang w:val="lv-LV"/>
          </w:rPr>
          <w:t>ECLI:LV:AT:2017:0922.A420285614.1.S</w:t>
        </w:r>
      </w:hyperlink>
      <w:r w:rsidR="002C6279" w:rsidRPr="007B4062">
        <w:rPr>
          <w:rFonts w:ascii="Times New Roman" w:hAnsi="Times New Roman" w:cs="Times New Roman"/>
          <w:i/>
          <w:iCs/>
          <w:sz w:val="24"/>
          <w:szCs w:val="24"/>
          <w:lang w:val="lv-LV"/>
        </w:rPr>
        <w:t>) 17.punkts</w:t>
      </w:r>
      <w:r w:rsidR="002C6279" w:rsidRPr="007B4062">
        <w:rPr>
          <w:rFonts w:ascii="Times New Roman" w:eastAsiaTheme="minorHAnsi" w:hAnsi="Times New Roman" w:cs="Times New Roman"/>
          <w:sz w:val="24"/>
          <w:szCs w:val="24"/>
          <w:lang w:val="lv-LV"/>
        </w:rPr>
        <w:t>).</w:t>
      </w:r>
      <w:r w:rsidR="003178CE" w:rsidRPr="007B4062">
        <w:rPr>
          <w:rFonts w:ascii="Times New Roman" w:eastAsiaTheme="minorHAnsi" w:hAnsi="Times New Roman" w:cs="Times New Roman"/>
          <w:sz w:val="24"/>
          <w:szCs w:val="24"/>
          <w:lang w:val="lv-LV"/>
        </w:rPr>
        <w:t xml:space="preserve"> </w:t>
      </w:r>
    </w:p>
    <w:p w14:paraId="0B59FE47" w14:textId="64E74594" w:rsidR="00876285" w:rsidRPr="007B4062" w:rsidRDefault="002C6279" w:rsidP="003F1B18">
      <w:pPr>
        <w:autoSpaceDE w:val="0"/>
        <w:autoSpaceDN w:val="0"/>
        <w:adjustRightInd w:val="0"/>
        <w:spacing w:after="0"/>
        <w:ind w:firstLine="567"/>
        <w:jc w:val="both"/>
        <w:rPr>
          <w:rFonts w:ascii="Times New Roman" w:hAnsi="Times New Roman" w:cs="Times New Roman"/>
          <w:sz w:val="24"/>
          <w:szCs w:val="24"/>
          <w:lang w:val="lv-LV" w:eastAsia="lv-LV"/>
        </w:rPr>
      </w:pPr>
      <w:r w:rsidRPr="007B4062">
        <w:rPr>
          <w:rFonts w:ascii="Times New Roman" w:eastAsiaTheme="minorHAnsi" w:hAnsi="Times New Roman" w:cs="Times New Roman"/>
          <w:sz w:val="24"/>
          <w:szCs w:val="24"/>
          <w:lang w:val="lv-LV"/>
        </w:rPr>
        <w:t>Vienlaikus jāņem vērā, ka atbilstoši Administratīvā procesa likuma 153.panta trešajai daļai f</w:t>
      </w:r>
      <w:r w:rsidRPr="007B4062">
        <w:rPr>
          <w:rFonts w:ascii="Times New Roman" w:hAnsi="Times New Roman" w:cs="Times New Roman"/>
          <w:sz w:val="24"/>
          <w:szCs w:val="24"/>
          <w:shd w:val="clear" w:color="auto" w:fill="FFFFFF"/>
          <w:lang w:val="lv-LV"/>
        </w:rPr>
        <w:t xml:space="preserve">akts, kurš nodibināts ar spēkā stājušos spriedumu tā motīvu daļā, nav no jauna jāpierāda, izskatot administratīvo lietu, kurā piedalās tie paši procesa dalībnieki. </w:t>
      </w:r>
      <w:r w:rsidRPr="007B4062">
        <w:rPr>
          <w:rFonts w:ascii="Times New Roman" w:hAnsi="Times New Roman" w:cs="Times New Roman"/>
          <w:sz w:val="24"/>
          <w:szCs w:val="24"/>
          <w:lang w:val="lv-LV"/>
        </w:rPr>
        <w:t xml:space="preserve">Minētā </w:t>
      </w:r>
      <w:r w:rsidRPr="007B4062">
        <w:rPr>
          <w:rFonts w:ascii="Times New Roman" w:hAnsi="Times New Roman" w:cs="Times New Roman"/>
          <w:sz w:val="24"/>
          <w:szCs w:val="24"/>
          <w:lang w:val="lv-LV" w:eastAsia="lv-LV"/>
        </w:rPr>
        <w:t xml:space="preserve">norma </w:t>
      </w:r>
      <w:r w:rsidR="00F267F2" w:rsidRPr="007B4062">
        <w:rPr>
          <w:rFonts w:ascii="Times New Roman" w:hAnsi="Times New Roman" w:cs="Times New Roman"/>
          <w:sz w:val="24"/>
          <w:szCs w:val="24"/>
          <w:lang w:val="lv-LV" w:eastAsia="lv-LV"/>
        </w:rPr>
        <w:t xml:space="preserve">ir saistīta ar </w:t>
      </w:r>
      <w:r w:rsidR="00F267F2" w:rsidRPr="007B4062">
        <w:rPr>
          <w:rFonts w:ascii="Times New Roman" w:hAnsi="Times New Roman" w:cs="Times New Roman"/>
          <w:i/>
          <w:iCs/>
          <w:sz w:val="24"/>
          <w:szCs w:val="24"/>
          <w:lang w:val="lv-LV" w:eastAsia="lv-LV"/>
        </w:rPr>
        <w:t>res judicata</w:t>
      </w:r>
      <w:r w:rsidR="00F267F2" w:rsidRPr="007B4062">
        <w:rPr>
          <w:rFonts w:ascii="Times New Roman" w:hAnsi="Times New Roman" w:cs="Times New Roman"/>
          <w:sz w:val="24"/>
          <w:szCs w:val="24"/>
          <w:lang w:val="lv-LV" w:eastAsia="lv-LV"/>
        </w:rPr>
        <w:t xml:space="preserve"> principu, kura saistošais spēks </w:t>
      </w:r>
      <w:r w:rsidR="00F267F2" w:rsidRPr="007B4062">
        <w:rPr>
          <w:rFonts w:ascii="Times New Roman" w:hAnsi="Times New Roman" w:cs="Times New Roman"/>
          <w:sz w:val="24"/>
          <w:szCs w:val="24"/>
          <w:lang w:val="lv-LV"/>
        </w:rPr>
        <w:t xml:space="preserve">attiecas ne tikai uz tiesas nolēmumu rezolutīvo daļu, bet arī uz motīviem, kas veido rezolutīvās daļas nepieciešamo pamatojumu un </w:t>
      </w:r>
      <w:r w:rsidR="00B21BC8" w:rsidRPr="007B4062">
        <w:rPr>
          <w:rFonts w:ascii="Times New Roman" w:hAnsi="Times New Roman" w:cs="Times New Roman"/>
          <w:sz w:val="24"/>
          <w:szCs w:val="24"/>
          <w:lang w:val="lv-LV"/>
        </w:rPr>
        <w:t>k</w:t>
      </w:r>
      <w:r w:rsidR="00B21BC8">
        <w:rPr>
          <w:rFonts w:ascii="Times New Roman" w:hAnsi="Times New Roman" w:cs="Times New Roman"/>
          <w:sz w:val="24"/>
          <w:szCs w:val="24"/>
          <w:lang w:val="lv-LV"/>
        </w:rPr>
        <w:t>as</w:t>
      </w:r>
      <w:r w:rsidR="00B21BC8" w:rsidRPr="007B4062">
        <w:rPr>
          <w:rFonts w:ascii="Times New Roman" w:hAnsi="Times New Roman" w:cs="Times New Roman"/>
          <w:sz w:val="24"/>
          <w:szCs w:val="24"/>
          <w:lang w:val="lv-LV"/>
        </w:rPr>
        <w:t xml:space="preserve"> </w:t>
      </w:r>
      <w:r w:rsidR="00F267F2" w:rsidRPr="007B4062">
        <w:rPr>
          <w:rFonts w:ascii="Times New Roman" w:hAnsi="Times New Roman" w:cs="Times New Roman"/>
          <w:sz w:val="24"/>
          <w:szCs w:val="24"/>
          <w:lang w:val="lv-LV"/>
        </w:rPr>
        <w:t>tāpēc nav no tās atdalāmi. Arī judikatūrā jau atzīts:</w:t>
      </w:r>
      <w:r w:rsidR="00F267F2" w:rsidRPr="007B4062">
        <w:rPr>
          <w:rFonts w:ascii="Times New Roman" w:hAnsi="Times New Roman" w:cs="Times New Roman"/>
          <w:sz w:val="24"/>
          <w:szCs w:val="24"/>
          <w:lang w:val="lv-LV" w:eastAsia="lv-LV"/>
        </w:rPr>
        <w:t xml:space="preserve"> ja vieniem un tiem pašiem procesa dalībniekiem ir bijusi iespēja savstarpējā tiesas procesā aizstāvēt katram savas intereses, izmantojot iespējas iesniegt pierādījumus un izteikt argumentus par otra </w:t>
      </w:r>
      <w:r w:rsidR="008D3886">
        <w:rPr>
          <w:rFonts w:ascii="Times New Roman" w:hAnsi="Times New Roman" w:cs="Times New Roman"/>
          <w:sz w:val="24"/>
          <w:szCs w:val="24"/>
          <w:lang w:val="lv-LV" w:eastAsia="lv-LV"/>
        </w:rPr>
        <w:t>procesa dalībnieka</w:t>
      </w:r>
      <w:r w:rsidR="008D3886" w:rsidRPr="007B4062">
        <w:rPr>
          <w:rFonts w:ascii="Times New Roman" w:hAnsi="Times New Roman" w:cs="Times New Roman"/>
          <w:sz w:val="24"/>
          <w:szCs w:val="24"/>
          <w:lang w:val="lv-LV" w:eastAsia="lv-LV"/>
        </w:rPr>
        <w:t xml:space="preserve"> </w:t>
      </w:r>
      <w:r w:rsidR="00F267F2" w:rsidRPr="007B4062">
        <w:rPr>
          <w:rFonts w:ascii="Times New Roman" w:hAnsi="Times New Roman" w:cs="Times New Roman"/>
          <w:sz w:val="24"/>
          <w:szCs w:val="24"/>
          <w:lang w:val="lv-LV" w:eastAsia="lv-LV"/>
        </w:rPr>
        <w:t xml:space="preserve">iesniegtajiem pierādījumiem, tad konkrēti strīdīgi fakti starp </w:t>
      </w:r>
      <w:r w:rsidR="000971F1">
        <w:rPr>
          <w:rFonts w:ascii="Times New Roman" w:hAnsi="Times New Roman" w:cs="Times New Roman"/>
          <w:sz w:val="24"/>
          <w:szCs w:val="24"/>
          <w:lang w:val="lv-LV" w:eastAsia="lv-LV"/>
        </w:rPr>
        <w:t>procesa dalībniekiem</w:t>
      </w:r>
      <w:r w:rsidR="000971F1" w:rsidRPr="007B4062">
        <w:rPr>
          <w:rFonts w:ascii="Times New Roman" w:hAnsi="Times New Roman" w:cs="Times New Roman"/>
          <w:sz w:val="24"/>
          <w:szCs w:val="24"/>
          <w:lang w:val="lv-LV" w:eastAsia="lv-LV"/>
        </w:rPr>
        <w:t xml:space="preserve"> </w:t>
      </w:r>
      <w:r w:rsidR="00F267F2" w:rsidRPr="007B4062">
        <w:rPr>
          <w:rFonts w:ascii="Times New Roman" w:hAnsi="Times New Roman" w:cs="Times New Roman"/>
          <w:sz w:val="24"/>
          <w:szCs w:val="24"/>
          <w:lang w:val="lv-LV" w:eastAsia="lv-LV"/>
        </w:rPr>
        <w:t>vienreiz jau ir noskaidroti un nodibināti ar spēkā stājušos spriedumu (</w:t>
      </w:r>
      <w:r w:rsidR="00F267F2" w:rsidRPr="007B4062">
        <w:rPr>
          <w:rFonts w:ascii="Times New Roman" w:hAnsi="Times New Roman" w:cs="Times New Roman"/>
          <w:i/>
          <w:iCs/>
          <w:sz w:val="24"/>
          <w:szCs w:val="24"/>
          <w:lang w:val="lv-LV" w:eastAsia="lv-LV"/>
        </w:rPr>
        <w:t>Senāta 2019.gada 22.novembra sprieduma lietā Nr. SKA-248/2019 (</w:t>
      </w:r>
      <w:hyperlink r:id="rId10" w:history="1">
        <w:r w:rsidR="00F267F2" w:rsidRPr="007B4062">
          <w:rPr>
            <w:rStyle w:val="Hyperlink"/>
            <w:rFonts w:ascii="Times New Roman" w:hAnsi="Times New Roman" w:cs="Times New Roman"/>
            <w:i/>
            <w:iCs/>
            <w:color w:val="auto"/>
            <w:sz w:val="24"/>
            <w:szCs w:val="24"/>
            <w:u w:val="none"/>
            <w:lang w:val="lv-LV" w:eastAsia="lv-LV"/>
          </w:rPr>
          <w:t>ECLI:LV:AT:2019:1122.A420240915.2.S</w:t>
        </w:r>
      </w:hyperlink>
      <w:r w:rsidR="00F267F2" w:rsidRPr="007B4062">
        <w:rPr>
          <w:rFonts w:ascii="Times New Roman" w:hAnsi="Times New Roman" w:cs="Times New Roman"/>
          <w:i/>
          <w:iCs/>
          <w:sz w:val="24"/>
          <w:szCs w:val="24"/>
          <w:lang w:val="lv-LV" w:eastAsia="lv-LV"/>
        </w:rPr>
        <w:t>) 8.punkts, 2021.gada 31.marta sprieduma lietā Nr.</w:t>
      </w:r>
      <w:r w:rsidR="00B70FE0" w:rsidRPr="007B4062">
        <w:rPr>
          <w:rFonts w:ascii="Times New Roman" w:hAnsi="Times New Roman" w:cs="Times New Roman"/>
          <w:i/>
          <w:iCs/>
          <w:sz w:val="24"/>
          <w:szCs w:val="24"/>
          <w:lang w:val="lv-LV" w:eastAsia="lv-LV"/>
        </w:rPr>
        <w:t> </w:t>
      </w:r>
      <w:r w:rsidR="00F267F2" w:rsidRPr="007B4062">
        <w:rPr>
          <w:rFonts w:ascii="Times New Roman" w:hAnsi="Times New Roman" w:cs="Times New Roman"/>
          <w:i/>
          <w:iCs/>
          <w:sz w:val="24"/>
          <w:szCs w:val="24"/>
          <w:lang w:val="lv-LV" w:eastAsia="lv-LV"/>
        </w:rPr>
        <w:t>SKA-185/2021 (</w:t>
      </w:r>
      <w:hyperlink r:id="rId11" w:history="1">
        <w:r w:rsidR="00B70FE0" w:rsidRPr="007B4062">
          <w:rPr>
            <w:rStyle w:val="Hyperlink"/>
            <w:rFonts w:ascii="Times New Roman" w:hAnsi="Times New Roman" w:cs="Times New Roman"/>
            <w:i/>
            <w:iCs/>
            <w:color w:val="auto"/>
            <w:sz w:val="24"/>
            <w:szCs w:val="24"/>
            <w:u w:val="none"/>
            <w:lang w:val="lv-LV"/>
          </w:rPr>
          <w:t>ECLI:LV:AT:2021:0331.A420180517.12.S</w:t>
        </w:r>
      </w:hyperlink>
      <w:r w:rsidR="00F267F2" w:rsidRPr="007B4062">
        <w:rPr>
          <w:rFonts w:ascii="Times New Roman" w:hAnsi="Times New Roman" w:cs="Times New Roman"/>
          <w:i/>
          <w:iCs/>
          <w:sz w:val="24"/>
          <w:szCs w:val="24"/>
          <w:lang w:val="lv-LV" w:eastAsia="lv-LV"/>
        </w:rPr>
        <w:t>) 13.punkts</w:t>
      </w:r>
      <w:r w:rsidR="00F267F2" w:rsidRPr="007B4062">
        <w:rPr>
          <w:rFonts w:ascii="Times New Roman" w:hAnsi="Times New Roman" w:cs="Times New Roman"/>
          <w:sz w:val="24"/>
          <w:szCs w:val="24"/>
          <w:lang w:val="lv-LV" w:eastAsia="lv-LV"/>
        </w:rPr>
        <w:t>)</w:t>
      </w:r>
      <w:r w:rsidR="00F267F2" w:rsidRPr="007B4062">
        <w:rPr>
          <w:rFonts w:ascii="Times New Roman" w:hAnsi="Times New Roman" w:cs="Times New Roman"/>
          <w:i/>
          <w:iCs/>
          <w:sz w:val="24"/>
          <w:szCs w:val="24"/>
          <w:lang w:val="lv-LV" w:eastAsia="lv-LV"/>
        </w:rPr>
        <w:t>.</w:t>
      </w:r>
      <w:r w:rsidR="00F267F2" w:rsidRPr="007B4062">
        <w:rPr>
          <w:rFonts w:ascii="Times New Roman" w:hAnsi="Times New Roman" w:cs="Times New Roman"/>
          <w:sz w:val="24"/>
          <w:szCs w:val="24"/>
          <w:lang w:val="lv-LV" w:eastAsia="lv-LV"/>
        </w:rPr>
        <w:t xml:space="preserve"> </w:t>
      </w:r>
    </w:p>
    <w:p w14:paraId="167CB027" w14:textId="1765298B" w:rsidR="00876285" w:rsidRPr="007B4062" w:rsidRDefault="00697469"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eastAsia="lv-LV"/>
        </w:rPr>
        <w:t>Tas</w:t>
      </w:r>
      <w:r w:rsidR="00876285" w:rsidRPr="007B4062">
        <w:rPr>
          <w:rFonts w:ascii="Times New Roman" w:hAnsi="Times New Roman" w:cs="Times New Roman"/>
          <w:sz w:val="24"/>
          <w:szCs w:val="24"/>
          <w:lang w:val="lv-LV" w:eastAsia="lv-LV"/>
        </w:rPr>
        <w:t xml:space="preserve">, vai pieteicējas piedāvājums ar strīdus pozīcijā piedāvātu cenu ar atlaidi </w:t>
      </w:r>
      <w:r w:rsidRPr="007B4062">
        <w:rPr>
          <w:rFonts w:ascii="Times New Roman" w:hAnsi="Times New Roman" w:cs="Times New Roman"/>
          <w:sz w:val="24"/>
          <w:szCs w:val="24"/>
          <w:lang w:val="lv-LV" w:eastAsia="lv-LV"/>
        </w:rPr>
        <w:t xml:space="preserve">atbilda iepirkuma </w:t>
      </w:r>
      <w:r w:rsidR="002B6580" w:rsidRPr="007B4062">
        <w:rPr>
          <w:rFonts w:ascii="Times New Roman" w:hAnsi="Times New Roman" w:cs="Times New Roman"/>
          <w:sz w:val="24"/>
          <w:szCs w:val="24"/>
          <w:lang w:val="lv-LV" w:eastAsia="lv-LV"/>
        </w:rPr>
        <w:t xml:space="preserve">nolikuma </w:t>
      </w:r>
      <w:r w:rsidRPr="007B4062">
        <w:rPr>
          <w:rFonts w:ascii="Times New Roman" w:hAnsi="Times New Roman" w:cs="Times New Roman"/>
          <w:sz w:val="24"/>
          <w:szCs w:val="24"/>
          <w:lang w:val="lv-LV" w:eastAsia="lv-LV"/>
        </w:rPr>
        <w:t>prasībām un vai šādas cenas ņemšana vērā pārkāptu Publisko iepirkumu likuma 2.pantā norādītos pamatprincipus, tika</w:t>
      </w:r>
      <w:r w:rsidR="001E7204">
        <w:rPr>
          <w:rFonts w:ascii="Times New Roman" w:hAnsi="Times New Roman" w:cs="Times New Roman"/>
          <w:sz w:val="24"/>
          <w:szCs w:val="24"/>
          <w:lang w:val="lv-LV" w:eastAsia="lv-LV"/>
        </w:rPr>
        <w:t xml:space="preserve"> jau</w:t>
      </w:r>
      <w:r w:rsidRPr="007B4062">
        <w:rPr>
          <w:rFonts w:ascii="Times New Roman" w:hAnsi="Times New Roman" w:cs="Times New Roman"/>
          <w:sz w:val="24"/>
          <w:szCs w:val="24"/>
          <w:lang w:val="lv-LV" w:eastAsia="lv-LV"/>
        </w:rPr>
        <w:t xml:space="preserve"> pārbaudīts pamatlietā. </w:t>
      </w:r>
      <w:r w:rsidR="001E7204">
        <w:rPr>
          <w:rFonts w:ascii="Times New Roman" w:hAnsi="Times New Roman" w:cs="Times New Roman"/>
          <w:sz w:val="24"/>
          <w:szCs w:val="24"/>
          <w:lang w:val="lv-LV" w:eastAsia="lv-LV"/>
        </w:rPr>
        <w:t>Pamat</w:t>
      </w:r>
      <w:r w:rsidR="00F267F2" w:rsidRPr="007B4062">
        <w:rPr>
          <w:rFonts w:ascii="Times New Roman" w:hAnsi="Times New Roman" w:cs="Times New Roman"/>
          <w:sz w:val="24"/>
          <w:szCs w:val="24"/>
          <w:lang w:val="lv-LV" w:eastAsia="lv-LV"/>
        </w:rPr>
        <w:t xml:space="preserve">lietā </w:t>
      </w:r>
      <w:r w:rsidR="00D3551A" w:rsidRPr="007B4062">
        <w:rPr>
          <w:rFonts w:ascii="Times New Roman" w:hAnsi="Times New Roman" w:cs="Times New Roman"/>
          <w:sz w:val="24"/>
          <w:szCs w:val="24"/>
          <w:lang w:val="lv-LV" w:eastAsia="lv-LV"/>
        </w:rPr>
        <w:t>tiesa atzina par prettiesisk</w:t>
      </w:r>
      <w:r w:rsidR="0058678A" w:rsidRPr="007B4062">
        <w:rPr>
          <w:rFonts w:ascii="Times New Roman" w:hAnsi="Times New Roman" w:cs="Times New Roman"/>
          <w:sz w:val="24"/>
          <w:szCs w:val="24"/>
          <w:lang w:val="lv-LV" w:eastAsia="lv-LV"/>
        </w:rPr>
        <w:t xml:space="preserve">iem Iepirkumu uzraudzības biroja lēmumus, ar kuriem noraidītas pieteicējas sūdzības par pasūtītājas rīcību, </w:t>
      </w:r>
      <w:r w:rsidR="0058678A" w:rsidRPr="007B4062">
        <w:rPr>
          <w:rFonts w:ascii="Times New Roman" w:hAnsi="Times New Roman" w:cs="Times New Roman"/>
          <w:sz w:val="24"/>
          <w:szCs w:val="24"/>
          <w:lang w:val="lv-LV"/>
        </w:rPr>
        <w:t>nevērtējot pieteicējas strīdus pozīcijā piedāvāto cenu</w:t>
      </w:r>
      <w:r w:rsidR="0058678A" w:rsidRPr="007B4062">
        <w:rPr>
          <w:rFonts w:ascii="Times New Roman" w:eastAsiaTheme="minorHAnsi" w:hAnsi="Times New Roman" w:cs="Times New Roman"/>
          <w:sz w:val="24"/>
          <w:szCs w:val="24"/>
          <w:lang w:val="lv-LV"/>
        </w:rPr>
        <w:t xml:space="preserve">. </w:t>
      </w:r>
      <w:r w:rsidR="0013240A" w:rsidRPr="007B4062">
        <w:rPr>
          <w:rFonts w:ascii="Times New Roman" w:eastAsiaTheme="minorHAnsi" w:hAnsi="Times New Roman" w:cs="Times New Roman"/>
          <w:sz w:val="24"/>
          <w:szCs w:val="24"/>
          <w:lang w:val="lv-LV"/>
        </w:rPr>
        <w:t>P</w:t>
      </w:r>
      <w:r w:rsidR="0058678A" w:rsidRPr="007B4062">
        <w:rPr>
          <w:rFonts w:ascii="Times New Roman" w:eastAsiaTheme="minorHAnsi" w:hAnsi="Times New Roman" w:cs="Times New Roman"/>
          <w:sz w:val="24"/>
          <w:szCs w:val="24"/>
          <w:lang w:val="lv-LV"/>
        </w:rPr>
        <w:t xml:space="preserve">asūtītāja </w:t>
      </w:r>
      <w:r w:rsidR="0013240A" w:rsidRPr="007B4062">
        <w:rPr>
          <w:rFonts w:ascii="Times New Roman" w:eastAsiaTheme="minorHAnsi" w:hAnsi="Times New Roman" w:cs="Times New Roman"/>
          <w:sz w:val="24"/>
          <w:szCs w:val="24"/>
          <w:lang w:val="lv-LV"/>
        </w:rPr>
        <w:t xml:space="preserve">pamatlietā </w:t>
      </w:r>
      <w:r w:rsidR="0058678A" w:rsidRPr="007B4062">
        <w:rPr>
          <w:rFonts w:ascii="Times New Roman" w:eastAsiaTheme="minorHAnsi" w:hAnsi="Times New Roman" w:cs="Times New Roman"/>
          <w:sz w:val="24"/>
          <w:szCs w:val="24"/>
          <w:lang w:val="lv-LV"/>
        </w:rPr>
        <w:t>uzturēja pozīciju, ka iepirkuma nolikums nepieļāva piedāvājumā ietvert cenu ar atlaidi</w:t>
      </w:r>
      <w:r w:rsidR="00876285" w:rsidRPr="007B4062">
        <w:rPr>
          <w:rFonts w:ascii="Times New Roman" w:eastAsiaTheme="minorHAnsi" w:hAnsi="Times New Roman" w:cs="Times New Roman"/>
          <w:sz w:val="24"/>
          <w:szCs w:val="24"/>
          <w:lang w:val="lv-LV"/>
        </w:rPr>
        <w:t xml:space="preserve"> un nepamatota atlaides piešķiršana nove</w:t>
      </w:r>
      <w:r w:rsidR="00881165" w:rsidRPr="007B4062">
        <w:rPr>
          <w:rFonts w:ascii="Times New Roman" w:eastAsiaTheme="minorHAnsi" w:hAnsi="Times New Roman" w:cs="Times New Roman"/>
          <w:sz w:val="24"/>
          <w:szCs w:val="24"/>
          <w:lang w:val="lv-LV"/>
        </w:rPr>
        <w:t>stu</w:t>
      </w:r>
      <w:r w:rsidR="00876285" w:rsidRPr="007B4062">
        <w:rPr>
          <w:rFonts w:ascii="Times New Roman" w:eastAsiaTheme="minorHAnsi" w:hAnsi="Times New Roman" w:cs="Times New Roman"/>
          <w:sz w:val="24"/>
          <w:szCs w:val="24"/>
          <w:lang w:val="lv-LV"/>
        </w:rPr>
        <w:t xml:space="preserve"> pie Publisko iepirkumu likuma 2.panta pārkāpuma</w:t>
      </w:r>
      <w:r w:rsidR="0058678A" w:rsidRPr="007B4062">
        <w:rPr>
          <w:rFonts w:ascii="Times New Roman" w:eastAsiaTheme="minorHAnsi" w:hAnsi="Times New Roman" w:cs="Times New Roman"/>
          <w:sz w:val="24"/>
          <w:szCs w:val="24"/>
          <w:lang w:val="lv-LV"/>
        </w:rPr>
        <w:t xml:space="preserve">. Tomēr tiesa atzina, ka iepirkuma nolikuma prasības neliedza pretendentiem piedāvājumā ietvert atlaidi un tāpēc </w:t>
      </w:r>
      <w:r w:rsidR="00F5087B" w:rsidRPr="007B4062">
        <w:rPr>
          <w:rFonts w:ascii="Times New Roman" w:eastAsiaTheme="minorHAnsi" w:hAnsi="Times New Roman" w:cs="Times New Roman"/>
          <w:sz w:val="24"/>
          <w:szCs w:val="24"/>
          <w:lang w:val="lv-LV"/>
        </w:rPr>
        <w:t xml:space="preserve">tieši </w:t>
      </w:r>
      <w:r w:rsidR="0058678A" w:rsidRPr="007B4062">
        <w:rPr>
          <w:rFonts w:ascii="Times New Roman" w:eastAsiaTheme="minorHAnsi" w:hAnsi="Times New Roman" w:cs="Times New Roman"/>
          <w:sz w:val="24"/>
          <w:szCs w:val="24"/>
          <w:lang w:val="lv-LV"/>
        </w:rPr>
        <w:t xml:space="preserve">pasūtītāja, neņemot vērā pieteicējas piedāvāto cenu ar atlaidi, ir pārkāpusi iepirkuma nolikuma nosacījumus un līdz ar to arī </w:t>
      </w:r>
      <w:r w:rsidR="00876285" w:rsidRPr="007B4062">
        <w:rPr>
          <w:rFonts w:ascii="Times New Roman" w:hAnsi="Times New Roman" w:cs="Times New Roman"/>
          <w:sz w:val="24"/>
          <w:szCs w:val="24"/>
          <w:lang w:val="lv-LV"/>
        </w:rPr>
        <w:t>publisko iepirkumu pamatprincipu par vienlīdzīgu attieksmi pret pretendentiem (</w:t>
      </w:r>
      <w:r w:rsidR="002B0982" w:rsidRPr="007B4062">
        <w:rPr>
          <w:rFonts w:ascii="Times New Roman" w:hAnsi="Times New Roman" w:cs="Times New Roman"/>
          <w:i/>
          <w:iCs/>
          <w:sz w:val="24"/>
          <w:szCs w:val="24"/>
          <w:lang w:val="lv-LV"/>
        </w:rPr>
        <w:t>Administratīvā</w:t>
      </w:r>
      <w:r w:rsidR="008E46EC" w:rsidRPr="007B4062">
        <w:rPr>
          <w:rFonts w:ascii="Times New Roman" w:hAnsi="Times New Roman" w:cs="Times New Roman"/>
          <w:i/>
          <w:iCs/>
          <w:sz w:val="24"/>
          <w:szCs w:val="24"/>
          <w:lang w:val="lv-LV"/>
        </w:rPr>
        <w:t>s</w:t>
      </w:r>
      <w:r w:rsidR="002B0982" w:rsidRPr="007B4062">
        <w:rPr>
          <w:rFonts w:ascii="Times New Roman" w:hAnsi="Times New Roman" w:cs="Times New Roman"/>
          <w:i/>
          <w:iCs/>
          <w:sz w:val="24"/>
          <w:szCs w:val="24"/>
          <w:lang w:val="lv-LV"/>
        </w:rPr>
        <w:t xml:space="preserve"> rajona tiesas </w:t>
      </w:r>
      <w:r w:rsidR="002B0982" w:rsidRPr="007B4062">
        <w:rPr>
          <w:rFonts w:ascii="Times New Roman" w:eastAsiaTheme="minorHAnsi" w:hAnsi="Times New Roman" w:cs="Times New Roman"/>
          <w:i/>
          <w:iCs/>
          <w:sz w:val="24"/>
          <w:szCs w:val="24"/>
          <w:lang w:val="lv-LV"/>
        </w:rPr>
        <w:t>2015.gada 22.janvāra sprieduma pamatlietā 16.–1</w:t>
      </w:r>
      <w:r w:rsidR="00436427" w:rsidRPr="007B4062">
        <w:rPr>
          <w:rFonts w:ascii="Times New Roman" w:eastAsiaTheme="minorHAnsi" w:hAnsi="Times New Roman" w:cs="Times New Roman"/>
          <w:i/>
          <w:iCs/>
          <w:sz w:val="24"/>
          <w:szCs w:val="24"/>
          <w:lang w:val="lv-LV"/>
        </w:rPr>
        <w:t>9</w:t>
      </w:r>
      <w:r w:rsidR="002B0982" w:rsidRPr="007B4062">
        <w:rPr>
          <w:rFonts w:ascii="Times New Roman" w:eastAsiaTheme="minorHAnsi" w:hAnsi="Times New Roman" w:cs="Times New Roman"/>
          <w:i/>
          <w:iCs/>
          <w:sz w:val="24"/>
          <w:szCs w:val="24"/>
          <w:lang w:val="lv-LV"/>
        </w:rPr>
        <w:t xml:space="preserve">.punkts, Senāta 2016.gada 22.februāra spriedums </w:t>
      </w:r>
      <w:r w:rsidR="004360ED" w:rsidRPr="007B4062">
        <w:rPr>
          <w:rFonts w:ascii="Times New Roman" w:eastAsiaTheme="minorHAnsi" w:hAnsi="Times New Roman" w:cs="Times New Roman"/>
          <w:i/>
          <w:iCs/>
          <w:sz w:val="24"/>
          <w:szCs w:val="24"/>
          <w:lang w:val="lv-LV"/>
        </w:rPr>
        <w:t>pamat</w:t>
      </w:r>
      <w:r w:rsidR="002B0982" w:rsidRPr="007B4062">
        <w:rPr>
          <w:rFonts w:ascii="Times New Roman" w:eastAsiaTheme="minorHAnsi" w:hAnsi="Times New Roman" w:cs="Times New Roman"/>
          <w:i/>
          <w:iCs/>
          <w:sz w:val="24"/>
          <w:szCs w:val="24"/>
          <w:lang w:val="lv-LV"/>
        </w:rPr>
        <w:t>lietā</w:t>
      </w:r>
      <w:r w:rsidR="00876285" w:rsidRPr="007B4062">
        <w:rPr>
          <w:rFonts w:ascii="Times New Roman" w:hAnsi="Times New Roman" w:cs="Times New Roman"/>
          <w:sz w:val="24"/>
          <w:szCs w:val="24"/>
          <w:lang w:val="lv-LV"/>
        </w:rPr>
        <w:t>).</w:t>
      </w:r>
      <w:r w:rsidR="00E77510" w:rsidRPr="007B4062">
        <w:rPr>
          <w:rFonts w:ascii="Times New Roman" w:hAnsi="Times New Roman" w:cs="Times New Roman"/>
          <w:sz w:val="24"/>
          <w:szCs w:val="24"/>
          <w:lang w:val="lv-LV"/>
        </w:rPr>
        <w:t xml:space="preserve"> Tas, ka tiesa minētos apstākļus pārbaudīja, lai noskaidrotu, vai pasūtītāja pamatoti atteicās vērtēt pieteicējas piedāvāto cenu ar atlaidi, nevis lai vērtētu, vai pieteicējas piedāvājums varētu tikt atzīts par nepamatoti lētu, nemaina šo </w:t>
      </w:r>
      <w:r w:rsidR="00483D1E" w:rsidRPr="007B4062">
        <w:rPr>
          <w:rFonts w:ascii="Times New Roman" w:hAnsi="Times New Roman" w:cs="Times New Roman"/>
          <w:sz w:val="24"/>
          <w:szCs w:val="24"/>
          <w:lang w:val="lv-LV"/>
        </w:rPr>
        <w:t xml:space="preserve">apstākļu </w:t>
      </w:r>
      <w:r w:rsidR="00E77510" w:rsidRPr="007B4062">
        <w:rPr>
          <w:rFonts w:ascii="Times New Roman" w:hAnsi="Times New Roman" w:cs="Times New Roman"/>
          <w:sz w:val="24"/>
          <w:szCs w:val="24"/>
          <w:lang w:val="lv-LV"/>
        </w:rPr>
        <w:t xml:space="preserve">izvērtēšanu pēc būtības. </w:t>
      </w:r>
    </w:p>
    <w:p w14:paraId="487E9126" w14:textId="34DB2FA7" w:rsidR="009D6023" w:rsidRPr="007B4062" w:rsidRDefault="00881165"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Iev</w:t>
      </w:r>
      <w:r w:rsidR="00E33CDC" w:rsidRPr="007B4062">
        <w:rPr>
          <w:rFonts w:ascii="Times New Roman" w:hAnsi="Times New Roman" w:cs="Times New Roman"/>
          <w:sz w:val="24"/>
          <w:szCs w:val="24"/>
          <w:lang w:val="lv-LV"/>
        </w:rPr>
        <w:t>ēr</w:t>
      </w:r>
      <w:r w:rsidRPr="007B4062">
        <w:rPr>
          <w:rFonts w:ascii="Times New Roman" w:hAnsi="Times New Roman" w:cs="Times New Roman"/>
          <w:sz w:val="24"/>
          <w:szCs w:val="24"/>
          <w:lang w:val="lv-LV"/>
        </w:rPr>
        <w:t xml:space="preserve">ojot minēto, Senāts atzīst, ka tiesai šajā lietā nebija nepieciešams vēlreiz pārbaudīt to, vai </w:t>
      </w:r>
      <w:r w:rsidR="00E33CDC" w:rsidRPr="007B4062">
        <w:rPr>
          <w:rFonts w:ascii="Times New Roman" w:hAnsi="Times New Roman" w:cs="Times New Roman"/>
          <w:sz w:val="24"/>
          <w:szCs w:val="24"/>
          <w:lang w:val="lv-LV"/>
        </w:rPr>
        <w:t>pieteicējas piedāvājums, strīdus pozīcijā piedāvājot cenu ar atlaidi, atbilda iepirkuma nolikumā izvirzītajām prasībām un vai šāda piedāvājuma akceptēšana atbilstu pretendentu brīvas un vienlīdzīgas konkurences principiem. Šis jautājums jau ir pārbaudīts pamatlietā, tāpēc tiesa šajā lietā var balstīties uz pamatlietā atzīto. Kasator</w:t>
      </w:r>
      <w:r w:rsidR="001752A1" w:rsidRPr="007B4062">
        <w:rPr>
          <w:rFonts w:ascii="Times New Roman" w:hAnsi="Times New Roman" w:cs="Times New Roman"/>
          <w:sz w:val="24"/>
          <w:szCs w:val="24"/>
          <w:lang w:val="lv-LV"/>
        </w:rPr>
        <w:t>es</w:t>
      </w:r>
      <w:r w:rsidR="00E33CDC" w:rsidRPr="007B4062">
        <w:rPr>
          <w:rFonts w:ascii="Times New Roman" w:hAnsi="Times New Roman" w:cs="Times New Roman"/>
          <w:sz w:val="24"/>
          <w:szCs w:val="24"/>
          <w:lang w:val="lv-LV"/>
        </w:rPr>
        <w:t xml:space="preserve"> centieni panākt šā jautājuma pārvērtēšanu ir pretrunā </w:t>
      </w:r>
      <w:r w:rsidR="00E33CDC" w:rsidRPr="007B4062">
        <w:rPr>
          <w:rFonts w:ascii="Times New Roman" w:hAnsi="Times New Roman" w:cs="Times New Roman"/>
          <w:i/>
          <w:iCs/>
          <w:sz w:val="24"/>
          <w:szCs w:val="24"/>
          <w:lang w:val="lv-LV"/>
        </w:rPr>
        <w:t>res judicata</w:t>
      </w:r>
      <w:r w:rsidR="00E33CDC" w:rsidRPr="007B4062">
        <w:rPr>
          <w:rFonts w:ascii="Times New Roman" w:hAnsi="Times New Roman" w:cs="Times New Roman"/>
          <w:sz w:val="24"/>
          <w:szCs w:val="24"/>
          <w:lang w:val="lv-LV"/>
        </w:rPr>
        <w:t xml:space="preserve"> princip</w:t>
      </w:r>
      <w:r w:rsidR="00284B60" w:rsidRPr="007B4062">
        <w:rPr>
          <w:rFonts w:ascii="Times New Roman" w:hAnsi="Times New Roman" w:cs="Times New Roman"/>
          <w:sz w:val="24"/>
          <w:szCs w:val="24"/>
          <w:lang w:val="lv-LV"/>
        </w:rPr>
        <w:t>am</w:t>
      </w:r>
      <w:r w:rsidR="00E33CDC" w:rsidRPr="007B4062">
        <w:rPr>
          <w:rFonts w:ascii="Times New Roman" w:hAnsi="Times New Roman" w:cs="Times New Roman"/>
          <w:sz w:val="24"/>
          <w:szCs w:val="24"/>
          <w:lang w:val="lv-LV"/>
        </w:rPr>
        <w:t>.</w:t>
      </w:r>
      <w:r w:rsidR="009D6023" w:rsidRPr="007B4062">
        <w:rPr>
          <w:rFonts w:ascii="Times New Roman" w:hAnsi="Times New Roman" w:cs="Times New Roman"/>
          <w:sz w:val="24"/>
          <w:szCs w:val="24"/>
          <w:lang w:val="lv-LV"/>
        </w:rPr>
        <w:t xml:space="preserve"> </w:t>
      </w:r>
    </w:p>
    <w:p w14:paraId="3A93357F" w14:textId="77777777" w:rsidR="001F05A2" w:rsidRPr="007B4062" w:rsidRDefault="001F05A2" w:rsidP="003F1B18">
      <w:pPr>
        <w:spacing w:after="0"/>
        <w:ind w:firstLine="567"/>
        <w:jc w:val="both"/>
        <w:rPr>
          <w:rFonts w:ascii="Times New Roman" w:hAnsi="Times New Roman" w:cs="Times New Roman"/>
          <w:sz w:val="24"/>
          <w:szCs w:val="24"/>
          <w:lang w:val="lv-LV"/>
        </w:rPr>
      </w:pPr>
    </w:p>
    <w:p w14:paraId="3C78290C" w14:textId="614CF362" w:rsidR="00976291" w:rsidRPr="007B4062" w:rsidRDefault="001F05A2"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[9]</w:t>
      </w:r>
      <w:r w:rsidR="00FC519C">
        <w:rPr>
          <w:rFonts w:ascii="Times New Roman" w:hAnsi="Times New Roman" w:cs="Times New Roman"/>
          <w:sz w:val="24"/>
          <w:szCs w:val="24"/>
          <w:lang w:val="lv-LV"/>
        </w:rPr>
        <w:t> </w:t>
      </w:r>
      <w:r w:rsidR="00E33CDC" w:rsidRPr="007B4062">
        <w:rPr>
          <w:rFonts w:ascii="Times New Roman" w:hAnsi="Times New Roman" w:cs="Times New Roman"/>
          <w:sz w:val="24"/>
          <w:szCs w:val="24"/>
          <w:lang w:val="lv-LV"/>
        </w:rPr>
        <w:t xml:space="preserve">Attiecīgi kļūdains ir arī kasācijas sūdzībā apgalvotais, ka tiesa nepareizi interpretējusi </w:t>
      </w:r>
      <w:r w:rsidR="009D6023" w:rsidRPr="007B4062">
        <w:rPr>
          <w:rFonts w:ascii="Times New Roman" w:hAnsi="Times New Roman" w:cs="Times New Roman"/>
          <w:sz w:val="24"/>
          <w:szCs w:val="24"/>
          <w:lang w:val="lv-LV"/>
        </w:rPr>
        <w:t>Publisko iepirkumu likumā ietverto regulējumu</w:t>
      </w:r>
      <w:r w:rsidR="003F5D93" w:rsidRPr="007B4062">
        <w:rPr>
          <w:rFonts w:ascii="Times New Roman" w:hAnsi="Times New Roman" w:cs="Times New Roman"/>
          <w:sz w:val="24"/>
          <w:szCs w:val="24"/>
          <w:lang w:val="lv-LV"/>
        </w:rPr>
        <w:t xml:space="preserve"> tāpēc</w:t>
      </w:r>
      <w:r w:rsidR="009D6023" w:rsidRPr="007B4062">
        <w:rPr>
          <w:rFonts w:ascii="Times New Roman" w:hAnsi="Times New Roman" w:cs="Times New Roman"/>
          <w:sz w:val="24"/>
          <w:szCs w:val="24"/>
          <w:lang w:val="lv-LV"/>
        </w:rPr>
        <w:t xml:space="preserve">, </w:t>
      </w:r>
      <w:r w:rsidR="003F5D93" w:rsidRPr="007B4062">
        <w:rPr>
          <w:rFonts w:ascii="Times New Roman" w:hAnsi="Times New Roman" w:cs="Times New Roman"/>
          <w:sz w:val="24"/>
          <w:szCs w:val="24"/>
          <w:lang w:val="lv-LV"/>
        </w:rPr>
        <w:t>ka</w:t>
      </w:r>
      <w:r w:rsidR="009D6023" w:rsidRPr="007B4062">
        <w:rPr>
          <w:rFonts w:ascii="Times New Roman" w:hAnsi="Times New Roman" w:cs="Times New Roman"/>
          <w:sz w:val="24"/>
          <w:szCs w:val="24"/>
          <w:lang w:val="lv-LV"/>
        </w:rPr>
        <w:t xml:space="preserve"> atzinusi, ka iespējami nepamatoti lēta piedāvājuma pārbaudes ietvaros nav jāpievēršas tam, vai atlaides piemērošanu pieļauj iepirkuma nolikums un vai atlaides piemērošana nepārkāpj vienlīdzīgas un taisnīgas attieksmes principu. Izskatāmajā lietā minētajam jautājumam tiesa nav pievērsusies ne jau Publisko iepirkumu likuma 48.panta un 2.panta normu interpretācijas dēļ, bet gan tāpēc, ka attiecīgais </w:t>
      </w:r>
      <w:r w:rsidR="00BC08AB" w:rsidRPr="007B4062">
        <w:rPr>
          <w:rFonts w:ascii="Times New Roman" w:hAnsi="Times New Roman" w:cs="Times New Roman"/>
          <w:sz w:val="24"/>
          <w:szCs w:val="24"/>
          <w:lang w:val="lv-LV"/>
        </w:rPr>
        <w:t>jautājums</w:t>
      </w:r>
      <w:r w:rsidR="009D6023" w:rsidRPr="007B4062">
        <w:rPr>
          <w:rFonts w:ascii="Times New Roman" w:hAnsi="Times New Roman" w:cs="Times New Roman"/>
          <w:sz w:val="24"/>
          <w:szCs w:val="24"/>
          <w:lang w:val="lv-LV"/>
        </w:rPr>
        <w:t xml:space="preserve"> ja</w:t>
      </w:r>
      <w:r w:rsidR="00BC08AB" w:rsidRPr="007B4062">
        <w:rPr>
          <w:rFonts w:ascii="Times New Roman" w:hAnsi="Times New Roman" w:cs="Times New Roman"/>
          <w:sz w:val="24"/>
          <w:szCs w:val="24"/>
          <w:lang w:val="lv-LV"/>
        </w:rPr>
        <w:t>u</w:t>
      </w:r>
      <w:r w:rsidR="009D6023" w:rsidRPr="007B4062">
        <w:rPr>
          <w:rFonts w:ascii="Times New Roman" w:hAnsi="Times New Roman" w:cs="Times New Roman"/>
          <w:sz w:val="24"/>
          <w:szCs w:val="24"/>
          <w:lang w:val="lv-LV"/>
        </w:rPr>
        <w:t xml:space="preserve"> ir pārbaudīts pamatlietā.</w:t>
      </w:r>
      <w:r w:rsidR="00976291" w:rsidRPr="007B4062">
        <w:rPr>
          <w:rFonts w:ascii="Times New Roman" w:hAnsi="Times New Roman" w:cs="Times New Roman"/>
          <w:sz w:val="24"/>
          <w:szCs w:val="24"/>
          <w:lang w:val="lv-LV"/>
        </w:rPr>
        <w:t xml:space="preserve"> </w:t>
      </w:r>
    </w:p>
    <w:p w14:paraId="68CB7804" w14:textId="017262DF" w:rsidR="00334CED" w:rsidRPr="007B4062" w:rsidRDefault="00BC08AB"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Nepamatots ir arī kasācijas sūdzībā apgalvotais, ka Senāta iepriekšējā spriedumā šajā lietā</w:t>
      </w:r>
      <w:r w:rsidR="00334CED" w:rsidRPr="007B4062">
        <w:rPr>
          <w:rFonts w:ascii="Times New Roman" w:hAnsi="Times New Roman" w:cs="Times New Roman"/>
          <w:sz w:val="24"/>
          <w:szCs w:val="24"/>
          <w:lang w:val="lv-LV"/>
        </w:rPr>
        <w:t xml:space="preserve"> (spriedumā Nr. SKA-605/2020)</w:t>
      </w:r>
      <w:r w:rsidRPr="007B4062">
        <w:rPr>
          <w:rFonts w:ascii="Times New Roman" w:hAnsi="Times New Roman" w:cs="Times New Roman"/>
          <w:sz w:val="24"/>
          <w:szCs w:val="24"/>
          <w:lang w:val="lv-LV"/>
        </w:rPr>
        <w:t xml:space="preserve"> esot norādīts, ka tiesai tas šajā lietā tomēr vēlreiz jāpārbauda.</w:t>
      </w:r>
      <w:r w:rsidR="00976291" w:rsidRPr="007B4062">
        <w:rPr>
          <w:rFonts w:ascii="Times New Roman" w:hAnsi="Times New Roman" w:cs="Times New Roman"/>
          <w:sz w:val="24"/>
          <w:szCs w:val="24"/>
          <w:lang w:val="lv-LV"/>
        </w:rPr>
        <w:t xml:space="preserve"> </w:t>
      </w:r>
      <w:r w:rsidR="00334CED" w:rsidRPr="007B4062">
        <w:rPr>
          <w:rFonts w:ascii="Times New Roman" w:hAnsi="Times New Roman" w:cs="Times New Roman"/>
          <w:sz w:val="24"/>
          <w:szCs w:val="24"/>
          <w:lang w:val="lv-LV"/>
        </w:rPr>
        <w:t>Kasācijas sūdzībā citētā Senāta atziņa (</w:t>
      </w:r>
      <w:r w:rsidR="00976291" w:rsidRPr="007B4062">
        <w:rPr>
          <w:rFonts w:ascii="Times New Roman" w:hAnsi="Times New Roman" w:cs="Times New Roman"/>
          <w:sz w:val="24"/>
          <w:szCs w:val="24"/>
          <w:lang w:val="lv-LV"/>
        </w:rPr>
        <w:t xml:space="preserve">ka </w:t>
      </w:r>
      <w:r w:rsidR="00334CED" w:rsidRPr="007B4062">
        <w:rPr>
          <w:rFonts w:ascii="Times New Roman" w:hAnsi="Times New Roman" w:cs="Times New Roman"/>
          <w:sz w:val="24"/>
          <w:szCs w:val="24"/>
          <w:lang w:val="lv-LV"/>
        </w:rPr>
        <w:t>tiktāl, ciktāl lēts piedāvājums atbilst iepirkumā izvirzītajām prasībām</w:t>
      </w:r>
      <w:r w:rsidR="003F5D93" w:rsidRPr="007B4062">
        <w:rPr>
          <w:rFonts w:ascii="Times New Roman" w:hAnsi="Times New Roman" w:cs="Times New Roman"/>
          <w:sz w:val="24"/>
          <w:szCs w:val="24"/>
          <w:lang w:val="lv-LV"/>
        </w:rPr>
        <w:t xml:space="preserve"> un</w:t>
      </w:r>
      <w:r w:rsidR="00334CED" w:rsidRPr="007B4062">
        <w:rPr>
          <w:rFonts w:ascii="Times New Roman" w:hAnsi="Times New Roman" w:cs="Times New Roman"/>
          <w:sz w:val="24"/>
          <w:szCs w:val="24"/>
          <w:lang w:val="lv-LV"/>
        </w:rPr>
        <w:t xml:space="preserve"> ciktāl šāds piedāvājums ir vērtējams kā nopietns un drošs un nenonāk pretrunā ar pretendentu brīvas un vienlīdzīgas konkurences principiem, tas ir pieļaujams</w:t>
      </w:r>
      <w:r w:rsidR="00976291" w:rsidRPr="007B4062">
        <w:rPr>
          <w:rFonts w:ascii="Times New Roman" w:hAnsi="Times New Roman" w:cs="Times New Roman"/>
          <w:sz w:val="24"/>
          <w:szCs w:val="24"/>
          <w:lang w:val="lv-LV"/>
        </w:rPr>
        <w:t xml:space="preserve">) </w:t>
      </w:r>
      <w:r w:rsidR="006B0E66" w:rsidRPr="007B4062">
        <w:rPr>
          <w:rFonts w:ascii="Times New Roman" w:hAnsi="Times New Roman" w:cs="Times New Roman"/>
          <w:sz w:val="24"/>
          <w:szCs w:val="24"/>
          <w:lang w:val="lv-LV"/>
        </w:rPr>
        <w:t xml:space="preserve">tika izteikta, argumentējot, ka </w:t>
      </w:r>
      <w:r w:rsidR="00F90F90">
        <w:rPr>
          <w:rFonts w:ascii="Times New Roman" w:hAnsi="Times New Roman" w:cs="Times New Roman"/>
          <w:sz w:val="24"/>
          <w:szCs w:val="24"/>
          <w:lang w:val="lv-LV"/>
        </w:rPr>
        <w:t>zemas</w:t>
      </w:r>
      <w:r w:rsidR="006B0E66" w:rsidRPr="007B4062">
        <w:rPr>
          <w:rFonts w:ascii="Times New Roman" w:eastAsiaTheme="minorHAnsi" w:hAnsi="Times New Roman" w:cs="Times New Roman"/>
          <w:sz w:val="24"/>
          <w:szCs w:val="24"/>
          <w:lang w:val="lv-LV"/>
        </w:rPr>
        <w:t xml:space="preserve"> cenas piedāvāšana </w:t>
      </w:r>
      <w:r w:rsidR="00F90F90">
        <w:rPr>
          <w:rFonts w:ascii="Times New Roman" w:eastAsiaTheme="minorHAnsi" w:hAnsi="Times New Roman" w:cs="Times New Roman"/>
          <w:sz w:val="24"/>
          <w:szCs w:val="24"/>
          <w:lang w:val="lv-LV"/>
        </w:rPr>
        <w:t>pati par sevi</w:t>
      </w:r>
      <w:r w:rsidR="00BD299B" w:rsidRPr="007B4062">
        <w:rPr>
          <w:rFonts w:ascii="Times New Roman" w:eastAsiaTheme="minorHAnsi" w:hAnsi="Times New Roman" w:cs="Times New Roman"/>
          <w:sz w:val="24"/>
          <w:szCs w:val="24"/>
          <w:lang w:val="lv-LV"/>
        </w:rPr>
        <w:t xml:space="preserve"> </w:t>
      </w:r>
      <w:r w:rsidR="006B0E66" w:rsidRPr="007B4062">
        <w:rPr>
          <w:rFonts w:ascii="Times New Roman" w:eastAsiaTheme="minorHAnsi" w:hAnsi="Times New Roman" w:cs="Times New Roman"/>
          <w:sz w:val="24"/>
          <w:szCs w:val="24"/>
          <w:lang w:val="lv-LV"/>
        </w:rPr>
        <w:t>nenonāk pretrunā mērķi</w:t>
      </w:r>
      <w:r w:rsidR="001752A1" w:rsidRPr="007B4062">
        <w:rPr>
          <w:rFonts w:ascii="Times New Roman" w:eastAsiaTheme="minorHAnsi" w:hAnsi="Times New Roman" w:cs="Times New Roman"/>
          <w:sz w:val="24"/>
          <w:szCs w:val="24"/>
          <w:lang w:val="lv-LV"/>
        </w:rPr>
        <w:t>m</w:t>
      </w:r>
      <w:r w:rsidR="006B0E66" w:rsidRPr="007B4062">
        <w:rPr>
          <w:rFonts w:ascii="Times New Roman" w:eastAsiaTheme="minorHAnsi" w:hAnsi="Times New Roman" w:cs="Times New Roman"/>
          <w:sz w:val="24"/>
          <w:szCs w:val="24"/>
          <w:lang w:val="lv-LV"/>
        </w:rPr>
        <w:t xml:space="preserve"> nodrošināt piegādātāju brīvu konkurenci, kā arī vienlīdzīgu un taisnīgu attieksmi pret tiem. </w:t>
      </w:r>
      <w:r w:rsidR="00E225D7" w:rsidRPr="007B4062">
        <w:rPr>
          <w:rFonts w:ascii="Times New Roman" w:eastAsiaTheme="minorHAnsi" w:hAnsi="Times New Roman" w:cs="Times New Roman"/>
          <w:sz w:val="24"/>
          <w:szCs w:val="24"/>
          <w:lang w:val="lv-LV"/>
        </w:rPr>
        <w:t xml:space="preserve">Tādējādi šī atziņa netika izteikta kā norāde, kas pirmās instances tiesai, izskatot lietu no jauna, </w:t>
      </w:r>
      <w:r w:rsidR="001752A1" w:rsidRPr="007B4062">
        <w:rPr>
          <w:rFonts w:ascii="Times New Roman" w:eastAsiaTheme="minorHAnsi" w:hAnsi="Times New Roman" w:cs="Times New Roman"/>
          <w:sz w:val="24"/>
          <w:szCs w:val="24"/>
          <w:lang w:val="lv-LV"/>
        </w:rPr>
        <w:t xml:space="preserve">vēlreiz </w:t>
      </w:r>
      <w:r w:rsidR="00E225D7" w:rsidRPr="007B4062">
        <w:rPr>
          <w:rFonts w:ascii="Times New Roman" w:eastAsiaTheme="minorHAnsi" w:hAnsi="Times New Roman" w:cs="Times New Roman"/>
          <w:sz w:val="24"/>
          <w:szCs w:val="24"/>
          <w:lang w:val="lv-LV"/>
        </w:rPr>
        <w:t xml:space="preserve">jāpārbauda. Turklāt jebkurā gadījumā minētā atziņa </w:t>
      </w:r>
      <w:r w:rsidR="00976291" w:rsidRPr="007B4062">
        <w:rPr>
          <w:rFonts w:ascii="Times New Roman" w:hAnsi="Times New Roman" w:cs="Times New Roman"/>
          <w:sz w:val="24"/>
          <w:szCs w:val="24"/>
          <w:lang w:val="lv-LV"/>
        </w:rPr>
        <w:t>aplūkojama kopsakarā ar pamatlietā atzīto. Tā kā pamatlietā ir secināts, ka pieteicējas piedāvājums atbilda iepirkuma nolikuma prasībām un atlaides piemērošana nepārkāpa publisko iepirkumu principus, pirmās instances tiesa</w:t>
      </w:r>
      <w:r w:rsidR="00BD299B" w:rsidRPr="007B4062">
        <w:rPr>
          <w:rFonts w:ascii="Times New Roman" w:hAnsi="Times New Roman" w:cs="Times New Roman"/>
          <w:sz w:val="24"/>
          <w:szCs w:val="24"/>
          <w:lang w:val="lv-LV"/>
        </w:rPr>
        <w:t xml:space="preserve"> šajā lietā</w:t>
      </w:r>
      <w:r w:rsidR="00E77510" w:rsidRPr="007B4062">
        <w:rPr>
          <w:rFonts w:ascii="Times New Roman" w:hAnsi="Times New Roman" w:cs="Times New Roman"/>
          <w:sz w:val="24"/>
          <w:szCs w:val="24"/>
          <w:lang w:val="lv-LV"/>
        </w:rPr>
        <w:t xml:space="preserve">, apsverot, vai piedāvājums būtu atzīstams par nepamatoti lētu, </w:t>
      </w:r>
      <w:r w:rsidR="00976291" w:rsidRPr="007B4062">
        <w:rPr>
          <w:rFonts w:ascii="Times New Roman" w:hAnsi="Times New Roman" w:cs="Times New Roman"/>
          <w:sz w:val="24"/>
          <w:szCs w:val="24"/>
          <w:lang w:val="lv-LV"/>
        </w:rPr>
        <w:t xml:space="preserve">pamatoti </w:t>
      </w:r>
      <w:r w:rsidR="00E77510" w:rsidRPr="007B4062">
        <w:rPr>
          <w:rFonts w:ascii="Times New Roman" w:hAnsi="Times New Roman" w:cs="Times New Roman"/>
          <w:sz w:val="24"/>
          <w:szCs w:val="24"/>
          <w:lang w:val="lv-LV"/>
        </w:rPr>
        <w:t>koncentrējās uz pārbaudi</w:t>
      </w:r>
      <w:r w:rsidR="00976291" w:rsidRPr="007B4062">
        <w:rPr>
          <w:rFonts w:ascii="Times New Roman" w:hAnsi="Times New Roman" w:cs="Times New Roman"/>
          <w:sz w:val="24"/>
          <w:szCs w:val="24"/>
          <w:lang w:val="lv-LV"/>
        </w:rPr>
        <w:t xml:space="preserve">, vai pieteicējas piedāvājums vērtējams kā nopietns un drošs, nepārskatot pamatlietā konstatēto. </w:t>
      </w:r>
    </w:p>
    <w:p w14:paraId="60C8164E" w14:textId="77777777" w:rsidR="001F05A2" w:rsidRPr="007B4062" w:rsidRDefault="001F05A2" w:rsidP="003F1B18">
      <w:pPr>
        <w:spacing w:after="0"/>
        <w:jc w:val="both"/>
        <w:rPr>
          <w:rFonts w:ascii="Times New Roman" w:hAnsi="Times New Roman" w:cs="Times New Roman"/>
          <w:sz w:val="24"/>
          <w:szCs w:val="24"/>
          <w:lang w:val="lv-LV"/>
        </w:rPr>
      </w:pPr>
    </w:p>
    <w:p w14:paraId="770C9AE7" w14:textId="77777777" w:rsidR="001F05A2" w:rsidRPr="007B4062" w:rsidRDefault="001F05A2" w:rsidP="003F1B18">
      <w:pPr>
        <w:spacing w:after="0"/>
        <w:jc w:val="center"/>
        <w:rPr>
          <w:rFonts w:ascii="Times New Roman" w:hAnsi="Times New Roman" w:cs="Times New Roman"/>
          <w:b/>
          <w:bCs/>
          <w:sz w:val="24"/>
          <w:szCs w:val="24"/>
          <w:lang w:val="lv-LV"/>
        </w:rPr>
      </w:pPr>
      <w:r w:rsidRPr="007B4062">
        <w:rPr>
          <w:rFonts w:ascii="Times New Roman" w:hAnsi="Times New Roman" w:cs="Times New Roman"/>
          <w:b/>
          <w:bCs/>
          <w:sz w:val="24"/>
          <w:szCs w:val="24"/>
          <w:lang w:val="lv-LV"/>
        </w:rPr>
        <w:t>II</w:t>
      </w:r>
    </w:p>
    <w:p w14:paraId="399F97B0" w14:textId="77777777" w:rsidR="00BC08AB" w:rsidRPr="007B4062" w:rsidRDefault="00BC08AB" w:rsidP="003F1B18">
      <w:pPr>
        <w:spacing w:after="0"/>
        <w:ind w:firstLine="567"/>
        <w:jc w:val="both"/>
        <w:rPr>
          <w:rFonts w:ascii="Times New Roman" w:hAnsi="Times New Roman" w:cs="Times New Roman"/>
          <w:sz w:val="24"/>
          <w:szCs w:val="24"/>
          <w:lang w:val="lv-LV" w:eastAsia="lv-LV"/>
        </w:rPr>
      </w:pPr>
    </w:p>
    <w:p w14:paraId="3A8B19DF" w14:textId="3333FF6A" w:rsidR="001F05A2" w:rsidRPr="007B4062" w:rsidRDefault="00F5087B"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eastAsia="lv-LV"/>
        </w:rPr>
        <w:t>[</w:t>
      </w:r>
      <w:r w:rsidR="004E27BF" w:rsidRPr="007B4062">
        <w:rPr>
          <w:rFonts w:ascii="Times New Roman" w:hAnsi="Times New Roman" w:cs="Times New Roman"/>
          <w:sz w:val="24"/>
          <w:szCs w:val="24"/>
          <w:lang w:val="lv-LV" w:eastAsia="lv-LV"/>
        </w:rPr>
        <w:t>10</w:t>
      </w:r>
      <w:r w:rsidRPr="007B4062">
        <w:rPr>
          <w:rFonts w:ascii="Times New Roman" w:hAnsi="Times New Roman" w:cs="Times New Roman"/>
          <w:sz w:val="24"/>
          <w:szCs w:val="24"/>
          <w:lang w:val="lv-LV" w:eastAsia="lv-LV"/>
        </w:rPr>
        <w:t>]</w:t>
      </w:r>
      <w:r w:rsidR="000E7DAC">
        <w:rPr>
          <w:rFonts w:ascii="Times New Roman" w:hAnsi="Times New Roman" w:cs="Times New Roman"/>
          <w:sz w:val="24"/>
          <w:szCs w:val="24"/>
          <w:lang w:val="lv-LV" w:eastAsia="lv-LV"/>
        </w:rPr>
        <w:t> </w:t>
      </w:r>
      <w:r w:rsidRPr="007B4062">
        <w:rPr>
          <w:rFonts w:ascii="Times New Roman" w:hAnsi="Times New Roman" w:cs="Times New Roman"/>
          <w:sz w:val="24"/>
          <w:szCs w:val="24"/>
          <w:lang w:val="lv-LV" w:eastAsia="lv-LV"/>
        </w:rPr>
        <w:t>Kasatore arī norādījusi, ka pieteicēja nebūtu uzvarējusi iepirkumā</w:t>
      </w:r>
      <w:r w:rsidR="00597843" w:rsidRPr="007B4062">
        <w:rPr>
          <w:rFonts w:ascii="Times New Roman" w:hAnsi="Times New Roman" w:cs="Times New Roman"/>
          <w:sz w:val="24"/>
          <w:szCs w:val="24"/>
          <w:lang w:val="lv-LV" w:eastAsia="lv-LV"/>
        </w:rPr>
        <w:t xml:space="preserve">, jo </w:t>
      </w:r>
      <w:r w:rsidRPr="007B4062">
        <w:rPr>
          <w:rFonts w:ascii="Times New Roman" w:hAnsi="Times New Roman" w:cs="Times New Roman"/>
          <w:sz w:val="24"/>
          <w:szCs w:val="24"/>
          <w:lang w:val="lv-LV" w:eastAsia="lv-LV"/>
        </w:rPr>
        <w:t xml:space="preserve">tās piedāvājums tiktu atzīts par nepamatoti lētu tā iemesla dēļ, ka pieteicēja savu izvēli piedāvāt atlaidi nav spējusi izskaidrot ar apstākļiem, kas norādīti Publisko iepirkumu likuma 48.panta otrajā daļā. </w:t>
      </w:r>
      <w:r w:rsidR="00597843" w:rsidRPr="007B4062">
        <w:rPr>
          <w:rFonts w:ascii="Times New Roman" w:hAnsi="Times New Roman" w:cs="Times New Roman"/>
          <w:sz w:val="24"/>
          <w:szCs w:val="24"/>
          <w:lang w:val="lv-LV" w:eastAsia="lv-LV"/>
        </w:rPr>
        <w:t>Kasatore nepiekrīt tiesai, ka spēju piedāvāt atlaidi būtu pieļaujams izskaidrot ar citiem</w:t>
      </w:r>
      <w:r w:rsidR="009C51A7" w:rsidRPr="007B4062">
        <w:rPr>
          <w:rFonts w:ascii="Times New Roman" w:hAnsi="Times New Roman" w:cs="Times New Roman"/>
          <w:sz w:val="24"/>
          <w:szCs w:val="24"/>
          <w:lang w:val="lv-LV" w:eastAsia="lv-LV"/>
        </w:rPr>
        <w:t xml:space="preserve"> – </w:t>
      </w:r>
      <w:r w:rsidR="00597843" w:rsidRPr="007B4062">
        <w:rPr>
          <w:rFonts w:ascii="Times New Roman" w:hAnsi="Times New Roman" w:cs="Times New Roman"/>
          <w:sz w:val="24"/>
          <w:szCs w:val="24"/>
          <w:lang w:val="lv-LV" w:eastAsia="lv-LV"/>
        </w:rPr>
        <w:t>minētajā</w:t>
      </w:r>
      <w:r w:rsidR="009C51A7" w:rsidRPr="007B4062">
        <w:rPr>
          <w:rFonts w:ascii="Times New Roman" w:hAnsi="Times New Roman" w:cs="Times New Roman"/>
          <w:sz w:val="24"/>
          <w:szCs w:val="24"/>
          <w:lang w:val="lv-LV" w:eastAsia="lv-LV"/>
        </w:rPr>
        <w:t xml:space="preserve"> </w:t>
      </w:r>
      <w:r w:rsidR="00597843" w:rsidRPr="007B4062">
        <w:rPr>
          <w:rFonts w:ascii="Times New Roman" w:hAnsi="Times New Roman" w:cs="Times New Roman"/>
          <w:sz w:val="24"/>
          <w:szCs w:val="24"/>
          <w:lang w:val="lv-LV" w:eastAsia="lv-LV"/>
        </w:rPr>
        <w:t>pantā nenorādītiem</w:t>
      </w:r>
      <w:r w:rsidR="009C51A7" w:rsidRPr="007B4062">
        <w:rPr>
          <w:rFonts w:ascii="Times New Roman" w:hAnsi="Times New Roman" w:cs="Times New Roman"/>
          <w:sz w:val="24"/>
          <w:szCs w:val="24"/>
          <w:lang w:val="lv-LV" w:eastAsia="lv-LV"/>
        </w:rPr>
        <w:t xml:space="preserve"> – </w:t>
      </w:r>
      <w:r w:rsidR="00597843" w:rsidRPr="007B4062">
        <w:rPr>
          <w:rFonts w:ascii="Times New Roman" w:hAnsi="Times New Roman" w:cs="Times New Roman"/>
          <w:sz w:val="24"/>
          <w:szCs w:val="24"/>
          <w:lang w:val="lv-LV" w:eastAsia="lv-LV"/>
        </w:rPr>
        <w:t>apstākļiem, tāpēc tiesa esot nepareizi atzinusi, ka pieteicējas piedāvājuma nopietnību var izskaidrot ar pieteicējas finansiālajos resursos balstītu spēju piedāvāt konkrēto atlaidi.</w:t>
      </w:r>
      <w:r w:rsidR="001F05A2" w:rsidRPr="007B4062">
        <w:rPr>
          <w:rFonts w:ascii="Times New Roman" w:hAnsi="Times New Roman" w:cs="Times New Roman"/>
          <w:sz w:val="24"/>
          <w:szCs w:val="24"/>
          <w:lang w:val="lv-LV" w:eastAsia="lv-LV"/>
        </w:rPr>
        <w:t xml:space="preserve"> Līdz ar to tiesa esot nepamatoti pievērsusies tam</w:t>
      </w:r>
      <w:r w:rsidR="001F05A2" w:rsidRPr="007B4062">
        <w:rPr>
          <w:rFonts w:ascii="Times New Roman" w:eastAsiaTheme="minorHAnsi" w:hAnsi="Times New Roman" w:cs="Times New Roman"/>
          <w:sz w:val="24"/>
          <w:szCs w:val="24"/>
          <w:lang w:val="lv-LV"/>
        </w:rPr>
        <w:t xml:space="preserve">, vai pieteicējas </w:t>
      </w:r>
      <w:r w:rsidR="001F05A2" w:rsidRPr="007B4062">
        <w:rPr>
          <w:rFonts w:ascii="Times New Roman" w:hAnsi="Times New Roman" w:cs="Times New Roman"/>
          <w:sz w:val="24"/>
          <w:szCs w:val="24"/>
          <w:shd w:val="clear" w:color="auto" w:fill="FFFFFF"/>
          <w:lang w:val="lv-LV"/>
        </w:rPr>
        <w:t xml:space="preserve">resursi ļāva pieteicējai piedāvāt atlaidi; tiesai esot vajadzējis tikai pārbaudīt, vai pieteicējas piedāvātā cena (0,33 </w:t>
      </w:r>
      <w:r w:rsidR="00D27088" w:rsidRPr="007B4062">
        <w:rPr>
          <w:rFonts w:ascii="Times New Roman" w:hAnsi="Times New Roman" w:cs="Times New Roman"/>
          <w:sz w:val="24"/>
          <w:szCs w:val="24"/>
          <w:shd w:val="clear" w:color="auto" w:fill="FFFFFF"/>
          <w:lang w:val="lv-LV"/>
        </w:rPr>
        <w:t>lati</w:t>
      </w:r>
      <w:r w:rsidR="001F05A2" w:rsidRPr="007B4062">
        <w:rPr>
          <w:rFonts w:ascii="Times New Roman" w:hAnsi="Times New Roman" w:cs="Times New Roman"/>
          <w:sz w:val="24"/>
          <w:szCs w:val="24"/>
          <w:shd w:val="clear" w:color="auto" w:fill="FFFFFF"/>
          <w:lang w:val="lv-LV"/>
        </w:rPr>
        <w:t xml:space="preserve">) atbilstoši </w:t>
      </w:r>
      <w:r w:rsidR="001F05A2" w:rsidRPr="007B4062">
        <w:rPr>
          <w:rFonts w:ascii="Times New Roman" w:hAnsi="Times New Roman" w:cs="Times New Roman"/>
          <w:sz w:val="24"/>
          <w:szCs w:val="24"/>
          <w:lang w:val="lv-LV"/>
        </w:rPr>
        <w:t xml:space="preserve">Publisko iepirkumu likuma 48.panta otrajā daļā norādītajiem vērtējamiem apstākļiem ir tāda, par kuru faktiski var izpildīt attiecīgos darbus. </w:t>
      </w:r>
    </w:p>
    <w:p w14:paraId="056C5F2D" w14:textId="77777777" w:rsidR="00E33CDC" w:rsidRPr="007B4062" w:rsidRDefault="00E33CDC" w:rsidP="003F1B18">
      <w:pPr>
        <w:spacing w:after="0"/>
        <w:ind w:firstLine="567"/>
        <w:jc w:val="both"/>
        <w:rPr>
          <w:rFonts w:ascii="Times New Roman" w:hAnsi="Times New Roman" w:cs="Times New Roman"/>
          <w:sz w:val="24"/>
          <w:szCs w:val="24"/>
          <w:lang w:val="lv-LV" w:eastAsia="lv-LV"/>
        </w:rPr>
      </w:pPr>
    </w:p>
    <w:p w14:paraId="298BE8B0" w14:textId="16A960C2" w:rsidR="001F05A2" w:rsidRPr="007B4062" w:rsidRDefault="001F05A2" w:rsidP="003F1B18">
      <w:pPr>
        <w:shd w:val="clear" w:color="auto" w:fill="FFFFFF"/>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eastAsia="lv-LV"/>
        </w:rPr>
        <w:t>[1</w:t>
      </w:r>
      <w:r w:rsidR="004E27BF" w:rsidRPr="007B4062">
        <w:rPr>
          <w:rFonts w:ascii="Times New Roman" w:hAnsi="Times New Roman" w:cs="Times New Roman"/>
          <w:sz w:val="24"/>
          <w:szCs w:val="24"/>
          <w:lang w:val="lv-LV" w:eastAsia="lv-LV"/>
        </w:rPr>
        <w:t>1</w:t>
      </w:r>
      <w:r w:rsidRPr="007B4062">
        <w:rPr>
          <w:rFonts w:ascii="Times New Roman" w:hAnsi="Times New Roman" w:cs="Times New Roman"/>
          <w:sz w:val="24"/>
          <w:szCs w:val="24"/>
          <w:lang w:val="lv-LV" w:eastAsia="lv-LV"/>
        </w:rPr>
        <w:t>]</w:t>
      </w:r>
      <w:r w:rsidR="000E7DAC">
        <w:rPr>
          <w:rFonts w:ascii="Times New Roman" w:hAnsi="Times New Roman" w:cs="Times New Roman"/>
          <w:sz w:val="24"/>
          <w:szCs w:val="24"/>
          <w:lang w:val="lv-LV" w:eastAsia="lv-LV"/>
        </w:rPr>
        <w:t> </w:t>
      </w:r>
      <w:r w:rsidR="00597843" w:rsidRPr="007B4062">
        <w:rPr>
          <w:rFonts w:ascii="Times New Roman" w:hAnsi="Times New Roman" w:cs="Times New Roman"/>
          <w:sz w:val="24"/>
          <w:szCs w:val="24"/>
          <w:lang w:val="lv-LV" w:eastAsia="lv-LV"/>
        </w:rPr>
        <w:t xml:space="preserve">Jautājumu, vai piedāvātu </w:t>
      </w:r>
      <w:r w:rsidR="00F90F90">
        <w:rPr>
          <w:rFonts w:ascii="Times New Roman" w:hAnsi="Times New Roman" w:cs="Times New Roman"/>
          <w:sz w:val="24"/>
          <w:szCs w:val="24"/>
          <w:lang w:val="lv-LV" w:eastAsia="lv-LV"/>
        </w:rPr>
        <w:t>zemu</w:t>
      </w:r>
      <w:r w:rsidR="00597843" w:rsidRPr="007B4062">
        <w:rPr>
          <w:rFonts w:ascii="Times New Roman" w:hAnsi="Times New Roman" w:cs="Times New Roman"/>
          <w:sz w:val="24"/>
          <w:szCs w:val="24"/>
          <w:lang w:val="lv-LV" w:eastAsia="lv-LV"/>
        </w:rPr>
        <w:t xml:space="preserve"> cenu var izskaidrot ar tādiem apstākļiem, kas nav minēti Publisko iepirkumu likuma 48.panta otrajā daļā</w:t>
      </w:r>
      <w:r w:rsidRPr="007B4062">
        <w:rPr>
          <w:rFonts w:ascii="Times New Roman" w:hAnsi="Times New Roman" w:cs="Times New Roman"/>
          <w:sz w:val="24"/>
          <w:szCs w:val="24"/>
          <w:lang w:val="lv-LV" w:eastAsia="lv-LV"/>
        </w:rPr>
        <w:t xml:space="preserve">, Senāts šajā lietā vienreiz jau ir izvērtējis. Tieši šis jautājums bija izšķirošais apstāklis, kura dēļ Senāts ar </w:t>
      </w:r>
      <w:r w:rsidRPr="007B4062">
        <w:rPr>
          <w:rFonts w:ascii="Times New Roman" w:hAnsi="Times New Roman" w:cs="Times New Roman"/>
          <w:sz w:val="24"/>
          <w:szCs w:val="24"/>
          <w:lang w:val="lv-LV"/>
        </w:rPr>
        <w:t>2020.gada 30.marta spriedumu Nr. SKA-605/2020 atcēla rajona tiesas spriedumu, norādot, ka piedāvāto zemo cenu pretendents var izskaidrot arī ar citiem apstākļiem, ne tikai tiem, kas norādīti Publisko iepirkumu likuma 48.panta otrajā daļā</w:t>
      </w:r>
      <w:r w:rsidR="00B32D4B" w:rsidRPr="007B4062">
        <w:rPr>
          <w:rFonts w:ascii="Times New Roman" w:hAnsi="Times New Roman" w:cs="Times New Roman"/>
          <w:sz w:val="24"/>
          <w:szCs w:val="24"/>
          <w:lang w:val="lv-LV"/>
        </w:rPr>
        <w:t xml:space="preserve"> (</w:t>
      </w:r>
      <w:r w:rsidR="00B32D4B" w:rsidRPr="007B4062">
        <w:rPr>
          <w:rFonts w:ascii="Times New Roman" w:hAnsi="Times New Roman" w:cs="Times New Roman"/>
          <w:i/>
          <w:iCs/>
          <w:sz w:val="24"/>
          <w:szCs w:val="24"/>
          <w:lang w:val="lv-LV"/>
        </w:rPr>
        <w:t>minētā sprieduma 6., 7.punkts</w:t>
      </w:r>
      <w:r w:rsidR="00B32D4B" w:rsidRPr="007B4062">
        <w:rPr>
          <w:rFonts w:ascii="Times New Roman" w:hAnsi="Times New Roman" w:cs="Times New Roman"/>
          <w:sz w:val="24"/>
          <w:szCs w:val="24"/>
          <w:lang w:val="lv-LV"/>
        </w:rPr>
        <w:t>)</w:t>
      </w:r>
      <w:r w:rsidRPr="007B4062">
        <w:rPr>
          <w:rFonts w:ascii="Times New Roman" w:hAnsi="Times New Roman" w:cs="Times New Roman"/>
          <w:sz w:val="24"/>
          <w:szCs w:val="24"/>
          <w:lang w:val="lv-LV"/>
        </w:rPr>
        <w:t xml:space="preserve">. </w:t>
      </w:r>
    </w:p>
    <w:p w14:paraId="776A6946" w14:textId="77777777" w:rsidR="00B32D4B" w:rsidRPr="007B4062" w:rsidRDefault="001F05A2" w:rsidP="003F1B18">
      <w:pPr>
        <w:shd w:val="clear" w:color="auto" w:fill="FFFFFF"/>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Senāts nesaskata pamatu atkāpties no minētajā spriedumā izteiktajām atziņām. </w:t>
      </w:r>
    </w:p>
    <w:p w14:paraId="48558B41" w14:textId="79D399F1" w:rsidR="00F66FA4" w:rsidRPr="007B4062" w:rsidRDefault="00B32D4B"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Iespēja noraidīt nepamatoti lētu piedāvājumu ir saistīta ar mērķi </w:t>
      </w:r>
      <w:r w:rsidRPr="007B4062">
        <w:rPr>
          <w:rFonts w:ascii="Times New Roman" w:eastAsiaTheme="minorHAnsi" w:hAnsi="Times New Roman" w:cs="Times New Roman"/>
          <w:sz w:val="24"/>
          <w:szCs w:val="24"/>
          <w:lang w:val="lv-LV"/>
        </w:rPr>
        <w:t>nodrošināt publisko līdzekļu efektīvu izmantošanu, maksimāli samazinot pasūtītāja risku, ka piegādātāja piedāvājums nav nopietns un drošs. Tāpēc nepamatoti lēta piedāvājuma institūta jēga ir dot iespēju pasūtītājam noraidīt tādus piedāvājumus, kuros ietvertā zemā cena objektīvi rada draudus pasūtītāja interesei sagaidīt iepirkuma procedūras ietvaros noslēdzamā līguma pilnīgu un pienācīgu izpildi. Šā mērķa gaismā interpretējamas arī Publisko iepirkumu likuma 48.panta normas. Kā jau Senāts iepriekš atzina, ne n</w:t>
      </w:r>
      <w:r w:rsidRPr="007B4062">
        <w:rPr>
          <w:rFonts w:ascii="Times New Roman" w:hAnsi="Times New Roman" w:cs="Times New Roman"/>
          <w:sz w:val="24"/>
          <w:szCs w:val="24"/>
          <w:lang w:val="lv-LV"/>
        </w:rPr>
        <w:t xml:space="preserve">o Publisko iepirkumu likuma 48.panta, ne no citām tiesību normām neizriet, ka šaubas par līguma pilnīgas un pienācīgas izpildes iespējamību varētu tikt kliedētas </w:t>
      </w:r>
      <w:r w:rsidRPr="007B4062">
        <w:rPr>
          <w:rFonts w:ascii="Times New Roman" w:hAnsi="Times New Roman" w:cs="Times New Roman"/>
          <w:i/>
          <w:iCs/>
          <w:sz w:val="24"/>
          <w:szCs w:val="24"/>
          <w:lang w:val="lv-LV"/>
        </w:rPr>
        <w:t>tikai</w:t>
      </w:r>
      <w:r w:rsidRPr="007B4062">
        <w:rPr>
          <w:rFonts w:ascii="Times New Roman" w:hAnsi="Times New Roman" w:cs="Times New Roman"/>
          <w:sz w:val="24"/>
          <w:szCs w:val="24"/>
          <w:lang w:val="lv-LV"/>
        </w:rPr>
        <w:t xml:space="preserve"> ar kādiem noteiktiem un likumā minētiem apstākļiem, un tas atbilst </w:t>
      </w:r>
      <w:r w:rsidR="000827C8" w:rsidRPr="007B4062">
        <w:rPr>
          <w:rFonts w:ascii="Times New Roman" w:hAnsi="Times New Roman" w:cs="Times New Roman"/>
          <w:sz w:val="24"/>
          <w:szCs w:val="24"/>
          <w:lang w:val="lv-LV"/>
        </w:rPr>
        <w:t xml:space="preserve">iepriekš norādītajai </w:t>
      </w:r>
      <w:r w:rsidRPr="007B4062">
        <w:rPr>
          <w:rFonts w:ascii="Times New Roman" w:hAnsi="Times New Roman" w:cs="Times New Roman"/>
          <w:sz w:val="24"/>
          <w:szCs w:val="24"/>
          <w:lang w:val="lv-LV"/>
        </w:rPr>
        <w:t xml:space="preserve">nepamatoti lēta piedāvājuma institūta jēgai. </w:t>
      </w:r>
      <w:r w:rsidR="00F66FA4" w:rsidRPr="007B4062">
        <w:rPr>
          <w:rFonts w:ascii="Times New Roman" w:hAnsi="Times New Roman" w:cs="Times New Roman"/>
          <w:sz w:val="24"/>
          <w:szCs w:val="24"/>
          <w:lang w:val="lv-LV"/>
        </w:rPr>
        <w:t xml:space="preserve">Arī </w:t>
      </w:r>
      <w:r w:rsidR="004E52B1" w:rsidRPr="007B4062">
        <w:rPr>
          <w:rFonts w:ascii="Times New Roman" w:hAnsi="Times New Roman" w:cs="Times New Roman"/>
          <w:sz w:val="24"/>
          <w:szCs w:val="24"/>
          <w:lang w:val="lv-LV"/>
        </w:rPr>
        <w:t>d</w:t>
      </w:r>
      <w:r w:rsidR="00F66FA4" w:rsidRPr="007B4062">
        <w:rPr>
          <w:rFonts w:ascii="Times New Roman" w:hAnsi="Times New Roman" w:cs="Times New Roman"/>
          <w:sz w:val="24"/>
          <w:szCs w:val="24"/>
          <w:lang w:val="lv-LV"/>
        </w:rPr>
        <w:t xml:space="preserve">irektīvas 2004/18/EK 55.panta 1.punkta otrajā daļā (kurā </w:t>
      </w:r>
      <w:r w:rsidR="000827C8" w:rsidRPr="007B4062">
        <w:rPr>
          <w:rFonts w:ascii="Times New Roman" w:hAnsi="Times New Roman" w:cs="Times New Roman"/>
          <w:sz w:val="24"/>
          <w:szCs w:val="24"/>
          <w:lang w:val="lv-LV"/>
        </w:rPr>
        <w:t>līdzīgi Publisko iepirkumu likuma 48.pantam regulēta iespējami nepamatoti lēta piedāvājuma izskaidrošana</w:t>
      </w:r>
      <w:r w:rsidR="00F66FA4" w:rsidRPr="007B4062">
        <w:rPr>
          <w:rFonts w:ascii="Times New Roman" w:hAnsi="Times New Roman" w:cs="Times New Roman"/>
          <w:sz w:val="24"/>
          <w:szCs w:val="24"/>
          <w:lang w:val="lv-LV"/>
        </w:rPr>
        <w:t>) nav noteikts, ka normā ietvertais skaidrojošo apstākļu uzskaitījums būtu izsmeļošs (</w:t>
      </w:r>
      <w:r w:rsidR="000827C8" w:rsidRPr="007B4062">
        <w:rPr>
          <w:rFonts w:ascii="Times New Roman" w:hAnsi="Times New Roman" w:cs="Times New Roman"/>
          <w:sz w:val="24"/>
          <w:szCs w:val="24"/>
          <w:lang w:val="lv-LV"/>
        </w:rPr>
        <w:t>par šo jautājumu izvērstāk turpmākajos sprieduma punktos</w:t>
      </w:r>
      <w:r w:rsidR="00F66FA4" w:rsidRPr="007B4062">
        <w:rPr>
          <w:rFonts w:ascii="Times New Roman" w:hAnsi="Times New Roman" w:cs="Times New Roman"/>
          <w:sz w:val="24"/>
          <w:szCs w:val="24"/>
          <w:lang w:val="lv-LV"/>
        </w:rPr>
        <w:t>).</w:t>
      </w:r>
    </w:p>
    <w:p w14:paraId="14CC1AF3" w14:textId="77777777" w:rsidR="00B32D4B" w:rsidRPr="007B4062" w:rsidRDefault="00B32D4B" w:rsidP="003F1B18">
      <w:pPr>
        <w:shd w:val="clear" w:color="auto" w:fill="FFFFFF"/>
        <w:spacing w:after="0"/>
        <w:ind w:firstLine="567"/>
        <w:jc w:val="both"/>
        <w:rPr>
          <w:rFonts w:ascii="Times New Roman" w:hAnsi="Times New Roman" w:cs="Times New Roman"/>
          <w:sz w:val="24"/>
          <w:szCs w:val="24"/>
          <w:lang w:val="lv-LV"/>
        </w:rPr>
      </w:pPr>
    </w:p>
    <w:p w14:paraId="7532AA0D" w14:textId="128631C7" w:rsidR="004E27BF" w:rsidRPr="007B4062" w:rsidRDefault="0087772A" w:rsidP="003F1B18">
      <w:pPr>
        <w:shd w:val="clear" w:color="auto" w:fill="FFFFFF"/>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[1</w:t>
      </w:r>
      <w:r w:rsidR="004E27BF" w:rsidRPr="007B4062">
        <w:rPr>
          <w:rFonts w:ascii="Times New Roman" w:hAnsi="Times New Roman" w:cs="Times New Roman"/>
          <w:sz w:val="24"/>
          <w:szCs w:val="24"/>
          <w:lang w:val="lv-LV"/>
        </w:rPr>
        <w:t>2</w:t>
      </w:r>
      <w:r w:rsidRPr="007B4062">
        <w:rPr>
          <w:rFonts w:ascii="Times New Roman" w:hAnsi="Times New Roman" w:cs="Times New Roman"/>
          <w:sz w:val="24"/>
          <w:szCs w:val="24"/>
          <w:lang w:val="lv-LV"/>
        </w:rPr>
        <w:t>]</w:t>
      </w:r>
      <w:r w:rsidR="00C65EDF">
        <w:rPr>
          <w:rFonts w:ascii="Times New Roman" w:hAnsi="Times New Roman" w:cs="Times New Roman"/>
          <w:sz w:val="24"/>
          <w:szCs w:val="24"/>
          <w:lang w:val="lv-LV"/>
        </w:rPr>
        <w:t> </w:t>
      </w:r>
      <w:r w:rsidRPr="007B4062">
        <w:rPr>
          <w:rFonts w:ascii="Times New Roman" w:hAnsi="Times New Roman" w:cs="Times New Roman"/>
          <w:sz w:val="24"/>
          <w:szCs w:val="24"/>
          <w:lang w:val="lv-LV"/>
        </w:rPr>
        <w:t xml:space="preserve">Kasatore uzskata, ka būtu pamats vērsties Eiropas Savienības Tiesā, lai noskaidrotu, vai </w:t>
      </w:r>
      <w:r w:rsidR="00F66FA4" w:rsidRPr="007B4062">
        <w:rPr>
          <w:rFonts w:ascii="Times New Roman" w:hAnsi="Times New Roman" w:cs="Times New Roman"/>
          <w:sz w:val="24"/>
          <w:szCs w:val="24"/>
          <w:lang w:val="lv-LV"/>
        </w:rPr>
        <w:t xml:space="preserve">tiešām </w:t>
      </w:r>
      <w:r w:rsidRPr="007B4062">
        <w:rPr>
          <w:rFonts w:ascii="Times New Roman" w:hAnsi="Times New Roman" w:cs="Times New Roman"/>
          <w:sz w:val="24"/>
          <w:szCs w:val="24"/>
          <w:lang w:val="lv-LV"/>
        </w:rPr>
        <w:t xml:space="preserve">šāda tiesību normu izpratne </w:t>
      </w:r>
      <w:r w:rsidR="00C86BC7" w:rsidRPr="007B4062">
        <w:rPr>
          <w:rFonts w:ascii="Times New Roman" w:hAnsi="Times New Roman" w:cs="Times New Roman"/>
          <w:sz w:val="24"/>
          <w:szCs w:val="24"/>
          <w:lang w:val="lv-LV"/>
        </w:rPr>
        <w:t>ir pareiza</w:t>
      </w:r>
      <w:r w:rsidRPr="007B4062">
        <w:rPr>
          <w:rFonts w:ascii="Times New Roman" w:hAnsi="Times New Roman" w:cs="Times New Roman"/>
          <w:sz w:val="24"/>
          <w:szCs w:val="24"/>
          <w:lang w:val="lv-LV"/>
        </w:rPr>
        <w:t>.</w:t>
      </w:r>
      <w:r w:rsidR="00F66FA4" w:rsidRPr="007B4062">
        <w:rPr>
          <w:rFonts w:ascii="Times New Roman" w:hAnsi="Times New Roman" w:cs="Times New Roman"/>
          <w:sz w:val="24"/>
          <w:szCs w:val="24"/>
          <w:lang w:val="lv-LV"/>
        </w:rPr>
        <w:t xml:space="preserve"> </w:t>
      </w:r>
      <w:r w:rsidRPr="007B4062">
        <w:rPr>
          <w:rFonts w:ascii="Times New Roman" w:hAnsi="Times New Roman" w:cs="Times New Roman"/>
          <w:sz w:val="24"/>
          <w:szCs w:val="24"/>
          <w:lang w:val="lv-LV"/>
        </w:rPr>
        <w:t xml:space="preserve">Proti, </w:t>
      </w:r>
      <w:r w:rsidR="00F15C3E" w:rsidRPr="007B4062">
        <w:rPr>
          <w:rFonts w:ascii="Times New Roman" w:hAnsi="Times New Roman" w:cs="Times New Roman"/>
          <w:sz w:val="24"/>
          <w:szCs w:val="24"/>
          <w:lang w:val="lv-LV"/>
        </w:rPr>
        <w:t>kasācijas sūdzībā lūgts uzdot Eiropas Savienības Tiesai jautājumu</w:t>
      </w:r>
      <w:r w:rsidR="004E27BF" w:rsidRPr="007B4062">
        <w:rPr>
          <w:rFonts w:ascii="Times New Roman" w:hAnsi="Times New Roman" w:cs="Times New Roman"/>
          <w:sz w:val="24"/>
          <w:szCs w:val="24"/>
          <w:lang w:val="lv-LV"/>
        </w:rPr>
        <w:t xml:space="preserve"> par to, vai</w:t>
      </w:r>
      <w:r w:rsidR="00F66FA4" w:rsidRPr="007B4062">
        <w:rPr>
          <w:rFonts w:ascii="Times New Roman" w:hAnsi="Times New Roman" w:cs="Times New Roman"/>
          <w:sz w:val="24"/>
          <w:szCs w:val="24"/>
          <w:lang w:val="lv-LV"/>
        </w:rPr>
        <w:t xml:space="preserve"> </w:t>
      </w:r>
      <w:r w:rsidR="004E52B1" w:rsidRPr="007B4062">
        <w:rPr>
          <w:rFonts w:ascii="Times New Roman" w:hAnsi="Times New Roman" w:cs="Times New Roman"/>
          <w:sz w:val="24"/>
          <w:szCs w:val="24"/>
          <w:lang w:val="lv-LV"/>
        </w:rPr>
        <w:t>d</w:t>
      </w:r>
      <w:r w:rsidR="00F15C3E" w:rsidRPr="007B4062">
        <w:rPr>
          <w:rFonts w:ascii="Times New Roman" w:hAnsi="Times New Roman" w:cs="Times New Roman"/>
          <w:sz w:val="24"/>
          <w:szCs w:val="24"/>
          <w:lang w:val="lv-LV"/>
        </w:rPr>
        <w:t xml:space="preserve">irektīvas 2004/18/EK 55.panta 1.punkta otrās daļas un 2.punkta interpretācija </w:t>
      </w:r>
      <w:r w:rsidR="004E27BF" w:rsidRPr="007B4062">
        <w:rPr>
          <w:rFonts w:ascii="Times New Roman" w:hAnsi="Times New Roman" w:cs="Times New Roman"/>
          <w:sz w:val="24"/>
          <w:szCs w:val="24"/>
          <w:lang w:val="lv-LV"/>
        </w:rPr>
        <w:t xml:space="preserve">iespējami nepamatoti lēta piedāvājuma gadījumā </w:t>
      </w:r>
      <w:r w:rsidR="00F15C3E" w:rsidRPr="007B4062">
        <w:rPr>
          <w:rFonts w:ascii="Times New Roman" w:hAnsi="Times New Roman" w:cs="Times New Roman"/>
          <w:sz w:val="24"/>
          <w:szCs w:val="24"/>
          <w:lang w:val="lv-LV"/>
        </w:rPr>
        <w:t>pieļauj atlaides piemērošanu</w:t>
      </w:r>
      <w:r w:rsidR="00F66FA4" w:rsidRPr="007B4062">
        <w:rPr>
          <w:rFonts w:ascii="Times New Roman" w:hAnsi="Times New Roman" w:cs="Times New Roman"/>
          <w:sz w:val="24"/>
          <w:szCs w:val="24"/>
          <w:lang w:val="lv-LV"/>
        </w:rPr>
        <w:t xml:space="preserve"> piedāvājumā skaidrot </w:t>
      </w:r>
      <w:r w:rsidR="00F15C3E" w:rsidRPr="007B4062">
        <w:rPr>
          <w:rFonts w:ascii="Times New Roman" w:hAnsi="Times New Roman" w:cs="Times New Roman"/>
          <w:sz w:val="24"/>
          <w:szCs w:val="24"/>
          <w:lang w:val="lv-LV"/>
        </w:rPr>
        <w:t>ar daļēju pašfinansēšanu</w:t>
      </w:r>
      <w:r w:rsidR="009E770F">
        <w:rPr>
          <w:rFonts w:ascii="Times New Roman" w:hAnsi="Times New Roman" w:cs="Times New Roman"/>
          <w:sz w:val="24"/>
          <w:szCs w:val="24"/>
          <w:lang w:val="lv-LV"/>
        </w:rPr>
        <w:t>,</w:t>
      </w:r>
      <w:r w:rsidR="004E27BF" w:rsidRPr="007B4062">
        <w:rPr>
          <w:rFonts w:ascii="Times New Roman" w:hAnsi="Times New Roman" w:cs="Times New Roman"/>
          <w:sz w:val="24"/>
          <w:szCs w:val="24"/>
          <w:lang w:val="lv-LV"/>
        </w:rPr>
        <w:t xml:space="preserve"> vai arī piedāvājuma skaidrošana pieļaujama tikai ar tādiem apstākļiem, kas tiešā tekstā uzskaitīti </w:t>
      </w:r>
      <w:r w:rsidR="00212E97">
        <w:rPr>
          <w:rFonts w:ascii="Times New Roman" w:hAnsi="Times New Roman" w:cs="Times New Roman"/>
          <w:sz w:val="24"/>
          <w:szCs w:val="24"/>
          <w:lang w:val="lv-LV"/>
        </w:rPr>
        <w:t xml:space="preserve">šajā </w:t>
      </w:r>
      <w:r w:rsidR="004E52B1" w:rsidRPr="007B4062">
        <w:rPr>
          <w:rFonts w:ascii="Times New Roman" w:hAnsi="Times New Roman" w:cs="Times New Roman"/>
          <w:sz w:val="24"/>
          <w:szCs w:val="24"/>
          <w:lang w:val="lv-LV"/>
        </w:rPr>
        <w:t>d</w:t>
      </w:r>
      <w:r w:rsidR="004E27BF" w:rsidRPr="007B4062">
        <w:rPr>
          <w:rFonts w:ascii="Times New Roman" w:hAnsi="Times New Roman" w:cs="Times New Roman"/>
          <w:sz w:val="24"/>
          <w:szCs w:val="24"/>
          <w:lang w:val="lv-LV"/>
        </w:rPr>
        <w:t>irektīvas</w:t>
      </w:r>
      <w:r w:rsidR="00212E97">
        <w:rPr>
          <w:rFonts w:ascii="Times New Roman" w:hAnsi="Times New Roman" w:cs="Times New Roman"/>
          <w:sz w:val="24"/>
          <w:szCs w:val="24"/>
          <w:lang w:val="lv-LV"/>
        </w:rPr>
        <w:t xml:space="preserve"> normā</w:t>
      </w:r>
      <w:r w:rsidR="00F66FA4" w:rsidRPr="007B4062">
        <w:rPr>
          <w:rFonts w:ascii="Times New Roman" w:hAnsi="Times New Roman" w:cs="Times New Roman"/>
          <w:sz w:val="24"/>
          <w:szCs w:val="24"/>
          <w:lang w:val="lv-LV"/>
        </w:rPr>
        <w:t xml:space="preserve">. </w:t>
      </w:r>
      <w:r w:rsidR="00F15C3E" w:rsidRPr="007B4062">
        <w:rPr>
          <w:rFonts w:ascii="Times New Roman" w:hAnsi="Times New Roman" w:cs="Times New Roman"/>
          <w:sz w:val="24"/>
          <w:szCs w:val="24"/>
          <w:lang w:val="lv-LV"/>
        </w:rPr>
        <w:t xml:space="preserve"> </w:t>
      </w:r>
    </w:p>
    <w:p w14:paraId="33B2A365" w14:textId="7C8CB1E5" w:rsidR="009C51A7" w:rsidRPr="007B4062" w:rsidRDefault="009C51A7" w:rsidP="003F1B18">
      <w:pPr>
        <w:shd w:val="clear" w:color="auto" w:fill="FFFFFF"/>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Kasācijas sūdzībā ar</w:t>
      </w:r>
      <w:r w:rsidR="00992A5F" w:rsidRPr="007B4062">
        <w:rPr>
          <w:rFonts w:ascii="Times New Roman" w:hAnsi="Times New Roman" w:cs="Times New Roman"/>
          <w:sz w:val="24"/>
          <w:szCs w:val="24"/>
          <w:lang w:val="lv-LV"/>
        </w:rPr>
        <w:t>ī</w:t>
      </w:r>
      <w:r w:rsidRPr="007B4062">
        <w:rPr>
          <w:rFonts w:ascii="Times New Roman" w:hAnsi="Times New Roman" w:cs="Times New Roman"/>
          <w:sz w:val="24"/>
          <w:szCs w:val="24"/>
          <w:lang w:val="lv-LV"/>
        </w:rPr>
        <w:t xml:space="preserve"> lūgts vērsties Eiropas Savienības Tiesā ar jautājumu, vai pašfinansējuma pieļaušana </w:t>
      </w:r>
      <w:r w:rsidR="00F90F90">
        <w:rPr>
          <w:rFonts w:ascii="Times New Roman" w:hAnsi="Times New Roman" w:cs="Times New Roman"/>
          <w:sz w:val="24"/>
          <w:szCs w:val="24"/>
          <w:lang w:val="lv-LV"/>
        </w:rPr>
        <w:t>pati par sevi</w:t>
      </w:r>
      <w:r w:rsidRPr="007B4062">
        <w:rPr>
          <w:rFonts w:ascii="Times New Roman" w:hAnsi="Times New Roman" w:cs="Times New Roman"/>
          <w:sz w:val="24"/>
          <w:szCs w:val="24"/>
          <w:lang w:val="lv-LV"/>
        </w:rPr>
        <w:t xml:space="preserve"> </w:t>
      </w:r>
      <w:r w:rsidR="00836080" w:rsidRPr="007B4062">
        <w:rPr>
          <w:rFonts w:ascii="Times New Roman" w:hAnsi="Times New Roman" w:cs="Times New Roman"/>
          <w:sz w:val="24"/>
          <w:szCs w:val="24"/>
          <w:lang w:val="lv-LV"/>
        </w:rPr>
        <w:t xml:space="preserve">apstākļos, kādi ir izskatāmajā lietā, </w:t>
      </w:r>
      <w:r w:rsidRPr="007B4062">
        <w:rPr>
          <w:rFonts w:ascii="Times New Roman" w:hAnsi="Times New Roman" w:cs="Times New Roman"/>
          <w:sz w:val="24"/>
          <w:szCs w:val="24"/>
          <w:lang w:val="lv-LV"/>
        </w:rPr>
        <w:t>nav pretrunā ar minētās direktīvas 2.pantā noteiktajiem līguma slēgšanas</w:t>
      </w:r>
      <w:r w:rsidR="00BB0ED9">
        <w:rPr>
          <w:rFonts w:ascii="Times New Roman" w:hAnsi="Times New Roman" w:cs="Times New Roman"/>
          <w:sz w:val="24"/>
          <w:szCs w:val="24"/>
          <w:lang w:val="lv-LV"/>
        </w:rPr>
        <w:t xml:space="preserve"> tiesību</w:t>
      </w:r>
      <w:r w:rsidRPr="007B4062">
        <w:rPr>
          <w:rFonts w:ascii="Times New Roman" w:hAnsi="Times New Roman" w:cs="Times New Roman"/>
          <w:sz w:val="24"/>
          <w:szCs w:val="24"/>
          <w:lang w:val="lv-LV"/>
        </w:rPr>
        <w:t xml:space="preserve"> piešķiršanas principiem.</w:t>
      </w:r>
    </w:p>
    <w:p w14:paraId="6733181B" w14:textId="77777777" w:rsidR="00F66FA4" w:rsidRPr="007B4062" w:rsidRDefault="00F66FA4" w:rsidP="003F1B18">
      <w:pPr>
        <w:spacing w:after="0"/>
        <w:ind w:firstLine="567"/>
        <w:jc w:val="both"/>
        <w:rPr>
          <w:rFonts w:ascii="Times New Roman" w:hAnsi="Times New Roman" w:cs="Times New Roman"/>
          <w:sz w:val="24"/>
          <w:szCs w:val="24"/>
          <w:lang w:val="lv-LV"/>
        </w:rPr>
      </w:pPr>
    </w:p>
    <w:p w14:paraId="2E30A96A" w14:textId="1C4F4BC5" w:rsidR="00F15C3E" w:rsidRPr="007B4062" w:rsidRDefault="00F66FA4"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[1</w:t>
      </w:r>
      <w:r w:rsidR="004E27BF" w:rsidRPr="007B4062">
        <w:rPr>
          <w:rFonts w:ascii="Times New Roman" w:hAnsi="Times New Roman" w:cs="Times New Roman"/>
          <w:sz w:val="24"/>
          <w:szCs w:val="24"/>
          <w:lang w:val="lv-LV"/>
        </w:rPr>
        <w:t>3</w:t>
      </w:r>
      <w:r w:rsidRPr="007B4062">
        <w:rPr>
          <w:rFonts w:ascii="Times New Roman" w:hAnsi="Times New Roman" w:cs="Times New Roman"/>
          <w:sz w:val="24"/>
          <w:szCs w:val="24"/>
          <w:lang w:val="lv-LV"/>
        </w:rPr>
        <w:t>]</w:t>
      </w:r>
      <w:r w:rsidR="000E7DAC">
        <w:rPr>
          <w:rFonts w:ascii="Times New Roman" w:hAnsi="Times New Roman" w:cs="Times New Roman"/>
          <w:sz w:val="24"/>
          <w:szCs w:val="24"/>
          <w:lang w:val="lv-LV"/>
        </w:rPr>
        <w:t> </w:t>
      </w:r>
      <w:r w:rsidR="00F15C3E" w:rsidRPr="007B4062">
        <w:rPr>
          <w:rFonts w:ascii="Times New Roman" w:hAnsi="Times New Roman" w:cs="Times New Roman"/>
          <w:sz w:val="24"/>
          <w:szCs w:val="24"/>
          <w:lang w:val="lv-LV"/>
        </w:rPr>
        <w:t xml:space="preserve">Eiropas Savienības Tiesas kompetence prejudiciālo nolēmumu procedūrā </w:t>
      </w:r>
      <w:r w:rsidR="00EE1EC9" w:rsidRPr="007B4062">
        <w:rPr>
          <w:rFonts w:ascii="Times New Roman" w:hAnsi="Times New Roman" w:cs="Times New Roman"/>
          <w:sz w:val="24"/>
          <w:szCs w:val="24"/>
          <w:lang w:val="lv-LV"/>
        </w:rPr>
        <w:t xml:space="preserve">un vienlaikus dalībvalstu tiesu tiesības un pienākums vērsties Eiropas Savienības Tiesā ar prejudiciālo jautājumu </w:t>
      </w:r>
      <w:r w:rsidR="00F15C3E" w:rsidRPr="007B4062">
        <w:rPr>
          <w:rFonts w:ascii="Times New Roman" w:hAnsi="Times New Roman" w:cs="Times New Roman"/>
          <w:sz w:val="24"/>
          <w:szCs w:val="24"/>
          <w:lang w:val="lv-LV"/>
        </w:rPr>
        <w:t>noteikt</w:t>
      </w:r>
      <w:r w:rsidR="00EE1EC9" w:rsidRPr="007B4062">
        <w:rPr>
          <w:rFonts w:ascii="Times New Roman" w:hAnsi="Times New Roman" w:cs="Times New Roman"/>
          <w:sz w:val="24"/>
          <w:szCs w:val="24"/>
          <w:lang w:val="lv-LV"/>
        </w:rPr>
        <w:t>s</w:t>
      </w:r>
      <w:r w:rsidR="00F15C3E" w:rsidRPr="007B4062">
        <w:rPr>
          <w:rFonts w:ascii="Times New Roman" w:hAnsi="Times New Roman" w:cs="Times New Roman"/>
          <w:sz w:val="24"/>
          <w:szCs w:val="24"/>
          <w:lang w:val="lv-LV"/>
        </w:rPr>
        <w:t xml:space="preserve"> Līguma par Eiropas Savienīb</w:t>
      </w:r>
      <w:r w:rsidR="00D500BB" w:rsidRPr="007B4062">
        <w:rPr>
          <w:rFonts w:ascii="Times New Roman" w:hAnsi="Times New Roman" w:cs="Times New Roman"/>
          <w:sz w:val="24"/>
          <w:szCs w:val="24"/>
          <w:lang w:val="lv-LV"/>
        </w:rPr>
        <w:t>as</w:t>
      </w:r>
      <w:r w:rsidR="00F15C3E" w:rsidRPr="007B4062">
        <w:rPr>
          <w:rFonts w:ascii="Times New Roman" w:hAnsi="Times New Roman" w:cs="Times New Roman"/>
          <w:sz w:val="24"/>
          <w:szCs w:val="24"/>
          <w:lang w:val="lv-LV"/>
        </w:rPr>
        <w:t xml:space="preserve"> darbību 267.pantā un skaidrot</w:t>
      </w:r>
      <w:r w:rsidR="00EE1EC9" w:rsidRPr="007B4062">
        <w:rPr>
          <w:rFonts w:ascii="Times New Roman" w:hAnsi="Times New Roman" w:cs="Times New Roman"/>
          <w:sz w:val="24"/>
          <w:szCs w:val="24"/>
          <w:lang w:val="lv-LV"/>
        </w:rPr>
        <w:t>s</w:t>
      </w:r>
      <w:r w:rsidR="00F15C3E" w:rsidRPr="007B4062">
        <w:rPr>
          <w:rFonts w:ascii="Times New Roman" w:hAnsi="Times New Roman" w:cs="Times New Roman"/>
          <w:sz w:val="24"/>
          <w:szCs w:val="24"/>
          <w:lang w:val="lv-LV"/>
        </w:rPr>
        <w:t xml:space="preserve"> Eiropas Savienības Tiesas judikatūrā</w:t>
      </w:r>
      <w:r w:rsidR="00EE1EC9" w:rsidRPr="007B4062">
        <w:rPr>
          <w:rFonts w:ascii="Times New Roman" w:hAnsi="Times New Roman" w:cs="Times New Roman"/>
          <w:sz w:val="24"/>
          <w:szCs w:val="24"/>
          <w:lang w:val="lv-LV"/>
        </w:rPr>
        <w:t xml:space="preserve"> (piemēram, </w:t>
      </w:r>
      <w:r w:rsidR="00EE1EC9" w:rsidRPr="007B4062">
        <w:rPr>
          <w:rFonts w:ascii="Times New Roman" w:hAnsi="Times New Roman" w:cs="Times New Roman"/>
          <w:i/>
          <w:iCs/>
          <w:sz w:val="24"/>
          <w:szCs w:val="24"/>
          <w:lang w:val="lv-LV"/>
        </w:rPr>
        <w:t>Eiropas Savienības Tiesas 2021.gada 6.oktobra spriedums lietā „Consorzio Italian Management e Catania Multiservizi un Catania Multiservizi”, C-561/19, ECLI:EU:C:2021:799</w:t>
      </w:r>
      <w:r w:rsidR="0077594E" w:rsidRPr="007B4062">
        <w:rPr>
          <w:rFonts w:ascii="Times New Roman" w:hAnsi="Times New Roman" w:cs="Times New Roman"/>
          <w:i/>
          <w:iCs/>
          <w:sz w:val="24"/>
          <w:szCs w:val="24"/>
          <w:lang w:val="lv-LV"/>
        </w:rPr>
        <w:t xml:space="preserve"> </w:t>
      </w:r>
      <w:r w:rsidR="00EE1EC9" w:rsidRPr="0045627A">
        <w:rPr>
          <w:rFonts w:ascii="Times New Roman" w:hAnsi="Times New Roman" w:cs="Times New Roman"/>
          <w:sz w:val="24"/>
          <w:szCs w:val="24"/>
          <w:lang w:val="lv-LV"/>
        </w:rPr>
        <w:t>(turpmāk – spriedums lietā C-561/19)</w:t>
      </w:r>
      <w:r w:rsidR="00EE1EC9" w:rsidRPr="007B4062">
        <w:rPr>
          <w:rFonts w:ascii="Times New Roman" w:hAnsi="Times New Roman" w:cs="Times New Roman"/>
          <w:sz w:val="24"/>
          <w:szCs w:val="24"/>
          <w:lang w:val="lv-LV"/>
        </w:rPr>
        <w:t>).</w:t>
      </w:r>
      <w:r w:rsidR="00F15C3E" w:rsidRPr="007B4062">
        <w:rPr>
          <w:rFonts w:ascii="Times New Roman" w:hAnsi="Times New Roman" w:cs="Times New Roman"/>
          <w:sz w:val="24"/>
          <w:szCs w:val="24"/>
          <w:lang w:val="lv-LV"/>
        </w:rPr>
        <w:t xml:space="preserve"> </w:t>
      </w:r>
      <w:r w:rsidR="00001AB5" w:rsidRPr="007B4062">
        <w:rPr>
          <w:rFonts w:ascii="Times New Roman" w:hAnsi="Times New Roman" w:cs="Times New Roman"/>
          <w:sz w:val="24"/>
          <w:szCs w:val="24"/>
          <w:lang w:val="lv-LV"/>
        </w:rPr>
        <w:t>No minētajiem avotiem izriet Senāta pienākums vērsties Eiropas Savienības Tiesā ar prejudiciālo jautājumu tad, ja Senātam ir šaubas par tādas Eiropas Savienības tiesību normas interpretāciju, kam ir nozīme lietas izspriešanā.</w:t>
      </w:r>
    </w:p>
    <w:p w14:paraId="1BE006AD" w14:textId="67D625E3" w:rsidR="00992A5F" w:rsidRPr="007B4062" w:rsidRDefault="00001AB5"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Senāts turpmāk izklāstīto iemeslu dēļ nesaskata pamatu vērties Eiropas Savienības </w:t>
      </w:r>
      <w:r w:rsidR="0077594E" w:rsidRPr="007B4062">
        <w:rPr>
          <w:rFonts w:ascii="Times New Roman" w:hAnsi="Times New Roman" w:cs="Times New Roman"/>
          <w:sz w:val="24"/>
          <w:szCs w:val="24"/>
          <w:lang w:val="lv-LV"/>
        </w:rPr>
        <w:t>T</w:t>
      </w:r>
      <w:r w:rsidRPr="007B4062">
        <w:rPr>
          <w:rFonts w:ascii="Times New Roman" w:hAnsi="Times New Roman" w:cs="Times New Roman"/>
          <w:sz w:val="24"/>
          <w:szCs w:val="24"/>
          <w:lang w:val="lv-LV"/>
        </w:rPr>
        <w:t>iesā ar</w:t>
      </w:r>
      <w:r w:rsidR="005F1017" w:rsidRPr="007B4062">
        <w:rPr>
          <w:rFonts w:ascii="Times New Roman" w:hAnsi="Times New Roman" w:cs="Times New Roman"/>
          <w:sz w:val="24"/>
          <w:szCs w:val="24"/>
          <w:lang w:val="lv-LV"/>
        </w:rPr>
        <w:t xml:space="preserve"> </w:t>
      </w:r>
      <w:r w:rsidR="00E57831" w:rsidRPr="007B4062">
        <w:rPr>
          <w:rFonts w:ascii="Times New Roman" w:hAnsi="Times New Roman" w:cs="Times New Roman"/>
          <w:sz w:val="24"/>
          <w:szCs w:val="24"/>
          <w:lang w:val="lv-LV"/>
        </w:rPr>
        <w:t xml:space="preserve">prejudiciālo </w:t>
      </w:r>
      <w:r w:rsidR="005F1017" w:rsidRPr="007B4062">
        <w:rPr>
          <w:rFonts w:ascii="Times New Roman" w:hAnsi="Times New Roman" w:cs="Times New Roman"/>
          <w:sz w:val="24"/>
          <w:szCs w:val="24"/>
          <w:lang w:val="lv-LV"/>
        </w:rPr>
        <w:t>jautājumu.</w:t>
      </w:r>
      <w:r w:rsidR="00992A5F" w:rsidRPr="007B4062">
        <w:rPr>
          <w:rFonts w:ascii="Times New Roman" w:hAnsi="Times New Roman" w:cs="Times New Roman"/>
          <w:sz w:val="24"/>
          <w:szCs w:val="24"/>
          <w:lang w:val="lv-LV"/>
        </w:rPr>
        <w:t xml:space="preserve"> </w:t>
      </w:r>
    </w:p>
    <w:p w14:paraId="7C6CD30A" w14:textId="77777777" w:rsidR="00992A5F" w:rsidRPr="007B4062" w:rsidRDefault="00992A5F" w:rsidP="003F1B18">
      <w:pPr>
        <w:spacing w:after="0"/>
        <w:ind w:firstLine="567"/>
        <w:jc w:val="both"/>
        <w:rPr>
          <w:rFonts w:ascii="Times New Roman" w:hAnsi="Times New Roman" w:cs="Times New Roman"/>
          <w:sz w:val="24"/>
          <w:szCs w:val="24"/>
          <w:lang w:val="lv-LV"/>
        </w:rPr>
      </w:pPr>
    </w:p>
    <w:p w14:paraId="75E92FAC" w14:textId="648CBF3D" w:rsidR="00992A5F" w:rsidRPr="007B4062" w:rsidRDefault="00F15C3E"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w:t>
      </w:r>
      <w:r w:rsidR="00001AB5" w:rsidRPr="007B4062">
        <w:rPr>
          <w:rFonts w:ascii="Times New Roman" w:hAnsi="Times New Roman" w:cs="Times New Roman"/>
          <w:sz w:val="24"/>
          <w:szCs w:val="24"/>
          <w:lang w:val="lv-LV"/>
        </w:rPr>
        <w:t>14</w:t>
      </w:r>
      <w:r w:rsidRPr="007B4062">
        <w:rPr>
          <w:rFonts w:ascii="Times New Roman" w:hAnsi="Times New Roman" w:cs="Times New Roman"/>
          <w:sz w:val="24"/>
          <w:szCs w:val="24"/>
          <w:lang w:val="lv-LV"/>
        </w:rPr>
        <w:t>] </w:t>
      </w:r>
      <w:r w:rsidR="00992A5F" w:rsidRPr="007B4062">
        <w:rPr>
          <w:rFonts w:ascii="Times New Roman" w:hAnsi="Times New Roman" w:cs="Times New Roman"/>
          <w:sz w:val="24"/>
          <w:szCs w:val="24"/>
          <w:lang w:val="lv-LV"/>
        </w:rPr>
        <w:t>Direktīvas 2004/18/EK 55.pantā regulēts nepamatoti lēta piedāvājuma institūts. Šā panta 1.punktā noteikts: ja konkrēta līguma gadījumā piedāvājums šķiet nepamatoti lēts, tad līgumslēdzēja iestāde pirms iespējamas šā piedāvājuma noraidīšanas rakstveidā pieprasa sīkāku informāciju par piedāvājuma elementiem, ko tā uzskata par būtiskiem. Šī informācija var attiekties konkrēti uz šādiem elementiem: a) būvniecības metodes, ražošanas procesa vai sniegto pakalpojumu ekonomika; b) izvēlētie tehniskie risinājumi un/vai ārkārtīgi labvēlīgi nosacījumi, kas pretendentam ir pieejami būvdarbu veikšanai, preču piegādei vai pakalpojumu sniegšanai; c) pretendenta piedāvāto būvdarbu, piegāžu vai pakalpojumu savdabība; d)</w:t>
      </w:r>
      <w:r w:rsidR="00284B60" w:rsidRPr="007B4062">
        <w:rPr>
          <w:rFonts w:ascii="Times New Roman" w:hAnsi="Times New Roman" w:cs="Times New Roman"/>
          <w:sz w:val="24"/>
          <w:szCs w:val="24"/>
          <w:lang w:val="lv-LV"/>
        </w:rPr>
        <w:t> </w:t>
      </w:r>
      <w:r w:rsidR="00992A5F" w:rsidRPr="007B4062">
        <w:rPr>
          <w:rFonts w:ascii="Times New Roman" w:hAnsi="Times New Roman" w:cs="Times New Roman"/>
          <w:sz w:val="24"/>
          <w:szCs w:val="24"/>
          <w:lang w:val="lv-LV"/>
        </w:rPr>
        <w:t xml:space="preserve">atbilstība tiem noteikumiem par darba drošību un darba apstākļiem, kas ir spēkā vietā, kurā jāveic būvdarbi, jāsniedz pakalpojumi vai jānodrošina piegāde; e) pretendenta iespējas saņemt valsts atbalstu. Savukārt minētā panta 2.punkts secīgi paredz, ka </w:t>
      </w:r>
      <w:r w:rsidR="00992A5F" w:rsidRPr="007B4062">
        <w:rPr>
          <w:rFonts w:ascii="Times New Roman" w:eastAsia="Times New Roman" w:hAnsi="Times New Roman" w:cs="Times New Roman"/>
          <w:sz w:val="24"/>
          <w:szCs w:val="24"/>
          <w:lang w:val="lv-LV" w:eastAsia="lv-LV"/>
        </w:rPr>
        <w:t>l</w:t>
      </w:r>
      <w:r w:rsidR="00992A5F" w:rsidRPr="007B4062">
        <w:rPr>
          <w:rFonts w:ascii="Times New Roman" w:hAnsi="Times New Roman" w:cs="Times New Roman"/>
          <w:sz w:val="24"/>
          <w:szCs w:val="24"/>
          <w:lang w:val="lv-LV"/>
        </w:rPr>
        <w:t>īgumslēdzēja iestāde, apspriežoties ar pretendentu, pārbauda šos elementus, ņemot vērā sniegtos pierādījumus.</w:t>
      </w:r>
    </w:p>
    <w:p w14:paraId="17372329" w14:textId="3983101E" w:rsidR="00F90F90" w:rsidRPr="007B4062" w:rsidRDefault="00F90F90"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Senāts </w:t>
      </w:r>
      <w:r>
        <w:rPr>
          <w:rFonts w:ascii="Times New Roman" w:hAnsi="Times New Roman" w:cs="Times New Roman"/>
          <w:sz w:val="24"/>
          <w:szCs w:val="24"/>
          <w:lang w:val="lv-LV"/>
        </w:rPr>
        <w:t xml:space="preserve">secina, ka </w:t>
      </w:r>
      <w:r w:rsidRPr="007B4062">
        <w:rPr>
          <w:rFonts w:ascii="Times New Roman" w:hAnsi="Times New Roman" w:cs="Times New Roman"/>
          <w:sz w:val="24"/>
          <w:szCs w:val="24"/>
          <w:lang w:val="lv-LV"/>
        </w:rPr>
        <w:t>minēt</w:t>
      </w:r>
      <w:r>
        <w:rPr>
          <w:rFonts w:ascii="Times New Roman" w:hAnsi="Times New Roman" w:cs="Times New Roman"/>
          <w:sz w:val="24"/>
          <w:szCs w:val="24"/>
          <w:lang w:val="lv-LV"/>
        </w:rPr>
        <w:t>ās</w:t>
      </w:r>
      <w:r w:rsidRPr="007B4062">
        <w:rPr>
          <w:rFonts w:ascii="Times New Roman" w:hAnsi="Times New Roman" w:cs="Times New Roman"/>
          <w:sz w:val="24"/>
          <w:szCs w:val="24"/>
          <w:lang w:val="lv-LV"/>
        </w:rPr>
        <w:t xml:space="preserve"> direktīvas norm</w:t>
      </w:r>
      <w:r>
        <w:rPr>
          <w:rFonts w:ascii="Times New Roman" w:hAnsi="Times New Roman" w:cs="Times New Roman"/>
          <w:sz w:val="24"/>
          <w:szCs w:val="24"/>
          <w:lang w:val="lv-LV"/>
        </w:rPr>
        <w:t>as teksta izpratnei</w:t>
      </w:r>
      <w:r w:rsidRPr="007B4062">
        <w:rPr>
          <w:rFonts w:ascii="Times New Roman" w:hAnsi="Times New Roman" w:cs="Times New Roman"/>
          <w:sz w:val="24"/>
          <w:szCs w:val="24"/>
          <w:lang w:val="lv-LV"/>
        </w:rPr>
        <w:t xml:space="preserve"> nepieciešams salīdzināt vairākas pieejamās valodu versijas (</w:t>
      </w:r>
      <w:r w:rsidRPr="007B4062">
        <w:rPr>
          <w:rFonts w:ascii="Times New Roman" w:hAnsi="Times New Roman" w:cs="Times New Roman"/>
          <w:i/>
          <w:iCs/>
          <w:sz w:val="24"/>
          <w:szCs w:val="24"/>
          <w:lang w:val="lv-LV"/>
        </w:rPr>
        <w:t>sprieduma lietā C-561/19 42.–44.punkts</w:t>
      </w:r>
      <w:r w:rsidRPr="007B4062">
        <w:rPr>
          <w:rFonts w:ascii="Times New Roman" w:hAnsi="Times New Roman" w:cs="Times New Roman"/>
          <w:sz w:val="24"/>
          <w:szCs w:val="24"/>
          <w:lang w:val="lv-LV"/>
        </w:rPr>
        <w:t>).</w:t>
      </w:r>
    </w:p>
    <w:p w14:paraId="1B50F74F" w14:textId="3B7F9C74" w:rsidR="00F90F90" w:rsidRPr="007B4062" w:rsidRDefault="00511C9E"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Kā jau minēts, direktīvas </w:t>
      </w:r>
      <w:r w:rsidR="009E770F">
        <w:rPr>
          <w:rFonts w:ascii="Times New Roman" w:hAnsi="Times New Roman" w:cs="Times New Roman"/>
          <w:sz w:val="24"/>
          <w:szCs w:val="24"/>
          <w:lang w:val="lv-LV"/>
        </w:rPr>
        <w:t xml:space="preserve">2004/18/EEK </w:t>
      </w:r>
      <w:r w:rsidRPr="007B4062">
        <w:rPr>
          <w:rFonts w:ascii="Times New Roman" w:hAnsi="Times New Roman" w:cs="Times New Roman"/>
          <w:sz w:val="24"/>
          <w:szCs w:val="24"/>
          <w:lang w:val="lv-LV"/>
        </w:rPr>
        <w:t xml:space="preserve">55.panta </w:t>
      </w:r>
      <w:r w:rsidR="00F15C3E" w:rsidRPr="007B4062">
        <w:rPr>
          <w:rFonts w:ascii="Times New Roman" w:hAnsi="Times New Roman" w:cs="Times New Roman"/>
          <w:sz w:val="24"/>
          <w:szCs w:val="24"/>
          <w:lang w:val="lv-LV"/>
        </w:rPr>
        <w:t>1.punkta otrās daļas ievadā latviešu valodā norādīts, ka „šī informācija var attiekties</w:t>
      </w:r>
      <w:r w:rsidR="00F15C3E" w:rsidRPr="007B4062">
        <w:rPr>
          <w:rFonts w:ascii="Times New Roman" w:hAnsi="Times New Roman" w:cs="Times New Roman"/>
          <w:i/>
          <w:iCs/>
          <w:sz w:val="24"/>
          <w:szCs w:val="24"/>
          <w:lang w:val="lv-LV"/>
        </w:rPr>
        <w:t xml:space="preserve"> konkrēti uz šādiem elementiem</w:t>
      </w:r>
      <w:r w:rsidR="00F15C3E" w:rsidRPr="007B4062">
        <w:rPr>
          <w:rFonts w:ascii="Times New Roman" w:hAnsi="Times New Roman" w:cs="Times New Roman"/>
          <w:sz w:val="24"/>
          <w:szCs w:val="24"/>
          <w:lang w:val="lv-LV"/>
        </w:rPr>
        <w:t>”</w:t>
      </w:r>
      <w:r w:rsidRPr="007B4062">
        <w:rPr>
          <w:rFonts w:ascii="Times New Roman" w:hAnsi="Times New Roman" w:cs="Times New Roman"/>
          <w:sz w:val="24"/>
          <w:szCs w:val="24"/>
          <w:lang w:val="lv-LV"/>
        </w:rPr>
        <w:t xml:space="preserve">. Šāds formulējums pirmšķietami var radīt priekšstatu, ka informācija, ar kuru tiek skaidrots iespējami nepamatoti lēts piedāvājums, var attiekties tikai uz konkrētiem </w:t>
      </w:r>
      <w:r w:rsidR="00AA1D91">
        <w:rPr>
          <w:rFonts w:ascii="Times New Roman" w:hAnsi="Times New Roman" w:cs="Times New Roman"/>
          <w:sz w:val="24"/>
          <w:szCs w:val="24"/>
          <w:lang w:val="lv-LV"/>
        </w:rPr>
        <w:t xml:space="preserve">šajā normā </w:t>
      </w:r>
      <w:r w:rsidRPr="007B4062">
        <w:rPr>
          <w:rFonts w:ascii="Times New Roman" w:hAnsi="Times New Roman" w:cs="Times New Roman"/>
          <w:sz w:val="24"/>
          <w:szCs w:val="24"/>
          <w:lang w:val="lv-LV"/>
        </w:rPr>
        <w:t>uzskaitīt</w:t>
      </w:r>
      <w:r w:rsidR="003D4961">
        <w:rPr>
          <w:rFonts w:ascii="Times New Roman" w:hAnsi="Times New Roman" w:cs="Times New Roman"/>
          <w:sz w:val="24"/>
          <w:szCs w:val="24"/>
          <w:lang w:val="lv-LV"/>
        </w:rPr>
        <w:t>aj</w:t>
      </w:r>
      <w:r w:rsidRPr="007B4062">
        <w:rPr>
          <w:rFonts w:ascii="Times New Roman" w:hAnsi="Times New Roman" w:cs="Times New Roman"/>
          <w:sz w:val="24"/>
          <w:szCs w:val="24"/>
          <w:lang w:val="lv-LV"/>
        </w:rPr>
        <w:t>iem elementiem (apstākļiem), kas savukārt neietver informāciju par pretendenta finansiālajiem resursiem un</w:t>
      </w:r>
      <w:r w:rsidR="00AA1D91">
        <w:rPr>
          <w:rFonts w:ascii="Times New Roman" w:hAnsi="Times New Roman" w:cs="Times New Roman"/>
          <w:sz w:val="24"/>
          <w:szCs w:val="24"/>
          <w:lang w:val="lv-LV"/>
        </w:rPr>
        <w:t xml:space="preserve">, balstoties uz tiem, </w:t>
      </w:r>
      <w:r w:rsidRPr="007B4062">
        <w:rPr>
          <w:rFonts w:ascii="Times New Roman" w:hAnsi="Times New Roman" w:cs="Times New Roman"/>
          <w:sz w:val="24"/>
          <w:szCs w:val="24"/>
          <w:lang w:val="lv-LV"/>
        </w:rPr>
        <w:t>spēju piedāvāt noteikta apmēra atlaidi. Tomēr</w:t>
      </w:r>
      <w:r w:rsidR="00C96CB3" w:rsidRPr="007B4062">
        <w:rPr>
          <w:rFonts w:ascii="Times New Roman" w:hAnsi="Times New Roman" w:cs="Times New Roman"/>
          <w:sz w:val="24"/>
          <w:szCs w:val="24"/>
          <w:lang w:val="lv-LV"/>
        </w:rPr>
        <w:t>,</w:t>
      </w:r>
      <w:r w:rsidRPr="007B4062">
        <w:rPr>
          <w:rFonts w:ascii="Times New Roman" w:hAnsi="Times New Roman" w:cs="Times New Roman"/>
          <w:sz w:val="24"/>
          <w:szCs w:val="24"/>
          <w:lang w:val="lv-LV"/>
        </w:rPr>
        <w:t xml:space="preserve"> iepazīstoties ar minētās direktīvas tekstu </w:t>
      </w:r>
      <w:r w:rsidR="00F15C3E" w:rsidRPr="007B4062">
        <w:rPr>
          <w:rFonts w:ascii="Times New Roman" w:hAnsi="Times New Roman" w:cs="Times New Roman"/>
          <w:sz w:val="24"/>
          <w:szCs w:val="24"/>
          <w:lang w:val="lv-LV"/>
        </w:rPr>
        <w:t>angļu, franču un vācu valod</w:t>
      </w:r>
      <w:r w:rsidRPr="007B4062">
        <w:rPr>
          <w:rFonts w:ascii="Times New Roman" w:hAnsi="Times New Roman" w:cs="Times New Roman"/>
          <w:sz w:val="24"/>
          <w:szCs w:val="24"/>
          <w:lang w:val="lv-LV"/>
        </w:rPr>
        <w:t xml:space="preserve">ā, konstatējams, ka šo valodu </w:t>
      </w:r>
      <w:r w:rsidR="00F15C3E" w:rsidRPr="007B4062">
        <w:rPr>
          <w:rFonts w:ascii="Times New Roman" w:hAnsi="Times New Roman" w:cs="Times New Roman"/>
          <w:sz w:val="24"/>
          <w:szCs w:val="24"/>
          <w:lang w:val="lv-LV"/>
        </w:rPr>
        <w:t xml:space="preserve">versijās </w:t>
      </w:r>
      <w:r w:rsidRPr="007B4062">
        <w:rPr>
          <w:rFonts w:ascii="Times New Roman" w:hAnsi="Times New Roman" w:cs="Times New Roman"/>
          <w:sz w:val="24"/>
          <w:szCs w:val="24"/>
          <w:lang w:val="lv-LV"/>
        </w:rPr>
        <w:t xml:space="preserve">attiecīgās </w:t>
      </w:r>
      <w:r w:rsidR="00F15C3E" w:rsidRPr="007B4062">
        <w:rPr>
          <w:rFonts w:ascii="Times New Roman" w:hAnsi="Times New Roman" w:cs="Times New Roman"/>
          <w:sz w:val="24"/>
          <w:szCs w:val="24"/>
          <w:lang w:val="lv-LV"/>
        </w:rPr>
        <w:t xml:space="preserve">teikuma daļas tulkojums latviešu valodā </w:t>
      </w:r>
      <w:r w:rsidR="00AA1D91">
        <w:rPr>
          <w:rFonts w:ascii="Times New Roman" w:hAnsi="Times New Roman" w:cs="Times New Roman"/>
          <w:sz w:val="24"/>
          <w:szCs w:val="24"/>
          <w:lang w:val="lv-LV"/>
        </w:rPr>
        <w:t>ir</w:t>
      </w:r>
      <w:r w:rsidR="00AA1D91" w:rsidRPr="007B4062">
        <w:rPr>
          <w:rFonts w:ascii="Times New Roman" w:hAnsi="Times New Roman" w:cs="Times New Roman"/>
          <w:sz w:val="24"/>
          <w:szCs w:val="24"/>
          <w:lang w:val="lv-LV"/>
        </w:rPr>
        <w:t xml:space="preserve"> </w:t>
      </w:r>
      <w:r w:rsidR="00F15C3E" w:rsidRPr="007B4062">
        <w:rPr>
          <w:rFonts w:ascii="Times New Roman" w:hAnsi="Times New Roman" w:cs="Times New Roman"/>
          <w:sz w:val="24"/>
          <w:szCs w:val="24"/>
          <w:lang w:val="lv-LV"/>
        </w:rPr>
        <w:t xml:space="preserve">„šī informācija </w:t>
      </w:r>
      <w:r w:rsidR="00F15C3E" w:rsidRPr="007B4062">
        <w:rPr>
          <w:rFonts w:ascii="Times New Roman" w:hAnsi="Times New Roman" w:cs="Times New Roman"/>
          <w:i/>
          <w:iCs/>
          <w:sz w:val="24"/>
          <w:szCs w:val="24"/>
          <w:lang w:val="lv-LV"/>
        </w:rPr>
        <w:t>var īpaši attiekties</w:t>
      </w:r>
      <w:r w:rsidR="00F15C3E" w:rsidRPr="007B4062">
        <w:rPr>
          <w:rFonts w:ascii="Times New Roman" w:hAnsi="Times New Roman" w:cs="Times New Roman"/>
          <w:sz w:val="24"/>
          <w:szCs w:val="24"/>
          <w:lang w:val="lv-LV"/>
        </w:rPr>
        <w:t xml:space="preserve"> uz”. </w:t>
      </w:r>
      <w:r w:rsidR="001B3043" w:rsidRPr="007B4062">
        <w:rPr>
          <w:rFonts w:ascii="Times New Roman" w:hAnsi="Times New Roman" w:cs="Times New Roman"/>
          <w:sz w:val="24"/>
          <w:szCs w:val="24"/>
          <w:lang w:val="lv-LV"/>
        </w:rPr>
        <w:t xml:space="preserve">Šāds formulējums liek secināt, ka </w:t>
      </w:r>
      <w:r w:rsidR="00AA1D91">
        <w:rPr>
          <w:rFonts w:ascii="Times New Roman" w:hAnsi="Times New Roman" w:cs="Times New Roman"/>
          <w:sz w:val="24"/>
          <w:szCs w:val="24"/>
          <w:lang w:val="lv-LV"/>
        </w:rPr>
        <w:t>normā ir</w:t>
      </w:r>
      <w:r w:rsidR="001B3043" w:rsidRPr="007B4062">
        <w:rPr>
          <w:rFonts w:ascii="Times New Roman" w:hAnsi="Times New Roman" w:cs="Times New Roman"/>
          <w:sz w:val="24"/>
          <w:szCs w:val="24"/>
          <w:lang w:val="lv-LV"/>
        </w:rPr>
        <w:t xml:space="preserve"> uzskaitīti tie apstākļi, ar kuriem jo īpaši var izskaidrot piedāvājuma lētumu</w:t>
      </w:r>
      <w:r w:rsidR="009E770F">
        <w:rPr>
          <w:rFonts w:ascii="Times New Roman" w:hAnsi="Times New Roman" w:cs="Times New Roman"/>
          <w:sz w:val="24"/>
          <w:szCs w:val="24"/>
          <w:lang w:val="lv-LV"/>
        </w:rPr>
        <w:t>.</w:t>
      </w:r>
      <w:r w:rsidR="001B3043" w:rsidRPr="007B4062">
        <w:rPr>
          <w:rFonts w:ascii="Times New Roman" w:hAnsi="Times New Roman" w:cs="Times New Roman"/>
          <w:sz w:val="24"/>
          <w:szCs w:val="24"/>
          <w:lang w:val="lv-LV"/>
        </w:rPr>
        <w:t xml:space="preserve"> </w:t>
      </w:r>
      <w:r w:rsidR="009E770F">
        <w:rPr>
          <w:rFonts w:ascii="Times New Roman" w:hAnsi="Times New Roman" w:cs="Times New Roman"/>
          <w:sz w:val="24"/>
          <w:szCs w:val="24"/>
          <w:lang w:val="lv-LV"/>
        </w:rPr>
        <w:t>T</w:t>
      </w:r>
      <w:r w:rsidR="001B3043" w:rsidRPr="007B4062">
        <w:rPr>
          <w:rFonts w:ascii="Times New Roman" w:hAnsi="Times New Roman" w:cs="Times New Roman"/>
          <w:sz w:val="24"/>
          <w:szCs w:val="24"/>
          <w:lang w:val="lv-LV"/>
        </w:rPr>
        <w:t xml:space="preserve">omēr šis uzskaitījums nav izsmeļošs un tātad nevar izslēgt piedāvājuma skaidrošanu ar citiem – minētajā normā neuzskaitītiem – </w:t>
      </w:r>
      <w:r w:rsidR="00753D15">
        <w:rPr>
          <w:rFonts w:ascii="Times New Roman" w:hAnsi="Times New Roman" w:cs="Times New Roman"/>
          <w:sz w:val="24"/>
          <w:szCs w:val="24"/>
          <w:lang w:val="lv-LV"/>
        </w:rPr>
        <w:t>elementiem (</w:t>
      </w:r>
      <w:r w:rsidR="001B3043" w:rsidRPr="007B4062">
        <w:rPr>
          <w:rFonts w:ascii="Times New Roman" w:hAnsi="Times New Roman" w:cs="Times New Roman"/>
          <w:sz w:val="24"/>
          <w:szCs w:val="24"/>
          <w:lang w:val="lv-LV"/>
        </w:rPr>
        <w:t>apstākļiem</w:t>
      </w:r>
      <w:r w:rsidR="00753D15">
        <w:rPr>
          <w:rFonts w:ascii="Times New Roman" w:hAnsi="Times New Roman" w:cs="Times New Roman"/>
          <w:sz w:val="24"/>
          <w:szCs w:val="24"/>
          <w:lang w:val="lv-LV"/>
        </w:rPr>
        <w:t>)</w:t>
      </w:r>
      <w:r w:rsidR="001B3043" w:rsidRPr="007B4062">
        <w:rPr>
          <w:rFonts w:ascii="Times New Roman" w:hAnsi="Times New Roman" w:cs="Times New Roman"/>
          <w:sz w:val="24"/>
          <w:szCs w:val="24"/>
          <w:lang w:val="lv-LV"/>
        </w:rPr>
        <w:t>.</w:t>
      </w:r>
      <w:r w:rsidR="00F15C3E" w:rsidRPr="007B4062">
        <w:rPr>
          <w:rFonts w:ascii="Times New Roman" w:hAnsi="Times New Roman" w:cs="Times New Roman"/>
          <w:sz w:val="24"/>
          <w:szCs w:val="24"/>
          <w:lang w:val="lv-LV"/>
        </w:rPr>
        <w:t xml:space="preserve"> Šād</w:t>
      </w:r>
      <w:r w:rsidR="00836080" w:rsidRPr="007B4062">
        <w:rPr>
          <w:rFonts w:ascii="Times New Roman" w:hAnsi="Times New Roman" w:cs="Times New Roman"/>
          <w:sz w:val="24"/>
          <w:szCs w:val="24"/>
          <w:lang w:val="lv-LV"/>
        </w:rPr>
        <w:t>a</w:t>
      </w:r>
      <w:r w:rsidR="00F15C3E" w:rsidRPr="007B4062">
        <w:rPr>
          <w:rFonts w:ascii="Times New Roman" w:hAnsi="Times New Roman" w:cs="Times New Roman"/>
          <w:sz w:val="24"/>
          <w:szCs w:val="24"/>
          <w:lang w:val="lv-LV"/>
        </w:rPr>
        <w:t xml:space="preserve"> interpretācij</w:t>
      </w:r>
      <w:r w:rsidR="00444BDB" w:rsidRPr="007B4062">
        <w:rPr>
          <w:rFonts w:ascii="Times New Roman" w:hAnsi="Times New Roman" w:cs="Times New Roman"/>
          <w:sz w:val="24"/>
          <w:szCs w:val="24"/>
          <w:lang w:val="lv-LV"/>
        </w:rPr>
        <w:t xml:space="preserve">a saskan arī ar </w:t>
      </w:r>
      <w:r w:rsidR="00F15C3E" w:rsidRPr="007B4062">
        <w:rPr>
          <w:rFonts w:ascii="Times New Roman" w:hAnsi="Times New Roman" w:cs="Times New Roman"/>
          <w:sz w:val="24"/>
          <w:szCs w:val="24"/>
          <w:lang w:val="lv-LV"/>
        </w:rPr>
        <w:t>Eiropas Savienības Tiesas judikatūr</w:t>
      </w:r>
      <w:r w:rsidR="00444BDB" w:rsidRPr="007B4062">
        <w:rPr>
          <w:rFonts w:ascii="Times New Roman" w:hAnsi="Times New Roman" w:cs="Times New Roman"/>
          <w:sz w:val="24"/>
          <w:szCs w:val="24"/>
          <w:lang w:val="lv-LV"/>
        </w:rPr>
        <w:t xml:space="preserve">ā norādīto </w:t>
      </w:r>
      <w:r w:rsidR="00F15C3E" w:rsidRPr="007B4062">
        <w:rPr>
          <w:rFonts w:ascii="Times New Roman" w:hAnsi="Times New Roman" w:cs="Times New Roman"/>
          <w:sz w:val="24"/>
          <w:szCs w:val="24"/>
          <w:lang w:val="lv-LV"/>
        </w:rPr>
        <w:t>(</w:t>
      </w:r>
      <w:r w:rsidR="00F15C3E" w:rsidRPr="007B4062">
        <w:rPr>
          <w:rFonts w:ascii="Times New Roman" w:hAnsi="Times New Roman" w:cs="Times New Roman"/>
          <w:i/>
          <w:iCs/>
          <w:sz w:val="24"/>
          <w:szCs w:val="24"/>
          <w:lang w:val="lv-LV"/>
        </w:rPr>
        <w:t xml:space="preserve">Eiropas Savienības Tiesas 2009.gada 23.aprīļa sprieduma lietā </w:t>
      </w:r>
      <w:r w:rsidR="00A1741D" w:rsidRPr="007B4062">
        <w:rPr>
          <w:rFonts w:ascii="Times New Roman" w:hAnsi="Times New Roman" w:cs="Times New Roman"/>
          <w:i/>
          <w:iCs/>
          <w:sz w:val="24"/>
          <w:szCs w:val="24"/>
          <w:lang w:val="lv-LV"/>
        </w:rPr>
        <w:t>„</w:t>
      </w:r>
      <w:r w:rsidR="000255A7" w:rsidRPr="007B4062">
        <w:rPr>
          <w:rFonts w:ascii="Times New Roman" w:hAnsi="Times New Roman" w:cs="Times New Roman"/>
          <w:i/>
          <w:iCs/>
          <w:sz w:val="24"/>
          <w:szCs w:val="24"/>
          <w:lang w:val="lv-LV"/>
        </w:rPr>
        <w:t xml:space="preserve">Komisija/Beļģija”, </w:t>
      </w:r>
      <w:r w:rsidR="00F15C3E" w:rsidRPr="007B4062">
        <w:rPr>
          <w:rFonts w:ascii="Times New Roman" w:hAnsi="Times New Roman" w:cs="Times New Roman"/>
          <w:i/>
          <w:iCs/>
          <w:sz w:val="24"/>
          <w:szCs w:val="24"/>
          <w:lang w:val="lv-LV"/>
        </w:rPr>
        <w:t>C</w:t>
      </w:r>
      <w:r w:rsidR="00F15C3E" w:rsidRPr="007B4062">
        <w:rPr>
          <w:rFonts w:ascii="Times New Roman" w:hAnsi="Times New Roman" w:cs="Times New Roman"/>
          <w:i/>
          <w:iCs/>
          <w:sz w:val="24"/>
          <w:szCs w:val="24"/>
          <w:lang w:val="lv-LV"/>
        </w:rPr>
        <w:noBreakHyphen/>
        <w:t>292/07</w:t>
      </w:r>
      <w:r w:rsidR="000255A7" w:rsidRPr="007B4062">
        <w:rPr>
          <w:rFonts w:ascii="Times New Roman" w:hAnsi="Times New Roman" w:cs="Times New Roman"/>
          <w:i/>
          <w:iCs/>
          <w:sz w:val="24"/>
          <w:szCs w:val="24"/>
          <w:lang w:val="lv-LV"/>
        </w:rPr>
        <w:t xml:space="preserve">, </w:t>
      </w:r>
      <w:hyperlink r:id="rId12" w:history="1">
        <w:r w:rsidR="00F15C3E" w:rsidRPr="007B4062">
          <w:rPr>
            <w:rStyle w:val="Hyperlink"/>
            <w:rFonts w:ascii="Times New Roman" w:hAnsi="Times New Roman" w:cs="Times New Roman"/>
            <w:i/>
            <w:iCs/>
            <w:color w:val="auto"/>
            <w:sz w:val="24"/>
            <w:szCs w:val="24"/>
            <w:u w:val="none"/>
            <w:lang w:val="lv-LV"/>
          </w:rPr>
          <w:t>ECLI:EU:C:2009:246</w:t>
        </w:r>
      </w:hyperlink>
      <w:r w:rsidR="00444BDB" w:rsidRPr="007B4062">
        <w:rPr>
          <w:rStyle w:val="Hyperlink"/>
          <w:rFonts w:ascii="Times New Roman" w:hAnsi="Times New Roman" w:cs="Times New Roman"/>
          <w:i/>
          <w:iCs/>
          <w:color w:val="auto"/>
          <w:sz w:val="24"/>
          <w:szCs w:val="24"/>
          <w:u w:val="none"/>
          <w:lang w:val="lv-LV"/>
        </w:rPr>
        <w:t>,</w:t>
      </w:r>
      <w:r w:rsidR="00F15C3E" w:rsidRPr="007B4062">
        <w:rPr>
          <w:rFonts w:ascii="Times New Roman" w:hAnsi="Times New Roman" w:cs="Times New Roman"/>
          <w:i/>
          <w:iCs/>
          <w:sz w:val="24"/>
          <w:szCs w:val="24"/>
          <w:lang w:val="lv-LV"/>
        </w:rPr>
        <w:t xml:space="preserve"> 159.</w:t>
      </w:r>
      <w:bookmarkStart w:id="3" w:name="ctx57"/>
      <w:r w:rsidR="00F15C3E" w:rsidRPr="007B4062">
        <w:rPr>
          <w:rFonts w:ascii="Times New Roman" w:hAnsi="Times New Roman" w:cs="Times New Roman"/>
          <w:i/>
          <w:iCs/>
          <w:sz w:val="24"/>
          <w:szCs w:val="24"/>
          <w:lang w:val="lv-LV"/>
        </w:rPr>
        <w:t>punkt</w:t>
      </w:r>
      <w:bookmarkEnd w:id="3"/>
      <w:r w:rsidR="00444BDB" w:rsidRPr="007B4062">
        <w:rPr>
          <w:rFonts w:ascii="Times New Roman" w:hAnsi="Times New Roman" w:cs="Times New Roman"/>
          <w:i/>
          <w:iCs/>
          <w:sz w:val="24"/>
          <w:szCs w:val="24"/>
          <w:lang w:val="lv-LV"/>
        </w:rPr>
        <w:t>s</w:t>
      </w:r>
      <w:r w:rsidR="0044326D" w:rsidRPr="007B4062">
        <w:rPr>
          <w:rFonts w:ascii="Times New Roman" w:hAnsi="Times New Roman" w:cs="Times New Roman"/>
          <w:i/>
          <w:iCs/>
          <w:sz w:val="24"/>
          <w:szCs w:val="24"/>
          <w:lang w:val="lv-LV"/>
        </w:rPr>
        <w:t xml:space="preserve">, 2012.gada 29.marta sprieduma lietā „SAG ELV Slovensko u.c.”, C-599/10, </w:t>
      </w:r>
      <w:hyperlink r:id="rId13" w:anchor="ctx1" w:history="1">
        <w:r w:rsidR="0044326D" w:rsidRPr="007B4062">
          <w:rPr>
            <w:rStyle w:val="Hyperlink"/>
            <w:rFonts w:ascii="Times New Roman" w:hAnsi="Times New Roman" w:cs="Times New Roman"/>
            <w:i/>
            <w:iCs/>
            <w:color w:val="auto"/>
            <w:sz w:val="24"/>
            <w:szCs w:val="24"/>
            <w:u w:val="none"/>
            <w:lang w:val="lv-LV"/>
          </w:rPr>
          <w:t>ECLI:EU:C:2012:191</w:t>
        </w:r>
      </w:hyperlink>
      <w:r w:rsidR="0044326D" w:rsidRPr="007B4062">
        <w:rPr>
          <w:rStyle w:val="Hyperlink"/>
          <w:rFonts w:ascii="Times New Roman" w:hAnsi="Times New Roman" w:cs="Times New Roman"/>
          <w:i/>
          <w:iCs/>
          <w:color w:val="auto"/>
          <w:sz w:val="24"/>
          <w:szCs w:val="24"/>
          <w:u w:val="none"/>
          <w:lang w:val="lv-LV"/>
        </w:rPr>
        <w:t>,</w:t>
      </w:r>
      <w:r w:rsidR="0044326D" w:rsidRPr="007B4062">
        <w:rPr>
          <w:rFonts w:ascii="Times New Roman" w:hAnsi="Times New Roman" w:cs="Times New Roman"/>
          <w:i/>
          <w:iCs/>
          <w:sz w:val="24"/>
          <w:szCs w:val="24"/>
          <w:lang w:val="lv-LV"/>
        </w:rPr>
        <w:t xml:space="preserve"> 30.punkts</w:t>
      </w:r>
      <w:r w:rsidR="00F15C3E" w:rsidRPr="007B4062">
        <w:rPr>
          <w:rFonts w:ascii="Times New Roman" w:hAnsi="Times New Roman" w:cs="Times New Roman"/>
          <w:sz w:val="24"/>
          <w:szCs w:val="24"/>
          <w:lang w:val="lv-LV"/>
        </w:rPr>
        <w:t xml:space="preserve">). </w:t>
      </w:r>
      <w:r w:rsidR="00444BDB" w:rsidRPr="007B4062">
        <w:rPr>
          <w:rFonts w:ascii="Times New Roman" w:hAnsi="Times New Roman" w:cs="Times New Roman"/>
          <w:sz w:val="24"/>
          <w:szCs w:val="24"/>
          <w:lang w:val="lv-LV"/>
        </w:rPr>
        <w:t xml:space="preserve">Ievērojot minēto, Senāts </w:t>
      </w:r>
      <w:r w:rsidR="004E603A" w:rsidRPr="007B4062">
        <w:rPr>
          <w:rFonts w:ascii="Times New Roman" w:hAnsi="Times New Roman" w:cs="Times New Roman"/>
          <w:sz w:val="24"/>
          <w:szCs w:val="24"/>
          <w:lang w:val="lv-LV"/>
        </w:rPr>
        <w:t>secina</w:t>
      </w:r>
      <w:r w:rsidR="00444BDB" w:rsidRPr="007B4062">
        <w:rPr>
          <w:rFonts w:ascii="Times New Roman" w:hAnsi="Times New Roman" w:cs="Times New Roman"/>
          <w:sz w:val="24"/>
          <w:szCs w:val="24"/>
          <w:lang w:val="lv-LV"/>
        </w:rPr>
        <w:t xml:space="preserve">, ka direktīva </w:t>
      </w:r>
      <w:r w:rsidR="000827C8" w:rsidRPr="007B4062">
        <w:rPr>
          <w:rFonts w:ascii="Times New Roman" w:hAnsi="Times New Roman" w:cs="Times New Roman"/>
          <w:sz w:val="24"/>
          <w:szCs w:val="24"/>
          <w:lang w:val="lv-LV"/>
        </w:rPr>
        <w:t>ne</w:t>
      </w:r>
      <w:r w:rsidR="00F90F90">
        <w:rPr>
          <w:rFonts w:ascii="Times New Roman" w:hAnsi="Times New Roman" w:cs="Times New Roman"/>
          <w:sz w:val="24"/>
          <w:szCs w:val="24"/>
          <w:lang w:val="lv-LV"/>
        </w:rPr>
        <w:t>ierobežo</w:t>
      </w:r>
      <w:r w:rsidR="00444BDB" w:rsidRPr="007B4062">
        <w:rPr>
          <w:rFonts w:ascii="Times New Roman" w:hAnsi="Times New Roman" w:cs="Times New Roman"/>
          <w:sz w:val="24"/>
          <w:szCs w:val="24"/>
          <w:lang w:val="lv-LV"/>
        </w:rPr>
        <w:t xml:space="preserve"> iespējami nepamatoti lētu piedāvājumu skaidrot ar citiem – direktīvā konkrēti neuzskaitītiem – </w:t>
      </w:r>
      <w:r w:rsidR="009B3334">
        <w:rPr>
          <w:rFonts w:ascii="Times New Roman" w:hAnsi="Times New Roman" w:cs="Times New Roman"/>
          <w:sz w:val="24"/>
          <w:szCs w:val="24"/>
          <w:lang w:val="lv-LV"/>
        </w:rPr>
        <w:t>elementiem (</w:t>
      </w:r>
      <w:r w:rsidR="00444BDB" w:rsidRPr="007B4062">
        <w:rPr>
          <w:rFonts w:ascii="Times New Roman" w:hAnsi="Times New Roman" w:cs="Times New Roman"/>
          <w:sz w:val="24"/>
          <w:szCs w:val="24"/>
          <w:lang w:val="lv-LV"/>
        </w:rPr>
        <w:t>apstākļiem</w:t>
      </w:r>
      <w:r w:rsidR="009B3334">
        <w:rPr>
          <w:rFonts w:ascii="Times New Roman" w:hAnsi="Times New Roman" w:cs="Times New Roman"/>
          <w:sz w:val="24"/>
          <w:szCs w:val="24"/>
          <w:lang w:val="lv-LV"/>
        </w:rPr>
        <w:t>)</w:t>
      </w:r>
      <w:r w:rsidR="00444BDB" w:rsidRPr="007B4062">
        <w:rPr>
          <w:rFonts w:ascii="Times New Roman" w:hAnsi="Times New Roman" w:cs="Times New Roman"/>
          <w:sz w:val="24"/>
          <w:szCs w:val="24"/>
          <w:lang w:val="lv-LV"/>
        </w:rPr>
        <w:t>, ciktāl skaidrojums ir saderīgs ar nepamatoti lēta piedāvājuma institūta mērķi un nepārkāpj vienlīdzīgas attieksmes principu.</w:t>
      </w:r>
      <w:r w:rsidR="00F90F90">
        <w:rPr>
          <w:rFonts w:ascii="Times New Roman" w:hAnsi="Times New Roman" w:cs="Times New Roman"/>
          <w:sz w:val="24"/>
          <w:szCs w:val="24"/>
          <w:lang w:val="lv-LV"/>
        </w:rPr>
        <w:t xml:space="preserve"> </w:t>
      </w:r>
    </w:p>
    <w:p w14:paraId="47EA6F78" w14:textId="10752C41" w:rsidR="00444BDB" w:rsidRPr="007B4062" w:rsidRDefault="00F90F90"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Senāts nepiekrīt kasatorei, ka nepamatoti lēta piedāvājuma izvērtēšan</w:t>
      </w:r>
      <w:r>
        <w:rPr>
          <w:rFonts w:ascii="Times New Roman" w:hAnsi="Times New Roman" w:cs="Times New Roman"/>
          <w:sz w:val="24"/>
          <w:szCs w:val="24"/>
          <w:lang w:val="lv-LV"/>
        </w:rPr>
        <w:t>as elementu neierobežošana ar</w:t>
      </w:r>
      <w:r w:rsidRPr="007B4062">
        <w:rPr>
          <w:rFonts w:ascii="Times New Roman" w:hAnsi="Times New Roman" w:cs="Times New Roman"/>
          <w:sz w:val="24"/>
          <w:szCs w:val="24"/>
          <w:lang w:val="lv-LV"/>
        </w:rPr>
        <w:t xml:space="preserve"> direktīvas 2004/18/EK 55.panta 1.punkta otrajā daļā uzskaitītajiem elementiem atņem šīm normām un 55.panta 2.punktam jebkādu lietderīgo iedarbību</w:t>
      </w:r>
      <w:r>
        <w:rPr>
          <w:rFonts w:ascii="Times New Roman" w:hAnsi="Times New Roman" w:cs="Times New Roman"/>
          <w:sz w:val="24"/>
          <w:szCs w:val="24"/>
          <w:lang w:val="lv-LV"/>
        </w:rPr>
        <w:t xml:space="preserve">. </w:t>
      </w:r>
      <w:r w:rsidR="00B26AA8" w:rsidRPr="007B4062">
        <w:rPr>
          <w:rFonts w:ascii="Times New Roman" w:hAnsi="Times New Roman" w:cs="Times New Roman"/>
          <w:sz w:val="24"/>
          <w:szCs w:val="24"/>
          <w:lang w:val="lv-LV"/>
        </w:rPr>
        <w:t xml:space="preserve">Kā jau minēts, </w:t>
      </w:r>
      <w:r w:rsidR="00C04DB6">
        <w:rPr>
          <w:rFonts w:ascii="Times New Roman" w:hAnsi="Times New Roman" w:cs="Times New Roman"/>
          <w:sz w:val="24"/>
          <w:szCs w:val="24"/>
          <w:lang w:val="lv-LV"/>
        </w:rPr>
        <w:t>š</w:t>
      </w:r>
      <w:r w:rsidR="00DD3AD4">
        <w:rPr>
          <w:rFonts w:ascii="Times New Roman" w:hAnsi="Times New Roman" w:cs="Times New Roman"/>
          <w:sz w:val="24"/>
          <w:szCs w:val="24"/>
          <w:lang w:val="lv-LV"/>
        </w:rPr>
        <w:t>ā</w:t>
      </w:r>
      <w:r w:rsidR="00C04DB6">
        <w:rPr>
          <w:rFonts w:ascii="Times New Roman" w:hAnsi="Times New Roman" w:cs="Times New Roman"/>
          <w:sz w:val="24"/>
          <w:szCs w:val="24"/>
          <w:lang w:val="lv-LV"/>
        </w:rPr>
        <w:t xml:space="preserve"> </w:t>
      </w:r>
      <w:r w:rsidR="00B26AA8" w:rsidRPr="007B4062">
        <w:rPr>
          <w:rFonts w:ascii="Times New Roman" w:hAnsi="Times New Roman" w:cs="Times New Roman"/>
          <w:sz w:val="24"/>
          <w:szCs w:val="24"/>
          <w:lang w:val="lv-LV"/>
        </w:rPr>
        <w:t>panta 1.punkts noteic, ka līgumslēdzēj</w:t>
      </w:r>
      <w:r w:rsidR="00586FCA" w:rsidRPr="007B4062">
        <w:rPr>
          <w:rFonts w:ascii="Times New Roman" w:hAnsi="Times New Roman" w:cs="Times New Roman"/>
          <w:sz w:val="24"/>
          <w:szCs w:val="24"/>
          <w:lang w:val="lv-LV"/>
        </w:rPr>
        <w:t xml:space="preserve">a </w:t>
      </w:r>
      <w:r w:rsidR="00B26AA8" w:rsidRPr="007B4062">
        <w:rPr>
          <w:rFonts w:ascii="Times New Roman" w:hAnsi="Times New Roman" w:cs="Times New Roman"/>
          <w:sz w:val="24"/>
          <w:szCs w:val="24"/>
          <w:lang w:val="lv-LV"/>
        </w:rPr>
        <w:t xml:space="preserve">iestāde iespējami nepamatoti lēta piedāvājuma gadījumā pieprasa sīkāku informāciju par piedāvājuma elementiem, ko tā uzskata par būtiskiem, un pieprasītā informācija jo īpaši var attiekties uz 1.punkta otrajā daļā uzskaitītajiem elementiem, savukārt minētā panta 2.punkts secīgi paredz, ka </w:t>
      </w:r>
      <w:r w:rsidR="00B26AA8" w:rsidRPr="007B4062">
        <w:rPr>
          <w:rFonts w:ascii="Times New Roman" w:eastAsia="Times New Roman" w:hAnsi="Times New Roman" w:cs="Times New Roman"/>
          <w:sz w:val="24"/>
          <w:szCs w:val="24"/>
          <w:lang w:val="lv-LV" w:eastAsia="lv-LV"/>
        </w:rPr>
        <w:t>l</w:t>
      </w:r>
      <w:r w:rsidR="00B26AA8" w:rsidRPr="007B4062">
        <w:rPr>
          <w:rFonts w:ascii="Times New Roman" w:hAnsi="Times New Roman" w:cs="Times New Roman"/>
          <w:sz w:val="24"/>
          <w:szCs w:val="24"/>
          <w:lang w:val="lv-LV"/>
        </w:rPr>
        <w:t xml:space="preserve">īgumslēdzēja iestāde, apspriežoties ar pretendentu, pārbauda šos elementus, ņemot vērā sniegtos pierādījumus. Minēto normu jēga ir skaidra, proti, lai netiktu noraidīts </w:t>
      </w:r>
      <w:r w:rsidR="00A76FDC" w:rsidRPr="007B4062">
        <w:rPr>
          <w:rFonts w:ascii="Times New Roman" w:hAnsi="Times New Roman" w:cs="Times New Roman"/>
          <w:sz w:val="24"/>
          <w:szCs w:val="24"/>
          <w:lang w:val="lv-LV"/>
        </w:rPr>
        <w:t>pirmšķietami lēts, bet patiesībā drošs piedāvājums, līgumslēdzēj</w:t>
      </w:r>
      <w:r w:rsidR="00586FCA" w:rsidRPr="007B4062">
        <w:rPr>
          <w:rFonts w:ascii="Times New Roman" w:hAnsi="Times New Roman" w:cs="Times New Roman"/>
          <w:sz w:val="24"/>
          <w:szCs w:val="24"/>
          <w:lang w:val="lv-LV"/>
        </w:rPr>
        <w:t xml:space="preserve">a </w:t>
      </w:r>
      <w:r w:rsidR="00A76FDC" w:rsidRPr="007B4062">
        <w:rPr>
          <w:rFonts w:ascii="Times New Roman" w:hAnsi="Times New Roman" w:cs="Times New Roman"/>
          <w:sz w:val="24"/>
          <w:szCs w:val="24"/>
          <w:lang w:val="lv-LV"/>
        </w:rPr>
        <w:t xml:space="preserve">iestādei ir jāpieprasa pretendentam skaidrot to, kā veidojusies piedāvājuma cena, un pretendenta sniegtais skaidrojums ir jāpārbauda, izvērtējot pierādījumus. Tas, ka piedāvātā cena var tikt izskaidrota arī ar citiem </w:t>
      </w:r>
      <w:r w:rsidR="00C04DB6">
        <w:rPr>
          <w:rFonts w:ascii="Times New Roman" w:hAnsi="Times New Roman" w:cs="Times New Roman"/>
          <w:sz w:val="24"/>
          <w:szCs w:val="24"/>
          <w:lang w:val="lv-LV"/>
        </w:rPr>
        <w:t>elementiem (</w:t>
      </w:r>
      <w:r w:rsidR="00A76FDC" w:rsidRPr="007B4062">
        <w:rPr>
          <w:rFonts w:ascii="Times New Roman" w:hAnsi="Times New Roman" w:cs="Times New Roman"/>
          <w:sz w:val="24"/>
          <w:szCs w:val="24"/>
          <w:lang w:val="lv-LV"/>
        </w:rPr>
        <w:t>apstākļiem</w:t>
      </w:r>
      <w:r w:rsidR="00C04DB6">
        <w:rPr>
          <w:rFonts w:ascii="Times New Roman" w:hAnsi="Times New Roman" w:cs="Times New Roman"/>
          <w:sz w:val="24"/>
          <w:szCs w:val="24"/>
          <w:lang w:val="lv-LV"/>
        </w:rPr>
        <w:t>)</w:t>
      </w:r>
      <w:r w:rsidR="00A76FDC" w:rsidRPr="007B4062">
        <w:rPr>
          <w:rFonts w:ascii="Times New Roman" w:hAnsi="Times New Roman" w:cs="Times New Roman"/>
          <w:sz w:val="24"/>
          <w:szCs w:val="24"/>
          <w:lang w:val="lv-LV"/>
        </w:rPr>
        <w:t>, ne tikai tiem, kas tiešā tekstā uzskaitīti direktīvā, neatņem normām minēto jēgu un iedarbību.</w:t>
      </w:r>
    </w:p>
    <w:p w14:paraId="07C31D0C" w14:textId="06CC904D" w:rsidR="00A76FDC" w:rsidRPr="007B4062" w:rsidRDefault="00F15C3E"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Ievērojot minēto, Senātam nerodas šaubas, ka </w:t>
      </w:r>
      <w:r w:rsidR="004E52B1" w:rsidRPr="007B4062">
        <w:rPr>
          <w:rFonts w:ascii="Times New Roman" w:hAnsi="Times New Roman" w:cs="Times New Roman"/>
          <w:sz w:val="24"/>
          <w:szCs w:val="24"/>
          <w:lang w:val="lv-LV"/>
        </w:rPr>
        <w:t>d</w:t>
      </w:r>
      <w:r w:rsidRPr="007B4062">
        <w:rPr>
          <w:rFonts w:ascii="Times New Roman" w:hAnsi="Times New Roman" w:cs="Times New Roman"/>
          <w:sz w:val="24"/>
          <w:szCs w:val="24"/>
          <w:lang w:val="lv-LV"/>
        </w:rPr>
        <w:t xml:space="preserve">irektīvas 2004/18/EK 55.panta 1.punkta otrās daļas un 2.punkta interpretācija </w:t>
      </w:r>
      <w:r w:rsidR="00B26AA8" w:rsidRPr="007B4062">
        <w:rPr>
          <w:rFonts w:ascii="Times New Roman" w:hAnsi="Times New Roman" w:cs="Times New Roman"/>
          <w:sz w:val="24"/>
          <w:szCs w:val="24"/>
          <w:lang w:val="lv-LV"/>
        </w:rPr>
        <w:t>neizslēdz</w:t>
      </w:r>
      <w:r w:rsidRPr="007B4062">
        <w:rPr>
          <w:rFonts w:ascii="Times New Roman" w:hAnsi="Times New Roman" w:cs="Times New Roman"/>
          <w:sz w:val="24"/>
          <w:szCs w:val="24"/>
          <w:lang w:val="lv-LV"/>
        </w:rPr>
        <w:t>, ka publiskā iepirkuma izmaksu pozīcijas samazinājuma jeb atlaides piemērošana var tikt pamatota ar daļēju pašfinansēšanu.</w:t>
      </w:r>
      <w:r w:rsidR="00264F20" w:rsidRPr="007B4062">
        <w:rPr>
          <w:rFonts w:ascii="Times New Roman" w:hAnsi="Times New Roman" w:cs="Times New Roman"/>
          <w:sz w:val="24"/>
          <w:szCs w:val="24"/>
          <w:lang w:val="lv-LV"/>
        </w:rPr>
        <w:t xml:space="preserve"> Turklāt, kā jau minēts, atlaides piemērošana </w:t>
      </w:r>
      <w:r w:rsidR="00F90F90">
        <w:rPr>
          <w:rFonts w:ascii="Times New Roman" w:hAnsi="Times New Roman" w:cs="Times New Roman"/>
          <w:sz w:val="24"/>
          <w:szCs w:val="24"/>
          <w:lang w:val="lv-LV"/>
        </w:rPr>
        <w:t>pati par sevi</w:t>
      </w:r>
      <w:r w:rsidR="00264F20" w:rsidRPr="007B4062">
        <w:rPr>
          <w:rFonts w:ascii="Times New Roman" w:hAnsi="Times New Roman" w:cs="Times New Roman"/>
          <w:sz w:val="24"/>
          <w:szCs w:val="24"/>
          <w:lang w:val="lv-LV"/>
        </w:rPr>
        <w:t xml:space="preserve"> vispār publiskajos iepirkumos tiek pieļauta (to apliecina arī </w:t>
      </w:r>
      <w:r w:rsidR="00444BDB" w:rsidRPr="007B4062">
        <w:rPr>
          <w:rFonts w:ascii="Times New Roman" w:hAnsi="Times New Roman" w:cs="Times New Roman"/>
          <w:sz w:val="24"/>
          <w:szCs w:val="24"/>
          <w:lang w:val="lv-LV"/>
        </w:rPr>
        <w:t>Eiropas Savienības Tiesas slēdzien</w:t>
      </w:r>
      <w:r w:rsidR="00264F20" w:rsidRPr="007B4062">
        <w:rPr>
          <w:rFonts w:ascii="Times New Roman" w:hAnsi="Times New Roman" w:cs="Times New Roman"/>
          <w:sz w:val="24"/>
          <w:szCs w:val="24"/>
          <w:lang w:val="lv-LV"/>
        </w:rPr>
        <w:t>s</w:t>
      </w:r>
      <w:r w:rsidR="00444BDB" w:rsidRPr="007B4062">
        <w:rPr>
          <w:rFonts w:ascii="Times New Roman" w:hAnsi="Times New Roman" w:cs="Times New Roman"/>
          <w:sz w:val="24"/>
          <w:szCs w:val="24"/>
          <w:lang w:val="lv-LV"/>
        </w:rPr>
        <w:t>, ka pat kopējā cena nulle nav pamats automātiskai pretendenta izslēgšanai (</w:t>
      </w:r>
      <w:r w:rsidR="00444BDB" w:rsidRPr="007B4062">
        <w:rPr>
          <w:rFonts w:ascii="Times New Roman" w:hAnsi="Times New Roman" w:cs="Times New Roman"/>
          <w:i/>
          <w:iCs/>
          <w:sz w:val="24"/>
          <w:szCs w:val="24"/>
          <w:lang w:val="lv-LV"/>
        </w:rPr>
        <w:t xml:space="preserve">Eiropas Savienības Tiesas 2020.gada 10.septembra sprieduma lietā </w:t>
      </w:r>
      <w:r w:rsidR="00586FCA" w:rsidRPr="007B4062">
        <w:rPr>
          <w:rFonts w:ascii="Times New Roman" w:hAnsi="Times New Roman" w:cs="Times New Roman"/>
          <w:i/>
          <w:iCs/>
          <w:sz w:val="24"/>
          <w:szCs w:val="24"/>
          <w:lang w:val="lv-LV"/>
        </w:rPr>
        <w:t xml:space="preserve">„Tax-Fin-Lex”, </w:t>
      </w:r>
      <w:r w:rsidR="00444BDB" w:rsidRPr="007B4062">
        <w:rPr>
          <w:rFonts w:ascii="Times New Roman" w:hAnsi="Times New Roman" w:cs="Times New Roman"/>
          <w:i/>
          <w:iCs/>
          <w:sz w:val="24"/>
          <w:szCs w:val="24"/>
          <w:lang w:val="lv-LV"/>
        </w:rPr>
        <w:t xml:space="preserve">C-367/19, </w:t>
      </w:r>
      <w:hyperlink r:id="rId14" w:history="1">
        <w:r w:rsidR="00444BDB" w:rsidRPr="007B4062">
          <w:rPr>
            <w:rStyle w:val="Hyperlink"/>
            <w:rFonts w:ascii="Times New Roman" w:hAnsi="Times New Roman" w:cs="Times New Roman"/>
            <w:i/>
            <w:iCs/>
            <w:color w:val="auto"/>
            <w:sz w:val="24"/>
            <w:szCs w:val="24"/>
            <w:u w:val="none"/>
            <w:lang w:val="lv-LV"/>
          </w:rPr>
          <w:t>ECLI:EU:C:2020:685</w:t>
        </w:r>
      </w:hyperlink>
      <w:r w:rsidR="00444BDB" w:rsidRPr="007B4062">
        <w:rPr>
          <w:rFonts w:ascii="Times New Roman" w:hAnsi="Times New Roman" w:cs="Times New Roman"/>
          <w:i/>
          <w:iCs/>
          <w:sz w:val="24"/>
          <w:szCs w:val="24"/>
          <w:lang w:val="lv-LV"/>
        </w:rPr>
        <w:t>, 31.punkt</w:t>
      </w:r>
      <w:r w:rsidR="00264F20" w:rsidRPr="007B4062">
        <w:rPr>
          <w:rFonts w:ascii="Times New Roman" w:hAnsi="Times New Roman" w:cs="Times New Roman"/>
          <w:i/>
          <w:iCs/>
          <w:sz w:val="24"/>
          <w:szCs w:val="24"/>
          <w:lang w:val="lv-LV"/>
        </w:rPr>
        <w:t>s</w:t>
      </w:r>
      <w:r w:rsidR="00444BDB" w:rsidRPr="007B4062">
        <w:rPr>
          <w:rFonts w:ascii="Times New Roman" w:hAnsi="Times New Roman" w:cs="Times New Roman"/>
          <w:sz w:val="24"/>
          <w:szCs w:val="24"/>
          <w:lang w:val="lv-LV"/>
        </w:rPr>
        <w:t>)</w:t>
      </w:r>
      <w:r w:rsidR="00586FCA" w:rsidRPr="007B4062">
        <w:rPr>
          <w:rFonts w:ascii="Times New Roman" w:hAnsi="Times New Roman" w:cs="Times New Roman"/>
          <w:sz w:val="24"/>
          <w:szCs w:val="24"/>
          <w:lang w:val="lv-LV"/>
        </w:rPr>
        <w:t>)</w:t>
      </w:r>
      <w:r w:rsidR="00A76FDC" w:rsidRPr="007B4062">
        <w:rPr>
          <w:rFonts w:ascii="Times New Roman" w:hAnsi="Times New Roman" w:cs="Times New Roman"/>
          <w:sz w:val="24"/>
          <w:szCs w:val="24"/>
          <w:lang w:val="lv-LV"/>
        </w:rPr>
        <w:t xml:space="preserve">. </w:t>
      </w:r>
    </w:p>
    <w:p w14:paraId="633E0FA7" w14:textId="29A1E3A3" w:rsidR="00A76FDC" w:rsidRPr="007B4062" w:rsidRDefault="00A76FDC"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Līdz ar to Senāts secina, ka nav šaub</w:t>
      </w:r>
      <w:r w:rsidR="00E83E72">
        <w:rPr>
          <w:rFonts w:ascii="Times New Roman" w:hAnsi="Times New Roman" w:cs="Times New Roman"/>
          <w:sz w:val="24"/>
          <w:szCs w:val="24"/>
          <w:lang w:val="lv-LV"/>
        </w:rPr>
        <w:t>u</w:t>
      </w:r>
      <w:r w:rsidRPr="007B4062">
        <w:rPr>
          <w:rFonts w:ascii="Times New Roman" w:hAnsi="Times New Roman" w:cs="Times New Roman"/>
          <w:sz w:val="24"/>
          <w:szCs w:val="24"/>
          <w:lang w:val="lv-LV"/>
        </w:rPr>
        <w:t xml:space="preserve"> par </w:t>
      </w:r>
      <w:r w:rsidR="004E52B1" w:rsidRPr="007B4062">
        <w:rPr>
          <w:rFonts w:ascii="Times New Roman" w:hAnsi="Times New Roman" w:cs="Times New Roman"/>
          <w:sz w:val="24"/>
          <w:szCs w:val="24"/>
          <w:lang w:val="lv-LV"/>
        </w:rPr>
        <w:t>d</w:t>
      </w:r>
      <w:r w:rsidRPr="007B4062">
        <w:rPr>
          <w:rFonts w:ascii="Times New Roman" w:hAnsi="Times New Roman" w:cs="Times New Roman"/>
          <w:sz w:val="24"/>
          <w:szCs w:val="24"/>
          <w:lang w:val="lv-LV"/>
        </w:rPr>
        <w:t xml:space="preserve">irektīvas 2004/18/EK 55.panta 1.punkta otrās daļas un 2.punkta pareizu interpretāciju un tāpēc nav apmierināms lūgums vērsties ar jautājumu par šo normu interpretāciju Eiropas Savienības Tiesā. </w:t>
      </w:r>
    </w:p>
    <w:p w14:paraId="5EEB5FA5" w14:textId="77777777" w:rsidR="009947DF" w:rsidRPr="007B4062" w:rsidRDefault="009947DF" w:rsidP="003F1B18">
      <w:pPr>
        <w:spacing w:after="0"/>
        <w:ind w:firstLine="567"/>
        <w:jc w:val="both"/>
        <w:rPr>
          <w:rFonts w:ascii="Times New Roman" w:hAnsi="Times New Roman" w:cs="Times New Roman"/>
          <w:sz w:val="24"/>
          <w:szCs w:val="24"/>
          <w:lang w:val="lv-LV"/>
        </w:rPr>
      </w:pPr>
    </w:p>
    <w:p w14:paraId="06C11EF4" w14:textId="7C920837" w:rsidR="00484DFF" w:rsidRPr="007B4062" w:rsidRDefault="009947DF"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[15]</w:t>
      </w:r>
      <w:r w:rsidR="00C65EDF">
        <w:rPr>
          <w:rFonts w:ascii="Times New Roman" w:hAnsi="Times New Roman" w:cs="Times New Roman"/>
          <w:sz w:val="24"/>
          <w:szCs w:val="24"/>
          <w:lang w:val="lv-LV"/>
        </w:rPr>
        <w:t> </w:t>
      </w:r>
      <w:r w:rsidRPr="007B4062">
        <w:rPr>
          <w:rFonts w:ascii="Times New Roman" w:hAnsi="Times New Roman" w:cs="Times New Roman"/>
          <w:sz w:val="24"/>
          <w:szCs w:val="24"/>
          <w:lang w:val="lv-LV"/>
        </w:rPr>
        <w:t xml:space="preserve">Senāts atzīst, ka nav pamata vērsties Eiropas Savienības Tiesā arī ar otru kasatores rosināto jautājumu, proti, </w:t>
      </w:r>
      <w:r w:rsidR="00C86BC7" w:rsidRPr="007B4062">
        <w:rPr>
          <w:rFonts w:ascii="Times New Roman" w:hAnsi="Times New Roman" w:cs="Times New Roman"/>
          <w:sz w:val="24"/>
          <w:szCs w:val="24"/>
          <w:lang w:val="lv-LV"/>
        </w:rPr>
        <w:t xml:space="preserve">vai </w:t>
      </w:r>
      <w:r w:rsidR="00997C64" w:rsidRPr="007B4062">
        <w:rPr>
          <w:rFonts w:ascii="Times New Roman" w:hAnsi="Times New Roman" w:cs="Times New Roman"/>
          <w:sz w:val="24"/>
          <w:szCs w:val="24"/>
          <w:lang w:val="lv-LV"/>
        </w:rPr>
        <w:t xml:space="preserve">piedāvājuma ar atlaidi, kas pamatota ar </w:t>
      </w:r>
      <w:r w:rsidR="00C86BC7" w:rsidRPr="007B4062">
        <w:rPr>
          <w:rFonts w:ascii="Times New Roman" w:hAnsi="Times New Roman" w:cs="Times New Roman"/>
          <w:sz w:val="24"/>
          <w:szCs w:val="24"/>
          <w:lang w:val="lv-LV"/>
        </w:rPr>
        <w:t>pašfinansējum</w:t>
      </w:r>
      <w:r w:rsidR="00997C64" w:rsidRPr="007B4062">
        <w:rPr>
          <w:rFonts w:ascii="Times New Roman" w:hAnsi="Times New Roman" w:cs="Times New Roman"/>
          <w:sz w:val="24"/>
          <w:szCs w:val="24"/>
          <w:lang w:val="lv-LV"/>
        </w:rPr>
        <w:t>u, akceptēšana</w:t>
      </w:r>
      <w:r w:rsidR="00C86BC7" w:rsidRPr="007B4062">
        <w:rPr>
          <w:rFonts w:ascii="Times New Roman" w:hAnsi="Times New Roman" w:cs="Times New Roman"/>
          <w:sz w:val="24"/>
          <w:szCs w:val="24"/>
          <w:lang w:val="lv-LV"/>
        </w:rPr>
        <w:t xml:space="preserve"> </w:t>
      </w:r>
      <w:r w:rsidRPr="007B4062">
        <w:rPr>
          <w:rFonts w:ascii="Times New Roman" w:hAnsi="Times New Roman" w:cs="Times New Roman"/>
          <w:sz w:val="24"/>
          <w:szCs w:val="24"/>
          <w:lang w:val="lv-LV"/>
        </w:rPr>
        <w:t>aps</w:t>
      </w:r>
      <w:r w:rsidR="00F8097F" w:rsidRPr="007B4062">
        <w:rPr>
          <w:rFonts w:ascii="Times New Roman" w:hAnsi="Times New Roman" w:cs="Times New Roman"/>
          <w:sz w:val="24"/>
          <w:szCs w:val="24"/>
          <w:lang w:val="lv-LV"/>
        </w:rPr>
        <w:t>t</w:t>
      </w:r>
      <w:r w:rsidRPr="007B4062">
        <w:rPr>
          <w:rFonts w:ascii="Times New Roman" w:hAnsi="Times New Roman" w:cs="Times New Roman"/>
          <w:sz w:val="24"/>
          <w:szCs w:val="24"/>
          <w:lang w:val="lv-LV"/>
        </w:rPr>
        <w:t xml:space="preserve">ākļos, kādi ir izskatāmajā lietā, </w:t>
      </w:r>
      <w:r w:rsidR="00C86BC7" w:rsidRPr="007B4062">
        <w:rPr>
          <w:rFonts w:ascii="Times New Roman" w:hAnsi="Times New Roman" w:cs="Times New Roman"/>
          <w:sz w:val="24"/>
          <w:szCs w:val="24"/>
          <w:lang w:val="lv-LV"/>
        </w:rPr>
        <w:t xml:space="preserve">nav pretrunā ar </w:t>
      </w:r>
      <w:r w:rsidR="004E52B1" w:rsidRPr="007B4062">
        <w:rPr>
          <w:rFonts w:ascii="Times New Roman" w:hAnsi="Times New Roman" w:cs="Times New Roman"/>
          <w:sz w:val="24"/>
          <w:szCs w:val="24"/>
          <w:lang w:val="lv-LV"/>
        </w:rPr>
        <w:t>d</w:t>
      </w:r>
      <w:r w:rsidRPr="007B4062">
        <w:rPr>
          <w:rFonts w:ascii="Times New Roman" w:hAnsi="Times New Roman" w:cs="Times New Roman"/>
          <w:sz w:val="24"/>
          <w:szCs w:val="24"/>
          <w:lang w:val="lv-LV"/>
        </w:rPr>
        <w:t>irektīvas 2004/18/EK</w:t>
      </w:r>
      <w:r w:rsidR="00C86BC7" w:rsidRPr="007B4062">
        <w:rPr>
          <w:rFonts w:ascii="Times New Roman" w:hAnsi="Times New Roman" w:cs="Times New Roman"/>
          <w:sz w:val="24"/>
          <w:szCs w:val="24"/>
          <w:lang w:val="lv-LV"/>
        </w:rPr>
        <w:t xml:space="preserve"> 2.pantā noteiktajiem līguma slēgšanas piešķiršanas principiem.</w:t>
      </w:r>
      <w:r w:rsidR="00F8097F" w:rsidRPr="007B4062">
        <w:rPr>
          <w:rFonts w:ascii="Times New Roman" w:hAnsi="Times New Roman" w:cs="Times New Roman"/>
          <w:sz w:val="24"/>
          <w:szCs w:val="24"/>
          <w:lang w:val="lv-LV"/>
        </w:rPr>
        <w:t xml:space="preserve"> </w:t>
      </w:r>
    </w:p>
    <w:p w14:paraId="39CD1A3B" w14:textId="2BCA3671" w:rsidR="00E32A24" w:rsidRPr="007B4062" w:rsidRDefault="00484DFF"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Šis jautājums balstīts </w:t>
      </w:r>
      <w:r w:rsidR="00F15C3E" w:rsidRPr="007B4062">
        <w:rPr>
          <w:rFonts w:ascii="Times New Roman" w:hAnsi="Times New Roman" w:cs="Times New Roman"/>
          <w:sz w:val="24"/>
          <w:szCs w:val="24"/>
          <w:lang w:val="lv-LV"/>
        </w:rPr>
        <w:t>kasatore</w:t>
      </w:r>
      <w:r w:rsidRPr="007B4062">
        <w:rPr>
          <w:rFonts w:ascii="Times New Roman" w:hAnsi="Times New Roman" w:cs="Times New Roman"/>
          <w:sz w:val="24"/>
          <w:szCs w:val="24"/>
          <w:lang w:val="lv-LV"/>
        </w:rPr>
        <w:t>s</w:t>
      </w:r>
      <w:r w:rsidR="00F15C3E" w:rsidRPr="007B4062">
        <w:rPr>
          <w:rFonts w:ascii="Times New Roman" w:hAnsi="Times New Roman" w:cs="Times New Roman"/>
          <w:sz w:val="24"/>
          <w:szCs w:val="24"/>
          <w:lang w:val="lv-LV"/>
        </w:rPr>
        <w:t xml:space="preserve"> </w:t>
      </w:r>
      <w:r w:rsidR="00836080" w:rsidRPr="007B4062">
        <w:rPr>
          <w:rFonts w:ascii="Times New Roman" w:hAnsi="Times New Roman" w:cs="Times New Roman"/>
          <w:sz w:val="24"/>
          <w:szCs w:val="24"/>
          <w:lang w:val="lv-LV"/>
        </w:rPr>
        <w:t xml:space="preserve">subjektīvā </w:t>
      </w:r>
      <w:r w:rsidRPr="007B4062">
        <w:rPr>
          <w:rFonts w:ascii="Times New Roman" w:hAnsi="Times New Roman" w:cs="Times New Roman"/>
          <w:sz w:val="24"/>
          <w:szCs w:val="24"/>
          <w:lang w:val="lv-LV"/>
        </w:rPr>
        <w:t>redzējumā par to, kādi ir konkrētās lietas apstākļi. Proti, k</w:t>
      </w:r>
      <w:r w:rsidR="00997C64" w:rsidRPr="007B4062">
        <w:rPr>
          <w:rFonts w:ascii="Times New Roman" w:hAnsi="Times New Roman" w:cs="Times New Roman"/>
          <w:sz w:val="24"/>
          <w:szCs w:val="24"/>
          <w:lang w:val="lv-LV"/>
        </w:rPr>
        <w:t xml:space="preserve">ā jau </w:t>
      </w:r>
      <w:r w:rsidR="009677F4" w:rsidRPr="007B4062">
        <w:rPr>
          <w:rFonts w:ascii="Times New Roman" w:hAnsi="Times New Roman" w:cs="Times New Roman"/>
          <w:sz w:val="24"/>
          <w:szCs w:val="24"/>
          <w:lang w:val="lv-LV"/>
        </w:rPr>
        <w:t xml:space="preserve">iepriekš </w:t>
      </w:r>
      <w:r w:rsidR="00997C64" w:rsidRPr="007B4062">
        <w:rPr>
          <w:rFonts w:ascii="Times New Roman" w:hAnsi="Times New Roman" w:cs="Times New Roman"/>
          <w:sz w:val="24"/>
          <w:szCs w:val="24"/>
          <w:lang w:val="lv-LV"/>
        </w:rPr>
        <w:t xml:space="preserve">minēts, </w:t>
      </w:r>
      <w:r w:rsidR="009677F4" w:rsidRPr="007B4062">
        <w:rPr>
          <w:rFonts w:ascii="Times New Roman" w:hAnsi="Times New Roman" w:cs="Times New Roman"/>
          <w:sz w:val="24"/>
          <w:szCs w:val="24"/>
          <w:lang w:val="lv-LV"/>
        </w:rPr>
        <w:t>kasācijas sūdzīb</w:t>
      </w:r>
      <w:r w:rsidR="003F2C36" w:rsidRPr="007B4062">
        <w:rPr>
          <w:rFonts w:ascii="Times New Roman" w:hAnsi="Times New Roman" w:cs="Times New Roman"/>
          <w:sz w:val="24"/>
          <w:szCs w:val="24"/>
          <w:lang w:val="lv-LV"/>
        </w:rPr>
        <w:t xml:space="preserve">u </w:t>
      </w:r>
      <w:r w:rsidR="009677F4" w:rsidRPr="007B4062">
        <w:rPr>
          <w:rFonts w:ascii="Times New Roman" w:hAnsi="Times New Roman" w:cs="Times New Roman"/>
          <w:sz w:val="24"/>
          <w:szCs w:val="24"/>
          <w:lang w:val="lv-LV"/>
        </w:rPr>
        <w:t>caur</w:t>
      </w:r>
      <w:r w:rsidR="003F2C36" w:rsidRPr="007B4062">
        <w:rPr>
          <w:rFonts w:ascii="Times New Roman" w:hAnsi="Times New Roman" w:cs="Times New Roman"/>
          <w:sz w:val="24"/>
          <w:szCs w:val="24"/>
          <w:lang w:val="lv-LV"/>
        </w:rPr>
        <w:t>vij</w:t>
      </w:r>
      <w:r w:rsidR="009677F4" w:rsidRPr="007B4062">
        <w:rPr>
          <w:rFonts w:ascii="Times New Roman" w:hAnsi="Times New Roman" w:cs="Times New Roman"/>
          <w:sz w:val="24"/>
          <w:szCs w:val="24"/>
          <w:lang w:val="lv-LV"/>
        </w:rPr>
        <w:t xml:space="preserve"> </w:t>
      </w:r>
      <w:r w:rsidR="00F8097F" w:rsidRPr="007B4062">
        <w:rPr>
          <w:rFonts w:ascii="Times New Roman" w:hAnsi="Times New Roman" w:cs="Times New Roman"/>
          <w:sz w:val="24"/>
          <w:szCs w:val="24"/>
          <w:lang w:val="lv-LV"/>
        </w:rPr>
        <w:t>kasatore</w:t>
      </w:r>
      <w:r w:rsidR="009677F4" w:rsidRPr="007B4062">
        <w:rPr>
          <w:rFonts w:ascii="Times New Roman" w:hAnsi="Times New Roman" w:cs="Times New Roman"/>
          <w:sz w:val="24"/>
          <w:szCs w:val="24"/>
          <w:lang w:val="lv-LV"/>
        </w:rPr>
        <w:t>s nostāja</w:t>
      </w:r>
      <w:r w:rsidR="00F8097F" w:rsidRPr="007B4062">
        <w:rPr>
          <w:rFonts w:ascii="Times New Roman" w:hAnsi="Times New Roman" w:cs="Times New Roman"/>
          <w:sz w:val="24"/>
          <w:szCs w:val="24"/>
          <w:lang w:val="lv-LV"/>
        </w:rPr>
        <w:t xml:space="preserve">, ka </w:t>
      </w:r>
      <w:r w:rsidR="00F15C3E" w:rsidRPr="007B4062">
        <w:rPr>
          <w:rFonts w:ascii="Times New Roman" w:hAnsi="Times New Roman" w:cs="Times New Roman"/>
          <w:sz w:val="24"/>
          <w:szCs w:val="24"/>
          <w:lang w:val="lv-LV"/>
        </w:rPr>
        <w:t xml:space="preserve">konkrētajā iepirkumā </w:t>
      </w:r>
      <w:r w:rsidR="00F8097F" w:rsidRPr="007B4062">
        <w:rPr>
          <w:rFonts w:ascii="Times New Roman" w:hAnsi="Times New Roman" w:cs="Times New Roman"/>
          <w:sz w:val="24"/>
          <w:szCs w:val="24"/>
          <w:lang w:val="lv-LV"/>
        </w:rPr>
        <w:t xml:space="preserve">pretendentiem </w:t>
      </w:r>
      <w:r w:rsidR="00F15C3E" w:rsidRPr="007B4062">
        <w:rPr>
          <w:rFonts w:ascii="Times New Roman" w:hAnsi="Times New Roman" w:cs="Times New Roman"/>
          <w:sz w:val="24"/>
          <w:szCs w:val="24"/>
          <w:lang w:val="lv-LV"/>
        </w:rPr>
        <w:t xml:space="preserve">nebija </w:t>
      </w:r>
      <w:r w:rsidR="00836080" w:rsidRPr="007B4062">
        <w:rPr>
          <w:rFonts w:ascii="Times New Roman" w:hAnsi="Times New Roman" w:cs="Times New Roman"/>
          <w:sz w:val="24"/>
          <w:szCs w:val="24"/>
          <w:lang w:val="lv-LV"/>
        </w:rPr>
        <w:t>at</w:t>
      </w:r>
      <w:r w:rsidR="00F15C3E" w:rsidRPr="007B4062">
        <w:rPr>
          <w:rFonts w:ascii="Times New Roman" w:hAnsi="Times New Roman" w:cs="Times New Roman"/>
          <w:sz w:val="24"/>
          <w:szCs w:val="24"/>
          <w:lang w:val="lv-LV"/>
        </w:rPr>
        <w:t>ļauts piedāvāt atlaidi</w:t>
      </w:r>
      <w:r w:rsidR="00F8097F" w:rsidRPr="007B4062">
        <w:rPr>
          <w:rFonts w:ascii="Times New Roman" w:hAnsi="Times New Roman" w:cs="Times New Roman"/>
          <w:sz w:val="24"/>
          <w:szCs w:val="24"/>
          <w:lang w:val="lv-LV"/>
        </w:rPr>
        <w:t>.</w:t>
      </w:r>
      <w:r w:rsidR="00997C64" w:rsidRPr="007B4062">
        <w:rPr>
          <w:rFonts w:ascii="Times New Roman" w:hAnsi="Times New Roman" w:cs="Times New Roman"/>
          <w:sz w:val="24"/>
          <w:szCs w:val="24"/>
          <w:lang w:val="lv-LV"/>
        </w:rPr>
        <w:t xml:space="preserve"> Šā iemesla dēļ kasatore norādījusi, ka „</w:t>
      </w:r>
      <w:r w:rsidR="00E32A24" w:rsidRPr="007B4062">
        <w:rPr>
          <w:rFonts w:ascii="Times New Roman" w:hAnsi="Times New Roman" w:cs="Times New Roman"/>
          <w:sz w:val="24"/>
          <w:szCs w:val="24"/>
          <w:lang w:val="lv-LV"/>
        </w:rPr>
        <w:t xml:space="preserve">pretēji </w:t>
      </w:r>
      <w:r w:rsidR="00997C64" w:rsidRPr="007B4062">
        <w:rPr>
          <w:rFonts w:ascii="Times New Roman" w:hAnsi="Times New Roman" w:cs="Times New Roman"/>
          <w:sz w:val="24"/>
          <w:szCs w:val="24"/>
          <w:lang w:val="lv-LV"/>
        </w:rPr>
        <w:t>t</w:t>
      </w:r>
      <w:r w:rsidR="00E32A24" w:rsidRPr="007B4062">
        <w:rPr>
          <w:rFonts w:ascii="Times New Roman" w:hAnsi="Times New Roman" w:cs="Times New Roman"/>
          <w:sz w:val="24"/>
          <w:szCs w:val="24"/>
          <w:lang w:val="lv-LV"/>
        </w:rPr>
        <w:t>iesas pieejai</w:t>
      </w:r>
      <w:r w:rsidR="00997C64" w:rsidRPr="007B4062">
        <w:rPr>
          <w:rFonts w:ascii="Times New Roman" w:hAnsi="Times New Roman" w:cs="Times New Roman"/>
          <w:sz w:val="24"/>
          <w:szCs w:val="24"/>
          <w:lang w:val="lv-LV"/>
        </w:rPr>
        <w:t>”</w:t>
      </w:r>
      <w:r w:rsidR="00E32A24" w:rsidRPr="007B4062">
        <w:rPr>
          <w:rFonts w:ascii="Times New Roman" w:hAnsi="Times New Roman" w:cs="Times New Roman"/>
          <w:sz w:val="24"/>
          <w:szCs w:val="24"/>
          <w:lang w:val="lv-LV"/>
        </w:rPr>
        <w:t xml:space="preserve"> </w:t>
      </w:r>
      <w:r w:rsidR="003F2C36" w:rsidRPr="007B4062">
        <w:rPr>
          <w:rFonts w:ascii="Times New Roman" w:hAnsi="Times New Roman" w:cs="Times New Roman"/>
          <w:sz w:val="24"/>
          <w:szCs w:val="24"/>
          <w:lang w:val="lv-LV"/>
        </w:rPr>
        <w:t>piedāvājuma īstums un pretendenta spēja izpildīt pakalpojumu nav vienīgais aspekts, kas var būt nozīmīgs, izvērtējot lēta piedāvājuma pamatotību</w:t>
      </w:r>
      <w:r w:rsidR="004E603A" w:rsidRPr="007B4062">
        <w:rPr>
          <w:rFonts w:ascii="Times New Roman" w:hAnsi="Times New Roman" w:cs="Times New Roman"/>
          <w:sz w:val="24"/>
          <w:szCs w:val="24"/>
          <w:lang w:val="lv-LV"/>
        </w:rPr>
        <w:t>, a</w:t>
      </w:r>
      <w:r w:rsidR="00E32A24" w:rsidRPr="007B4062">
        <w:rPr>
          <w:rFonts w:ascii="Times New Roman" w:hAnsi="Times New Roman" w:cs="Times New Roman"/>
          <w:sz w:val="24"/>
          <w:szCs w:val="24"/>
          <w:lang w:val="lv-LV"/>
        </w:rPr>
        <w:t xml:space="preserve">rī konkursa pārējie apstākļi </w:t>
      </w:r>
      <w:r w:rsidR="004E603A" w:rsidRPr="007B4062">
        <w:rPr>
          <w:rFonts w:ascii="Times New Roman" w:hAnsi="Times New Roman" w:cs="Times New Roman"/>
          <w:sz w:val="24"/>
          <w:szCs w:val="24"/>
          <w:lang w:val="lv-LV"/>
        </w:rPr>
        <w:t xml:space="preserve">un </w:t>
      </w:r>
      <w:r w:rsidR="00997C64" w:rsidRPr="007B4062">
        <w:rPr>
          <w:rFonts w:ascii="Times New Roman" w:hAnsi="Times New Roman" w:cs="Times New Roman"/>
          <w:sz w:val="24"/>
          <w:szCs w:val="24"/>
          <w:lang w:val="lv-LV"/>
        </w:rPr>
        <w:t>pub</w:t>
      </w:r>
      <w:r w:rsidR="009677F4" w:rsidRPr="007B4062">
        <w:rPr>
          <w:rFonts w:ascii="Times New Roman" w:hAnsi="Times New Roman" w:cs="Times New Roman"/>
          <w:sz w:val="24"/>
          <w:szCs w:val="24"/>
          <w:lang w:val="lv-LV"/>
        </w:rPr>
        <w:t>l</w:t>
      </w:r>
      <w:r w:rsidR="00997C64" w:rsidRPr="007B4062">
        <w:rPr>
          <w:rFonts w:ascii="Times New Roman" w:hAnsi="Times New Roman" w:cs="Times New Roman"/>
          <w:sz w:val="24"/>
          <w:szCs w:val="24"/>
          <w:lang w:val="lv-LV"/>
        </w:rPr>
        <w:t>iskā iepirkuma procedūras pamatprin</w:t>
      </w:r>
      <w:r w:rsidR="009677F4" w:rsidRPr="007B4062">
        <w:rPr>
          <w:rFonts w:ascii="Times New Roman" w:hAnsi="Times New Roman" w:cs="Times New Roman"/>
          <w:sz w:val="24"/>
          <w:szCs w:val="24"/>
          <w:lang w:val="lv-LV"/>
        </w:rPr>
        <w:t>c</w:t>
      </w:r>
      <w:r w:rsidR="00997C64" w:rsidRPr="007B4062">
        <w:rPr>
          <w:rFonts w:ascii="Times New Roman" w:hAnsi="Times New Roman" w:cs="Times New Roman"/>
          <w:sz w:val="24"/>
          <w:szCs w:val="24"/>
          <w:lang w:val="lv-LV"/>
        </w:rPr>
        <w:t xml:space="preserve">ipi </w:t>
      </w:r>
      <w:r w:rsidR="00836080" w:rsidRPr="007B4062">
        <w:rPr>
          <w:rFonts w:ascii="Times New Roman" w:hAnsi="Times New Roman" w:cs="Times New Roman"/>
          <w:sz w:val="24"/>
          <w:szCs w:val="24"/>
          <w:lang w:val="lv-LV"/>
        </w:rPr>
        <w:t>ir</w:t>
      </w:r>
      <w:r w:rsidR="00E32A24" w:rsidRPr="007B4062">
        <w:rPr>
          <w:rFonts w:ascii="Times New Roman" w:hAnsi="Times New Roman" w:cs="Times New Roman"/>
          <w:sz w:val="24"/>
          <w:szCs w:val="24"/>
          <w:lang w:val="lv-LV"/>
        </w:rPr>
        <w:t xml:space="preserve"> vienlīdz nozīmīgi aspekti</w:t>
      </w:r>
      <w:r w:rsidR="00997C64" w:rsidRPr="007B4062">
        <w:rPr>
          <w:rFonts w:ascii="Times New Roman" w:hAnsi="Times New Roman" w:cs="Times New Roman"/>
          <w:sz w:val="24"/>
          <w:szCs w:val="24"/>
          <w:lang w:val="lv-LV"/>
        </w:rPr>
        <w:t xml:space="preserve">. </w:t>
      </w:r>
      <w:r w:rsidR="00997C64" w:rsidRPr="007B4062">
        <w:rPr>
          <w:rFonts w:ascii="Times New Roman" w:eastAsia="Times New Roman" w:hAnsi="Times New Roman" w:cs="Times New Roman"/>
          <w:sz w:val="24"/>
          <w:szCs w:val="24"/>
          <w:lang w:val="lv-LV" w:eastAsia="lv-LV"/>
        </w:rPr>
        <w:t>J</w:t>
      </w:r>
      <w:r w:rsidR="00E32A24" w:rsidRPr="007B4062">
        <w:rPr>
          <w:rFonts w:ascii="Times New Roman" w:hAnsi="Times New Roman" w:cs="Times New Roman"/>
          <w:sz w:val="24"/>
          <w:szCs w:val="24"/>
          <w:lang w:val="lv-LV"/>
        </w:rPr>
        <w:t xml:space="preserve">a tiek vispārīgi atzīts, ka pretendents iepirkumā var piemērot tādu atlaidi, kas pamatota vienīgi ar pretendenta pašfinansējumu, </w:t>
      </w:r>
      <w:r w:rsidR="009677F4" w:rsidRPr="007B4062">
        <w:rPr>
          <w:rFonts w:ascii="Times New Roman" w:hAnsi="Times New Roman" w:cs="Times New Roman"/>
          <w:sz w:val="24"/>
          <w:szCs w:val="24"/>
          <w:lang w:val="lv-LV"/>
        </w:rPr>
        <w:t xml:space="preserve">lai arī iepirkuma nolikums to nav pieļāvis, tad </w:t>
      </w:r>
      <w:r w:rsidR="00E32A24" w:rsidRPr="007B4062">
        <w:rPr>
          <w:rFonts w:ascii="Times New Roman" w:hAnsi="Times New Roman" w:cs="Times New Roman"/>
          <w:sz w:val="24"/>
          <w:szCs w:val="24"/>
          <w:lang w:val="lv-LV"/>
        </w:rPr>
        <w:t>šāda Latvijas tiesību normu interpretācija noved</w:t>
      </w:r>
      <w:r w:rsidR="009677F4" w:rsidRPr="007B4062">
        <w:rPr>
          <w:rFonts w:ascii="Times New Roman" w:hAnsi="Times New Roman" w:cs="Times New Roman"/>
          <w:sz w:val="24"/>
          <w:szCs w:val="24"/>
          <w:lang w:val="lv-LV"/>
        </w:rPr>
        <w:t>ot</w:t>
      </w:r>
      <w:r w:rsidR="00E32A24" w:rsidRPr="007B4062">
        <w:rPr>
          <w:rFonts w:ascii="Times New Roman" w:hAnsi="Times New Roman" w:cs="Times New Roman"/>
          <w:sz w:val="24"/>
          <w:szCs w:val="24"/>
          <w:lang w:val="lv-LV"/>
        </w:rPr>
        <w:t xml:space="preserve"> pie E</w:t>
      </w:r>
      <w:r w:rsidR="009677F4" w:rsidRPr="007B4062">
        <w:rPr>
          <w:rFonts w:ascii="Times New Roman" w:hAnsi="Times New Roman" w:cs="Times New Roman"/>
          <w:sz w:val="24"/>
          <w:szCs w:val="24"/>
          <w:lang w:val="lv-LV"/>
        </w:rPr>
        <w:t>iropas Savienības</w:t>
      </w:r>
      <w:r w:rsidR="00E32A24" w:rsidRPr="007B4062">
        <w:rPr>
          <w:rFonts w:ascii="Times New Roman" w:hAnsi="Times New Roman" w:cs="Times New Roman"/>
          <w:sz w:val="24"/>
          <w:szCs w:val="24"/>
          <w:lang w:val="lv-LV"/>
        </w:rPr>
        <w:t xml:space="preserve"> tiesībām pretēja regulējuma un </w:t>
      </w:r>
      <w:r w:rsidR="009677F4" w:rsidRPr="007B4062">
        <w:rPr>
          <w:rFonts w:ascii="Times New Roman" w:hAnsi="Times New Roman" w:cs="Times New Roman"/>
          <w:sz w:val="24"/>
          <w:szCs w:val="24"/>
          <w:lang w:val="lv-LV"/>
        </w:rPr>
        <w:t xml:space="preserve">tāpēc esot </w:t>
      </w:r>
      <w:r w:rsidR="00E32A24" w:rsidRPr="007B4062">
        <w:rPr>
          <w:rFonts w:ascii="Times New Roman" w:hAnsi="Times New Roman" w:cs="Times New Roman"/>
          <w:sz w:val="24"/>
          <w:szCs w:val="24"/>
          <w:lang w:val="lv-LV"/>
        </w:rPr>
        <w:t>pamats uzdot prejudiciālos jautājumus E</w:t>
      </w:r>
      <w:r w:rsidR="009677F4" w:rsidRPr="007B4062">
        <w:rPr>
          <w:rFonts w:ascii="Times New Roman" w:hAnsi="Times New Roman" w:cs="Times New Roman"/>
          <w:sz w:val="24"/>
          <w:szCs w:val="24"/>
          <w:lang w:val="lv-LV"/>
        </w:rPr>
        <w:t xml:space="preserve">iropas Savienības </w:t>
      </w:r>
      <w:r w:rsidR="00836080" w:rsidRPr="007B4062">
        <w:rPr>
          <w:rFonts w:ascii="Times New Roman" w:hAnsi="Times New Roman" w:cs="Times New Roman"/>
          <w:sz w:val="24"/>
          <w:szCs w:val="24"/>
          <w:lang w:val="lv-LV"/>
        </w:rPr>
        <w:t>T</w:t>
      </w:r>
      <w:r w:rsidR="009677F4" w:rsidRPr="007B4062">
        <w:rPr>
          <w:rFonts w:ascii="Times New Roman" w:hAnsi="Times New Roman" w:cs="Times New Roman"/>
          <w:sz w:val="24"/>
          <w:szCs w:val="24"/>
          <w:lang w:val="lv-LV"/>
        </w:rPr>
        <w:t>iesai.</w:t>
      </w:r>
    </w:p>
    <w:p w14:paraId="0C742DFE" w14:textId="4D051F56" w:rsidR="009677F4" w:rsidRPr="007B4062" w:rsidRDefault="009677F4"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T</w:t>
      </w:r>
      <w:r w:rsidR="00F8097F" w:rsidRPr="007B4062">
        <w:rPr>
          <w:rFonts w:ascii="Times New Roman" w:hAnsi="Times New Roman" w:cs="Times New Roman"/>
          <w:sz w:val="24"/>
          <w:szCs w:val="24"/>
          <w:lang w:val="lv-LV"/>
        </w:rPr>
        <w:t xml:space="preserve">omēr </w:t>
      </w:r>
      <w:r w:rsidRPr="007B4062">
        <w:rPr>
          <w:rFonts w:ascii="Times New Roman" w:hAnsi="Times New Roman" w:cs="Times New Roman"/>
          <w:sz w:val="24"/>
          <w:szCs w:val="24"/>
          <w:lang w:val="lv-LV"/>
        </w:rPr>
        <w:t xml:space="preserve">izskatāmajā lietā ne pirmās instances tiesa, ne arī Senāts nav norādījis, ka pretendenta spēja izpildīt līgumu par piedāvāto cenu ir vienīgais nozīmīgais elements </w:t>
      </w:r>
      <w:r w:rsidR="00AF1D91" w:rsidRPr="007B4062">
        <w:rPr>
          <w:rFonts w:ascii="Times New Roman" w:hAnsi="Times New Roman" w:cs="Times New Roman"/>
          <w:sz w:val="24"/>
          <w:szCs w:val="24"/>
          <w:lang w:val="lv-LV"/>
        </w:rPr>
        <w:t xml:space="preserve">nepamatoti lēta piedāvājuma izvērtējumā </w:t>
      </w:r>
      <w:r w:rsidRPr="007B4062">
        <w:rPr>
          <w:rFonts w:ascii="Times New Roman" w:hAnsi="Times New Roman" w:cs="Times New Roman"/>
          <w:sz w:val="24"/>
          <w:szCs w:val="24"/>
          <w:lang w:val="lv-LV"/>
        </w:rPr>
        <w:t xml:space="preserve">un tam, vai iepirkuma nolikums vispār pieļauj atlaides piedāvāšanu, nav nekādas nozīmes. Nav šaubu, ka tad, ja nolikums aizliegtu pretendentiem piedāvājumos piedāvāt atlaidi, tāda piedāvājuma, kurā ir ietverta atlaide, akceptēšana nebūtu pieļaujama, jo nolikuma prasībām neatbilstoša piedāvājuma akceptēšana neapšaubāmi pārkāpj </w:t>
      </w:r>
      <w:r w:rsidR="00AF1D91" w:rsidRPr="007B4062">
        <w:rPr>
          <w:rFonts w:ascii="Times New Roman" w:hAnsi="Times New Roman" w:cs="Times New Roman"/>
          <w:sz w:val="24"/>
          <w:szCs w:val="24"/>
          <w:lang w:val="lv-LV"/>
        </w:rPr>
        <w:t>vienlīdzīgas attieksmes principu. Bet izskatāmajā gadījumā, kā jau minēts, tas, vai iepirkuma nolikums pieļāva pretendentiem piedāvāt atlaidi, ir jau izvērtēts pamatlietā</w:t>
      </w:r>
      <w:r w:rsidR="00836080" w:rsidRPr="007B4062">
        <w:rPr>
          <w:rFonts w:ascii="Times New Roman" w:hAnsi="Times New Roman" w:cs="Times New Roman"/>
          <w:sz w:val="24"/>
          <w:szCs w:val="24"/>
          <w:lang w:val="lv-LV"/>
        </w:rPr>
        <w:t>,</w:t>
      </w:r>
      <w:r w:rsidR="00AF1D91" w:rsidRPr="007B4062">
        <w:rPr>
          <w:rFonts w:ascii="Times New Roman" w:hAnsi="Times New Roman" w:cs="Times New Roman"/>
          <w:sz w:val="24"/>
          <w:szCs w:val="24"/>
          <w:lang w:val="lv-LV"/>
        </w:rPr>
        <w:t xml:space="preserve"> un </w:t>
      </w:r>
      <w:r w:rsidR="00156D17" w:rsidRPr="007B4062">
        <w:rPr>
          <w:rFonts w:ascii="Times New Roman" w:hAnsi="Times New Roman" w:cs="Times New Roman"/>
          <w:sz w:val="24"/>
          <w:szCs w:val="24"/>
          <w:lang w:val="lv-LV"/>
        </w:rPr>
        <w:t xml:space="preserve">ar spēkā stājušos tiesas spriedumu </w:t>
      </w:r>
      <w:r w:rsidR="00AF1D91" w:rsidRPr="007B4062">
        <w:rPr>
          <w:rFonts w:ascii="Times New Roman" w:hAnsi="Times New Roman" w:cs="Times New Roman"/>
          <w:sz w:val="24"/>
          <w:szCs w:val="24"/>
          <w:lang w:val="lv-LV"/>
        </w:rPr>
        <w:t>ir atzīts, ka pieteicējas piedāvājums šajā ziņā atbilda nolikuma prasībām.</w:t>
      </w:r>
    </w:p>
    <w:p w14:paraId="6015139B" w14:textId="07FA8191" w:rsidR="00F267F2" w:rsidRPr="007B4062" w:rsidRDefault="00156D17" w:rsidP="003F1B18">
      <w:pPr>
        <w:spacing w:after="0"/>
        <w:ind w:firstLine="567"/>
        <w:jc w:val="both"/>
        <w:rPr>
          <w:rFonts w:ascii="Times New Roman" w:hAnsi="Times New Roman" w:cs="Times New Roman"/>
          <w:sz w:val="24"/>
          <w:szCs w:val="24"/>
          <w:lang w:val="lv-LV" w:eastAsia="lv-LV"/>
        </w:rPr>
      </w:pPr>
      <w:r w:rsidRPr="007B4062">
        <w:rPr>
          <w:rFonts w:ascii="Times New Roman" w:hAnsi="Times New Roman" w:cs="Times New Roman"/>
          <w:sz w:val="24"/>
          <w:szCs w:val="24"/>
          <w:lang w:val="lv-LV"/>
        </w:rPr>
        <w:t xml:space="preserve">Tādējādi Senāts nesaskata, ka atbilde uz minēto kasatores rosināto jautājumu var būt nozīmīga </w:t>
      </w:r>
      <w:r w:rsidR="0082462B" w:rsidRPr="007B4062">
        <w:rPr>
          <w:rFonts w:ascii="Times New Roman" w:hAnsi="Times New Roman" w:cs="Times New Roman"/>
          <w:sz w:val="24"/>
          <w:szCs w:val="24"/>
          <w:lang w:val="lv-LV"/>
        </w:rPr>
        <w:t>lietas izspriešanai, jo jautājums balstīts kļūdainā izpratnē par lietas apstākļiem.</w:t>
      </w:r>
      <w:r w:rsidRPr="007B4062">
        <w:rPr>
          <w:rFonts w:ascii="Times New Roman" w:hAnsi="Times New Roman" w:cs="Times New Roman"/>
          <w:sz w:val="24"/>
          <w:szCs w:val="24"/>
          <w:lang w:val="lv-LV"/>
        </w:rPr>
        <w:t xml:space="preserve"> </w:t>
      </w:r>
      <w:r w:rsidR="0082462B" w:rsidRPr="007B4062">
        <w:rPr>
          <w:rFonts w:ascii="Times New Roman" w:hAnsi="Times New Roman" w:cs="Times New Roman"/>
          <w:sz w:val="24"/>
          <w:szCs w:val="24"/>
          <w:lang w:val="lv-LV"/>
        </w:rPr>
        <w:t xml:space="preserve">Līdz ar to kasatores lūgums par vēršanos Eiropas Savienības </w:t>
      </w:r>
      <w:r w:rsidR="00836080" w:rsidRPr="007B4062">
        <w:rPr>
          <w:rFonts w:ascii="Times New Roman" w:hAnsi="Times New Roman" w:cs="Times New Roman"/>
          <w:sz w:val="24"/>
          <w:szCs w:val="24"/>
          <w:lang w:val="lv-LV"/>
        </w:rPr>
        <w:t>T</w:t>
      </w:r>
      <w:r w:rsidR="0082462B" w:rsidRPr="007B4062">
        <w:rPr>
          <w:rFonts w:ascii="Times New Roman" w:hAnsi="Times New Roman" w:cs="Times New Roman"/>
          <w:sz w:val="24"/>
          <w:szCs w:val="24"/>
          <w:lang w:val="lv-LV"/>
        </w:rPr>
        <w:t>iesā ir noraidāms.</w:t>
      </w:r>
    </w:p>
    <w:p w14:paraId="239E1334" w14:textId="77777777" w:rsidR="001F05A2" w:rsidRPr="007B4062" w:rsidRDefault="001F05A2" w:rsidP="003F1B18">
      <w:pPr>
        <w:spacing w:after="0"/>
        <w:ind w:firstLine="567"/>
        <w:jc w:val="both"/>
        <w:rPr>
          <w:rFonts w:ascii="Times New Roman" w:hAnsi="Times New Roman" w:cs="Times New Roman"/>
          <w:sz w:val="24"/>
          <w:szCs w:val="24"/>
          <w:lang w:val="lv-LV" w:eastAsia="lv-LV"/>
        </w:rPr>
      </w:pPr>
    </w:p>
    <w:p w14:paraId="025368F8" w14:textId="77777777" w:rsidR="000802E4" w:rsidRPr="007B4062" w:rsidRDefault="008B54A0" w:rsidP="003F1B18">
      <w:pPr>
        <w:shd w:val="clear" w:color="auto" w:fill="FFFFFF"/>
        <w:spacing w:after="0"/>
        <w:jc w:val="center"/>
        <w:rPr>
          <w:rFonts w:ascii="Times New Roman" w:eastAsiaTheme="minorHAnsi" w:hAnsi="Times New Roman" w:cs="Times New Roman"/>
          <w:b/>
          <w:bCs/>
          <w:sz w:val="24"/>
          <w:szCs w:val="24"/>
          <w:lang w:val="lv-LV"/>
        </w:rPr>
      </w:pPr>
      <w:r w:rsidRPr="007B4062">
        <w:rPr>
          <w:rFonts w:ascii="Times New Roman" w:eastAsiaTheme="minorHAnsi" w:hAnsi="Times New Roman" w:cs="Times New Roman"/>
          <w:b/>
          <w:bCs/>
          <w:sz w:val="24"/>
          <w:szCs w:val="24"/>
          <w:lang w:val="lv-LV"/>
        </w:rPr>
        <w:t>III</w:t>
      </w:r>
    </w:p>
    <w:p w14:paraId="54EE929D" w14:textId="77777777" w:rsidR="008B54A0" w:rsidRPr="007B4062" w:rsidRDefault="008B54A0" w:rsidP="003F1B18">
      <w:pPr>
        <w:spacing w:after="0"/>
        <w:ind w:firstLine="567"/>
        <w:jc w:val="both"/>
        <w:rPr>
          <w:rFonts w:ascii="Times New Roman" w:hAnsi="Times New Roman" w:cs="Times New Roman"/>
          <w:sz w:val="24"/>
          <w:szCs w:val="24"/>
          <w:lang w:val="lv-LV"/>
        </w:rPr>
      </w:pPr>
    </w:p>
    <w:p w14:paraId="3BF91A58" w14:textId="5C29AFBE" w:rsidR="00117874" w:rsidRPr="007B4062" w:rsidRDefault="008B54A0"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[16]</w:t>
      </w:r>
      <w:r w:rsidR="000E7DAC">
        <w:rPr>
          <w:rFonts w:ascii="Times New Roman" w:hAnsi="Times New Roman" w:cs="Times New Roman"/>
          <w:sz w:val="24"/>
          <w:szCs w:val="24"/>
          <w:lang w:val="lv-LV"/>
        </w:rPr>
        <w:t> </w:t>
      </w:r>
      <w:r w:rsidRPr="007B4062">
        <w:rPr>
          <w:rFonts w:ascii="Times New Roman" w:hAnsi="Times New Roman" w:cs="Times New Roman"/>
          <w:sz w:val="24"/>
          <w:szCs w:val="24"/>
          <w:lang w:val="lv-LV"/>
        </w:rPr>
        <w:t xml:space="preserve">Kasatore argumentējusi, ka </w:t>
      </w:r>
      <w:r w:rsidR="006C144D" w:rsidRPr="007B4062">
        <w:rPr>
          <w:rFonts w:ascii="Times New Roman" w:hAnsi="Times New Roman" w:cs="Times New Roman"/>
          <w:sz w:val="24"/>
          <w:szCs w:val="24"/>
          <w:lang w:val="lv-LV"/>
        </w:rPr>
        <w:t xml:space="preserve">tiesa nepamatoti nav pievērsusi uzmanību tam, ka </w:t>
      </w:r>
      <w:r w:rsidRPr="007B4062">
        <w:rPr>
          <w:rFonts w:ascii="Times New Roman" w:hAnsi="Times New Roman" w:cs="Times New Roman"/>
          <w:sz w:val="24"/>
          <w:szCs w:val="24"/>
          <w:lang w:val="lv-LV"/>
        </w:rPr>
        <w:t xml:space="preserve">pieteicēja nebūtu uzvarējusi iepirkumā arī tādēļ, ka </w:t>
      </w:r>
      <w:r w:rsidR="0042697F" w:rsidRPr="007B4062">
        <w:rPr>
          <w:rFonts w:ascii="Times New Roman" w:hAnsi="Times New Roman" w:cs="Times New Roman"/>
          <w:sz w:val="24"/>
          <w:szCs w:val="24"/>
          <w:lang w:val="lv-LV"/>
        </w:rPr>
        <w:t xml:space="preserve">atlaides piedāvāšanu un attiecīgi arī </w:t>
      </w:r>
      <w:r w:rsidRPr="007B4062">
        <w:rPr>
          <w:rFonts w:ascii="Times New Roman" w:hAnsi="Times New Roman" w:cs="Times New Roman"/>
          <w:sz w:val="24"/>
          <w:szCs w:val="24"/>
          <w:lang w:val="lv-LV"/>
        </w:rPr>
        <w:t>pieteicējas uzvaru nepieļāva Interešu konflikta novēršanas likum</w:t>
      </w:r>
      <w:r w:rsidR="006C144D" w:rsidRPr="007B4062">
        <w:rPr>
          <w:rFonts w:ascii="Times New Roman" w:hAnsi="Times New Roman" w:cs="Times New Roman"/>
          <w:sz w:val="24"/>
          <w:szCs w:val="24"/>
          <w:lang w:val="lv-LV"/>
        </w:rPr>
        <w:t>s</w:t>
      </w:r>
      <w:r w:rsidRPr="007B4062">
        <w:rPr>
          <w:rFonts w:ascii="Times New Roman" w:hAnsi="Times New Roman" w:cs="Times New Roman"/>
          <w:sz w:val="24"/>
          <w:szCs w:val="24"/>
          <w:lang w:val="lv-LV"/>
        </w:rPr>
        <w:t>.</w:t>
      </w:r>
      <w:r w:rsidR="006C144D" w:rsidRPr="007B4062">
        <w:rPr>
          <w:rFonts w:ascii="Times New Roman" w:hAnsi="Times New Roman" w:cs="Times New Roman"/>
          <w:sz w:val="24"/>
          <w:szCs w:val="24"/>
          <w:lang w:val="lv-LV"/>
        </w:rPr>
        <w:t xml:space="preserve"> Kasatore uzsver, ka </w:t>
      </w:r>
      <w:r w:rsidR="00EC7A01" w:rsidRPr="007B4062">
        <w:rPr>
          <w:rFonts w:ascii="Times New Roman" w:hAnsi="Times New Roman" w:cs="Times New Roman"/>
          <w:sz w:val="24"/>
          <w:szCs w:val="24"/>
          <w:lang w:val="lv-LV"/>
        </w:rPr>
        <w:t>šā</w:t>
      </w:r>
      <w:r w:rsidR="006C144D" w:rsidRPr="007B4062">
        <w:rPr>
          <w:rFonts w:ascii="Times New Roman" w:hAnsi="Times New Roman" w:cs="Times New Roman"/>
          <w:sz w:val="24"/>
          <w:szCs w:val="24"/>
          <w:lang w:val="lv-LV"/>
        </w:rPr>
        <w:t xml:space="preserve"> likuma 14.pants aizliedz iepirkuma komisijai kā koleģiālai institūcijai pieņemt no pretendentiem ziedojumu, ja ziedojums ietekmē lēmuma pieņemšanu attiecībā uz ziedojuma devēju.  </w:t>
      </w:r>
      <w:r w:rsidR="00E17B1F">
        <w:rPr>
          <w:rFonts w:ascii="Times New Roman" w:hAnsi="Times New Roman" w:cs="Times New Roman"/>
          <w:sz w:val="24"/>
          <w:szCs w:val="24"/>
          <w:lang w:val="lv-LV"/>
        </w:rPr>
        <w:t>T</w:t>
      </w:r>
      <w:r w:rsidR="00E17B1F" w:rsidRPr="007B4062">
        <w:rPr>
          <w:rFonts w:ascii="Times New Roman" w:hAnsi="Times New Roman" w:cs="Times New Roman"/>
          <w:sz w:val="24"/>
          <w:szCs w:val="24"/>
          <w:lang w:val="lv-LV"/>
        </w:rPr>
        <w:t xml:space="preserve">ā </w:t>
      </w:r>
      <w:r w:rsidR="007007F8" w:rsidRPr="007B4062">
        <w:rPr>
          <w:rFonts w:ascii="Times New Roman" w:hAnsi="Times New Roman" w:cs="Times New Roman"/>
          <w:sz w:val="24"/>
          <w:szCs w:val="24"/>
          <w:lang w:val="lv-LV"/>
        </w:rPr>
        <w:t>kā p</w:t>
      </w:r>
      <w:r w:rsidR="006C144D" w:rsidRPr="007B4062">
        <w:rPr>
          <w:rFonts w:ascii="Times New Roman" w:hAnsi="Times New Roman" w:cs="Times New Roman"/>
          <w:sz w:val="24"/>
          <w:szCs w:val="24"/>
          <w:lang w:val="lv-LV"/>
        </w:rPr>
        <w:t xml:space="preserve">ieteicēja piedāvāja cenu ar atlaidi, </w:t>
      </w:r>
      <w:r w:rsidR="0042697F" w:rsidRPr="007B4062">
        <w:rPr>
          <w:rFonts w:ascii="Times New Roman" w:hAnsi="Times New Roman" w:cs="Times New Roman"/>
          <w:sz w:val="24"/>
          <w:szCs w:val="24"/>
          <w:lang w:val="lv-LV"/>
        </w:rPr>
        <w:t>norādot</w:t>
      </w:r>
      <w:r w:rsidR="006C144D" w:rsidRPr="007B4062">
        <w:rPr>
          <w:rFonts w:ascii="Times New Roman" w:hAnsi="Times New Roman" w:cs="Times New Roman"/>
          <w:sz w:val="24"/>
          <w:szCs w:val="24"/>
          <w:lang w:val="lv-LV"/>
        </w:rPr>
        <w:t xml:space="preserve">, ka attiecīgās izmaksas apņemas segt pati, </w:t>
      </w:r>
      <w:r w:rsidR="00E17B1F">
        <w:rPr>
          <w:rFonts w:ascii="Times New Roman" w:hAnsi="Times New Roman" w:cs="Times New Roman"/>
          <w:sz w:val="24"/>
          <w:szCs w:val="24"/>
          <w:lang w:val="lv-LV"/>
        </w:rPr>
        <w:t>k</w:t>
      </w:r>
      <w:r w:rsidR="00E17B1F" w:rsidRPr="007B4062">
        <w:rPr>
          <w:rFonts w:ascii="Times New Roman" w:hAnsi="Times New Roman" w:cs="Times New Roman"/>
          <w:sz w:val="24"/>
          <w:szCs w:val="24"/>
          <w:lang w:val="lv-LV"/>
        </w:rPr>
        <w:t>asatores ieskatā</w:t>
      </w:r>
      <w:r w:rsidR="00534D26">
        <w:rPr>
          <w:rFonts w:ascii="Times New Roman" w:hAnsi="Times New Roman" w:cs="Times New Roman"/>
          <w:sz w:val="24"/>
          <w:szCs w:val="24"/>
          <w:lang w:val="lv-LV"/>
        </w:rPr>
        <w:t>,</w:t>
      </w:r>
      <w:r w:rsidR="00E17B1F">
        <w:rPr>
          <w:rFonts w:ascii="Times New Roman" w:hAnsi="Times New Roman" w:cs="Times New Roman"/>
          <w:sz w:val="24"/>
          <w:szCs w:val="24"/>
          <w:lang w:val="lv-LV"/>
        </w:rPr>
        <w:t xml:space="preserve"> </w:t>
      </w:r>
      <w:r w:rsidR="007007F8" w:rsidRPr="007B4062">
        <w:rPr>
          <w:rFonts w:ascii="Times New Roman" w:hAnsi="Times New Roman" w:cs="Times New Roman"/>
          <w:sz w:val="24"/>
          <w:szCs w:val="24"/>
          <w:lang w:val="lv-LV"/>
        </w:rPr>
        <w:t xml:space="preserve">atlaide </w:t>
      </w:r>
      <w:r w:rsidR="006C144D" w:rsidRPr="007B4062">
        <w:rPr>
          <w:rFonts w:ascii="Times New Roman" w:hAnsi="Times New Roman" w:cs="Times New Roman"/>
          <w:sz w:val="24"/>
          <w:szCs w:val="24"/>
          <w:lang w:val="lv-LV"/>
        </w:rPr>
        <w:t>ir vērtējam</w:t>
      </w:r>
      <w:r w:rsidR="00EC7A01" w:rsidRPr="007B4062">
        <w:rPr>
          <w:rFonts w:ascii="Times New Roman" w:hAnsi="Times New Roman" w:cs="Times New Roman"/>
          <w:sz w:val="24"/>
          <w:szCs w:val="24"/>
          <w:lang w:val="lv-LV"/>
        </w:rPr>
        <w:t>a</w:t>
      </w:r>
      <w:r w:rsidR="006C144D" w:rsidRPr="007B4062">
        <w:rPr>
          <w:rFonts w:ascii="Times New Roman" w:hAnsi="Times New Roman" w:cs="Times New Roman"/>
          <w:sz w:val="24"/>
          <w:szCs w:val="24"/>
          <w:lang w:val="lv-LV"/>
        </w:rPr>
        <w:t xml:space="preserve"> kā ziedojums.</w:t>
      </w:r>
      <w:r w:rsidR="00895A3E" w:rsidRPr="007B4062">
        <w:rPr>
          <w:rFonts w:ascii="Times New Roman" w:hAnsi="Times New Roman" w:cs="Times New Roman"/>
          <w:sz w:val="24"/>
          <w:szCs w:val="24"/>
          <w:lang w:val="lv-LV"/>
        </w:rPr>
        <w:t xml:space="preserve"> Tā kā šā ziedojuma akceptēšanas rezultātā pieteicējas piedāvājumam </w:t>
      </w:r>
      <w:r w:rsidR="00F90F90">
        <w:rPr>
          <w:rFonts w:ascii="Times New Roman" w:hAnsi="Times New Roman" w:cs="Times New Roman"/>
          <w:sz w:val="24"/>
          <w:szCs w:val="24"/>
          <w:lang w:val="lv-LV"/>
        </w:rPr>
        <w:t>veidojas</w:t>
      </w:r>
      <w:r w:rsidR="00895A3E" w:rsidRPr="007B4062">
        <w:rPr>
          <w:rFonts w:ascii="Times New Roman" w:hAnsi="Times New Roman" w:cs="Times New Roman"/>
          <w:sz w:val="24"/>
          <w:szCs w:val="24"/>
          <w:lang w:val="lv-LV"/>
        </w:rPr>
        <w:t xml:space="preserve"> zemākā cena, šis ziedojums ietekmējot lēmuma pieņemšanu attiecībā pret pieteicēju.</w:t>
      </w:r>
    </w:p>
    <w:p w14:paraId="790D8416" w14:textId="40EAB079" w:rsidR="00204244" w:rsidRPr="007B4062" w:rsidRDefault="00204244"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Senāts turpmāk norādīto apsvērumu dēļ šo argumentu atzīst par nepamatotu.</w:t>
      </w:r>
    </w:p>
    <w:p w14:paraId="1120219B" w14:textId="77777777" w:rsidR="00204244" w:rsidRPr="007B4062" w:rsidRDefault="00204244" w:rsidP="003F1B18">
      <w:pPr>
        <w:spacing w:after="0"/>
        <w:ind w:firstLine="567"/>
        <w:jc w:val="both"/>
        <w:rPr>
          <w:rFonts w:ascii="Times New Roman" w:hAnsi="Times New Roman" w:cs="Times New Roman"/>
          <w:sz w:val="24"/>
          <w:szCs w:val="24"/>
          <w:lang w:val="lv-LV"/>
        </w:rPr>
      </w:pPr>
    </w:p>
    <w:p w14:paraId="3F2BC2CB" w14:textId="64415DF6" w:rsidR="007007F8" w:rsidRPr="007B4062" w:rsidRDefault="00906D22" w:rsidP="003F1B18">
      <w:pPr>
        <w:spacing w:after="0"/>
        <w:ind w:firstLine="567"/>
        <w:jc w:val="both"/>
        <w:rPr>
          <w:rFonts w:ascii="Times New Roman" w:hAnsi="Times New Roman" w:cs="Times New Roman"/>
          <w:sz w:val="24"/>
          <w:szCs w:val="24"/>
          <w:shd w:val="clear" w:color="auto" w:fill="FFFFFF"/>
          <w:lang w:val="lv-LV"/>
        </w:rPr>
      </w:pPr>
      <w:r w:rsidRPr="007B4062">
        <w:rPr>
          <w:rFonts w:ascii="Times New Roman" w:hAnsi="Times New Roman" w:cs="Times New Roman"/>
          <w:sz w:val="24"/>
          <w:szCs w:val="24"/>
          <w:lang w:val="lv-LV"/>
        </w:rPr>
        <w:t>[17]</w:t>
      </w:r>
      <w:r w:rsidR="000E7DAC">
        <w:rPr>
          <w:rFonts w:ascii="Times New Roman" w:hAnsi="Times New Roman" w:cs="Times New Roman"/>
          <w:sz w:val="24"/>
          <w:szCs w:val="24"/>
          <w:lang w:val="lv-LV"/>
        </w:rPr>
        <w:t> </w:t>
      </w:r>
      <w:r w:rsidRPr="007B4062">
        <w:rPr>
          <w:rFonts w:ascii="Times New Roman" w:hAnsi="Times New Roman" w:cs="Times New Roman"/>
          <w:sz w:val="24"/>
          <w:szCs w:val="24"/>
          <w:lang w:val="lv-LV"/>
        </w:rPr>
        <w:t>Atbilstoši Interešu konflikta novēršanas likuma (</w:t>
      </w:r>
      <w:r w:rsidRPr="0045627A">
        <w:rPr>
          <w:rFonts w:ascii="Times New Roman" w:hAnsi="Times New Roman" w:cs="Times New Roman"/>
          <w:sz w:val="24"/>
          <w:szCs w:val="24"/>
          <w:lang w:val="lv-LV"/>
        </w:rPr>
        <w:t>redakcijā, kas bija spēkā iepirkuma norises laikā</w:t>
      </w:r>
      <w:r w:rsidRPr="007B4062">
        <w:rPr>
          <w:rFonts w:ascii="Times New Roman" w:hAnsi="Times New Roman" w:cs="Times New Roman"/>
          <w:sz w:val="24"/>
          <w:szCs w:val="24"/>
          <w:lang w:val="lv-LV"/>
        </w:rPr>
        <w:t xml:space="preserve">) 2.pantam šā </w:t>
      </w:r>
      <w:r w:rsidRPr="007B4062">
        <w:rPr>
          <w:rFonts w:ascii="Times New Roman" w:hAnsi="Times New Roman" w:cs="Times New Roman"/>
          <w:sz w:val="24"/>
          <w:szCs w:val="24"/>
          <w:shd w:val="clear" w:color="auto" w:fill="FFFFFF"/>
          <w:lang w:val="lv-LV"/>
        </w:rPr>
        <w:t xml:space="preserve">likuma mērķis ir nodrošināt valsts amatpersonu darbību sabiedrības interesēs, novēršot jebkuras valsts amatpersonas, tās radinieku vai darījumu partneru personiskās vai mantiskās ieinteresētības ietekmi uz valsts amatpersonas darbību, veicināt valsts amatpersonu darbības atklātumu un atbildību sabiedrības priekšā, kā arī sabiedrības uzticēšanos valsts amatpersonu darbībai. </w:t>
      </w:r>
    </w:p>
    <w:p w14:paraId="25D593C5" w14:textId="4647E437" w:rsidR="00906D22" w:rsidRPr="007B4062" w:rsidRDefault="00906D22"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shd w:val="clear" w:color="auto" w:fill="FFFFFF"/>
          <w:lang w:val="lv-LV"/>
        </w:rPr>
        <w:t xml:space="preserve">Šā mērķa gaismā tulkojamas arī likumā ietvertās tiesību normas, tostarp arī kasatores norādītais </w:t>
      </w:r>
      <w:r w:rsidR="007007F8" w:rsidRPr="007B4062">
        <w:rPr>
          <w:rFonts w:ascii="Times New Roman" w:hAnsi="Times New Roman" w:cs="Times New Roman"/>
          <w:sz w:val="24"/>
          <w:szCs w:val="24"/>
          <w:shd w:val="clear" w:color="auto" w:fill="FFFFFF"/>
          <w:lang w:val="lv-LV"/>
        </w:rPr>
        <w:t xml:space="preserve">likuma </w:t>
      </w:r>
      <w:r w:rsidRPr="007B4062">
        <w:rPr>
          <w:rFonts w:ascii="Times New Roman" w:hAnsi="Times New Roman" w:cs="Times New Roman"/>
          <w:sz w:val="24"/>
          <w:szCs w:val="24"/>
          <w:shd w:val="clear" w:color="auto" w:fill="FFFFFF"/>
          <w:lang w:val="lv-LV"/>
        </w:rPr>
        <w:t>14.pants.</w:t>
      </w:r>
      <w:r w:rsidR="007007F8" w:rsidRPr="007B4062">
        <w:rPr>
          <w:rFonts w:ascii="Times New Roman" w:hAnsi="Times New Roman" w:cs="Times New Roman"/>
          <w:sz w:val="24"/>
          <w:szCs w:val="24"/>
          <w:shd w:val="clear" w:color="auto" w:fill="FFFFFF"/>
          <w:lang w:val="lv-LV"/>
        </w:rPr>
        <w:t xml:space="preserve"> Šā panta</w:t>
      </w:r>
      <w:r w:rsidRPr="007B4062">
        <w:rPr>
          <w:rFonts w:ascii="Times New Roman" w:hAnsi="Times New Roman" w:cs="Times New Roman"/>
          <w:sz w:val="24"/>
          <w:szCs w:val="24"/>
          <w:shd w:val="clear" w:color="auto" w:fill="FFFFFF"/>
          <w:lang w:val="lv-LV"/>
        </w:rPr>
        <w:t xml:space="preserve"> pirmā </w:t>
      </w:r>
      <w:r w:rsidR="00895A3E" w:rsidRPr="007B4062">
        <w:rPr>
          <w:rFonts w:ascii="Times New Roman" w:hAnsi="Times New Roman" w:cs="Times New Roman"/>
          <w:sz w:val="24"/>
          <w:szCs w:val="24"/>
          <w:shd w:val="clear" w:color="auto" w:fill="FFFFFF"/>
          <w:lang w:val="lv-LV"/>
        </w:rPr>
        <w:t xml:space="preserve">un otrā daļa </w:t>
      </w:r>
      <w:r w:rsidRPr="007B4062">
        <w:rPr>
          <w:rFonts w:ascii="Times New Roman" w:hAnsi="Times New Roman" w:cs="Times New Roman"/>
          <w:sz w:val="24"/>
          <w:szCs w:val="24"/>
          <w:shd w:val="clear" w:color="auto" w:fill="FFFFFF"/>
          <w:lang w:val="lv-LV"/>
        </w:rPr>
        <w:t>noteic</w:t>
      </w:r>
      <w:r w:rsidR="00B11828" w:rsidRPr="007B4062">
        <w:rPr>
          <w:rFonts w:ascii="Times New Roman" w:hAnsi="Times New Roman" w:cs="Times New Roman"/>
          <w:sz w:val="24"/>
          <w:szCs w:val="24"/>
          <w:shd w:val="clear" w:color="auto" w:fill="FFFFFF"/>
          <w:lang w:val="lv-LV"/>
        </w:rPr>
        <w:t>, ka</w:t>
      </w:r>
      <w:r w:rsidRPr="007B4062">
        <w:rPr>
          <w:rFonts w:ascii="Times New Roman" w:hAnsi="Times New Roman" w:cs="Times New Roman"/>
          <w:sz w:val="24"/>
          <w:szCs w:val="24"/>
          <w:shd w:val="clear" w:color="auto" w:fill="FFFFFF"/>
          <w:lang w:val="lv-LV"/>
        </w:rPr>
        <w:t xml:space="preserve"> p</w:t>
      </w:r>
      <w:r w:rsidRPr="007B4062">
        <w:rPr>
          <w:rFonts w:ascii="Times New Roman" w:hAnsi="Times New Roman" w:cs="Times New Roman"/>
          <w:sz w:val="24"/>
          <w:szCs w:val="24"/>
          <w:lang w:val="lv-LV"/>
        </w:rPr>
        <w:t>ar ziedojumu šā likuma izpratnē uzskatāma finanšu līdzekļu, preces vai pakalpojumu bezatlīdzības atvēlēšana (nodošana) noteiktiem mērķiem.</w:t>
      </w:r>
      <w:r w:rsidR="00895A3E" w:rsidRPr="007B4062">
        <w:rPr>
          <w:rFonts w:ascii="Times New Roman" w:hAnsi="Times New Roman" w:cs="Times New Roman"/>
          <w:sz w:val="24"/>
          <w:szCs w:val="24"/>
          <w:lang w:val="lv-LV"/>
        </w:rPr>
        <w:t xml:space="preserve"> </w:t>
      </w:r>
      <w:r w:rsidR="00B11828" w:rsidRPr="007B4062">
        <w:rPr>
          <w:rFonts w:ascii="Times New Roman" w:hAnsi="Times New Roman" w:cs="Times New Roman"/>
          <w:sz w:val="24"/>
          <w:szCs w:val="24"/>
          <w:lang w:val="lv-LV"/>
        </w:rPr>
        <w:t>V</w:t>
      </w:r>
      <w:r w:rsidRPr="007B4062">
        <w:rPr>
          <w:rFonts w:ascii="Times New Roman" w:hAnsi="Times New Roman" w:cs="Times New Roman"/>
          <w:sz w:val="24"/>
          <w:szCs w:val="24"/>
          <w:lang w:val="lv-LV"/>
        </w:rPr>
        <w:t>alsts amatpersonai vai koleģiālai institūcijai ir aizliegts prasīt vai pieņemt no fiziskās vai juridiskās personas ziedojumu, kā arī cita veida mantisku palīdzību publiskām vajadzībām, ja ziedojums vai palīdzība ietekmē lēmuma pieņemšanu attiecībā uz šo fizisko vai juridisko personu.</w:t>
      </w:r>
    </w:p>
    <w:p w14:paraId="1FACB1BB" w14:textId="7DDB92D0" w:rsidR="00EE4F1C" w:rsidRPr="007B4062" w:rsidRDefault="00204244"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Tulkojot minētās tiesību normas kontekstā ar likuma mērķi, Senāts atzīst, ka šo </w:t>
      </w:r>
      <w:r w:rsidR="00F740CD" w:rsidRPr="007B4062">
        <w:rPr>
          <w:rFonts w:ascii="Times New Roman" w:hAnsi="Times New Roman" w:cs="Times New Roman"/>
          <w:sz w:val="24"/>
          <w:szCs w:val="24"/>
          <w:lang w:val="lv-LV"/>
        </w:rPr>
        <w:t xml:space="preserve">normu </w:t>
      </w:r>
      <w:r w:rsidR="00EE4F1C" w:rsidRPr="007B4062">
        <w:rPr>
          <w:rFonts w:ascii="Times New Roman" w:hAnsi="Times New Roman" w:cs="Times New Roman"/>
          <w:sz w:val="24"/>
          <w:szCs w:val="24"/>
          <w:lang w:val="lv-LV"/>
        </w:rPr>
        <w:t>pamat</w:t>
      </w:r>
      <w:r w:rsidR="00F740CD" w:rsidRPr="007B4062">
        <w:rPr>
          <w:rFonts w:ascii="Times New Roman" w:hAnsi="Times New Roman" w:cs="Times New Roman"/>
          <w:sz w:val="24"/>
          <w:szCs w:val="24"/>
          <w:lang w:val="lv-LV"/>
        </w:rPr>
        <w:t>jēga ir</w:t>
      </w:r>
      <w:r w:rsidR="00542623" w:rsidRPr="007B4062">
        <w:rPr>
          <w:rFonts w:ascii="Times New Roman" w:hAnsi="Times New Roman" w:cs="Times New Roman"/>
          <w:sz w:val="24"/>
          <w:szCs w:val="24"/>
          <w:lang w:val="lv-LV"/>
        </w:rPr>
        <w:t>: 1)</w:t>
      </w:r>
      <w:r w:rsidR="000E7DAC">
        <w:rPr>
          <w:rFonts w:ascii="Times New Roman" w:hAnsi="Times New Roman" w:cs="Times New Roman"/>
          <w:sz w:val="24"/>
          <w:szCs w:val="24"/>
          <w:lang w:val="lv-LV"/>
        </w:rPr>
        <w:t> </w:t>
      </w:r>
      <w:r w:rsidR="00542623" w:rsidRPr="007B4062">
        <w:rPr>
          <w:rFonts w:ascii="Times New Roman" w:hAnsi="Times New Roman" w:cs="Times New Roman"/>
          <w:sz w:val="24"/>
          <w:szCs w:val="24"/>
          <w:lang w:val="lv-LV"/>
        </w:rPr>
        <w:t xml:space="preserve">nepieļaut, </w:t>
      </w:r>
      <w:r w:rsidR="00F740CD" w:rsidRPr="007B4062">
        <w:rPr>
          <w:rFonts w:ascii="Times New Roman" w:hAnsi="Times New Roman" w:cs="Times New Roman"/>
          <w:sz w:val="24"/>
          <w:szCs w:val="24"/>
          <w:lang w:val="lv-LV"/>
        </w:rPr>
        <w:t>ka persona</w:t>
      </w:r>
      <w:r w:rsidR="00EE4F1C" w:rsidRPr="007B4062">
        <w:rPr>
          <w:rFonts w:ascii="Times New Roman" w:hAnsi="Times New Roman" w:cs="Times New Roman"/>
          <w:sz w:val="24"/>
          <w:szCs w:val="24"/>
          <w:lang w:val="lv-LV"/>
        </w:rPr>
        <w:t>s</w:t>
      </w:r>
      <w:r w:rsidR="00B74154" w:rsidRPr="007B4062">
        <w:rPr>
          <w:rFonts w:ascii="Times New Roman" w:hAnsi="Times New Roman" w:cs="Times New Roman"/>
          <w:sz w:val="24"/>
          <w:szCs w:val="24"/>
          <w:lang w:val="lv-LV"/>
        </w:rPr>
        <w:t xml:space="preserve"> </w:t>
      </w:r>
      <w:r w:rsidR="00EE4F1C" w:rsidRPr="007B4062">
        <w:rPr>
          <w:rFonts w:ascii="Times New Roman" w:hAnsi="Times New Roman" w:cs="Times New Roman"/>
          <w:sz w:val="24"/>
          <w:szCs w:val="24"/>
          <w:lang w:val="lv-LV"/>
        </w:rPr>
        <w:t xml:space="preserve">piedāvāts ziedojums valsts amatpersonas nostāda tādā situācijā, ka </w:t>
      </w:r>
      <w:r w:rsidR="00453699" w:rsidRPr="007B4062">
        <w:rPr>
          <w:rFonts w:ascii="Times New Roman" w:hAnsi="Times New Roman" w:cs="Times New Roman"/>
          <w:sz w:val="24"/>
          <w:szCs w:val="24"/>
          <w:lang w:val="lv-LV"/>
        </w:rPr>
        <w:t xml:space="preserve">to lēmumu ietekmē </w:t>
      </w:r>
      <w:r w:rsidR="00EE4F1C" w:rsidRPr="007B4062">
        <w:rPr>
          <w:rFonts w:ascii="Times New Roman" w:hAnsi="Times New Roman" w:cs="Times New Roman"/>
          <w:sz w:val="24"/>
          <w:szCs w:val="24"/>
          <w:lang w:val="lv-LV"/>
        </w:rPr>
        <w:t>ziedojuma izraisīta mantiska vai personiska ieinteresētība</w:t>
      </w:r>
      <w:r w:rsidR="00542623" w:rsidRPr="007B4062">
        <w:rPr>
          <w:rFonts w:ascii="Times New Roman" w:hAnsi="Times New Roman" w:cs="Times New Roman"/>
          <w:sz w:val="24"/>
          <w:szCs w:val="24"/>
          <w:lang w:val="lv-LV"/>
        </w:rPr>
        <w:t>;</w:t>
      </w:r>
      <w:r w:rsidR="00EE4F1C" w:rsidRPr="007B4062">
        <w:rPr>
          <w:rFonts w:ascii="Times New Roman" w:hAnsi="Times New Roman" w:cs="Times New Roman"/>
          <w:sz w:val="24"/>
          <w:szCs w:val="24"/>
          <w:lang w:val="lv-LV"/>
        </w:rPr>
        <w:t xml:space="preserve"> </w:t>
      </w:r>
      <w:r w:rsidR="00542623" w:rsidRPr="007B4062">
        <w:rPr>
          <w:rFonts w:ascii="Times New Roman" w:hAnsi="Times New Roman" w:cs="Times New Roman"/>
          <w:sz w:val="24"/>
          <w:szCs w:val="24"/>
          <w:lang w:val="lv-LV"/>
        </w:rPr>
        <w:t>2)</w:t>
      </w:r>
      <w:r w:rsidR="00A227E5" w:rsidRPr="007B4062">
        <w:rPr>
          <w:rFonts w:ascii="Times New Roman" w:hAnsi="Times New Roman" w:cs="Times New Roman"/>
          <w:sz w:val="24"/>
          <w:szCs w:val="24"/>
          <w:lang w:val="lv-LV"/>
        </w:rPr>
        <w:t> </w:t>
      </w:r>
      <w:r w:rsidR="007007F8" w:rsidRPr="007B4062">
        <w:rPr>
          <w:rFonts w:ascii="Times New Roman" w:hAnsi="Times New Roman" w:cs="Times New Roman"/>
          <w:sz w:val="24"/>
          <w:szCs w:val="24"/>
          <w:lang w:val="lv-LV"/>
        </w:rPr>
        <w:t xml:space="preserve">nepieļaut, </w:t>
      </w:r>
      <w:r w:rsidR="00EE4F1C" w:rsidRPr="007B4062">
        <w:rPr>
          <w:rFonts w:ascii="Times New Roman" w:hAnsi="Times New Roman" w:cs="Times New Roman"/>
          <w:sz w:val="24"/>
          <w:szCs w:val="24"/>
          <w:lang w:val="lv-LV"/>
        </w:rPr>
        <w:t>ka ziedojuma saņemšana</w:t>
      </w:r>
      <w:r w:rsidR="00A227E5" w:rsidRPr="007B4062">
        <w:rPr>
          <w:rFonts w:ascii="Times New Roman" w:hAnsi="Times New Roman" w:cs="Times New Roman"/>
          <w:sz w:val="24"/>
          <w:szCs w:val="24"/>
          <w:lang w:val="lv-LV"/>
        </w:rPr>
        <w:t xml:space="preserve"> (ziedojuma piedāvājums</w:t>
      </w:r>
      <w:r w:rsidR="00542623" w:rsidRPr="007B4062">
        <w:rPr>
          <w:rFonts w:ascii="Times New Roman" w:hAnsi="Times New Roman" w:cs="Times New Roman"/>
          <w:sz w:val="24"/>
          <w:szCs w:val="24"/>
          <w:lang w:val="lv-LV"/>
        </w:rPr>
        <w:t>)</w:t>
      </w:r>
      <w:r w:rsidR="00EE4F1C" w:rsidRPr="007B4062">
        <w:rPr>
          <w:rFonts w:ascii="Times New Roman" w:hAnsi="Times New Roman" w:cs="Times New Roman"/>
          <w:sz w:val="24"/>
          <w:szCs w:val="24"/>
          <w:lang w:val="lv-LV"/>
        </w:rPr>
        <w:t xml:space="preserve"> </w:t>
      </w:r>
      <w:r w:rsidR="00A227E5" w:rsidRPr="007B4062">
        <w:rPr>
          <w:rFonts w:ascii="Times New Roman" w:hAnsi="Times New Roman" w:cs="Times New Roman"/>
          <w:sz w:val="24"/>
          <w:szCs w:val="24"/>
          <w:lang w:val="lv-LV"/>
        </w:rPr>
        <w:t>ir apstāklis (</w:t>
      </w:r>
      <w:r w:rsidR="00BE5F19" w:rsidRPr="007B4062">
        <w:rPr>
          <w:rFonts w:ascii="Times New Roman" w:hAnsi="Times New Roman" w:cs="Times New Roman"/>
          <w:sz w:val="24"/>
          <w:szCs w:val="24"/>
          <w:lang w:val="lv-LV"/>
        </w:rPr>
        <w:t>kritērijs</w:t>
      </w:r>
      <w:r w:rsidR="00A227E5" w:rsidRPr="007B4062">
        <w:rPr>
          <w:rFonts w:ascii="Times New Roman" w:hAnsi="Times New Roman" w:cs="Times New Roman"/>
          <w:sz w:val="24"/>
          <w:szCs w:val="24"/>
          <w:lang w:val="lv-LV"/>
        </w:rPr>
        <w:t>)</w:t>
      </w:r>
      <w:r w:rsidR="00BE5F19" w:rsidRPr="007B4062">
        <w:rPr>
          <w:rFonts w:ascii="Times New Roman" w:hAnsi="Times New Roman" w:cs="Times New Roman"/>
          <w:sz w:val="24"/>
          <w:szCs w:val="24"/>
          <w:lang w:val="lv-LV"/>
        </w:rPr>
        <w:t>, kas ietekmē lēmuma pieņemšanu</w:t>
      </w:r>
      <w:r w:rsidR="00EE4F1C" w:rsidRPr="007B4062">
        <w:rPr>
          <w:rFonts w:ascii="Times New Roman" w:hAnsi="Times New Roman" w:cs="Times New Roman"/>
          <w:sz w:val="24"/>
          <w:szCs w:val="24"/>
          <w:lang w:val="lv-LV"/>
        </w:rPr>
        <w:t>.</w:t>
      </w:r>
      <w:r w:rsidR="00B11828" w:rsidRPr="007B4062">
        <w:rPr>
          <w:rFonts w:ascii="Times New Roman" w:hAnsi="Times New Roman" w:cs="Times New Roman"/>
          <w:sz w:val="24"/>
          <w:szCs w:val="24"/>
          <w:lang w:val="lv-LV"/>
        </w:rPr>
        <w:t xml:space="preserve"> </w:t>
      </w:r>
    </w:p>
    <w:p w14:paraId="73E51597" w14:textId="77777777" w:rsidR="00204244" w:rsidRPr="007B4062" w:rsidRDefault="00204244" w:rsidP="003F1B18">
      <w:pPr>
        <w:spacing w:after="0"/>
        <w:ind w:firstLine="567"/>
        <w:jc w:val="both"/>
        <w:rPr>
          <w:rFonts w:ascii="Times New Roman" w:hAnsi="Times New Roman" w:cs="Times New Roman"/>
          <w:sz w:val="24"/>
          <w:szCs w:val="24"/>
          <w:lang w:val="lv-LV"/>
        </w:rPr>
      </w:pPr>
    </w:p>
    <w:p w14:paraId="2B56C7E7" w14:textId="1D8F4E71" w:rsidR="0042697F" w:rsidRPr="007B4062" w:rsidRDefault="00204244"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[18]</w:t>
      </w:r>
      <w:r w:rsidR="000E7DAC">
        <w:rPr>
          <w:rFonts w:ascii="Times New Roman" w:hAnsi="Times New Roman" w:cs="Times New Roman"/>
          <w:sz w:val="24"/>
          <w:szCs w:val="24"/>
          <w:lang w:val="lv-LV"/>
        </w:rPr>
        <w:t> </w:t>
      </w:r>
      <w:r w:rsidR="00EE4F1C" w:rsidRPr="007B4062">
        <w:rPr>
          <w:rFonts w:ascii="Times New Roman" w:hAnsi="Times New Roman" w:cs="Times New Roman"/>
          <w:sz w:val="24"/>
          <w:szCs w:val="24"/>
          <w:lang w:val="lv-LV"/>
        </w:rPr>
        <w:t xml:space="preserve">Publiskajā iepirkumā tam, vai pretendents ir vai nav piedāvājis atlaidi, pašam par sevi nav </w:t>
      </w:r>
      <w:r w:rsidRPr="007B4062">
        <w:rPr>
          <w:rFonts w:ascii="Times New Roman" w:hAnsi="Times New Roman" w:cs="Times New Roman"/>
          <w:sz w:val="24"/>
          <w:szCs w:val="24"/>
          <w:lang w:val="lv-LV"/>
        </w:rPr>
        <w:t xml:space="preserve">un nevar būt </w:t>
      </w:r>
      <w:r w:rsidR="00EE4F1C" w:rsidRPr="007B4062">
        <w:rPr>
          <w:rFonts w:ascii="Times New Roman" w:hAnsi="Times New Roman" w:cs="Times New Roman"/>
          <w:sz w:val="24"/>
          <w:szCs w:val="24"/>
          <w:lang w:val="lv-LV"/>
        </w:rPr>
        <w:t xml:space="preserve">nekādas </w:t>
      </w:r>
      <w:r w:rsidR="007007F8" w:rsidRPr="007B4062">
        <w:rPr>
          <w:rFonts w:ascii="Times New Roman" w:hAnsi="Times New Roman" w:cs="Times New Roman"/>
          <w:sz w:val="24"/>
          <w:szCs w:val="24"/>
          <w:lang w:val="lv-LV"/>
        </w:rPr>
        <w:t xml:space="preserve">ietekmes uz to, pēc kādiem kritērijiem tiek pieņemts lēmums par iepirkuma uzvarētāja noteikšanu. </w:t>
      </w:r>
      <w:r w:rsidRPr="007B4062">
        <w:rPr>
          <w:rFonts w:ascii="Times New Roman" w:hAnsi="Times New Roman" w:cs="Times New Roman"/>
          <w:sz w:val="24"/>
          <w:szCs w:val="24"/>
          <w:lang w:val="lv-LV"/>
        </w:rPr>
        <w:t xml:space="preserve">Kritērijus, kas var tikt ņemti vērā, nosakot uzvarētāju publiskajā iepirkumā, </w:t>
      </w:r>
      <w:r w:rsidR="001119D9" w:rsidRPr="007B4062">
        <w:rPr>
          <w:rFonts w:ascii="Times New Roman" w:hAnsi="Times New Roman" w:cs="Times New Roman"/>
          <w:sz w:val="24"/>
          <w:szCs w:val="24"/>
          <w:lang w:val="lv-LV"/>
        </w:rPr>
        <w:t>paredz</w:t>
      </w:r>
      <w:r w:rsidRPr="007B4062">
        <w:rPr>
          <w:rFonts w:ascii="Times New Roman" w:hAnsi="Times New Roman" w:cs="Times New Roman"/>
          <w:sz w:val="24"/>
          <w:szCs w:val="24"/>
          <w:lang w:val="lv-LV"/>
        </w:rPr>
        <w:t xml:space="preserve"> Publisko iepirkumu likuma 46.pant</w:t>
      </w:r>
      <w:r w:rsidR="001119D9" w:rsidRPr="007B4062">
        <w:rPr>
          <w:rFonts w:ascii="Times New Roman" w:hAnsi="Times New Roman" w:cs="Times New Roman"/>
          <w:sz w:val="24"/>
          <w:szCs w:val="24"/>
          <w:lang w:val="lv-LV"/>
        </w:rPr>
        <w:t>s</w:t>
      </w:r>
      <w:r w:rsidRPr="007B4062">
        <w:rPr>
          <w:rFonts w:ascii="Times New Roman" w:hAnsi="Times New Roman" w:cs="Times New Roman"/>
          <w:sz w:val="24"/>
          <w:szCs w:val="24"/>
          <w:lang w:val="lv-LV"/>
        </w:rPr>
        <w:t xml:space="preserve">. </w:t>
      </w:r>
      <w:r w:rsidR="001119D9" w:rsidRPr="007B4062">
        <w:rPr>
          <w:rFonts w:ascii="Times New Roman" w:hAnsi="Times New Roman" w:cs="Times New Roman"/>
          <w:sz w:val="24"/>
          <w:szCs w:val="24"/>
          <w:lang w:val="lv-LV"/>
        </w:rPr>
        <w:t xml:space="preserve">Atbilstoši šim pantam ir pieļaujami tikai šādi piedāvājuma izvēles kritēriji: </w:t>
      </w:r>
      <w:r w:rsidR="0042697F" w:rsidRPr="007B4062">
        <w:rPr>
          <w:rFonts w:ascii="Times New Roman" w:hAnsi="Times New Roman" w:cs="Times New Roman"/>
          <w:sz w:val="24"/>
          <w:szCs w:val="24"/>
          <w:lang w:val="lv-LV"/>
        </w:rPr>
        <w:t>1)</w:t>
      </w:r>
      <w:r w:rsidR="00EC7A01" w:rsidRPr="007B4062">
        <w:rPr>
          <w:rFonts w:ascii="Times New Roman" w:hAnsi="Times New Roman" w:cs="Times New Roman"/>
          <w:sz w:val="24"/>
          <w:szCs w:val="24"/>
          <w:lang w:val="lv-LV"/>
        </w:rPr>
        <w:t> </w:t>
      </w:r>
      <w:r w:rsidR="0042697F" w:rsidRPr="007B4062">
        <w:rPr>
          <w:rFonts w:ascii="Times New Roman" w:hAnsi="Times New Roman" w:cs="Times New Roman"/>
          <w:sz w:val="24"/>
          <w:szCs w:val="24"/>
          <w:lang w:val="lv-LV"/>
        </w:rPr>
        <w:t>saimnieciski visizdevīgākais piedāvājums, kurā ņemti vērā</w:t>
      </w:r>
      <w:r w:rsidR="00A227E5" w:rsidRPr="007B4062">
        <w:rPr>
          <w:rFonts w:ascii="Times New Roman" w:hAnsi="Times New Roman" w:cs="Times New Roman"/>
          <w:sz w:val="24"/>
          <w:szCs w:val="24"/>
          <w:lang w:val="lv-LV"/>
        </w:rPr>
        <w:t xml:space="preserve">, piemēram, </w:t>
      </w:r>
      <w:r w:rsidR="0042697F" w:rsidRPr="007B4062">
        <w:rPr>
          <w:rFonts w:ascii="Times New Roman" w:hAnsi="Times New Roman" w:cs="Times New Roman"/>
          <w:sz w:val="24"/>
          <w:szCs w:val="24"/>
          <w:lang w:val="lv-LV"/>
        </w:rPr>
        <w:t>tādi faktori kā piegāžu vai līguma izpildes termiņi, ekspluatācijas izmaksas un citas izmaksas, to efektivitāte, būvdarbu, preču vai pakalpojumu kvalitāte, estētiskais un funkcionālais raksturojums, vides prasību ievērošana, klimata pārmaiņu novēršanas veicināšana, energoefektivitāte, tehniskās priekšrocības, rezerves daļu pieejamība, piegāžu drošība, cena un citi ar līguma priekšmetu saistīti faktori, kuriem jābūt konkrēti izteiktiem un objektīvi salīdzināmiem vai izvērtējamiem;</w:t>
      </w:r>
      <w:r w:rsidR="001119D9" w:rsidRPr="007B4062">
        <w:rPr>
          <w:rFonts w:ascii="Times New Roman" w:hAnsi="Times New Roman" w:cs="Times New Roman"/>
          <w:sz w:val="24"/>
          <w:szCs w:val="24"/>
          <w:lang w:val="lv-LV"/>
        </w:rPr>
        <w:t xml:space="preserve"> </w:t>
      </w:r>
      <w:r w:rsidR="0042697F" w:rsidRPr="007B4062">
        <w:rPr>
          <w:rFonts w:ascii="Times New Roman" w:hAnsi="Times New Roman" w:cs="Times New Roman"/>
          <w:sz w:val="24"/>
          <w:szCs w:val="24"/>
          <w:lang w:val="lv-LV"/>
        </w:rPr>
        <w:t>2)</w:t>
      </w:r>
      <w:r w:rsidR="000E7DAC">
        <w:rPr>
          <w:rFonts w:ascii="Times New Roman" w:hAnsi="Times New Roman" w:cs="Times New Roman"/>
          <w:sz w:val="24"/>
          <w:szCs w:val="24"/>
          <w:lang w:val="lv-LV"/>
        </w:rPr>
        <w:t> </w:t>
      </w:r>
      <w:r w:rsidR="0042697F" w:rsidRPr="007B4062">
        <w:rPr>
          <w:rFonts w:ascii="Times New Roman" w:hAnsi="Times New Roman" w:cs="Times New Roman"/>
          <w:sz w:val="24"/>
          <w:szCs w:val="24"/>
          <w:lang w:val="lv-LV"/>
        </w:rPr>
        <w:t>piedāvājums ar viszemāko cenu.</w:t>
      </w:r>
      <w:r w:rsidR="001119D9" w:rsidRPr="007B4062">
        <w:rPr>
          <w:rFonts w:ascii="Times New Roman" w:hAnsi="Times New Roman" w:cs="Times New Roman"/>
          <w:sz w:val="24"/>
          <w:szCs w:val="24"/>
          <w:lang w:val="lv-LV"/>
        </w:rPr>
        <w:t xml:space="preserve"> Turklāt Publisko iepirkumu likums noteic, ka </w:t>
      </w:r>
      <w:r w:rsidR="00A52B66" w:rsidRPr="007B4062">
        <w:rPr>
          <w:rFonts w:ascii="Times New Roman" w:hAnsi="Times New Roman" w:cs="Times New Roman"/>
          <w:sz w:val="24"/>
          <w:szCs w:val="24"/>
          <w:lang w:val="lv-LV"/>
        </w:rPr>
        <w:t>tas</w:t>
      </w:r>
      <w:r w:rsidR="001119D9" w:rsidRPr="007B4062">
        <w:rPr>
          <w:rFonts w:ascii="Times New Roman" w:hAnsi="Times New Roman" w:cs="Times New Roman"/>
          <w:sz w:val="24"/>
          <w:szCs w:val="24"/>
          <w:lang w:val="lv-LV"/>
        </w:rPr>
        <w:t>, pēc kādiem kritērijiem konkrētā iepirkuma procedūrā tiks noteikts uzvarētājs, pasūtītājam ir jānosaka jau iepirkuma nolikumā (</w:t>
      </w:r>
      <w:r w:rsidR="0011495A" w:rsidRPr="0045627A">
        <w:rPr>
          <w:rFonts w:ascii="Times New Roman" w:hAnsi="Times New Roman" w:cs="Times New Roman"/>
          <w:i/>
          <w:iCs/>
          <w:sz w:val="24"/>
          <w:szCs w:val="24"/>
          <w:lang w:val="lv-LV"/>
        </w:rPr>
        <w:t>51.panta pirmās daļas 5.punkts</w:t>
      </w:r>
      <w:r w:rsidR="0011495A" w:rsidRPr="007B4062">
        <w:rPr>
          <w:rFonts w:ascii="Times New Roman" w:hAnsi="Times New Roman" w:cs="Times New Roman"/>
          <w:sz w:val="24"/>
          <w:szCs w:val="24"/>
          <w:lang w:val="lv-LV"/>
        </w:rPr>
        <w:t>).</w:t>
      </w:r>
    </w:p>
    <w:p w14:paraId="77B21F55" w14:textId="77777777" w:rsidR="0011495A" w:rsidRPr="007B4062" w:rsidRDefault="0011495A"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Tādējādi k</w:t>
      </w:r>
      <w:r w:rsidR="001119D9" w:rsidRPr="007B4062">
        <w:rPr>
          <w:rFonts w:ascii="Times New Roman" w:hAnsi="Times New Roman" w:cs="Times New Roman"/>
          <w:sz w:val="24"/>
          <w:szCs w:val="24"/>
          <w:lang w:val="lv-LV"/>
        </w:rPr>
        <w:t xml:space="preserve">ritēriji, kurus ņem vērā, nosakot konkursa rezultātus, tiek noteikti jau konkursa izsludināšanas brīdī iepirkuma nolikumā, un </w:t>
      </w:r>
      <w:r w:rsidRPr="007B4062">
        <w:rPr>
          <w:rFonts w:ascii="Times New Roman" w:hAnsi="Times New Roman" w:cs="Times New Roman"/>
          <w:sz w:val="24"/>
          <w:szCs w:val="24"/>
          <w:lang w:val="lv-LV"/>
        </w:rPr>
        <w:t>šie kritēriji var būt tikai cena (ja pasūtītājs kā piedāvājuma izvēles kritēriju izvēlējies viszemāko cenu) vai arī konkrētu apstākļu kopums, kas pamato, ka piedāvājums pasūtītājam būs saimnieciski visizdevīgākais. P</w:t>
      </w:r>
      <w:r w:rsidR="001119D9" w:rsidRPr="007B4062">
        <w:rPr>
          <w:rFonts w:ascii="Times New Roman" w:hAnsi="Times New Roman" w:cs="Times New Roman"/>
          <w:sz w:val="24"/>
          <w:szCs w:val="24"/>
          <w:lang w:val="lv-LV"/>
        </w:rPr>
        <w:t xml:space="preserve">asūtītājam nav tiesību lēmuma pieņemšanā ņemt vērā vēl kādus citus kritērijus. </w:t>
      </w:r>
    </w:p>
    <w:p w14:paraId="1E3FCEB7" w14:textId="6FD216CC" w:rsidR="00BE34A4" w:rsidRPr="007B4062" w:rsidRDefault="001119D9"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Apstāklis, ka pretendents </w:t>
      </w:r>
      <w:r w:rsidR="0011495A" w:rsidRPr="007B4062">
        <w:rPr>
          <w:rFonts w:ascii="Times New Roman" w:hAnsi="Times New Roman" w:cs="Times New Roman"/>
          <w:sz w:val="24"/>
          <w:szCs w:val="24"/>
          <w:lang w:val="lv-LV"/>
        </w:rPr>
        <w:t xml:space="preserve">piedāvājumā </w:t>
      </w:r>
      <w:r w:rsidRPr="007B4062">
        <w:rPr>
          <w:rFonts w:ascii="Times New Roman" w:hAnsi="Times New Roman" w:cs="Times New Roman"/>
          <w:sz w:val="24"/>
          <w:szCs w:val="24"/>
          <w:lang w:val="lv-LV"/>
        </w:rPr>
        <w:t xml:space="preserve">piedāvājis atlaidi, </w:t>
      </w:r>
      <w:r w:rsidR="0011495A" w:rsidRPr="007B4062">
        <w:rPr>
          <w:rFonts w:ascii="Times New Roman" w:hAnsi="Times New Roman" w:cs="Times New Roman"/>
          <w:sz w:val="24"/>
          <w:szCs w:val="24"/>
          <w:lang w:val="lv-LV"/>
        </w:rPr>
        <w:t>pats par sevi ne</w:t>
      </w:r>
      <w:r w:rsidR="00EC7A01" w:rsidRPr="007B4062">
        <w:rPr>
          <w:rFonts w:ascii="Times New Roman" w:hAnsi="Times New Roman" w:cs="Times New Roman"/>
          <w:sz w:val="24"/>
          <w:szCs w:val="24"/>
          <w:lang w:val="lv-LV"/>
        </w:rPr>
        <w:t>garantē</w:t>
      </w:r>
      <w:r w:rsidR="0011495A" w:rsidRPr="007B4062">
        <w:rPr>
          <w:rFonts w:ascii="Times New Roman" w:hAnsi="Times New Roman" w:cs="Times New Roman"/>
          <w:sz w:val="24"/>
          <w:szCs w:val="24"/>
          <w:lang w:val="lv-LV"/>
        </w:rPr>
        <w:t xml:space="preserve">, ka tātad pretendents noteikti piedāvājis viszemāko cenu. Tāpat atlaides piemērošana pati par sevi nevar piedāvājumu padarīt par saimnieciski izdevīgāku salīdzinājumā ar citu pretendentu piedāvājumiem. </w:t>
      </w:r>
      <w:r w:rsidR="00BE34A4" w:rsidRPr="007B4062">
        <w:rPr>
          <w:rFonts w:ascii="Times New Roman" w:hAnsi="Times New Roman" w:cs="Times New Roman"/>
          <w:sz w:val="24"/>
          <w:szCs w:val="24"/>
          <w:lang w:val="lv-LV"/>
        </w:rPr>
        <w:t>Tas ir</w:t>
      </w:r>
      <w:r w:rsidR="00C24B6E" w:rsidRPr="007B4062">
        <w:rPr>
          <w:rFonts w:ascii="Times New Roman" w:hAnsi="Times New Roman" w:cs="Times New Roman"/>
          <w:sz w:val="24"/>
          <w:szCs w:val="24"/>
          <w:lang w:val="lv-LV"/>
        </w:rPr>
        <w:t xml:space="preserve"> pašsaprotami, jo</w:t>
      </w:r>
      <w:r w:rsidR="00BE34A4" w:rsidRPr="007B4062">
        <w:rPr>
          <w:rFonts w:ascii="Times New Roman" w:hAnsi="Times New Roman" w:cs="Times New Roman"/>
          <w:sz w:val="24"/>
          <w:szCs w:val="24"/>
          <w:lang w:val="lv-LV"/>
        </w:rPr>
        <w:t xml:space="preserve"> minēto kritēriju </w:t>
      </w:r>
      <w:r w:rsidR="00E17B1F" w:rsidRPr="007B4062">
        <w:rPr>
          <w:rFonts w:ascii="Times New Roman" w:hAnsi="Times New Roman" w:cs="Times New Roman"/>
          <w:sz w:val="24"/>
          <w:szCs w:val="24"/>
          <w:lang w:val="lv-LV"/>
        </w:rPr>
        <w:t>izvērtējum</w:t>
      </w:r>
      <w:r w:rsidR="00E17B1F">
        <w:rPr>
          <w:rFonts w:ascii="Times New Roman" w:hAnsi="Times New Roman" w:cs="Times New Roman"/>
          <w:sz w:val="24"/>
          <w:szCs w:val="24"/>
          <w:lang w:val="lv-LV"/>
        </w:rPr>
        <w:t>ā</w:t>
      </w:r>
      <w:r w:rsidR="00E17B1F" w:rsidRPr="007B4062">
        <w:rPr>
          <w:rFonts w:ascii="Times New Roman" w:hAnsi="Times New Roman" w:cs="Times New Roman"/>
          <w:sz w:val="24"/>
          <w:szCs w:val="24"/>
          <w:lang w:val="lv-LV"/>
        </w:rPr>
        <w:t xml:space="preserve"> </w:t>
      </w:r>
      <w:r w:rsidR="00BE34A4" w:rsidRPr="007B4062">
        <w:rPr>
          <w:rFonts w:ascii="Times New Roman" w:hAnsi="Times New Roman" w:cs="Times New Roman"/>
          <w:sz w:val="24"/>
          <w:szCs w:val="24"/>
          <w:lang w:val="lv-LV"/>
        </w:rPr>
        <w:t xml:space="preserve">nozīme var būt cenai, kāda ir piedāvāta, nevis tam, vai piedāvātā cena veidojusies </w:t>
      </w:r>
      <w:r w:rsidR="00EC7A01" w:rsidRPr="007B4062">
        <w:rPr>
          <w:rFonts w:ascii="Times New Roman" w:hAnsi="Times New Roman" w:cs="Times New Roman"/>
          <w:sz w:val="24"/>
          <w:szCs w:val="24"/>
          <w:lang w:val="lv-LV"/>
        </w:rPr>
        <w:t xml:space="preserve">tieši </w:t>
      </w:r>
      <w:r w:rsidR="00BE34A4" w:rsidRPr="007B4062">
        <w:rPr>
          <w:rFonts w:ascii="Times New Roman" w:hAnsi="Times New Roman" w:cs="Times New Roman"/>
          <w:sz w:val="24"/>
          <w:szCs w:val="24"/>
          <w:lang w:val="lv-LV"/>
        </w:rPr>
        <w:t xml:space="preserve">atlaides rezultātā. </w:t>
      </w:r>
    </w:p>
    <w:p w14:paraId="2DA13886" w14:textId="4CEBC82B" w:rsidR="001119D9" w:rsidRPr="007B4062" w:rsidRDefault="0011495A"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Tāpēc nav pamata uzskatīt, ka apstāklis – pretendents ir vai nav piedāvājis atlaidi – varētu tikt ņemts vērā, vērtējot, kurš piedāvājums uzvar iepirkumā. </w:t>
      </w:r>
      <w:r w:rsidR="00BE34A4" w:rsidRPr="007B4062">
        <w:rPr>
          <w:rFonts w:ascii="Times New Roman" w:hAnsi="Times New Roman" w:cs="Times New Roman"/>
          <w:sz w:val="24"/>
          <w:szCs w:val="24"/>
          <w:lang w:val="lv-LV"/>
        </w:rPr>
        <w:t xml:space="preserve">Attiecīgi nav nekāda pamata uzskatīt, ka atlaides piedāvāšana </w:t>
      </w:r>
      <w:r w:rsidR="00F90F90">
        <w:rPr>
          <w:rFonts w:ascii="Times New Roman" w:hAnsi="Times New Roman" w:cs="Times New Roman"/>
          <w:sz w:val="24"/>
          <w:szCs w:val="24"/>
          <w:lang w:val="lv-LV"/>
        </w:rPr>
        <w:t>pati par sevi</w:t>
      </w:r>
      <w:r w:rsidR="00BE34A4" w:rsidRPr="007B4062">
        <w:rPr>
          <w:rFonts w:ascii="Times New Roman" w:hAnsi="Times New Roman" w:cs="Times New Roman"/>
          <w:sz w:val="24"/>
          <w:szCs w:val="24"/>
          <w:lang w:val="lv-LV"/>
        </w:rPr>
        <w:t xml:space="preserve"> ir apstāklis, kas ietekmē lēmuma par iepirkuma rezultātiem pieņemšanu.</w:t>
      </w:r>
    </w:p>
    <w:p w14:paraId="0F82E2C1" w14:textId="1D9F3A37" w:rsidR="001119D9" w:rsidRPr="007B4062" w:rsidRDefault="001119D9" w:rsidP="003F1B18">
      <w:pPr>
        <w:spacing w:after="0"/>
        <w:ind w:firstLine="567"/>
        <w:jc w:val="both"/>
        <w:rPr>
          <w:rFonts w:ascii="Times New Roman" w:hAnsi="Times New Roman" w:cs="Times New Roman"/>
          <w:sz w:val="24"/>
          <w:szCs w:val="24"/>
          <w:shd w:val="clear" w:color="auto" w:fill="FFFFFF"/>
          <w:lang w:val="lv-LV"/>
        </w:rPr>
      </w:pPr>
    </w:p>
    <w:p w14:paraId="3D7EBD8C" w14:textId="5768A105" w:rsidR="00204244" w:rsidRPr="007B4062" w:rsidRDefault="00BE34A4" w:rsidP="003F1B18">
      <w:pPr>
        <w:spacing w:after="0"/>
        <w:ind w:firstLine="567"/>
        <w:jc w:val="both"/>
        <w:rPr>
          <w:rFonts w:ascii="Times New Roman" w:hAnsi="Times New Roman" w:cs="Times New Roman"/>
          <w:sz w:val="24"/>
          <w:szCs w:val="24"/>
          <w:shd w:val="clear" w:color="auto" w:fill="FFFFFF"/>
          <w:lang w:val="lv-LV"/>
        </w:rPr>
      </w:pPr>
      <w:r w:rsidRPr="007B4062">
        <w:rPr>
          <w:rFonts w:ascii="Times New Roman" w:hAnsi="Times New Roman" w:cs="Times New Roman"/>
          <w:sz w:val="24"/>
          <w:szCs w:val="24"/>
          <w:shd w:val="clear" w:color="auto" w:fill="FFFFFF"/>
          <w:lang w:val="lv-LV"/>
        </w:rPr>
        <w:t>[19]</w:t>
      </w:r>
      <w:r w:rsidR="000E7DAC">
        <w:rPr>
          <w:rFonts w:ascii="Times New Roman" w:hAnsi="Times New Roman" w:cs="Times New Roman"/>
          <w:sz w:val="24"/>
          <w:szCs w:val="24"/>
          <w:shd w:val="clear" w:color="auto" w:fill="FFFFFF"/>
          <w:lang w:val="lv-LV"/>
        </w:rPr>
        <w:t> </w:t>
      </w:r>
      <w:r w:rsidRPr="007B4062">
        <w:rPr>
          <w:rFonts w:ascii="Times New Roman" w:hAnsi="Times New Roman" w:cs="Times New Roman"/>
          <w:sz w:val="24"/>
          <w:szCs w:val="24"/>
          <w:shd w:val="clear" w:color="auto" w:fill="FFFFFF"/>
          <w:lang w:val="lv-LV"/>
        </w:rPr>
        <w:t xml:space="preserve">Senāts arī nesaskata, ka </w:t>
      </w:r>
      <w:r w:rsidR="00204244" w:rsidRPr="007B4062">
        <w:rPr>
          <w:rFonts w:ascii="Times New Roman" w:hAnsi="Times New Roman" w:cs="Times New Roman"/>
          <w:sz w:val="24"/>
          <w:szCs w:val="24"/>
          <w:shd w:val="clear" w:color="auto" w:fill="FFFFFF"/>
          <w:lang w:val="lv-LV"/>
        </w:rPr>
        <w:t>apstāklis, ka pretendents publiskā iepirkum</w:t>
      </w:r>
      <w:r w:rsidR="007B6988" w:rsidRPr="007B4062">
        <w:rPr>
          <w:rFonts w:ascii="Times New Roman" w:hAnsi="Times New Roman" w:cs="Times New Roman"/>
          <w:sz w:val="24"/>
          <w:szCs w:val="24"/>
          <w:shd w:val="clear" w:color="auto" w:fill="FFFFFF"/>
          <w:lang w:val="lv-LV"/>
        </w:rPr>
        <w:t>a</w:t>
      </w:r>
      <w:r w:rsidR="00204244" w:rsidRPr="007B4062">
        <w:rPr>
          <w:rFonts w:ascii="Times New Roman" w:hAnsi="Times New Roman" w:cs="Times New Roman"/>
          <w:sz w:val="24"/>
          <w:szCs w:val="24"/>
          <w:shd w:val="clear" w:color="auto" w:fill="FFFFFF"/>
          <w:lang w:val="lv-LV"/>
        </w:rPr>
        <w:t xml:space="preserve"> piedāvājumā ietver atlaidi, kaut kādā veidā var ietekmēt pasūtītājas amatpersonu personiskās vai mantiskās intereses</w:t>
      </w:r>
      <w:r w:rsidR="00B91B55" w:rsidRPr="007B4062">
        <w:rPr>
          <w:rFonts w:ascii="Times New Roman" w:hAnsi="Times New Roman" w:cs="Times New Roman"/>
          <w:sz w:val="24"/>
          <w:szCs w:val="24"/>
          <w:shd w:val="clear" w:color="auto" w:fill="FFFFFF"/>
          <w:lang w:val="lv-LV"/>
        </w:rPr>
        <w:t>, jo piedāvājums tiek izteikts pasūtītājam, nevis pasūtītāja konkrētām amatpersonām.</w:t>
      </w:r>
      <w:r w:rsidRPr="007B4062">
        <w:rPr>
          <w:rFonts w:ascii="Times New Roman" w:hAnsi="Times New Roman" w:cs="Times New Roman"/>
          <w:sz w:val="24"/>
          <w:szCs w:val="24"/>
          <w:shd w:val="clear" w:color="auto" w:fill="FFFFFF"/>
          <w:lang w:val="lv-LV"/>
        </w:rPr>
        <w:t xml:space="preserve"> </w:t>
      </w:r>
      <w:r w:rsidR="00B91B55" w:rsidRPr="007B4062">
        <w:rPr>
          <w:rFonts w:ascii="Times New Roman" w:hAnsi="Times New Roman" w:cs="Times New Roman"/>
          <w:sz w:val="24"/>
          <w:szCs w:val="24"/>
          <w:shd w:val="clear" w:color="auto" w:fill="FFFFFF"/>
          <w:lang w:val="lv-LV"/>
        </w:rPr>
        <w:t>Līdz ar to nav pamata uzskatīt, ka publiskā iepirkuma piedāvājumā ietvertas atlaides piedāvāšana varētu</w:t>
      </w:r>
      <w:r w:rsidRPr="007B4062">
        <w:rPr>
          <w:rFonts w:ascii="Times New Roman" w:hAnsi="Times New Roman" w:cs="Times New Roman"/>
          <w:sz w:val="24"/>
          <w:szCs w:val="24"/>
          <w:shd w:val="clear" w:color="auto" w:fill="FFFFFF"/>
          <w:lang w:val="lv-LV"/>
        </w:rPr>
        <w:t xml:space="preserve"> veicināt, ka amatpersonas pieņem lēmumu, balstoties uz savu mantisko vai personisko ieinteresētību</w:t>
      </w:r>
      <w:r w:rsidR="00A227E5" w:rsidRPr="007B4062">
        <w:rPr>
          <w:rFonts w:ascii="Times New Roman" w:hAnsi="Times New Roman" w:cs="Times New Roman"/>
          <w:sz w:val="24"/>
          <w:szCs w:val="24"/>
          <w:shd w:val="clear" w:color="auto" w:fill="FFFFFF"/>
          <w:lang w:val="lv-LV"/>
        </w:rPr>
        <w:t>, nevis uz objektīviem un tiesiskiem apsvērumiem</w:t>
      </w:r>
      <w:r w:rsidRPr="007B4062">
        <w:rPr>
          <w:rFonts w:ascii="Times New Roman" w:hAnsi="Times New Roman" w:cs="Times New Roman"/>
          <w:sz w:val="24"/>
          <w:szCs w:val="24"/>
          <w:shd w:val="clear" w:color="auto" w:fill="FFFFFF"/>
          <w:lang w:val="lv-LV"/>
        </w:rPr>
        <w:t>.</w:t>
      </w:r>
    </w:p>
    <w:p w14:paraId="5F43084E" w14:textId="472C5A55" w:rsidR="00BE34A4" w:rsidRPr="007B4062" w:rsidRDefault="00BE34A4" w:rsidP="003F1B18">
      <w:pPr>
        <w:spacing w:after="0"/>
        <w:ind w:firstLine="567"/>
        <w:jc w:val="both"/>
        <w:rPr>
          <w:rFonts w:ascii="Times New Roman" w:hAnsi="Times New Roman" w:cs="Times New Roman"/>
          <w:sz w:val="24"/>
          <w:szCs w:val="24"/>
          <w:shd w:val="clear" w:color="auto" w:fill="FFFFFF"/>
          <w:lang w:val="lv-LV"/>
        </w:rPr>
      </w:pPr>
    </w:p>
    <w:p w14:paraId="2C434C1B" w14:textId="2EEB9CA1" w:rsidR="00204244" w:rsidRPr="007B4062" w:rsidRDefault="00BE34A4"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shd w:val="clear" w:color="auto" w:fill="FFFFFF"/>
          <w:lang w:val="lv-LV"/>
        </w:rPr>
        <w:t>[20]</w:t>
      </w:r>
      <w:r w:rsidR="000E7DAC">
        <w:rPr>
          <w:rFonts w:ascii="Times New Roman" w:hAnsi="Times New Roman" w:cs="Times New Roman"/>
          <w:sz w:val="24"/>
          <w:szCs w:val="24"/>
          <w:shd w:val="clear" w:color="auto" w:fill="FFFFFF"/>
          <w:lang w:val="lv-LV"/>
        </w:rPr>
        <w:t> </w:t>
      </w:r>
      <w:r w:rsidR="00B91B55" w:rsidRPr="007B4062">
        <w:rPr>
          <w:rFonts w:ascii="Times New Roman" w:hAnsi="Times New Roman" w:cs="Times New Roman"/>
          <w:sz w:val="24"/>
          <w:szCs w:val="24"/>
          <w:shd w:val="clear" w:color="auto" w:fill="FFFFFF"/>
          <w:lang w:val="lv-LV"/>
        </w:rPr>
        <w:t>Rezumējot minēto,</w:t>
      </w:r>
      <w:r w:rsidRPr="007B4062">
        <w:rPr>
          <w:rFonts w:ascii="Times New Roman" w:hAnsi="Times New Roman" w:cs="Times New Roman"/>
          <w:sz w:val="24"/>
          <w:szCs w:val="24"/>
          <w:shd w:val="clear" w:color="auto" w:fill="FFFFFF"/>
          <w:lang w:val="lv-LV"/>
        </w:rPr>
        <w:t xml:space="preserve"> Senāts atzīst, ka </w:t>
      </w:r>
      <w:r w:rsidR="00204244" w:rsidRPr="007B4062">
        <w:rPr>
          <w:rFonts w:ascii="Times New Roman" w:hAnsi="Times New Roman" w:cs="Times New Roman"/>
          <w:sz w:val="24"/>
          <w:szCs w:val="24"/>
          <w:lang w:val="lv-LV"/>
        </w:rPr>
        <w:t>atlaide, ko pretendents piedāvā publiskā iepirkuma ietvaros, pamatojot piedāvāto cenu, Interešu konflikta novēršanas likuma izpratnē nevar tikt uzskatīta par ziedojumu, kas ietekmē lēmuma pieņemšanu attiecībā uz atlaides piedāvātāju.</w:t>
      </w:r>
      <w:r w:rsidR="00B91B55" w:rsidRPr="007B4062">
        <w:rPr>
          <w:rFonts w:ascii="Times New Roman" w:hAnsi="Times New Roman" w:cs="Times New Roman"/>
          <w:sz w:val="24"/>
          <w:szCs w:val="24"/>
          <w:lang w:val="lv-LV"/>
        </w:rPr>
        <w:t xml:space="preserve"> </w:t>
      </w:r>
    </w:p>
    <w:p w14:paraId="1F50DC9C" w14:textId="260D98ED" w:rsidR="00EC7A01" w:rsidRPr="007B4062" w:rsidRDefault="00EC7A01"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Līdz ar to Senāts atzīst, ka nepamatots ir kasatores apgalvojums, ka tiesai, apsverot pieteicējas iespējas uzvarēt iepirkumā, vajadzēja ņemt vērā Interešu konflikta novēršanas likuma normas.</w:t>
      </w:r>
    </w:p>
    <w:p w14:paraId="42F38D5B" w14:textId="5A67E44F" w:rsidR="00BE34A4" w:rsidRPr="007B4062" w:rsidRDefault="00BE34A4" w:rsidP="003F1B18">
      <w:pPr>
        <w:spacing w:after="0"/>
        <w:ind w:firstLine="567"/>
        <w:jc w:val="both"/>
        <w:rPr>
          <w:rFonts w:ascii="Times New Roman" w:hAnsi="Times New Roman" w:cs="Times New Roman"/>
          <w:sz w:val="24"/>
          <w:szCs w:val="24"/>
          <w:lang w:val="lv-LV"/>
        </w:rPr>
      </w:pPr>
    </w:p>
    <w:p w14:paraId="350BEE60" w14:textId="41A4E8CD" w:rsidR="00117874" w:rsidRPr="007B4062" w:rsidRDefault="00661905"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[21]</w:t>
      </w:r>
      <w:r w:rsidR="00C65EDF">
        <w:rPr>
          <w:rFonts w:ascii="Times New Roman" w:hAnsi="Times New Roman" w:cs="Times New Roman"/>
          <w:sz w:val="24"/>
          <w:szCs w:val="24"/>
          <w:lang w:val="lv-LV"/>
        </w:rPr>
        <w:t> </w:t>
      </w:r>
      <w:r w:rsidR="00117874" w:rsidRPr="007B4062">
        <w:rPr>
          <w:rFonts w:ascii="Times New Roman" w:hAnsi="Times New Roman" w:cs="Times New Roman"/>
          <w:sz w:val="24"/>
          <w:szCs w:val="24"/>
          <w:lang w:val="lv-LV"/>
        </w:rPr>
        <w:t xml:space="preserve">Senāts </w:t>
      </w:r>
      <w:r w:rsidR="00EC7A01" w:rsidRPr="007B4062">
        <w:rPr>
          <w:rFonts w:ascii="Times New Roman" w:hAnsi="Times New Roman" w:cs="Times New Roman"/>
          <w:sz w:val="24"/>
          <w:szCs w:val="24"/>
          <w:lang w:val="lv-LV"/>
        </w:rPr>
        <w:t xml:space="preserve">arī </w:t>
      </w:r>
      <w:r w:rsidR="00117874" w:rsidRPr="007B4062">
        <w:rPr>
          <w:rFonts w:ascii="Times New Roman" w:hAnsi="Times New Roman" w:cs="Times New Roman"/>
          <w:sz w:val="24"/>
          <w:szCs w:val="24"/>
          <w:lang w:val="lv-LV"/>
        </w:rPr>
        <w:t xml:space="preserve">nepiekrīt kasatorei, ka konkrētajā gadījumā būtisks ir apstāklis, ka vienīgais iemesls, kāpēc pieteicēja piedāvāja atlaidi, bija vēlme zemākas piedāvātās cenas dēļ uzvarēt iepirkumā. Jebkura pretendenta mērķis, piedaloties iepirkumā, ir uzvarēt un iegūt līguma slēgšanas tiesības. Tāpēc nevar pārmest pretendentam, ka tas, gatavojot piedāvājumu, apsver savas iespējas piedāvāt pēc iespējas </w:t>
      </w:r>
      <w:r w:rsidR="00A227E5" w:rsidRPr="007B4062">
        <w:rPr>
          <w:rFonts w:ascii="Times New Roman" w:hAnsi="Times New Roman" w:cs="Times New Roman"/>
          <w:sz w:val="24"/>
          <w:szCs w:val="24"/>
          <w:lang w:val="lv-LV"/>
        </w:rPr>
        <w:t>zemāku</w:t>
      </w:r>
      <w:r w:rsidR="00117874" w:rsidRPr="007B4062">
        <w:rPr>
          <w:rFonts w:ascii="Times New Roman" w:hAnsi="Times New Roman" w:cs="Times New Roman"/>
          <w:sz w:val="24"/>
          <w:szCs w:val="24"/>
          <w:lang w:val="lv-LV"/>
        </w:rPr>
        <w:t xml:space="preserve"> cenu. Tas, ka pretendents secina, ka ir spējīgs piedāvāt konkrētu cenu tāpēc, ka var atļauties piedāvāt atlaidi, </w:t>
      </w:r>
      <w:r w:rsidR="00A227E5" w:rsidRPr="007B4062">
        <w:rPr>
          <w:rFonts w:ascii="Times New Roman" w:hAnsi="Times New Roman" w:cs="Times New Roman"/>
          <w:sz w:val="24"/>
          <w:szCs w:val="24"/>
          <w:lang w:val="lv-LV"/>
        </w:rPr>
        <w:t xml:space="preserve">pats par sevi nav nekas nosodāms, </w:t>
      </w:r>
      <w:r w:rsidR="00117874" w:rsidRPr="007B4062">
        <w:rPr>
          <w:rFonts w:ascii="Times New Roman" w:hAnsi="Times New Roman" w:cs="Times New Roman"/>
          <w:sz w:val="24"/>
          <w:szCs w:val="24"/>
          <w:lang w:val="lv-LV"/>
        </w:rPr>
        <w:t xml:space="preserve">ja vien nolikums neliedz </w:t>
      </w:r>
      <w:r w:rsidR="00E17B1F" w:rsidRPr="007B4062">
        <w:rPr>
          <w:rFonts w:ascii="Times New Roman" w:hAnsi="Times New Roman" w:cs="Times New Roman"/>
          <w:sz w:val="24"/>
          <w:szCs w:val="24"/>
          <w:lang w:val="lv-LV"/>
        </w:rPr>
        <w:t>piedāvā</w:t>
      </w:r>
      <w:r w:rsidR="00E17B1F">
        <w:rPr>
          <w:rFonts w:ascii="Times New Roman" w:hAnsi="Times New Roman" w:cs="Times New Roman"/>
          <w:sz w:val="24"/>
          <w:szCs w:val="24"/>
          <w:lang w:val="lv-LV"/>
        </w:rPr>
        <w:t>t</w:t>
      </w:r>
      <w:r w:rsidR="00E17B1F" w:rsidRPr="007B4062">
        <w:rPr>
          <w:rFonts w:ascii="Times New Roman" w:hAnsi="Times New Roman" w:cs="Times New Roman"/>
          <w:sz w:val="24"/>
          <w:szCs w:val="24"/>
          <w:lang w:val="lv-LV"/>
        </w:rPr>
        <w:t xml:space="preserve"> atlaid</w:t>
      </w:r>
      <w:r w:rsidR="00E17B1F">
        <w:rPr>
          <w:rFonts w:ascii="Times New Roman" w:hAnsi="Times New Roman" w:cs="Times New Roman"/>
          <w:sz w:val="24"/>
          <w:szCs w:val="24"/>
          <w:lang w:val="lv-LV"/>
        </w:rPr>
        <w:t>i</w:t>
      </w:r>
      <w:r w:rsidR="00E17B1F" w:rsidRPr="007B4062">
        <w:rPr>
          <w:rFonts w:ascii="Times New Roman" w:hAnsi="Times New Roman" w:cs="Times New Roman"/>
          <w:sz w:val="24"/>
          <w:szCs w:val="24"/>
          <w:lang w:val="lv-LV"/>
        </w:rPr>
        <w:t xml:space="preserve"> </w:t>
      </w:r>
      <w:r w:rsidR="00117874" w:rsidRPr="007B4062">
        <w:rPr>
          <w:rFonts w:ascii="Times New Roman" w:hAnsi="Times New Roman" w:cs="Times New Roman"/>
          <w:sz w:val="24"/>
          <w:szCs w:val="24"/>
          <w:lang w:val="lv-LV"/>
        </w:rPr>
        <w:t>(kas, kā jau vairākkārt uzsvērts, atbilstoši pamatlietā konstatētajam nav konkrētais gadījums)</w:t>
      </w:r>
      <w:r w:rsidRPr="007B4062">
        <w:rPr>
          <w:rFonts w:ascii="Times New Roman" w:hAnsi="Times New Roman" w:cs="Times New Roman"/>
          <w:sz w:val="24"/>
          <w:szCs w:val="24"/>
          <w:lang w:val="lv-LV"/>
        </w:rPr>
        <w:t>.</w:t>
      </w:r>
    </w:p>
    <w:p w14:paraId="1A2FC597" w14:textId="2033BABD" w:rsidR="00661905" w:rsidRPr="007B4062" w:rsidRDefault="00661905" w:rsidP="003F1B18">
      <w:pPr>
        <w:spacing w:after="0"/>
        <w:ind w:firstLine="567"/>
        <w:jc w:val="both"/>
        <w:rPr>
          <w:rFonts w:ascii="Times New Roman" w:hAnsi="Times New Roman" w:cs="Times New Roman"/>
          <w:sz w:val="24"/>
          <w:szCs w:val="24"/>
          <w:lang w:val="lv-LV"/>
        </w:rPr>
      </w:pPr>
    </w:p>
    <w:p w14:paraId="7B8FB44E" w14:textId="484FFF46" w:rsidR="00661905" w:rsidRPr="007B4062" w:rsidRDefault="00661905" w:rsidP="003F1B18">
      <w:pPr>
        <w:spacing w:after="0"/>
        <w:jc w:val="center"/>
        <w:rPr>
          <w:rFonts w:ascii="Times New Roman" w:hAnsi="Times New Roman" w:cs="Times New Roman"/>
          <w:b/>
          <w:bCs/>
          <w:sz w:val="24"/>
          <w:szCs w:val="24"/>
          <w:lang w:val="lv-LV"/>
        </w:rPr>
      </w:pPr>
      <w:r w:rsidRPr="007B4062">
        <w:rPr>
          <w:rFonts w:ascii="Times New Roman" w:hAnsi="Times New Roman" w:cs="Times New Roman"/>
          <w:b/>
          <w:bCs/>
          <w:sz w:val="24"/>
          <w:szCs w:val="24"/>
          <w:lang w:val="lv-LV"/>
        </w:rPr>
        <w:t>IV</w:t>
      </w:r>
    </w:p>
    <w:p w14:paraId="4000F89F" w14:textId="1CA34AB1" w:rsidR="00032C5F" w:rsidRPr="007B4062" w:rsidRDefault="00032C5F" w:rsidP="003F1B18">
      <w:pPr>
        <w:spacing w:after="0"/>
        <w:jc w:val="center"/>
        <w:rPr>
          <w:rFonts w:ascii="Times New Roman" w:hAnsi="Times New Roman" w:cs="Times New Roman"/>
          <w:b/>
          <w:bCs/>
          <w:sz w:val="24"/>
          <w:szCs w:val="24"/>
          <w:lang w:val="lv-LV"/>
        </w:rPr>
      </w:pPr>
    </w:p>
    <w:p w14:paraId="3F75291D" w14:textId="102C6750" w:rsidR="00032C5F" w:rsidRPr="007B4062" w:rsidRDefault="00032C5F"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[22]</w:t>
      </w:r>
      <w:r w:rsidR="00105837">
        <w:rPr>
          <w:rFonts w:ascii="Times New Roman" w:hAnsi="Times New Roman" w:cs="Times New Roman"/>
          <w:sz w:val="24"/>
          <w:szCs w:val="24"/>
          <w:lang w:val="lv-LV"/>
        </w:rPr>
        <w:t> </w:t>
      </w:r>
      <w:r w:rsidRPr="007B4062">
        <w:rPr>
          <w:rFonts w:ascii="Times New Roman" w:hAnsi="Times New Roman" w:cs="Times New Roman"/>
          <w:sz w:val="24"/>
          <w:szCs w:val="24"/>
          <w:lang w:val="lv-LV"/>
        </w:rPr>
        <w:t>Kasatore argumentējusi, ka arī tad, ja pasūtītāja nebūtu pieļāvusi pamatlietā konstatēto pārkāpumu, pieteicēja nebūtu uzvarējusi iepirkumā, jo pasūtītāja būtu</w:t>
      </w:r>
      <w:r w:rsidR="00995662" w:rsidRPr="007B4062">
        <w:rPr>
          <w:rFonts w:ascii="Times New Roman" w:hAnsi="Times New Roman" w:cs="Times New Roman"/>
          <w:sz w:val="24"/>
          <w:szCs w:val="24"/>
          <w:lang w:val="lv-LV"/>
        </w:rPr>
        <w:t xml:space="preserve"> varējusi </w:t>
      </w:r>
      <w:r w:rsidRPr="007B4062">
        <w:rPr>
          <w:rFonts w:ascii="Times New Roman" w:hAnsi="Times New Roman" w:cs="Times New Roman"/>
          <w:sz w:val="24"/>
          <w:szCs w:val="24"/>
          <w:lang w:val="lv-LV"/>
        </w:rPr>
        <w:t>izmanto</w:t>
      </w:r>
      <w:r w:rsidR="00995662" w:rsidRPr="007B4062">
        <w:rPr>
          <w:rFonts w:ascii="Times New Roman" w:hAnsi="Times New Roman" w:cs="Times New Roman"/>
          <w:sz w:val="24"/>
          <w:szCs w:val="24"/>
          <w:lang w:val="lv-LV"/>
        </w:rPr>
        <w:t>t</w:t>
      </w:r>
      <w:r w:rsidRPr="007B4062">
        <w:rPr>
          <w:rFonts w:ascii="Times New Roman" w:hAnsi="Times New Roman" w:cs="Times New Roman"/>
          <w:sz w:val="24"/>
          <w:szCs w:val="24"/>
          <w:lang w:val="lv-LV"/>
        </w:rPr>
        <w:t xml:space="preserve"> iespēju pārtraukt iepirkumu</w:t>
      </w:r>
      <w:r w:rsidR="00A94715" w:rsidRPr="007B4062">
        <w:rPr>
          <w:rFonts w:ascii="Times New Roman" w:hAnsi="Times New Roman" w:cs="Times New Roman"/>
          <w:sz w:val="24"/>
          <w:szCs w:val="24"/>
          <w:lang w:val="lv-LV"/>
        </w:rPr>
        <w:t>,</w:t>
      </w:r>
      <w:r w:rsidR="00996948" w:rsidRPr="007B4062">
        <w:rPr>
          <w:rFonts w:ascii="Times New Roman" w:hAnsi="Times New Roman" w:cs="Times New Roman"/>
          <w:sz w:val="24"/>
          <w:szCs w:val="24"/>
          <w:lang w:val="lv-LV"/>
        </w:rPr>
        <w:t xml:space="preserve"> un </w:t>
      </w:r>
      <w:r w:rsidR="00995662" w:rsidRPr="007B4062">
        <w:rPr>
          <w:rFonts w:ascii="Times New Roman" w:hAnsi="Times New Roman" w:cs="Times New Roman"/>
          <w:sz w:val="24"/>
          <w:szCs w:val="24"/>
          <w:lang w:val="lv-LV"/>
        </w:rPr>
        <w:t xml:space="preserve">tādā gadījumā </w:t>
      </w:r>
      <w:r w:rsidR="00996948" w:rsidRPr="007B4062">
        <w:rPr>
          <w:rFonts w:ascii="Times New Roman" w:hAnsi="Times New Roman" w:cs="Times New Roman"/>
          <w:sz w:val="24"/>
          <w:szCs w:val="24"/>
          <w:lang w:val="lv-LV"/>
        </w:rPr>
        <w:t>uzvarētājs iepirkumā vispār netiktu noteikts</w:t>
      </w:r>
      <w:r w:rsidRPr="007B4062">
        <w:rPr>
          <w:rFonts w:ascii="Times New Roman" w:hAnsi="Times New Roman" w:cs="Times New Roman"/>
          <w:sz w:val="24"/>
          <w:szCs w:val="24"/>
          <w:lang w:val="lv-LV"/>
        </w:rPr>
        <w:t xml:space="preserve">. Tiesa </w:t>
      </w:r>
      <w:r w:rsidR="00A227E5" w:rsidRPr="007B4062">
        <w:rPr>
          <w:rFonts w:ascii="Times New Roman" w:hAnsi="Times New Roman" w:cs="Times New Roman"/>
          <w:sz w:val="24"/>
          <w:szCs w:val="24"/>
          <w:lang w:val="lv-LV"/>
        </w:rPr>
        <w:t xml:space="preserve">pieļāvusi pārkāpumu, </w:t>
      </w:r>
      <w:r w:rsidRPr="007B4062">
        <w:rPr>
          <w:rFonts w:ascii="Times New Roman" w:hAnsi="Times New Roman" w:cs="Times New Roman"/>
          <w:sz w:val="24"/>
          <w:szCs w:val="24"/>
          <w:lang w:val="lv-LV"/>
        </w:rPr>
        <w:t xml:space="preserve">spriedumā </w:t>
      </w:r>
      <w:r w:rsidR="00A227E5" w:rsidRPr="007B4062">
        <w:rPr>
          <w:rFonts w:ascii="Times New Roman" w:hAnsi="Times New Roman" w:cs="Times New Roman"/>
          <w:sz w:val="24"/>
          <w:szCs w:val="24"/>
          <w:lang w:val="lv-LV"/>
        </w:rPr>
        <w:t>neatbil</w:t>
      </w:r>
      <w:r w:rsidR="00900B70" w:rsidRPr="007B4062">
        <w:rPr>
          <w:rFonts w:ascii="Times New Roman" w:hAnsi="Times New Roman" w:cs="Times New Roman"/>
          <w:sz w:val="24"/>
          <w:szCs w:val="24"/>
          <w:lang w:val="lv-LV"/>
        </w:rPr>
        <w:t>d</w:t>
      </w:r>
      <w:r w:rsidR="00A227E5" w:rsidRPr="007B4062">
        <w:rPr>
          <w:rFonts w:ascii="Times New Roman" w:hAnsi="Times New Roman" w:cs="Times New Roman"/>
          <w:sz w:val="24"/>
          <w:szCs w:val="24"/>
          <w:lang w:val="lv-LV"/>
        </w:rPr>
        <w:t xml:space="preserve">ot </w:t>
      </w:r>
      <w:r w:rsidRPr="007B4062">
        <w:rPr>
          <w:rFonts w:ascii="Times New Roman" w:hAnsi="Times New Roman" w:cs="Times New Roman"/>
          <w:sz w:val="24"/>
          <w:szCs w:val="24"/>
          <w:lang w:val="lv-LV"/>
        </w:rPr>
        <w:t xml:space="preserve">uz šo argumentu. </w:t>
      </w:r>
    </w:p>
    <w:p w14:paraId="066E6282" w14:textId="692947F9" w:rsidR="00032C5F" w:rsidRPr="007B4062" w:rsidRDefault="00032C5F" w:rsidP="003F1B18">
      <w:pPr>
        <w:spacing w:after="0"/>
        <w:ind w:firstLine="567"/>
        <w:jc w:val="both"/>
        <w:rPr>
          <w:rFonts w:ascii="Times New Roman" w:hAnsi="Times New Roman" w:cs="Times New Roman"/>
          <w:sz w:val="24"/>
          <w:szCs w:val="24"/>
          <w:lang w:val="lv-LV"/>
        </w:rPr>
      </w:pPr>
    </w:p>
    <w:p w14:paraId="35589340" w14:textId="3F7D0147" w:rsidR="00996948" w:rsidRPr="007B4062" w:rsidRDefault="00032C5F"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[23]</w:t>
      </w:r>
      <w:r w:rsidR="00105837">
        <w:rPr>
          <w:rFonts w:ascii="Times New Roman" w:hAnsi="Times New Roman" w:cs="Times New Roman"/>
          <w:sz w:val="24"/>
          <w:szCs w:val="24"/>
          <w:lang w:val="lv-LV"/>
        </w:rPr>
        <w:t> </w:t>
      </w:r>
      <w:r w:rsidRPr="007B4062">
        <w:rPr>
          <w:rFonts w:ascii="Times New Roman" w:hAnsi="Times New Roman" w:cs="Times New Roman"/>
          <w:sz w:val="24"/>
          <w:szCs w:val="24"/>
          <w:lang w:val="lv-LV"/>
        </w:rPr>
        <w:t>Senāts konstatē, ka tiesa spriedumā tiešām nav analizējusi šo pasūtītājas argumentu.</w:t>
      </w:r>
      <w:r w:rsidR="00E74095" w:rsidRPr="007B4062">
        <w:rPr>
          <w:rFonts w:ascii="Times New Roman" w:hAnsi="Times New Roman" w:cs="Times New Roman"/>
          <w:sz w:val="24"/>
          <w:szCs w:val="24"/>
          <w:lang w:val="lv-LV"/>
        </w:rPr>
        <w:t xml:space="preserve"> </w:t>
      </w:r>
      <w:r w:rsidR="00900B70" w:rsidRPr="007B4062">
        <w:rPr>
          <w:rFonts w:ascii="Times New Roman" w:hAnsi="Times New Roman" w:cs="Times New Roman"/>
          <w:sz w:val="24"/>
          <w:szCs w:val="24"/>
          <w:lang w:val="lv-LV"/>
        </w:rPr>
        <w:t>Vienlaikus Senāts secina, ka šis pieteicējas arguments ir vērtējams kā būtisks, jo tas ir arguments, kas, ja tiktu atzīts par pamatotu, varētu ietekmēt lietas rezultātu. Tā</w:t>
      </w:r>
      <w:r w:rsidR="003C04A4" w:rsidRPr="007B4062">
        <w:rPr>
          <w:rFonts w:ascii="Times New Roman" w:hAnsi="Times New Roman" w:cs="Times New Roman"/>
          <w:sz w:val="24"/>
          <w:szCs w:val="24"/>
          <w:lang w:val="lv-LV"/>
        </w:rPr>
        <w:t xml:space="preserve">dējādi </w:t>
      </w:r>
      <w:r w:rsidR="00E74095" w:rsidRPr="007B4062">
        <w:rPr>
          <w:rFonts w:ascii="Times New Roman" w:hAnsi="Times New Roman" w:cs="Times New Roman"/>
          <w:sz w:val="24"/>
          <w:szCs w:val="24"/>
          <w:lang w:val="lv-LV"/>
        </w:rPr>
        <w:t>t</w:t>
      </w:r>
      <w:r w:rsidR="00900B70" w:rsidRPr="007B4062">
        <w:rPr>
          <w:rFonts w:ascii="Times New Roman" w:hAnsi="Times New Roman" w:cs="Times New Roman"/>
          <w:sz w:val="24"/>
          <w:szCs w:val="24"/>
          <w:lang w:val="lv-LV"/>
        </w:rPr>
        <w:t xml:space="preserve">iesa, neatbildot uz šo argumentu, </w:t>
      </w:r>
      <w:r w:rsidR="00E74095" w:rsidRPr="007B4062">
        <w:rPr>
          <w:rFonts w:ascii="Times New Roman" w:hAnsi="Times New Roman" w:cs="Times New Roman"/>
          <w:sz w:val="24"/>
          <w:szCs w:val="24"/>
          <w:lang w:val="lv-LV"/>
        </w:rPr>
        <w:t>ir pieļāvusi</w:t>
      </w:r>
      <w:r w:rsidR="009139FC" w:rsidRPr="007B4062">
        <w:rPr>
          <w:rFonts w:ascii="Times New Roman" w:hAnsi="Times New Roman" w:cs="Times New Roman"/>
          <w:sz w:val="24"/>
          <w:szCs w:val="24"/>
          <w:lang w:val="lv-LV"/>
        </w:rPr>
        <w:t xml:space="preserve"> procesuālu</w:t>
      </w:r>
      <w:r w:rsidR="00E74095" w:rsidRPr="007B4062">
        <w:rPr>
          <w:rFonts w:ascii="Times New Roman" w:hAnsi="Times New Roman" w:cs="Times New Roman"/>
          <w:sz w:val="24"/>
          <w:szCs w:val="24"/>
          <w:lang w:val="lv-LV"/>
        </w:rPr>
        <w:t xml:space="preserve"> pārkāpumu, jo </w:t>
      </w:r>
      <w:r w:rsidR="00A227E5" w:rsidRPr="007B4062">
        <w:rPr>
          <w:rFonts w:ascii="Times New Roman" w:hAnsi="Times New Roman" w:cs="Times New Roman"/>
          <w:sz w:val="24"/>
          <w:szCs w:val="24"/>
          <w:lang w:val="lv-LV"/>
        </w:rPr>
        <w:t xml:space="preserve">Administratīvā procesa likuma 251.panta piektā daļa noteic, ka sprieduma motīvu daļā </w:t>
      </w:r>
      <w:r w:rsidR="00A227E5" w:rsidRPr="007B4062">
        <w:rPr>
          <w:rFonts w:ascii="Times New Roman" w:hAnsi="Times New Roman" w:cs="Times New Roman"/>
          <w:sz w:val="24"/>
          <w:szCs w:val="24"/>
          <w:shd w:val="clear" w:color="auto" w:fill="FFFFFF"/>
          <w:lang w:val="lv-LV"/>
        </w:rPr>
        <w:t>norāda argumentus, kāpēc tiesa pieteikumu uzskatījusi par pamatotu vai nepamatotu, tostarp – procesa dalībnieku argumentu analīzi. Minētā prasība saistīta ar tiesību uz taisnīgu tiesu īstenoša</w:t>
      </w:r>
      <w:r w:rsidR="00900B70" w:rsidRPr="007B4062">
        <w:rPr>
          <w:rFonts w:ascii="Times New Roman" w:hAnsi="Times New Roman" w:cs="Times New Roman"/>
          <w:sz w:val="24"/>
          <w:szCs w:val="24"/>
          <w:shd w:val="clear" w:color="auto" w:fill="FFFFFF"/>
          <w:lang w:val="lv-LV"/>
        </w:rPr>
        <w:t xml:space="preserve">nu, jo </w:t>
      </w:r>
      <w:r w:rsidR="00E74095" w:rsidRPr="007B4062">
        <w:rPr>
          <w:rFonts w:ascii="Times New Roman" w:hAnsi="Times New Roman" w:cs="Times New Roman"/>
          <w:sz w:val="24"/>
          <w:szCs w:val="24"/>
          <w:lang w:val="lv-LV"/>
        </w:rPr>
        <w:t xml:space="preserve">atbilstoši tiesību uz taisnīgu tiesu prasībām tiesas sprieduma motīviem ir jābūt arī tādiem, kas ļauj procesa dalībniekiem saprast, ka tie ir pienācīgi uzklausīti (sadzirdēti). Lai arī tiesas pienākums motivēt savu nolēmumu nav tulkojams tā, ka tiesai ir pienākums atbildēt uz jebkuru procesa dalībnieka argumentu, </w:t>
      </w:r>
      <w:r w:rsidR="00996948" w:rsidRPr="007B4062">
        <w:rPr>
          <w:rFonts w:ascii="Times New Roman" w:hAnsi="Times New Roman" w:cs="Times New Roman"/>
          <w:sz w:val="24"/>
          <w:szCs w:val="24"/>
          <w:lang w:val="lv-LV"/>
        </w:rPr>
        <w:t>t</w:t>
      </w:r>
      <w:r w:rsidR="00E74095" w:rsidRPr="007B4062">
        <w:rPr>
          <w:rFonts w:ascii="Times New Roman" w:hAnsi="Times New Roman" w:cs="Times New Roman"/>
          <w:sz w:val="24"/>
          <w:szCs w:val="24"/>
          <w:lang w:val="lv-LV"/>
        </w:rPr>
        <w:t>omēr tiesa</w:t>
      </w:r>
      <w:r w:rsidR="00996948" w:rsidRPr="007B4062">
        <w:rPr>
          <w:rFonts w:ascii="Times New Roman" w:hAnsi="Times New Roman" w:cs="Times New Roman"/>
          <w:sz w:val="24"/>
          <w:szCs w:val="24"/>
          <w:lang w:val="lv-LV"/>
        </w:rPr>
        <w:t>i</w:t>
      </w:r>
      <w:r w:rsidR="00E74095" w:rsidRPr="007B4062">
        <w:rPr>
          <w:rFonts w:ascii="Times New Roman" w:hAnsi="Times New Roman" w:cs="Times New Roman"/>
          <w:sz w:val="24"/>
          <w:szCs w:val="24"/>
          <w:lang w:val="lv-LV"/>
        </w:rPr>
        <w:t xml:space="preserve"> spriedumā būtu jāsniedz vērtējums tiem procesa dalībnieka argumentiem, kuri ir būtiski un/vai kurus procesa dalībnieks pats izvirzījis kā galvenos savas pozīcijas pamatošanai (</w:t>
      </w:r>
      <w:r w:rsidR="00A94715" w:rsidRPr="007B4062">
        <w:rPr>
          <w:rFonts w:ascii="Times New Roman" w:hAnsi="Times New Roman" w:cs="Times New Roman"/>
          <w:i/>
          <w:iCs/>
          <w:sz w:val="24"/>
          <w:szCs w:val="24"/>
          <w:lang w:val="lv-LV"/>
        </w:rPr>
        <w:t>Eiropas Cilvēktiesību tiesas</w:t>
      </w:r>
      <w:r w:rsidR="00A94715" w:rsidRPr="007B4062">
        <w:rPr>
          <w:rFonts w:ascii="Times New Roman" w:hAnsi="Times New Roman" w:cs="Times New Roman"/>
          <w:sz w:val="24"/>
          <w:szCs w:val="24"/>
          <w:lang w:val="lv-LV"/>
        </w:rPr>
        <w:t xml:space="preserve"> </w:t>
      </w:r>
      <w:r w:rsidR="00A94715" w:rsidRPr="007B4062">
        <w:rPr>
          <w:rFonts w:ascii="Times New Roman" w:hAnsi="Times New Roman" w:cs="Times New Roman"/>
          <w:i/>
          <w:iCs/>
          <w:sz w:val="24"/>
          <w:szCs w:val="24"/>
          <w:lang w:val="lv-LV"/>
        </w:rPr>
        <w:t xml:space="preserve">2007.gada 28.jūnija sprieduma lietā „Wagner and J.M.W.L. v. Luxembourg”, iesnieguma Nr. 76240/01, 89. un 96.punkts, </w:t>
      </w:r>
      <w:r w:rsidR="00E74095" w:rsidRPr="007B4062">
        <w:rPr>
          <w:rFonts w:ascii="Times New Roman" w:hAnsi="Times New Roman" w:cs="Times New Roman"/>
          <w:i/>
          <w:iCs/>
          <w:sz w:val="24"/>
          <w:szCs w:val="24"/>
          <w:lang w:val="lv-LV"/>
        </w:rPr>
        <w:t>2005.gada 24.maija sprieduma lietā „Buzescu v. Romania”, iesnieguma Nr. 61302/00, 67.punkts</w:t>
      </w:r>
      <w:r w:rsidR="00996948" w:rsidRPr="007B4062">
        <w:rPr>
          <w:rFonts w:ascii="Times New Roman" w:hAnsi="Times New Roman" w:cs="Times New Roman"/>
          <w:sz w:val="24"/>
          <w:szCs w:val="24"/>
          <w:lang w:val="lv-LV"/>
        </w:rPr>
        <w:t xml:space="preserve">, </w:t>
      </w:r>
      <w:r w:rsidR="00E74095" w:rsidRPr="007B4062">
        <w:rPr>
          <w:rFonts w:ascii="Times New Roman" w:hAnsi="Times New Roman" w:cs="Times New Roman"/>
          <w:i/>
          <w:iCs/>
          <w:sz w:val="24"/>
          <w:szCs w:val="24"/>
          <w:shd w:val="clear" w:color="auto" w:fill="FFFFFF"/>
          <w:lang w:val="lv-LV"/>
        </w:rPr>
        <w:t>1994.gada 9.decembra sprieduma lietā „Ruiz Torija v. Spain”</w:t>
      </w:r>
      <w:r w:rsidR="0011095A" w:rsidRPr="007B4062">
        <w:rPr>
          <w:rFonts w:ascii="Times New Roman" w:hAnsi="Times New Roman" w:cs="Times New Roman"/>
          <w:i/>
          <w:iCs/>
          <w:sz w:val="24"/>
          <w:szCs w:val="24"/>
          <w:shd w:val="clear" w:color="auto" w:fill="FFFFFF"/>
          <w:lang w:val="lv-LV"/>
        </w:rPr>
        <w:t>,</w:t>
      </w:r>
      <w:r w:rsidR="00E74095" w:rsidRPr="007B4062">
        <w:rPr>
          <w:rFonts w:ascii="Times New Roman" w:hAnsi="Times New Roman" w:cs="Times New Roman"/>
          <w:i/>
          <w:iCs/>
          <w:sz w:val="24"/>
          <w:szCs w:val="24"/>
          <w:shd w:val="clear" w:color="auto" w:fill="FFFFFF"/>
          <w:lang w:val="lv-LV"/>
        </w:rPr>
        <w:t xml:space="preserve"> iesnieguma Nr. 18390/91, 30.punkts, 1994.gada 9.decembra sprieduma lietā „Hiro Balani v. Spain”, iesnieguma Nr. 18064/91, 28.punkts</w:t>
      </w:r>
      <w:r w:rsidR="00E74095" w:rsidRPr="007B4062">
        <w:rPr>
          <w:rFonts w:ascii="Times New Roman" w:hAnsi="Times New Roman" w:cs="Times New Roman"/>
          <w:sz w:val="24"/>
          <w:szCs w:val="24"/>
          <w:lang w:val="lv-LV"/>
        </w:rPr>
        <w:t xml:space="preserve">). </w:t>
      </w:r>
    </w:p>
    <w:p w14:paraId="41C2D3B3" w14:textId="77777777" w:rsidR="00996948" w:rsidRPr="007B4062" w:rsidRDefault="00996948" w:rsidP="003F1B18">
      <w:pPr>
        <w:spacing w:after="0"/>
        <w:ind w:firstLine="567"/>
        <w:jc w:val="both"/>
        <w:rPr>
          <w:rFonts w:ascii="Times New Roman" w:hAnsi="Times New Roman" w:cs="Times New Roman"/>
          <w:sz w:val="24"/>
          <w:szCs w:val="24"/>
          <w:lang w:val="lv-LV"/>
        </w:rPr>
      </w:pPr>
    </w:p>
    <w:p w14:paraId="17BA3C16" w14:textId="0C6AEAFF" w:rsidR="00E74095" w:rsidRPr="007B4062" w:rsidRDefault="00E74095"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[24] Vienlaikus norād</w:t>
      </w:r>
      <w:r w:rsidR="00431764">
        <w:rPr>
          <w:rFonts w:ascii="Times New Roman" w:hAnsi="Times New Roman" w:cs="Times New Roman"/>
          <w:sz w:val="24"/>
          <w:szCs w:val="24"/>
          <w:lang w:val="lv-LV"/>
        </w:rPr>
        <w:t>ā</w:t>
      </w:r>
      <w:r w:rsidRPr="007B4062">
        <w:rPr>
          <w:rFonts w:ascii="Times New Roman" w:hAnsi="Times New Roman" w:cs="Times New Roman"/>
          <w:sz w:val="24"/>
          <w:szCs w:val="24"/>
          <w:lang w:val="lv-LV"/>
        </w:rPr>
        <w:t>ms, ka atbilstoši Administratīvā procesa likuma 327.panta otrajai daļai šāda tiesas pieļauta procesuāla rakstura kļūda</w:t>
      </w:r>
      <w:r w:rsidR="00995662" w:rsidRPr="007B4062">
        <w:rPr>
          <w:rFonts w:ascii="Times New Roman" w:hAnsi="Times New Roman" w:cs="Times New Roman"/>
          <w:sz w:val="24"/>
          <w:szCs w:val="24"/>
          <w:lang w:val="lv-LV"/>
        </w:rPr>
        <w:t xml:space="preserve"> konkrētajā gadījumā </w:t>
      </w:r>
      <w:r w:rsidRPr="007B4062">
        <w:rPr>
          <w:rFonts w:ascii="Times New Roman" w:hAnsi="Times New Roman" w:cs="Times New Roman"/>
          <w:sz w:val="24"/>
          <w:szCs w:val="24"/>
          <w:lang w:val="lv-LV"/>
        </w:rPr>
        <w:t>var</w:t>
      </w:r>
      <w:r w:rsidR="00995662" w:rsidRPr="007B4062">
        <w:rPr>
          <w:rFonts w:ascii="Times New Roman" w:hAnsi="Times New Roman" w:cs="Times New Roman"/>
          <w:sz w:val="24"/>
          <w:szCs w:val="24"/>
          <w:lang w:val="lv-LV"/>
        </w:rPr>
        <w:t>ētu</w:t>
      </w:r>
      <w:r w:rsidRPr="007B4062">
        <w:rPr>
          <w:rFonts w:ascii="Times New Roman" w:hAnsi="Times New Roman" w:cs="Times New Roman"/>
          <w:sz w:val="24"/>
          <w:szCs w:val="24"/>
          <w:lang w:val="lv-LV"/>
        </w:rPr>
        <w:t xml:space="preserve"> būt pamats tiesas sprieduma atcelšanai tad, ja </w:t>
      </w:r>
      <w:r w:rsidR="00995662" w:rsidRPr="007B4062">
        <w:rPr>
          <w:rFonts w:ascii="Times New Roman" w:hAnsi="Times New Roman" w:cs="Times New Roman"/>
          <w:sz w:val="24"/>
          <w:szCs w:val="24"/>
          <w:lang w:val="lv-LV"/>
        </w:rPr>
        <w:t>būtu</w:t>
      </w:r>
      <w:r w:rsidRPr="007B4062">
        <w:rPr>
          <w:rFonts w:ascii="Times New Roman" w:hAnsi="Times New Roman" w:cs="Times New Roman"/>
          <w:sz w:val="24"/>
          <w:szCs w:val="24"/>
          <w:lang w:val="lv-LV"/>
        </w:rPr>
        <w:t xml:space="preserve"> pamats secināt, ka tās dēļ tiesa varētu būt nonākusi pie nepareiza lietas izšķiršanas rezultāta.</w:t>
      </w:r>
    </w:p>
    <w:p w14:paraId="65ADAE5C" w14:textId="11F898FB" w:rsidR="00141568" w:rsidRPr="007B4062" w:rsidRDefault="00996948"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Senāts, izvērtējis apsvērumus, ar kuriem kasatore pamato iespējamu iepirkuma procedūras pārtraukšanu</w:t>
      </w:r>
      <w:r w:rsidR="009139FC" w:rsidRPr="007B4062">
        <w:rPr>
          <w:rFonts w:ascii="Times New Roman" w:hAnsi="Times New Roman" w:cs="Times New Roman"/>
          <w:sz w:val="24"/>
          <w:szCs w:val="24"/>
          <w:lang w:val="lv-LV"/>
        </w:rPr>
        <w:t xml:space="preserve">, atzīst, ka </w:t>
      </w:r>
      <w:r w:rsidR="00A71E18" w:rsidRPr="007B4062">
        <w:rPr>
          <w:rFonts w:ascii="Times New Roman" w:hAnsi="Times New Roman" w:cs="Times New Roman"/>
          <w:sz w:val="24"/>
          <w:szCs w:val="24"/>
          <w:lang w:val="lv-LV"/>
        </w:rPr>
        <w:t>šie apsvērumi nav tādi, kas varētu būt objektīvs iemesls iepirkuma pārtraukšanai</w:t>
      </w:r>
      <w:r w:rsidR="009139FC" w:rsidRPr="007B4062">
        <w:rPr>
          <w:rFonts w:ascii="Times New Roman" w:hAnsi="Times New Roman" w:cs="Times New Roman"/>
          <w:sz w:val="24"/>
          <w:szCs w:val="24"/>
          <w:lang w:val="lv-LV"/>
        </w:rPr>
        <w:t>.</w:t>
      </w:r>
      <w:r w:rsidR="00DF1D13" w:rsidRPr="007B4062">
        <w:rPr>
          <w:rFonts w:ascii="Times New Roman" w:hAnsi="Times New Roman" w:cs="Times New Roman"/>
          <w:sz w:val="24"/>
          <w:szCs w:val="24"/>
          <w:lang w:val="lv-LV"/>
        </w:rPr>
        <w:t xml:space="preserve"> </w:t>
      </w:r>
    </w:p>
    <w:p w14:paraId="11171059" w14:textId="77777777" w:rsidR="00141568" w:rsidRPr="007B4062" w:rsidRDefault="00141568" w:rsidP="003F1B18">
      <w:pPr>
        <w:spacing w:after="0"/>
        <w:ind w:firstLine="567"/>
        <w:jc w:val="both"/>
        <w:rPr>
          <w:rFonts w:ascii="Times New Roman" w:hAnsi="Times New Roman" w:cs="Times New Roman"/>
          <w:sz w:val="24"/>
          <w:szCs w:val="24"/>
          <w:lang w:val="lv-LV"/>
        </w:rPr>
      </w:pPr>
    </w:p>
    <w:p w14:paraId="189DD25C" w14:textId="10AA7843" w:rsidR="00A40ADA" w:rsidRPr="007B4062" w:rsidRDefault="002544EA"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[25]</w:t>
      </w:r>
      <w:r w:rsidR="00105837">
        <w:rPr>
          <w:rFonts w:ascii="Times New Roman" w:hAnsi="Times New Roman" w:cs="Times New Roman"/>
          <w:sz w:val="24"/>
          <w:szCs w:val="24"/>
          <w:lang w:val="lv-LV"/>
        </w:rPr>
        <w:t> </w:t>
      </w:r>
      <w:r w:rsidRPr="007B4062">
        <w:rPr>
          <w:rFonts w:ascii="Times New Roman" w:hAnsi="Times New Roman" w:cs="Times New Roman"/>
          <w:sz w:val="24"/>
          <w:szCs w:val="24"/>
          <w:lang w:val="lv-LV"/>
        </w:rPr>
        <w:t xml:space="preserve">Publisko iepirkumu likuma 38.panta normas ļauj pasūtītājam pārtraukt iepirkuma procedūru jebkurā brīdī, </w:t>
      </w:r>
      <w:r w:rsidRPr="007B4062">
        <w:rPr>
          <w:rFonts w:ascii="Times New Roman" w:hAnsi="Times New Roman" w:cs="Times New Roman"/>
          <w:i/>
          <w:iCs/>
          <w:sz w:val="24"/>
          <w:szCs w:val="24"/>
          <w:lang w:val="lv-LV"/>
        </w:rPr>
        <w:t>ja tam ir objektīvs pamatojums</w:t>
      </w:r>
      <w:r w:rsidRPr="007B4062">
        <w:rPr>
          <w:rFonts w:ascii="Times New Roman" w:hAnsi="Times New Roman" w:cs="Times New Roman"/>
          <w:sz w:val="24"/>
          <w:szCs w:val="24"/>
          <w:lang w:val="lv-LV"/>
        </w:rPr>
        <w:t>. Tādējādi iepirkuma pārtraukšana nav pieļaujama jebkurā gadījumā, bet tikai tad, ja tam ir objektīvs pamatojums</w:t>
      </w:r>
      <w:r w:rsidR="00DF1D13" w:rsidRPr="007B4062">
        <w:rPr>
          <w:rFonts w:ascii="Times New Roman" w:hAnsi="Times New Roman" w:cs="Times New Roman"/>
          <w:sz w:val="24"/>
          <w:szCs w:val="24"/>
          <w:lang w:val="lv-LV"/>
        </w:rPr>
        <w:t xml:space="preserve"> jeb tāds pamatojums, kas apliecina, ka </w:t>
      </w:r>
      <w:r w:rsidRPr="007B4062">
        <w:rPr>
          <w:rFonts w:ascii="Times New Roman" w:eastAsiaTheme="minorHAnsi" w:hAnsi="Times New Roman" w:cs="Times New Roman"/>
          <w:sz w:val="24"/>
          <w:szCs w:val="24"/>
          <w:shd w:val="clear" w:color="auto" w:fill="FFFFFF"/>
          <w:lang w:val="lv-LV"/>
        </w:rPr>
        <w:t>ir lietderīgi p</w:t>
      </w:r>
      <w:r w:rsidR="00DF1D13" w:rsidRPr="007B4062">
        <w:rPr>
          <w:rFonts w:ascii="Times New Roman" w:eastAsiaTheme="minorHAnsi" w:hAnsi="Times New Roman" w:cs="Times New Roman"/>
          <w:sz w:val="24"/>
          <w:szCs w:val="24"/>
          <w:shd w:val="clear" w:color="auto" w:fill="FFFFFF"/>
          <w:lang w:val="lv-LV"/>
        </w:rPr>
        <w:t>ārtraukt</w:t>
      </w:r>
      <w:r w:rsidRPr="007B4062">
        <w:rPr>
          <w:rFonts w:ascii="Times New Roman" w:eastAsiaTheme="minorHAnsi" w:hAnsi="Times New Roman" w:cs="Times New Roman"/>
          <w:sz w:val="24"/>
          <w:szCs w:val="24"/>
          <w:shd w:val="clear" w:color="auto" w:fill="FFFFFF"/>
          <w:lang w:val="lv-LV"/>
        </w:rPr>
        <w:t xml:space="preserve"> līguma slēgšanas tiesību piešķiršanas procedūru, ņemot vērā </w:t>
      </w:r>
      <w:r w:rsidR="00DF1D13" w:rsidRPr="007B4062">
        <w:rPr>
          <w:rFonts w:ascii="Times New Roman" w:eastAsiaTheme="minorHAnsi" w:hAnsi="Times New Roman" w:cs="Times New Roman"/>
          <w:sz w:val="24"/>
          <w:szCs w:val="24"/>
          <w:shd w:val="clear" w:color="auto" w:fill="FFFFFF"/>
          <w:lang w:val="lv-LV"/>
        </w:rPr>
        <w:t>gan</w:t>
      </w:r>
      <w:r w:rsidRPr="007B4062">
        <w:rPr>
          <w:rFonts w:ascii="Times New Roman" w:eastAsiaTheme="minorHAnsi" w:hAnsi="Times New Roman" w:cs="Times New Roman"/>
          <w:sz w:val="24"/>
          <w:szCs w:val="24"/>
          <w:shd w:val="clear" w:color="auto" w:fill="FFFFFF"/>
          <w:lang w:val="lv-LV"/>
        </w:rPr>
        <w:t xml:space="preserve"> ekonomiskā konteksta vai faktisko apstākļu iespējamās izmaiņas, </w:t>
      </w:r>
      <w:r w:rsidR="00DF1D13" w:rsidRPr="007B4062">
        <w:rPr>
          <w:rFonts w:ascii="Times New Roman" w:eastAsiaTheme="minorHAnsi" w:hAnsi="Times New Roman" w:cs="Times New Roman"/>
          <w:sz w:val="24"/>
          <w:szCs w:val="24"/>
          <w:shd w:val="clear" w:color="auto" w:fill="FFFFFF"/>
          <w:lang w:val="lv-LV"/>
        </w:rPr>
        <w:t xml:space="preserve">gan </w:t>
      </w:r>
      <w:r w:rsidRPr="007B4062">
        <w:rPr>
          <w:rFonts w:ascii="Times New Roman" w:eastAsiaTheme="minorHAnsi" w:hAnsi="Times New Roman" w:cs="Times New Roman"/>
          <w:sz w:val="24"/>
          <w:szCs w:val="24"/>
          <w:shd w:val="clear" w:color="auto" w:fill="FFFFFF"/>
          <w:lang w:val="lv-LV"/>
        </w:rPr>
        <w:t>arī attiecīgās līgumslēdzējas iestādes vajadzīb</w:t>
      </w:r>
      <w:r w:rsidR="00DF1D13" w:rsidRPr="007B4062">
        <w:rPr>
          <w:rFonts w:ascii="Times New Roman" w:eastAsiaTheme="minorHAnsi" w:hAnsi="Times New Roman" w:cs="Times New Roman"/>
          <w:sz w:val="24"/>
          <w:szCs w:val="24"/>
          <w:shd w:val="clear" w:color="auto" w:fill="FFFFFF"/>
          <w:lang w:val="lv-LV"/>
        </w:rPr>
        <w:t>as</w:t>
      </w:r>
      <w:r w:rsidRPr="007B4062">
        <w:rPr>
          <w:rFonts w:ascii="Times New Roman" w:eastAsiaTheme="minorHAnsi" w:hAnsi="Times New Roman" w:cs="Times New Roman"/>
          <w:sz w:val="24"/>
          <w:szCs w:val="24"/>
          <w:shd w:val="clear" w:color="auto" w:fill="FFFFFF"/>
          <w:lang w:val="lv-LV"/>
        </w:rPr>
        <w:t xml:space="preserve"> (</w:t>
      </w:r>
      <w:r w:rsidRPr="007B4062">
        <w:rPr>
          <w:rFonts w:ascii="Times New Roman" w:eastAsiaTheme="minorHAnsi" w:hAnsi="Times New Roman" w:cs="Times New Roman"/>
          <w:iCs/>
          <w:sz w:val="24"/>
          <w:szCs w:val="24"/>
          <w:shd w:val="clear" w:color="auto" w:fill="FFFFFF"/>
          <w:lang w:val="lv-LV"/>
        </w:rPr>
        <w:t>sal.</w:t>
      </w:r>
      <w:r w:rsidRPr="007B4062">
        <w:rPr>
          <w:rFonts w:ascii="Times New Roman" w:eastAsiaTheme="minorHAnsi" w:hAnsi="Times New Roman" w:cs="Times New Roman"/>
          <w:i/>
          <w:sz w:val="24"/>
          <w:szCs w:val="24"/>
          <w:shd w:val="clear" w:color="auto" w:fill="FFFFFF"/>
          <w:lang w:val="lv-LV"/>
        </w:rPr>
        <w:t xml:space="preserve"> </w:t>
      </w:r>
      <w:r w:rsidR="00DF1D13" w:rsidRPr="007B4062">
        <w:rPr>
          <w:rFonts w:ascii="Times New Roman" w:hAnsi="Times New Roman" w:cs="Times New Roman"/>
          <w:i/>
          <w:sz w:val="24"/>
          <w:szCs w:val="24"/>
          <w:lang w:val="lv-LV"/>
        </w:rPr>
        <w:t>Senāta 2015.gada 26.marta sprieduma lietā Nr. SKA-555/2015 (</w:t>
      </w:r>
      <w:r w:rsidR="00DF1D13" w:rsidRPr="007B4062">
        <w:rPr>
          <w:rFonts w:ascii="Times New Roman" w:eastAsia="Times New Roman" w:hAnsi="Times New Roman" w:cs="Times New Roman"/>
          <w:i/>
          <w:sz w:val="24"/>
          <w:szCs w:val="24"/>
          <w:lang w:val="lv-LV" w:eastAsia="lv-LV"/>
        </w:rPr>
        <w:t xml:space="preserve">A420215114) </w:t>
      </w:r>
      <w:r w:rsidR="00DF1D13" w:rsidRPr="007B4062">
        <w:rPr>
          <w:rFonts w:ascii="Times New Roman" w:hAnsi="Times New Roman" w:cs="Times New Roman"/>
          <w:i/>
          <w:sz w:val="24"/>
          <w:szCs w:val="24"/>
          <w:lang w:val="lv-LV"/>
        </w:rPr>
        <w:t xml:space="preserve">10.punkts, </w:t>
      </w:r>
      <w:r w:rsidRPr="007B4062">
        <w:rPr>
          <w:rFonts w:ascii="Times New Roman" w:eastAsiaTheme="minorHAnsi" w:hAnsi="Times New Roman" w:cs="Times New Roman"/>
          <w:i/>
          <w:sz w:val="24"/>
          <w:szCs w:val="24"/>
          <w:shd w:val="clear" w:color="auto" w:fill="FFFFFF"/>
          <w:lang w:val="lv-LV"/>
        </w:rPr>
        <w:t>Eiropas Savienības Tiesas 2002.gada 18.jūnija sprieduma lietā „HI”, C</w:t>
      </w:r>
      <w:r w:rsidRPr="007B4062">
        <w:rPr>
          <w:rFonts w:ascii="Times New Roman" w:eastAsiaTheme="minorHAnsi" w:hAnsi="Times New Roman" w:cs="Times New Roman"/>
          <w:i/>
          <w:sz w:val="24"/>
          <w:szCs w:val="24"/>
          <w:shd w:val="clear" w:color="auto" w:fill="FFFFFF"/>
          <w:lang w:val="lv-LV"/>
        </w:rPr>
        <w:noBreakHyphen/>
        <w:t>92/00, ECLI:EU:C:2002:379, 55. un 62.punkts</w:t>
      </w:r>
      <w:r w:rsidR="00DF1D13" w:rsidRPr="007B4062">
        <w:rPr>
          <w:rFonts w:ascii="Times New Roman" w:eastAsiaTheme="minorHAnsi" w:hAnsi="Times New Roman" w:cs="Times New Roman"/>
          <w:i/>
          <w:sz w:val="24"/>
          <w:szCs w:val="24"/>
          <w:shd w:val="clear" w:color="auto" w:fill="FFFFFF"/>
          <w:lang w:val="lv-LV"/>
        </w:rPr>
        <w:t xml:space="preserve">, </w:t>
      </w:r>
      <w:r w:rsidR="00DF1D13" w:rsidRPr="007B4062">
        <w:rPr>
          <w:rStyle w:val="affairetitle"/>
          <w:rFonts w:ascii="Times New Roman" w:hAnsi="Times New Roman" w:cs="Times New Roman"/>
          <w:i/>
          <w:sz w:val="24"/>
          <w:szCs w:val="24"/>
          <w:lang w:val="lv-LV"/>
        </w:rPr>
        <w:t xml:space="preserve">2003.gada 16.oktobra rīkojuma lietā </w:t>
      </w:r>
      <w:r w:rsidR="00FE3865" w:rsidRPr="007B4062">
        <w:rPr>
          <w:rStyle w:val="affairetitle"/>
          <w:rFonts w:ascii="Times New Roman" w:hAnsi="Times New Roman" w:cs="Times New Roman"/>
          <w:i/>
          <w:sz w:val="24"/>
          <w:szCs w:val="24"/>
          <w:lang w:val="lv-LV"/>
        </w:rPr>
        <w:t>„</w:t>
      </w:r>
      <w:r w:rsidR="00FE3865" w:rsidRPr="007B4062">
        <w:rPr>
          <w:rFonts w:ascii="Times New Roman" w:hAnsi="Times New Roman" w:cs="Times New Roman"/>
          <w:i/>
          <w:sz w:val="24"/>
          <w:szCs w:val="24"/>
          <w:lang w:val="lv-LV"/>
        </w:rPr>
        <w:t>Kauppatalo Hansel</w:t>
      </w:r>
      <w:r w:rsidR="00FE3865" w:rsidRPr="007B4062">
        <w:rPr>
          <w:rStyle w:val="affairetitle"/>
          <w:rFonts w:ascii="Times New Roman" w:hAnsi="Times New Roman" w:cs="Times New Roman"/>
          <w:i/>
          <w:sz w:val="24"/>
          <w:szCs w:val="24"/>
          <w:lang w:val="lv-LV"/>
        </w:rPr>
        <w:t>”</w:t>
      </w:r>
      <w:r w:rsidR="00FE3865" w:rsidRPr="007B4062">
        <w:rPr>
          <w:rFonts w:ascii="Times New Roman" w:hAnsi="Times New Roman" w:cs="Times New Roman"/>
          <w:i/>
          <w:sz w:val="24"/>
          <w:szCs w:val="24"/>
          <w:lang w:val="lv-LV"/>
        </w:rPr>
        <w:t xml:space="preserve">, </w:t>
      </w:r>
      <w:r w:rsidR="00DF1D13" w:rsidRPr="007B4062">
        <w:rPr>
          <w:rFonts w:ascii="Times New Roman" w:hAnsi="Times New Roman" w:cs="Times New Roman"/>
          <w:i/>
          <w:sz w:val="24"/>
          <w:szCs w:val="24"/>
          <w:lang w:val="lv-LV"/>
        </w:rPr>
        <w:t xml:space="preserve">C-244/02, </w:t>
      </w:r>
      <w:r w:rsidR="00DF1D13" w:rsidRPr="007B4062">
        <w:rPr>
          <w:rFonts w:ascii="Times New Roman" w:hAnsi="Times New Roman" w:cs="Times New Roman"/>
          <w:i/>
          <w:sz w:val="24"/>
          <w:szCs w:val="24"/>
          <w:shd w:val="clear" w:color="auto" w:fill="FFFFFF"/>
          <w:lang w:val="lv-LV"/>
        </w:rPr>
        <w:t>ECLI:EU:C:2003:560, 36.punkts</w:t>
      </w:r>
      <w:r w:rsidR="00DF1D13" w:rsidRPr="007B4062">
        <w:rPr>
          <w:rFonts w:ascii="Times New Roman" w:hAnsi="Times New Roman" w:cs="Times New Roman"/>
          <w:sz w:val="24"/>
          <w:szCs w:val="24"/>
          <w:shd w:val="clear" w:color="auto" w:fill="FFFFFF"/>
          <w:lang w:val="lv-LV"/>
        </w:rPr>
        <w:t>).</w:t>
      </w:r>
      <w:r w:rsidR="00AB4B10" w:rsidRPr="007B4062">
        <w:rPr>
          <w:rFonts w:ascii="Times New Roman" w:hAnsi="Times New Roman" w:cs="Times New Roman"/>
          <w:sz w:val="24"/>
          <w:szCs w:val="24"/>
          <w:shd w:val="clear" w:color="auto" w:fill="FFFFFF"/>
          <w:lang w:val="lv-LV"/>
        </w:rPr>
        <w:t xml:space="preserve"> Senāta judikatūrā uzsvērts, ka iepirkum</w:t>
      </w:r>
      <w:r w:rsidR="00A9254F" w:rsidRPr="007B4062">
        <w:rPr>
          <w:rFonts w:ascii="Times New Roman" w:hAnsi="Times New Roman" w:cs="Times New Roman"/>
          <w:sz w:val="24"/>
          <w:szCs w:val="24"/>
          <w:shd w:val="clear" w:color="auto" w:fill="FFFFFF"/>
          <w:lang w:val="lv-LV"/>
        </w:rPr>
        <w:t xml:space="preserve">a pārtraukšanas objektīva nepieciešamība </w:t>
      </w:r>
      <w:r w:rsidR="00AB4B10" w:rsidRPr="007B4062">
        <w:rPr>
          <w:rFonts w:ascii="Times New Roman" w:hAnsi="Times New Roman" w:cs="Times New Roman"/>
          <w:sz w:val="24"/>
          <w:szCs w:val="24"/>
          <w:shd w:val="clear" w:color="auto" w:fill="FFFFFF"/>
          <w:lang w:val="lv-LV"/>
        </w:rPr>
        <w:t xml:space="preserve">jo īpaši ir svarīga tad, </w:t>
      </w:r>
      <w:r w:rsidR="00A9254F" w:rsidRPr="007B4062">
        <w:rPr>
          <w:rFonts w:ascii="Times New Roman" w:hAnsi="Times New Roman" w:cs="Times New Roman"/>
          <w:sz w:val="24"/>
          <w:szCs w:val="24"/>
          <w:shd w:val="clear" w:color="auto" w:fill="FFFFFF"/>
          <w:lang w:val="lv-LV"/>
        </w:rPr>
        <w:t>ja pārtraukšana tiek apsvērta pēc tam, kad</w:t>
      </w:r>
      <w:r w:rsidR="00AB4B10" w:rsidRPr="007B4062">
        <w:rPr>
          <w:rFonts w:ascii="Times New Roman" w:hAnsi="Times New Roman" w:cs="Times New Roman"/>
          <w:sz w:val="24"/>
          <w:szCs w:val="24"/>
          <w:shd w:val="clear" w:color="auto" w:fill="FFFFFF"/>
          <w:lang w:val="lv-LV"/>
        </w:rPr>
        <w:t xml:space="preserve"> piedāvājumi jau ir atvērti, jo </w:t>
      </w:r>
      <w:r w:rsidR="00141568" w:rsidRPr="007B4062">
        <w:rPr>
          <w:rFonts w:ascii="Times New Roman" w:eastAsiaTheme="minorHAnsi" w:hAnsi="Times New Roman" w:cs="Times New Roman"/>
          <w:sz w:val="24"/>
          <w:szCs w:val="24"/>
          <w:lang w:val="lv-LV"/>
        </w:rPr>
        <w:t>tieši tad var rasties kārdinājums pasūtītājam kļūt favorītiskam savos lēmumos un tikai formāli izmantot atsauces uz saimniecisku rīcības brīvību (</w:t>
      </w:r>
      <w:r w:rsidR="00141568" w:rsidRPr="007B4062">
        <w:rPr>
          <w:rFonts w:ascii="Times New Roman" w:hAnsi="Times New Roman" w:cs="Times New Roman"/>
          <w:i/>
          <w:iCs/>
          <w:sz w:val="24"/>
          <w:szCs w:val="24"/>
          <w:lang w:val="lv-LV"/>
        </w:rPr>
        <w:t>Senāta 2017.gada 28.februāra sprieduma lietā Nr. SKA-706/2017 (A420193416) 20.punkts</w:t>
      </w:r>
      <w:r w:rsidR="00141568" w:rsidRPr="007B4062">
        <w:rPr>
          <w:rFonts w:ascii="Times New Roman" w:hAnsi="Times New Roman" w:cs="Times New Roman"/>
          <w:sz w:val="24"/>
          <w:szCs w:val="24"/>
          <w:lang w:val="lv-LV"/>
        </w:rPr>
        <w:t>). Senāts vērsis uzmanību arī uz to, ka pasūtītājam, domājot par to, kā sasniegt savas saimnieciskās vai citas intereses</w:t>
      </w:r>
      <w:r w:rsidR="003B3BF6" w:rsidRPr="007B4062">
        <w:rPr>
          <w:rFonts w:ascii="Times New Roman" w:hAnsi="Times New Roman" w:cs="Times New Roman"/>
          <w:sz w:val="24"/>
          <w:szCs w:val="24"/>
          <w:lang w:val="lv-LV"/>
        </w:rPr>
        <w:t>,</w:t>
      </w:r>
      <w:r w:rsidR="00141568" w:rsidRPr="007B4062">
        <w:rPr>
          <w:rFonts w:ascii="Times New Roman" w:hAnsi="Times New Roman" w:cs="Times New Roman"/>
          <w:sz w:val="24"/>
          <w:szCs w:val="24"/>
          <w:lang w:val="lv-LV"/>
        </w:rPr>
        <w:t xml:space="preserve"> un apsverot iepirkuma pārtraukšanu, vienlaikus jādomā par iepirkuma procesa kopskatu un caurskatāmību no objektīva novērotāja skatpunkta (</w:t>
      </w:r>
      <w:r w:rsidR="00141568" w:rsidRPr="007B4062">
        <w:rPr>
          <w:rFonts w:ascii="Times New Roman" w:hAnsi="Times New Roman" w:cs="Times New Roman"/>
          <w:i/>
          <w:iCs/>
          <w:sz w:val="24"/>
          <w:szCs w:val="24"/>
          <w:lang w:val="lv-LV"/>
        </w:rPr>
        <w:t>Senāta 2017.gada 10.februāra rīcības sēdes lēmuma lietā Nr. SKA-187/2017 (A420385914) 10.punkts</w:t>
      </w:r>
      <w:r w:rsidR="00141568" w:rsidRPr="007B4062">
        <w:rPr>
          <w:rFonts w:ascii="Times New Roman" w:hAnsi="Times New Roman" w:cs="Times New Roman"/>
          <w:sz w:val="24"/>
          <w:szCs w:val="24"/>
          <w:lang w:val="lv-LV"/>
        </w:rPr>
        <w:t>).</w:t>
      </w:r>
    </w:p>
    <w:p w14:paraId="06FC7D94" w14:textId="77777777" w:rsidR="00995662" w:rsidRPr="007B4062" w:rsidRDefault="00995662" w:rsidP="003F1B18">
      <w:pPr>
        <w:spacing w:after="0"/>
        <w:ind w:firstLine="567"/>
        <w:jc w:val="both"/>
        <w:rPr>
          <w:rFonts w:ascii="Times New Roman" w:hAnsi="Times New Roman" w:cs="Times New Roman"/>
          <w:sz w:val="24"/>
          <w:szCs w:val="24"/>
          <w:lang w:val="lv-LV"/>
        </w:rPr>
      </w:pPr>
    </w:p>
    <w:p w14:paraId="502171C0" w14:textId="599B8315" w:rsidR="00995662" w:rsidRPr="007B4062" w:rsidRDefault="00995662"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[26]</w:t>
      </w:r>
      <w:r w:rsidR="00C65EDF">
        <w:rPr>
          <w:rFonts w:ascii="Times New Roman" w:hAnsi="Times New Roman" w:cs="Times New Roman"/>
          <w:sz w:val="24"/>
          <w:szCs w:val="24"/>
          <w:lang w:val="lv-LV"/>
        </w:rPr>
        <w:t> </w:t>
      </w:r>
      <w:r w:rsidRPr="007B4062">
        <w:rPr>
          <w:rFonts w:ascii="Times New Roman" w:hAnsi="Times New Roman" w:cs="Times New Roman"/>
          <w:sz w:val="24"/>
          <w:szCs w:val="24"/>
          <w:lang w:val="lv-LV"/>
        </w:rPr>
        <w:t xml:space="preserve">Senāts neizslēdz, ka tiešām varētu būt tādi gadījumi, kad </w:t>
      </w:r>
      <w:r w:rsidR="003B3BF6" w:rsidRPr="007B4062">
        <w:rPr>
          <w:rFonts w:ascii="Times New Roman" w:hAnsi="Times New Roman" w:cs="Times New Roman"/>
          <w:sz w:val="24"/>
          <w:szCs w:val="24"/>
          <w:lang w:val="lv-LV"/>
        </w:rPr>
        <w:t>objektīvu n</w:t>
      </w:r>
      <w:r w:rsidRPr="007B4062">
        <w:rPr>
          <w:rFonts w:ascii="Times New Roman" w:hAnsi="Times New Roman" w:cs="Times New Roman"/>
          <w:sz w:val="24"/>
          <w:szCs w:val="24"/>
          <w:lang w:val="lv-LV"/>
        </w:rPr>
        <w:t>epieciešamību pārtraukt iepirkumu pasūtītājs</w:t>
      </w:r>
      <w:r w:rsidR="00A9254F" w:rsidRPr="007B4062">
        <w:rPr>
          <w:rFonts w:ascii="Times New Roman" w:hAnsi="Times New Roman" w:cs="Times New Roman"/>
          <w:sz w:val="24"/>
          <w:szCs w:val="24"/>
          <w:lang w:val="lv-LV"/>
        </w:rPr>
        <w:t xml:space="preserve"> apzinās</w:t>
      </w:r>
      <w:r w:rsidRPr="007B4062">
        <w:rPr>
          <w:rFonts w:ascii="Times New Roman" w:hAnsi="Times New Roman" w:cs="Times New Roman"/>
          <w:sz w:val="24"/>
          <w:szCs w:val="24"/>
          <w:lang w:val="lv-LV"/>
        </w:rPr>
        <w:t xml:space="preserve"> tikai tad, kad augstāka iestāde vai tiesa tam norāda, kā ir pareizi piemērojamas iepirkuma nolikuma normas. </w:t>
      </w:r>
      <w:r w:rsidR="003B3BF6" w:rsidRPr="007B4062">
        <w:rPr>
          <w:rFonts w:ascii="Times New Roman" w:hAnsi="Times New Roman" w:cs="Times New Roman"/>
          <w:sz w:val="24"/>
          <w:szCs w:val="24"/>
          <w:lang w:val="lv-LV"/>
        </w:rPr>
        <w:t>Tas skaidrojams ar to, ka nevar izslēgt iepirkuma nolikuma izstrādē pieļautas kļūdas, kuras pasūtītājs sākotnēji nemaz neapzinās, līdz ar to nevar arī izslēgt, ka pasūtītājs pats izstrādā</w:t>
      </w:r>
      <w:r w:rsidR="00284B60" w:rsidRPr="007B4062">
        <w:rPr>
          <w:rFonts w:ascii="Times New Roman" w:hAnsi="Times New Roman" w:cs="Times New Roman"/>
          <w:sz w:val="24"/>
          <w:szCs w:val="24"/>
          <w:lang w:val="lv-LV"/>
        </w:rPr>
        <w:t>jis</w:t>
      </w:r>
      <w:r w:rsidR="003B3BF6" w:rsidRPr="007B4062">
        <w:rPr>
          <w:rFonts w:ascii="Times New Roman" w:hAnsi="Times New Roman" w:cs="Times New Roman"/>
          <w:sz w:val="24"/>
          <w:szCs w:val="24"/>
          <w:lang w:val="lv-LV"/>
        </w:rPr>
        <w:t xml:space="preserve"> nolikumu, kas neatbilst tā vajadzībām. Līdz ar to objektīva nepieciešamība pārtraukt iepirkumu pēc tam, kad tiesa devusi nolikuma normu skaidrojumu, </w:t>
      </w:r>
      <w:r w:rsidRPr="007B4062">
        <w:rPr>
          <w:rFonts w:ascii="Times New Roman" w:hAnsi="Times New Roman" w:cs="Times New Roman"/>
          <w:sz w:val="24"/>
          <w:szCs w:val="24"/>
          <w:lang w:val="lv-LV"/>
        </w:rPr>
        <w:t>varētu būt, piemēram, tad, ja nekvalitatīvi</w:t>
      </w:r>
      <w:r w:rsidR="003B3BF6" w:rsidRPr="007B4062">
        <w:rPr>
          <w:rFonts w:ascii="Times New Roman" w:hAnsi="Times New Roman" w:cs="Times New Roman"/>
          <w:sz w:val="24"/>
          <w:szCs w:val="24"/>
          <w:lang w:val="lv-LV"/>
        </w:rPr>
        <w:t xml:space="preserve"> </w:t>
      </w:r>
      <w:r w:rsidRPr="007B4062">
        <w:rPr>
          <w:rFonts w:ascii="Times New Roman" w:hAnsi="Times New Roman" w:cs="Times New Roman"/>
          <w:sz w:val="24"/>
          <w:szCs w:val="24"/>
          <w:lang w:val="lv-LV"/>
        </w:rPr>
        <w:t xml:space="preserve">izstrādāta nolikuma dēļ ir objektīvi konstatējams, ka, pareizi </w:t>
      </w:r>
      <w:r w:rsidR="003B3BF6" w:rsidRPr="007B4062">
        <w:rPr>
          <w:rFonts w:ascii="Times New Roman" w:hAnsi="Times New Roman" w:cs="Times New Roman"/>
          <w:sz w:val="24"/>
          <w:szCs w:val="24"/>
          <w:lang w:val="lv-LV"/>
        </w:rPr>
        <w:t xml:space="preserve">(tā kā to noteikusi tiesa) </w:t>
      </w:r>
      <w:r w:rsidRPr="007B4062">
        <w:rPr>
          <w:rFonts w:ascii="Times New Roman" w:hAnsi="Times New Roman" w:cs="Times New Roman"/>
          <w:sz w:val="24"/>
          <w:szCs w:val="24"/>
          <w:lang w:val="lv-LV"/>
        </w:rPr>
        <w:t xml:space="preserve">piemērojot nolikuma normas, pasūtītājs ir spiests iepirkt tādas preces vai pakalpojumus, kādi tam patiesībā nemaz nav nepieciešami, vai arī pasūtītājs ir spiests iepirkt preces vai pakalpojumus </w:t>
      </w:r>
      <w:r w:rsidR="00E17B1F">
        <w:rPr>
          <w:rFonts w:ascii="Times New Roman" w:hAnsi="Times New Roman" w:cs="Times New Roman"/>
          <w:sz w:val="24"/>
          <w:szCs w:val="24"/>
          <w:lang w:val="lv-LV"/>
        </w:rPr>
        <w:t>ar</w:t>
      </w:r>
      <w:r w:rsidR="00E17B1F" w:rsidRPr="007B4062">
        <w:rPr>
          <w:rFonts w:ascii="Times New Roman" w:hAnsi="Times New Roman" w:cs="Times New Roman"/>
          <w:sz w:val="24"/>
          <w:szCs w:val="24"/>
          <w:lang w:val="lv-LV"/>
        </w:rPr>
        <w:t xml:space="preserve"> </w:t>
      </w:r>
      <w:r w:rsidRPr="007B4062">
        <w:rPr>
          <w:rFonts w:ascii="Times New Roman" w:hAnsi="Times New Roman" w:cs="Times New Roman"/>
          <w:sz w:val="24"/>
          <w:szCs w:val="24"/>
          <w:lang w:val="lv-LV"/>
        </w:rPr>
        <w:t xml:space="preserve">nosacījumiem, kas tam acīmredzami nav izdevīgi. </w:t>
      </w:r>
    </w:p>
    <w:p w14:paraId="0C83D921" w14:textId="77777777" w:rsidR="00A40ADA" w:rsidRPr="007B4062" w:rsidRDefault="00A40ADA" w:rsidP="003F1B18">
      <w:pPr>
        <w:spacing w:after="0"/>
        <w:ind w:firstLine="567"/>
        <w:jc w:val="both"/>
        <w:rPr>
          <w:rFonts w:ascii="Times New Roman" w:hAnsi="Times New Roman" w:cs="Times New Roman"/>
          <w:sz w:val="24"/>
          <w:szCs w:val="24"/>
          <w:lang w:val="lv-LV"/>
        </w:rPr>
      </w:pPr>
    </w:p>
    <w:p w14:paraId="5476D017" w14:textId="6BC6DEB8" w:rsidR="00A40ADA" w:rsidRPr="007B4062" w:rsidRDefault="00141568"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[2</w:t>
      </w:r>
      <w:r w:rsidR="00A9254F" w:rsidRPr="007B4062">
        <w:rPr>
          <w:rFonts w:ascii="Times New Roman" w:hAnsi="Times New Roman" w:cs="Times New Roman"/>
          <w:sz w:val="24"/>
          <w:szCs w:val="24"/>
          <w:lang w:val="lv-LV"/>
        </w:rPr>
        <w:t>7</w:t>
      </w:r>
      <w:r w:rsidRPr="007B4062">
        <w:rPr>
          <w:rFonts w:ascii="Times New Roman" w:hAnsi="Times New Roman" w:cs="Times New Roman"/>
          <w:sz w:val="24"/>
          <w:szCs w:val="24"/>
          <w:lang w:val="lv-LV"/>
        </w:rPr>
        <w:t>]</w:t>
      </w:r>
      <w:r w:rsidR="00C65EDF">
        <w:rPr>
          <w:rFonts w:ascii="Times New Roman" w:hAnsi="Times New Roman" w:cs="Times New Roman"/>
          <w:sz w:val="24"/>
          <w:szCs w:val="24"/>
          <w:lang w:val="lv-LV"/>
        </w:rPr>
        <w:t> </w:t>
      </w:r>
      <w:r w:rsidR="00A40ADA" w:rsidRPr="007B4062">
        <w:rPr>
          <w:rFonts w:ascii="Times New Roman" w:hAnsi="Times New Roman" w:cs="Times New Roman"/>
          <w:sz w:val="24"/>
          <w:szCs w:val="24"/>
          <w:lang w:val="lv-LV"/>
        </w:rPr>
        <w:t>Kasatore kā pamatu hipotētiskai iepirkuma pārtraukšanai norādījusi to, ka pieteicējas izvēle piedāvāt atlaidi apliecinājusi, ka pretendenti iepirkuma nolikuma prasības varēja saprast dažādi (proti, arī tā, ka atlaides ir pieļaujamas). Tāpēc iepirkuma pārtraukšana būtu objektīvi pamatota, lai nolikumu grozītu tādējādi, ka tiek nodrošināta vienota izpratn</w:t>
      </w:r>
      <w:r w:rsidR="006A485F" w:rsidRPr="007B4062">
        <w:rPr>
          <w:rFonts w:ascii="Times New Roman" w:hAnsi="Times New Roman" w:cs="Times New Roman"/>
          <w:sz w:val="24"/>
          <w:szCs w:val="24"/>
          <w:lang w:val="lv-LV"/>
        </w:rPr>
        <w:t>e</w:t>
      </w:r>
      <w:r w:rsidR="00A40ADA" w:rsidRPr="007B4062">
        <w:rPr>
          <w:rFonts w:ascii="Times New Roman" w:hAnsi="Times New Roman" w:cs="Times New Roman"/>
          <w:sz w:val="24"/>
          <w:szCs w:val="24"/>
          <w:lang w:val="lv-LV"/>
        </w:rPr>
        <w:t xml:space="preserve"> par nolikuma saturu.</w:t>
      </w:r>
    </w:p>
    <w:p w14:paraId="537B95CA" w14:textId="3ADB9E7B" w:rsidR="006A485F" w:rsidRPr="007B4062" w:rsidRDefault="00A40ADA"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Senāt</w:t>
      </w:r>
      <w:r w:rsidR="00B1494B" w:rsidRPr="007B4062">
        <w:rPr>
          <w:rFonts w:ascii="Times New Roman" w:hAnsi="Times New Roman" w:cs="Times New Roman"/>
          <w:sz w:val="24"/>
          <w:szCs w:val="24"/>
          <w:lang w:val="lv-LV"/>
        </w:rPr>
        <w:t>a ieskatā,</w:t>
      </w:r>
      <w:r w:rsidRPr="007B4062">
        <w:rPr>
          <w:rFonts w:ascii="Times New Roman" w:hAnsi="Times New Roman" w:cs="Times New Roman"/>
          <w:sz w:val="24"/>
          <w:szCs w:val="24"/>
          <w:lang w:val="lv-LV"/>
        </w:rPr>
        <w:t xml:space="preserve"> šāds </w:t>
      </w:r>
      <w:r w:rsidR="006A485F" w:rsidRPr="007B4062">
        <w:rPr>
          <w:rFonts w:ascii="Times New Roman" w:hAnsi="Times New Roman" w:cs="Times New Roman"/>
          <w:sz w:val="24"/>
          <w:szCs w:val="24"/>
          <w:lang w:val="lv-LV"/>
        </w:rPr>
        <w:t>apsvērums konkrētajā gadījumā nenorāda uz objektīvu pamatu hipotētiskai iepirkuma pārtraukšanai. To</w:t>
      </w:r>
      <w:r w:rsidRPr="007B4062">
        <w:rPr>
          <w:rFonts w:ascii="Times New Roman" w:hAnsi="Times New Roman" w:cs="Times New Roman"/>
          <w:sz w:val="24"/>
          <w:szCs w:val="24"/>
          <w:lang w:val="lv-LV"/>
        </w:rPr>
        <w:t xml:space="preserve">, ka pieteicēja </w:t>
      </w:r>
      <w:r w:rsidR="006A485F" w:rsidRPr="007B4062">
        <w:rPr>
          <w:rFonts w:ascii="Times New Roman" w:hAnsi="Times New Roman" w:cs="Times New Roman"/>
          <w:sz w:val="24"/>
          <w:szCs w:val="24"/>
          <w:lang w:val="lv-LV"/>
        </w:rPr>
        <w:t xml:space="preserve">iepirkuma </w:t>
      </w:r>
      <w:r w:rsidRPr="007B4062">
        <w:rPr>
          <w:rFonts w:ascii="Times New Roman" w:hAnsi="Times New Roman" w:cs="Times New Roman"/>
          <w:sz w:val="24"/>
          <w:szCs w:val="24"/>
          <w:lang w:val="lv-LV"/>
        </w:rPr>
        <w:t xml:space="preserve">nolikumu </w:t>
      </w:r>
      <w:r w:rsidR="006A485F" w:rsidRPr="007B4062">
        <w:rPr>
          <w:rFonts w:ascii="Times New Roman" w:hAnsi="Times New Roman" w:cs="Times New Roman"/>
          <w:sz w:val="24"/>
          <w:szCs w:val="24"/>
          <w:lang w:val="lv-LV"/>
        </w:rPr>
        <w:t xml:space="preserve">bija </w:t>
      </w:r>
      <w:r w:rsidRPr="007B4062">
        <w:rPr>
          <w:rFonts w:ascii="Times New Roman" w:hAnsi="Times New Roman" w:cs="Times New Roman"/>
          <w:sz w:val="24"/>
          <w:szCs w:val="24"/>
          <w:lang w:val="lv-LV"/>
        </w:rPr>
        <w:t xml:space="preserve">sapratusi tā, ka </w:t>
      </w:r>
      <w:r w:rsidR="006A485F" w:rsidRPr="007B4062">
        <w:rPr>
          <w:rFonts w:ascii="Times New Roman" w:hAnsi="Times New Roman" w:cs="Times New Roman"/>
          <w:sz w:val="24"/>
          <w:szCs w:val="24"/>
          <w:lang w:val="lv-LV"/>
        </w:rPr>
        <w:t xml:space="preserve">tas neliedz atlaides piemērošanu, </w:t>
      </w:r>
      <w:r w:rsidRPr="007B4062">
        <w:rPr>
          <w:rFonts w:ascii="Times New Roman" w:hAnsi="Times New Roman" w:cs="Times New Roman"/>
          <w:sz w:val="24"/>
          <w:szCs w:val="24"/>
          <w:lang w:val="lv-LV"/>
        </w:rPr>
        <w:t xml:space="preserve">pasūtītāja </w:t>
      </w:r>
      <w:r w:rsidR="006A485F" w:rsidRPr="007B4062">
        <w:rPr>
          <w:rFonts w:ascii="Times New Roman" w:hAnsi="Times New Roman" w:cs="Times New Roman"/>
          <w:sz w:val="24"/>
          <w:szCs w:val="24"/>
          <w:lang w:val="lv-LV"/>
        </w:rPr>
        <w:t>varēja konstatēt jau tad</w:t>
      </w:r>
      <w:r w:rsidRPr="007B4062">
        <w:rPr>
          <w:rFonts w:ascii="Times New Roman" w:hAnsi="Times New Roman" w:cs="Times New Roman"/>
          <w:sz w:val="24"/>
          <w:szCs w:val="24"/>
          <w:lang w:val="lv-LV"/>
        </w:rPr>
        <w:t xml:space="preserve">, kad atvēra piedāvājumus. Tātad pasūtītāja </w:t>
      </w:r>
      <w:r w:rsidR="006A485F" w:rsidRPr="007B4062">
        <w:rPr>
          <w:rFonts w:ascii="Times New Roman" w:hAnsi="Times New Roman" w:cs="Times New Roman"/>
          <w:sz w:val="24"/>
          <w:szCs w:val="24"/>
          <w:lang w:val="lv-LV"/>
        </w:rPr>
        <w:t xml:space="preserve">jau tolaik </w:t>
      </w:r>
      <w:r w:rsidRPr="007B4062">
        <w:rPr>
          <w:rFonts w:ascii="Times New Roman" w:hAnsi="Times New Roman" w:cs="Times New Roman"/>
          <w:sz w:val="24"/>
          <w:szCs w:val="24"/>
          <w:lang w:val="lv-LV"/>
        </w:rPr>
        <w:t xml:space="preserve">zināja, ka izpratne </w:t>
      </w:r>
      <w:r w:rsidR="006A485F" w:rsidRPr="007B4062">
        <w:rPr>
          <w:rFonts w:ascii="Times New Roman" w:hAnsi="Times New Roman" w:cs="Times New Roman"/>
          <w:sz w:val="24"/>
          <w:szCs w:val="24"/>
          <w:lang w:val="lv-LV"/>
        </w:rPr>
        <w:t xml:space="preserve">par nolikuma saturu šajā jautājumā </w:t>
      </w:r>
      <w:r w:rsidRPr="007B4062">
        <w:rPr>
          <w:rFonts w:ascii="Times New Roman" w:hAnsi="Times New Roman" w:cs="Times New Roman"/>
          <w:sz w:val="24"/>
          <w:szCs w:val="24"/>
          <w:lang w:val="lv-LV"/>
        </w:rPr>
        <w:t>ir dažāda</w:t>
      </w:r>
      <w:r w:rsidR="006A485F" w:rsidRPr="007B4062">
        <w:rPr>
          <w:rFonts w:ascii="Times New Roman" w:hAnsi="Times New Roman" w:cs="Times New Roman"/>
          <w:sz w:val="24"/>
          <w:szCs w:val="24"/>
          <w:lang w:val="lv-LV"/>
        </w:rPr>
        <w:t xml:space="preserve">. </w:t>
      </w:r>
      <w:r w:rsidR="00D46D28" w:rsidRPr="007B4062">
        <w:rPr>
          <w:rFonts w:ascii="Times New Roman" w:hAnsi="Times New Roman" w:cs="Times New Roman"/>
          <w:sz w:val="24"/>
          <w:szCs w:val="24"/>
          <w:lang w:val="lv-LV"/>
        </w:rPr>
        <w:t xml:space="preserve">Proti, pasūtītājai tas bija zināms jau pirms tiesas sprieduma pamatlietā. </w:t>
      </w:r>
      <w:r w:rsidR="006A485F" w:rsidRPr="007B4062">
        <w:rPr>
          <w:rFonts w:ascii="Times New Roman" w:hAnsi="Times New Roman" w:cs="Times New Roman"/>
          <w:sz w:val="24"/>
          <w:szCs w:val="24"/>
          <w:lang w:val="lv-LV"/>
        </w:rPr>
        <w:t xml:space="preserve">Tomēr pasūtītāja šo apstākli nesaskatīja kā tādu, kura dēļ būtu nepieciešams iepirkumu pārtraukt, un </w:t>
      </w:r>
      <w:r w:rsidRPr="007B4062">
        <w:rPr>
          <w:rFonts w:ascii="Times New Roman" w:hAnsi="Times New Roman" w:cs="Times New Roman"/>
          <w:sz w:val="24"/>
          <w:szCs w:val="24"/>
          <w:lang w:val="lv-LV"/>
        </w:rPr>
        <w:t>iepirkum</w:t>
      </w:r>
      <w:r w:rsidR="006A485F" w:rsidRPr="007B4062">
        <w:rPr>
          <w:rFonts w:ascii="Times New Roman" w:hAnsi="Times New Roman" w:cs="Times New Roman"/>
          <w:sz w:val="24"/>
          <w:szCs w:val="24"/>
          <w:lang w:val="lv-LV"/>
        </w:rPr>
        <w:t xml:space="preserve">a procedūru </w:t>
      </w:r>
      <w:r w:rsidRPr="007B4062">
        <w:rPr>
          <w:rFonts w:ascii="Times New Roman" w:hAnsi="Times New Roman" w:cs="Times New Roman"/>
          <w:sz w:val="24"/>
          <w:szCs w:val="24"/>
          <w:lang w:val="lv-LV"/>
        </w:rPr>
        <w:t>nepārtrauca.</w:t>
      </w:r>
      <w:r w:rsidR="006A485F" w:rsidRPr="007B4062">
        <w:rPr>
          <w:rFonts w:ascii="Times New Roman" w:hAnsi="Times New Roman" w:cs="Times New Roman"/>
          <w:sz w:val="24"/>
          <w:szCs w:val="24"/>
          <w:lang w:val="lv-LV"/>
        </w:rPr>
        <w:t xml:space="preserve"> </w:t>
      </w:r>
      <w:r w:rsidR="00D46D28" w:rsidRPr="007B4062">
        <w:rPr>
          <w:rFonts w:ascii="Times New Roman" w:hAnsi="Times New Roman" w:cs="Times New Roman"/>
          <w:sz w:val="24"/>
          <w:szCs w:val="24"/>
          <w:lang w:val="lv-LV"/>
        </w:rPr>
        <w:t>Līdz ar to, j</w:t>
      </w:r>
      <w:r w:rsidR="006A485F" w:rsidRPr="007B4062">
        <w:rPr>
          <w:rFonts w:ascii="Times New Roman" w:hAnsi="Times New Roman" w:cs="Times New Roman"/>
          <w:sz w:val="24"/>
          <w:szCs w:val="24"/>
          <w:lang w:val="lv-LV"/>
        </w:rPr>
        <w:t>a jau tolaik pasūtītāja pretendentu atšķirīgo redzējumu par nolikuma prasībām neuzskatīja par pamatu iepirkumu pārtraukt, nav nekāda pamata šo apstākli vērtēt kā objektīvu pamatu iepirkuma hipotētiskai pārtraukšanai tagad, kad tiek vērtēts, vai pieteicēja tiesiskas iepirkuma norises gadījumā būtu uzvarējusi iepirkumā.</w:t>
      </w:r>
    </w:p>
    <w:p w14:paraId="61F625CE" w14:textId="77777777" w:rsidR="006A485F" w:rsidRPr="007B4062" w:rsidRDefault="006A485F" w:rsidP="003F1B18">
      <w:pPr>
        <w:spacing w:after="0"/>
        <w:ind w:firstLine="567"/>
        <w:jc w:val="both"/>
        <w:rPr>
          <w:rFonts w:ascii="Times New Roman" w:hAnsi="Times New Roman" w:cs="Times New Roman"/>
          <w:sz w:val="24"/>
          <w:szCs w:val="24"/>
          <w:lang w:val="lv-LV"/>
        </w:rPr>
      </w:pPr>
    </w:p>
    <w:p w14:paraId="5F169901" w14:textId="431FE5AD" w:rsidR="00D428A9" w:rsidRPr="007B4062" w:rsidRDefault="006A485F"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[2</w:t>
      </w:r>
      <w:r w:rsidR="00A9254F" w:rsidRPr="007B4062">
        <w:rPr>
          <w:rFonts w:ascii="Times New Roman" w:hAnsi="Times New Roman" w:cs="Times New Roman"/>
          <w:sz w:val="24"/>
          <w:szCs w:val="24"/>
          <w:lang w:val="lv-LV"/>
        </w:rPr>
        <w:t>8</w:t>
      </w:r>
      <w:r w:rsidRPr="007B4062">
        <w:rPr>
          <w:rFonts w:ascii="Times New Roman" w:hAnsi="Times New Roman" w:cs="Times New Roman"/>
          <w:sz w:val="24"/>
          <w:szCs w:val="24"/>
          <w:lang w:val="lv-LV"/>
        </w:rPr>
        <w:t>]</w:t>
      </w:r>
      <w:r w:rsidR="00105837">
        <w:rPr>
          <w:rFonts w:ascii="Times New Roman" w:hAnsi="Times New Roman" w:cs="Times New Roman"/>
          <w:sz w:val="24"/>
          <w:szCs w:val="24"/>
          <w:lang w:val="lv-LV"/>
        </w:rPr>
        <w:t> </w:t>
      </w:r>
      <w:r w:rsidR="00141568" w:rsidRPr="007B4062">
        <w:rPr>
          <w:rFonts w:ascii="Times New Roman" w:hAnsi="Times New Roman" w:cs="Times New Roman"/>
          <w:sz w:val="24"/>
          <w:szCs w:val="24"/>
          <w:lang w:val="lv-LV"/>
        </w:rPr>
        <w:t>Kasatore norādījusi, ka tad, ja pasūtītāja iepirkuma procedūras ietvaros būtu sapratusi, ka tai atbilstoši nolikumam ir jāakceptē tāds piedāvājums, kādu iesniegusi pieteicēja, un</w:t>
      </w:r>
      <w:r w:rsidR="0090559E" w:rsidRPr="007B4062">
        <w:rPr>
          <w:rFonts w:ascii="Times New Roman" w:hAnsi="Times New Roman" w:cs="Times New Roman"/>
          <w:sz w:val="24"/>
          <w:szCs w:val="24"/>
          <w:lang w:val="lv-LV"/>
        </w:rPr>
        <w:t>,</w:t>
      </w:r>
      <w:r w:rsidR="00141568" w:rsidRPr="007B4062">
        <w:rPr>
          <w:rFonts w:ascii="Times New Roman" w:hAnsi="Times New Roman" w:cs="Times New Roman"/>
          <w:sz w:val="24"/>
          <w:szCs w:val="24"/>
          <w:lang w:val="lv-LV"/>
        </w:rPr>
        <w:t xml:space="preserve"> vērtējot šo piedāvājumu, jāņem vērā cena, ko pieteicēja piedāvājusi strīdus pozīcijā (0,33</w:t>
      </w:r>
      <w:r w:rsidR="00B84B85" w:rsidRPr="007B4062">
        <w:rPr>
          <w:rFonts w:ascii="Times New Roman" w:hAnsi="Times New Roman" w:cs="Times New Roman"/>
          <w:sz w:val="24"/>
          <w:szCs w:val="24"/>
          <w:lang w:val="lv-LV"/>
        </w:rPr>
        <w:t> </w:t>
      </w:r>
      <w:r w:rsidR="00141568" w:rsidRPr="007B4062">
        <w:rPr>
          <w:rFonts w:ascii="Times New Roman" w:hAnsi="Times New Roman" w:cs="Times New Roman"/>
          <w:sz w:val="24"/>
          <w:szCs w:val="24"/>
          <w:lang w:val="lv-LV"/>
        </w:rPr>
        <w:t xml:space="preserve">lati), </w:t>
      </w:r>
      <w:r w:rsidR="009139FC" w:rsidRPr="007B4062">
        <w:rPr>
          <w:rFonts w:ascii="Times New Roman" w:hAnsi="Times New Roman" w:cs="Times New Roman"/>
          <w:sz w:val="24"/>
          <w:szCs w:val="24"/>
          <w:lang w:val="lv-LV"/>
        </w:rPr>
        <w:t>tā būtu pārtraukusi iepirkumu, lai grozītu nolikumu</w:t>
      </w:r>
      <w:r w:rsidR="0090559E" w:rsidRPr="007B4062">
        <w:rPr>
          <w:rFonts w:ascii="Times New Roman" w:hAnsi="Times New Roman" w:cs="Times New Roman"/>
          <w:sz w:val="24"/>
          <w:szCs w:val="24"/>
          <w:lang w:val="lv-LV"/>
        </w:rPr>
        <w:t xml:space="preserve">. Nepieciešamību šādā gadījumā grozīt nolikumu kasatore pamatojusi ar to, ka pasūtītājai </w:t>
      </w:r>
      <w:r w:rsidR="009139FC" w:rsidRPr="007B4062">
        <w:rPr>
          <w:rFonts w:ascii="Times New Roman" w:hAnsi="Times New Roman" w:cs="Times New Roman"/>
          <w:sz w:val="24"/>
          <w:szCs w:val="24"/>
          <w:lang w:val="lv-LV"/>
        </w:rPr>
        <w:t xml:space="preserve">esot svarīgi saprast ne tikai izmaksas saistībā ar iepirkuma līgumu, bet arī nākotnē plānojamās izmaksas. </w:t>
      </w:r>
      <w:r w:rsidR="0090559E" w:rsidRPr="007B4062">
        <w:rPr>
          <w:rFonts w:ascii="Times New Roman" w:hAnsi="Times New Roman" w:cs="Times New Roman"/>
          <w:sz w:val="24"/>
          <w:szCs w:val="24"/>
          <w:lang w:val="lv-LV"/>
        </w:rPr>
        <w:t xml:space="preserve">Piedāvājums, kurā strīdus pozīcijā piedāvāta cena ar atlaidi, liedzot pasūtītājai saprast nākotnē plānojamās izmaksas. Pasūtītāja </w:t>
      </w:r>
      <w:r w:rsidR="007C3D00" w:rsidRPr="007B4062">
        <w:rPr>
          <w:rFonts w:ascii="Times New Roman" w:hAnsi="Times New Roman" w:cs="Times New Roman"/>
          <w:sz w:val="24"/>
          <w:szCs w:val="24"/>
          <w:lang w:val="lv-LV"/>
        </w:rPr>
        <w:t xml:space="preserve">arī </w:t>
      </w:r>
      <w:r w:rsidR="0090559E" w:rsidRPr="007B4062">
        <w:rPr>
          <w:rFonts w:ascii="Times New Roman" w:hAnsi="Times New Roman" w:cs="Times New Roman"/>
          <w:sz w:val="24"/>
          <w:szCs w:val="24"/>
          <w:lang w:val="lv-LV"/>
        </w:rPr>
        <w:t xml:space="preserve">uzsvērusi, ka tai ir svarīgi </w:t>
      </w:r>
      <w:r w:rsidR="009139FC" w:rsidRPr="007B4062">
        <w:rPr>
          <w:rFonts w:ascii="Times New Roman" w:hAnsi="Times New Roman" w:cs="Times New Roman"/>
          <w:sz w:val="24"/>
          <w:szCs w:val="24"/>
          <w:lang w:val="lv-LV"/>
        </w:rPr>
        <w:t xml:space="preserve">plānot iespējami zemākus finanšu līdzekļus </w:t>
      </w:r>
      <w:r w:rsidR="0090559E" w:rsidRPr="007B4062">
        <w:rPr>
          <w:rFonts w:ascii="Times New Roman" w:hAnsi="Times New Roman" w:cs="Times New Roman"/>
          <w:sz w:val="24"/>
          <w:szCs w:val="24"/>
          <w:lang w:val="lv-LV"/>
        </w:rPr>
        <w:t xml:space="preserve">iepirkuma līguma izpildes rezultātā uzbūvētās </w:t>
      </w:r>
      <w:r w:rsidR="009139FC" w:rsidRPr="007B4062">
        <w:rPr>
          <w:rFonts w:ascii="Times New Roman" w:hAnsi="Times New Roman" w:cs="Times New Roman"/>
          <w:sz w:val="24"/>
          <w:szCs w:val="24"/>
          <w:lang w:val="lv-LV"/>
        </w:rPr>
        <w:t xml:space="preserve">ēkas </w:t>
      </w:r>
      <w:r w:rsidR="00D46D28" w:rsidRPr="007B4062">
        <w:rPr>
          <w:rFonts w:ascii="Times New Roman" w:hAnsi="Times New Roman" w:cs="Times New Roman"/>
          <w:sz w:val="24"/>
          <w:szCs w:val="24"/>
          <w:lang w:val="lv-LV"/>
        </w:rPr>
        <w:t xml:space="preserve">turpmākā </w:t>
      </w:r>
      <w:r w:rsidR="009139FC" w:rsidRPr="007B4062">
        <w:rPr>
          <w:rFonts w:ascii="Times New Roman" w:hAnsi="Times New Roman" w:cs="Times New Roman"/>
          <w:sz w:val="24"/>
          <w:szCs w:val="24"/>
          <w:lang w:val="lv-LV"/>
        </w:rPr>
        <w:t>ekspluatācijas periodā.</w:t>
      </w:r>
      <w:r w:rsidR="00D428A9" w:rsidRPr="007B4062">
        <w:rPr>
          <w:rFonts w:ascii="Times New Roman" w:hAnsi="Times New Roman" w:cs="Times New Roman"/>
          <w:sz w:val="24"/>
          <w:szCs w:val="24"/>
          <w:lang w:val="lv-LV"/>
        </w:rPr>
        <w:t xml:space="preserve"> </w:t>
      </w:r>
    </w:p>
    <w:p w14:paraId="7AF451CB" w14:textId="6FAD806A" w:rsidR="00FE4787" w:rsidRPr="007B4062" w:rsidRDefault="0090559E"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Senāts nesaskata, ka šāds pamatojums </w:t>
      </w:r>
      <w:r w:rsidR="00C06E59" w:rsidRPr="007B4062">
        <w:rPr>
          <w:rFonts w:ascii="Times New Roman" w:hAnsi="Times New Roman" w:cs="Times New Roman"/>
          <w:sz w:val="24"/>
          <w:szCs w:val="24"/>
          <w:lang w:val="lv-LV"/>
        </w:rPr>
        <w:t xml:space="preserve">konkrētajā gadījumā </w:t>
      </w:r>
      <w:r w:rsidRPr="007B4062">
        <w:rPr>
          <w:rFonts w:ascii="Times New Roman" w:hAnsi="Times New Roman" w:cs="Times New Roman"/>
          <w:sz w:val="24"/>
          <w:szCs w:val="24"/>
          <w:lang w:val="lv-LV"/>
        </w:rPr>
        <w:t xml:space="preserve">būtu vērtējams kā objektīvs iemesls iepirkuma pārtraukšanai. </w:t>
      </w:r>
    </w:p>
    <w:p w14:paraId="2A106ED4" w14:textId="498CCE27" w:rsidR="00FE4787" w:rsidRPr="007B4062" w:rsidRDefault="0090559E"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Pirmkārt, uzsverams, ka apstāklis, ka pieteicēja strīdus pozīcijā piedāvāja atlaidi, neliedza pasūtītājai saprast, kādas faktiski ir </w:t>
      </w:r>
      <w:r w:rsidR="002B59EF" w:rsidRPr="007B4062">
        <w:rPr>
          <w:rFonts w:ascii="Times New Roman" w:hAnsi="Times New Roman" w:cs="Times New Roman"/>
          <w:sz w:val="24"/>
          <w:szCs w:val="24"/>
          <w:lang w:val="lv-LV"/>
        </w:rPr>
        <w:t xml:space="preserve">pieteicējas piedāvātā </w:t>
      </w:r>
      <w:r w:rsidRPr="007B4062">
        <w:rPr>
          <w:rFonts w:ascii="Times New Roman" w:hAnsi="Times New Roman" w:cs="Times New Roman"/>
          <w:sz w:val="24"/>
          <w:szCs w:val="24"/>
          <w:lang w:val="lv-LV"/>
        </w:rPr>
        <w:t>attiecīgā pakalpojuma izmaksas. Kā konstatēts pamatlietā, pieteicēja piedāvājumā inženiersistēmu un iekārtu regulāro apkopi bija piedāvājusi veikt par 0,33</w:t>
      </w:r>
      <w:r w:rsidR="00105837">
        <w:rPr>
          <w:rFonts w:ascii="Times New Roman" w:hAnsi="Times New Roman" w:cs="Times New Roman"/>
          <w:sz w:val="24"/>
          <w:szCs w:val="24"/>
          <w:lang w:val="lv-LV"/>
        </w:rPr>
        <w:t> </w:t>
      </w:r>
      <w:r w:rsidRPr="007B4062">
        <w:rPr>
          <w:rFonts w:ascii="Times New Roman" w:hAnsi="Times New Roman" w:cs="Times New Roman"/>
          <w:sz w:val="24"/>
          <w:szCs w:val="24"/>
          <w:lang w:val="lv-LV"/>
        </w:rPr>
        <w:t>latiem gadā, vienlaikus norādot, ka šāda cena noteikta, piešķirot 25 899,67</w:t>
      </w:r>
      <w:r w:rsidR="00105837">
        <w:rPr>
          <w:rFonts w:ascii="Times New Roman" w:hAnsi="Times New Roman" w:cs="Times New Roman"/>
          <w:sz w:val="24"/>
          <w:szCs w:val="24"/>
          <w:lang w:val="lv-LV"/>
        </w:rPr>
        <w:t> </w:t>
      </w:r>
      <w:r w:rsidRPr="007B4062">
        <w:rPr>
          <w:rFonts w:ascii="Times New Roman" w:hAnsi="Times New Roman" w:cs="Times New Roman"/>
          <w:sz w:val="24"/>
          <w:szCs w:val="24"/>
          <w:lang w:val="lv-LV"/>
        </w:rPr>
        <w:t xml:space="preserve">latu atlaidi. Tādējādi pieteicējas piedāvājums ļāva pasūtītājai saprast, kādas faktiski ir iekārtu apkopes </w:t>
      </w:r>
      <w:r w:rsidR="00383DFC" w:rsidRPr="007B4062">
        <w:rPr>
          <w:rFonts w:ascii="Times New Roman" w:hAnsi="Times New Roman" w:cs="Times New Roman"/>
          <w:sz w:val="24"/>
          <w:szCs w:val="24"/>
          <w:lang w:val="lv-LV"/>
        </w:rPr>
        <w:t xml:space="preserve">pieteicējas daļēji segtās </w:t>
      </w:r>
      <w:r w:rsidRPr="007B4062">
        <w:rPr>
          <w:rFonts w:ascii="Times New Roman" w:hAnsi="Times New Roman" w:cs="Times New Roman"/>
          <w:sz w:val="24"/>
          <w:szCs w:val="24"/>
          <w:lang w:val="lv-LV"/>
        </w:rPr>
        <w:t>izmaksas gadā</w:t>
      </w:r>
      <w:r w:rsidR="00D46D28" w:rsidRPr="007B4062">
        <w:rPr>
          <w:rFonts w:ascii="Times New Roman" w:hAnsi="Times New Roman" w:cs="Times New Roman"/>
          <w:sz w:val="24"/>
          <w:szCs w:val="24"/>
          <w:lang w:val="lv-LV"/>
        </w:rPr>
        <w:t xml:space="preserve"> tad, ja pasūtītāja šo pakalpojumu iepērk no pieteicējas</w:t>
      </w:r>
      <w:r w:rsidRPr="007B4062">
        <w:rPr>
          <w:rFonts w:ascii="Times New Roman" w:hAnsi="Times New Roman" w:cs="Times New Roman"/>
          <w:sz w:val="24"/>
          <w:szCs w:val="24"/>
          <w:lang w:val="lv-LV"/>
        </w:rPr>
        <w:t xml:space="preserve">. </w:t>
      </w:r>
      <w:r w:rsidR="00D46D28" w:rsidRPr="007B4062">
        <w:rPr>
          <w:rFonts w:ascii="Times New Roman" w:hAnsi="Times New Roman" w:cs="Times New Roman"/>
          <w:sz w:val="24"/>
          <w:szCs w:val="24"/>
          <w:lang w:val="lv-LV"/>
        </w:rPr>
        <w:t>Tas arī ļauj aptuveni prognozēt, kādas apkopes izmaksas pasūtītājai varētu būt pēcgarantijas laikā, lai arī jāuzsver, ka tas jebkurā gadījumā būtu tikai pieņēmums, jo pēc tam, kad konkrētais iepirkumu līgums būtu izpildīts, pasūtītājai būtu iespējams par apkopes pakalpojumu sniegšanu rīkot jaunu iepirkumu un</w:t>
      </w:r>
      <w:r w:rsidR="002B59EF" w:rsidRPr="007B4062">
        <w:rPr>
          <w:rFonts w:ascii="Times New Roman" w:hAnsi="Times New Roman" w:cs="Times New Roman"/>
          <w:sz w:val="24"/>
          <w:szCs w:val="24"/>
          <w:lang w:val="lv-LV"/>
        </w:rPr>
        <w:t>,</w:t>
      </w:r>
      <w:r w:rsidR="00D46D28" w:rsidRPr="007B4062">
        <w:rPr>
          <w:rFonts w:ascii="Times New Roman" w:hAnsi="Times New Roman" w:cs="Times New Roman"/>
          <w:sz w:val="24"/>
          <w:szCs w:val="24"/>
          <w:lang w:val="lv-LV"/>
        </w:rPr>
        <w:t xml:space="preserve"> iespējams, iegādāties šo pakalpojumu par izdevīgāku cenu.</w:t>
      </w:r>
    </w:p>
    <w:p w14:paraId="307DD6C2" w14:textId="32D7144E" w:rsidR="00D46D28" w:rsidRPr="007B4062" w:rsidRDefault="0090559E"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Otrkārt, </w:t>
      </w:r>
      <w:r w:rsidR="00D46D28" w:rsidRPr="007B4062">
        <w:rPr>
          <w:rFonts w:ascii="Times New Roman" w:hAnsi="Times New Roman" w:cs="Times New Roman"/>
          <w:sz w:val="24"/>
          <w:szCs w:val="24"/>
          <w:lang w:val="lv-LV"/>
        </w:rPr>
        <w:t xml:space="preserve">kā tas atzīts jau pamatlietā, konkrētā iepirkuma priekšmets nebija inženiersistēmu un iekārtu regulāro apkopju veikšana pēc garantijas perioda, bet gan </w:t>
      </w:r>
      <w:r w:rsidR="00D46D28" w:rsidRPr="007B4062">
        <w:rPr>
          <w:rFonts w:ascii="Times New Roman" w:eastAsiaTheme="minorHAnsi" w:hAnsi="Times New Roman" w:cs="Times New Roman"/>
          <w:sz w:val="24"/>
          <w:szCs w:val="24"/>
          <w:lang w:val="lv-LV"/>
        </w:rPr>
        <w:t xml:space="preserve">Akadēmiskā centra projekta izstrāde, būvniecība un autoruzraudzība, kā arī uzbūvētās </w:t>
      </w:r>
      <w:r w:rsidR="00D46D28" w:rsidRPr="007B4062">
        <w:rPr>
          <w:rFonts w:ascii="Times New Roman" w:hAnsi="Times New Roman" w:cs="Times New Roman"/>
          <w:sz w:val="24"/>
          <w:szCs w:val="24"/>
          <w:lang w:val="lv-LV"/>
        </w:rPr>
        <w:t>inženiersistēmu un iekārtu regulārās apkopes garantijas laikā.</w:t>
      </w:r>
    </w:p>
    <w:p w14:paraId="6E52BB66" w14:textId="0A69397F" w:rsidR="005A54CC" w:rsidRPr="007B4062" w:rsidRDefault="00D46D28"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P</w:t>
      </w:r>
      <w:r w:rsidR="00361BD0" w:rsidRPr="007B4062">
        <w:rPr>
          <w:rFonts w:ascii="Times New Roman" w:hAnsi="Times New Roman" w:cs="Times New Roman"/>
          <w:sz w:val="24"/>
          <w:szCs w:val="24"/>
          <w:lang w:val="lv-LV"/>
        </w:rPr>
        <w:t xml:space="preserve">asūtītājas norāde, ka tai ir svarīgi plānot iespējami zemākus finanšu līdzekļus </w:t>
      </w:r>
      <w:r w:rsidR="002B59EF" w:rsidRPr="007B4062">
        <w:rPr>
          <w:rFonts w:ascii="Times New Roman" w:hAnsi="Times New Roman" w:cs="Times New Roman"/>
          <w:sz w:val="24"/>
          <w:szCs w:val="24"/>
          <w:lang w:val="lv-LV"/>
        </w:rPr>
        <w:t xml:space="preserve">arī </w:t>
      </w:r>
      <w:r w:rsidR="00361BD0" w:rsidRPr="007B4062">
        <w:rPr>
          <w:rFonts w:ascii="Times New Roman" w:hAnsi="Times New Roman" w:cs="Times New Roman"/>
          <w:sz w:val="24"/>
          <w:szCs w:val="24"/>
          <w:lang w:val="lv-LV"/>
        </w:rPr>
        <w:t xml:space="preserve">turpmākā uzbūvētās ēkas ekspluatācijas periodā, </w:t>
      </w:r>
      <w:r w:rsidR="00C53B8A" w:rsidRPr="007B4062">
        <w:rPr>
          <w:rFonts w:ascii="Times New Roman" w:hAnsi="Times New Roman" w:cs="Times New Roman"/>
          <w:sz w:val="24"/>
          <w:szCs w:val="24"/>
          <w:lang w:val="lv-LV"/>
        </w:rPr>
        <w:t xml:space="preserve">nepamatotu </w:t>
      </w:r>
      <w:r w:rsidR="00361BD0" w:rsidRPr="007B4062">
        <w:rPr>
          <w:rFonts w:ascii="Times New Roman" w:hAnsi="Times New Roman" w:cs="Times New Roman"/>
          <w:sz w:val="24"/>
          <w:szCs w:val="24"/>
          <w:lang w:val="lv-LV"/>
        </w:rPr>
        <w:t>to, ka pasūtītājai, ja tā būtu laikus sapratusi, ka iepirkuma nolikums interpretējams tā, kā tas atzīts pamatlietā, konkrētajā gadījumā būtu vajadzējis pārtraukt iepirkumu.</w:t>
      </w:r>
      <w:r w:rsidR="005A54CC" w:rsidRPr="007B4062">
        <w:rPr>
          <w:rFonts w:ascii="Times New Roman" w:hAnsi="Times New Roman" w:cs="Times New Roman"/>
          <w:sz w:val="24"/>
          <w:szCs w:val="24"/>
          <w:lang w:val="lv-LV"/>
        </w:rPr>
        <w:t xml:space="preserve"> Kasatore nav pamatojusi, ka pieteicējas piedāvājums strīdus pozīcijas faktisko izmaksu dēļ pasūtītāj</w:t>
      </w:r>
      <w:r w:rsidRPr="007B4062">
        <w:rPr>
          <w:rFonts w:ascii="Times New Roman" w:hAnsi="Times New Roman" w:cs="Times New Roman"/>
          <w:sz w:val="24"/>
          <w:szCs w:val="24"/>
          <w:lang w:val="lv-LV"/>
        </w:rPr>
        <w:t>u nostādītu tādā situācijā, ka tai pēcgarantijas laika prognozējamo izmaksu dēļ būtu acīmredzami neizdevīgi akceptēt pieteicējas piedāvājumu</w:t>
      </w:r>
      <w:r w:rsidR="005A54CC" w:rsidRPr="007B4062">
        <w:rPr>
          <w:rFonts w:ascii="Times New Roman" w:hAnsi="Times New Roman" w:cs="Times New Roman"/>
          <w:sz w:val="24"/>
          <w:szCs w:val="24"/>
          <w:lang w:val="lv-LV"/>
        </w:rPr>
        <w:t xml:space="preserve">. </w:t>
      </w:r>
    </w:p>
    <w:p w14:paraId="72110915" w14:textId="2E1AA73A" w:rsidR="00032C5F" w:rsidRPr="007B4062" w:rsidRDefault="00032C5F" w:rsidP="003F1B18">
      <w:pPr>
        <w:spacing w:after="0"/>
        <w:jc w:val="both"/>
        <w:rPr>
          <w:rFonts w:ascii="Times New Roman" w:hAnsi="Times New Roman" w:cs="Times New Roman"/>
          <w:sz w:val="24"/>
          <w:szCs w:val="24"/>
          <w:lang w:val="lv-LV"/>
        </w:rPr>
      </w:pPr>
    </w:p>
    <w:p w14:paraId="4D31C311" w14:textId="3015EA5D" w:rsidR="006A485F" w:rsidRPr="007B4062" w:rsidRDefault="006A485F"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[2</w:t>
      </w:r>
      <w:r w:rsidR="00A9254F" w:rsidRPr="007B4062">
        <w:rPr>
          <w:rFonts w:ascii="Times New Roman" w:hAnsi="Times New Roman" w:cs="Times New Roman"/>
          <w:sz w:val="24"/>
          <w:szCs w:val="24"/>
          <w:lang w:val="lv-LV"/>
        </w:rPr>
        <w:t>9</w:t>
      </w:r>
      <w:r w:rsidRPr="007B4062">
        <w:rPr>
          <w:rFonts w:ascii="Times New Roman" w:hAnsi="Times New Roman" w:cs="Times New Roman"/>
          <w:sz w:val="24"/>
          <w:szCs w:val="24"/>
          <w:lang w:val="lv-LV"/>
        </w:rPr>
        <w:t>]</w:t>
      </w:r>
      <w:r w:rsidR="00C65EDF">
        <w:rPr>
          <w:rFonts w:ascii="Times New Roman" w:hAnsi="Times New Roman" w:cs="Times New Roman"/>
          <w:sz w:val="24"/>
          <w:szCs w:val="24"/>
          <w:lang w:val="lv-LV"/>
        </w:rPr>
        <w:t> </w:t>
      </w:r>
      <w:r w:rsidRPr="007B4062">
        <w:rPr>
          <w:rFonts w:ascii="Times New Roman" w:hAnsi="Times New Roman" w:cs="Times New Roman"/>
          <w:sz w:val="24"/>
          <w:szCs w:val="24"/>
          <w:lang w:val="lv-LV"/>
        </w:rPr>
        <w:t xml:space="preserve">Ievērojot minēto, </w:t>
      </w:r>
      <w:r w:rsidR="00934A14" w:rsidRPr="007B4062">
        <w:rPr>
          <w:rFonts w:ascii="Times New Roman" w:hAnsi="Times New Roman" w:cs="Times New Roman"/>
          <w:sz w:val="24"/>
          <w:szCs w:val="24"/>
          <w:lang w:val="lv-LV"/>
        </w:rPr>
        <w:t xml:space="preserve">nav pamata </w:t>
      </w:r>
      <w:r w:rsidR="00934A14" w:rsidRPr="00F90F90">
        <w:rPr>
          <w:rFonts w:ascii="Times New Roman" w:hAnsi="Times New Roman" w:cs="Times New Roman"/>
          <w:sz w:val="24"/>
          <w:szCs w:val="24"/>
          <w:lang w:val="lv-LV"/>
        </w:rPr>
        <w:t>secināt</w:t>
      </w:r>
      <w:r w:rsidR="00934A14" w:rsidRPr="007B4062">
        <w:rPr>
          <w:rFonts w:ascii="Times New Roman" w:hAnsi="Times New Roman" w:cs="Times New Roman"/>
          <w:sz w:val="24"/>
          <w:szCs w:val="24"/>
          <w:lang w:val="lv-LV"/>
        </w:rPr>
        <w:t xml:space="preserve">, ka rajona tiesas pārkāpums, neatbildot </w:t>
      </w:r>
      <w:r w:rsidRPr="007B4062">
        <w:rPr>
          <w:rFonts w:ascii="Times New Roman" w:hAnsi="Times New Roman" w:cs="Times New Roman"/>
          <w:sz w:val="24"/>
          <w:szCs w:val="24"/>
          <w:lang w:val="lv-LV"/>
        </w:rPr>
        <w:t xml:space="preserve">uz pasūtītājas argumentu par iespējamu iepirkuma pārtraukšanu, </w:t>
      </w:r>
      <w:r w:rsidR="0032750A">
        <w:rPr>
          <w:rFonts w:ascii="Times New Roman" w:hAnsi="Times New Roman" w:cs="Times New Roman"/>
          <w:sz w:val="24"/>
          <w:szCs w:val="24"/>
          <w:lang w:val="lv-LV"/>
        </w:rPr>
        <w:t xml:space="preserve">konkrētajā gadījumā </w:t>
      </w:r>
      <w:r w:rsidRPr="007B4062">
        <w:rPr>
          <w:rFonts w:ascii="Times New Roman" w:hAnsi="Times New Roman" w:cs="Times New Roman"/>
          <w:sz w:val="24"/>
          <w:szCs w:val="24"/>
          <w:lang w:val="lv-LV"/>
        </w:rPr>
        <w:t>varēja ietekmēt tiesas sprieduma rezultātu pēc būtības.</w:t>
      </w:r>
    </w:p>
    <w:p w14:paraId="42928417" w14:textId="77777777" w:rsidR="006C144D" w:rsidRPr="007B4062" w:rsidRDefault="006C144D" w:rsidP="003F1B18">
      <w:pPr>
        <w:spacing w:after="0"/>
        <w:ind w:firstLine="567"/>
        <w:jc w:val="both"/>
        <w:rPr>
          <w:rFonts w:ascii="Times New Roman" w:hAnsi="Times New Roman" w:cs="Times New Roman"/>
          <w:sz w:val="24"/>
          <w:szCs w:val="24"/>
          <w:lang w:val="lv-LV"/>
        </w:rPr>
      </w:pPr>
    </w:p>
    <w:p w14:paraId="09E23E2D" w14:textId="41D46601" w:rsidR="008B54A0" w:rsidRPr="007B4062" w:rsidRDefault="00AC0CC7" w:rsidP="003F1B18">
      <w:pPr>
        <w:shd w:val="clear" w:color="auto" w:fill="FFFFFF"/>
        <w:spacing w:after="0"/>
        <w:jc w:val="center"/>
        <w:rPr>
          <w:rFonts w:ascii="Times New Roman" w:eastAsiaTheme="minorHAnsi" w:hAnsi="Times New Roman" w:cs="Times New Roman"/>
          <w:b/>
          <w:bCs/>
          <w:sz w:val="24"/>
          <w:szCs w:val="24"/>
          <w:lang w:val="lv-LV"/>
        </w:rPr>
      </w:pPr>
      <w:r w:rsidRPr="007B4062">
        <w:rPr>
          <w:rFonts w:ascii="Times New Roman" w:eastAsiaTheme="minorHAnsi" w:hAnsi="Times New Roman" w:cs="Times New Roman"/>
          <w:b/>
          <w:bCs/>
          <w:sz w:val="24"/>
          <w:szCs w:val="24"/>
          <w:lang w:val="lv-LV"/>
        </w:rPr>
        <w:t>V</w:t>
      </w:r>
    </w:p>
    <w:p w14:paraId="0C5A067E" w14:textId="29D2E1B1" w:rsidR="007818CE" w:rsidRPr="007B4062" w:rsidRDefault="007818CE" w:rsidP="003F1B18">
      <w:pPr>
        <w:shd w:val="clear" w:color="auto" w:fill="FFFFFF"/>
        <w:spacing w:after="0"/>
        <w:jc w:val="center"/>
        <w:rPr>
          <w:rFonts w:ascii="Times New Roman" w:eastAsiaTheme="minorHAnsi" w:hAnsi="Times New Roman" w:cs="Times New Roman"/>
          <w:b/>
          <w:bCs/>
          <w:sz w:val="24"/>
          <w:szCs w:val="24"/>
          <w:lang w:val="lv-LV"/>
        </w:rPr>
      </w:pPr>
    </w:p>
    <w:p w14:paraId="1A291EDE" w14:textId="34980852" w:rsidR="007818CE" w:rsidRPr="007B4062" w:rsidRDefault="007818CE" w:rsidP="003F1B18">
      <w:pPr>
        <w:shd w:val="clear" w:color="auto" w:fill="FFFFFF"/>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w:t>
      </w:r>
      <w:r w:rsidR="00A9254F" w:rsidRPr="007B4062">
        <w:rPr>
          <w:rFonts w:ascii="Times New Roman" w:eastAsiaTheme="minorHAnsi" w:hAnsi="Times New Roman" w:cs="Times New Roman"/>
          <w:sz w:val="24"/>
          <w:szCs w:val="24"/>
          <w:lang w:val="lv-LV"/>
        </w:rPr>
        <w:t>30</w:t>
      </w:r>
      <w:r w:rsidRPr="007B4062">
        <w:rPr>
          <w:rFonts w:ascii="Times New Roman" w:eastAsiaTheme="minorHAnsi" w:hAnsi="Times New Roman" w:cs="Times New Roman"/>
          <w:sz w:val="24"/>
          <w:szCs w:val="24"/>
          <w:lang w:val="lv-LV"/>
        </w:rPr>
        <w:t>]</w:t>
      </w:r>
      <w:r w:rsidR="00C65EDF">
        <w:rPr>
          <w:rFonts w:ascii="Times New Roman" w:eastAsiaTheme="minorHAnsi" w:hAnsi="Times New Roman" w:cs="Times New Roman"/>
          <w:sz w:val="24"/>
          <w:szCs w:val="24"/>
          <w:lang w:val="lv-LV"/>
        </w:rPr>
        <w:t> </w:t>
      </w:r>
      <w:r w:rsidRPr="007B4062">
        <w:rPr>
          <w:rFonts w:ascii="Times New Roman" w:eastAsiaTheme="minorHAnsi" w:hAnsi="Times New Roman" w:cs="Times New Roman"/>
          <w:sz w:val="24"/>
          <w:szCs w:val="24"/>
          <w:lang w:val="lv-LV"/>
        </w:rPr>
        <w:t xml:space="preserve">Rezumējot minēto, Senāts </w:t>
      </w:r>
      <w:r w:rsidR="00F90F90">
        <w:rPr>
          <w:rFonts w:ascii="Times New Roman" w:eastAsiaTheme="minorHAnsi" w:hAnsi="Times New Roman" w:cs="Times New Roman"/>
          <w:sz w:val="24"/>
          <w:szCs w:val="24"/>
          <w:lang w:val="lv-LV"/>
        </w:rPr>
        <w:t>atzīst</w:t>
      </w:r>
      <w:r w:rsidRPr="007B4062">
        <w:rPr>
          <w:rFonts w:ascii="Times New Roman" w:eastAsiaTheme="minorHAnsi" w:hAnsi="Times New Roman" w:cs="Times New Roman"/>
          <w:sz w:val="24"/>
          <w:szCs w:val="24"/>
          <w:lang w:val="lv-LV"/>
        </w:rPr>
        <w:t xml:space="preserve">, ka kasācijas sūdzības </w:t>
      </w:r>
      <w:r w:rsidR="00B1494B" w:rsidRPr="007B4062">
        <w:rPr>
          <w:rFonts w:ascii="Times New Roman" w:eastAsiaTheme="minorHAnsi" w:hAnsi="Times New Roman" w:cs="Times New Roman"/>
          <w:sz w:val="24"/>
          <w:szCs w:val="24"/>
          <w:lang w:val="lv-LV"/>
        </w:rPr>
        <w:t>iebildumi pret pirmās instances tiesas spriedumu</w:t>
      </w:r>
      <w:r w:rsidRPr="007B4062">
        <w:rPr>
          <w:rFonts w:ascii="Times New Roman" w:eastAsiaTheme="minorHAnsi" w:hAnsi="Times New Roman" w:cs="Times New Roman"/>
          <w:sz w:val="24"/>
          <w:szCs w:val="24"/>
          <w:lang w:val="lv-LV"/>
        </w:rPr>
        <w:t xml:space="preserve">, kas saistīti ar </w:t>
      </w:r>
      <w:r w:rsidR="00B1494B" w:rsidRPr="007B4062">
        <w:rPr>
          <w:rFonts w:ascii="Times New Roman" w:eastAsiaTheme="minorHAnsi" w:hAnsi="Times New Roman" w:cs="Times New Roman"/>
          <w:sz w:val="24"/>
          <w:szCs w:val="24"/>
          <w:lang w:val="lv-LV"/>
        </w:rPr>
        <w:t xml:space="preserve">jautājumu, vai </w:t>
      </w:r>
      <w:r w:rsidRPr="007B4062">
        <w:rPr>
          <w:rFonts w:ascii="Times New Roman" w:eastAsiaTheme="minorHAnsi" w:hAnsi="Times New Roman" w:cs="Times New Roman"/>
          <w:sz w:val="24"/>
          <w:szCs w:val="24"/>
          <w:lang w:val="lv-LV"/>
        </w:rPr>
        <w:t xml:space="preserve">pieteicēja </w:t>
      </w:r>
      <w:r w:rsidR="00F96A3F" w:rsidRPr="007B4062">
        <w:rPr>
          <w:rFonts w:ascii="Times New Roman" w:eastAsiaTheme="minorHAnsi" w:hAnsi="Times New Roman" w:cs="Times New Roman"/>
          <w:sz w:val="24"/>
          <w:szCs w:val="24"/>
          <w:lang w:val="lv-LV"/>
        </w:rPr>
        <w:t xml:space="preserve">iepirkuma tiesiskas norises rezultātā </w:t>
      </w:r>
      <w:r w:rsidRPr="007B4062">
        <w:rPr>
          <w:rFonts w:ascii="Times New Roman" w:eastAsiaTheme="minorHAnsi" w:hAnsi="Times New Roman" w:cs="Times New Roman"/>
          <w:sz w:val="24"/>
          <w:szCs w:val="24"/>
          <w:lang w:val="lv-LV"/>
        </w:rPr>
        <w:t>būtu uzvarējusi strīdus iepirkumā, ir nepamatoti.</w:t>
      </w:r>
    </w:p>
    <w:p w14:paraId="6B99DB24" w14:textId="3F9C8EF1" w:rsidR="007818CE" w:rsidRPr="007B4062" w:rsidRDefault="007818CE" w:rsidP="003F1B18">
      <w:pPr>
        <w:shd w:val="clear" w:color="auto" w:fill="FFFFFF"/>
        <w:spacing w:after="0"/>
        <w:jc w:val="both"/>
        <w:rPr>
          <w:rFonts w:ascii="Times New Roman" w:eastAsiaTheme="minorHAnsi" w:hAnsi="Times New Roman" w:cs="Times New Roman"/>
          <w:sz w:val="24"/>
          <w:szCs w:val="24"/>
          <w:lang w:val="lv-LV"/>
        </w:rPr>
      </w:pPr>
    </w:p>
    <w:p w14:paraId="74247ACE" w14:textId="68EBE310" w:rsidR="007818CE" w:rsidRPr="007B4062" w:rsidRDefault="007818CE" w:rsidP="003F1B18">
      <w:pPr>
        <w:shd w:val="clear" w:color="auto" w:fill="FFFFFF"/>
        <w:spacing w:after="0"/>
        <w:jc w:val="center"/>
        <w:rPr>
          <w:rFonts w:ascii="Times New Roman" w:eastAsiaTheme="minorHAnsi" w:hAnsi="Times New Roman" w:cs="Times New Roman"/>
          <w:b/>
          <w:bCs/>
          <w:sz w:val="24"/>
          <w:szCs w:val="24"/>
          <w:lang w:val="lv-LV"/>
        </w:rPr>
      </w:pPr>
      <w:r w:rsidRPr="007B4062">
        <w:rPr>
          <w:rFonts w:ascii="Times New Roman" w:eastAsiaTheme="minorHAnsi" w:hAnsi="Times New Roman" w:cs="Times New Roman"/>
          <w:b/>
          <w:bCs/>
          <w:sz w:val="24"/>
          <w:szCs w:val="24"/>
          <w:lang w:val="lv-LV"/>
        </w:rPr>
        <w:t>VI</w:t>
      </w:r>
    </w:p>
    <w:p w14:paraId="0D4DB28D" w14:textId="77777777" w:rsidR="007818CE" w:rsidRPr="007B4062" w:rsidRDefault="007818CE" w:rsidP="003F1B18">
      <w:pPr>
        <w:shd w:val="clear" w:color="auto" w:fill="FFFFFF"/>
        <w:spacing w:after="0"/>
        <w:jc w:val="center"/>
        <w:rPr>
          <w:rFonts w:ascii="Times New Roman" w:eastAsiaTheme="minorHAnsi" w:hAnsi="Times New Roman" w:cs="Times New Roman"/>
          <w:b/>
          <w:bCs/>
          <w:sz w:val="24"/>
          <w:szCs w:val="24"/>
          <w:lang w:val="lv-LV"/>
        </w:rPr>
      </w:pPr>
    </w:p>
    <w:p w14:paraId="77E9373B" w14:textId="7C091DB6" w:rsidR="00C010CB" w:rsidRPr="007B4062" w:rsidRDefault="00AC0CC7" w:rsidP="003F1B18">
      <w:pPr>
        <w:spacing w:after="0"/>
        <w:ind w:firstLine="567"/>
        <w:jc w:val="both"/>
        <w:rPr>
          <w:rFonts w:ascii="Times New Roman" w:hAnsi="Times New Roman" w:cs="Times New Roman"/>
          <w:sz w:val="24"/>
          <w:szCs w:val="24"/>
          <w:lang w:val="lv-LV"/>
        </w:rPr>
      </w:pPr>
      <w:r w:rsidRPr="007B4062">
        <w:rPr>
          <w:rFonts w:ascii="Times New Roman" w:eastAsiaTheme="minorHAnsi" w:hAnsi="Times New Roman" w:cs="Times New Roman"/>
          <w:sz w:val="24"/>
          <w:szCs w:val="24"/>
          <w:lang w:val="lv-LV"/>
        </w:rPr>
        <w:t>[</w:t>
      </w:r>
      <w:r w:rsidR="007818CE" w:rsidRPr="007B4062">
        <w:rPr>
          <w:rFonts w:ascii="Times New Roman" w:eastAsiaTheme="minorHAnsi" w:hAnsi="Times New Roman" w:cs="Times New Roman"/>
          <w:sz w:val="24"/>
          <w:szCs w:val="24"/>
          <w:lang w:val="lv-LV"/>
        </w:rPr>
        <w:t>3</w:t>
      </w:r>
      <w:r w:rsidR="00A9254F" w:rsidRPr="007B4062">
        <w:rPr>
          <w:rFonts w:ascii="Times New Roman" w:eastAsiaTheme="minorHAnsi" w:hAnsi="Times New Roman" w:cs="Times New Roman"/>
          <w:sz w:val="24"/>
          <w:szCs w:val="24"/>
          <w:lang w:val="lv-LV"/>
        </w:rPr>
        <w:t>1</w:t>
      </w:r>
      <w:r w:rsidRPr="007B4062">
        <w:rPr>
          <w:rFonts w:ascii="Times New Roman" w:eastAsiaTheme="minorHAnsi" w:hAnsi="Times New Roman" w:cs="Times New Roman"/>
          <w:sz w:val="24"/>
          <w:szCs w:val="24"/>
          <w:lang w:val="lv-LV"/>
        </w:rPr>
        <w:t>]</w:t>
      </w:r>
      <w:r w:rsidR="00C65EDF">
        <w:rPr>
          <w:rFonts w:ascii="Times New Roman" w:eastAsiaTheme="minorHAnsi" w:hAnsi="Times New Roman" w:cs="Times New Roman"/>
          <w:sz w:val="24"/>
          <w:szCs w:val="24"/>
          <w:lang w:val="lv-LV"/>
        </w:rPr>
        <w:t> </w:t>
      </w:r>
      <w:r w:rsidRPr="007B4062">
        <w:rPr>
          <w:rFonts w:ascii="Times New Roman" w:eastAsiaTheme="minorHAnsi" w:hAnsi="Times New Roman" w:cs="Times New Roman"/>
          <w:sz w:val="24"/>
          <w:szCs w:val="24"/>
          <w:lang w:val="lv-LV"/>
        </w:rPr>
        <w:t xml:space="preserve">Kasācijas sūdzībā norādīts, ka </w:t>
      </w:r>
      <w:r w:rsidRPr="007B4062">
        <w:rPr>
          <w:rFonts w:ascii="Times New Roman" w:hAnsi="Times New Roman" w:cs="Times New Roman"/>
          <w:sz w:val="24"/>
          <w:szCs w:val="24"/>
          <w:lang w:val="lv-LV"/>
        </w:rPr>
        <w:t>tiesa</w:t>
      </w:r>
      <w:r w:rsidR="00E55F52" w:rsidRPr="007B4062">
        <w:rPr>
          <w:rFonts w:ascii="Times New Roman" w:hAnsi="Times New Roman" w:cs="Times New Roman"/>
          <w:sz w:val="24"/>
          <w:szCs w:val="24"/>
          <w:lang w:val="lv-LV"/>
        </w:rPr>
        <w:t xml:space="preserve">i bija jāņem vērā, ka </w:t>
      </w:r>
      <w:r w:rsidRPr="007B4062">
        <w:rPr>
          <w:rFonts w:ascii="Times New Roman" w:hAnsi="Times New Roman" w:cs="Times New Roman"/>
          <w:sz w:val="24"/>
          <w:szCs w:val="24"/>
          <w:lang w:val="lv-LV"/>
        </w:rPr>
        <w:t>priekšnoteikums zaudējumu atlīdzināšanai iepirkumu lietās</w:t>
      </w:r>
      <w:r w:rsidR="00E55F52" w:rsidRPr="007B4062">
        <w:rPr>
          <w:rFonts w:ascii="Times New Roman" w:hAnsi="Times New Roman" w:cs="Times New Roman"/>
          <w:sz w:val="24"/>
          <w:szCs w:val="24"/>
          <w:lang w:val="lv-LV"/>
        </w:rPr>
        <w:t xml:space="preserve"> ir tas, </w:t>
      </w:r>
      <w:r w:rsidR="00052C80" w:rsidRPr="007B4062">
        <w:rPr>
          <w:rFonts w:ascii="Times New Roman" w:hAnsi="Times New Roman" w:cs="Times New Roman"/>
          <w:sz w:val="24"/>
          <w:szCs w:val="24"/>
          <w:lang w:val="lv-LV"/>
        </w:rPr>
        <w:t>vai</w:t>
      </w:r>
      <w:r w:rsidR="00E55F52" w:rsidRPr="007B4062">
        <w:rPr>
          <w:rFonts w:ascii="Times New Roman" w:hAnsi="Times New Roman" w:cs="Times New Roman"/>
          <w:sz w:val="24"/>
          <w:szCs w:val="24"/>
          <w:lang w:val="lv-LV"/>
        </w:rPr>
        <w:t xml:space="preserve"> pasūtītāja</w:t>
      </w:r>
      <w:r w:rsidR="009355D3">
        <w:rPr>
          <w:rFonts w:ascii="Times New Roman" w:hAnsi="Times New Roman" w:cs="Times New Roman"/>
          <w:sz w:val="24"/>
          <w:szCs w:val="24"/>
          <w:lang w:val="lv-LV"/>
        </w:rPr>
        <w:t>s</w:t>
      </w:r>
      <w:r w:rsidR="00E55F52" w:rsidRPr="007B4062">
        <w:rPr>
          <w:rFonts w:ascii="Times New Roman" w:hAnsi="Times New Roman" w:cs="Times New Roman"/>
          <w:sz w:val="24"/>
          <w:szCs w:val="24"/>
          <w:lang w:val="lv-LV"/>
        </w:rPr>
        <w:t xml:space="preserve"> pieļautais pārkāpums vērtējams kā būtisks. Pasūtītājas pieļauto pārkāpumu konkrētajā gadījumā nevarot vērtēt kā būtisku, jo nav konstatējams, ka pasūtītāja būtu apzināti rīkojusies prettiesiski un būtu gribējusi ar nodomu pārkāpt pieteicējas tiesības vai intereses</w:t>
      </w:r>
      <w:r w:rsidR="00C010CB" w:rsidRPr="007B4062">
        <w:rPr>
          <w:rFonts w:ascii="Times New Roman" w:hAnsi="Times New Roman" w:cs="Times New Roman"/>
          <w:sz w:val="24"/>
          <w:szCs w:val="24"/>
          <w:lang w:val="lv-LV"/>
        </w:rPr>
        <w:t>, turklāt pasūtītājas rīcība esot bijusi atbilstoša tā brīža Iepirkumu uzraudzības biroja praksei</w:t>
      </w:r>
      <w:r w:rsidR="00E55F52" w:rsidRPr="007B4062">
        <w:rPr>
          <w:rFonts w:ascii="Times New Roman" w:hAnsi="Times New Roman" w:cs="Times New Roman"/>
          <w:sz w:val="24"/>
          <w:szCs w:val="24"/>
          <w:lang w:val="lv-LV"/>
        </w:rPr>
        <w:t>.</w:t>
      </w:r>
    </w:p>
    <w:p w14:paraId="27CB56C3" w14:textId="77777777" w:rsidR="00C010CB" w:rsidRPr="007B4062" w:rsidRDefault="00C010CB" w:rsidP="003F1B18">
      <w:pPr>
        <w:spacing w:after="0"/>
        <w:ind w:firstLine="567"/>
        <w:jc w:val="both"/>
        <w:rPr>
          <w:rFonts w:ascii="Times New Roman" w:hAnsi="Times New Roman" w:cs="Times New Roman"/>
          <w:sz w:val="24"/>
          <w:szCs w:val="24"/>
          <w:lang w:val="lv-LV"/>
        </w:rPr>
      </w:pPr>
    </w:p>
    <w:p w14:paraId="11B24E8B" w14:textId="17E90F1B" w:rsidR="00E97061" w:rsidRPr="007B4062" w:rsidRDefault="00E55F52"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[3</w:t>
      </w:r>
      <w:r w:rsidR="00A9254F" w:rsidRPr="007B4062">
        <w:rPr>
          <w:rFonts w:ascii="Times New Roman" w:hAnsi="Times New Roman" w:cs="Times New Roman"/>
          <w:sz w:val="24"/>
          <w:szCs w:val="24"/>
          <w:lang w:val="lv-LV"/>
        </w:rPr>
        <w:t>2</w:t>
      </w:r>
      <w:r w:rsidRPr="007B4062">
        <w:rPr>
          <w:rFonts w:ascii="Times New Roman" w:hAnsi="Times New Roman" w:cs="Times New Roman"/>
          <w:sz w:val="24"/>
          <w:szCs w:val="24"/>
          <w:lang w:val="lv-LV"/>
        </w:rPr>
        <w:t>]</w:t>
      </w:r>
      <w:r w:rsidR="00C65EDF">
        <w:rPr>
          <w:rFonts w:ascii="Times New Roman" w:hAnsi="Times New Roman" w:cs="Times New Roman"/>
          <w:sz w:val="24"/>
          <w:szCs w:val="24"/>
          <w:lang w:val="lv-LV"/>
        </w:rPr>
        <w:t> </w:t>
      </w:r>
      <w:r w:rsidRPr="007B4062">
        <w:rPr>
          <w:rFonts w:ascii="Times New Roman" w:hAnsi="Times New Roman" w:cs="Times New Roman"/>
          <w:sz w:val="24"/>
          <w:szCs w:val="24"/>
          <w:lang w:val="lv-LV"/>
        </w:rPr>
        <w:t xml:space="preserve">Apgalvojumu, ka pamats zaudējumu atlīdzināšanai iestājas tikai būtiska pārkāpuma gadījumā, kasatore pamatojusi ar atsauci uz Eiropas Savienības Tiesas 2010.gada 9.decembra sprieduma lietā </w:t>
      </w:r>
      <w:r w:rsidR="00426ABE" w:rsidRPr="007B4062">
        <w:rPr>
          <w:rFonts w:ascii="Times New Roman" w:eastAsia="Times New Roman" w:hAnsi="Times New Roman" w:cs="Times New Roman"/>
          <w:sz w:val="24"/>
          <w:szCs w:val="24"/>
          <w:lang w:val="lv-LV" w:eastAsia="lv-LV"/>
        </w:rPr>
        <w:t>„</w:t>
      </w:r>
      <w:r w:rsidR="006F4156" w:rsidRPr="0045627A">
        <w:rPr>
          <w:rFonts w:ascii="Times New Roman" w:hAnsi="Times New Roman" w:cs="Times New Roman"/>
          <w:sz w:val="24"/>
          <w:szCs w:val="24"/>
          <w:lang w:val="lv-LV"/>
        </w:rPr>
        <w:t>Combinatie Spijker Infrabouw-De Jonge Konstruktie and Others</w:t>
      </w:r>
      <w:r w:rsidR="00426ABE">
        <w:rPr>
          <w:rFonts w:ascii="Times New Roman" w:hAnsi="Times New Roman" w:cs="Times New Roman"/>
          <w:sz w:val="24"/>
          <w:szCs w:val="24"/>
          <w:lang w:val="lv-LV"/>
        </w:rPr>
        <w:t>”,</w:t>
      </w:r>
      <w:r w:rsidR="006F4156" w:rsidRPr="007B4062">
        <w:rPr>
          <w:rFonts w:ascii="Times New Roman" w:hAnsi="Times New Roman" w:cs="Times New Roman"/>
          <w:sz w:val="24"/>
          <w:szCs w:val="24"/>
          <w:lang w:val="lv-LV"/>
        </w:rPr>
        <w:t xml:space="preserve"> </w:t>
      </w:r>
      <w:r w:rsidRPr="0045627A">
        <w:rPr>
          <w:rFonts w:ascii="Times New Roman" w:hAnsi="Times New Roman" w:cs="Times New Roman"/>
          <w:sz w:val="24"/>
          <w:szCs w:val="24"/>
          <w:lang w:val="lv-LV"/>
        </w:rPr>
        <w:t xml:space="preserve">C-568/08, </w:t>
      </w:r>
      <w:r w:rsidR="006F4156" w:rsidRPr="0045627A">
        <w:rPr>
          <w:rFonts w:ascii="Times New Roman" w:hAnsi="Times New Roman" w:cs="Times New Roman"/>
          <w:sz w:val="24"/>
          <w:szCs w:val="24"/>
          <w:lang w:val="lv-LV"/>
        </w:rPr>
        <w:t>ECLI:EU:C:2010:751</w:t>
      </w:r>
      <w:r w:rsidR="00426ABE">
        <w:rPr>
          <w:rFonts w:ascii="Times New Roman" w:hAnsi="Times New Roman" w:cs="Times New Roman"/>
          <w:sz w:val="24"/>
          <w:szCs w:val="24"/>
          <w:lang w:val="lv-LV"/>
        </w:rPr>
        <w:t>,</w:t>
      </w:r>
      <w:r w:rsidRPr="007B4062">
        <w:rPr>
          <w:rFonts w:ascii="Times New Roman" w:hAnsi="Times New Roman" w:cs="Times New Roman"/>
          <w:i/>
          <w:iCs/>
          <w:sz w:val="24"/>
          <w:szCs w:val="24"/>
          <w:lang w:val="lv-LV"/>
        </w:rPr>
        <w:t xml:space="preserve"> </w:t>
      </w:r>
      <w:r w:rsidRPr="007B4062">
        <w:rPr>
          <w:rFonts w:ascii="Times New Roman" w:hAnsi="Times New Roman" w:cs="Times New Roman"/>
          <w:sz w:val="24"/>
          <w:szCs w:val="24"/>
          <w:lang w:val="lv-LV"/>
        </w:rPr>
        <w:t xml:space="preserve">atziņu, ka </w:t>
      </w:r>
      <w:r w:rsidR="00EF711E" w:rsidRPr="007B4062">
        <w:rPr>
          <w:rFonts w:ascii="Times New Roman" w:hAnsi="Times New Roman" w:cs="Times New Roman"/>
          <w:sz w:val="24"/>
          <w:szCs w:val="24"/>
          <w:lang w:val="lv-LV"/>
        </w:rPr>
        <w:t xml:space="preserve">Padomes </w:t>
      </w:r>
      <w:r w:rsidR="00EF711E" w:rsidRPr="007B4062">
        <w:rPr>
          <w:rFonts w:ascii="Times New Roman" w:eastAsia="Times New Roman" w:hAnsi="Times New Roman" w:cs="Times New Roman"/>
          <w:sz w:val="24"/>
          <w:szCs w:val="24"/>
          <w:lang w:val="lv-LV" w:eastAsia="lv-LV"/>
        </w:rPr>
        <w:t xml:space="preserve">1989.gada 21.decembra </w:t>
      </w:r>
      <w:r w:rsidR="00710D2B" w:rsidRPr="007B4062">
        <w:rPr>
          <w:rFonts w:ascii="Times New Roman" w:eastAsia="Times New Roman" w:hAnsi="Times New Roman" w:cs="Times New Roman"/>
          <w:sz w:val="24"/>
          <w:szCs w:val="24"/>
          <w:lang w:val="lv-LV" w:eastAsia="lv-LV"/>
        </w:rPr>
        <w:t>D</w:t>
      </w:r>
      <w:r w:rsidR="00EF711E" w:rsidRPr="007B4062">
        <w:rPr>
          <w:rFonts w:ascii="Times New Roman" w:eastAsia="Times New Roman" w:hAnsi="Times New Roman" w:cs="Times New Roman"/>
          <w:sz w:val="24"/>
          <w:szCs w:val="24"/>
          <w:lang w:val="lv-LV" w:eastAsia="lv-LV"/>
        </w:rPr>
        <w:t>irektīva</w:t>
      </w:r>
      <w:r w:rsidR="002575F8" w:rsidRPr="007B4062">
        <w:rPr>
          <w:rFonts w:ascii="Times New Roman" w:eastAsia="Times New Roman" w:hAnsi="Times New Roman" w:cs="Times New Roman"/>
          <w:sz w:val="24"/>
          <w:szCs w:val="24"/>
          <w:lang w:val="lv-LV" w:eastAsia="lv-LV"/>
        </w:rPr>
        <w:t>s</w:t>
      </w:r>
      <w:r w:rsidR="00EF711E" w:rsidRPr="007B4062">
        <w:rPr>
          <w:rFonts w:ascii="Times New Roman" w:eastAsia="Times New Roman" w:hAnsi="Times New Roman" w:cs="Times New Roman"/>
          <w:sz w:val="24"/>
          <w:szCs w:val="24"/>
          <w:lang w:val="lv-LV" w:eastAsia="lv-LV"/>
        </w:rPr>
        <w:t xml:space="preserve"> </w:t>
      </w:r>
      <w:r w:rsidR="00EF711E" w:rsidRPr="007B4062">
        <w:rPr>
          <w:rFonts w:ascii="Times New Roman" w:hAnsi="Times New Roman" w:cs="Times New Roman"/>
          <w:sz w:val="24"/>
          <w:szCs w:val="24"/>
          <w:lang w:val="lv-LV"/>
        </w:rPr>
        <w:t xml:space="preserve">89/665/EEK </w:t>
      </w:r>
      <w:r w:rsidR="00EF711E" w:rsidRPr="007B4062">
        <w:rPr>
          <w:rFonts w:ascii="Times New Roman" w:eastAsia="Times New Roman" w:hAnsi="Times New Roman" w:cs="Times New Roman"/>
          <w:sz w:val="24"/>
          <w:szCs w:val="24"/>
          <w:lang w:val="lv-LV" w:eastAsia="lv-LV"/>
        </w:rPr>
        <w:t>par to normatīvo un administratīvo aktu koordinēšanu, kuri attiecas uz izskatīšanas procedūru piemērošanu, piešķirot piegādes un uzņēmuma līgumus valsts vajadzībām</w:t>
      </w:r>
      <w:r w:rsidR="00E97061" w:rsidRPr="007B4062">
        <w:rPr>
          <w:rFonts w:ascii="Times New Roman" w:eastAsia="Times New Roman" w:hAnsi="Times New Roman" w:cs="Times New Roman"/>
          <w:sz w:val="24"/>
          <w:szCs w:val="24"/>
          <w:lang w:val="lv-LV" w:eastAsia="lv-LV"/>
        </w:rPr>
        <w:t xml:space="preserve"> (turpmāk – direktīva </w:t>
      </w:r>
      <w:r w:rsidR="00E97061" w:rsidRPr="007B4062">
        <w:rPr>
          <w:rFonts w:ascii="Times New Roman" w:hAnsi="Times New Roman" w:cs="Times New Roman"/>
          <w:sz w:val="24"/>
          <w:szCs w:val="24"/>
          <w:lang w:val="lv-LV"/>
        </w:rPr>
        <w:t>89/665/EEK)</w:t>
      </w:r>
      <w:r w:rsidR="004E52B1" w:rsidRPr="007B4062">
        <w:rPr>
          <w:rFonts w:ascii="Times New Roman" w:hAnsi="Times New Roman" w:cs="Times New Roman"/>
          <w:sz w:val="24"/>
          <w:szCs w:val="24"/>
          <w:lang w:val="lv-LV"/>
        </w:rPr>
        <w:t>,</w:t>
      </w:r>
      <w:r w:rsidR="00EF711E" w:rsidRPr="007B4062">
        <w:rPr>
          <w:rFonts w:ascii="Times New Roman" w:eastAsia="Times New Roman" w:hAnsi="Times New Roman" w:cs="Times New Roman"/>
          <w:sz w:val="24"/>
          <w:szCs w:val="24"/>
          <w:lang w:val="lv-LV" w:eastAsia="lv-LV"/>
        </w:rPr>
        <w:t xml:space="preserve"> </w:t>
      </w:r>
      <w:r w:rsidR="002575F8" w:rsidRPr="007B4062">
        <w:rPr>
          <w:rFonts w:ascii="Times New Roman" w:eastAsia="Times New Roman" w:hAnsi="Times New Roman" w:cs="Times New Roman"/>
          <w:sz w:val="24"/>
          <w:szCs w:val="24"/>
          <w:lang w:val="lv-LV" w:eastAsia="lv-LV"/>
        </w:rPr>
        <w:t>2.panta 1.punkt</w:t>
      </w:r>
      <w:r w:rsidR="00E97061" w:rsidRPr="007B4062">
        <w:rPr>
          <w:rFonts w:ascii="Times New Roman" w:eastAsia="Times New Roman" w:hAnsi="Times New Roman" w:cs="Times New Roman"/>
          <w:sz w:val="24"/>
          <w:szCs w:val="24"/>
          <w:lang w:val="lv-LV" w:eastAsia="lv-LV"/>
        </w:rPr>
        <w:t>a</w:t>
      </w:r>
      <w:r w:rsidR="002575F8" w:rsidRPr="007B4062">
        <w:rPr>
          <w:rFonts w:ascii="Times New Roman" w:eastAsia="Times New Roman" w:hAnsi="Times New Roman" w:cs="Times New Roman"/>
          <w:sz w:val="24"/>
          <w:szCs w:val="24"/>
          <w:lang w:val="lv-LV" w:eastAsia="lv-LV"/>
        </w:rPr>
        <w:t xml:space="preserve"> „c” apakšpunkta norma </w:t>
      </w:r>
      <w:r w:rsidRPr="007B4062">
        <w:rPr>
          <w:rFonts w:ascii="Times New Roman" w:hAnsi="Times New Roman" w:cs="Times New Roman"/>
          <w:sz w:val="24"/>
          <w:szCs w:val="24"/>
          <w:lang w:val="lv-LV"/>
        </w:rPr>
        <w:t>p</w:t>
      </w:r>
      <w:r w:rsidR="007818CE" w:rsidRPr="007B4062">
        <w:rPr>
          <w:rFonts w:ascii="Times New Roman" w:hAnsi="Times New Roman" w:cs="Times New Roman"/>
          <w:sz w:val="24"/>
          <w:szCs w:val="24"/>
          <w:lang w:val="lv-LV"/>
        </w:rPr>
        <w:t>rasa</w:t>
      </w:r>
      <w:r w:rsidR="002575F8" w:rsidRPr="007B4062">
        <w:rPr>
          <w:rFonts w:ascii="Times New Roman" w:hAnsi="Times New Roman" w:cs="Times New Roman"/>
          <w:sz w:val="24"/>
          <w:szCs w:val="24"/>
          <w:lang w:val="lv-LV"/>
        </w:rPr>
        <w:t xml:space="preserve"> </w:t>
      </w:r>
      <w:r w:rsidR="007818CE" w:rsidRPr="007B4062">
        <w:rPr>
          <w:rFonts w:ascii="Times New Roman" w:hAnsi="Times New Roman" w:cs="Times New Roman"/>
          <w:sz w:val="24"/>
          <w:szCs w:val="24"/>
          <w:lang w:val="lv-LV"/>
        </w:rPr>
        <w:t>atlīdzinājuma piešķiršanu nodrošināt tad</w:t>
      </w:r>
      <w:r w:rsidRPr="007B4062">
        <w:rPr>
          <w:rFonts w:ascii="Times New Roman" w:hAnsi="Times New Roman" w:cs="Times New Roman"/>
          <w:sz w:val="24"/>
          <w:szCs w:val="24"/>
          <w:lang w:val="lv-LV"/>
        </w:rPr>
        <w:t>, ja citstarp pasūtītāja pieļautais pārkāpums ir vērtējams kā pietiekami būtisks.</w:t>
      </w:r>
      <w:r w:rsidR="002575F8" w:rsidRPr="007B4062">
        <w:rPr>
          <w:rFonts w:ascii="Times New Roman" w:hAnsi="Times New Roman" w:cs="Times New Roman"/>
          <w:sz w:val="24"/>
          <w:szCs w:val="24"/>
          <w:lang w:val="lv-LV"/>
        </w:rPr>
        <w:t xml:space="preserve"> </w:t>
      </w:r>
      <w:r w:rsidR="00E97061" w:rsidRPr="007B4062">
        <w:rPr>
          <w:rFonts w:ascii="Times New Roman" w:hAnsi="Times New Roman" w:cs="Times New Roman"/>
          <w:sz w:val="24"/>
          <w:szCs w:val="24"/>
          <w:lang w:val="lv-LV"/>
        </w:rPr>
        <w:t xml:space="preserve">Kasatore arī norādījusi, ka Eiropas Parlamenta un Padomes </w:t>
      </w:r>
      <w:r w:rsidR="00710D2B" w:rsidRPr="007B4062">
        <w:rPr>
          <w:rFonts w:ascii="Times New Roman" w:hAnsi="Times New Roman" w:cs="Times New Roman"/>
          <w:sz w:val="24"/>
          <w:szCs w:val="24"/>
          <w:lang w:val="lv-LV"/>
        </w:rPr>
        <w:t>2007.gada 11.decembra D</w:t>
      </w:r>
      <w:r w:rsidR="00E97061" w:rsidRPr="007B4062">
        <w:rPr>
          <w:rFonts w:ascii="Times New Roman" w:hAnsi="Times New Roman" w:cs="Times New Roman"/>
          <w:sz w:val="24"/>
          <w:szCs w:val="24"/>
          <w:lang w:val="lv-LV"/>
        </w:rPr>
        <w:t>irektīva</w:t>
      </w:r>
      <w:r w:rsidR="00710D2B" w:rsidRPr="007B4062">
        <w:rPr>
          <w:rFonts w:ascii="Times New Roman" w:hAnsi="Times New Roman" w:cs="Times New Roman"/>
          <w:sz w:val="24"/>
          <w:szCs w:val="24"/>
          <w:lang w:val="lv-LV"/>
        </w:rPr>
        <w:t xml:space="preserve"> </w:t>
      </w:r>
      <w:r w:rsidR="00E97061" w:rsidRPr="007B4062">
        <w:rPr>
          <w:rFonts w:ascii="Times New Roman" w:hAnsi="Times New Roman" w:cs="Times New Roman"/>
          <w:sz w:val="24"/>
          <w:szCs w:val="24"/>
          <w:lang w:val="lv-LV"/>
        </w:rPr>
        <w:t xml:space="preserve">2007/66/EK, ar ko Padomes </w:t>
      </w:r>
      <w:r w:rsidR="00710D2B" w:rsidRPr="007B4062">
        <w:rPr>
          <w:rFonts w:ascii="Times New Roman" w:hAnsi="Times New Roman" w:cs="Times New Roman"/>
          <w:sz w:val="24"/>
          <w:szCs w:val="24"/>
          <w:lang w:val="lv-LV"/>
        </w:rPr>
        <w:t>D</w:t>
      </w:r>
      <w:r w:rsidR="00E97061" w:rsidRPr="007B4062">
        <w:rPr>
          <w:rFonts w:ascii="Times New Roman" w:hAnsi="Times New Roman" w:cs="Times New Roman"/>
          <w:sz w:val="24"/>
          <w:szCs w:val="24"/>
          <w:lang w:val="lv-LV"/>
        </w:rPr>
        <w:t>irektīvas 89/665/EEK un 92/13/EEK groza attiecībā uz pārskatīšanas procedūru efektivitātes uzlabošanu valsts līgumu piešķiršanas jomā (turpmāk – direktīva 2007/66/EK)</w:t>
      </w:r>
      <w:r w:rsidR="00F96A3F" w:rsidRPr="007B4062">
        <w:rPr>
          <w:rFonts w:ascii="Times New Roman" w:hAnsi="Times New Roman" w:cs="Times New Roman"/>
          <w:sz w:val="24"/>
          <w:szCs w:val="24"/>
          <w:lang w:val="lv-LV"/>
        </w:rPr>
        <w:t xml:space="preserve">, </w:t>
      </w:r>
      <w:r w:rsidR="00E97061" w:rsidRPr="007B4062">
        <w:rPr>
          <w:rFonts w:ascii="Times New Roman" w:hAnsi="Times New Roman" w:cs="Times New Roman"/>
          <w:sz w:val="24"/>
          <w:szCs w:val="24"/>
          <w:lang w:val="lv-LV"/>
        </w:rPr>
        <w:t>direktīvas 89/665/EEK 2.panta 1.punkta „ c”</w:t>
      </w:r>
      <w:r w:rsidR="00105837">
        <w:rPr>
          <w:rFonts w:ascii="Times New Roman" w:hAnsi="Times New Roman" w:cs="Times New Roman"/>
          <w:sz w:val="24"/>
          <w:szCs w:val="24"/>
          <w:lang w:val="lv-LV"/>
        </w:rPr>
        <w:t> </w:t>
      </w:r>
      <w:r w:rsidR="00E97061" w:rsidRPr="007B4062">
        <w:rPr>
          <w:rFonts w:ascii="Times New Roman" w:hAnsi="Times New Roman" w:cs="Times New Roman"/>
          <w:sz w:val="24"/>
          <w:szCs w:val="24"/>
          <w:lang w:val="lv-LV"/>
        </w:rPr>
        <w:t>apakšpunkta formulējumu būtībā negrozīja</w:t>
      </w:r>
      <w:r w:rsidR="00AE6D2C" w:rsidRPr="007B4062">
        <w:rPr>
          <w:rFonts w:ascii="Times New Roman" w:hAnsi="Times New Roman" w:cs="Times New Roman"/>
          <w:sz w:val="24"/>
          <w:szCs w:val="24"/>
          <w:lang w:val="lv-LV"/>
        </w:rPr>
        <w:t xml:space="preserve">, līdz ar to iepriekš minētā Eiropas Savienības </w:t>
      </w:r>
      <w:r w:rsidR="001C1511" w:rsidRPr="007B4062">
        <w:rPr>
          <w:rFonts w:ascii="Times New Roman" w:hAnsi="Times New Roman" w:cs="Times New Roman"/>
          <w:sz w:val="24"/>
          <w:szCs w:val="24"/>
          <w:lang w:val="lv-LV"/>
        </w:rPr>
        <w:t xml:space="preserve">Tiesas </w:t>
      </w:r>
      <w:r w:rsidR="00AE6D2C" w:rsidRPr="007B4062">
        <w:rPr>
          <w:rFonts w:ascii="Times New Roman" w:hAnsi="Times New Roman" w:cs="Times New Roman"/>
          <w:sz w:val="24"/>
          <w:szCs w:val="24"/>
          <w:lang w:val="lv-LV"/>
        </w:rPr>
        <w:t>atziņa ir joprojām aktuāla.</w:t>
      </w:r>
    </w:p>
    <w:p w14:paraId="5B3FD531" w14:textId="4FC88759" w:rsidR="00AE6D2C" w:rsidRPr="007B4062" w:rsidRDefault="00AE6D2C"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Kasatore uzskata, ka Latvijas likumdevējs nav izvēlējies šajā ziņā noteikt atšķirīgu regulējumu, paredzot plašākas iespējas prasīt zaudējumu atlīdzinājumu, nekā prasa direktīva. </w:t>
      </w:r>
      <w:r w:rsidR="00052C80" w:rsidRPr="007B4062">
        <w:rPr>
          <w:rFonts w:ascii="Times New Roman" w:hAnsi="Times New Roman" w:cs="Times New Roman"/>
          <w:sz w:val="24"/>
          <w:szCs w:val="24"/>
          <w:lang w:val="lv-LV"/>
        </w:rPr>
        <w:t>Šādu apgalvojumu kasatore pamato ar norādi, ka Publisko iepirkumu likum</w:t>
      </w:r>
      <w:r w:rsidR="00832B2D" w:rsidRPr="007B4062">
        <w:rPr>
          <w:rFonts w:ascii="Times New Roman" w:hAnsi="Times New Roman" w:cs="Times New Roman"/>
          <w:sz w:val="24"/>
          <w:szCs w:val="24"/>
          <w:lang w:val="lv-LV"/>
        </w:rPr>
        <w:t>a</w:t>
      </w:r>
      <w:r w:rsidR="00052C80" w:rsidRPr="007B4062">
        <w:rPr>
          <w:rFonts w:ascii="Times New Roman" w:hAnsi="Times New Roman" w:cs="Times New Roman"/>
          <w:sz w:val="24"/>
          <w:szCs w:val="24"/>
          <w:lang w:val="lv-LV"/>
        </w:rPr>
        <w:t>, kas stājās spēkā 2017.gada 1.martā, likumprojekta anotācijā norādīts, ka nepieciešamais regulējums jau pastāv Publisko iepirkumu likumā un jauna</w:t>
      </w:r>
      <w:r w:rsidR="00F96A3F" w:rsidRPr="007B4062">
        <w:rPr>
          <w:rFonts w:ascii="Times New Roman" w:hAnsi="Times New Roman" w:cs="Times New Roman"/>
          <w:sz w:val="24"/>
          <w:szCs w:val="24"/>
          <w:lang w:val="lv-LV"/>
        </w:rPr>
        <w:t>is</w:t>
      </w:r>
      <w:r w:rsidR="00052C80" w:rsidRPr="007B4062">
        <w:rPr>
          <w:rFonts w:ascii="Times New Roman" w:hAnsi="Times New Roman" w:cs="Times New Roman"/>
          <w:sz w:val="24"/>
          <w:szCs w:val="24"/>
          <w:lang w:val="lv-LV"/>
        </w:rPr>
        <w:t xml:space="preserve"> likumprojekts </w:t>
      </w:r>
      <w:r w:rsidR="003D3143" w:rsidRPr="007B4062">
        <w:rPr>
          <w:rFonts w:ascii="Times New Roman" w:hAnsi="Times New Roman" w:cs="Times New Roman"/>
          <w:sz w:val="24"/>
          <w:szCs w:val="24"/>
          <w:lang w:val="lv-LV"/>
        </w:rPr>
        <w:t>neparedz stingrākas prasības.</w:t>
      </w:r>
    </w:p>
    <w:p w14:paraId="5BDAA818" w14:textId="5D00DE05" w:rsidR="003D3143" w:rsidRPr="007B4062" w:rsidRDefault="003D3143" w:rsidP="003F1B18">
      <w:pPr>
        <w:spacing w:after="0"/>
        <w:ind w:firstLine="567"/>
        <w:jc w:val="both"/>
        <w:rPr>
          <w:rFonts w:ascii="Times New Roman" w:hAnsi="Times New Roman" w:cs="Times New Roman"/>
          <w:sz w:val="24"/>
          <w:szCs w:val="24"/>
          <w:lang w:val="lv-LV"/>
        </w:rPr>
      </w:pPr>
    </w:p>
    <w:p w14:paraId="65926098" w14:textId="2CA7C339" w:rsidR="00A27ABF" w:rsidRPr="007B4062" w:rsidRDefault="00A27ABF"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[3</w:t>
      </w:r>
      <w:r w:rsidR="00A9254F" w:rsidRPr="007B4062">
        <w:rPr>
          <w:rFonts w:ascii="Times New Roman" w:hAnsi="Times New Roman" w:cs="Times New Roman"/>
          <w:sz w:val="24"/>
          <w:szCs w:val="24"/>
          <w:lang w:val="lv-LV"/>
        </w:rPr>
        <w:t>3</w:t>
      </w:r>
      <w:r w:rsidRPr="007B4062">
        <w:rPr>
          <w:rFonts w:ascii="Times New Roman" w:hAnsi="Times New Roman" w:cs="Times New Roman"/>
          <w:sz w:val="24"/>
          <w:szCs w:val="24"/>
          <w:lang w:val="lv-LV"/>
        </w:rPr>
        <w:t>]</w:t>
      </w:r>
      <w:r w:rsidR="00C65EDF">
        <w:rPr>
          <w:rFonts w:ascii="Times New Roman" w:hAnsi="Times New Roman" w:cs="Times New Roman"/>
          <w:sz w:val="24"/>
          <w:szCs w:val="24"/>
          <w:lang w:val="lv-LV"/>
        </w:rPr>
        <w:t> </w:t>
      </w:r>
      <w:r w:rsidR="003D3143" w:rsidRPr="007B4062">
        <w:rPr>
          <w:rFonts w:ascii="Times New Roman" w:hAnsi="Times New Roman" w:cs="Times New Roman"/>
          <w:sz w:val="24"/>
          <w:szCs w:val="24"/>
          <w:lang w:val="lv-LV"/>
        </w:rPr>
        <w:t>Senāts nepiekrīt kasatorei, ka minētā likumprojekta anotācija</w:t>
      </w:r>
      <w:r w:rsidR="00401A14" w:rsidRPr="007B4062">
        <w:rPr>
          <w:rFonts w:ascii="Times New Roman" w:hAnsi="Times New Roman" w:cs="Times New Roman"/>
          <w:sz w:val="24"/>
          <w:szCs w:val="24"/>
          <w:lang w:val="lv-LV"/>
        </w:rPr>
        <w:t xml:space="preserve"> (</w:t>
      </w:r>
      <w:r w:rsidR="001C1511" w:rsidRPr="007B4062">
        <w:rPr>
          <w:rFonts w:ascii="Times New Roman" w:hAnsi="Times New Roman" w:cs="Times New Roman"/>
          <w:i/>
          <w:iCs/>
          <w:sz w:val="24"/>
          <w:szCs w:val="24"/>
          <w:lang w:val="lv-LV"/>
        </w:rPr>
        <w:t>12.Saeimas likumprojekta Nr.</w:t>
      </w:r>
      <w:r w:rsidR="007C48FD" w:rsidRPr="007B4062">
        <w:rPr>
          <w:rFonts w:ascii="Times New Roman" w:hAnsi="Times New Roman" w:cs="Times New Roman"/>
          <w:i/>
          <w:iCs/>
          <w:sz w:val="24"/>
          <w:szCs w:val="24"/>
          <w:lang w:val="lv-LV"/>
        </w:rPr>
        <w:t> </w:t>
      </w:r>
      <w:r w:rsidR="00E2454A" w:rsidRPr="007B4062">
        <w:rPr>
          <w:rFonts w:ascii="Times New Roman" w:hAnsi="Times New Roman" w:cs="Times New Roman"/>
          <w:i/>
          <w:iCs/>
          <w:sz w:val="24"/>
          <w:szCs w:val="24"/>
          <w:lang w:val="lv-LV"/>
        </w:rPr>
        <w:t>621/Lp12 „Publisko iepirkumu likums” anotācija. Pieejama https://www.saeima.lv/lv/par-saeimu/ieprieksejo-sasaukumu-arhivs</w:t>
      </w:r>
      <w:r w:rsidR="00401A14" w:rsidRPr="007B4062">
        <w:rPr>
          <w:rFonts w:ascii="Times New Roman" w:hAnsi="Times New Roman" w:cs="Times New Roman"/>
          <w:sz w:val="24"/>
          <w:szCs w:val="24"/>
          <w:lang w:val="lv-LV"/>
        </w:rPr>
        <w:t>)</w:t>
      </w:r>
      <w:r w:rsidR="003D3143" w:rsidRPr="007B4062">
        <w:rPr>
          <w:rFonts w:ascii="Times New Roman" w:hAnsi="Times New Roman" w:cs="Times New Roman"/>
          <w:sz w:val="24"/>
          <w:szCs w:val="24"/>
          <w:lang w:val="lv-LV"/>
        </w:rPr>
        <w:t xml:space="preserve"> ir pamats secinājumam, ka zaudējumu atlīdzināšana publisko iepirkumu lietās pieļauj</w:t>
      </w:r>
      <w:r w:rsidRPr="007B4062">
        <w:rPr>
          <w:rFonts w:ascii="Times New Roman" w:hAnsi="Times New Roman" w:cs="Times New Roman"/>
          <w:sz w:val="24"/>
          <w:szCs w:val="24"/>
          <w:lang w:val="lv-LV"/>
        </w:rPr>
        <w:t>ama</w:t>
      </w:r>
      <w:r w:rsidR="003D3143" w:rsidRPr="007B4062">
        <w:rPr>
          <w:rFonts w:ascii="Times New Roman" w:hAnsi="Times New Roman" w:cs="Times New Roman"/>
          <w:sz w:val="24"/>
          <w:szCs w:val="24"/>
          <w:lang w:val="lv-LV"/>
        </w:rPr>
        <w:t xml:space="preserve"> tikai tad, ja </w:t>
      </w:r>
      <w:r w:rsidRPr="007B4062">
        <w:rPr>
          <w:rFonts w:ascii="Times New Roman" w:hAnsi="Times New Roman" w:cs="Times New Roman"/>
          <w:sz w:val="24"/>
          <w:szCs w:val="24"/>
          <w:lang w:val="lv-LV"/>
        </w:rPr>
        <w:t>zaudējumi nodarīt</w:t>
      </w:r>
      <w:r w:rsidR="004E52B1" w:rsidRPr="007B4062">
        <w:rPr>
          <w:rFonts w:ascii="Times New Roman" w:hAnsi="Times New Roman" w:cs="Times New Roman"/>
          <w:sz w:val="24"/>
          <w:szCs w:val="24"/>
          <w:lang w:val="lv-LV"/>
        </w:rPr>
        <w:t>i</w:t>
      </w:r>
      <w:r w:rsidRPr="007B4062">
        <w:rPr>
          <w:rFonts w:ascii="Times New Roman" w:hAnsi="Times New Roman" w:cs="Times New Roman"/>
          <w:sz w:val="24"/>
          <w:szCs w:val="24"/>
          <w:lang w:val="lv-LV"/>
        </w:rPr>
        <w:t xml:space="preserve"> ar būtisku </w:t>
      </w:r>
      <w:r w:rsidR="00F96A3F" w:rsidRPr="007B4062">
        <w:rPr>
          <w:rFonts w:ascii="Times New Roman" w:hAnsi="Times New Roman" w:cs="Times New Roman"/>
          <w:sz w:val="24"/>
          <w:szCs w:val="24"/>
          <w:lang w:val="lv-LV"/>
        </w:rPr>
        <w:t>pārkāpumu</w:t>
      </w:r>
      <w:r w:rsidR="004E52B1" w:rsidRPr="007B4062">
        <w:rPr>
          <w:rFonts w:ascii="Times New Roman" w:hAnsi="Times New Roman" w:cs="Times New Roman"/>
          <w:sz w:val="24"/>
          <w:szCs w:val="24"/>
          <w:lang w:val="lv-LV"/>
        </w:rPr>
        <w:t xml:space="preserve"> </w:t>
      </w:r>
      <w:r w:rsidRPr="007B4062">
        <w:rPr>
          <w:rFonts w:ascii="Times New Roman" w:hAnsi="Times New Roman" w:cs="Times New Roman"/>
          <w:sz w:val="24"/>
          <w:szCs w:val="24"/>
          <w:lang w:val="lv-LV"/>
        </w:rPr>
        <w:t>– apzināti negodprātīgu pasūtītāja rīcību.</w:t>
      </w:r>
    </w:p>
    <w:p w14:paraId="071BBBA6" w14:textId="2283F401" w:rsidR="00492EFA" w:rsidRPr="007B4062" w:rsidRDefault="00A27ABF"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Pirmkārt, Senāts uzsver, ka anotācijā norādītais jebkurā gadījumā nevar būt noteicošais, jo primāri jāskatās, kas norādīts </w:t>
      </w:r>
      <w:r w:rsidR="00401A14" w:rsidRPr="007B4062">
        <w:rPr>
          <w:rFonts w:ascii="Times New Roman" w:hAnsi="Times New Roman" w:cs="Times New Roman"/>
          <w:sz w:val="24"/>
          <w:szCs w:val="24"/>
          <w:lang w:val="lv-LV"/>
        </w:rPr>
        <w:t>likuma</w:t>
      </w:r>
      <w:r w:rsidRPr="007B4062">
        <w:rPr>
          <w:rFonts w:ascii="Times New Roman" w:hAnsi="Times New Roman" w:cs="Times New Roman"/>
          <w:sz w:val="24"/>
          <w:szCs w:val="24"/>
          <w:lang w:val="lv-LV"/>
        </w:rPr>
        <w:t xml:space="preserve"> normās, turklāt tās interpret</w:t>
      </w:r>
      <w:r w:rsidR="004E52B1" w:rsidRPr="007B4062">
        <w:rPr>
          <w:rFonts w:ascii="Times New Roman" w:hAnsi="Times New Roman" w:cs="Times New Roman"/>
          <w:sz w:val="24"/>
          <w:szCs w:val="24"/>
          <w:lang w:val="lv-LV"/>
        </w:rPr>
        <w:t>ē</w:t>
      </w:r>
      <w:r w:rsidRPr="007B4062">
        <w:rPr>
          <w:rFonts w:ascii="Times New Roman" w:hAnsi="Times New Roman" w:cs="Times New Roman"/>
          <w:sz w:val="24"/>
          <w:szCs w:val="24"/>
          <w:lang w:val="lv-LV"/>
        </w:rPr>
        <w:t>jamas kopsakarā ar Latvijas Republikas Satversmes 92.pantā paredzētajām ikviena tiesībām uz atlīdzinājumu nepamatota aizskāruma gadījumā.</w:t>
      </w:r>
      <w:r w:rsidR="00492EFA" w:rsidRPr="007B4062">
        <w:rPr>
          <w:rFonts w:ascii="Times New Roman" w:hAnsi="Times New Roman" w:cs="Times New Roman"/>
          <w:sz w:val="24"/>
          <w:szCs w:val="24"/>
          <w:lang w:val="lv-LV"/>
        </w:rPr>
        <w:t xml:space="preserve"> </w:t>
      </w:r>
    </w:p>
    <w:p w14:paraId="3C069469" w14:textId="543874EA" w:rsidR="00847B4A" w:rsidRPr="007B4062" w:rsidRDefault="00A27ABF" w:rsidP="003F1B18">
      <w:pPr>
        <w:spacing w:after="0"/>
        <w:ind w:firstLine="567"/>
        <w:jc w:val="both"/>
        <w:rPr>
          <w:rFonts w:ascii="Times New Roman" w:eastAsia="Times New Roman" w:hAnsi="Times New Roman" w:cs="Times New Roman"/>
          <w:sz w:val="24"/>
          <w:szCs w:val="24"/>
          <w:lang w:val="lv-LV" w:eastAsia="lv-LV"/>
        </w:rPr>
      </w:pPr>
      <w:r w:rsidRPr="007B4062">
        <w:rPr>
          <w:rFonts w:ascii="Times New Roman" w:hAnsi="Times New Roman" w:cs="Times New Roman"/>
          <w:sz w:val="24"/>
          <w:szCs w:val="24"/>
          <w:lang w:val="lv-LV"/>
        </w:rPr>
        <w:t xml:space="preserve">Otrkārt, Senāts nepiekrīt, ka anotācijā norādītais apliecina acīmredzamu </w:t>
      </w:r>
      <w:r w:rsidR="003D3143" w:rsidRPr="007B4062">
        <w:rPr>
          <w:rFonts w:ascii="Times New Roman" w:hAnsi="Times New Roman" w:cs="Times New Roman"/>
          <w:sz w:val="24"/>
          <w:szCs w:val="24"/>
          <w:lang w:val="lv-LV"/>
        </w:rPr>
        <w:t>likumdevēja gribu zaudējumu atlīdzināšanas iespēju nodrošināt tikai pasūtītāja būtiska pārkāpuma gadījumā. Minētajā anotācijā attiecībā uz zaudējumu atlīdzināšanas jautājumu norādīts, ka regulējums par zaudējumu atlīdzināšanu netiek mainīts</w:t>
      </w:r>
      <w:r w:rsidR="004E342E" w:rsidRPr="007B4062">
        <w:rPr>
          <w:rFonts w:ascii="Times New Roman" w:hAnsi="Times New Roman" w:cs="Times New Roman"/>
          <w:sz w:val="24"/>
          <w:szCs w:val="24"/>
          <w:lang w:val="lv-LV"/>
        </w:rPr>
        <w:t>, direktīva 2007/66/EK</w:t>
      </w:r>
      <w:r w:rsidR="004E342E" w:rsidRPr="007B4062">
        <w:rPr>
          <w:rFonts w:ascii="Times New Roman" w:eastAsia="Times New Roman" w:hAnsi="Times New Roman" w:cs="Times New Roman"/>
          <w:sz w:val="24"/>
          <w:szCs w:val="24"/>
          <w:lang w:val="lv-LV" w:eastAsia="lv-LV"/>
        </w:rPr>
        <w:t xml:space="preserve"> </w:t>
      </w:r>
      <w:r w:rsidR="004E342E" w:rsidRPr="007B4062">
        <w:rPr>
          <w:rFonts w:ascii="Times New Roman" w:eastAsia="Times New Roman" w:hAnsi="Times New Roman" w:cs="Times New Roman"/>
          <w:spacing w:val="-4"/>
          <w:sz w:val="24"/>
          <w:szCs w:val="24"/>
          <w:lang w:val="lv-LV" w:eastAsia="lv-LV"/>
        </w:rPr>
        <w:t>bija jau pārņemta Publisko iepirkumu likumā</w:t>
      </w:r>
      <w:r w:rsidR="003D3143" w:rsidRPr="007B4062">
        <w:rPr>
          <w:rFonts w:ascii="Times New Roman" w:hAnsi="Times New Roman" w:cs="Times New Roman"/>
          <w:sz w:val="24"/>
          <w:szCs w:val="24"/>
          <w:lang w:val="lv-LV"/>
        </w:rPr>
        <w:t>, kas bija spēkā līdz 2017.gada 28.februārim</w:t>
      </w:r>
      <w:r w:rsidR="003D3143" w:rsidRPr="007B4062">
        <w:rPr>
          <w:rFonts w:ascii="Times New Roman" w:hAnsi="Times New Roman" w:cs="Times New Roman"/>
          <w:sz w:val="24"/>
          <w:szCs w:val="24"/>
          <w:shd w:val="clear" w:color="auto" w:fill="FFFFFF"/>
          <w:lang w:val="lv-LV"/>
        </w:rPr>
        <w:t xml:space="preserve"> (</w:t>
      </w:r>
      <w:r w:rsidR="003D3143" w:rsidRPr="007B4062">
        <w:rPr>
          <w:rFonts w:ascii="Times New Roman" w:hAnsi="Times New Roman" w:cs="Times New Roman"/>
          <w:i/>
          <w:iCs/>
          <w:sz w:val="24"/>
          <w:szCs w:val="24"/>
          <w:shd w:val="clear" w:color="auto" w:fill="FFFFFF"/>
          <w:lang w:val="lv-LV"/>
        </w:rPr>
        <w:t xml:space="preserve">anotācijas </w:t>
      </w:r>
      <w:r w:rsidR="009050CE" w:rsidRPr="007B4062">
        <w:rPr>
          <w:rFonts w:ascii="Times New Roman" w:hAnsi="Times New Roman" w:cs="Times New Roman"/>
          <w:i/>
          <w:iCs/>
          <w:sz w:val="24"/>
          <w:szCs w:val="24"/>
          <w:shd w:val="clear" w:color="auto" w:fill="FFFFFF"/>
          <w:lang w:val="lv-LV"/>
        </w:rPr>
        <w:t xml:space="preserve">1.daļas „Tiesību akta projekta izstrādes nepieciešamība” </w:t>
      </w:r>
      <w:r w:rsidR="003D3143" w:rsidRPr="007B4062">
        <w:rPr>
          <w:rFonts w:ascii="Times New Roman" w:hAnsi="Times New Roman" w:cs="Times New Roman"/>
          <w:i/>
          <w:iCs/>
          <w:sz w:val="24"/>
          <w:szCs w:val="24"/>
          <w:shd w:val="clear" w:color="auto" w:fill="FFFFFF"/>
          <w:lang w:val="lv-LV"/>
        </w:rPr>
        <w:t>2.sadaļa</w:t>
      </w:r>
      <w:r w:rsidR="009050CE" w:rsidRPr="007B4062">
        <w:rPr>
          <w:rFonts w:ascii="Times New Roman" w:hAnsi="Times New Roman" w:cs="Times New Roman"/>
          <w:i/>
          <w:iCs/>
          <w:sz w:val="24"/>
          <w:szCs w:val="24"/>
          <w:shd w:val="clear" w:color="auto" w:fill="FFFFFF"/>
          <w:lang w:val="lv-LV"/>
        </w:rPr>
        <w:t>, 5.daļas „</w:t>
      </w:r>
      <w:r w:rsidR="00401A14" w:rsidRPr="007B4062">
        <w:rPr>
          <w:rFonts w:ascii="Times New Roman" w:hAnsi="Times New Roman" w:cs="Times New Roman"/>
          <w:i/>
          <w:iCs/>
          <w:sz w:val="24"/>
          <w:szCs w:val="24"/>
          <w:shd w:val="clear" w:color="auto" w:fill="FFFFFF"/>
          <w:lang w:val="lv-LV"/>
        </w:rPr>
        <w:t>Tiesību akta projekta atbilstība Latvijas Republikas starptautiskajām saistībām” 1.sadaļa „Saistības pret Eiropas Savienību”</w:t>
      </w:r>
      <w:r w:rsidR="004E342E" w:rsidRPr="007B4062">
        <w:rPr>
          <w:rFonts w:ascii="Times New Roman" w:hAnsi="Times New Roman" w:cs="Times New Roman"/>
          <w:sz w:val="24"/>
          <w:szCs w:val="24"/>
          <w:shd w:val="clear" w:color="auto" w:fill="FFFFFF"/>
          <w:lang w:val="lv-LV"/>
        </w:rPr>
        <w:t>). Anotācijas tabulā, kurā norādīta likumprojekta atbilstība Eiropas Savienības tiesību aktiem, pie dire</w:t>
      </w:r>
      <w:r w:rsidR="00F96A3F" w:rsidRPr="007B4062">
        <w:rPr>
          <w:rFonts w:ascii="Times New Roman" w:hAnsi="Times New Roman" w:cs="Times New Roman"/>
          <w:sz w:val="24"/>
          <w:szCs w:val="24"/>
          <w:shd w:val="clear" w:color="auto" w:fill="FFFFFF"/>
          <w:lang w:val="lv-LV"/>
        </w:rPr>
        <w:t>k</w:t>
      </w:r>
      <w:r w:rsidR="004E342E" w:rsidRPr="007B4062">
        <w:rPr>
          <w:rFonts w:ascii="Times New Roman" w:hAnsi="Times New Roman" w:cs="Times New Roman"/>
          <w:sz w:val="24"/>
          <w:szCs w:val="24"/>
          <w:shd w:val="clear" w:color="auto" w:fill="FFFFFF"/>
          <w:lang w:val="lv-LV"/>
        </w:rPr>
        <w:t xml:space="preserve">tīvas </w:t>
      </w:r>
      <w:r w:rsidR="004E342E" w:rsidRPr="007B4062">
        <w:rPr>
          <w:rFonts w:ascii="Times New Roman" w:hAnsi="Times New Roman" w:cs="Times New Roman"/>
          <w:sz w:val="24"/>
          <w:szCs w:val="24"/>
          <w:lang w:val="lv-LV"/>
        </w:rPr>
        <w:t>2007/66/EK 1.panta (kas attiecas uz direktīvas 89/665/EEK 1.</w:t>
      </w:r>
      <w:r w:rsidR="00401A14" w:rsidRPr="007B4062">
        <w:rPr>
          <w:rFonts w:ascii="Times New Roman" w:hAnsi="Times New Roman" w:cs="Times New Roman"/>
          <w:sz w:val="24"/>
          <w:szCs w:val="24"/>
          <w:lang w:val="lv-LV"/>
        </w:rPr>
        <w:t xml:space="preserve">pantu </w:t>
      </w:r>
      <w:r w:rsidR="004E342E" w:rsidRPr="007B4062">
        <w:rPr>
          <w:rFonts w:ascii="Times New Roman" w:hAnsi="Times New Roman" w:cs="Times New Roman"/>
          <w:sz w:val="24"/>
          <w:szCs w:val="24"/>
          <w:lang w:val="lv-LV"/>
        </w:rPr>
        <w:t>(</w:t>
      </w:r>
      <w:r w:rsidR="004E342E" w:rsidRPr="007B4062">
        <w:rPr>
          <w:rFonts w:ascii="Times New Roman" w:hAnsi="Times New Roman" w:cs="Times New Roman"/>
          <w:sz w:val="24"/>
          <w:szCs w:val="24"/>
          <w:shd w:val="clear" w:color="auto" w:fill="FFFFFF"/>
          <w:lang w:val="lv-LV"/>
        </w:rPr>
        <w:t>Darbības joma un pārskatīšanas procedūru pieejamība</w:t>
      </w:r>
      <w:r w:rsidR="004E342E" w:rsidRPr="007B4062">
        <w:rPr>
          <w:rFonts w:ascii="Times New Roman" w:hAnsi="Times New Roman" w:cs="Times New Roman"/>
          <w:sz w:val="24"/>
          <w:szCs w:val="24"/>
          <w:lang w:val="lv-LV"/>
        </w:rPr>
        <w:t>) un 2.pantu (</w:t>
      </w:r>
      <w:r w:rsidR="004E342E" w:rsidRPr="007B4062">
        <w:rPr>
          <w:rFonts w:ascii="Times New Roman" w:hAnsi="Times New Roman" w:cs="Times New Roman"/>
          <w:sz w:val="24"/>
          <w:szCs w:val="24"/>
          <w:shd w:val="clear" w:color="auto" w:fill="FFFFFF"/>
          <w:lang w:val="lv-LV"/>
        </w:rPr>
        <w:t xml:space="preserve">Prasības attiecībā uz pārskatīšanas procedūrām)) norādīts, </w:t>
      </w:r>
      <w:r w:rsidR="00492EFA" w:rsidRPr="007B4062">
        <w:rPr>
          <w:rFonts w:ascii="Times New Roman" w:hAnsi="Times New Roman" w:cs="Times New Roman"/>
          <w:sz w:val="24"/>
          <w:szCs w:val="24"/>
          <w:shd w:val="clear" w:color="auto" w:fill="FFFFFF"/>
          <w:lang w:val="lv-LV"/>
        </w:rPr>
        <w:t>ka</w:t>
      </w:r>
      <w:r w:rsidR="00351A40" w:rsidRPr="007B4062">
        <w:rPr>
          <w:rFonts w:ascii="Times New Roman" w:hAnsi="Times New Roman" w:cs="Times New Roman"/>
          <w:sz w:val="24"/>
          <w:szCs w:val="24"/>
          <w:shd w:val="clear" w:color="auto" w:fill="FFFFFF"/>
          <w:lang w:val="lv-LV"/>
        </w:rPr>
        <w:t xml:space="preserve"> ar</w:t>
      </w:r>
      <w:r w:rsidR="00492EFA" w:rsidRPr="007B4062">
        <w:rPr>
          <w:rFonts w:ascii="Times New Roman" w:hAnsi="Times New Roman" w:cs="Times New Roman"/>
          <w:sz w:val="24"/>
          <w:szCs w:val="24"/>
          <w:shd w:val="clear" w:color="auto" w:fill="FFFFFF"/>
          <w:lang w:val="lv-LV"/>
        </w:rPr>
        <w:t xml:space="preserve"> likumprojektu attiecīgais </w:t>
      </w:r>
      <w:r w:rsidR="00492EFA" w:rsidRPr="007B4062">
        <w:rPr>
          <w:rFonts w:ascii="Times New Roman" w:eastAsia="Times New Roman" w:hAnsi="Times New Roman" w:cs="Times New Roman"/>
          <w:sz w:val="24"/>
          <w:szCs w:val="24"/>
          <w:lang w:val="lv-LV" w:eastAsia="lv-LV"/>
        </w:rPr>
        <w:t>pants tiek pārņemts/ieviests daļēji, ņemot vērā dalībvalstīm paredzētās izvēles iespējas un jau pastāvošo tiesisko regulējumu, kas regulē administratīvo procesu, netiek ieviesta alternatīvā sankcija – soda naudas piemērošana pasūtītājam</w:t>
      </w:r>
      <w:r w:rsidR="00847B4A" w:rsidRPr="007B4062">
        <w:rPr>
          <w:rFonts w:ascii="Times New Roman" w:eastAsia="Times New Roman" w:hAnsi="Times New Roman" w:cs="Times New Roman"/>
          <w:sz w:val="24"/>
          <w:szCs w:val="24"/>
          <w:lang w:val="lv-LV" w:eastAsia="lv-LV"/>
        </w:rPr>
        <w:t>; l</w:t>
      </w:r>
      <w:r w:rsidR="00492EFA" w:rsidRPr="007B4062">
        <w:rPr>
          <w:rFonts w:ascii="Times New Roman" w:eastAsia="Times New Roman" w:hAnsi="Times New Roman" w:cs="Times New Roman"/>
          <w:sz w:val="24"/>
          <w:szCs w:val="24"/>
          <w:lang w:val="lv-LV" w:eastAsia="lv-LV"/>
        </w:rPr>
        <w:t>ikumprojekts stingrākas prasības neparedz, regulējums jau pastāv spēkā esošajā Publisko iepirkumu likumā.</w:t>
      </w:r>
      <w:r w:rsidR="00847B4A" w:rsidRPr="007B4062">
        <w:rPr>
          <w:rFonts w:ascii="Times New Roman" w:eastAsia="Times New Roman" w:hAnsi="Times New Roman" w:cs="Times New Roman"/>
          <w:sz w:val="24"/>
          <w:szCs w:val="24"/>
          <w:lang w:val="lv-LV" w:eastAsia="lv-LV"/>
        </w:rPr>
        <w:t xml:space="preserve"> </w:t>
      </w:r>
    </w:p>
    <w:p w14:paraId="0ABD3594" w14:textId="6D4FBB99" w:rsidR="00903EA5" w:rsidRPr="007B4062" w:rsidRDefault="00847B4A" w:rsidP="003F1B18">
      <w:pPr>
        <w:spacing w:after="0"/>
        <w:ind w:firstLine="567"/>
        <w:jc w:val="both"/>
        <w:rPr>
          <w:rFonts w:ascii="Times New Roman" w:hAnsi="Times New Roman" w:cs="Times New Roman"/>
          <w:i/>
          <w:iCs/>
          <w:sz w:val="24"/>
          <w:szCs w:val="24"/>
          <w:lang w:val="lv-LV"/>
        </w:rPr>
      </w:pPr>
      <w:r w:rsidRPr="007B4062">
        <w:rPr>
          <w:rFonts w:ascii="Times New Roman" w:eastAsia="Times New Roman" w:hAnsi="Times New Roman" w:cs="Times New Roman"/>
          <w:sz w:val="24"/>
          <w:szCs w:val="24"/>
          <w:lang w:val="lv-LV" w:eastAsia="lv-LV"/>
        </w:rPr>
        <w:t xml:space="preserve">Šādas vispārīga rakstura norādes nav un nevar būt pietiekamas, lai izdarītu secinājumu par apzinātu likumdevēja gribu ierobežot zaudējumu </w:t>
      </w:r>
      <w:r w:rsidR="004F4073">
        <w:rPr>
          <w:rFonts w:ascii="Times New Roman" w:eastAsia="Times New Roman" w:hAnsi="Times New Roman" w:cs="Times New Roman"/>
          <w:sz w:val="24"/>
          <w:szCs w:val="24"/>
          <w:lang w:val="lv-LV" w:eastAsia="lv-LV"/>
        </w:rPr>
        <w:t xml:space="preserve">atlīdzināšanas </w:t>
      </w:r>
      <w:r w:rsidRPr="007B4062">
        <w:rPr>
          <w:rFonts w:ascii="Times New Roman" w:eastAsia="Times New Roman" w:hAnsi="Times New Roman" w:cs="Times New Roman"/>
          <w:sz w:val="24"/>
          <w:szCs w:val="24"/>
          <w:lang w:val="lv-LV" w:eastAsia="lv-LV"/>
        </w:rPr>
        <w:t xml:space="preserve">iespējas publisko iepirkumu pārkāpumu gadījumos. Tāpēc, kā jau minēts, </w:t>
      </w:r>
      <w:r w:rsidR="00426ABE" w:rsidRPr="007B4062">
        <w:rPr>
          <w:rFonts w:ascii="Times New Roman" w:eastAsia="Times New Roman" w:hAnsi="Times New Roman" w:cs="Times New Roman"/>
          <w:sz w:val="24"/>
          <w:szCs w:val="24"/>
          <w:lang w:val="lv-LV" w:eastAsia="lv-LV"/>
        </w:rPr>
        <w:t>izšķiroš</w:t>
      </w:r>
      <w:r w:rsidR="00426ABE">
        <w:rPr>
          <w:rFonts w:ascii="Times New Roman" w:eastAsia="Times New Roman" w:hAnsi="Times New Roman" w:cs="Times New Roman"/>
          <w:sz w:val="24"/>
          <w:szCs w:val="24"/>
          <w:lang w:val="lv-LV" w:eastAsia="lv-LV"/>
        </w:rPr>
        <w:t>a</w:t>
      </w:r>
      <w:r w:rsidR="00426ABE" w:rsidRPr="007B4062">
        <w:rPr>
          <w:rFonts w:ascii="Times New Roman" w:eastAsia="Times New Roman" w:hAnsi="Times New Roman" w:cs="Times New Roman"/>
          <w:sz w:val="24"/>
          <w:szCs w:val="24"/>
          <w:lang w:val="lv-LV" w:eastAsia="lv-LV"/>
        </w:rPr>
        <w:t xml:space="preserve"> </w:t>
      </w:r>
      <w:r w:rsidRPr="007B4062">
        <w:rPr>
          <w:rFonts w:ascii="Times New Roman" w:eastAsia="Times New Roman" w:hAnsi="Times New Roman" w:cs="Times New Roman"/>
          <w:sz w:val="24"/>
          <w:szCs w:val="24"/>
          <w:lang w:val="lv-LV" w:eastAsia="lv-LV"/>
        </w:rPr>
        <w:t>nozīm</w:t>
      </w:r>
      <w:r w:rsidR="00F96A3F" w:rsidRPr="007B4062">
        <w:rPr>
          <w:rFonts w:ascii="Times New Roman" w:eastAsia="Times New Roman" w:hAnsi="Times New Roman" w:cs="Times New Roman"/>
          <w:sz w:val="24"/>
          <w:szCs w:val="24"/>
          <w:lang w:val="lv-LV" w:eastAsia="lv-LV"/>
        </w:rPr>
        <w:t>e</w:t>
      </w:r>
      <w:r w:rsidRPr="007B4062">
        <w:rPr>
          <w:rFonts w:ascii="Times New Roman" w:eastAsia="Times New Roman" w:hAnsi="Times New Roman" w:cs="Times New Roman"/>
          <w:sz w:val="24"/>
          <w:szCs w:val="24"/>
          <w:lang w:val="lv-LV" w:eastAsia="lv-LV"/>
        </w:rPr>
        <w:t xml:space="preserve"> ir tam, ko paredz </w:t>
      </w:r>
      <w:r w:rsidR="00903EA5" w:rsidRPr="007B4062">
        <w:rPr>
          <w:rFonts w:ascii="Times New Roman" w:eastAsia="Times New Roman" w:hAnsi="Times New Roman" w:cs="Times New Roman"/>
          <w:sz w:val="24"/>
          <w:szCs w:val="24"/>
          <w:lang w:val="lv-LV" w:eastAsia="lv-LV"/>
        </w:rPr>
        <w:t xml:space="preserve">Latvijas </w:t>
      </w:r>
      <w:r w:rsidRPr="007B4062">
        <w:rPr>
          <w:rFonts w:ascii="Times New Roman" w:eastAsia="Times New Roman" w:hAnsi="Times New Roman" w:cs="Times New Roman"/>
          <w:sz w:val="24"/>
          <w:szCs w:val="24"/>
          <w:lang w:val="lv-LV" w:eastAsia="lv-LV"/>
        </w:rPr>
        <w:t>tiesību normas, kas regulē zaudējumu atlīdzināšanu.</w:t>
      </w:r>
      <w:r w:rsidR="00903EA5" w:rsidRPr="007B4062">
        <w:rPr>
          <w:rFonts w:ascii="Times New Roman" w:eastAsia="Times New Roman" w:hAnsi="Times New Roman" w:cs="Times New Roman"/>
          <w:sz w:val="24"/>
          <w:szCs w:val="24"/>
          <w:lang w:val="lv-LV" w:eastAsia="lv-LV"/>
        </w:rPr>
        <w:t xml:space="preserve"> Šajā sakarā </w:t>
      </w:r>
      <w:r w:rsidR="00F96A3F" w:rsidRPr="007B4062">
        <w:rPr>
          <w:rFonts w:ascii="Times New Roman" w:eastAsia="Times New Roman" w:hAnsi="Times New Roman" w:cs="Times New Roman"/>
          <w:sz w:val="24"/>
          <w:szCs w:val="24"/>
          <w:lang w:val="lv-LV" w:eastAsia="lv-LV"/>
        </w:rPr>
        <w:t xml:space="preserve">turklāt arī </w:t>
      </w:r>
      <w:r w:rsidR="00903EA5" w:rsidRPr="007B4062">
        <w:rPr>
          <w:rFonts w:ascii="Times New Roman" w:eastAsia="Times New Roman" w:hAnsi="Times New Roman" w:cs="Times New Roman"/>
          <w:sz w:val="24"/>
          <w:szCs w:val="24"/>
          <w:lang w:val="lv-LV" w:eastAsia="lv-LV"/>
        </w:rPr>
        <w:t>norādāms</w:t>
      </w:r>
      <w:r w:rsidR="00DF2974" w:rsidRPr="007B4062">
        <w:rPr>
          <w:rFonts w:ascii="Times New Roman" w:eastAsia="Times New Roman" w:hAnsi="Times New Roman" w:cs="Times New Roman"/>
          <w:sz w:val="24"/>
          <w:szCs w:val="24"/>
          <w:lang w:val="lv-LV" w:eastAsia="lv-LV"/>
        </w:rPr>
        <w:t xml:space="preserve">, ka Eiropas Savienības Tiesa, vispārīgi skaidrojot atbildību Eiropas Savienības tiesību pārkāpuma gadījumā, ir atzinusi, ka tad, ja atlīdzinājuma jautājumā </w:t>
      </w:r>
      <w:r w:rsidR="00903EA5" w:rsidRPr="007B4062">
        <w:rPr>
          <w:rFonts w:ascii="Times New Roman" w:hAnsi="Times New Roman" w:cs="Times New Roman"/>
          <w:sz w:val="24"/>
          <w:szCs w:val="24"/>
          <w:lang w:val="lv-LV"/>
        </w:rPr>
        <w:t>saskaņā ar valsts tiesību aktiem ir pieejami labvēlīgāki nosacījumi,</w:t>
      </w:r>
      <w:r w:rsidR="00DF2974" w:rsidRPr="007B4062">
        <w:rPr>
          <w:rFonts w:ascii="Times New Roman" w:hAnsi="Times New Roman" w:cs="Times New Roman"/>
          <w:sz w:val="24"/>
          <w:szCs w:val="24"/>
          <w:lang w:val="lv-LV"/>
        </w:rPr>
        <w:t xml:space="preserve"> nekā paredz Eiropas Savienības regulējums, tad</w:t>
      </w:r>
      <w:r w:rsidR="00903EA5" w:rsidRPr="007B4062">
        <w:rPr>
          <w:rFonts w:ascii="Times New Roman" w:hAnsi="Times New Roman" w:cs="Times New Roman"/>
          <w:sz w:val="24"/>
          <w:szCs w:val="24"/>
          <w:lang w:val="lv-LV"/>
        </w:rPr>
        <w:t xml:space="preserve"> ir jāpiemēro valsts noteikumi </w:t>
      </w:r>
      <w:r w:rsidR="00DF2974" w:rsidRPr="007B4062">
        <w:rPr>
          <w:rFonts w:ascii="Times New Roman" w:hAnsi="Times New Roman" w:cs="Times New Roman"/>
          <w:sz w:val="24"/>
          <w:szCs w:val="24"/>
          <w:lang w:val="lv-LV"/>
        </w:rPr>
        <w:t>(</w:t>
      </w:r>
      <w:r w:rsidR="00DF2974" w:rsidRPr="007B4062">
        <w:rPr>
          <w:rFonts w:ascii="Times New Roman" w:hAnsi="Times New Roman" w:cs="Times New Roman"/>
          <w:i/>
          <w:iCs/>
          <w:sz w:val="24"/>
          <w:szCs w:val="24"/>
          <w:lang w:val="lv-LV"/>
        </w:rPr>
        <w:t>Eiropas Savienības Tiesas 1996.gada 5.marta spriedums a</w:t>
      </w:r>
      <w:r w:rsidR="00903EA5" w:rsidRPr="007B4062">
        <w:rPr>
          <w:rFonts w:ascii="Times New Roman" w:hAnsi="Times New Roman" w:cs="Times New Roman"/>
          <w:i/>
          <w:iCs/>
          <w:sz w:val="24"/>
          <w:szCs w:val="24"/>
          <w:lang w:val="lv-LV"/>
        </w:rPr>
        <w:t>pvienot</w:t>
      </w:r>
      <w:r w:rsidR="00DF2974" w:rsidRPr="007B4062">
        <w:rPr>
          <w:rFonts w:ascii="Times New Roman" w:hAnsi="Times New Roman" w:cs="Times New Roman"/>
          <w:i/>
          <w:iCs/>
          <w:sz w:val="24"/>
          <w:szCs w:val="24"/>
          <w:lang w:val="lv-LV"/>
        </w:rPr>
        <w:t xml:space="preserve">ajās </w:t>
      </w:r>
      <w:r w:rsidR="00903EA5" w:rsidRPr="00726980">
        <w:rPr>
          <w:rFonts w:ascii="Times New Roman" w:hAnsi="Times New Roman" w:cs="Times New Roman"/>
          <w:i/>
          <w:iCs/>
          <w:sz w:val="24"/>
          <w:szCs w:val="24"/>
          <w:lang w:val="lv-LV"/>
        </w:rPr>
        <w:t>liet</w:t>
      </w:r>
      <w:r w:rsidR="00DF2974" w:rsidRPr="00726980">
        <w:rPr>
          <w:rFonts w:ascii="Times New Roman" w:hAnsi="Times New Roman" w:cs="Times New Roman"/>
          <w:i/>
          <w:iCs/>
          <w:sz w:val="24"/>
          <w:szCs w:val="24"/>
          <w:lang w:val="lv-LV"/>
        </w:rPr>
        <w:t>ā</w:t>
      </w:r>
      <w:r w:rsidR="00903EA5" w:rsidRPr="00726980">
        <w:rPr>
          <w:rFonts w:ascii="Times New Roman" w:hAnsi="Times New Roman" w:cs="Times New Roman"/>
          <w:i/>
          <w:iCs/>
          <w:sz w:val="24"/>
          <w:szCs w:val="24"/>
          <w:lang w:val="lv-LV"/>
        </w:rPr>
        <w:t>s</w:t>
      </w:r>
      <w:r w:rsidR="00DF2974" w:rsidRPr="00726980">
        <w:rPr>
          <w:rFonts w:ascii="Times New Roman" w:hAnsi="Times New Roman" w:cs="Times New Roman"/>
          <w:i/>
          <w:iCs/>
          <w:sz w:val="24"/>
          <w:szCs w:val="24"/>
          <w:lang w:val="lv-LV"/>
        </w:rPr>
        <w:t xml:space="preserve"> </w:t>
      </w:r>
      <w:r w:rsidR="00832B2D" w:rsidRPr="00726980">
        <w:rPr>
          <w:rFonts w:ascii="Times New Roman" w:hAnsi="Times New Roman" w:cs="Times New Roman"/>
          <w:i/>
          <w:iCs/>
          <w:sz w:val="24"/>
          <w:szCs w:val="24"/>
          <w:lang w:val="lv-LV"/>
        </w:rPr>
        <w:t xml:space="preserve">„Brasserie du pêcheur un The Queen/Secretary of State for Transport”, </w:t>
      </w:r>
      <w:r w:rsidR="00DF2974" w:rsidRPr="00726980">
        <w:rPr>
          <w:rFonts w:ascii="Times New Roman" w:hAnsi="Times New Roman" w:cs="Times New Roman"/>
          <w:i/>
          <w:iCs/>
          <w:sz w:val="24"/>
          <w:szCs w:val="24"/>
          <w:lang w:val="lv-LV"/>
        </w:rPr>
        <w:t>C-</w:t>
      </w:r>
      <w:r w:rsidR="00DF2974" w:rsidRPr="007B4062">
        <w:rPr>
          <w:rFonts w:ascii="Times New Roman" w:hAnsi="Times New Roman" w:cs="Times New Roman"/>
          <w:i/>
          <w:iCs/>
          <w:sz w:val="24"/>
          <w:szCs w:val="24"/>
          <w:lang w:val="lv-LV"/>
        </w:rPr>
        <w:t>46/93 un C-48/93,</w:t>
      </w:r>
      <w:r w:rsidR="00832B2D" w:rsidRPr="007B4062">
        <w:rPr>
          <w:rFonts w:ascii="Times New Roman" w:hAnsi="Times New Roman" w:cs="Times New Roman"/>
          <w:i/>
          <w:iCs/>
          <w:sz w:val="24"/>
          <w:szCs w:val="24"/>
          <w:lang w:val="lv-LV"/>
        </w:rPr>
        <w:t xml:space="preserve"> ECLI:EU:C:1996:79</w:t>
      </w:r>
      <w:r w:rsidR="00726980">
        <w:rPr>
          <w:rFonts w:ascii="Times New Roman" w:hAnsi="Times New Roman" w:cs="Times New Roman"/>
          <w:i/>
          <w:iCs/>
          <w:sz w:val="24"/>
          <w:szCs w:val="24"/>
          <w:lang w:val="lv-LV"/>
        </w:rPr>
        <w:t xml:space="preserve"> </w:t>
      </w:r>
      <w:r w:rsidR="00726980" w:rsidRPr="00726980">
        <w:rPr>
          <w:rFonts w:ascii="Times New Roman" w:hAnsi="Times New Roman" w:cs="Times New Roman"/>
          <w:sz w:val="24"/>
          <w:szCs w:val="24"/>
          <w:lang w:val="lv-LV"/>
        </w:rPr>
        <w:t>(turpmāk – spriedums lietās C-46/93 un C-48/93)</w:t>
      </w:r>
      <w:r w:rsidR="00DF2974" w:rsidRPr="007B4062">
        <w:rPr>
          <w:rFonts w:ascii="Times New Roman" w:hAnsi="Times New Roman" w:cs="Times New Roman"/>
          <w:sz w:val="24"/>
          <w:szCs w:val="24"/>
          <w:lang w:val="lv-LV"/>
        </w:rPr>
        <w:t xml:space="preserve">). </w:t>
      </w:r>
      <w:r w:rsidR="00F96A3F" w:rsidRPr="007B4062">
        <w:rPr>
          <w:rFonts w:ascii="Times New Roman" w:hAnsi="Times New Roman" w:cs="Times New Roman"/>
          <w:sz w:val="24"/>
          <w:szCs w:val="24"/>
          <w:lang w:val="lv-LV"/>
        </w:rPr>
        <w:t>N</w:t>
      </w:r>
      <w:r w:rsidR="00DF2974" w:rsidRPr="007B4062">
        <w:rPr>
          <w:rFonts w:ascii="Times New Roman" w:hAnsi="Times New Roman" w:cs="Times New Roman"/>
          <w:sz w:val="24"/>
          <w:szCs w:val="24"/>
          <w:lang w:val="lv-LV"/>
        </w:rPr>
        <w:t xml:space="preserve">av </w:t>
      </w:r>
      <w:r w:rsidR="00F96A3F" w:rsidRPr="007B4062">
        <w:rPr>
          <w:rFonts w:ascii="Times New Roman" w:hAnsi="Times New Roman" w:cs="Times New Roman"/>
          <w:sz w:val="24"/>
          <w:szCs w:val="24"/>
          <w:lang w:val="lv-LV"/>
        </w:rPr>
        <w:t xml:space="preserve">arī </w:t>
      </w:r>
      <w:r w:rsidR="00DF2974" w:rsidRPr="007B4062">
        <w:rPr>
          <w:rFonts w:ascii="Times New Roman" w:hAnsi="Times New Roman" w:cs="Times New Roman"/>
          <w:sz w:val="24"/>
          <w:szCs w:val="24"/>
          <w:lang w:val="lv-LV"/>
        </w:rPr>
        <w:t>strīda, ka Eiropas Savienības tiesiskais regulējums publisko iepirkumu jautājumā neaizliedz valstīm paredzēt labvēlīgākus nosacījumus attiecībā uz zaudējumu atlīdzināšanu</w:t>
      </w:r>
      <w:r w:rsidR="00426ABE">
        <w:rPr>
          <w:rFonts w:ascii="Times New Roman" w:hAnsi="Times New Roman" w:cs="Times New Roman"/>
          <w:sz w:val="24"/>
          <w:szCs w:val="24"/>
          <w:lang w:val="lv-LV"/>
        </w:rPr>
        <w:t>,</w:t>
      </w:r>
      <w:r w:rsidR="00DF2974" w:rsidRPr="007B4062">
        <w:rPr>
          <w:rFonts w:ascii="Times New Roman" w:hAnsi="Times New Roman" w:cs="Times New Roman"/>
          <w:sz w:val="24"/>
          <w:szCs w:val="24"/>
          <w:lang w:val="lv-LV"/>
        </w:rPr>
        <w:t xml:space="preserve"> nekā pieprasa direktīva.</w:t>
      </w:r>
      <w:r w:rsidR="00224E16" w:rsidRPr="007B4062">
        <w:rPr>
          <w:rFonts w:ascii="Times New Roman" w:hAnsi="Times New Roman" w:cs="Times New Roman"/>
          <w:sz w:val="24"/>
          <w:szCs w:val="24"/>
          <w:lang w:val="lv-LV"/>
        </w:rPr>
        <w:t xml:space="preserve"> </w:t>
      </w:r>
    </w:p>
    <w:p w14:paraId="792FE3B3" w14:textId="77777777" w:rsidR="00DF2974" w:rsidRPr="007B4062" w:rsidRDefault="00DF2974" w:rsidP="003F1B18">
      <w:pPr>
        <w:spacing w:after="0"/>
        <w:ind w:firstLine="567"/>
        <w:jc w:val="both"/>
        <w:rPr>
          <w:rFonts w:ascii="Times New Roman" w:hAnsi="Times New Roman" w:cs="Times New Roman"/>
          <w:i/>
          <w:iCs/>
          <w:sz w:val="24"/>
          <w:szCs w:val="24"/>
          <w:lang w:val="lv-LV"/>
        </w:rPr>
      </w:pPr>
    </w:p>
    <w:p w14:paraId="6FE21752" w14:textId="4EF89C52" w:rsidR="00E40F9A" w:rsidRPr="007B4062" w:rsidRDefault="00847B4A" w:rsidP="003F1B18">
      <w:pPr>
        <w:spacing w:after="0"/>
        <w:ind w:firstLine="567"/>
        <w:jc w:val="both"/>
        <w:rPr>
          <w:rFonts w:ascii="Times New Roman" w:hAnsi="Times New Roman" w:cs="Times New Roman"/>
          <w:sz w:val="24"/>
          <w:szCs w:val="24"/>
          <w:shd w:val="clear" w:color="auto" w:fill="FFFFFF"/>
          <w:lang w:val="lv-LV"/>
        </w:rPr>
      </w:pPr>
      <w:r w:rsidRPr="007B4062">
        <w:rPr>
          <w:rFonts w:ascii="Times New Roman" w:eastAsia="Times New Roman" w:hAnsi="Times New Roman" w:cs="Times New Roman"/>
          <w:sz w:val="24"/>
          <w:szCs w:val="24"/>
          <w:lang w:val="lv-LV" w:eastAsia="lv-LV"/>
        </w:rPr>
        <w:t>[3</w:t>
      </w:r>
      <w:r w:rsidR="00A9254F" w:rsidRPr="007B4062">
        <w:rPr>
          <w:rFonts w:ascii="Times New Roman" w:eastAsia="Times New Roman" w:hAnsi="Times New Roman" w:cs="Times New Roman"/>
          <w:sz w:val="24"/>
          <w:szCs w:val="24"/>
          <w:lang w:val="lv-LV" w:eastAsia="lv-LV"/>
        </w:rPr>
        <w:t>4</w:t>
      </w:r>
      <w:r w:rsidRPr="007B4062">
        <w:rPr>
          <w:rFonts w:ascii="Times New Roman" w:eastAsia="Times New Roman" w:hAnsi="Times New Roman" w:cs="Times New Roman"/>
          <w:sz w:val="24"/>
          <w:szCs w:val="24"/>
          <w:lang w:val="lv-LV" w:eastAsia="lv-LV"/>
        </w:rPr>
        <w:t>]</w:t>
      </w:r>
      <w:r w:rsidR="00C65EDF">
        <w:rPr>
          <w:rFonts w:ascii="Times New Roman" w:eastAsia="Times New Roman" w:hAnsi="Times New Roman" w:cs="Times New Roman"/>
          <w:sz w:val="24"/>
          <w:szCs w:val="24"/>
          <w:lang w:val="lv-LV" w:eastAsia="lv-LV"/>
        </w:rPr>
        <w:t> </w:t>
      </w:r>
      <w:r w:rsidRPr="007B4062">
        <w:rPr>
          <w:rFonts w:ascii="Times New Roman" w:eastAsia="Times New Roman" w:hAnsi="Times New Roman" w:cs="Times New Roman"/>
          <w:sz w:val="24"/>
          <w:szCs w:val="24"/>
          <w:lang w:val="lv-LV" w:eastAsia="lv-LV"/>
        </w:rPr>
        <w:t>Latvijas Republikas Satversmes 92.pants noteic, ka n</w:t>
      </w:r>
      <w:r w:rsidRPr="007B4062">
        <w:rPr>
          <w:rFonts w:ascii="Times New Roman" w:hAnsi="Times New Roman" w:cs="Times New Roman"/>
          <w:sz w:val="24"/>
          <w:szCs w:val="24"/>
          <w:shd w:val="clear" w:color="auto" w:fill="FFFFFF"/>
          <w:lang w:val="lv-LV"/>
        </w:rPr>
        <w:t>epamatota tiesību aizskāruma gadījumā ikvienam ir tiesības uz atbilstīgu atlīdzinājumu.</w:t>
      </w:r>
      <w:r w:rsidR="00E40F9A" w:rsidRPr="007B4062">
        <w:rPr>
          <w:rFonts w:ascii="Times New Roman" w:hAnsi="Times New Roman" w:cs="Times New Roman"/>
          <w:sz w:val="24"/>
          <w:szCs w:val="24"/>
          <w:shd w:val="clear" w:color="auto" w:fill="FFFFFF"/>
          <w:lang w:val="lv-LV"/>
        </w:rPr>
        <w:t xml:space="preserve"> Tādējādi Latvijā ar konstitucionāla ranga normu ir </w:t>
      </w:r>
      <w:r w:rsidR="00F96A3F" w:rsidRPr="007B4062">
        <w:rPr>
          <w:rFonts w:ascii="Times New Roman" w:hAnsi="Times New Roman" w:cs="Times New Roman"/>
          <w:sz w:val="24"/>
          <w:szCs w:val="24"/>
          <w:shd w:val="clear" w:color="auto" w:fill="FFFFFF"/>
          <w:lang w:val="lv-LV"/>
        </w:rPr>
        <w:t>aizsargātas</w:t>
      </w:r>
      <w:r w:rsidR="00E40F9A" w:rsidRPr="007B4062">
        <w:rPr>
          <w:rFonts w:ascii="Times New Roman" w:hAnsi="Times New Roman" w:cs="Times New Roman"/>
          <w:sz w:val="24"/>
          <w:szCs w:val="24"/>
          <w:shd w:val="clear" w:color="auto" w:fill="FFFFFF"/>
          <w:lang w:val="lv-LV"/>
        </w:rPr>
        <w:t xml:space="preserve"> personu tiesības saņemt atlīdzinājumu</w:t>
      </w:r>
      <w:r w:rsidR="004F4073">
        <w:rPr>
          <w:rFonts w:ascii="Times New Roman" w:hAnsi="Times New Roman" w:cs="Times New Roman"/>
          <w:sz w:val="24"/>
          <w:szCs w:val="24"/>
          <w:shd w:val="clear" w:color="auto" w:fill="FFFFFF"/>
          <w:lang w:val="lv-LV"/>
        </w:rPr>
        <w:t xml:space="preserve"> </w:t>
      </w:r>
      <w:r w:rsidR="00E40F9A" w:rsidRPr="007B4062">
        <w:rPr>
          <w:rFonts w:ascii="Times New Roman" w:hAnsi="Times New Roman" w:cs="Times New Roman"/>
          <w:sz w:val="24"/>
          <w:szCs w:val="24"/>
          <w:shd w:val="clear" w:color="auto" w:fill="FFFFFF"/>
          <w:lang w:val="lv-LV"/>
        </w:rPr>
        <w:t xml:space="preserve">par zaudējumiem, </w:t>
      </w:r>
      <w:r w:rsidR="004F4073">
        <w:rPr>
          <w:rFonts w:ascii="Times New Roman" w:hAnsi="Times New Roman" w:cs="Times New Roman"/>
          <w:sz w:val="24"/>
          <w:szCs w:val="24"/>
          <w:shd w:val="clear" w:color="auto" w:fill="FFFFFF"/>
          <w:lang w:val="lv-LV"/>
        </w:rPr>
        <w:t>kas</w:t>
      </w:r>
      <w:r w:rsidR="00E40F9A" w:rsidRPr="007B4062">
        <w:rPr>
          <w:rFonts w:ascii="Times New Roman" w:hAnsi="Times New Roman" w:cs="Times New Roman"/>
          <w:sz w:val="24"/>
          <w:szCs w:val="24"/>
          <w:shd w:val="clear" w:color="auto" w:fill="FFFFFF"/>
          <w:lang w:val="lv-LV"/>
        </w:rPr>
        <w:t xml:space="preserve"> radu</w:t>
      </w:r>
      <w:r w:rsidR="008625D9">
        <w:rPr>
          <w:rFonts w:ascii="Times New Roman" w:hAnsi="Times New Roman" w:cs="Times New Roman"/>
          <w:sz w:val="24"/>
          <w:szCs w:val="24"/>
          <w:shd w:val="clear" w:color="auto" w:fill="FFFFFF"/>
          <w:lang w:val="lv-LV"/>
        </w:rPr>
        <w:t>š</w:t>
      </w:r>
      <w:r w:rsidR="00E40F9A" w:rsidRPr="007B4062">
        <w:rPr>
          <w:rFonts w:ascii="Times New Roman" w:hAnsi="Times New Roman" w:cs="Times New Roman"/>
          <w:sz w:val="24"/>
          <w:szCs w:val="24"/>
          <w:shd w:val="clear" w:color="auto" w:fill="FFFFFF"/>
          <w:lang w:val="lv-LV"/>
        </w:rPr>
        <w:t>i</w:t>
      </w:r>
      <w:r w:rsidR="004F4073">
        <w:rPr>
          <w:rFonts w:ascii="Times New Roman" w:hAnsi="Times New Roman" w:cs="Times New Roman"/>
          <w:sz w:val="24"/>
          <w:szCs w:val="24"/>
          <w:shd w:val="clear" w:color="auto" w:fill="FFFFFF"/>
          <w:lang w:val="lv-LV"/>
        </w:rPr>
        <w:t>es</w:t>
      </w:r>
      <w:r w:rsidR="00E40F9A" w:rsidRPr="007B4062">
        <w:rPr>
          <w:rFonts w:ascii="Times New Roman" w:hAnsi="Times New Roman" w:cs="Times New Roman"/>
          <w:sz w:val="24"/>
          <w:szCs w:val="24"/>
          <w:shd w:val="clear" w:color="auto" w:fill="FFFFFF"/>
          <w:lang w:val="lv-LV"/>
        </w:rPr>
        <w:t xml:space="preserve"> citas personas prettiesiska</w:t>
      </w:r>
      <w:r w:rsidR="008625D9">
        <w:rPr>
          <w:rFonts w:ascii="Times New Roman" w:hAnsi="Times New Roman" w:cs="Times New Roman"/>
          <w:sz w:val="24"/>
          <w:szCs w:val="24"/>
          <w:shd w:val="clear" w:color="auto" w:fill="FFFFFF"/>
          <w:lang w:val="lv-LV"/>
        </w:rPr>
        <w:t>s</w:t>
      </w:r>
      <w:r w:rsidR="00E40F9A" w:rsidRPr="007B4062">
        <w:rPr>
          <w:rFonts w:ascii="Times New Roman" w:hAnsi="Times New Roman" w:cs="Times New Roman"/>
          <w:sz w:val="24"/>
          <w:szCs w:val="24"/>
          <w:shd w:val="clear" w:color="auto" w:fill="FFFFFF"/>
          <w:lang w:val="lv-LV"/>
        </w:rPr>
        <w:t xml:space="preserve"> rīcība</w:t>
      </w:r>
      <w:r w:rsidR="00D71980">
        <w:rPr>
          <w:rFonts w:ascii="Times New Roman" w:hAnsi="Times New Roman" w:cs="Times New Roman"/>
          <w:sz w:val="24"/>
          <w:szCs w:val="24"/>
          <w:shd w:val="clear" w:color="auto" w:fill="FFFFFF"/>
          <w:lang w:val="lv-LV"/>
        </w:rPr>
        <w:t>s dēļ</w:t>
      </w:r>
      <w:r w:rsidR="00E40F9A" w:rsidRPr="007B4062">
        <w:rPr>
          <w:rFonts w:ascii="Times New Roman" w:hAnsi="Times New Roman" w:cs="Times New Roman"/>
          <w:sz w:val="24"/>
          <w:szCs w:val="24"/>
          <w:shd w:val="clear" w:color="auto" w:fill="FFFFFF"/>
          <w:lang w:val="lv-LV"/>
        </w:rPr>
        <w:t>.</w:t>
      </w:r>
    </w:p>
    <w:p w14:paraId="1AB31055" w14:textId="372516C3" w:rsidR="00903EA5" w:rsidRPr="007B4062" w:rsidRDefault="00E40F9A" w:rsidP="003F1B18">
      <w:pPr>
        <w:spacing w:after="0"/>
        <w:ind w:firstLine="567"/>
        <w:jc w:val="both"/>
        <w:rPr>
          <w:rFonts w:ascii="Times New Roman" w:hAnsi="Times New Roman" w:cs="Times New Roman"/>
          <w:sz w:val="24"/>
          <w:szCs w:val="24"/>
          <w:shd w:val="clear" w:color="auto" w:fill="FFFFFF"/>
          <w:lang w:val="lv-LV"/>
        </w:rPr>
      </w:pPr>
      <w:r w:rsidRPr="007B4062">
        <w:rPr>
          <w:rFonts w:ascii="Times New Roman" w:hAnsi="Times New Roman" w:cs="Times New Roman"/>
          <w:sz w:val="24"/>
          <w:szCs w:val="24"/>
          <w:shd w:val="clear" w:color="auto" w:fill="FFFFFF"/>
          <w:lang w:val="lv-LV"/>
        </w:rPr>
        <w:t xml:space="preserve">Senātam nav šaubu, ka līdz ar to Publisko iepirkumu likuma normu, kas paredz zaudējumu atlīdzināšanas iespēju, </w:t>
      </w:r>
      <w:r w:rsidR="008D4571" w:rsidRPr="007B4062">
        <w:rPr>
          <w:rFonts w:ascii="Times New Roman" w:hAnsi="Times New Roman" w:cs="Times New Roman"/>
          <w:sz w:val="24"/>
          <w:szCs w:val="24"/>
          <w:shd w:val="clear" w:color="auto" w:fill="FFFFFF"/>
          <w:lang w:val="lv-LV"/>
        </w:rPr>
        <w:t>uzdevums</w:t>
      </w:r>
      <w:r w:rsidRPr="007B4062">
        <w:rPr>
          <w:rFonts w:ascii="Times New Roman" w:hAnsi="Times New Roman" w:cs="Times New Roman"/>
          <w:sz w:val="24"/>
          <w:szCs w:val="24"/>
          <w:shd w:val="clear" w:color="auto" w:fill="FFFFFF"/>
          <w:lang w:val="lv-LV"/>
        </w:rPr>
        <w:t xml:space="preserve"> ir ne tikai izpildīt prasības, kas izriet no Eiropas Savienības tiesiskā regulējuma</w:t>
      </w:r>
      <w:r w:rsidR="008D4571" w:rsidRPr="007B4062">
        <w:rPr>
          <w:rFonts w:ascii="Times New Roman" w:hAnsi="Times New Roman" w:cs="Times New Roman"/>
          <w:sz w:val="24"/>
          <w:szCs w:val="24"/>
          <w:shd w:val="clear" w:color="auto" w:fill="FFFFFF"/>
          <w:lang w:val="lv-LV"/>
        </w:rPr>
        <w:t xml:space="preserve"> (un uz ko koncentrēti kasatores argumenti)</w:t>
      </w:r>
      <w:r w:rsidRPr="007B4062">
        <w:rPr>
          <w:rFonts w:ascii="Times New Roman" w:hAnsi="Times New Roman" w:cs="Times New Roman"/>
          <w:sz w:val="24"/>
          <w:szCs w:val="24"/>
          <w:shd w:val="clear" w:color="auto" w:fill="FFFFFF"/>
          <w:lang w:val="lv-LV"/>
        </w:rPr>
        <w:t xml:space="preserve">, bet arī nodrošināt privātpersonām </w:t>
      </w:r>
      <w:r w:rsidR="00C01E8F" w:rsidRPr="007B4062">
        <w:rPr>
          <w:rFonts w:ascii="Times New Roman" w:hAnsi="Times New Roman" w:cs="Times New Roman"/>
          <w:sz w:val="24"/>
          <w:szCs w:val="24"/>
          <w:shd w:val="clear" w:color="auto" w:fill="FFFFFF"/>
          <w:lang w:val="lv-LV"/>
        </w:rPr>
        <w:t xml:space="preserve">Latvijas Republikas </w:t>
      </w:r>
      <w:r w:rsidRPr="007B4062">
        <w:rPr>
          <w:rFonts w:ascii="Times New Roman" w:hAnsi="Times New Roman" w:cs="Times New Roman"/>
          <w:sz w:val="24"/>
          <w:szCs w:val="24"/>
          <w:shd w:val="clear" w:color="auto" w:fill="FFFFFF"/>
          <w:lang w:val="lv-LV"/>
        </w:rPr>
        <w:t>Satv</w:t>
      </w:r>
      <w:r w:rsidR="008D4571" w:rsidRPr="007B4062">
        <w:rPr>
          <w:rFonts w:ascii="Times New Roman" w:hAnsi="Times New Roman" w:cs="Times New Roman"/>
          <w:sz w:val="24"/>
          <w:szCs w:val="24"/>
          <w:shd w:val="clear" w:color="auto" w:fill="FFFFFF"/>
          <w:lang w:val="lv-LV"/>
        </w:rPr>
        <w:t>e</w:t>
      </w:r>
      <w:r w:rsidRPr="007B4062">
        <w:rPr>
          <w:rFonts w:ascii="Times New Roman" w:hAnsi="Times New Roman" w:cs="Times New Roman"/>
          <w:sz w:val="24"/>
          <w:szCs w:val="24"/>
          <w:shd w:val="clear" w:color="auto" w:fill="FFFFFF"/>
          <w:lang w:val="lv-LV"/>
        </w:rPr>
        <w:t>rsmē garantētās tiesības uz a</w:t>
      </w:r>
      <w:r w:rsidR="00F96A3F" w:rsidRPr="007B4062">
        <w:rPr>
          <w:rFonts w:ascii="Times New Roman" w:hAnsi="Times New Roman" w:cs="Times New Roman"/>
          <w:sz w:val="24"/>
          <w:szCs w:val="24"/>
          <w:shd w:val="clear" w:color="auto" w:fill="FFFFFF"/>
          <w:lang w:val="lv-LV"/>
        </w:rPr>
        <w:t>tbilstīgu</w:t>
      </w:r>
      <w:r w:rsidRPr="007B4062">
        <w:rPr>
          <w:rFonts w:ascii="Times New Roman" w:hAnsi="Times New Roman" w:cs="Times New Roman"/>
          <w:sz w:val="24"/>
          <w:szCs w:val="24"/>
          <w:shd w:val="clear" w:color="auto" w:fill="FFFFFF"/>
          <w:lang w:val="lv-LV"/>
        </w:rPr>
        <w:t xml:space="preserve"> atlīdzinājumu.</w:t>
      </w:r>
    </w:p>
    <w:p w14:paraId="46BA3FD2" w14:textId="57974129" w:rsidR="002F0CBD" w:rsidRPr="007B4062" w:rsidRDefault="002F0CBD"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shd w:val="clear" w:color="auto" w:fill="FFFFFF"/>
          <w:lang w:val="lv-LV"/>
        </w:rPr>
        <w:t>Publisko iepirkumu likum</w:t>
      </w:r>
      <w:r w:rsidR="00903EA5" w:rsidRPr="007B4062">
        <w:rPr>
          <w:rFonts w:ascii="Times New Roman" w:hAnsi="Times New Roman" w:cs="Times New Roman"/>
          <w:sz w:val="24"/>
          <w:szCs w:val="24"/>
          <w:shd w:val="clear" w:color="auto" w:fill="FFFFFF"/>
          <w:lang w:val="lv-LV"/>
        </w:rPr>
        <w:t>s noteic, ka z</w:t>
      </w:r>
      <w:r w:rsidR="00903EA5" w:rsidRPr="007B4062">
        <w:rPr>
          <w:rFonts w:ascii="Times New Roman" w:eastAsia="Times New Roman" w:hAnsi="Times New Roman" w:cs="Times New Roman"/>
          <w:sz w:val="24"/>
          <w:szCs w:val="24"/>
          <w:lang w:val="lv-LV" w:eastAsia="lv-LV"/>
        </w:rPr>
        <w:t>audējumus, kas nodarīti administratīvā procesa ietvaros, atlīdzina saskaņā ar administratīvo procesu un valsts pārvaldes iestāžu nodarīto zaudējumu atlīdzināšanas kārtību regulējošiem normatīvajiem aktiem.</w:t>
      </w:r>
      <w:r w:rsidR="00C01E8F" w:rsidRPr="007B4062">
        <w:rPr>
          <w:rFonts w:ascii="Times New Roman" w:eastAsia="Times New Roman" w:hAnsi="Times New Roman" w:cs="Times New Roman"/>
          <w:sz w:val="24"/>
          <w:szCs w:val="24"/>
          <w:lang w:val="lv-LV" w:eastAsia="lv-LV"/>
        </w:rPr>
        <w:t xml:space="preserve"> </w:t>
      </w:r>
      <w:r w:rsidR="00903EA5" w:rsidRPr="007B4062">
        <w:rPr>
          <w:rFonts w:ascii="Times New Roman" w:eastAsia="Times New Roman" w:hAnsi="Times New Roman" w:cs="Times New Roman"/>
          <w:sz w:val="24"/>
          <w:szCs w:val="24"/>
          <w:lang w:val="lv-LV" w:eastAsia="lv-LV"/>
        </w:rPr>
        <w:t>Šāds tiesiskais regulējums iekļauts gan Publisko iepirkumu likumā, kas ir spēkā no 2017.gada 1.mart</w:t>
      </w:r>
      <w:r w:rsidR="00351A40" w:rsidRPr="007B4062">
        <w:rPr>
          <w:rFonts w:ascii="Times New Roman" w:eastAsia="Times New Roman" w:hAnsi="Times New Roman" w:cs="Times New Roman"/>
          <w:sz w:val="24"/>
          <w:szCs w:val="24"/>
          <w:lang w:val="lv-LV" w:eastAsia="lv-LV"/>
        </w:rPr>
        <w:t>a</w:t>
      </w:r>
      <w:r w:rsidR="00903EA5" w:rsidRPr="007B4062">
        <w:rPr>
          <w:rFonts w:ascii="Times New Roman" w:eastAsia="Times New Roman" w:hAnsi="Times New Roman" w:cs="Times New Roman"/>
          <w:sz w:val="24"/>
          <w:szCs w:val="24"/>
          <w:lang w:val="lv-LV" w:eastAsia="lv-LV"/>
        </w:rPr>
        <w:t xml:space="preserve">, gan Publisko iepirkumu likumā, kas bija spēkā līdz tam (spēkā esošā likuma 76.panta pirmā daļa un iepriekšējā likuma </w:t>
      </w:r>
      <w:r w:rsidR="00903EA5" w:rsidRPr="007B4062">
        <w:rPr>
          <w:rFonts w:ascii="Times New Roman" w:hAnsi="Times New Roman" w:cs="Times New Roman"/>
          <w:sz w:val="24"/>
          <w:szCs w:val="24"/>
          <w:lang w:val="lv-LV"/>
        </w:rPr>
        <w:t>85.</w:t>
      </w:r>
      <w:r w:rsidR="00903EA5" w:rsidRPr="007B4062">
        <w:rPr>
          <w:rFonts w:ascii="Times New Roman" w:hAnsi="Times New Roman" w:cs="Times New Roman"/>
          <w:sz w:val="24"/>
          <w:szCs w:val="24"/>
          <w:vertAlign w:val="superscript"/>
          <w:lang w:val="lv-LV"/>
        </w:rPr>
        <w:t>4</w:t>
      </w:r>
      <w:r w:rsidR="00903EA5" w:rsidRPr="007B4062">
        <w:rPr>
          <w:rFonts w:ascii="Times New Roman" w:hAnsi="Times New Roman" w:cs="Times New Roman"/>
          <w:sz w:val="24"/>
          <w:szCs w:val="24"/>
          <w:lang w:val="lv-LV"/>
        </w:rPr>
        <w:t>panta pirmā daļa).</w:t>
      </w:r>
      <w:r w:rsidR="00930063" w:rsidRPr="007B4062">
        <w:rPr>
          <w:rFonts w:ascii="Times New Roman" w:hAnsi="Times New Roman" w:cs="Times New Roman"/>
          <w:sz w:val="24"/>
          <w:szCs w:val="24"/>
          <w:lang w:val="lv-LV"/>
        </w:rPr>
        <w:t xml:space="preserve"> </w:t>
      </w:r>
      <w:r w:rsidR="005438A9" w:rsidRPr="007B4062">
        <w:rPr>
          <w:rFonts w:ascii="Times New Roman" w:hAnsi="Times New Roman" w:cs="Times New Roman"/>
          <w:sz w:val="24"/>
          <w:szCs w:val="24"/>
          <w:lang w:val="lv-LV"/>
        </w:rPr>
        <w:t>Vienlaikus nav paredzēts, ka zaudējumu atlīdzināšanas priekšnoteikumi publisko iepirkumu gadījumos, salīdzinot ar citiem administratīvā procesa ietvaros nodarītu zaudējumu gadījumiem, būtu atšķirīgi.</w:t>
      </w:r>
    </w:p>
    <w:p w14:paraId="5C80D259" w14:textId="4563503E" w:rsidR="00B65FA0" w:rsidRPr="007B4062" w:rsidRDefault="005438A9"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Tādējādi secināms, ka atlīdzinājums publisko iepirkumu gadījumā piešķirams, balstoties </w:t>
      </w:r>
      <w:r w:rsidR="00445BC4" w:rsidRPr="007B4062">
        <w:rPr>
          <w:rFonts w:ascii="Times New Roman" w:hAnsi="Times New Roman" w:cs="Times New Roman"/>
          <w:sz w:val="24"/>
          <w:szCs w:val="24"/>
          <w:lang w:val="lv-LV"/>
        </w:rPr>
        <w:t>uz Valsts pārvaldes iestāžu nodarīto zaudējumu atlīdzināšanas likumu</w:t>
      </w:r>
      <w:r w:rsidR="00313D8D" w:rsidRPr="007B4062">
        <w:rPr>
          <w:rFonts w:ascii="Times New Roman" w:hAnsi="Times New Roman" w:cs="Times New Roman"/>
          <w:sz w:val="24"/>
          <w:szCs w:val="24"/>
          <w:lang w:val="lv-LV"/>
        </w:rPr>
        <w:t xml:space="preserve"> (turpmāk – Atlīdzināšanas likums)</w:t>
      </w:r>
      <w:r w:rsidR="00445BC4" w:rsidRPr="007B4062">
        <w:rPr>
          <w:rFonts w:ascii="Times New Roman" w:hAnsi="Times New Roman" w:cs="Times New Roman"/>
          <w:sz w:val="24"/>
          <w:szCs w:val="24"/>
          <w:lang w:val="lv-LV"/>
        </w:rPr>
        <w:t xml:space="preserve">. </w:t>
      </w:r>
      <w:r w:rsidR="00284B60" w:rsidRPr="007B4062">
        <w:rPr>
          <w:rFonts w:ascii="Times New Roman" w:hAnsi="Times New Roman" w:cs="Times New Roman"/>
          <w:sz w:val="24"/>
          <w:szCs w:val="24"/>
          <w:lang w:val="lv-LV"/>
        </w:rPr>
        <w:t>Š</w:t>
      </w:r>
      <w:r w:rsidR="00B65FA0" w:rsidRPr="007B4062">
        <w:rPr>
          <w:rFonts w:ascii="Times New Roman" w:hAnsi="Times New Roman" w:cs="Times New Roman"/>
          <w:sz w:val="24"/>
          <w:szCs w:val="24"/>
          <w:lang w:val="lv-LV"/>
        </w:rPr>
        <w:t>is likums kā priekšnoteikumus zaudējumu atlīdz</w:t>
      </w:r>
      <w:r w:rsidR="00284B60" w:rsidRPr="007B4062">
        <w:rPr>
          <w:rFonts w:ascii="Times New Roman" w:hAnsi="Times New Roman" w:cs="Times New Roman"/>
          <w:sz w:val="24"/>
          <w:szCs w:val="24"/>
          <w:lang w:val="lv-LV"/>
        </w:rPr>
        <w:t>ināšanai</w:t>
      </w:r>
      <w:r w:rsidR="00B65FA0" w:rsidRPr="007B4062">
        <w:rPr>
          <w:rFonts w:ascii="Times New Roman" w:hAnsi="Times New Roman" w:cs="Times New Roman"/>
          <w:sz w:val="24"/>
          <w:szCs w:val="24"/>
          <w:lang w:val="lv-LV"/>
        </w:rPr>
        <w:t xml:space="preserve"> noteic iestādes rīcības prettiesiskumu un cēloņsakarību starp attiecīgo iestādes rīcību un personai nodarītajiem zaudējumiem (kaitējumu) (</w:t>
      </w:r>
      <w:r w:rsidR="00B65FA0" w:rsidRPr="0045627A">
        <w:rPr>
          <w:rFonts w:ascii="Times New Roman" w:hAnsi="Times New Roman" w:cs="Times New Roman"/>
          <w:i/>
          <w:iCs/>
          <w:sz w:val="24"/>
          <w:szCs w:val="24"/>
          <w:lang w:val="lv-LV"/>
        </w:rPr>
        <w:t>likuma 1., 4. un 6.pants</w:t>
      </w:r>
      <w:r w:rsidR="00B65FA0" w:rsidRPr="007B4062">
        <w:rPr>
          <w:rFonts w:ascii="Times New Roman" w:hAnsi="Times New Roman" w:cs="Times New Roman"/>
          <w:sz w:val="24"/>
          <w:szCs w:val="24"/>
          <w:lang w:val="lv-LV"/>
        </w:rPr>
        <w:t xml:space="preserve">). </w:t>
      </w:r>
      <w:r w:rsidR="00B1494B" w:rsidRPr="007B4062">
        <w:rPr>
          <w:rFonts w:ascii="Times New Roman" w:hAnsi="Times New Roman" w:cs="Times New Roman"/>
          <w:sz w:val="24"/>
          <w:szCs w:val="24"/>
          <w:lang w:val="lv-LV"/>
        </w:rPr>
        <w:t>I</w:t>
      </w:r>
      <w:r w:rsidR="00B65FA0" w:rsidRPr="007B4062">
        <w:rPr>
          <w:rFonts w:ascii="Times New Roman" w:hAnsi="Times New Roman" w:cs="Times New Roman"/>
          <w:sz w:val="24"/>
          <w:szCs w:val="24"/>
          <w:lang w:val="lv-LV"/>
        </w:rPr>
        <w:t xml:space="preserve">estādes pieļautā pārkāpuma būtiskums nav priekšnoteikums </w:t>
      </w:r>
      <w:r w:rsidR="00B1494B" w:rsidRPr="007B4062">
        <w:rPr>
          <w:rFonts w:ascii="Times New Roman" w:hAnsi="Times New Roman" w:cs="Times New Roman"/>
          <w:sz w:val="24"/>
          <w:szCs w:val="24"/>
          <w:lang w:val="lv-LV"/>
        </w:rPr>
        <w:t xml:space="preserve">tiesībām prasīt </w:t>
      </w:r>
      <w:r w:rsidR="00B65FA0" w:rsidRPr="007B4062">
        <w:rPr>
          <w:rFonts w:ascii="Times New Roman" w:hAnsi="Times New Roman" w:cs="Times New Roman"/>
          <w:sz w:val="24"/>
          <w:szCs w:val="24"/>
          <w:lang w:val="lv-LV"/>
        </w:rPr>
        <w:t>atlīdzinājum</w:t>
      </w:r>
      <w:r w:rsidR="00B1494B" w:rsidRPr="007B4062">
        <w:rPr>
          <w:rFonts w:ascii="Times New Roman" w:hAnsi="Times New Roman" w:cs="Times New Roman"/>
          <w:sz w:val="24"/>
          <w:szCs w:val="24"/>
          <w:lang w:val="lv-LV"/>
        </w:rPr>
        <w:t>u.</w:t>
      </w:r>
    </w:p>
    <w:p w14:paraId="75CA3A3F" w14:textId="63A1FFC5" w:rsidR="00B65FA0" w:rsidRPr="007B4062" w:rsidRDefault="00B65FA0" w:rsidP="003F1B18">
      <w:pPr>
        <w:spacing w:after="0"/>
        <w:ind w:firstLine="567"/>
        <w:jc w:val="both"/>
        <w:rPr>
          <w:rFonts w:ascii="Times New Roman" w:hAnsi="Times New Roman" w:cs="Times New Roman"/>
          <w:sz w:val="24"/>
          <w:szCs w:val="24"/>
          <w:lang w:val="lv-LV"/>
        </w:rPr>
      </w:pPr>
    </w:p>
    <w:p w14:paraId="63F91EBE" w14:textId="25149234" w:rsidR="00CA353F" w:rsidRPr="007B4062" w:rsidRDefault="00B65FA0" w:rsidP="003F1B18">
      <w:pPr>
        <w:spacing w:after="0"/>
        <w:ind w:firstLine="567"/>
        <w:jc w:val="both"/>
        <w:rPr>
          <w:rFonts w:ascii="Times New Roman" w:hAnsi="Times New Roman" w:cs="Times New Roman"/>
          <w:sz w:val="24"/>
          <w:szCs w:val="24"/>
          <w:shd w:val="clear" w:color="auto" w:fill="FFFFFF"/>
          <w:lang w:val="lv-LV"/>
        </w:rPr>
      </w:pPr>
      <w:r w:rsidRPr="007B4062">
        <w:rPr>
          <w:rFonts w:ascii="Times New Roman" w:hAnsi="Times New Roman" w:cs="Times New Roman"/>
          <w:sz w:val="24"/>
          <w:szCs w:val="24"/>
          <w:lang w:val="lv-LV"/>
        </w:rPr>
        <w:t>[3</w:t>
      </w:r>
      <w:r w:rsidR="00A9254F" w:rsidRPr="007B4062">
        <w:rPr>
          <w:rFonts w:ascii="Times New Roman" w:hAnsi="Times New Roman" w:cs="Times New Roman"/>
          <w:sz w:val="24"/>
          <w:szCs w:val="24"/>
          <w:lang w:val="lv-LV"/>
        </w:rPr>
        <w:t>5</w:t>
      </w:r>
      <w:r w:rsidRPr="007B4062">
        <w:rPr>
          <w:rFonts w:ascii="Times New Roman" w:hAnsi="Times New Roman" w:cs="Times New Roman"/>
          <w:sz w:val="24"/>
          <w:szCs w:val="24"/>
          <w:lang w:val="lv-LV"/>
        </w:rPr>
        <w:t>]</w:t>
      </w:r>
      <w:r w:rsidR="00C65EDF">
        <w:rPr>
          <w:rFonts w:ascii="Times New Roman" w:hAnsi="Times New Roman" w:cs="Times New Roman"/>
          <w:sz w:val="24"/>
          <w:szCs w:val="24"/>
          <w:lang w:val="lv-LV"/>
        </w:rPr>
        <w:t> </w:t>
      </w:r>
      <w:r w:rsidRPr="007B4062">
        <w:rPr>
          <w:rFonts w:ascii="Times New Roman" w:hAnsi="Times New Roman" w:cs="Times New Roman"/>
          <w:sz w:val="24"/>
          <w:szCs w:val="24"/>
          <w:lang w:val="lv-LV"/>
        </w:rPr>
        <w:t xml:space="preserve">Ievērojot minēto, Senāts atzīst, ka nepamatots ir kasatores apgalvojums, ka </w:t>
      </w:r>
      <w:r w:rsidRPr="007B4062">
        <w:rPr>
          <w:rFonts w:ascii="Times New Roman" w:hAnsi="Times New Roman" w:cs="Times New Roman"/>
          <w:sz w:val="24"/>
          <w:szCs w:val="24"/>
          <w:shd w:val="clear" w:color="auto" w:fill="FFFFFF"/>
          <w:lang w:val="lv-LV"/>
        </w:rPr>
        <w:t>publisko iepirkumu procedūrā nodarītu zaudējumu gadījumā atlīdzinājums būtu piešķirams vienīgi tad, ja tiktu konstatēts, ka iestāde</w:t>
      </w:r>
      <w:r w:rsidR="004327AF" w:rsidRPr="007B4062">
        <w:rPr>
          <w:rFonts w:ascii="Times New Roman" w:hAnsi="Times New Roman" w:cs="Times New Roman"/>
          <w:sz w:val="24"/>
          <w:szCs w:val="24"/>
          <w:shd w:val="clear" w:color="auto" w:fill="FFFFFF"/>
          <w:lang w:val="lv-LV"/>
        </w:rPr>
        <w:t>s</w:t>
      </w:r>
      <w:r w:rsidRPr="007B4062">
        <w:rPr>
          <w:rFonts w:ascii="Times New Roman" w:hAnsi="Times New Roman" w:cs="Times New Roman"/>
          <w:sz w:val="24"/>
          <w:szCs w:val="24"/>
          <w:shd w:val="clear" w:color="auto" w:fill="FFFFFF"/>
          <w:lang w:val="lv-LV"/>
        </w:rPr>
        <w:t xml:space="preserve"> pārkāpums ir būtisks.</w:t>
      </w:r>
      <w:r w:rsidR="001344A9" w:rsidRPr="007B4062">
        <w:rPr>
          <w:rFonts w:ascii="Times New Roman" w:hAnsi="Times New Roman" w:cs="Times New Roman"/>
          <w:sz w:val="24"/>
          <w:szCs w:val="24"/>
          <w:shd w:val="clear" w:color="auto" w:fill="FFFFFF"/>
          <w:lang w:val="lv-LV"/>
        </w:rPr>
        <w:t xml:space="preserve"> </w:t>
      </w:r>
    </w:p>
    <w:p w14:paraId="1666B036" w14:textId="4101AB14" w:rsidR="007B3726" w:rsidRPr="007B4062" w:rsidRDefault="00E41337"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shd w:val="clear" w:color="auto" w:fill="FFFFFF"/>
          <w:lang w:val="lv-LV"/>
        </w:rPr>
        <w:t xml:space="preserve">Senāts </w:t>
      </w:r>
      <w:r w:rsidR="00CA353F" w:rsidRPr="007B4062">
        <w:rPr>
          <w:rFonts w:ascii="Times New Roman" w:hAnsi="Times New Roman" w:cs="Times New Roman"/>
          <w:sz w:val="24"/>
          <w:szCs w:val="24"/>
          <w:shd w:val="clear" w:color="auto" w:fill="FFFFFF"/>
          <w:lang w:val="lv-LV"/>
        </w:rPr>
        <w:t xml:space="preserve">arī </w:t>
      </w:r>
      <w:r w:rsidRPr="007B4062">
        <w:rPr>
          <w:rFonts w:ascii="Times New Roman" w:hAnsi="Times New Roman" w:cs="Times New Roman"/>
          <w:sz w:val="24"/>
          <w:szCs w:val="24"/>
          <w:shd w:val="clear" w:color="auto" w:fill="FFFFFF"/>
          <w:lang w:val="lv-LV"/>
        </w:rPr>
        <w:t xml:space="preserve">vērš </w:t>
      </w:r>
      <w:r w:rsidR="001344A9" w:rsidRPr="007B4062">
        <w:rPr>
          <w:rFonts w:ascii="Times New Roman" w:hAnsi="Times New Roman" w:cs="Times New Roman"/>
          <w:sz w:val="24"/>
          <w:szCs w:val="24"/>
          <w:shd w:val="clear" w:color="auto" w:fill="FFFFFF"/>
          <w:lang w:val="lv-LV"/>
        </w:rPr>
        <w:t xml:space="preserve">kasatores uzmanību, </w:t>
      </w:r>
      <w:r w:rsidRPr="007B4062">
        <w:rPr>
          <w:rFonts w:ascii="Times New Roman" w:hAnsi="Times New Roman" w:cs="Times New Roman"/>
          <w:sz w:val="24"/>
          <w:szCs w:val="24"/>
          <w:shd w:val="clear" w:color="auto" w:fill="FFFFFF"/>
          <w:lang w:val="lv-LV"/>
        </w:rPr>
        <w:t>ka</w:t>
      </w:r>
      <w:r w:rsidR="001344A9" w:rsidRPr="007B4062">
        <w:rPr>
          <w:rFonts w:ascii="Times New Roman" w:hAnsi="Times New Roman" w:cs="Times New Roman"/>
          <w:sz w:val="24"/>
          <w:szCs w:val="24"/>
          <w:shd w:val="clear" w:color="auto" w:fill="FFFFFF"/>
          <w:lang w:val="lv-LV"/>
        </w:rPr>
        <w:t xml:space="preserve"> atbilstoši Eiropas Savienības Tiesas judikatūrai </w:t>
      </w:r>
      <w:r w:rsidR="009B2CC6" w:rsidRPr="007B4062">
        <w:rPr>
          <w:rFonts w:ascii="Times New Roman" w:hAnsi="Times New Roman" w:cs="Times New Roman"/>
          <w:sz w:val="24"/>
          <w:szCs w:val="24"/>
          <w:shd w:val="clear" w:color="auto" w:fill="FFFFFF"/>
          <w:lang w:val="lv-LV"/>
        </w:rPr>
        <w:t>d</w:t>
      </w:r>
      <w:r w:rsidR="001344A9" w:rsidRPr="007B4062">
        <w:rPr>
          <w:rFonts w:ascii="Times New Roman" w:hAnsi="Times New Roman" w:cs="Times New Roman"/>
          <w:sz w:val="24"/>
          <w:szCs w:val="24"/>
          <w:lang w:val="lv-LV"/>
        </w:rPr>
        <w:t>irektīvas</w:t>
      </w:r>
      <w:r w:rsidR="004327AF" w:rsidRPr="007B4062">
        <w:rPr>
          <w:rFonts w:ascii="Times New Roman" w:hAnsi="Times New Roman" w:cs="Times New Roman"/>
          <w:sz w:val="24"/>
          <w:szCs w:val="24"/>
          <w:lang w:val="lv-LV"/>
        </w:rPr>
        <w:t xml:space="preserve"> </w:t>
      </w:r>
      <w:r w:rsidR="001344A9" w:rsidRPr="007B4062">
        <w:rPr>
          <w:rFonts w:ascii="Times New Roman" w:hAnsi="Times New Roman" w:cs="Times New Roman"/>
          <w:sz w:val="24"/>
          <w:szCs w:val="24"/>
          <w:lang w:val="lv-LV"/>
        </w:rPr>
        <w:t>89/665</w:t>
      </w:r>
      <w:r w:rsidR="009B2CC6" w:rsidRPr="007B4062">
        <w:rPr>
          <w:rFonts w:ascii="Times New Roman" w:hAnsi="Times New Roman" w:cs="Times New Roman"/>
          <w:sz w:val="24"/>
          <w:szCs w:val="24"/>
          <w:lang w:val="lv-LV"/>
        </w:rPr>
        <w:t>/EEK zaudējumu atlīdzināšanas pienākums konstatēta pārkāpuma gadījumā nav pakārtots</w:t>
      </w:r>
      <w:r w:rsidR="00FF5F51" w:rsidRPr="007B4062">
        <w:rPr>
          <w:rFonts w:ascii="Times New Roman" w:hAnsi="Times New Roman" w:cs="Times New Roman"/>
          <w:sz w:val="24"/>
          <w:szCs w:val="24"/>
          <w:lang w:val="lv-LV"/>
        </w:rPr>
        <w:t xml:space="preserve"> tam, vai līgumslēdzēj</w:t>
      </w:r>
      <w:r w:rsidR="004327AF" w:rsidRPr="007B4062">
        <w:rPr>
          <w:rFonts w:ascii="Times New Roman" w:hAnsi="Times New Roman" w:cs="Times New Roman"/>
          <w:sz w:val="24"/>
          <w:szCs w:val="24"/>
          <w:lang w:val="lv-LV"/>
        </w:rPr>
        <w:t xml:space="preserve">a </w:t>
      </w:r>
      <w:r w:rsidR="00FF5F51" w:rsidRPr="007B4062">
        <w:rPr>
          <w:rFonts w:ascii="Times New Roman" w:hAnsi="Times New Roman" w:cs="Times New Roman"/>
          <w:sz w:val="24"/>
          <w:szCs w:val="24"/>
          <w:lang w:val="lv-LV"/>
        </w:rPr>
        <w:t>iestāde tiešām vainojama pārkāpuma pieļaušanā (</w:t>
      </w:r>
      <w:r w:rsidR="00FF5F51" w:rsidRPr="007B4062">
        <w:rPr>
          <w:rFonts w:ascii="Times New Roman" w:hAnsi="Times New Roman" w:cs="Times New Roman"/>
          <w:i/>
          <w:iCs/>
          <w:sz w:val="24"/>
          <w:szCs w:val="24"/>
          <w:lang w:val="lv-LV"/>
        </w:rPr>
        <w:t>Eiropas Savienības Tiesas 2010.gada 30.septembra spriedum</w:t>
      </w:r>
      <w:r w:rsidR="0025479B" w:rsidRPr="007B4062">
        <w:rPr>
          <w:rFonts w:ascii="Times New Roman" w:hAnsi="Times New Roman" w:cs="Times New Roman"/>
          <w:i/>
          <w:iCs/>
          <w:sz w:val="24"/>
          <w:szCs w:val="24"/>
          <w:lang w:val="lv-LV"/>
        </w:rPr>
        <w:t>a</w:t>
      </w:r>
      <w:r w:rsidR="00FF5F51" w:rsidRPr="007B4062">
        <w:rPr>
          <w:rFonts w:ascii="Times New Roman" w:hAnsi="Times New Roman" w:cs="Times New Roman"/>
          <w:i/>
          <w:iCs/>
          <w:sz w:val="24"/>
          <w:szCs w:val="24"/>
          <w:lang w:val="lv-LV"/>
        </w:rPr>
        <w:t xml:space="preserve"> lietā </w:t>
      </w:r>
      <w:r w:rsidR="004327AF" w:rsidRPr="007B4062">
        <w:rPr>
          <w:rFonts w:ascii="Times New Roman" w:hAnsi="Times New Roman" w:cs="Times New Roman"/>
          <w:i/>
          <w:iCs/>
          <w:sz w:val="24"/>
          <w:szCs w:val="24"/>
          <w:lang w:val="lv-LV"/>
        </w:rPr>
        <w:t xml:space="preserve">„Strabag”, </w:t>
      </w:r>
      <w:r w:rsidR="00FF5F51" w:rsidRPr="007B4062">
        <w:rPr>
          <w:rFonts w:ascii="Times New Roman" w:hAnsi="Times New Roman" w:cs="Times New Roman"/>
          <w:i/>
          <w:iCs/>
          <w:sz w:val="24"/>
          <w:szCs w:val="24"/>
          <w:lang w:val="lv-LV"/>
        </w:rPr>
        <w:t xml:space="preserve">C-314/09, </w:t>
      </w:r>
      <w:r w:rsidR="002B64B6" w:rsidRPr="007B4062">
        <w:rPr>
          <w:rFonts w:ascii="Times New Roman" w:hAnsi="Times New Roman" w:cs="Times New Roman"/>
          <w:i/>
          <w:iCs/>
          <w:sz w:val="24"/>
          <w:szCs w:val="24"/>
          <w:lang w:val="lv-LV"/>
        </w:rPr>
        <w:t xml:space="preserve">ECLI:EU:C:2010:567, </w:t>
      </w:r>
      <w:r w:rsidR="00FF5F51" w:rsidRPr="007B4062">
        <w:rPr>
          <w:rFonts w:ascii="Times New Roman" w:hAnsi="Times New Roman" w:cs="Times New Roman"/>
          <w:i/>
          <w:iCs/>
          <w:sz w:val="24"/>
          <w:szCs w:val="24"/>
          <w:lang w:val="lv-LV"/>
        </w:rPr>
        <w:t>35.</w:t>
      </w:r>
      <w:r w:rsidR="00FF5F51" w:rsidRPr="007B4062">
        <w:rPr>
          <w:rFonts w:ascii="Times New Roman" w:eastAsia="Times New Roman" w:hAnsi="Times New Roman" w:cs="Times New Roman"/>
          <w:i/>
          <w:iCs/>
          <w:sz w:val="24"/>
          <w:szCs w:val="24"/>
          <w:lang w:val="lv-LV" w:eastAsia="lv-LV"/>
        </w:rPr>
        <w:t>–</w:t>
      </w:r>
      <w:r w:rsidR="00FF5F51" w:rsidRPr="007B4062">
        <w:rPr>
          <w:rFonts w:ascii="Times New Roman" w:hAnsi="Times New Roman" w:cs="Times New Roman"/>
          <w:i/>
          <w:iCs/>
          <w:sz w:val="24"/>
          <w:szCs w:val="24"/>
          <w:lang w:val="lv-LV"/>
        </w:rPr>
        <w:t>45.punkts</w:t>
      </w:r>
      <w:r w:rsidR="00FF5F51" w:rsidRPr="007B4062">
        <w:rPr>
          <w:rFonts w:ascii="Times New Roman" w:hAnsi="Times New Roman" w:cs="Times New Roman"/>
          <w:sz w:val="24"/>
          <w:szCs w:val="24"/>
          <w:lang w:val="lv-LV"/>
        </w:rPr>
        <w:t>).</w:t>
      </w:r>
      <w:r w:rsidR="00AC0CC7" w:rsidRPr="007B4062">
        <w:rPr>
          <w:rFonts w:ascii="Times New Roman" w:hAnsi="Times New Roman" w:cs="Times New Roman"/>
          <w:sz w:val="24"/>
          <w:szCs w:val="24"/>
          <w:lang w:val="lv-LV"/>
        </w:rPr>
        <w:t xml:space="preserve"> </w:t>
      </w:r>
      <w:bookmarkStart w:id="4" w:name="_Hlk26889179"/>
    </w:p>
    <w:p w14:paraId="61A17A7A" w14:textId="77777777" w:rsidR="007B3726" w:rsidRPr="007B4062" w:rsidRDefault="007B3726" w:rsidP="003F1B18">
      <w:pPr>
        <w:spacing w:after="0"/>
        <w:ind w:firstLine="567"/>
        <w:jc w:val="both"/>
        <w:rPr>
          <w:rFonts w:ascii="Times New Roman" w:hAnsi="Times New Roman" w:cs="Times New Roman"/>
          <w:sz w:val="24"/>
          <w:szCs w:val="24"/>
          <w:lang w:val="lv-LV"/>
        </w:rPr>
      </w:pPr>
    </w:p>
    <w:p w14:paraId="446D1EDB" w14:textId="7A9E9F24" w:rsidR="00351A40" w:rsidRPr="007B4062" w:rsidRDefault="007B3726"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w:t>
      </w:r>
      <w:r w:rsidR="00C51E27" w:rsidRPr="007B4062">
        <w:rPr>
          <w:rFonts w:ascii="Times New Roman" w:hAnsi="Times New Roman" w:cs="Times New Roman"/>
          <w:sz w:val="24"/>
          <w:szCs w:val="24"/>
          <w:lang w:val="lv-LV"/>
        </w:rPr>
        <w:t>3</w:t>
      </w:r>
      <w:r w:rsidR="00A9254F" w:rsidRPr="007B4062">
        <w:rPr>
          <w:rFonts w:ascii="Times New Roman" w:hAnsi="Times New Roman" w:cs="Times New Roman"/>
          <w:sz w:val="24"/>
          <w:szCs w:val="24"/>
          <w:lang w:val="lv-LV"/>
        </w:rPr>
        <w:t>6</w:t>
      </w:r>
      <w:r w:rsidR="00C51E27" w:rsidRPr="007B4062">
        <w:rPr>
          <w:rFonts w:ascii="Times New Roman" w:hAnsi="Times New Roman" w:cs="Times New Roman"/>
          <w:sz w:val="24"/>
          <w:szCs w:val="24"/>
          <w:lang w:val="lv-LV"/>
        </w:rPr>
        <w:t>]</w:t>
      </w:r>
      <w:bookmarkStart w:id="5" w:name="_Hlk87544854"/>
      <w:r w:rsidR="00C65EDF">
        <w:rPr>
          <w:rFonts w:ascii="Times New Roman" w:hAnsi="Times New Roman" w:cs="Times New Roman"/>
          <w:sz w:val="24"/>
          <w:szCs w:val="24"/>
          <w:lang w:val="lv-LV"/>
        </w:rPr>
        <w:t> </w:t>
      </w:r>
      <w:r w:rsidR="00C51E27" w:rsidRPr="007B4062">
        <w:rPr>
          <w:rFonts w:ascii="Times New Roman" w:hAnsi="Times New Roman" w:cs="Times New Roman"/>
          <w:sz w:val="24"/>
          <w:szCs w:val="24"/>
          <w:lang w:val="lv-LV"/>
        </w:rPr>
        <w:t xml:space="preserve">Kasatore nepamatoti atsaucas arī uz Senāta 2012.gada 6.jūlija spriedumā lietā Nr. SKA-313/2012 </w:t>
      </w:r>
      <w:r w:rsidR="007C48FD" w:rsidRPr="007B4062">
        <w:rPr>
          <w:rFonts w:ascii="Times New Roman" w:hAnsi="Times New Roman" w:cs="Times New Roman"/>
          <w:sz w:val="24"/>
          <w:szCs w:val="24"/>
          <w:lang w:val="lv-LV"/>
        </w:rPr>
        <w:t>(</w:t>
      </w:r>
      <w:r w:rsidR="00C17DA4" w:rsidRPr="007B4062">
        <w:rPr>
          <w:rFonts w:ascii="Times New Roman" w:hAnsi="Times New Roman" w:cs="Times New Roman"/>
          <w:sz w:val="24"/>
          <w:szCs w:val="24"/>
          <w:lang w:val="lv-LV"/>
        </w:rPr>
        <w:t>A42879209</w:t>
      </w:r>
      <w:r w:rsidR="007C48FD" w:rsidRPr="007B4062">
        <w:rPr>
          <w:rFonts w:ascii="Times New Roman" w:hAnsi="Times New Roman" w:cs="Times New Roman"/>
          <w:sz w:val="24"/>
          <w:szCs w:val="24"/>
          <w:lang w:val="lv-LV"/>
        </w:rPr>
        <w:t xml:space="preserve">) </w:t>
      </w:r>
      <w:r w:rsidR="00C51E27" w:rsidRPr="007B4062">
        <w:rPr>
          <w:rFonts w:ascii="Times New Roman" w:hAnsi="Times New Roman" w:cs="Times New Roman"/>
          <w:sz w:val="24"/>
          <w:szCs w:val="24"/>
          <w:lang w:val="lv-LV"/>
        </w:rPr>
        <w:t>norā</w:t>
      </w:r>
      <w:r w:rsidR="00C51E27" w:rsidRPr="007B4062">
        <w:rPr>
          <w:rFonts w:asciiTheme="majorBidi" w:hAnsiTheme="majorBidi" w:cstheme="majorBidi"/>
          <w:sz w:val="24"/>
          <w:szCs w:val="24"/>
          <w:lang w:val="lv-LV"/>
        </w:rPr>
        <w:t xml:space="preserve">dīto, ka valsts atbildība ir ierobežota un šādam valsts atbildības ierobežojumam ir </w:t>
      </w:r>
      <w:r w:rsidR="007C48FD" w:rsidRPr="007B4062">
        <w:rPr>
          <w:rFonts w:asciiTheme="majorBidi" w:hAnsiTheme="majorBidi" w:cstheme="majorBidi"/>
          <w:sz w:val="24"/>
          <w:szCs w:val="24"/>
          <w:lang w:val="lv-LV"/>
        </w:rPr>
        <w:t>līdzsvarojoša</w:t>
      </w:r>
      <w:r w:rsidR="007C48FD" w:rsidRPr="007B4062">
        <w:rPr>
          <w:rFonts w:ascii="Times New Roman" w:hAnsi="Times New Roman" w:cs="Times New Roman"/>
          <w:sz w:val="24"/>
          <w:szCs w:val="24"/>
          <w:lang w:val="lv-LV"/>
        </w:rPr>
        <w:t xml:space="preserve"> </w:t>
      </w:r>
      <w:r w:rsidR="00C51E27" w:rsidRPr="007B4062">
        <w:rPr>
          <w:rFonts w:ascii="Times New Roman" w:hAnsi="Times New Roman" w:cs="Times New Roman"/>
          <w:sz w:val="24"/>
          <w:szCs w:val="24"/>
          <w:lang w:val="lv-LV"/>
        </w:rPr>
        <w:t>funkcija</w:t>
      </w:r>
      <w:bookmarkEnd w:id="5"/>
      <w:r w:rsidR="00C51E27" w:rsidRPr="007B4062">
        <w:rPr>
          <w:rFonts w:ascii="Times New Roman" w:hAnsi="Times New Roman" w:cs="Times New Roman"/>
          <w:sz w:val="24"/>
          <w:szCs w:val="24"/>
          <w:lang w:val="lv-LV"/>
        </w:rPr>
        <w:t>, jo tiek līdzsvarotas cietušās personas tiesības uz atlīdzību un sabiedrības tiesības saņemt efektīvu valsts funkciju īstenošanu bez papildu nodokļu nastas nodokļu maksātājiem (ņemot vērā, ka zaudējumu atlīdzība faktiski gulstas uz nodokļu maksātāju pleciem).</w:t>
      </w:r>
      <w:r w:rsidR="0057412A" w:rsidRPr="007B4062">
        <w:rPr>
          <w:rFonts w:ascii="Times New Roman" w:hAnsi="Times New Roman" w:cs="Times New Roman"/>
          <w:sz w:val="24"/>
          <w:szCs w:val="24"/>
          <w:lang w:val="lv-LV"/>
        </w:rPr>
        <w:t xml:space="preserve"> </w:t>
      </w:r>
    </w:p>
    <w:p w14:paraId="314FF813" w14:textId="06108FE6" w:rsidR="0057412A" w:rsidRPr="007B4062" w:rsidRDefault="0057412A"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Minētajā spriedumā analizēta likumdevēja izvēle ierobežot apmēru, kas atlīdzināms par zaudējumiem, kas saistīti ar izmaksām par juridisko palīdzību</w:t>
      </w:r>
      <w:r w:rsidR="004E258D" w:rsidRPr="007B4062">
        <w:rPr>
          <w:rFonts w:ascii="Times New Roman" w:hAnsi="Times New Roman" w:cs="Times New Roman"/>
          <w:sz w:val="24"/>
          <w:szCs w:val="24"/>
          <w:lang w:val="lv-LV"/>
        </w:rPr>
        <w:t xml:space="preserve">, </w:t>
      </w:r>
      <w:r w:rsidR="00CA353F" w:rsidRPr="007B4062">
        <w:rPr>
          <w:rFonts w:ascii="Times New Roman" w:hAnsi="Times New Roman" w:cs="Times New Roman"/>
          <w:sz w:val="24"/>
          <w:szCs w:val="24"/>
          <w:lang w:val="lv-LV"/>
        </w:rPr>
        <w:t>un</w:t>
      </w:r>
      <w:r w:rsidR="004E258D" w:rsidRPr="007B4062">
        <w:rPr>
          <w:rFonts w:ascii="Times New Roman" w:hAnsi="Times New Roman" w:cs="Times New Roman"/>
          <w:sz w:val="24"/>
          <w:szCs w:val="24"/>
          <w:lang w:val="lv-LV"/>
        </w:rPr>
        <w:t xml:space="preserve"> </w:t>
      </w:r>
      <w:r w:rsidR="00157622" w:rsidRPr="007B4062">
        <w:rPr>
          <w:rFonts w:ascii="Times New Roman" w:hAnsi="Times New Roman" w:cs="Times New Roman"/>
          <w:sz w:val="24"/>
          <w:szCs w:val="24"/>
          <w:lang w:val="lv-LV"/>
        </w:rPr>
        <w:t>šajā lietā izteiktās atziņas nevar būt pamats secinājumam, ka iepirkumu lietās zaudējumi atlīdzināmi vienīgi saistībā ar iestādes tīši pieļautu pārkāpumu.</w:t>
      </w:r>
    </w:p>
    <w:p w14:paraId="143F92BD" w14:textId="7D4933CD" w:rsidR="00656334" w:rsidRPr="007B4062" w:rsidRDefault="00656334"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Turklāt kasa</w:t>
      </w:r>
      <w:r w:rsidR="005D5A09" w:rsidRPr="007B4062">
        <w:rPr>
          <w:rFonts w:ascii="Times New Roman" w:hAnsi="Times New Roman" w:cs="Times New Roman"/>
          <w:sz w:val="24"/>
          <w:szCs w:val="24"/>
          <w:lang w:val="lv-LV"/>
        </w:rPr>
        <w:t>t</w:t>
      </w:r>
      <w:r w:rsidRPr="007B4062">
        <w:rPr>
          <w:rFonts w:ascii="Times New Roman" w:hAnsi="Times New Roman" w:cs="Times New Roman"/>
          <w:sz w:val="24"/>
          <w:szCs w:val="24"/>
          <w:lang w:val="lv-LV"/>
        </w:rPr>
        <w:t>ores uzmanība papildus vērša</w:t>
      </w:r>
      <w:r w:rsidR="0025479B" w:rsidRPr="007B4062">
        <w:rPr>
          <w:rFonts w:ascii="Times New Roman" w:hAnsi="Times New Roman" w:cs="Times New Roman"/>
          <w:sz w:val="24"/>
          <w:szCs w:val="24"/>
          <w:lang w:val="lv-LV"/>
        </w:rPr>
        <w:t>m</w:t>
      </w:r>
      <w:r w:rsidRPr="007B4062">
        <w:rPr>
          <w:rFonts w:ascii="Times New Roman" w:hAnsi="Times New Roman" w:cs="Times New Roman"/>
          <w:sz w:val="24"/>
          <w:szCs w:val="24"/>
          <w:lang w:val="lv-LV"/>
        </w:rPr>
        <w:t>a uz to, ka Eiropas Savienības Tiesa</w:t>
      </w:r>
      <w:r w:rsidR="005D5A09" w:rsidRPr="007B4062">
        <w:rPr>
          <w:rFonts w:ascii="Times New Roman" w:hAnsi="Times New Roman" w:cs="Times New Roman"/>
          <w:sz w:val="24"/>
          <w:szCs w:val="24"/>
          <w:lang w:val="lv-LV"/>
        </w:rPr>
        <w:t xml:space="preserve"> 2020.gada 10.decembra spriedumā lietā </w:t>
      </w:r>
      <w:r w:rsidR="00426ABE" w:rsidRPr="00C36FAE">
        <w:rPr>
          <w:rFonts w:ascii="Times New Roman" w:eastAsia="Times New Roman" w:hAnsi="Times New Roman" w:cs="Times New Roman"/>
          <w:sz w:val="24"/>
          <w:szCs w:val="24"/>
          <w:lang w:val="lv-LV" w:eastAsia="lv-LV"/>
        </w:rPr>
        <w:t>„</w:t>
      </w:r>
      <w:r w:rsidR="0025479B" w:rsidRPr="00C36FAE">
        <w:rPr>
          <w:rFonts w:ascii="Times New Roman" w:hAnsi="Times New Roman" w:cs="Times New Roman"/>
          <w:sz w:val="24"/>
          <w:szCs w:val="24"/>
          <w:lang w:val="lv-LV"/>
        </w:rPr>
        <w:t>Euromin Holdings (Cyprus) Limited</w:t>
      </w:r>
      <w:r w:rsidR="00426ABE" w:rsidRPr="00C36FAE">
        <w:rPr>
          <w:rFonts w:ascii="Times New Roman" w:hAnsi="Times New Roman" w:cs="Times New Roman"/>
          <w:sz w:val="24"/>
          <w:szCs w:val="24"/>
          <w:lang w:val="lv-LV"/>
        </w:rPr>
        <w:t>”,</w:t>
      </w:r>
      <w:r w:rsidR="002721C9" w:rsidRPr="00C36FAE">
        <w:rPr>
          <w:rFonts w:ascii="Times New Roman" w:hAnsi="Times New Roman" w:cs="Times New Roman"/>
          <w:sz w:val="24"/>
          <w:szCs w:val="24"/>
          <w:lang w:val="lv-LV"/>
        </w:rPr>
        <w:t xml:space="preserve"> </w:t>
      </w:r>
      <w:r w:rsidR="005D5A09" w:rsidRPr="00C36FAE">
        <w:rPr>
          <w:rFonts w:ascii="Times New Roman" w:eastAsiaTheme="minorHAnsi" w:hAnsi="Times New Roman" w:cs="Times New Roman"/>
          <w:sz w:val="24"/>
          <w:szCs w:val="24"/>
          <w:lang w:val="lv-LV"/>
        </w:rPr>
        <w:t xml:space="preserve">C-735/19, </w:t>
      </w:r>
      <w:r w:rsidR="002721C9" w:rsidRPr="00C36FAE">
        <w:rPr>
          <w:rFonts w:ascii="Times New Roman" w:eastAsiaTheme="minorHAnsi" w:hAnsi="Times New Roman" w:cs="Times New Roman"/>
          <w:sz w:val="24"/>
          <w:szCs w:val="24"/>
          <w:lang w:val="lv-LV"/>
        </w:rPr>
        <w:t>ECLI:EU:C:2020:1014</w:t>
      </w:r>
      <w:r w:rsidR="00426ABE" w:rsidRPr="00C36FAE">
        <w:rPr>
          <w:rFonts w:ascii="Times New Roman" w:eastAsiaTheme="minorHAnsi" w:hAnsi="Times New Roman" w:cs="Times New Roman"/>
          <w:sz w:val="24"/>
          <w:szCs w:val="24"/>
          <w:lang w:val="lv-LV"/>
        </w:rPr>
        <w:t>,</w:t>
      </w:r>
      <w:r w:rsidRPr="007B4062">
        <w:rPr>
          <w:rFonts w:ascii="Times New Roman" w:hAnsi="Times New Roman" w:cs="Times New Roman"/>
          <w:sz w:val="24"/>
          <w:szCs w:val="24"/>
          <w:lang w:val="lv-LV"/>
        </w:rPr>
        <w:t xml:space="preserve"> ir atzinusi, ka </w:t>
      </w:r>
      <w:r w:rsidR="005D5A09" w:rsidRPr="007B4062">
        <w:rPr>
          <w:rFonts w:ascii="Times New Roman" w:hAnsi="Times New Roman" w:cs="Times New Roman"/>
          <w:sz w:val="24"/>
          <w:szCs w:val="24"/>
          <w:lang w:val="lv-LV"/>
        </w:rPr>
        <w:t>Eiropas Savienības tiesības nepieļauj, ka ar valsts regulējumu tiek ierobežots Eiropas Savienības tiesību pārkāpuma rezultātā nodarīto zaudējumu atlīdzinājum</w:t>
      </w:r>
      <w:r w:rsidR="00224E16" w:rsidRPr="007B4062">
        <w:rPr>
          <w:rFonts w:ascii="Times New Roman" w:hAnsi="Times New Roman" w:cs="Times New Roman"/>
          <w:sz w:val="24"/>
          <w:szCs w:val="24"/>
          <w:lang w:val="lv-LV"/>
        </w:rPr>
        <w:t>a apmērs</w:t>
      </w:r>
      <w:r w:rsidR="007A032C" w:rsidRPr="007B4062">
        <w:rPr>
          <w:rFonts w:ascii="Times New Roman" w:hAnsi="Times New Roman" w:cs="Times New Roman"/>
          <w:sz w:val="24"/>
          <w:szCs w:val="24"/>
          <w:lang w:val="lv-LV"/>
        </w:rPr>
        <w:t>, samazinot atlīdzināmo apmēru līdz 50</w:t>
      </w:r>
      <w:r w:rsidR="00105837">
        <w:rPr>
          <w:rFonts w:ascii="Times New Roman" w:hAnsi="Times New Roman" w:cs="Times New Roman"/>
          <w:sz w:val="24"/>
          <w:szCs w:val="24"/>
          <w:lang w:val="lv-LV"/>
        </w:rPr>
        <w:t> </w:t>
      </w:r>
      <w:r w:rsidR="007A032C" w:rsidRPr="00105837">
        <w:rPr>
          <w:rFonts w:ascii="Times New Roman" w:hAnsi="Times New Roman" w:cs="Times New Roman"/>
          <w:sz w:val="24"/>
          <w:szCs w:val="24"/>
          <w:lang w:val="lv-LV"/>
        </w:rPr>
        <w:t>%</w:t>
      </w:r>
      <w:r w:rsidR="007A032C" w:rsidRPr="007B4062">
        <w:rPr>
          <w:rFonts w:ascii="Times New Roman" w:hAnsi="Times New Roman" w:cs="Times New Roman"/>
          <w:sz w:val="24"/>
          <w:szCs w:val="24"/>
          <w:lang w:val="lv-LV"/>
        </w:rPr>
        <w:t xml:space="preserve"> no atlīdzināmās summas</w:t>
      </w:r>
      <w:r w:rsidR="005D5A09" w:rsidRPr="007B4062">
        <w:rPr>
          <w:rFonts w:ascii="Times New Roman" w:hAnsi="Times New Roman" w:cs="Times New Roman"/>
          <w:sz w:val="24"/>
          <w:szCs w:val="24"/>
          <w:lang w:val="lv-LV"/>
        </w:rPr>
        <w:t xml:space="preserve"> </w:t>
      </w:r>
      <w:r w:rsidR="00224E16" w:rsidRPr="007B4062">
        <w:rPr>
          <w:rFonts w:ascii="Times New Roman" w:hAnsi="Times New Roman" w:cs="Times New Roman"/>
          <w:sz w:val="24"/>
          <w:szCs w:val="24"/>
          <w:lang w:val="lv-LV"/>
        </w:rPr>
        <w:t>(šajā lietā tika aplūkots Atlīdzinājuma likuma 13.panta regulējums, atbilstoši kuram likums pieļauj zaudējumu atlīdzināšanu ierobežot, neatlīdzinot zaudējumu</w:t>
      </w:r>
      <w:r w:rsidR="00351A40" w:rsidRPr="007B4062">
        <w:rPr>
          <w:rFonts w:ascii="Times New Roman" w:hAnsi="Times New Roman" w:cs="Times New Roman"/>
          <w:sz w:val="24"/>
          <w:szCs w:val="24"/>
          <w:lang w:val="lv-LV"/>
        </w:rPr>
        <w:t>s</w:t>
      </w:r>
      <w:r w:rsidR="00224E16" w:rsidRPr="007B4062">
        <w:rPr>
          <w:rFonts w:ascii="Times New Roman" w:hAnsi="Times New Roman" w:cs="Times New Roman"/>
          <w:sz w:val="24"/>
          <w:szCs w:val="24"/>
          <w:lang w:val="lv-LV"/>
        </w:rPr>
        <w:t xml:space="preserve"> pilnā jeb 100</w:t>
      </w:r>
      <w:r w:rsidR="00105837">
        <w:rPr>
          <w:rFonts w:ascii="Times New Roman" w:hAnsi="Times New Roman" w:cs="Times New Roman"/>
          <w:sz w:val="24"/>
          <w:szCs w:val="24"/>
          <w:lang w:val="lv-LV"/>
        </w:rPr>
        <w:t> </w:t>
      </w:r>
      <w:r w:rsidR="00F90F90">
        <w:rPr>
          <w:rFonts w:ascii="Times New Roman" w:hAnsi="Times New Roman" w:cs="Times New Roman"/>
          <w:sz w:val="24"/>
          <w:szCs w:val="24"/>
          <w:lang w:val="lv-LV"/>
        </w:rPr>
        <w:t>%</w:t>
      </w:r>
      <w:r w:rsidR="00224E16" w:rsidRPr="007B4062">
        <w:rPr>
          <w:rFonts w:ascii="Times New Roman" w:hAnsi="Times New Roman" w:cs="Times New Roman"/>
          <w:sz w:val="24"/>
          <w:szCs w:val="24"/>
          <w:lang w:val="lv-LV"/>
        </w:rPr>
        <w:t xml:space="preserve"> apmērā) (</w:t>
      </w:r>
      <w:r w:rsidR="00224E16" w:rsidRPr="007B4062">
        <w:rPr>
          <w:rFonts w:ascii="Times New Roman" w:hAnsi="Times New Roman" w:cs="Times New Roman"/>
          <w:i/>
          <w:iCs/>
          <w:sz w:val="24"/>
          <w:szCs w:val="24"/>
          <w:lang w:val="lv-LV"/>
        </w:rPr>
        <w:t>minētā sprieduma 92.</w:t>
      </w:r>
      <w:r w:rsidR="00224E16" w:rsidRPr="007B4062">
        <w:rPr>
          <w:rFonts w:ascii="Times New Roman" w:eastAsia="Times New Roman" w:hAnsi="Times New Roman" w:cs="Times New Roman"/>
          <w:i/>
          <w:iCs/>
          <w:sz w:val="24"/>
          <w:szCs w:val="24"/>
          <w:lang w:val="lv-LV" w:eastAsia="lv-LV"/>
        </w:rPr>
        <w:t>–</w:t>
      </w:r>
      <w:r w:rsidR="00224E16" w:rsidRPr="007B4062">
        <w:rPr>
          <w:rFonts w:ascii="Times New Roman" w:hAnsi="Times New Roman" w:cs="Times New Roman"/>
          <w:i/>
          <w:iCs/>
          <w:sz w:val="24"/>
          <w:szCs w:val="24"/>
          <w:lang w:val="lv-LV"/>
        </w:rPr>
        <w:t>100.punkts</w:t>
      </w:r>
      <w:r w:rsidR="00224E16" w:rsidRPr="007B4062">
        <w:rPr>
          <w:rFonts w:ascii="Times New Roman" w:hAnsi="Times New Roman" w:cs="Times New Roman"/>
          <w:sz w:val="24"/>
          <w:szCs w:val="24"/>
          <w:lang w:val="lv-LV"/>
        </w:rPr>
        <w:t>)</w:t>
      </w:r>
      <w:r w:rsidR="005D5A09" w:rsidRPr="007B4062">
        <w:rPr>
          <w:rFonts w:ascii="Times New Roman" w:hAnsi="Times New Roman" w:cs="Times New Roman"/>
          <w:sz w:val="24"/>
          <w:szCs w:val="24"/>
          <w:lang w:val="lv-LV"/>
        </w:rPr>
        <w:t>.</w:t>
      </w:r>
      <w:r w:rsidRPr="007B4062">
        <w:rPr>
          <w:rFonts w:ascii="Times New Roman" w:hAnsi="Times New Roman" w:cs="Times New Roman"/>
          <w:sz w:val="24"/>
          <w:szCs w:val="24"/>
          <w:lang w:val="lv-LV"/>
        </w:rPr>
        <w:t xml:space="preserve"> </w:t>
      </w:r>
    </w:p>
    <w:p w14:paraId="7BA27322" w14:textId="616B199A" w:rsidR="000668CD" w:rsidRPr="007B4062" w:rsidRDefault="000668CD" w:rsidP="003F1B18">
      <w:pPr>
        <w:spacing w:after="0"/>
        <w:ind w:firstLine="567"/>
        <w:jc w:val="both"/>
        <w:rPr>
          <w:rFonts w:ascii="Times New Roman" w:hAnsi="Times New Roman" w:cs="Times New Roman"/>
          <w:sz w:val="24"/>
          <w:szCs w:val="24"/>
          <w:lang w:val="lv-LV"/>
        </w:rPr>
      </w:pPr>
    </w:p>
    <w:p w14:paraId="5AEC95D4" w14:textId="6D0AF374" w:rsidR="00830FF6" w:rsidRPr="007B4062" w:rsidRDefault="000668CD"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[37]</w:t>
      </w:r>
      <w:r w:rsidR="00105837">
        <w:rPr>
          <w:rFonts w:ascii="Times New Roman" w:hAnsi="Times New Roman" w:cs="Times New Roman"/>
          <w:sz w:val="24"/>
          <w:szCs w:val="24"/>
          <w:lang w:val="lv-LV"/>
        </w:rPr>
        <w:t> </w:t>
      </w:r>
      <w:r w:rsidRPr="007B4062">
        <w:rPr>
          <w:rFonts w:ascii="Times New Roman" w:hAnsi="Times New Roman" w:cs="Times New Roman"/>
          <w:sz w:val="24"/>
          <w:szCs w:val="24"/>
          <w:lang w:val="lv-LV"/>
        </w:rPr>
        <w:t>Senāts papildus norāda: pat ja pieļautā pārkāpuma būtiskumam būtu nozīme zaudējumu atlīdzināšanā, pasūtītājas</w:t>
      </w:r>
      <w:r w:rsidR="00830FF6" w:rsidRPr="007B4062">
        <w:rPr>
          <w:rFonts w:ascii="Times New Roman" w:hAnsi="Times New Roman" w:cs="Times New Roman"/>
          <w:sz w:val="24"/>
          <w:szCs w:val="24"/>
          <w:lang w:val="lv-LV"/>
        </w:rPr>
        <w:t xml:space="preserve"> kasācijas sūdzībā</w:t>
      </w:r>
      <w:r w:rsidRPr="007B4062">
        <w:rPr>
          <w:rFonts w:ascii="Times New Roman" w:hAnsi="Times New Roman" w:cs="Times New Roman"/>
          <w:sz w:val="24"/>
          <w:szCs w:val="24"/>
          <w:lang w:val="lv-LV"/>
        </w:rPr>
        <w:t xml:space="preserve"> norādītie apsvērumi nav pietiekami, lai uzskatītu, ka pasūtītājas pieļautais pārkāpums vērtējams kā nebūtisks.</w:t>
      </w:r>
    </w:p>
    <w:p w14:paraId="7D6881BA" w14:textId="791C85AD" w:rsidR="00AF7E8D" w:rsidRPr="007B4062" w:rsidRDefault="001F0E9D" w:rsidP="003F1B18">
      <w:pPr>
        <w:spacing w:after="0"/>
        <w:ind w:firstLine="567"/>
        <w:jc w:val="both"/>
        <w:rPr>
          <w:rFonts w:asciiTheme="majorBidi" w:hAnsiTheme="majorBidi" w:cstheme="majorBidi"/>
          <w:sz w:val="24"/>
          <w:szCs w:val="24"/>
          <w:lang w:val="lv-LV"/>
        </w:rPr>
      </w:pPr>
      <w:r w:rsidRPr="007B4062">
        <w:rPr>
          <w:rFonts w:asciiTheme="majorBidi" w:hAnsiTheme="majorBidi" w:cstheme="majorBidi"/>
          <w:sz w:val="24"/>
          <w:szCs w:val="24"/>
          <w:lang w:val="lv-LV"/>
        </w:rPr>
        <w:t xml:space="preserve">Pasūtītāja, argumentējot, kāpēc tās norādītie apstākļi liecina, ka tās pārkāpums nav būtisks, ir atsaukusies uz </w:t>
      </w:r>
      <w:r w:rsidR="00726980">
        <w:rPr>
          <w:rFonts w:asciiTheme="majorBidi" w:hAnsiTheme="majorBidi" w:cstheme="majorBidi"/>
          <w:sz w:val="24"/>
          <w:szCs w:val="24"/>
          <w:lang w:val="lv-LV"/>
        </w:rPr>
        <w:t xml:space="preserve">spriedumā </w:t>
      </w:r>
      <w:r w:rsidR="00726980" w:rsidRPr="00726980">
        <w:rPr>
          <w:rFonts w:ascii="Times New Roman" w:hAnsi="Times New Roman" w:cs="Times New Roman"/>
          <w:sz w:val="24"/>
          <w:szCs w:val="24"/>
          <w:lang w:val="lv-LV"/>
        </w:rPr>
        <w:t>lietās C-46/93 un C-48/93</w:t>
      </w:r>
      <w:r w:rsidR="00116612" w:rsidRPr="007B4062">
        <w:rPr>
          <w:rFonts w:asciiTheme="majorBidi" w:hAnsiTheme="majorBidi" w:cstheme="majorBidi"/>
          <w:sz w:val="24"/>
          <w:szCs w:val="24"/>
          <w:lang w:val="lv-LV"/>
        </w:rPr>
        <w:t xml:space="preserve"> </w:t>
      </w:r>
      <w:r w:rsidR="00D43C55" w:rsidRPr="007B4062">
        <w:rPr>
          <w:rFonts w:asciiTheme="majorBidi" w:hAnsiTheme="majorBidi" w:cstheme="majorBidi"/>
          <w:sz w:val="24"/>
          <w:szCs w:val="24"/>
          <w:lang w:val="lv-LV"/>
        </w:rPr>
        <w:t xml:space="preserve">norādītajiem </w:t>
      </w:r>
      <w:r w:rsidR="005765CF" w:rsidRPr="007B4062">
        <w:rPr>
          <w:rFonts w:asciiTheme="majorBidi" w:hAnsiTheme="majorBidi" w:cstheme="majorBidi"/>
          <w:sz w:val="24"/>
          <w:szCs w:val="24"/>
          <w:lang w:val="lv-LV"/>
        </w:rPr>
        <w:t>kritērijiem</w:t>
      </w:r>
      <w:r w:rsidR="00D43C55" w:rsidRPr="007B4062">
        <w:rPr>
          <w:rFonts w:asciiTheme="majorBidi" w:hAnsiTheme="majorBidi" w:cstheme="majorBidi"/>
          <w:sz w:val="24"/>
          <w:szCs w:val="24"/>
          <w:lang w:val="lv-LV"/>
        </w:rPr>
        <w:t>, kas vērtējami, lai secinātu, vai iestādes pieļautais Eiropas Savienības tiesību pārkāpums ir būtisks. Proti, vai pārkāptā norma ir skaidra un precīza, vai tā iestādei paredz plašu rīcības brīvību, vai iestāde acīmredzami un rupji ir pārkāpusi savas rīcības brīvības robežas</w:t>
      </w:r>
      <w:r w:rsidR="0011288F" w:rsidRPr="007B4062">
        <w:rPr>
          <w:rFonts w:asciiTheme="majorBidi" w:hAnsiTheme="majorBidi" w:cstheme="majorBidi"/>
          <w:sz w:val="24"/>
          <w:szCs w:val="24"/>
          <w:lang w:val="lv-LV"/>
        </w:rPr>
        <w:t xml:space="preserve"> un vai pārkāpuma un kaitējuma pamatā ir nodoms vai nolaidība (</w:t>
      </w:r>
      <w:r w:rsidR="0011288F" w:rsidRPr="007B4062">
        <w:rPr>
          <w:rFonts w:asciiTheme="majorBidi" w:hAnsiTheme="majorBidi" w:cstheme="majorBidi"/>
          <w:i/>
          <w:iCs/>
          <w:sz w:val="24"/>
          <w:szCs w:val="24"/>
          <w:lang w:val="lv-LV"/>
        </w:rPr>
        <w:t>minētā sprieduma 55.–56.punkts</w:t>
      </w:r>
      <w:r w:rsidR="0011288F" w:rsidRPr="007B4062">
        <w:rPr>
          <w:rFonts w:asciiTheme="majorBidi" w:hAnsiTheme="majorBidi" w:cstheme="majorBidi"/>
          <w:sz w:val="24"/>
          <w:szCs w:val="24"/>
          <w:lang w:val="lv-LV"/>
        </w:rPr>
        <w:t>).</w:t>
      </w:r>
      <w:r w:rsidR="00850C1F" w:rsidRPr="007B4062">
        <w:rPr>
          <w:rFonts w:asciiTheme="majorBidi" w:hAnsiTheme="majorBidi" w:cstheme="majorBidi"/>
          <w:sz w:val="24"/>
          <w:szCs w:val="24"/>
          <w:lang w:val="lv-LV"/>
        </w:rPr>
        <w:t xml:space="preserve"> </w:t>
      </w:r>
      <w:r w:rsidR="005765CF" w:rsidRPr="007B4062">
        <w:rPr>
          <w:rFonts w:asciiTheme="majorBidi" w:hAnsiTheme="majorBidi" w:cstheme="majorBidi"/>
          <w:sz w:val="24"/>
          <w:szCs w:val="24"/>
          <w:lang w:val="lv-LV"/>
        </w:rPr>
        <w:t>Šajā sakarā</w:t>
      </w:r>
      <w:r w:rsidR="00850C1F" w:rsidRPr="007B4062">
        <w:rPr>
          <w:rFonts w:asciiTheme="majorBidi" w:hAnsiTheme="majorBidi" w:cstheme="majorBidi"/>
          <w:sz w:val="24"/>
          <w:szCs w:val="24"/>
          <w:lang w:val="lv-LV"/>
        </w:rPr>
        <w:t xml:space="preserve">, pirmkārt, </w:t>
      </w:r>
      <w:r w:rsidR="00341309" w:rsidRPr="007B4062">
        <w:rPr>
          <w:rFonts w:asciiTheme="majorBidi" w:hAnsiTheme="majorBidi" w:cstheme="majorBidi"/>
          <w:sz w:val="24"/>
          <w:szCs w:val="24"/>
          <w:lang w:val="lv-LV"/>
        </w:rPr>
        <w:t>ņemams vērā</w:t>
      </w:r>
      <w:r w:rsidR="00850C1F" w:rsidRPr="007B4062">
        <w:rPr>
          <w:rFonts w:asciiTheme="majorBidi" w:hAnsiTheme="majorBidi" w:cstheme="majorBidi"/>
          <w:sz w:val="24"/>
          <w:szCs w:val="24"/>
          <w:lang w:val="lv-LV"/>
        </w:rPr>
        <w:t xml:space="preserve">, ka minētajā </w:t>
      </w:r>
      <w:r w:rsidR="005765CF" w:rsidRPr="007B4062">
        <w:rPr>
          <w:rFonts w:asciiTheme="majorBidi" w:hAnsiTheme="majorBidi" w:cstheme="majorBidi"/>
          <w:sz w:val="24"/>
          <w:szCs w:val="24"/>
          <w:lang w:val="lv-LV"/>
        </w:rPr>
        <w:t xml:space="preserve">Eiropas Savienības Tiesas </w:t>
      </w:r>
      <w:r w:rsidR="00850C1F" w:rsidRPr="007B4062">
        <w:rPr>
          <w:rFonts w:asciiTheme="majorBidi" w:hAnsiTheme="majorBidi" w:cstheme="majorBidi"/>
          <w:sz w:val="24"/>
          <w:szCs w:val="24"/>
          <w:lang w:val="lv-LV"/>
        </w:rPr>
        <w:t>spriedumā netika vērtēt</w:t>
      </w:r>
      <w:r w:rsidR="00B404C2" w:rsidRPr="007B4062">
        <w:rPr>
          <w:rFonts w:asciiTheme="majorBidi" w:hAnsiTheme="majorBidi" w:cstheme="majorBidi"/>
          <w:sz w:val="24"/>
          <w:szCs w:val="24"/>
          <w:lang w:val="lv-LV"/>
        </w:rPr>
        <w:t xml:space="preserve">s tieši publisko iepirkumu regulējums, tāpēc ne visas spriedumā norādītās atziņas var tikt automātiski piemērotas arī publisko iepirkumu lietās. </w:t>
      </w:r>
      <w:r w:rsidR="005765CF" w:rsidRPr="007B4062">
        <w:rPr>
          <w:rFonts w:asciiTheme="majorBidi" w:hAnsiTheme="majorBidi" w:cstheme="majorBidi"/>
          <w:sz w:val="24"/>
          <w:szCs w:val="24"/>
          <w:lang w:val="lv-LV"/>
        </w:rPr>
        <w:t>K</w:t>
      </w:r>
      <w:r w:rsidR="00B404C2" w:rsidRPr="007B4062">
        <w:rPr>
          <w:rFonts w:asciiTheme="majorBidi" w:hAnsiTheme="majorBidi" w:cstheme="majorBidi"/>
          <w:sz w:val="24"/>
          <w:szCs w:val="24"/>
          <w:lang w:val="lv-LV"/>
        </w:rPr>
        <w:t xml:space="preserve">ā jau </w:t>
      </w:r>
      <w:r w:rsidR="00EE031B" w:rsidRPr="007B4062">
        <w:rPr>
          <w:rFonts w:asciiTheme="majorBidi" w:hAnsiTheme="majorBidi" w:cstheme="majorBidi"/>
          <w:sz w:val="24"/>
          <w:szCs w:val="24"/>
          <w:lang w:val="lv-LV"/>
        </w:rPr>
        <w:t>Senāts norādīja šā sprieduma 35.punktā,</w:t>
      </w:r>
      <w:r w:rsidR="00B404C2" w:rsidRPr="007B4062">
        <w:rPr>
          <w:rFonts w:asciiTheme="majorBidi" w:hAnsiTheme="majorBidi" w:cstheme="majorBidi"/>
          <w:sz w:val="24"/>
          <w:szCs w:val="24"/>
          <w:lang w:val="lv-LV"/>
        </w:rPr>
        <w:t xml:space="preserve"> Eiropas Savienības Tiesa spriedumā lietā </w:t>
      </w:r>
      <w:r w:rsidR="00BD7F17">
        <w:rPr>
          <w:rFonts w:asciiTheme="majorBidi" w:hAnsiTheme="majorBidi" w:cstheme="majorBidi"/>
          <w:sz w:val="24"/>
          <w:szCs w:val="24"/>
          <w:lang w:val="lv-LV"/>
        </w:rPr>
        <w:t>„</w:t>
      </w:r>
      <w:r w:rsidR="00B404C2" w:rsidRPr="0045627A">
        <w:rPr>
          <w:rFonts w:asciiTheme="majorBidi" w:hAnsiTheme="majorBidi" w:cstheme="majorBidi"/>
          <w:sz w:val="24"/>
          <w:szCs w:val="24"/>
          <w:lang w:val="lv-LV"/>
        </w:rPr>
        <w:t>Strabag</w:t>
      </w:r>
      <w:r w:rsidR="00BD7F17">
        <w:rPr>
          <w:rFonts w:asciiTheme="majorBidi" w:hAnsiTheme="majorBidi" w:cstheme="majorBidi"/>
          <w:sz w:val="24"/>
          <w:szCs w:val="24"/>
          <w:lang w:val="lv-LV"/>
        </w:rPr>
        <w:t>”</w:t>
      </w:r>
      <w:r w:rsidR="00B404C2" w:rsidRPr="007B4062">
        <w:rPr>
          <w:rFonts w:asciiTheme="majorBidi" w:hAnsiTheme="majorBidi" w:cstheme="majorBidi"/>
          <w:sz w:val="24"/>
          <w:szCs w:val="24"/>
          <w:lang w:val="lv-LV"/>
        </w:rPr>
        <w:t xml:space="preserve"> atzina, ka </w:t>
      </w:r>
      <w:r w:rsidR="00341309" w:rsidRPr="007B4062">
        <w:rPr>
          <w:rFonts w:asciiTheme="majorBidi" w:hAnsiTheme="majorBidi" w:cstheme="majorBidi"/>
          <w:sz w:val="24"/>
          <w:szCs w:val="24"/>
          <w:lang w:val="lv-LV"/>
        </w:rPr>
        <w:t xml:space="preserve">publisko iepirkumu jomā </w:t>
      </w:r>
      <w:r w:rsidR="005C5EFF" w:rsidRPr="007B4062">
        <w:rPr>
          <w:rFonts w:asciiTheme="majorBidi" w:hAnsiTheme="majorBidi" w:cstheme="majorBidi"/>
          <w:sz w:val="24"/>
          <w:szCs w:val="24"/>
          <w:lang w:val="lv-LV"/>
        </w:rPr>
        <w:t>priekšno</w:t>
      </w:r>
      <w:r w:rsidR="005765CF" w:rsidRPr="007B4062">
        <w:rPr>
          <w:rFonts w:asciiTheme="majorBidi" w:hAnsiTheme="majorBidi" w:cstheme="majorBidi"/>
          <w:sz w:val="24"/>
          <w:szCs w:val="24"/>
          <w:lang w:val="lv-LV"/>
        </w:rPr>
        <w:t>teikums</w:t>
      </w:r>
      <w:r w:rsidR="005C5EFF" w:rsidRPr="007B4062">
        <w:rPr>
          <w:rFonts w:asciiTheme="majorBidi" w:hAnsiTheme="majorBidi" w:cstheme="majorBidi"/>
          <w:sz w:val="24"/>
          <w:szCs w:val="24"/>
          <w:lang w:val="lv-LV"/>
        </w:rPr>
        <w:t xml:space="preserve"> zaudējumu atlīdzināšanai nav apstāklis, ka iestāde tiešām ir vainojama pārkāpuma pieļaušanā</w:t>
      </w:r>
      <w:r w:rsidR="0020651D" w:rsidRPr="007B4062">
        <w:rPr>
          <w:rFonts w:asciiTheme="majorBidi" w:hAnsiTheme="majorBidi" w:cstheme="majorBidi"/>
          <w:sz w:val="24"/>
          <w:szCs w:val="24"/>
          <w:lang w:val="lv-LV"/>
        </w:rPr>
        <w:t xml:space="preserve"> (tātad priekšno</w:t>
      </w:r>
      <w:r w:rsidR="005765CF" w:rsidRPr="007B4062">
        <w:rPr>
          <w:rFonts w:asciiTheme="majorBidi" w:hAnsiTheme="majorBidi" w:cstheme="majorBidi"/>
          <w:sz w:val="24"/>
          <w:szCs w:val="24"/>
          <w:lang w:val="lv-LV"/>
        </w:rPr>
        <w:t>teikums</w:t>
      </w:r>
      <w:r w:rsidR="0020651D" w:rsidRPr="007B4062">
        <w:rPr>
          <w:rFonts w:asciiTheme="majorBidi" w:hAnsiTheme="majorBidi" w:cstheme="majorBidi"/>
          <w:sz w:val="24"/>
          <w:szCs w:val="24"/>
          <w:lang w:val="lv-LV"/>
        </w:rPr>
        <w:t xml:space="preserve"> zaudējumu atlīdzināšanai nav secinājums, ka iestāde bijusi nolaidīga un tai ir bijis apzināts nodoms pieļaut konkrēto pārkāpumu)</w:t>
      </w:r>
      <w:r w:rsidR="005C5EFF" w:rsidRPr="007B4062">
        <w:rPr>
          <w:rFonts w:asciiTheme="majorBidi" w:hAnsiTheme="majorBidi" w:cstheme="majorBidi"/>
          <w:sz w:val="24"/>
          <w:szCs w:val="24"/>
          <w:lang w:val="lv-LV"/>
        </w:rPr>
        <w:t>. Otrkārt, Senāts arī nesaskata, ka spriedumā</w:t>
      </w:r>
      <w:r w:rsidR="00726980">
        <w:rPr>
          <w:rFonts w:asciiTheme="majorBidi" w:hAnsiTheme="majorBidi" w:cstheme="majorBidi"/>
          <w:sz w:val="24"/>
          <w:szCs w:val="24"/>
          <w:lang w:val="lv-LV"/>
        </w:rPr>
        <w:t xml:space="preserve"> </w:t>
      </w:r>
      <w:r w:rsidR="00726980" w:rsidRPr="00726980">
        <w:rPr>
          <w:rFonts w:ascii="Times New Roman" w:hAnsi="Times New Roman" w:cs="Times New Roman"/>
          <w:sz w:val="24"/>
          <w:szCs w:val="24"/>
          <w:lang w:val="lv-LV"/>
        </w:rPr>
        <w:t>lietās C-46/93 un C-48/93</w:t>
      </w:r>
      <w:r w:rsidR="00726980" w:rsidRPr="007B4062">
        <w:rPr>
          <w:rFonts w:asciiTheme="majorBidi" w:hAnsiTheme="majorBidi" w:cstheme="majorBidi"/>
          <w:sz w:val="24"/>
          <w:szCs w:val="24"/>
          <w:lang w:val="lv-LV"/>
        </w:rPr>
        <w:t xml:space="preserve"> </w:t>
      </w:r>
      <w:r w:rsidR="000951F9" w:rsidRPr="007B4062">
        <w:rPr>
          <w:rFonts w:asciiTheme="majorBidi" w:hAnsiTheme="majorBidi" w:cstheme="majorBidi"/>
          <w:sz w:val="24"/>
          <w:szCs w:val="24"/>
          <w:lang w:val="lv-LV"/>
        </w:rPr>
        <w:t xml:space="preserve"> norādītie </w:t>
      </w:r>
      <w:r w:rsidR="005765CF" w:rsidRPr="007B4062">
        <w:rPr>
          <w:rFonts w:asciiTheme="majorBidi" w:hAnsiTheme="majorBidi" w:cstheme="majorBidi"/>
          <w:sz w:val="24"/>
          <w:szCs w:val="24"/>
          <w:lang w:val="lv-LV"/>
        </w:rPr>
        <w:t>kritēriji</w:t>
      </w:r>
      <w:r w:rsidR="00AF7E8D" w:rsidRPr="007B4062">
        <w:rPr>
          <w:rFonts w:asciiTheme="majorBidi" w:hAnsiTheme="majorBidi" w:cstheme="majorBidi"/>
          <w:sz w:val="24"/>
          <w:szCs w:val="24"/>
          <w:lang w:val="lv-LV"/>
        </w:rPr>
        <w:t xml:space="preserve"> </w:t>
      </w:r>
      <w:r w:rsidR="005765CF" w:rsidRPr="007B4062">
        <w:rPr>
          <w:rFonts w:asciiTheme="majorBidi" w:hAnsiTheme="majorBidi" w:cstheme="majorBidi"/>
          <w:sz w:val="24"/>
          <w:szCs w:val="24"/>
          <w:lang w:val="lv-LV"/>
        </w:rPr>
        <w:t xml:space="preserve">ir izsmeļoši, proti, vienīgie, </w:t>
      </w:r>
      <w:r w:rsidR="00AF7E8D" w:rsidRPr="007B4062">
        <w:rPr>
          <w:rFonts w:asciiTheme="majorBidi" w:hAnsiTheme="majorBidi" w:cstheme="majorBidi"/>
          <w:sz w:val="24"/>
          <w:szCs w:val="24"/>
          <w:lang w:val="lv-LV"/>
        </w:rPr>
        <w:t>kas ņemami vērā, lai novērtētu, vai iestādes pieļautais pārkāpums ir būtisks.</w:t>
      </w:r>
      <w:r w:rsidR="00341309" w:rsidRPr="007B4062">
        <w:rPr>
          <w:rFonts w:asciiTheme="majorBidi" w:hAnsiTheme="majorBidi" w:cstheme="majorBidi"/>
          <w:sz w:val="24"/>
          <w:szCs w:val="24"/>
          <w:lang w:val="lv-LV"/>
        </w:rPr>
        <w:t xml:space="preserve"> </w:t>
      </w:r>
      <w:r w:rsidR="007E41AE" w:rsidRPr="007B4062">
        <w:rPr>
          <w:rFonts w:asciiTheme="majorBidi" w:hAnsiTheme="majorBidi" w:cstheme="majorBidi"/>
          <w:sz w:val="24"/>
          <w:szCs w:val="24"/>
          <w:lang w:val="lv-LV"/>
        </w:rPr>
        <w:t>Lai nonāktu pie secinājuma, vai iestādes pieļautais pārkāpums ir būtisks, ir jāvērtē katra konkrētā gadījuma individuālie apstākļi, un</w:t>
      </w:r>
      <w:r w:rsidR="00932D66" w:rsidRPr="007B4062">
        <w:rPr>
          <w:rFonts w:asciiTheme="majorBidi" w:hAnsiTheme="majorBidi" w:cstheme="majorBidi"/>
          <w:sz w:val="24"/>
          <w:szCs w:val="24"/>
          <w:lang w:val="lv-LV"/>
        </w:rPr>
        <w:t xml:space="preserve">, kā tas faktiski arī izriet no norādītā sprieduma 58.punkta, </w:t>
      </w:r>
      <w:r w:rsidR="007E41AE" w:rsidRPr="007B4062">
        <w:rPr>
          <w:rFonts w:asciiTheme="majorBidi" w:hAnsiTheme="majorBidi" w:cstheme="majorBidi"/>
          <w:sz w:val="24"/>
          <w:szCs w:val="24"/>
          <w:lang w:val="lv-LV"/>
        </w:rPr>
        <w:t>tie var ietvert arī citu, minētajā spriedumā neminētu apstākļu novērtējumu, piemēram, to, kādas sekas ir atstājis iestādes pieļautais pārkāpums.</w:t>
      </w:r>
    </w:p>
    <w:p w14:paraId="66DF3FF8" w14:textId="1CED984E" w:rsidR="000668CD" w:rsidRPr="007B4062" w:rsidRDefault="007E41AE" w:rsidP="003F1B18">
      <w:pPr>
        <w:spacing w:after="0"/>
        <w:ind w:firstLine="567"/>
        <w:jc w:val="both"/>
        <w:rPr>
          <w:rFonts w:ascii="Times New Roman" w:hAnsi="Times New Roman" w:cs="Times New Roman"/>
          <w:sz w:val="24"/>
          <w:szCs w:val="24"/>
          <w:lang w:val="lv-LV"/>
        </w:rPr>
      </w:pPr>
      <w:r w:rsidRPr="007B4062">
        <w:rPr>
          <w:rFonts w:asciiTheme="majorBidi" w:hAnsiTheme="majorBidi" w:cstheme="majorBidi"/>
          <w:sz w:val="24"/>
          <w:szCs w:val="24"/>
          <w:lang w:val="lv-LV"/>
        </w:rPr>
        <w:t>Konkrētajā gadījumā</w:t>
      </w:r>
      <w:r w:rsidR="0095366A" w:rsidRPr="007B4062">
        <w:rPr>
          <w:rFonts w:asciiTheme="majorBidi" w:hAnsiTheme="majorBidi" w:cstheme="majorBidi"/>
          <w:sz w:val="24"/>
          <w:szCs w:val="24"/>
          <w:lang w:val="lv-LV"/>
        </w:rPr>
        <w:t xml:space="preserve"> </w:t>
      </w:r>
      <w:r w:rsidR="005765CF" w:rsidRPr="007B4062">
        <w:rPr>
          <w:rFonts w:asciiTheme="majorBidi" w:hAnsiTheme="majorBidi" w:cstheme="majorBidi"/>
          <w:sz w:val="24"/>
          <w:szCs w:val="24"/>
          <w:lang w:val="lv-LV"/>
        </w:rPr>
        <w:t>arī konstatējams</w:t>
      </w:r>
      <w:r w:rsidR="000668CD" w:rsidRPr="007B4062">
        <w:rPr>
          <w:rFonts w:ascii="Times New Roman" w:hAnsi="Times New Roman" w:cs="Times New Roman"/>
          <w:sz w:val="24"/>
          <w:szCs w:val="24"/>
          <w:lang w:val="lv-LV"/>
        </w:rPr>
        <w:t>, ka pasūtītāja</w:t>
      </w:r>
      <w:r w:rsidR="00491EA6" w:rsidRPr="007B4062">
        <w:rPr>
          <w:rFonts w:ascii="Times New Roman" w:hAnsi="Times New Roman" w:cs="Times New Roman"/>
          <w:sz w:val="24"/>
          <w:szCs w:val="24"/>
          <w:lang w:val="lv-LV"/>
        </w:rPr>
        <w:t xml:space="preserve"> </w:t>
      </w:r>
      <w:r w:rsidR="000668CD" w:rsidRPr="007B4062">
        <w:rPr>
          <w:rFonts w:ascii="Times New Roman" w:hAnsi="Times New Roman" w:cs="Times New Roman"/>
          <w:sz w:val="24"/>
          <w:szCs w:val="24"/>
          <w:lang w:val="lv-LV"/>
        </w:rPr>
        <w:t>pieļāva tādu</w:t>
      </w:r>
      <w:r w:rsidR="00932D66" w:rsidRPr="007B4062">
        <w:rPr>
          <w:rFonts w:ascii="Times New Roman" w:hAnsi="Times New Roman" w:cs="Times New Roman"/>
          <w:sz w:val="24"/>
          <w:szCs w:val="24"/>
          <w:lang w:val="lv-LV"/>
        </w:rPr>
        <w:t xml:space="preserve"> pārkāpumu, kurš </w:t>
      </w:r>
      <w:r w:rsidR="00932D66" w:rsidRPr="007B4062">
        <w:rPr>
          <w:rFonts w:asciiTheme="majorBidi" w:hAnsiTheme="majorBidi" w:cstheme="majorBidi"/>
          <w:sz w:val="24"/>
          <w:szCs w:val="24"/>
          <w:lang w:val="lv-LV"/>
        </w:rPr>
        <w:t xml:space="preserve">spriedumā </w:t>
      </w:r>
      <w:r w:rsidR="00726980" w:rsidRPr="00726980">
        <w:rPr>
          <w:rFonts w:ascii="Times New Roman" w:hAnsi="Times New Roman" w:cs="Times New Roman"/>
          <w:sz w:val="24"/>
          <w:szCs w:val="24"/>
          <w:lang w:val="lv-LV"/>
        </w:rPr>
        <w:t>lietās C-46/93 un C-48/93</w:t>
      </w:r>
      <w:r w:rsidR="00726980" w:rsidRPr="007B4062">
        <w:rPr>
          <w:rFonts w:asciiTheme="majorBidi" w:hAnsiTheme="majorBidi" w:cstheme="majorBidi"/>
          <w:sz w:val="24"/>
          <w:szCs w:val="24"/>
          <w:lang w:val="lv-LV"/>
        </w:rPr>
        <w:t xml:space="preserve"> </w:t>
      </w:r>
      <w:r w:rsidR="00932D66" w:rsidRPr="007B4062">
        <w:rPr>
          <w:rFonts w:asciiTheme="majorBidi" w:hAnsiTheme="majorBidi" w:cstheme="majorBidi"/>
          <w:i/>
          <w:iCs/>
          <w:sz w:val="24"/>
          <w:szCs w:val="24"/>
          <w:lang w:val="lv-LV"/>
        </w:rPr>
        <w:t xml:space="preserve"> </w:t>
      </w:r>
      <w:r w:rsidR="00932D66" w:rsidRPr="007B4062">
        <w:rPr>
          <w:rFonts w:asciiTheme="majorBidi" w:hAnsiTheme="majorBidi" w:cstheme="majorBidi"/>
          <w:sz w:val="24"/>
          <w:szCs w:val="24"/>
          <w:lang w:val="lv-LV"/>
        </w:rPr>
        <w:t>norādīts kā izšķirošs</w:t>
      </w:r>
      <w:r w:rsidR="00491EA6" w:rsidRPr="007B4062">
        <w:rPr>
          <w:rFonts w:asciiTheme="majorBidi" w:hAnsiTheme="majorBidi" w:cstheme="majorBidi"/>
          <w:sz w:val="24"/>
          <w:szCs w:val="24"/>
          <w:lang w:val="lv-LV"/>
        </w:rPr>
        <w:t xml:space="preserve"> vērtējumā, vai iestādes pieļautais pārkāpums ir būtisks</w:t>
      </w:r>
      <w:r w:rsidR="00AB5492">
        <w:rPr>
          <w:rFonts w:asciiTheme="majorBidi" w:hAnsiTheme="majorBidi" w:cstheme="majorBidi"/>
          <w:sz w:val="24"/>
          <w:szCs w:val="24"/>
          <w:lang w:val="lv-LV"/>
        </w:rPr>
        <w:t>,</w:t>
      </w:r>
      <w:r w:rsidR="00491EA6" w:rsidRPr="007B4062">
        <w:rPr>
          <w:rFonts w:asciiTheme="majorBidi" w:hAnsiTheme="majorBidi" w:cstheme="majorBidi"/>
          <w:sz w:val="24"/>
          <w:szCs w:val="24"/>
          <w:lang w:val="lv-LV"/>
        </w:rPr>
        <w:t xml:space="preserve"> proti, pasūtītāja acīmredzami un rupji pārkāpa savas rīcības brīvības robežas, jo pieteicējas piedāvājumu vērtēja citādāk, nekā to paredzēja iepirkuma nolikums. Tāpat jāņem vērā, ka pasūtītājas pārkāpuma</w:t>
      </w:r>
      <w:r w:rsidR="00932D66" w:rsidRPr="007B4062">
        <w:rPr>
          <w:rFonts w:ascii="Times New Roman" w:hAnsi="Times New Roman" w:cs="Times New Roman"/>
          <w:sz w:val="24"/>
          <w:szCs w:val="24"/>
          <w:lang w:val="lv-LV"/>
        </w:rPr>
        <w:t xml:space="preserve"> </w:t>
      </w:r>
      <w:r w:rsidR="000668CD" w:rsidRPr="007B4062">
        <w:rPr>
          <w:rFonts w:ascii="Times New Roman" w:hAnsi="Times New Roman" w:cs="Times New Roman"/>
          <w:sz w:val="24"/>
          <w:szCs w:val="24"/>
          <w:lang w:val="lv-LV"/>
        </w:rPr>
        <w:t xml:space="preserve">dēļ ar spēkā stājušos tiesas spriedumu </w:t>
      </w:r>
      <w:r w:rsidR="00491EA6" w:rsidRPr="007B4062">
        <w:rPr>
          <w:rFonts w:ascii="Times New Roman" w:hAnsi="Times New Roman" w:cs="Times New Roman"/>
          <w:sz w:val="24"/>
          <w:szCs w:val="24"/>
          <w:lang w:val="lv-LV"/>
        </w:rPr>
        <w:t xml:space="preserve">tika </w:t>
      </w:r>
      <w:r w:rsidR="000668CD" w:rsidRPr="007B4062">
        <w:rPr>
          <w:rFonts w:ascii="Times New Roman" w:hAnsi="Times New Roman" w:cs="Times New Roman"/>
          <w:sz w:val="24"/>
          <w:szCs w:val="24"/>
          <w:lang w:val="lv-LV"/>
        </w:rPr>
        <w:t xml:space="preserve">atzīts par prettiesisku pasūtītājas lēmums par konkrētā iepirkuma rezultātiem. Tātad pasūtītājas pieļautais pārkāpums noveda pie prettiesiska iepirkuma procedūras noslēguma, turklāt, kā konstatēts šajā lietā, pasūtītājas prettiesiskais lēmums novedis arī pie tā, ka līdz ar to par uzvarētāju iepirkumā tika atzīta cita persona, nevis tā, kura atbilstoši iepirkuma nolikumam bija jāatzīst par uzvarētāju (proti, pieteicēja). </w:t>
      </w:r>
      <w:r w:rsidR="00C36067" w:rsidRPr="007B4062">
        <w:rPr>
          <w:rFonts w:ascii="Times New Roman" w:hAnsi="Times New Roman" w:cs="Times New Roman"/>
          <w:sz w:val="24"/>
          <w:szCs w:val="24"/>
          <w:lang w:val="lv-LV"/>
        </w:rPr>
        <w:t xml:space="preserve">Šādi apstākļi pietiekami skaidri norāda uz pasūtītājas pieļautā pārkāpuma būtiskumu, un kasācijas sūdzībā nav tādu argumentu, kas liktu nonākt pie pretēja secinājuma. </w:t>
      </w:r>
      <w:r w:rsidR="00532AE6" w:rsidRPr="007B4062">
        <w:rPr>
          <w:rFonts w:ascii="Times New Roman" w:hAnsi="Times New Roman" w:cs="Times New Roman"/>
          <w:sz w:val="24"/>
          <w:szCs w:val="24"/>
          <w:lang w:val="lv-LV"/>
        </w:rPr>
        <w:t xml:space="preserve">Tostarp pie šāda secinājuma neliek nonākt pasūtītājas </w:t>
      </w:r>
      <w:r w:rsidR="000668CD" w:rsidRPr="007B4062">
        <w:rPr>
          <w:rFonts w:ascii="Times New Roman" w:hAnsi="Times New Roman" w:cs="Times New Roman"/>
          <w:sz w:val="24"/>
          <w:szCs w:val="24"/>
          <w:lang w:val="lv-LV"/>
        </w:rPr>
        <w:t>apgalvojums, ka pasūtītājas veiktais pieteicējas piedāvājuma novērtējums atbilda tā brīža Iepirkumu uzraudzības biroja praksei. Tas, ka pasūtītāja ir sekojusi iestādes praksei, kura tiesas veiktās kontroles rezultātā atzīta par prettiesisku, pats par sevi nevar novest pie secinājuma, ka šādas rīcības rezultātā pasūtītājas pieļautie pārkāpumi ir nebūtiski. Turklāt jāņem vērā, ka konkrētā situācija nav tāda, kurā pasūtītāja iepirkuma procedūras ietvaros būtu gribējusi rīkoties tiesiski</w:t>
      </w:r>
      <w:r w:rsidR="00E63F0D" w:rsidRPr="007B4062">
        <w:rPr>
          <w:rFonts w:ascii="Times New Roman" w:hAnsi="Times New Roman" w:cs="Times New Roman"/>
          <w:sz w:val="24"/>
          <w:szCs w:val="24"/>
          <w:lang w:val="lv-LV"/>
        </w:rPr>
        <w:t xml:space="preserve"> (būtu gribējusi vērtēt pieteicējas piedāvājumu tādu, kāds tas tika iesniegts, proti, ar atlaidi)</w:t>
      </w:r>
      <w:r w:rsidR="000668CD" w:rsidRPr="007B4062">
        <w:rPr>
          <w:rFonts w:ascii="Times New Roman" w:hAnsi="Times New Roman" w:cs="Times New Roman"/>
          <w:sz w:val="24"/>
          <w:szCs w:val="24"/>
          <w:lang w:val="lv-LV"/>
        </w:rPr>
        <w:t>, bet Iepirkumu uzraudzības birojs piespiedis to rīkoties prettiesiski. Līdz ar to pasūtītāja jautājumam par to, kāda pieteicējas piedāvājuma vērtēšanas laikā bija biroja prakse, ir piešķīrusi nepamatoti lielu nozīmi, un Senāts nesaskata pamatu no biroja noskaidrot papildu informāciju par tā strīdus piedāvājuma vērtēšanas laikā pastāvošo praksi saistībā ar pretendentu piedāvājumos norādīto atlaižu novērtējumu. Privātpersona, kurai nodarīti zaudējumi, nav vainojama pie tā, kāda bijusi iestāžu prakse, tāpēc atsauce uz iestāžu praksi nevar būt pamats privātpersonai liegt tiesības uz atlīdzinājumu par zaudējumiem, kas tai nodarīti</w:t>
      </w:r>
      <w:r w:rsidR="00B62E5F" w:rsidRPr="007B4062">
        <w:rPr>
          <w:rFonts w:ascii="Times New Roman" w:hAnsi="Times New Roman" w:cs="Times New Roman"/>
          <w:sz w:val="24"/>
          <w:szCs w:val="24"/>
          <w:lang w:val="lv-LV"/>
        </w:rPr>
        <w:t xml:space="preserve"> ar</w:t>
      </w:r>
      <w:r w:rsidR="000668CD" w:rsidRPr="007B4062">
        <w:rPr>
          <w:rFonts w:ascii="Times New Roman" w:hAnsi="Times New Roman" w:cs="Times New Roman"/>
          <w:sz w:val="24"/>
          <w:szCs w:val="24"/>
          <w:lang w:val="lv-LV"/>
        </w:rPr>
        <w:t xml:space="preserve"> iestādes prettiesisku lēmumu. </w:t>
      </w:r>
    </w:p>
    <w:p w14:paraId="0CB28AF5" w14:textId="77777777" w:rsidR="00491B86" w:rsidRPr="007B4062" w:rsidRDefault="00491B86" w:rsidP="003F1B18">
      <w:pPr>
        <w:spacing w:after="0"/>
        <w:ind w:firstLine="567"/>
        <w:jc w:val="both"/>
        <w:rPr>
          <w:rFonts w:ascii="Times New Roman" w:hAnsi="Times New Roman" w:cs="Times New Roman"/>
          <w:sz w:val="24"/>
          <w:szCs w:val="24"/>
          <w:lang w:val="lv-LV"/>
        </w:rPr>
      </w:pPr>
    </w:p>
    <w:p w14:paraId="10288D40" w14:textId="1CFBF1DE" w:rsidR="00380C7F" w:rsidRPr="007B4062" w:rsidRDefault="00380C7F" w:rsidP="003F1B18">
      <w:pPr>
        <w:pStyle w:val="Pamatteksts1"/>
        <w:spacing w:before="0" w:line="276" w:lineRule="auto"/>
        <w:jc w:val="center"/>
        <w:rPr>
          <w:b/>
          <w:bCs/>
        </w:rPr>
      </w:pPr>
      <w:r w:rsidRPr="007B4062">
        <w:rPr>
          <w:b/>
          <w:bCs/>
        </w:rPr>
        <w:t>VI</w:t>
      </w:r>
      <w:r w:rsidR="00DE0655" w:rsidRPr="007B4062">
        <w:rPr>
          <w:b/>
          <w:bCs/>
        </w:rPr>
        <w:t>I</w:t>
      </w:r>
    </w:p>
    <w:p w14:paraId="5AC4FA96" w14:textId="48052FCB" w:rsidR="00491B86" w:rsidRPr="007B4062" w:rsidRDefault="00491B86" w:rsidP="003F1B18">
      <w:pPr>
        <w:pStyle w:val="Pamatteksts1"/>
        <w:spacing w:before="0" w:line="276" w:lineRule="auto"/>
        <w:jc w:val="center"/>
        <w:rPr>
          <w:b/>
          <w:bCs/>
        </w:rPr>
      </w:pPr>
    </w:p>
    <w:p w14:paraId="6941A07F" w14:textId="4FEE2554" w:rsidR="005A498B" w:rsidRPr="007B4062" w:rsidRDefault="005A498B" w:rsidP="003F1B18">
      <w:pPr>
        <w:pStyle w:val="Heading2"/>
        <w:numPr>
          <w:ilvl w:val="0"/>
          <w:numId w:val="0"/>
        </w:numPr>
        <w:spacing w:before="0" w:beforeAutospacing="0" w:after="0" w:afterAutospacing="0" w:line="276" w:lineRule="auto"/>
        <w:ind w:firstLine="567"/>
        <w:jc w:val="both"/>
        <w:rPr>
          <w:b w:val="0"/>
          <w:bCs w:val="0"/>
          <w:sz w:val="24"/>
          <w:szCs w:val="24"/>
        </w:rPr>
      </w:pPr>
      <w:r w:rsidRPr="007B4062">
        <w:rPr>
          <w:b w:val="0"/>
          <w:bCs w:val="0"/>
          <w:sz w:val="24"/>
          <w:szCs w:val="24"/>
        </w:rPr>
        <w:t>[38]</w:t>
      </w:r>
      <w:r w:rsidR="00C65EDF">
        <w:rPr>
          <w:b w:val="0"/>
          <w:bCs w:val="0"/>
          <w:sz w:val="24"/>
          <w:szCs w:val="24"/>
        </w:rPr>
        <w:t> </w:t>
      </w:r>
      <w:r w:rsidRPr="007B4062">
        <w:rPr>
          <w:b w:val="0"/>
          <w:bCs w:val="0"/>
          <w:sz w:val="24"/>
          <w:szCs w:val="24"/>
        </w:rPr>
        <w:t>Kasatore iebilst, ka tiesa, vērtējot, vai ir pamats atlīdzināt pieteicējai ne</w:t>
      </w:r>
      <w:r w:rsidR="00320CBC">
        <w:rPr>
          <w:b w:val="0"/>
          <w:bCs w:val="0"/>
          <w:sz w:val="24"/>
          <w:szCs w:val="24"/>
        </w:rPr>
        <w:t>ie</w:t>
      </w:r>
      <w:r w:rsidRPr="007B4062">
        <w:rPr>
          <w:b w:val="0"/>
          <w:bCs w:val="0"/>
          <w:sz w:val="24"/>
          <w:szCs w:val="24"/>
        </w:rPr>
        <w:t xml:space="preserve">gūto peļņu, nav ņēmusi vērā to, ka pasūtītājas pieļautais pārkāpums neizraisīja pieteicējas dīkstāvi. </w:t>
      </w:r>
    </w:p>
    <w:p w14:paraId="15B70D11" w14:textId="7C553FE5" w:rsidR="005A498B" w:rsidRPr="007B4062" w:rsidRDefault="005A498B" w:rsidP="003F1B18">
      <w:pPr>
        <w:pStyle w:val="Heading2"/>
        <w:numPr>
          <w:ilvl w:val="0"/>
          <w:numId w:val="0"/>
        </w:numPr>
        <w:spacing w:before="0" w:beforeAutospacing="0" w:after="0" w:afterAutospacing="0" w:line="276" w:lineRule="auto"/>
        <w:ind w:firstLine="567"/>
        <w:jc w:val="both"/>
        <w:rPr>
          <w:b w:val="0"/>
          <w:bCs w:val="0"/>
          <w:sz w:val="24"/>
          <w:szCs w:val="24"/>
        </w:rPr>
      </w:pPr>
      <w:r w:rsidRPr="007B4062">
        <w:rPr>
          <w:b w:val="0"/>
          <w:bCs w:val="0"/>
          <w:sz w:val="24"/>
          <w:szCs w:val="24"/>
        </w:rPr>
        <w:t>Kasatore atsaukusies uz Atlīdzināšanas likuma 7.pantu (noteic, kas uzskatāms par zaudējumiem) un 10.pantu (cietušā līdzatbildība), Administratīvā procesa likuma 96.pantu (personas</w:t>
      </w:r>
      <w:r w:rsidRPr="007B4062">
        <w:rPr>
          <w:b w:val="0"/>
          <w:bCs w:val="0"/>
          <w:sz w:val="24"/>
          <w:szCs w:val="24"/>
          <w:shd w:val="clear" w:color="auto" w:fill="FFFFFF"/>
        </w:rPr>
        <w:t xml:space="preserve"> pienākums savu iespēju robežās samazināt savus zaudējumus)</w:t>
      </w:r>
      <w:r w:rsidRPr="007B4062">
        <w:rPr>
          <w:b w:val="0"/>
          <w:bCs w:val="0"/>
          <w:sz w:val="24"/>
          <w:szCs w:val="24"/>
        </w:rPr>
        <w:t>, kā arī Civillikuma 2225.pantu (j</w:t>
      </w:r>
      <w:r w:rsidRPr="007B4062">
        <w:rPr>
          <w:b w:val="0"/>
          <w:bCs w:val="0"/>
          <w:sz w:val="24"/>
          <w:szCs w:val="24"/>
          <w:shd w:val="clear" w:color="auto" w:fill="FFFFFF"/>
        </w:rPr>
        <w:t xml:space="preserve">a kavēklis darbu izpildei radies pasūtītāja dēļ, tad uzņēmējam tomēr jādabū pilnīga samaksa, bet šī samaksa ir samazināma, ja uzņēmējs citādā kārtā izlietojis savā labā laiku, ko viņš ieguvis, nepadarot nolīgto darbu) un </w:t>
      </w:r>
      <w:r w:rsidRPr="007B4062">
        <w:rPr>
          <w:b w:val="0"/>
          <w:bCs w:val="0"/>
          <w:sz w:val="24"/>
          <w:szCs w:val="24"/>
        </w:rPr>
        <w:t>uzsvērusi, ka ne</w:t>
      </w:r>
      <w:r w:rsidR="00320CBC">
        <w:rPr>
          <w:b w:val="0"/>
          <w:bCs w:val="0"/>
          <w:sz w:val="24"/>
          <w:szCs w:val="24"/>
        </w:rPr>
        <w:t>ie</w:t>
      </w:r>
      <w:r w:rsidRPr="007B4062">
        <w:rPr>
          <w:b w:val="0"/>
          <w:bCs w:val="0"/>
          <w:sz w:val="24"/>
          <w:szCs w:val="24"/>
        </w:rPr>
        <w:t>gūtās peļņas atlīdzināšana nedrīkstētu novest pie tā, ka pieteicēja no tā, ka pret to tika pieļauts pārkāpums, gūst lielāku mantisko labumu nekā tad, ja pārkāpums nebūtu pieļauts. Kasatore norādījusi: tā kā pieteicēja strīdus iepirkumā neieguva līguma slēgšanas tiesības, pieteicējai atbrīvojās tie resursi, kurus tā bija iecerējusi izmantot strīdus iepirkuma līguma pildīšanai, un pieteicēja šos resursus varēja izmantot citur; tā kā pieteicēja laikā pēc iepirkuma norises guva peļņu, ir prezumējams, ka tā attiecīgos resursus arī izmantoja citu pasūtījumu izpildīšanai. Tas nozīmē, ka pieteicējai faktiski nekādi zaudējumi sakarā ar to, ka tā neieguva līguma slēgšanas tiesības strīdus iepirkumā, nav nodarīti.</w:t>
      </w:r>
    </w:p>
    <w:p w14:paraId="4D698AEA" w14:textId="77306B65" w:rsidR="00AF1094" w:rsidRPr="007B4062" w:rsidRDefault="00AF1094" w:rsidP="003F1B18">
      <w:pPr>
        <w:pStyle w:val="Heading2"/>
        <w:numPr>
          <w:ilvl w:val="0"/>
          <w:numId w:val="0"/>
        </w:numPr>
        <w:spacing w:before="0" w:beforeAutospacing="0" w:after="0" w:afterAutospacing="0" w:line="276" w:lineRule="auto"/>
        <w:ind w:firstLine="567"/>
        <w:jc w:val="both"/>
        <w:rPr>
          <w:b w:val="0"/>
          <w:bCs w:val="0"/>
          <w:sz w:val="24"/>
          <w:szCs w:val="24"/>
        </w:rPr>
      </w:pPr>
      <w:r w:rsidRPr="007B4062">
        <w:rPr>
          <w:b w:val="0"/>
          <w:bCs w:val="0"/>
          <w:sz w:val="24"/>
          <w:szCs w:val="24"/>
        </w:rPr>
        <w:t>Senāts konstatē, ka pirmās instances tiesa spriedumā nav sniegusi atbildi uz šo pasūtītājas argumentu, nepaskaidrojot arī, kāpēc uzskata to par nebūtisku. Tas neapšaubāmi ir sprieduma pamatojuma trūkums. Tomēr vienlaikus Senāts norāda turpmāk minēto.</w:t>
      </w:r>
    </w:p>
    <w:p w14:paraId="2A7D125B" w14:textId="77777777" w:rsidR="005A498B" w:rsidRPr="007B4062" w:rsidRDefault="005A498B" w:rsidP="003F1B18">
      <w:pPr>
        <w:spacing w:after="0"/>
        <w:ind w:firstLine="567"/>
        <w:jc w:val="both"/>
        <w:rPr>
          <w:rFonts w:ascii="Times New Roman" w:eastAsia="Times New Roman" w:hAnsi="Times New Roman" w:cs="Times New Roman"/>
          <w:sz w:val="24"/>
          <w:szCs w:val="24"/>
          <w:lang w:val="lv-LV" w:eastAsia="lv-LV"/>
        </w:rPr>
      </w:pPr>
    </w:p>
    <w:p w14:paraId="1B35E3FC" w14:textId="55BD4695" w:rsidR="005A498B" w:rsidRPr="007B4062" w:rsidRDefault="005A498B"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[39]</w:t>
      </w:r>
      <w:r w:rsidR="00C65EDF">
        <w:rPr>
          <w:rFonts w:ascii="Times New Roman" w:hAnsi="Times New Roman" w:cs="Times New Roman"/>
          <w:sz w:val="24"/>
          <w:szCs w:val="24"/>
          <w:lang w:val="lv-LV"/>
        </w:rPr>
        <w:t> </w:t>
      </w:r>
      <w:r w:rsidRPr="007B4062">
        <w:rPr>
          <w:rFonts w:ascii="Times New Roman" w:hAnsi="Times New Roman" w:cs="Times New Roman"/>
          <w:sz w:val="24"/>
          <w:szCs w:val="24"/>
          <w:lang w:val="lv-LV"/>
        </w:rPr>
        <w:t>Senāts vispārīgi piekrīt, ka ne</w:t>
      </w:r>
      <w:r w:rsidR="00320CBC">
        <w:rPr>
          <w:rFonts w:ascii="Times New Roman" w:hAnsi="Times New Roman" w:cs="Times New Roman"/>
          <w:sz w:val="24"/>
          <w:szCs w:val="24"/>
          <w:lang w:val="lv-LV"/>
        </w:rPr>
        <w:t>ie</w:t>
      </w:r>
      <w:r w:rsidRPr="007B4062">
        <w:rPr>
          <w:rFonts w:ascii="Times New Roman" w:hAnsi="Times New Roman" w:cs="Times New Roman"/>
          <w:sz w:val="24"/>
          <w:szCs w:val="24"/>
          <w:lang w:val="lv-LV"/>
        </w:rPr>
        <w:t xml:space="preserve">gūtās peļņas atlīdzināšana ir vērsta uz to, lai cietušais tiktu nostādīts tādā mantiskā stāvoklī, kāds pastāvētu, ja zaudējumus izraisījusī prettiesiskā rīcība nebūtu izdarīta, un šim atlīdzinājumam nebūtu cietušajam jārada labāka mantiskā situācija, nekā tā būtu bijusi, ja pārkāpums nebūtu pieļauts (sal. </w:t>
      </w:r>
      <w:r w:rsidRPr="007B4062">
        <w:rPr>
          <w:rFonts w:ascii="Times New Roman" w:hAnsi="Times New Roman" w:cs="Times New Roman"/>
          <w:i/>
          <w:iCs/>
          <w:sz w:val="24"/>
          <w:szCs w:val="24"/>
          <w:lang w:val="lv-LV"/>
        </w:rPr>
        <w:t>Senāta 2018.gada 12.novembra sprieduma lietā Nr. SKC-219/2018 (</w:t>
      </w:r>
      <w:hyperlink r:id="rId15" w:history="1">
        <w:r w:rsidRPr="007B4062">
          <w:rPr>
            <w:rStyle w:val="Hyperlink"/>
            <w:rFonts w:ascii="Times New Roman" w:hAnsi="Times New Roman" w:cs="Times New Roman"/>
            <w:i/>
            <w:iCs/>
            <w:color w:val="auto"/>
            <w:sz w:val="24"/>
            <w:szCs w:val="24"/>
            <w:u w:val="none"/>
            <w:lang w:val="lv-LV"/>
          </w:rPr>
          <w:t>ECLI:LV:AT:2018:1112.C17089010.1.S</w:t>
        </w:r>
      </w:hyperlink>
      <w:r w:rsidRPr="007B4062">
        <w:rPr>
          <w:rFonts w:ascii="Times New Roman" w:hAnsi="Times New Roman" w:cs="Times New Roman"/>
          <w:i/>
          <w:iCs/>
          <w:sz w:val="24"/>
          <w:szCs w:val="24"/>
          <w:lang w:val="lv-LV"/>
        </w:rPr>
        <w:t>) 12.2.2.punkts</w:t>
      </w:r>
      <w:r w:rsidRPr="007B4062">
        <w:rPr>
          <w:rFonts w:ascii="Times New Roman" w:hAnsi="Times New Roman" w:cs="Times New Roman"/>
          <w:sz w:val="24"/>
          <w:szCs w:val="24"/>
          <w:lang w:val="lv-LV"/>
        </w:rPr>
        <w:t>). Citiem vārdiem sakot, zaudējumu atlīdzināšanas jēga ir, lai pēc zaudējuma atlīdzinā</w:t>
      </w:r>
      <w:r w:rsidR="00777406">
        <w:rPr>
          <w:rFonts w:ascii="Times New Roman" w:hAnsi="Times New Roman" w:cs="Times New Roman"/>
          <w:sz w:val="24"/>
          <w:szCs w:val="24"/>
          <w:lang w:val="lv-LV"/>
        </w:rPr>
        <w:t>šanas</w:t>
      </w:r>
      <w:r w:rsidRPr="007B4062">
        <w:rPr>
          <w:rFonts w:ascii="Times New Roman" w:hAnsi="Times New Roman" w:cs="Times New Roman"/>
          <w:sz w:val="24"/>
          <w:szCs w:val="24"/>
          <w:lang w:val="lv-LV"/>
        </w:rPr>
        <w:t xml:space="preserve"> cietušā stāvoklis būtu tāds, it kā zaudējums nebūtu nodarīts, taču ne vairāk. </w:t>
      </w:r>
    </w:p>
    <w:p w14:paraId="7D77F37D" w14:textId="772E45E3" w:rsidR="005A498B" w:rsidRPr="007B4062" w:rsidRDefault="005A498B"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Šāda ideja, piemēram, iemiesota arī Senāta atziņās lietās par ne</w:t>
      </w:r>
      <w:r w:rsidR="00320CBC">
        <w:rPr>
          <w:rFonts w:ascii="Times New Roman" w:hAnsi="Times New Roman" w:cs="Times New Roman"/>
          <w:sz w:val="24"/>
          <w:szCs w:val="24"/>
          <w:lang w:val="lv-LV"/>
        </w:rPr>
        <w:t>ie</w:t>
      </w:r>
      <w:r w:rsidRPr="007B4062">
        <w:rPr>
          <w:rFonts w:ascii="Times New Roman" w:hAnsi="Times New Roman" w:cs="Times New Roman"/>
          <w:sz w:val="24"/>
          <w:szCs w:val="24"/>
          <w:lang w:val="lv-LV"/>
        </w:rPr>
        <w:t>gūtās darba algas atlīdzināšanu ierēdņiem, kas nepamatoti atbrīvoti no amata. Proti, Senāts ir atzinis, ka šādos gadījumos, lemjot par izmaksājamās zaudējumu summas apmēru, ir jāņem vērā ienākumi, kuri gūti nodarbinātības attiecībās, kas uzsāktas pēc prettiesiskās atbrīvošanas. Tā kā pēc zaudējumu atlīdzinā</w:t>
      </w:r>
      <w:r w:rsidR="00777406">
        <w:rPr>
          <w:rFonts w:ascii="Times New Roman" w:hAnsi="Times New Roman" w:cs="Times New Roman"/>
          <w:sz w:val="24"/>
          <w:szCs w:val="24"/>
          <w:lang w:val="lv-LV"/>
        </w:rPr>
        <w:t>šanas</w:t>
      </w:r>
      <w:r w:rsidRPr="007B4062">
        <w:rPr>
          <w:rFonts w:ascii="Times New Roman" w:hAnsi="Times New Roman" w:cs="Times New Roman"/>
          <w:sz w:val="24"/>
          <w:szCs w:val="24"/>
          <w:lang w:val="lv-LV"/>
        </w:rPr>
        <w:t xml:space="preserve"> cietušā stāvoklim jābūt tādam, it kā zaudējums nebūtu nodarīts, nebūtu taisnīgi, ja prettiesiski atbrīvotais nokļūtu labākā situācijā nekā tas, kurš turpina dienesta attiecības, jo atbrīvotajam nav jāpilda dienesta pienākumi un šo laiku tas var izmantot citu ienākumu gūšanai (</w:t>
      </w:r>
      <w:r w:rsidRPr="007B4062">
        <w:rPr>
          <w:rFonts w:ascii="Times New Roman" w:hAnsi="Times New Roman" w:cs="Times New Roman"/>
          <w:i/>
          <w:iCs/>
          <w:sz w:val="24"/>
          <w:szCs w:val="24"/>
          <w:lang w:val="lv-LV"/>
        </w:rPr>
        <w:t>Senāta 2013.gada 12.marta sprieduma lietā Nr. SKA-150/2013 (A420743410) 11.–13.punkts</w:t>
      </w:r>
      <w:r w:rsidRPr="007B4062">
        <w:rPr>
          <w:rFonts w:ascii="Times New Roman" w:hAnsi="Times New Roman" w:cs="Times New Roman"/>
          <w:sz w:val="24"/>
          <w:szCs w:val="24"/>
          <w:lang w:val="lv-LV"/>
        </w:rPr>
        <w:t>).</w:t>
      </w:r>
    </w:p>
    <w:p w14:paraId="7DC50468" w14:textId="77777777" w:rsidR="005A498B" w:rsidRPr="007B4062" w:rsidRDefault="005A498B" w:rsidP="003F1B18">
      <w:pPr>
        <w:spacing w:after="0"/>
        <w:ind w:firstLine="567"/>
        <w:jc w:val="both"/>
        <w:rPr>
          <w:rFonts w:ascii="Times New Roman" w:hAnsi="Times New Roman" w:cs="Times New Roman"/>
          <w:sz w:val="24"/>
          <w:szCs w:val="24"/>
          <w:lang w:val="lv-LV"/>
        </w:rPr>
      </w:pPr>
    </w:p>
    <w:p w14:paraId="0A470FAF" w14:textId="0DD29363" w:rsidR="005A498B" w:rsidRPr="007B4062" w:rsidRDefault="005A498B" w:rsidP="003F1B18">
      <w:pPr>
        <w:pStyle w:val="Heading2"/>
        <w:numPr>
          <w:ilvl w:val="0"/>
          <w:numId w:val="0"/>
        </w:numPr>
        <w:spacing w:before="0" w:beforeAutospacing="0" w:after="0" w:afterAutospacing="0" w:line="276" w:lineRule="auto"/>
        <w:ind w:firstLine="567"/>
        <w:jc w:val="both"/>
        <w:rPr>
          <w:b w:val="0"/>
          <w:bCs w:val="0"/>
          <w:sz w:val="24"/>
          <w:szCs w:val="24"/>
        </w:rPr>
      </w:pPr>
      <w:r w:rsidRPr="007B4062">
        <w:rPr>
          <w:b w:val="0"/>
          <w:bCs w:val="0"/>
          <w:sz w:val="24"/>
          <w:szCs w:val="24"/>
        </w:rPr>
        <w:t>[40]</w:t>
      </w:r>
      <w:r w:rsidR="00C65EDF">
        <w:rPr>
          <w:b w:val="0"/>
          <w:bCs w:val="0"/>
          <w:sz w:val="24"/>
          <w:szCs w:val="24"/>
        </w:rPr>
        <w:t> </w:t>
      </w:r>
      <w:r w:rsidRPr="007B4062">
        <w:rPr>
          <w:b w:val="0"/>
          <w:bCs w:val="0"/>
          <w:sz w:val="24"/>
          <w:szCs w:val="24"/>
        </w:rPr>
        <w:t xml:space="preserve">Tomēr minētā atziņa neļauj izdarīt secinājumu, ka ik reizi, kad cietušais pēc aizskāruma ir spējis gūt ienākumus, ir pamats pieņemt, ka tātad pārkāpums faktiski </w:t>
      </w:r>
      <w:r w:rsidR="00777406" w:rsidRPr="007B4062">
        <w:rPr>
          <w:b w:val="0"/>
          <w:bCs w:val="0"/>
          <w:sz w:val="24"/>
          <w:szCs w:val="24"/>
        </w:rPr>
        <w:t xml:space="preserve">nav </w:t>
      </w:r>
      <w:r w:rsidRPr="007B4062">
        <w:rPr>
          <w:b w:val="0"/>
          <w:bCs w:val="0"/>
          <w:sz w:val="24"/>
          <w:szCs w:val="24"/>
        </w:rPr>
        <w:t>radījis zaudējumus ne</w:t>
      </w:r>
      <w:r w:rsidR="00320CBC">
        <w:rPr>
          <w:b w:val="0"/>
          <w:bCs w:val="0"/>
          <w:sz w:val="24"/>
          <w:szCs w:val="24"/>
        </w:rPr>
        <w:t>ie</w:t>
      </w:r>
      <w:r w:rsidRPr="007B4062">
        <w:rPr>
          <w:b w:val="0"/>
          <w:bCs w:val="0"/>
          <w:sz w:val="24"/>
          <w:szCs w:val="24"/>
        </w:rPr>
        <w:t>gūtās peļņas veidā.</w:t>
      </w:r>
    </w:p>
    <w:p w14:paraId="63315077" w14:textId="5BA24650" w:rsidR="005A498B" w:rsidRPr="007B4062" w:rsidRDefault="005A498B" w:rsidP="003F1B18">
      <w:pPr>
        <w:pStyle w:val="Heading2"/>
        <w:numPr>
          <w:ilvl w:val="0"/>
          <w:numId w:val="0"/>
        </w:numPr>
        <w:spacing w:before="0" w:beforeAutospacing="0" w:after="0" w:afterAutospacing="0" w:line="276" w:lineRule="auto"/>
        <w:ind w:firstLine="567"/>
        <w:jc w:val="both"/>
        <w:rPr>
          <w:b w:val="0"/>
          <w:bCs w:val="0"/>
          <w:sz w:val="24"/>
          <w:szCs w:val="24"/>
        </w:rPr>
      </w:pPr>
      <w:r w:rsidRPr="007B4062">
        <w:rPr>
          <w:b w:val="0"/>
          <w:bCs w:val="0"/>
          <w:sz w:val="24"/>
          <w:szCs w:val="24"/>
        </w:rPr>
        <w:t xml:space="preserve">Visupirms uzsverams, ka atšķirīgi ir aplūkojamas fizisko personu un juridisko personu spējas izpildīt darbus (pasūtījumus), jo fiziskā persona ierobežotajā diennakts laikā spēj izdarīt tikai tik, cik tas konkrētajam cilvēkam fiziski iespējams (ar šo pašsaprotamo apstākli arī saistīta minētā Senāta atziņa ierēdņu atbrīvošanas gadījumā). Savukārt juridiskās personas iespējas ir daudz plašākas un elastīgākas. Proti, juridiskā persona atšķirībā no fiziskās personas var daudz elastīgāk gan organizēt savus resursus pasūtījumu izpildei, gan arī nepieciešamības gadījumā tos piesaistīt. Jo īpaši tas attiecināms uz saimniecisko darbību būvniecības jomā. Ir vispārzināms, ka būvniecības jomā komersanti, lai izpildītu pasūtījumus, nepieciešamības gadījumā nereti pasūtījuma izpildei piesaista apakšuzņēmējus vai kādā citā veidā nodrošinās ar pasūtījumu izpildei vajadzīgajiem resursiem (piemēram, nolīgstot papildu darbiniekus). </w:t>
      </w:r>
    </w:p>
    <w:p w14:paraId="75E8BF4B" w14:textId="77777777" w:rsidR="005A498B" w:rsidRPr="007B4062" w:rsidRDefault="005A498B" w:rsidP="003F1B18">
      <w:pPr>
        <w:pStyle w:val="Heading2"/>
        <w:numPr>
          <w:ilvl w:val="0"/>
          <w:numId w:val="0"/>
        </w:numPr>
        <w:spacing w:before="0" w:beforeAutospacing="0" w:after="0" w:afterAutospacing="0" w:line="276" w:lineRule="auto"/>
        <w:ind w:firstLine="567"/>
        <w:jc w:val="both"/>
        <w:rPr>
          <w:b w:val="0"/>
          <w:bCs w:val="0"/>
          <w:sz w:val="24"/>
          <w:szCs w:val="24"/>
        </w:rPr>
      </w:pPr>
      <w:r w:rsidRPr="007B4062">
        <w:rPr>
          <w:b w:val="0"/>
          <w:bCs w:val="0"/>
          <w:sz w:val="24"/>
          <w:szCs w:val="24"/>
        </w:rPr>
        <w:t>Tādējādi tas, ka pieteicēja attiecīgajos gados ir spējusi gūt ienākumus un pat peļņu, nenozīmē, ka tiesiskas strīdus iepirkuma norises gadījumā pieteicēja nebūtu guvusi vēl lielākus ienākumus, proti, gan tos, kas tiktu gūti, izpildot iepirkumu līgumus, gan tos, kas faktiski tika gūti.</w:t>
      </w:r>
    </w:p>
    <w:p w14:paraId="7CFF86D2" w14:textId="77777777" w:rsidR="005A498B" w:rsidRPr="007B4062" w:rsidRDefault="005A498B" w:rsidP="003F1B18">
      <w:pPr>
        <w:pStyle w:val="Heading2"/>
        <w:numPr>
          <w:ilvl w:val="0"/>
          <w:numId w:val="0"/>
        </w:numPr>
        <w:spacing w:before="0" w:beforeAutospacing="0" w:after="0" w:afterAutospacing="0" w:line="276" w:lineRule="auto"/>
        <w:ind w:firstLine="567"/>
        <w:jc w:val="both"/>
        <w:rPr>
          <w:b w:val="0"/>
          <w:bCs w:val="0"/>
          <w:sz w:val="24"/>
          <w:szCs w:val="24"/>
        </w:rPr>
      </w:pPr>
      <w:r w:rsidRPr="007B4062">
        <w:rPr>
          <w:b w:val="0"/>
          <w:bCs w:val="0"/>
          <w:sz w:val="24"/>
          <w:szCs w:val="24"/>
        </w:rPr>
        <w:t xml:space="preserve">Līdz ar to nepamatots ir kasatores uzskats, ka apstāklis, ka pieteicēja 2013., 2014. un 2015.gadā guva peļņu, apliecina, ka pasūtītājas prettiesiskā rīcība iepirkumā nav radījusi pieteicējai zaudējumus. </w:t>
      </w:r>
    </w:p>
    <w:p w14:paraId="71E419C0" w14:textId="36C65D72" w:rsidR="005A498B" w:rsidRPr="007B4062" w:rsidRDefault="005A498B" w:rsidP="003F1B18">
      <w:pPr>
        <w:pStyle w:val="Heading2"/>
        <w:numPr>
          <w:ilvl w:val="0"/>
          <w:numId w:val="0"/>
        </w:numPr>
        <w:spacing w:before="0" w:beforeAutospacing="0" w:after="0" w:afterAutospacing="0" w:line="276" w:lineRule="auto"/>
        <w:ind w:firstLine="567"/>
        <w:jc w:val="both"/>
        <w:rPr>
          <w:b w:val="0"/>
          <w:bCs w:val="0"/>
          <w:sz w:val="24"/>
          <w:szCs w:val="24"/>
        </w:rPr>
      </w:pPr>
      <w:r w:rsidRPr="007B4062">
        <w:rPr>
          <w:b w:val="0"/>
          <w:bCs w:val="0"/>
          <w:sz w:val="24"/>
          <w:szCs w:val="24"/>
        </w:rPr>
        <w:t xml:space="preserve">Senāts </w:t>
      </w:r>
      <w:r w:rsidR="00B25BF4" w:rsidRPr="007B4062">
        <w:rPr>
          <w:b w:val="0"/>
          <w:bCs w:val="0"/>
          <w:sz w:val="24"/>
          <w:szCs w:val="24"/>
        </w:rPr>
        <w:t xml:space="preserve">arī </w:t>
      </w:r>
      <w:r w:rsidRPr="007B4062">
        <w:rPr>
          <w:b w:val="0"/>
          <w:bCs w:val="0"/>
          <w:sz w:val="24"/>
          <w:szCs w:val="24"/>
        </w:rPr>
        <w:t>nepiekrīt kasatorei, ka dīkstāves neesības gadījumā būtu jāiegūst pierādījumi, ka pieteicēja būtu spējusi iegūt papildu resursus visu pasūtījumu izpildei. Kā jau minēts, tas, ka būvniecības jomas komersantiem ir iespēja piesaistīt apakšuzņēmējus vai nolīgt papildu darbiniekus, ir vispārzināms. Ja nav konkrētu apstākļu, kas liecinātu, ka konkrētais attiecīgais komersants noteikti nevarētu palielināt savus resursus, tad prasīt nodrošināt pierādījumus tam, ka hipotētiskas nepieciešamības gadījumā pieteicēja 2013., 2014. un 2015.gadā būtu piesaistījusi papildu resursus, būtu nesamērīgi. Ir tikai loģiski, ka sagādāt pierādījumus par to, kādus tieši apakšuzņēmējus vai papildu darbiniekus pieteicēja hipotētiskas vajadzības gadījumā pagātnē būtu piesaistījusi, ir teju neiespējami. Šāda prasība tiesības saņemt ne</w:t>
      </w:r>
      <w:r w:rsidR="00320CBC">
        <w:rPr>
          <w:b w:val="0"/>
          <w:bCs w:val="0"/>
          <w:sz w:val="24"/>
          <w:szCs w:val="24"/>
        </w:rPr>
        <w:t>ie</w:t>
      </w:r>
      <w:r w:rsidRPr="007B4062">
        <w:rPr>
          <w:b w:val="0"/>
          <w:bCs w:val="0"/>
          <w:sz w:val="24"/>
          <w:szCs w:val="24"/>
        </w:rPr>
        <w:t>gūtās peļņas atlīdzinājumu padarītu iluzoras, kas nozīmētu, ka būtībā netiek nodrošināta efektīva tiesību aizsardzība pret publisko iepirkumu lietās pieļautiem pārkāpumiem.</w:t>
      </w:r>
    </w:p>
    <w:p w14:paraId="56BCD781" w14:textId="0CBD3470" w:rsidR="005A498B" w:rsidRPr="007B4062" w:rsidRDefault="005A498B" w:rsidP="003F1B18">
      <w:pPr>
        <w:pStyle w:val="Heading2"/>
        <w:numPr>
          <w:ilvl w:val="0"/>
          <w:numId w:val="0"/>
        </w:numPr>
        <w:spacing w:before="0" w:beforeAutospacing="0" w:after="0" w:afterAutospacing="0" w:line="276" w:lineRule="auto"/>
        <w:ind w:firstLine="567"/>
        <w:jc w:val="both"/>
        <w:rPr>
          <w:b w:val="0"/>
          <w:bCs w:val="0"/>
          <w:sz w:val="24"/>
          <w:szCs w:val="24"/>
        </w:rPr>
      </w:pPr>
      <w:r w:rsidRPr="007B4062">
        <w:rPr>
          <w:b w:val="0"/>
          <w:bCs w:val="0"/>
          <w:sz w:val="24"/>
          <w:szCs w:val="24"/>
        </w:rPr>
        <w:t>Kasatore nav argumentējusi, kāpēc būtu uzskatāms, ka pieteicēja strīdus iepirkuma tiesiskas norises gadījumā attiecīgajos gados būtu spējusi izpildīt tikai konkrēto iepirkuma līgumu un tai nebūtu bijuši citi pasūtījumi vai vismaz – ne tik daudz pasūtījumu. Kasatore nav norādījusi nevienu apstākli, ko tiesai būtu vajadzējis novērtēt un kas pierādītu, ka pieteicēja spēja īstenot citus projektus tikai tāpēc, ka ar to netika noslēgts strīdus iepirkuma līgums. Būtībā kasatore cenšas izvirzīt tēzi, ka atlīdzinājums par ne</w:t>
      </w:r>
      <w:r w:rsidR="00320CBC">
        <w:rPr>
          <w:b w:val="0"/>
          <w:bCs w:val="0"/>
          <w:sz w:val="24"/>
          <w:szCs w:val="24"/>
        </w:rPr>
        <w:t>ie</w:t>
      </w:r>
      <w:r w:rsidRPr="007B4062">
        <w:rPr>
          <w:b w:val="0"/>
          <w:bCs w:val="0"/>
          <w:sz w:val="24"/>
          <w:szCs w:val="24"/>
        </w:rPr>
        <w:t>gūto peļņu iepirkuma procedūras pārkāpuma gadījumā būtu piešķirams tikai tad, ja tas izraisījis pretendenta dīkstāvi, bet tas būtu absurdi, jo tādi zaudējumi kā ne</w:t>
      </w:r>
      <w:r w:rsidR="00320CBC">
        <w:rPr>
          <w:b w:val="0"/>
          <w:bCs w:val="0"/>
          <w:sz w:val="24"/>
          <w:szCs w:val="24"/>
        </w:rPr>
        <w:t>ie</w:t>
      </w:r>
      <w:r w:rsidRPr="007B4062">
        <w:rPr>
          <w:b w:val="0"/>
          <w:bCs w:val="0"/>
          <w:sz w:val="24"/>
          <w:szCs w:val="24"/>
        </w:rPr>
        <w:t>gūtā peļņa pašsaprotami var veidoties arī tad, ja komersantam nav dīkstāves.</w:t>
      </w:r>
    </w:p>
    <w:p w14:paraId="25A45A57" w14:textId="77777777" w:rsidR="005A498B" w:rsidRPr="007B4062" w:rsidRDefault="005A498B" w:rsidP="003F1B18">
      <w:pPr>
        <w:pStyle w:val="Heading2"/>
        <w:numPr>
          <w:ilvl w:val="0"/>
          <w:numId w:val="0"/>
        </w:numPr>
        <w:spacing w:before="0" w:beforeAutospacing="0" w:after="0" w:afterAutospacing="0" w:line="276" w:lineRule="auto"/>
        <w:ind w:firstLine="567"/>
        <w:jc w:val="both"/>
        <w:rPr>
          <w:b w:val="0"/>
          <w:bCs w:val="0"/>
          <w:sz w:val="24"/>
          <w:szCs w:val="24"/>
        </w:rPr>
      </w:pPr>
    </w:p>
    <w:p w14:paraId="2D2A735B" w14:textId="79E5EF34" w:rsidR="005A498B" w:rsidRPr="007B4062" w:rsidRDefault="005A498B" w:rsidP="003F1B18">
      <w:pPr>
        <w:pStyle w:val="Heading2"/>
        <w:numPr>
          <w:ilvl w:val="0"/>
          <w:numId w:val="0"/>
        </w:numPr>
        <w:spacing w:before="0" w:beforeAutospacing="0" w:after="0" w:afterAutospacing="0" w:line="276" w:lineRule="auto"/>
        <w:ind w:firstLine="567"/>
        <w:jc w:val="both"/>
        <w:rPr>
          <w:b w:val="0"/>
          <w:bCs w:val="0"/>
          <w:sz w:val="24"/>
          <w:szCs w:val="24"/>
          <w:shd w:val="clear" w:color="auto" w:fill="FFFFFF"/>
        </w:rPr>
      </w:pPr>
      <w:r w:rsidRPr="007B4062">
        <w:rPr>
          <w:b w:val="0"/>
          <w:bCs w:val="0"/>
          <w:sz w:val="24"/>
          <w:szCs w:val="24"/>
        </w:rPr>
        <w:t>[41]</w:t>
      </w:r>
      <w:r w:rsidR="00C65EDF">
        <w:rPr>
          <w:b w:val="0"/>
          <w:bCs w:val="0"/>
          <w:sz w:val="24"/>
          <w:szCs w:val="24"/>
        </w:rPr>
        <w:t> </w:t>
      </w:r>
      <w:r w:rsidRPr="007B4062">
        <w:rPr>
          <w:b w:val="0"/>
          <w:bCs w:val="0"/>
          <w:sz w:val="24"/>
          <w:szCs w:val="24"/>
        </w:rPr>
        <w:t>Kasatore šajā sakarā turklāt nepamatoti atsaucas uz Atlīdzinājuma likuma 10.pantu, kas noteic, ka c</w:t>
      </w:r>
      <w:r w:rsidRPr="007B4062">
        <w:rPr>
          <w:b w:val="0"/>
          <w:bCs w:val="0"/>
          <w:sz w:val="24"/>
          <w:szCs w:val="24"/>
          <w:shd w:val="clear" w:color="auto" w:fill="FFFFFF"/>
        </w:rPr>
        <w:t xml:space="preserve">ietušais nav tiesīgs pilnīgi vai daļēji saņemt zaudējuma atlīdzinājumu, ja viņš, izmantojot savas zināšanas, spējas un praktiskās iespējas, </w:t>
      </w:r>
      <w:r w:rsidR="00BD7F17" w:rsidRPr="007B4062">
        <w:rPr>
          <w:b w:val="0"/>
          <w:bCs w:val="0"/>
          <w:sz w:val="24"/>
          <w:szCs w:val="24"/>
          <w:shd w:val="clear" w:color="auto" w:fill="FFFFFF"/>
        </w:rPr>
        <w:t xml:space="preserve">nav </w:t>
      </w:r>
      <w:r w:rsidRPr="007B4062">
        <w:rPr>
          <w:b w:val="0"/>
          <w:bCs w:val="0"/>
          <w:sz w:val="24"/>
          <w:szCs w:val="24"/>
          <w:shd w:val="clear" w:color="auto" w:fill="FFFFFF"/>
        </w:rPr>
        <w:t>darījis visu iespējamo, lai zaudējumu novērstu vai samazinātu.</w:t>
      </w:r>
    </w:p>
    <w:p w14:paraId="509822EE" w14:textId="77777777" w:rsidR="005A498B" w:rsidRPr="007B4062" w:rsidRDefault="005A498B" w:rsidP="003F1B18">
      <w:pPr>
        <w:pStyle w:val="Heading2"/>
        <w:numPr>
          <w:ilvl w:val="0"/>
          <w:numId w:val="0"/>
        </w:numPr>
        <w:spacing w:before="0" w:beforeAutospacing="0" w:after="0" w:afterAutospacing="0" w:line="276" w:lineRule="auto"/>
        <w:ind w:firstLine="567"/>
        <w:jc w:val="both"/>
        <w:rPr>
          <w:b w:val="0"/>
          <w:bCs w:val="0"/>
          <w:sz w:val="24"/>
          <w:szCs w:val="24"/>
        </w:rPr>
      </w:pPr>
      <w:r w:rsidRPr="007B4062">
        <w:rPr>
          <w:b w:val="0"/>
          <w:bCs w:val="0"/>
          <w:sz w:val="24"/>
          <w:szCs w:val="24"/>
          <w:shd w:val="clear" w:color="auto" w:fill="FFFFFF"/>
        </w:rPr>
        <w:t xml:space="preserve">Šīs normas jēga ir liegt cietušajam iespēju saņemt zaudējumu atlīdzinājumu (vai samazināt piešķiramā atlīdzinājuma apmēru) tad, ja cietušais no savas puses </w:t>
      </w:r>
      <w:r w:rsidRPr="007B4062">
        <w:rPr>
          <w:b w:val="0"/>
          <w:bCs w:val="0"/>
          <w:i/>
          <w:iCs/>
          <w:sz w:val="24"/>
          <w:szCs w:val="24"/>
          <w:shd w:val="clear" w:color="auto" w:fill="FFFFFF"/>
        </w:rPr>
        <w:t>nav</w:t>
      </w:r>
      <w:r w:rsidRPr="007B4062">
        <w:rPr>
          <w:b w:val="0"/>
          <w:bCs w:val="0"/>
          <w:sz w:val="24"/>
          <w:szCs w:val="24"/>
          <w:shd w:val="clear" w:color="auto" w:fill="FFFFFF"/>
        </w:rPr>
        <w:t xml:space="preserve"> veicis saprātīgi sagaidāmas darbības, lai mazinātu sev nodarīto kaitējumu vai zaudējumus. Kasatore nav pamatojusi, ka pieteicēja konkrētajā gadījumā nav darījusi kaut ko tādu, ko tai būtu vajadzējis darīt, lai samazinātu sev nodarītos zaudējumus. Šā iemesla dēļ nepamatota ir arī atsauce uz </w:t>
      </w:r>
      <w:r w:rsidRPr="007B4062">
        <w:rPr>
          <w:b w:val="0"/>
          <w:bCs w:val="0"/>
          <w:sz w:val="24"/>
          <w:szCs w:val="24"/>
        </w:rPr>
        <w:t xml:space="preserve">Administratīvā procesa likuma 96.panta normu, kas arīdzan paredz personas </w:t>
      </w:r>
      <w:r w:rsidRPr="007B4062">
        <w:rPr>
          <w:b w:val="0"/>
          <w:bCs w:val="0"/>
          <w:sz w:val="24"/>
          <w:szCs w:val="24"/>
          <w:shd w:val="clear" w:color="auto" w:fill="FFFFFF"/>
        </w:rPr>
        <w:t>pienākumu savu zināšanu un praktisko iespēju robežās darīt visu iespējamo, lai samazinātu savus zaudējumus vai kaitējumu.</w:t>
      </w:r>
    </w:p>
    <w:p w14:paraId="28AD7A91" w14:textId="2811133C" w:rsidR="00BA01A6" w:rsidRPr="007B4062" w:rsidRDefault="00BA01A6" w:rsidP="003F1B18">
      <w:pPr>
        <w:tabs>
          <w:tab w:val="left" w:pos="0"/>
        </w:tabs>
        <w:spacing w:after="0"/>
        <w:jc w:val="both"/>
        <w:rPr>
          <w:rFonts w:ascii="Times New Roman" w:hAnsi="Times New Roman" w:cs="Times New Roman"/>
          <w:sz w:val="24"/>
          <w:szCs w:val="24"/>
          <w:lang w:val="lv-LV"/>
        </w:rPr>
      </w:pPr>
    </w:p>
    <w:p w14:paraId="321BA649" w14:textId="76E7C8CC" w:rsidR="00BA01A6" w:rsidRPr="007B4062" w:rsidRDefault="00BA01A6" w:rsidP="003F1B18">
      <w:pPr>
        <w:tabs>
          <w:tab w:val="left" w:pos="0"/>
        </w:tabs>
        <w:spacing w:after="0"/>
        <w:jc w:val="center"/>
        <w:rPr>
          <w:rFonts w:ascii="Times New Roman" w:hAnsi="Times New Roman" w:cs="Times New Roman"/>
          <w:b/>
          <w:bCs/>
          <w:sz w:val="24"/>
          <w:szCs w:val="24"/>
          <w:lang w:val="lv-LV"/>
        </w:rPr>
      </w:pPr>
      <w:r w:rsidRPr="007B4062">
        <w:rPr>
          <w:rFonts w:ascii="Times New Roman" w:hAnsi="Times New Roman" w:cs="Times New Roman"/>
          <w:b/>
          <w:bCs/>
          <w:sz w:val="24"/>
          <w:szCs w:val="24"/>
          <w:lang w:val="lv-LV"/>
        </w:rPr>
        <w:t>VII</w:t>
      </w:r>
      <w:r w:rsidR="00DE0655" w:rsidRPr="007B4062">
        <w:rPr>
          <w:rFonts w:ascii="Times New Roman" w:hAnsi="Times New Roman" w:cs="Times New Roman"/>
          <w:b/>
          <w:bCs/>
          <w:sz w:val="24"/>
          <w:szCs w:val="24"/>
          <w:lang w:val="lv-LV"/>
        </w:rPr>
        <w:t>I</w:t>
      </w:r>
      <w:r w:rsidR="00F50844" w:rsidRPr="007B4062">
        <w:rPr>
          <w:rFonts w:ascii="Times New Roman" w:hAnsi="Times New Roman" w:cs="Times New Roman"/>
          <w:b/>
          <w:bCs/>
          <w:sz w:val="24"/>
          <w:szCs w:val="24"/>
          <w:lang w:val="lv-LV"/>
        </w:rPr>
        <w:t xml:space="preserve"> </w:t>
      </w:r>
    </w:p>
    <w:p w14:paraId="5B688A81" w14:textId="3930D2DE" w:rsidR="00F50844" w:rsidRPr="007B4062" w:rsidRDefault="00F50844" w:rsidP="003F1B18">
      <w:pPr>
        <w:tabs>
          <w:tab w:val="left" w:pos="0"/>
        </w:tabs>
        <w:spacing w:after="0"/>
        <w:jc w:val="center"/>
        <w:rPr>
          <w:rFonts w:ascii="Times New Roman" w:hAnsi="Times New Roman" w:cs="Times New Roman"/>
          <w:sz w:val="24"/>
          <w:szCs w:val="24"/>
          <w:lang w:val="lv-LV"/>
        </w:rPr>
      </w:pPr>
    </w:p>
    <w:p w14:paraId="3B6B0C42" w14:textId="20F706EC" w:rsidR="005A498B" w:rsidRPr="007B4062" w:rsidRDefault="005A498B" w:rsidP="003F1B18">
      <w:pPr>
        <w:pStyle w:val="Pamatteksts1"/>
        <w:spacing w:before="0" w:line="276" w:lineRule="auto"/>
        <w:ind w:firstLine="567"/>
      </w:pPr>
      <w:r w:rsidRPr="007B4062">
        <w:t>[42]</w:t>
      </w:r>
      <w:r w:rsidR="00105837">
        <w:t> </w:t>
      </w:r>
      <w:r w:rsidRPr="007B4062">
        <w:t>Kasatore iebilst, ka tiesa apmierinājusi pieteikumu par ne</w:t>
      </w:r>
      <w:r w:rsidR="00320CBC">
        <w:t>ie</w:t>
      </w:r>
      <w:r w:rsidRPr="007B4062">
        <w:t xml:space="preserve">gūtās peļņas atlīdzināšanu, lai arī zaudējumu apmērs nav pietiekami pierādīts. </w:t>
      </w:r>
    </w:p>
    <w:p w14:paraId="14C21CAA" w14:textId="77777777" w:rsidR="005A498B" w:rsidRPr="007B4062" w:rsidRDefault="005A498B" w:rsidP="003F1B18">
      <w:pPr>
        <w:pStyle w:val="Pamatteksts1"/>
        <w:spacing w:before="0" w:line="276" w:lineRule="auto"/>
        <w:ind w:firstLine="567"/>
      </w:pPr>
    </w:p>
    <w:p w14:paraId="75D273AE" w14:textId="2886E167" w:rsidR="005A498B" w:rsidRPr="007B4062" w:rsidRDefault="005A498B" w:rsidP="003F1B18">
      <w:pPr>
        <w:spacing w:after="0"/>
        <w:ind w:firstLine="567"/>
        <w:jc w:val="both"/>
        <w:rPr>
          <w:rFonts w:ascii="Times New Roman" w:eastAsiaTheme="minorHAnsi" w:hAnsi="Times New Roman" w:cs="Times New Roman"/>
          <w:sz w:val="24"/>
          <w:szCs w:val="24"/>
          <w:lang w:val="lv-LV"/>
        </w:rPr>
      </w:pPr>
      <w:r w:rsidRPr="007B4062">
        <w:rPr>
          <w:rFonts w:ascii="Times New Roman" w:hAnsi="Times New Roman" w:cs="Times New Roman"/>
          <w:sz w:val="24"/>
          <w:szCs w:val="24"/>
          <w:lang w:val="lv-LV"/>
        </w:rPr>
        <w:t>[43]</w:t>
      </w:r>
      <w:r w:rsidR="00105837">
        <w:rPr>
          <w:rFonts w:ascii="Times New Roman" w:hAnsi="Times New Roman" w:cs="Times New Roman"/>
          <w:sz w:val="24"/>
          <w:szCs w:val="24"/>
          <w:lang w:val="lv-LV"/>
        </w:rPr>
        <w:t> </w:t>
      </w:r>
      <w:r w:rsidRPr="007B4062">
        <w:rPr>
          <w:rFonts w:ascii="Times New Roman" w:eastAsiaTheme="minorHAnsi" w:hAnsi="Times New Roman" w:cs="Times New Roman"/>
          <w:sz w:val="24"/>
          <w:szCs w:val="24"/>
          <w:lang w:val="lv-LV"/>
        </w:rPr>
        <w:t>Saskaņā ar Atlīdzināšanas likuma 7.panta otro daļu, aprēķinot mantisko zaudējumu, ņem vērā arī ne</w:t>
      </w:r>
      <w:r w:rsidR="00320CBC">
        <w:rPr>
          <w:rFonts w:ascii="Times New Roman" w:eastAsiaTheme="minorHAnsi" w:hAnsi="Times New Roman" w:cs="Times New Roman"/>
          <w:sz w:val="24"/>
          <w:szCs w:val="24"/>
          <w:lang w:val="lv-LV"/>
        </w:rPr>
        <w:t>ie</w:t>
      </w:r>
      <w:r w:rsidRPr="007B4062">
        <w:rPr>
          <w:rFonts w:ascii="Times New Roman" w:eastAsiaTheme="minorHAnsi" w:hAnsi="Times New Roman" w:cs="Times New Roman"/>
          <w:sz w:val="24"/>
          <w:szCs w:val="24"/>
          <w:lang w:val="lv-LV"/>
        </w:rPr>
        <w:t>gūto peļņu, ja cietušais spēj pierādīt, ka notikumu parastās attīstības gaitā</w:t>
      </w:r>
      <w:r w:rsidRPr="007B4062">
        <w:rPr>
          <w:rFonts w:ascii="Times New Roman" w:eastAsiaTheme="minorHAnsi" w:hAnsi="Times New Roman" w:cs="Times New Roman"/>
          <w:i/>
          <w:sz w:val="24"/>
          <w:szCs w:val="24"/>
          <w:lang w:val="lv-LV"/>
        </w:rPr>
        <w:t xml:space="preserve"> </w:t>
      </w:r>
      <w:r w:rsidRPr="007B4062">
        <w:rPr>
          <w:rFonts w:ascii="Times New Roman" w:eastAsiaTheme="minorHAnsi" w:hAnsi="Times New Roman" w:cs="Times New Roman"/>
          <w:sz w:val="24"/>
          <w:szCs w:val="24"/>
          <w:lang w:val="lv-LV"/>
        </w:rPr>
        <w:t>peļņa tiktu gūta.</w:t>
      </w:r>
    </w:p>
    <w:p w14:paraId="25ACD6D2" w14:textId="7E7ACB62" w:rsidR="005A498B" w:rsidRPr="007B4062" w:rsidRDefault="005A498B" w:rsidP="003F1B18">
      <w:pPr>
        <w:tabs>
          <w:tab w:val="left" w:pos="540"/>
        </w:tabs>
        <w:spacing w:after="0"/>
        <w:ind w:firstLine="567"/>
        <w:jc w:val="both"/>
        <w:rPr>
          <w:rFonts w:ascii="Times New Roman" w:hAnsi="Times New Roman" w:cs="Times New Roman"/>
          <w:i/>
          <w:iCs/>
          <w:sz w:val="24"/>
          <w:szCs w:val="24"/>
          <w:lang w:val="lv-LV"/>
        </w:rPr>
      </w:pPr>
      <w:r w:rsidRPr="007B4062">
        <w:rPr>
          <w:rFonts w:ascii="Times New Roman" w:eastAsiaTheme="minorHAnsi" w:hAnsi="Times New Roman" w:cs="Times New Roman"/>
          <w:sz w:val="24"/>
          <w:szCs w:val="24"/>
          <w:lang w:val="lv-LV"/>
        </w:rPr>
        <w:t>P</w:t>
      </w:r>
      <w:r w:rsidRPr="007B4062">
        <w:rPr>
          <w:rFonts w:ascii="Times New Roman" w:hAnsi="Times New Roman" w:cs="Times New Roman"/>
          <w:sz w:val="24"/>
          <w:szCs w:val="24"/>
          <w:lang w:val="lv-LV"/>
        </w:rPr>
        <w:t>ar ne</w:t>
      </w:r>
      <w:r w:rsidR="00320CBC">
        <w:rPr>
          <w:rFonts w:ascii="Times New Roman" w:hAnsi="Times New Roman" w:cs="Times New Roman"/>
          <w:sz w:val="24"/>
          <w:szCs w:val="24"/>
          <w:lang w:val="lv-LV"/>
        </w:rPr>
        <w:t>ie</w:t>
      </w:r>
      <w:r w:rsidRPr="007B4062">
        <w:rPr>
          <w:rFonts w:ascii="Times New Roman" w:hAnsi="Times New Roman" w:cs="Times New Roman"/>
          <w:sz w:val="24"/>
          <w:szCs w:val="24"/>
          <w:lang w:val="lv-LV"/>
        </w:rPr>
        <w:t>gūto jeb atrauto peļņu ir runa gadījumā, kad ar aizskārēja prettiesisko rīcību cietušajam ir liegta iespēja iegūt sagaidāmu mantas vērtības pieaugumu, proti, nākotnē gūstamu mantisku labumu, kas tiktu saņemts, ja tiesību aizskārums nebūtu noticis (</w:t>
      </w:r>
      <w:r w:rsidRPr="007B4062">
        <w:rPr>
          <w:rFonts w:ascii="Times New Roman" w:hAnsi="Times New Roman" w:cs="Times New Roman"/>
          <w:i/>
          <w:iCs/>
          <w:sz w:val="24"/>
          <w:szCs w:val="24"/>
          <w:lang w:val="lv-LV"/>
        </w:rPr>
        <w:t>Senāta 2016.gada 28.jūnija sprieduma lietā Nr. SKC-272/2016 (C09037312) 6.1.punkts, 2018.gada 29.novembra sprieduma lietā Nr. SKC-209/2018 (</w:t>
      </w:r>
      <w:hyperlink r:id="rId16" w:history="1">
        <w:r w:rsidRPr="007B4062">
          <w:rPr>
            <w:rStyle w:val="Hyperlink"/>
            <w:rFonts w:ascii="Times New Roman" w:hAnsi="Times New Roman" w:cs="Times New Roman"/>
            <w:i/>
            <w:iCs/>
            <w:color w:val="auto"/>
            <w:sz w:val="24"/>
            <w:szCs w:val="24"/>
            <w:u w:val="none"/>
            <w:lang w:val="lv-LV"/>
          </w:rPr>
          <w:t>ECLI:LV:AT:2018:1129.C31296613.2.S</w:t>
        </w:r>
      </w:hyperlink>
      <w:r w:rsidRPr="007B4062">
        <w:rPr>
          <w:rFonts w:ascii="Times New Roman" w:hAnsi="Times New Roman" w:cs="Times New Roman"/>
          <w:i/>
          <w:iCs/>
          <w:sz w:val="24"/>
          <w:szCs w:val="24"/>
          <w:lang w:val="lv-LV"/>
        </w:rPr>
        <w:t>) 5.3.punkts, 2020.gada 13.februāra sprieduma lietā Nr. SKC-8/2020, (</w:t>
      </w:r>
      <w:hyperlink r:id="rId17" w:history="1">
        <w:r w:rsidRPr="007B4062">
          <w:rPr>
            <w:rStyle w:val="Hyperlink"/>
            <w:rFonts w:ascii="Times New Roman" w:hAnsi="Times New Roman" w:cs="Times New Roman"/>
            <w:i/>
            <w:iCs/>
            <w:color w:val="auto"/>
            <w:sz w:val="24"/>
            <w:szCs w:val="24"/>
            <w:u w:val="none"/>
            <w:lang w:val="lv-LV"/>
          </w:rPr>
          <w:t>ECLI:LV:AT:2020:0213.C29452516.4.S</w:t>
        </w:r>
      </w:hyperlink>
      <w:r w:rsidRPr="007B4062">
        <w:rPr>
          <w:rFonts w:ascii="Times New Roman" w:hAnsi="Times New Roman" w:cs="Times New Roman"/>
          <w:i/>
          <w:iCs/>
          <w:sz w:val="24"/>
          <w:szCs w:val="24"/>
          <w:lang w:val="lv-LV"/>
        </w:rPr>
        <w:t>) 9.3.punkts</w:t>
      </w:r>
      <w:r w:rsidRPr="007B4062">
        <w:rPr>
          <w:rFonts w:ascii="Times New Roman" w:hAnsi="Times New Roman" w:cs="Times New Roman"/>
          <w:sz w:val="24"/>
          <w:szCs w:val="24"/>
          <w:lang w:val="lv-LV"/>
        </w:rPr>
        <w:t>).</w:t>
      </w:r>
    </w:p>
    <w:p w14:paraId="72B9EC76" w14:textId="03076B8C" w:rsidR="005A498B" w:rsidRPr="007B4062" w:rsidRDefault="005A498B" w:rsidP="003F1B18">
      <w:pPr>
        <w:tabs>
          <w:tab w:val="left" w:pos="540"/>
        </w:tabs>
        <w:spacing w:after="0"/>
        <w:ind w:firstLine="567"/>
        <w:jc w:val="both"/>
        <w:rPr>
          <w:rFonts w:ascii="Times New Roman" w:hAnsi="Times New Roman" w:cs="Times New Roman"/>
          <w:sz w:val="24"/>
          <w:szCs w:val="24"/>
          <w:lang w:val="lv-LV"/>
        </w:rPr>
      </w:pPr>
      <w:r w:rsidRPr="007B4062">
        <w:rPr>
          <w:rFonts w:ascii="Times New Roman" w:eastAsiaTheme="minorHAnsi" w:hAnsi="Times New Roman" w:cs="Times New Roman"/>
          <w:sz w:val="24"/>
          <w:szCs w:val="24"/>
          <w:lang w:val="lv-LV"/>
        </w:rPr>
        <w:t xml:space="preserve">Judikatūrā arī atzīts, ka </w:t>
      </w:r>
      <w:r w:rsidRPr="007B4062">
        <w:rPr>
          <w:rFonts w:ascii="Times New Roman" w:eastAsiaTheme="minorHAnsi" w:hAnsi="Times New Roman" w:cs="Times New Roman"/>
          <w:bCs/>
          <w:sz w:val="24"/>
          <w:szCs w:val="24"/>
          <w:lang w:val="lv-LV"/>
        </w:rPr>
        <w:t>zaudējumu esība jākonstatē, izvērtējot lietā gūtos pierādījumus, un nav pieļaujams secinājumu par zaudējumu esību izdarīt, balstoties tikai uz pieņēmumiem. Šajā sakarā attiecībā uz zaudējumu – ne</w:t>
      </w:r>
      <w:r w:rsidR="00320CBC">
        <w:rPr>
          <w:rFonts w:ascii="Times New Roman" w:eastAsiaTheme="minorHAnsi" w:hAnsi="Times New Roman" w:cs="Times New Roman"/>
          <w:bCs/>
          <w:sz w:val="24"/>
          <w:szCs w:val="24"/>
          <w:lang w:val="lv-LV"/>
        </w:rPr>
        <w:t>ie</w:t>
      </w:r>
      <w:r w:rsidRPr="007B4062">
        <w:rPr>
          <w:rFonts w:ascii="Times New Roman" w:eastAsiaTheme="minorHAnsi" w:hAnsi="Times New Roman" w:cs="Times New Roman"/>
          <w:bCs/>
          <w:sz w:val="24"/>
          <w:szCs w:val="24"/>
          <w:lang w:val="lv-LV"/>
        </w:rPr>
        <w:t>gūtās peļņas – apmēra noteikšanu atzīts, ka</w:t>
      </w:r>
      <w:r w:rsidRPr="007B4062">
        <w:rPr>
          <w:rFonts w:ascii="Times New Roman" w:hAnsi="Times New Roman" w:cs="Times New Roman"/>
          <w:sz w:val="24"/>
          <w:szCs w:val="24"/>
          <w:lang w:val="lv-LV"/>
        </w:rPr>
        <w:t xml:space="preserve"> zaudējumu apmēram jābūt pierādītam līdz tiesisku pierādījumu paticamības pakāpei. Tādējādi cietušajai personai ar pierādījumiem jāspēj pamatot zaudējumu – atrautās peļņas – apmēru, savukārt tiesai ir pienākums pārbaudīt šo pierādījumu ticamību un atbilstību faktiskajiem apstākļiem. Sagaidāmās peļņas atrāvuma (ne</w:t>
      </w:r>
      <w:r w:rsidR="00320CBC">
        <w:rPr>
          <w:rFonts w:ascii="Times New Roman" w:hAnsi="Times New Roman" w:cs="Times New Roman"/>
          <w:sz w:val="24"/>
          <w:szCs w:val="24"/>
          <w:lang w:val="lv-LV"/>
        </w:rPr>
        <w:t>ie</w:t>
      </w:r>
      <w:r w:rsidRPr="007B4062">
        <w:rPr>
          <w:rFonts w:ascii="Times New Roman" w:hAnsi="Times New Roman" w:cs="Times New Roman"/>
          <w:sz w:val="24"/>
          <w:szCs w:val="24"/>
          <w:lang w:val="lv-LV"/>
        </w:rPr>
        <w:t>gūtās peļņas) apmēra noteikšana primāri balstāma uz ekonomiskiem aprēķiniem, ņemot vērā dažādus faktorus, kas var palielināt vai samazināt peļņu konkrētos apstākļos. Lai noskaidrotu ne</w:t>
      </w:r>
      <w:r w:rsidR="00320CBC">
        <w:rPr>
          <w:rFonts w:ascii="Times New Roman" w:hAnsi="Times New Roman" w:cs="Times New Roman"/>
          <w:sz w:val="24"/>
          <w:szCs w:val="24"/>
          <w:lang w:val="lv-LV"/>
        </w:rPr>
        <w:t>ie</w:t>
      </w:r>
      <w:r w:rsidRPr="007B4062">
        <w:rPr>
          <w:rFonts w:ascii="Times New Roman" w:hAnsi="Times New Roman" w:cs="Times New Roman"/>
          <w:sz w:val="24"/>
          <w:szCs w:val="24"/>
          <w:lang w:val="lv-LV"/>
        </w:rPr>
        <w:t>gūto peļņu, no paredzamā ienākuma jāatskaita paredzamie izdevumi (ražošanas un realizācijas izdevumi, maksājamie nodokļi) (</w:t>
      </w:r>
      <w:r w:rsidRPr="007B4062">
        <w:rPr>
          <w:rFonts w:ascii="Times New Roman" w:hAnsi="Times New Roman" w:cs="Times New Roman"/>
          <w:i/>
          <w:iCs/>
          <w:sz w:val="24"/>
          <w:szCs w:val="24"/>
          <w:lang w:val="lv-LV"/>
        </w:rPr>
        <w:t>Senāta 2013.gada 13.marta sprieduma lietā Nr. SKC-41/2013 (C34035708) 11.punkts, 2016.gada 30.septembra sprieduma lietā Nr. SKC-884/2016 (C40128313) 10.punkts, 2018.gada 12.novembra sprieduma lietā Nr. SKC-219/2018 (</w:t>
      </w:r>
      <w:hyperlink r:id="rId18" w:history="1">
        <w:r w:rsidRPr="007B4062">
          <w:rPr>
            <w:rStyle w:val="Hyperlink"/>
            <w:rFonts w:ascii="Times New Roman" w:hAnsi="Times New Roman" w:cs="Times New Roman"/>
            <w:i/>
            <w:iCs/>
            <w:color w:val="auto"/>
            <w:sz w:val="24"/>
            <w:szCs w:val="24"/>
            <w:u w:val="none"/>
            <w:lang w:val="lv-LV"/>
          </w:rPr>
          <w:t>ECLI:LV:AT:2018:1112.C17089010.1.S</w:t>
        </w:r>
      </w:hyperlink>
      <w:r w:rsidRPr="007B4062">
        <w:rPr>
          <w:rFonts w:ascii="Times New Roman" w:hAnsi="Times New Roman" w:cs="Times New Roman"/>
          <w:i/>
          <w:iCs/>
          <w:sz w:val="24"/>
          <w:szCs w:val="24"/>
          <w:lang w:val="lv-LV"/>
        </w:rPr>
        <w:t>) 12.2.2. un 12.3.punkts</w:t>
      </w:r>
      <w:r w:rsidR="00BD7F17">
        <w:rPr>
          <w:rFonts w:ascii="Times New Roman" w:hAnsi="Times New Roman" w:cs="Times New Roman"/>
          <w:i/>
          <w:iCs/>
          <w:sz w:val="24"/>
          <w:szCs w:val="24"/>
          <w:lang w:val="lv-LV"/>
        </w:rPr>
        <w:t>,</w:t>
      </w:r>
      <w:r w:rsidRPr="007B4062">
        <w:rPr>
          <w:rFonts w:ascii="Times New Roman" w:hAnsi="Times New Roman" w:cs="Times New Roman"/>
          <w:i/>
          <w:iCs/>
          <w:sz w:val="24"/>
          <w:szCs w:val="24"/>
          <w:lang w:val="lv-LV"/>
        </w:rPr>
        <w:t xml:space="preserve"> 2020.gada 27.maija sprieduma lietā Nr. SKC-309/2020 (</w:t>
      </w:r>
      <w:hyperlink r:id="rId19" w:history="1">
        <w:r w:rsidRPr="007B4062">
          <w:rPr>
            <w:rStyle w:val="Hyperlink"/>
            <w:rFonts w:ascii="Times New Roman" w:hAnsi="Times New Roman" w:cs="Times New Roman"/>
            <w:i/>
            <w:iCs/>
            <w:color w:val="auto"/>
            <w:sz w:val="24"/>
            <w:szCs w:val="24"/>
            <w:u w:val="none"/>
            <w:lang w:val="lv-LV"/>
          </w:rPr>
          <w:t>ECLI:LV:AT:2020:0527.C24044908.8.S</w:t>
        </w:r>
      </w:hyperlink>
      <w:r w:rsidRPr="007B4062">
        <w:rPr>
          <w:rFonts w:ascii="Times New Roman" w:hAnsi="Times New Roman" w:cs="Times New Roman"/>
          <w:i/>
          <w:iCs/>
          <w:sz w:val="24"/>
          <w:szCs w:val="24"/>
          <w:lang w:val="lv-LV"/>
        </w:rPr>
        <w:t>) 11.punkts</w:t>
      </w:r>
      <w:r w:rsidRPr="007B4062">
        <w:rPr>
          <w:rFonts w:ascii="Times New Roman" w:hAnsi="Times New Roman" w:cs="Times New Roman"/>
          <w:sz w:val="24"/>
          <w:szCs w:val="24"/>
          <w:lang w:val="lv-LV"/>
        </w:rPr>
        <w:t>).</w:t>
      </w:r>
    </w:p>
    <w:p w14:paraId="61B15138" w14:textId="4088415A" w:rsidR="005A498B" w:rsidRPr="007B4062" w:rsidRDefault="005A498B" w:rsidP="003F1B18">
      <w:pPr>
        <w:tabs>
          <w:tab w:val="left" w:pos="540"/>
        </w:tabs>
        <w:spacing w:after="0"/>
        <w:ind w:firstLine="567"/>
        <w:jc w:val="both"/>
        <w:rPr>
          <w:rFonts w:ascii="Times New Roman" w:eastAsiaTheme="minorHAnsi" w:hAnsi="Times New Roman" w:cs="Times New Roman"/>
          <w:bCs/>
          <w:sz w:val="24"/>
          <w:szCs w:val="24"/>
          <w:lang w:val="lv-LV"/>
        </w:rPr>
      </w:pPr>
      <w:r w:rsidRPr="007B4062">
        <w:rPr>
          <w:rFonts w:ascii="Times New Roman" w:eastAsiaTheme="minorHAnsi" w:hAnsi="Times New Roman" w:cs="Times New Roman"/>
          <w:bCs/>
          <w:sz w:val="24"/>
          <w:szCs w:val="24"/>
          <w:lang w:val="lv-LV"/>
        </w:rPr>
        <w:t xml:space="preserve">Tāpēc nav </w:t>
      </w:r>
      <w:r w:rsidRPr="007B4062">
        <w:rPr>
          <w:rFonts w:ascii="Times New Roman" w:eastAsiaTheme="minorHAnsi" w:hAnsi="Times New Roman" w:cs="Times New Roman"/>
          <w:sz w:val="24"/>
          <w:szCs w:val="24"/>
          <w:lang w:val="lv-LV"/>
        </w:rPr>
        <w:t>atbalstāma, piemēram, tāda pieeja zaudējumu esības un apmēra noteikšanā, ka ne</w:t>
      </w:r>
      <w:r w:rsidR="00320CBC">
        <w:rPr>
          <w:rFonts w:ascii="Times New Roman" w:eastAsiaTheme="minorHAnsi" w:hAnsi="Times New Roman" w:cs="Times New Roman"/>
          <w:sz w:val="24"/>
          <w:szCs w:val="24"/>
          <w:lang w:val="lv-LV"/>
        </w:rPr>
        <w:t>ie</w:t>
      </w:r>
      <w:r w:rsidRPr="007B4062">
        <w:rPr>
          <w:rFonts w:ascii="Times New Roman" w:eastAsiaTheme="minorHAnsi" w:hAnsi="Times New Roman" w:cs="Times New Roman"/>
          <w:sz w:val="24"/>
          <w:szCs w:val="24"/>
          <w:lang w:val="lv-LV"/>
        </w:rPr>
        <w:t xml:space="preserve">gūtās peļņas apmērs tiek noteikts, balstoties tikai uz to, kāda vispār ir konkrētā komersanta peļņas norma no vidējā saimnieciskās darbības apgrozījuma. </w:t>
      </w:r>
      <w:r w:rsidRPr="007B4062">
        <w:rPr>
          <w:rFonts w:ascii="Times New Roman" w:hAnsi="Times New Roman" w:cs="Times New Roman"/>
          <w:sz w:val="24"/>
          <w:szCs w:val="24"/>
          <w:lang w:val="lv-LV"/>
        </w:rPr>
        <w:t xml:space="preserve">Tas, vai un cik lielu peļņu pieteicējs būtu guvis iepirkumā, noskaidrojams, izvērtējot pierādījumus, kuri attiecas uz </w:t>
      </w:r>
      <w:r w:rsidRPr="007B4062">
        <w:rPr>
          <w:rFonts w:ascii="Times New Roman" w:hAnsi="Times New Roman" w:cs="Times New Roman"/>
          <w:i/>
          <w:iCs/>
          <w:sz w:val="24"/>
          <w:szCs w:val="24"/>
          <w:lang w:val="lv-LV"/>
        </w:rPr>
        <w:t>konkrēto</w:t>
      </w:r>
      <w:r w:rsidRPr="007B4062">
        <w:rPr>
          <w:rFonts w:ascii="Times New Roman" w:hAnsi="Times New Roman" w:cs="Times New Roman"/>
          <w:sz w:val="24"/>
          <w:szCs w:val="24"/>
          <w:lang w:val="lv-LV"/>
        </w:rPr>
        <w:t xml:space="preserve"> iepirkumu </w:t>
      </w:r>
      <w:r w:rsidRPr="007B4062">
        <w:rPr>
          <w:rFonts w:ascii="Times New Roman" w:eastAsiaTheme="minorHAnsi" w:hAnsi="Times New Roman" w:cs="Times New Roman"/>
          <w:bCs/>
          <w:sz w:val="24"/>
          <w:szCs w:val="24"/>
          <w:lang w:val="lv-LV"/>
        </w:rPr>
        <w:t>(</w:t>
      </w:r>
      <w:r w:rsidRPr="007B4062">
        <w:rPr>
          <w:rFonts w:ascii="Times New Roman" w:eastAsiaTheme="minorHAnsi" w:hAnsi="Times New Roman" w:cs="Times New Roman"/>
          <w:bCs/>
          <w:i/>
          <w:iCs/>
          <w:sz w:val="24"/>
          <w:szCs w:val="24"/>
          <w:lang w:val="lv-LV"/>
        </w:rPr>
        <w:t>Senāta 2017.gada 22.septembra sprieduma lietā Nr. SKA-558/2017 (</w:t>
      </w:r>
      <w:hyperlink r:id="rId20" w:history="1">
        <w:r w:rsidRPr="007B4062">
          <w:rPr>
            <w:rStyle w:val="Hyperlink"/>
            <w:rFonts w:ascii="Times New Roman" w:eastAsiaTheme="minorHAnsi" w:hAnsi="Times New Roman" w:cs="Times New Roman"/>
            <w:bCs/>
            <w:i/>
            <w:iCs/>
            <w:color w:val="auto"/>
            <w:sz w:val="24"/>
            <w:szCs w:val="24"/>
            <w:u w:val="none"/>
            <w:lang w:val="lv-LV"/>
          </w:rPr>
          <w:t>ECLI:LV:AT:2017:0922.A420285614.1.S</w:t>
        </w:r>
      </w:hyperlink>
      <w:r w:rsidRPr="007B4062">
        <w:rPr>
          <w:rFonts w:ascii="Times New Roman" w:hAnsi="Times New Roman" w:cs="Times New Roman"/>
          <w:i/>
          <w:iCs/>
          <w:sz w:val="24"/>
          <w:szCs w:val="24"/>
          <w:lang w:val="lv-LV"/>
        </w:rPr>
        <w:t xml:space="preserve">) </w:t>
      </w:r>
      <w:r w:rsidRPr="007B4062">
        <w:rPr>
          <w:rFonts w:ascii="Times New Roman" w:eastAsiaTheme="minorHAnsi" w:hAnsi="Times New Roman" w:cs="Times New Roman"/>
          <w:bCs/>
          <w:i/>
          <w:iCs/>
          <w:sz w:val="24"/>
          <w:szCs w:val="24"/>
          <w:lang w:val="lv-LV"/>
        </w:rPr>
        <w:t>15.punkts</w:t>
      </w:r>
      <w:r w:rsidRPr="007B4062">
        <w:rPr>
          <w:rFonts w:ascii="Times New Roman" w:eastAsiaTheme="minorHAnsi" w:hAnsi="Times New Roman" w:cs="Times New Roman"/>
          <w:bCs/>
          <w:sz w:val="24"/>
          <w:szCs w:val="24"/>
          <w:lang w:val="lv-LV"/>
        </w:rPr>
        <w:t>).</w:t>
      </w:r>
    </w:p>
    <w:p w14:paraId="6A85AFFA" w14:textId="10BBBE11" w:rsidR="005A498B" w:rsidRPr="007B4062" w:rsidRDefault="005A498B" w:rsidP="003F1B18">
      <w:pPr>
        <w:tabs>
          <w:tab w:val="left" w:pos="540"/>
        </w:tabs>
        <w:spacing w:after="0"/>
        <w:ind w:firstLine="567"/>
        <w:jc w:val="both"/>
        <w:rPr>
          <w:rStyle w:val="Hyperlink"/>
          <w:rFonts w:ascii="Times New Roman" w:hAnsi="Times New Roman" w:cs="Times New Roman"/>
          <w:color w:val="auto"/>
          <w:sz w:val="24"/>
          <w:szCs w:val="24"/>
          <w:u w:val="none"/>
          <w:lang w:val="lv-LV"/>
        </w:rPr>
      </w:pPr>
      <w:r w:rsidRPr="007B4062">
        <w:rPr>
          <w:rFonts w:ascii="Times New Roman" w:eastAsiaTheme="minorHAnsi" w:hAnsi="Times New Roman" w:cs="Times New Roman"/>
          <w:bCs/>
          <w:sz w:val="24"/>
          <w:szCs w:val="24"/>
          <w:lang w:val="lv-LV"/>
        </w:rPr>
        <w:t>Vienlaikus judikatūrā attiecībā uz ne</w:t>
      </w:r>
      <w:r w:rsidR="00320CBC">
        <w:rPr>
          <w:rFonts w:ascii="Times New Roman" w:eastAsiaTheme="minorHAnsi" w:hAnsi="Times New Roman" w:cs="Times New Roman"/>
          <w:bCs/>
          <w:sz w:val="24"/>
          <w:szCs w:val="24"/>
          <w:lang w:val="lv-LV"/>
        </w:rPr>
        <w:t>ie</w:t>
      </w:r>
      <w:r w:rsidRPr="007B4062">
        <w:rPr>
          <w:rFonts w:ascii="Times New Roman" w:eastAsiaTheme="minorHAnsi" w:hAnsi="Times New Roman" w:cs="Times New Roman"/>
          <w:bCs/>
          <w:sz w:val="24"/>
          <w:szCs w:val="24"/>
          <w:lang w:val="lv-LV"/>
        </w:rPr>
        <w:t>gūtās peļņas apmēra konstatēšanu arī atzīts, ka ne vienmēr ir iespējama ne</w:t>
      </w:r>
      <w:r w:rsidR="00320CBC">
        <w:rPr>
          <w:rFonts w:ascii="Times New Roman" w:eastAsiaTheme="minorHAnsi" w:hAnsi="Times New Roman" w:cs="Times New Roman"/>
          <w:bCs/>
          <w:sz w:val="24"/>
          <w:szCs w:val="24"/>
          <w:lang w:val="lv-LV"/>
        </w:rPr>
        <w:t>ie</w:t>
      </w:r>
      <w:r w:rsidRPr="007B4062">
        <w:rPr>
          <w:rFonts w:ascii="Times New Roman" w:eastAsiaTheme="minorHAnsi" w:hAnsi="Times New Roman" w:cs="Times New Roman"/>
          <w:bCs/>
          <w:sz w:val="24"/>
          <w:szCs w:val="24"/>
          <w:lang w:val="lv-LV"/>
        </w:rPr>
        <w:t xml:space="preserve">gūtās peļņas patiesā apmēra </w:t>
      </w:r>
      <w:r w:rsidRPr="007B4062">
        <w:rPr>
          <w:rFonts w:ascii="Times New Roman" w:hAnsi="Times New Roman" w:cs="Times New Roman"/>
          <w:sz w:val="24"/>
          <w:szCs w:val="24"/>
          <w:lang w:val="lv-LV"/>
        </w:rPr>
        <w:t>precīza pierādīšana, tāpēc ir pietiekami, ja tiek pierādīta liela varbūtība. Proti, jāņem vērā tā peļņa, kuru varēja ticami gūt (</w:t>
      </w:r>
      <w:r w:rsidRPr="007B4062">
        <w:rPr>
          <w:rFonts w:ascii="Times New Roman" w:hAnsi="Times New Roman" w:cs="Times New Roman"/>
          <w:i/>
          <w:iCs/>
          <w:sz w:val="24"/>
          <w:szCs w:val="24"/>
          <w:lang w:val="lv-LV"/>
        </w:rPr>
        <w:t>Senāta 2019.gada 9.aprīļa sprieduma lietā Nr. SKC-94/2019 (</w:t>
      </w:r>
      <w:hyperlink r:id="rId21" w:history="1">
        <w:r w:rsidRPr="007B4062">
          <w:rPr>
            <w:rStyle w:val="Hyperlink"/>
            <w:rFonts w:ascii="Times New Roman" w:hAnsi="Times New Roman" w:cs="Times New Roman"/>
            <w:i/>
            <w:iCs/>
            <w:color w:val="auto"/>
            <w:sz w:val="24"/>
            <w:szCs w:val="24"/>
            <w:u w:val="none"/>
            <w:lang w:val="lv-LV"/>
          </w:rPr>
          <w:t>ECLI:LV:AT:2019:0409.C40128313.2.S</w:t>
        </w:r>
      </w:hyperlink>
      <w:r w:rsidRPr="007B4062">
        <w:rPr>
          <w:rStyle w:val="Hyperlink"/>
          <w:rFonts w:ascii="Times New Roman" w:hAnsi="Times New Roman" w:cs="Times New Roman"/>
          <w:i/>
          <w:iCs/>
          <w:color w:val="auto"/>
          <w:sz w:val="24"/>
          <w:szCs w:val="24"/>
          <w:u w:val="none"/>
          <w:lang w:val="lv-LV"/>
        </w:rPr>
        <w:t>)</w:t>
      </w:r>
      <w:r w:rsidRPr="007B4062">
        <w:rPr>
          <w:rFonts w:ascii="Times New Roman" w:hAnsi="Times New Roman" w:cs="Times New Roman"/>
          <w:i/>
          <w:iCs/>
          <w:sz w:val="24"/>
          <w:szCs w:val="24"/>
          <w:lang w:val="lv-LV"/>
        </w:rPr>
        <w:t xml:space="preserve"> 8.1</w:t>
      </w:r>
      <w:r w:rsidR="00F27CC3" w:rsidRPr="007B4062">
        <w:rPr>
          <w:rFonts w:ascii="Times New Roman" w:hAnsi="Times New Roman" w:cs="Times New Roman"/>
          <w:i/>
          <w:iCs/>
          <w:sz w:val="24"/>
          <w:szCs w:val="24"/>
          <w:lang w:val="lv-LV"/>
        </w:rPr>
        <w:t>.</w:t>
      </w:r>
      <w:r w:rsidRPr="007B4062">
        <w:rPr>
          <w:rFonts w:ascii="Times New Roman" w:hAnsi="Times New Roman" w:cs="Times New Roman"/>
          <w:i/>
          <w:iCs/>
          <w:sz w:val="24"/>
          <w:szCs w:val="24"/>
          <w:lang w:val="lv-LV"/>
        </w:rPr>
        <w:t xml:space="preserve"> un 8.3.punkts, 2020.gada 29.jūnija sprieduma lietā Nr. SKC-32/2020 (</w:t>
      </w:r>
      <w:hyperlink r:id="rId22" w:history="1">
        <w:r w:rsidRPr="007B4062">
          <w:rPr>
            <w:rStyle w:val="Hyperlink"/>
            <w:rFonts w:ascii="Times New Roman" w:hAnsi="Times New Roman" w:cs="Times New Roman"/>
            <w:i/>
            <w:iCs/>
            <w:color w:val="auto"/>
            <w:sz w:val="24"/>
            <w:szCs w:val="24"/>
            <w:u w:val="none"/>
            <w:lang w:val="lv-LV"/>
          </w:rPr>
          <w:t>ECLI:LV:AT:2020:0629.C09020614.5.S</w:t>
        </w:r>
      </w:hyperlink>
      <w:r w:rsidRPr="007B4062">
        <w:rPr>
          <w:rFonts w:ascii="Times New Roman" w:hAnsi="Times New Roman" w:cs="Times New Roman"/>
          <w:i/>
          <w:iCs/>
          <w:sz w:val="24"/>
          <w:szCs w:val="24"/>
          <w:lang w:val="lv-LV"/>
        </w:rPr>
        <w:t>)</w:t>
      </w:r>
      <w:r w:rsidRPr="007B4062">
        <w:rPr>
          <w:rStyle w:val="Hyperlink"/>
          <w:rFonts w:ascii="Times New Roman" w:hAnsi="Times New Roman" w:cs="Times New Roman"/>
          <w:i/>
          <w:iCs/>
          <w:color w:val="auto"/>
          <w:sz w:val="24"/>
          <w:szCs w:val="24"/>
          <w:u w:val="none"/>
          <w:lang w:val="lv-LV"/>
        </w:rPr>
        <w:t xml:space="preserve"> 9.2.punkts</w:t>
      </w:r>
      <w:r w:rsidRPr="007B4062">
        <w:rPr>
          <w:rStyle w:val="Hyperlink"/>
          <w:rFonts w:ascii="Times New Roman" w:hAnsi="Times New Roman" w:cs="Times New Roman"/>
          <w:color w:val="auto"/>
          <w:sz w:val="24"/>
          <w:szCs w:val="24"/>
          <w:u w:val="none"/>
          <w:lang w:val="lv-LV"/>
        </w:rPr>
        <w:t>).</w:t>
      </w:r>
    </w:p>
    <w:p w14:paraId="25BCF379" w14:textId="77777777" w:rsidR="005A498B" w:rsidRPr="007B4062" w:rsidRDefault="005A498B" w:rsidP="003F1B18">
      <w:pPr>
        <w:tabs>
          <w:tab w:val="left" w:pos="540"/>
        </w:tabs>
        <w:spacing w:after="0"/>
        <w:ind w:firstLine="567"/>
        <w:jc w:val="both"/>
        <w:rPr>
          <w:rStyle w:val="Hyperlink"/>
          <w:rFonts w:ascii="Times New Roman" w:hAnsi="Times New Roman" w:cs="Times New Roman"/>
          <w:color w:val="auto"/>
          <w:sz w:val="24"/>
          <w:szCs w:val="24"/>
          <w:u w:val="none"/>
          <w:lang w:val="lv-LV"/>
        </w:rPr>
      </w:pPr>
    </w:p>
    <w:p w14:paraId="53432B2E" w14:textId="19DA57A9" w:rsidR="0024412D" w:rsidRPr="007B4062" w:rsidRDefault="005A498B" w:rsidP="003F1B18">
      <w:pPr>
        <w:pStyle w:val="Pamatteksts1"/>
        <w:spacing w:before="0" w:line="276" w:lineRule="auto"/>
        <w:ind w:firstLine="567"/>
        <w:rPr>
          <w:rFonts w:eastAsiaTheme="minorHAnsi"/>
        </w:rPr>
      </w:pPr>
      <w:r w:rsidRPr="007B4062">
        <w:rPr>
          <w:rFonts w:eastAsiaTheme="minorHAnsi"/>
          <w:bCs/>
        </w:rPr>
        <w:t>[4</w:t>
      </w:r>
      <w:r w:rsidR="00155792" w:rsidRPr="007B4062">
        <w:rPr>
          <w:rFonts w:eastAsiaTheme="minorHAnsi"/>
          <w:bCs/>
        </w:rPr>
        <w:t>4</w:t>
      </w:r>
      <w:r w:rsidRPr="007B4062">
        <w:rPr>
          <w:rFonts w:eastAsiaTheme="minorHAnsi"/>
          <w:bCs/>
        </w:rPr>
        <w:t>]</w:t>
      </w:r>
      <w:r w:rsidR="00A92E72">
        <w:rPr>
          <w:rFonts w:eastAsiaTheme="minorHAnsi"/>
          <w:bCs/>
        </w:rPr>
        <w:t> </w:t>
      </w:r>
      <w:r w:rsidRPr="007B4062">
        <w:rPr>
          <w:rFonts w:eastAsiaTheme="minorHAnsi"/>
          <w:bCs/>
        </w:rPr>
        <w:t xml:space="preserve">Kasatore </w:t>
      </w:r>
      <w:r w:rsidRPr="007B4062">
        <w:t xml:space="preserve">iebildusi, ka tiesa, pārbaudot, vai ir pamats uzskatīt, ka pieteicēja strīdus iepirkumā būtu guvusi peļņu pieteikumā norādītajā apmērā, ir ņēmusi vērā </w:t>
      </w:r>
      <w:r w:rsidR="00BD7F17">
        <w:t>„</w:t>
      </w:r>
      <w:r w:rsidRPr="0045627A">
        <w:rPr>
          <w:rFonts w:eastAsiaTheme="minorHAnsi"/>
        </w:rPr>
        <w:t>Grant Thornton</w:t>
      </w:r>
      <w:r w:rsidR="00BD7F17">
        <w:rPr>
          <w:rFonts w:eastAsiaTheme="minorHAnsi"/>
        </w:rPr>
        <w:t>”</w:t>
      </w:r>
      <w:r w:rsidRPr="007B4062">
        <w:rPr>
          <w:rFonts w:eastAsiaTheme="minorHAnsi"/>
          <w:i/>
          <w:iCs/>
        </w:rPr>
        <w:t xml:space="preserve"> </w:t>
      </w:r>
      <w:r w:rsidRPr="007B4062">
        <w:rPr>
          <w:rFonts w:eastAsiaTheme="minorHAnsi"/>
        </w:rPr>
        <w:t xml:space="preserve">novērtējumu. </w:t>
      </w:r>
    </w:p>
    <w:p w14:paraId="69AF9C8F" w14:textId="77777777" w:rsidR="0024412D" w:rsidRPr="007B4062" w:rsidRDefault="0024412D" w:rsidP="003F1B18">
      <w:pPr>
        <w:pStyle w:val="Pamatteksts1"/>
        <w:spacing w:before="0" w:line="276" w:lineRule="auto"/>
        <w:ind w:firstLine="567"/>
        <w:rPr>
          <w:rFonts w:eastAsiaTheme="minorHAnsi"/>
        </w:rPr>
      </w:pPr>
      <w:r w:rsidRPr="007B4062">
        <w:rPr>
          <w:rFonts w:eastAsiaTheme="minorHAnsi"/>
        </w:rPr>
        <w:t xml:space="preserve">Šo iebildumu kasatore pamatojusi ar diviem galvenajiem apsvērumiem. </w:t>
      </w:r>
    </w:p>
    <w:p w14:paraId="5CD520C7" w14:textId="0D774AD3" w:rsidR="005A498B" w:rsidRPr="007B4062" w:rsidRDefault="0024412D" w:rsidP="003F1B18">
      <w:pPr>
        <w:pStyle w:val="Pamatteksts1"/>
        <w:spacing w:before="0" w:line="276" w:lineRule="auto"/>
        <w:ind w:firstLine="567"/>
      </w:pPr>
      <w:r w:rsidRPr="007B4062">
        <w:rPr>
          <w:rFonts w:eastAsiaTheme="minorHAnsi"/>
        </w:rPr>
        <w:t>Pirmais no tiem: k</w:t>
      </w:r>
      <w:r w:rsidR="005A498B" w:rsidRPr="007B4062">
        <w:rPr>
          <w:rFonts w:eastAsiaTheme="minorHAnsi"/>
        </w:rPr>
        <w:t>asatores ieskatā tiesa</w:t>
      </w:r>
      <w:r w:rsidRPr="007B4062">
        <w:rPr>
          <w:rFonts w:eastAsiaTheme="minorHAnsi"/>
        </w:rPr>
        <w:t>, kā pieļaujamu pierādījumu akceptējot konkrēto novērtējumu, ir</w:t>
      </w:r>
      <w:r w:rsidR="005A498B" w:rsidRPr="007B4062">
        <w:rPr>
          <w:rFonts w:eastAsiaTheme="minorHAnsi"/>
        </w:rPr>
        <w:t xml:space="preserve"> rīkojusies pretēji </w:t>
      </w:r>
      <w:r w:rsidR="005A498B" w:rsidRPr="007B4062">
        <w:t>judikatūras – Senāta 2017.gada 27.jūnija sprieduma lietā Nr. </w:t>
      </w:r>
      <w:r w:rsidR="005A498B" w:rsidRPr="007B4062">
        <w:rPr>
          <w:rFonts w:eastAsiaTheme="minorHAnsi"/>
        </w:rPr>
        <w:t>SKC-237/2017</w:t>
      </w:r>
      <w:r w:rsidR="005A498B" w:rsidRPr="007B4062">
        <w:t xml:space="preserve"> – atziņai, ka ne</w:t>
      </w:r>
      <w:r w:rsidR="00320CBC">
        <w:t>ie</w:t>
      </w:r>
      <w:r w:rsidR="005A498B" w:rsidRPr="007B4062">
        <w:t xml:space="preserve">gūto peļņu nevar pierādīt ar </w:t>
      </w:r>
      <w:r w:rsidR="00C36D29" w:rsidRPr="007B4062">
        <w:t>šāda veida</w:t>
      </w:r>
      <w:r w:rsidR="005A498B" w:rsidRPr="007B4062">
        <w:t xml:space="preserve"> novērtējumu.</w:t>
      </w:r>
    </w:p>
    <w:p w14:paraId="7757587E" w14:textId="77777777" w:rsidR="005A498B" w:rsidRPr="007B4062" w:rsidRDefault="005A498B" w:rsidP="003F1B18">
      <w:pPr>
        <w:pStyle w:val="Pamatteksts1"/>
        <w:spacing w:before="0" w:line="276" w:lineRule="auto"/>
        <w:ind w:firstLine="567"/>
      </w:pPr>
    </w:p>
    <w:p w14:paraId="6CEAD0AF" w14:textId="1363E85D" w:rsidR="005A498B" w:rsidRPr="007B4062" w:rsidRDefault="005A498B" w:rsidP="003F1B18">
      <w:pPr>
        <w:pStyle w:val="Pamatteksts1"/>
        <w:spacing w:before="0" w:line="276" w:lineRule="auto"/>
        <w:ind w:firstLine="567"/>
      </w:pPr>
      <w:r w:rsidRPr="007B4062">
        <w:t>[4</w:t>
      </w:r>
      <w:r w:rsidR="00155792" w:rsidRPr="007B4062">
        <w:t>5</w:t>
      </w:r>
      <w:r w:rsidRPr="007B4062">
        <w:t>]</w:t>
      </w:r>
      <w:r w:rsidR="00A92E72">
        <w:t> </w:t>
      </w:r>
      <w:r w:rsidRPr="007B4062">
        <w:t xml:space="preserve">Senāts šo kasatores argumentu turpmāk norādīto apsvērumu dēļ atzīst par nepamatotu. </w:t>
      </w:r>
    </w:p>
    <w:p w14:paraId="0754AD9B" w14:textId="606D0ECF" w:rsidR="005A498B" w:rsidRPr="007B4062" w:rsidRDefault="005A498B" w:rsidP="003F1B18">
      <w:pPr>
        <w:pStyle w:val="Pamatteksts1"/>
        <w:spacing w:before="0" w:line="276" w:lineRule="auto"/>
        <w:ind w:firstLine="567"/>
      </w:pPr>
      <w:r w:rsidRPr="007B4062">
        <w:t>Lietā Nr. SKC-237/2017, kurā Senāts atzina, ka eksperta vērtējums, kas balstīts uz prasītāja sniegtiem datiem, nevar būt pietiekams pierādījums ne</w:t>
      </w:r>
      <w:r w:rsidR="00320CBC">
        <w:t>ie</w:t>
      </w:r>
      <w:r w:rsidRPr="007B4062">
        <w:t>gūtajai peļņai, bija no izskatāmās lietas atšķirīgi apstākļi. Šajā lietā strīds bija par zaudējumu – ne</w:t>
      </w:r>
      <w:r w:rsidR="00320CBC">
        <w:t>ie</w:t>
      </w:r>
      <w:r w:rsidRPr="007B4062">
        <w:t>gūtās peļņas – atlīdzināšanu, kas prasītājai nodarīti ar to, ka iznomātājs vienpusēji izbeidza nomas līgumu par zemi, kuru prasītāja izmantoja un arī vēlējās turpināt izmantot autostāvvietas pakalpojumu sniegšanai. Kā izriet no minētā sprieduma, prasītājas iesniegtajā eksperta vērtējumā par ne</w:t>
      </w:r>
      <w:r w:rsidR="00320CBC">
        <w:t>ie</w:t>
      </w:r>
      <w:r w:rsidRPr="007B4062">
        <w:t xml:space="preserve">gūtās peļņas apmēru aprēķini bija veikti, balstoties uz prognozi par to, kādus ieņēmumus prasītāja varētu būt guvusi, izmantojot zemi autostāvvietu pakalpojumu sniegšanai laika posmā no 1999.gada 4.augusta līdz 2021.gada 12.martam, un šī prognoze savukārt tika balstīta </w:t>
      </w:r>
      <w:r w:rsidRPr="007B4062">
        <w:rPr>
          <w:rFonts w:eastAsiaTheme="minorHAnsi"/>
        </w:rPr>
        <w:t xml:space="preserve">tikai un vienīgi </w:t>
      </w:r>
      <w:r w:rsidR="00F27CC3" w:rsidRPr="007B4062">
        <w:rPr>
          <w:rFonts w:eastAsiaTheme="minorHAnsi"/>
        </w:rPr>
        <w:t xml:space="preserve">uz </w:t>
      </w:r>
      <w:r w:rsidRPr="007B4062">
        <w:rPr>
          <w:rFonts w:eastAsiaTheme="minorHAnsi"/>
        </w:rPr>
        <w:t>prasītājas paskaidrojum</w:t>
      </w:r>
      <w:r w:rsidR="00F27CC3" w:rsidRPr="007B4062">
        <w:rPr>
          <w:rFonts w:eastAsiaTheme="minorHAnsi"/>
        </w:rPr>
        <w:t>iem</w:t>
      </w:r>
      <w:r w:rsidRPr="007B4062">
        <w:rPr>
          <w:rFonts w:eastAsiaTheme="minorHAnsi"/>
        </w:rPr>
        <w:t xml:space="preserve"> par tās ieņēmumiem autostāvvietas lietošanas laikā. Tādējādi eksperta rīcībā </w:t>
      </w:r>
      <w:r w:rsidRPr="007B4062">
        <w:t xml:space="preserve">nebija konkrētu faktu par laika posmu no 1999.gada 4.augusta līdz 2021.gada 12.martam (piemēram, konkrētu dokumentu, kas apliecinātu, ka un kādi ieņēmumi būtu gūti), un aprēķini bija izdarīti, balstoties tikai uz pieņēmumu, ka ieņēmumi būs analogi tiem, kādus atbilstoši prasītājas apgalvotajam tā bija guvusi laikā līdz 1999.gada 4.augustam. Tāpēc Senāts atzina, ka šāds vērtējums konkrētajā lietā nevar būt pietiekams pierādījums. </w:t>
      </w:r>
    </w:p>
    <w:p w14:paraId="5694D9AA" w14:textId="45B5AE9F" w:rsidR="005A498B" w:rsidRPr="007B4062" w:rsidRDefault="005A498B" w:rsidP="003F1B18">
      <w:pPr>
        <w:pStyle w:val="Pamatteksts1"/>
        <w:spacing w:before="0" w:line="276" w:lineRule="auto"/>
        <w:ind w:firstLine="567"/>
      </w:pPr>
      <w:r w:rsidRPr="007B4062">
        <w:t>Tomēr tas, ka Senāts minētajā civillietā eksperta vērtējumu atzina par nepietiekamu pierādījumu ne</w:t>
      </w:r>
      <w:r w:rsidR="00320CBC">
        <w:t>ie</w:t>
      </w:r>
      <w:r w:rsidRPr="007B4062">
        <w:t>gūtās peļņas apmēram, nenozīmē, ka lietās par ne</w:t>
      </w:r>
      <w:r w:rsidR="00320CBC">
        <w:t>ie</w:t>
      </w:r>
      <w:r w:rsidRPr="007B4062">
        <w:t>gūtās peļņas atlīdzinājumu speciālista novērtējums (ne</w:t>
      </w:r>
      <w:r w:rsidR="00320CBC">
        <w:t>ie</w:t>
      </w:r>
      <w:r w:rsidRPr="007B4062">
        <w:t>gūtās peļņas hipotētiskais aprēķins) nekad nevarētu būt ticams pierādījums ne</w:t>
      </w:r>
      <w:r w:rsidR="00320CBC">
        <w:t>ie</w:t>
      </w:r>
      <w:r w:rsidRPr="007B4062">
        <w:t>gūtās peļņas apmēram. Kā pierādījums nav uzskatāms tikai tāds speciālista novērtējums, kas balstīts tikai pieņēmumos, nevis uz konkrēto gadījumu attiecināmos faktos.</w:t>
      </w:r>
    </w:p>
    <w:p w14:paraId="4EB6504E" w14:textId="6822ADDA" w:rsidR="0024412D" w:rsidRPr="007B4062" w:rsidRDefault="005A498B"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Izskatāmajā lietā atšķirībā no minētās civillietas ir zināms, par kādu tieši summu iepirkuma tiesiskas norises gadījumā būtu bijis noslēgts iepirkuma līgums ar pieteicēju, jo ir zināms, kāds bija pieteicējas piedāvājums (piedāvātā cena, kuru būtu maksājusi pasūtītāja). Tāpat ir zināmi arī līguma nosacījumi, </w:t>
      </w:r>
      <w:r w:rsidR="00BD7F17" w:rsidRPr="007B4062">
        <w:rPr>
          <w:rFonts w:ascii="Times New Roman" w:hAnsi="Times New Roman" w:cs="Times New Roman"/>
          <w:sz w:val="24"/>
          <w:szCs w:val="24"/>
          <w:lang w:val="lv-LV"/>
        </w:rPr>
        <w:t xml:space="preserve">kuriem </w:t>
      </w:r>
      <w:r w:rsidRPr="007B4062">
        <w:rPr>
          <w:rFonts w:ascii="Times New Roman" w:hAnsi="Times New Roman" w:cs="Times New Roman"/>
          <w:sz w:val="24"/>
          <w:szCs w:val="24"/>
          <w:lang w:val="lv-LV"/>
        </w:rPr>
        <w:t>atbilstoši līgums būtu pildāms (izpildāmie darbi, darbu izpildes laika grafiks). Tāpat ir zināms, kādas izmaksas līguma izpildei pieteicēja bija plānojusi. Tātad</w:t>
      </w:r>
      <w:r w:rsidR="00BD7F17">
        <w:rPr>
          <w:rFonts w:ascii="Times New Roman" w:hAnsi="Times New Roman" w:cs="Times New Roman"/>
          <w:sz w:val="24"/>
          <w:szCs w:val="24"/>
          <w:lang w:val="lv-LV"/>
        </w:rPr>
        <w:t>,</w:t>
      </w:r>
      <w:r w:rsidRPr="007B4062">
        <w:rPr>
          <w:rFonts w:ascii="Times New Roman" w:hAnsi="Times New Roman" w:cs="Times New Roman"/>
          <w:sz w:val="24"/>
          <w:szCs w:val="24"/>
          <w:lang w:val="lv-LV"/>
        </w:rPr>
        <w:t xml:space="preserve"> balstoties uz konkrētiem faktiem, nevis tikai prognozēm, bija iespējams vērtēt, kāda attiecīgi peļņa būtu gūta. Ja neatkarīga vērtētāja rīcībā ir šādi dati, tad situācija ir atšķirīga no kasatores norādītās civillietas.</w:t>
      </w:r>
    </w:p>
    <w:p w14:paraId="47576A97" w14:textId="09EB6A81" w:rsidR="0024412D" w:rsidRPr="007B4062" w:rsidRDefault="00C36D29" w:rsidP="003F1B18">
      <w:pPr>
        <w:spacing w:after="0"/>
        <w:ind w:firstLine="567"/>
        <w:jc w:val="both"/>
        <w:rPr>
          <w:rFonts w:ascii="Times New Roman" w:eastAsiaTheme="minorHAnsi" w:hAnsi="Times New Roman" w:cs="Times New Roman"/>
          <w:sz w:val="24"/>
          <w:szCs w:val="24"/>
          <w:lang w:val="lv-LV"/>
        </w:rPr>
      </w:pPr>
      <w:r w:rsidRPr="007B4062">
        <w:rPr>
          <w:rFonts w:ascii="Times New Roman" w:hAnsi="Times New Roman" w:cs="Times New Roman"/>
          <w:sz w:val="24"/>
          <w:szCs w:val="24"/>
          <w:lang w:val="lv-LV"/>
        </w:rPr>
        <w:t xml:space="preserve">Tiesa norādījusi, ka </w:t>
      </w:r>
      <w:r w:rsidR="00BD7F17">
        <w:rPr>
          <w:rFonts w:ascii="Times New Roman" w:hAnsi="Times New Roman" w:cs="Times New Roman"/>
          <w:sz w:val="24"/>
          <w:szCs w:val="24"/>
          <w:lang w:val="lv-LV"/>
        </w:rPr>
        <w:t>„</w:t>
      </w:r>
      <w:r w:rsidRPr="0045627A">
        <w:rPr>
          <w:rFonts w:ascii="Times New Roman" w:hAnsi="Times New Roman" w:cs="Times New Roman"/>
          <w:sz w:val="24"/>
          <w:szCs w:val="24"/>
          <w:lang w:val="lv-LV"/>
        </w:rPr>
        <w:t>Grant Thornton</w:t>
      </w:r>
      <w:r w:rsidR="00BD7F17">
        <w:rPr>
          <w:rFonts w:ascii="Times New Roman" w:hAnsi="Times New Roman" w:cs="Times New Roman"/>
          <w:sz w:val="24"/>
          <w:szCs w:val="24"/>
          <w:lang w:val="lv-LV"/>
        </w:rPr>
        <w:t>”</w:t>
      </w:r>
      <w:r w:rsidRPr="007B4062">
        <w:rPr>
          <w:rFonts w:ascii="Times New Roman" w:hAnsi="Times New Roman" w:cs="Times New Roman"/>
          <w:sz w:val="24"/>
          <w:szCs w:val="24"/>
          <w:lang w:val="lv-LV"/>
        </w:rPr>
        <w:t xml:space="preserve"> rīcībā bija </w:t>
      </w:r>
      <w:r w:rsidR="00B25BF4" w:rsidRPr="007B4062">
        <w:rPr>
          <w:rFonts w:ascii="Times New Roman" w:hAnsi="Times New Roman" w:cs="Times New Roman"/>
          <w:sz w:val="24"/>
          <w:szCs w:val="24"/>
          <w:lang w:val="lv-LV"/>
        </w:rPr>
        <w:t xml:space="preserve">gan pieteicējas strīdus iepirkumā iesniegtais piedāvājums, gan </w:t>
      </w:r>
      <w:r w:rsidRPr="007B4062">
        <w:rPr>
          <w:rFonts w:ascii="Times New Roman" w:hAnsi="Times New Roman" w:cs="Times New Roman"/>
          <w:sz w:val="24"/>
          <w:szCs w:val="24"/>
          <w:lang w:val="lv-LV"/>
        </w:rPr>
        <w:t xml:space="preserve">pieteicējas tāme, kas bija izstrādāta strīdus iepirkuma piedāvājuma sagatavošanas vajadzībām. Tiesa, vērtējot </w:t>
      </w:r>
      <w:r w:rsidR="00BD7F17">
        <w:rPr>
          <w:rFonts w:ascii="Times New Roman" w:hAnsi="Times New Roman" w:cs="Times New Roman"/>
          <w:sz w:val="24"/>
          <w:szCs w:val="24"/>
          <w:lang w:val="lv-LV"/>
        </w:rPr>
        <w:t>„</w:t>
      </w:r>
      <w:r w:rsidRPr="0045627A">
        <w:rPr>
          <w:rFonts w:ascii="Times New Roman" w:eastAsiaTheme="minorHAnsi" w:hAnsi="Times New Roman" w:cs="Times New Roman"/>
          <w:sz w:val="24"/>
          <w:szCs w:val="24"/>
          <w:lang w:val="lv-LV"/>
        </w:rPr>
        <w:t>Grant Thornton</w:t>
      </w:r>
      <w:r w:rsidR="00BD7F17">
        <w:rPr>
          <w:rFonts w:ascii="Times New Roman" w:eastAsiaTheme="minorHAnsi" w:hAnsi="Times New Roman" w:cs="Times New Roman"/>
          <w:sz w:val="24"/>
          <w:szCs w:val="24"/>
          <w:lang w:val="lv-LV"/>
        </w:rPr>
        <w:t>”</w:t>
      </w:r>
      <w:r w:rsidRPr="007B4062">
        <w:rPr>
          <w:rFonts w:ascii="Times New Roman" w:eastAsiaTheme="minorHAnsi" w:hAnsi="Times New Roman" w:cs="Times New Roman"/>
          <w:i/>
          <w:iCs/>
          <w:sz w:val="24"/>
          <w:szCs w:val="24"/>
          <w:lang w:val="lv-LV"/>
        </w:rPr>
        <w:t xml:space="preserve"> </w:t>
      </w:r>
      <w:r w:rsidRPr="007B4062">
        <w:rPr>
          <w:rFonts w:ascii="Times New Roman" w:eastAsiaTheme="minorHAnsi" w:hAnsi="Times New Roman" w:cs="Times New Roman"/>
          <w:sz w:val="24"/>
          <w:szCs w:val="24"/>
          <w:lang w:val="lv-LV"/>
        </w:rPr>
        <w:t xml:space="preserve">novērtējumu, ir ņēmusi vērā arī to, ka vērtējums izstrādāts, ņemot vērā </w:t>
      </w:r>
      <w:r w:rsidR="00BD7F17">
        <w:rPr>
          <w:rFonts w:ascii="Times New Roman" w:eastAsiaTheme="minorHAnsi" w:hAnsi="Times New Roman" w:cs="Times New Roman"/>
          <w:sz w:val="24"/>
          <w:szCs w:val="24"/>
          <w:lang w:val="lv-LV"/>
        </w:rPr>
        <w:t xml:space="preserve">arī </w:t>
      </w:r>
      <w:r w:rsidRPr="007B4062">
        <w:rPr>
          <w:rFonts w:ascii="Times New Roman" w:eastAsiaTheme="minorHAnsi" w:hAnsi="Times New Roman" w:cs="Times New Roman"/>
          <w:sz w:val="24"/>
          <w:szCs w:val="24"/>
          <w:lang w:val="lv-LV"/>
        </w:rPr>
        <w:t xml:space="preserve">informāciju, kas gūstama no iepirkuma nolikuma (nolikumam pievienotā būvniecības līguma projekta). </w:t>
      </w:r>
      <w:r w:rsidR="0024412D" w:rsidRPr="007B4062">
        <w:rPr>
          <w:rFonts w:ascii="Times New Roman" w:hAnsi="Times New Roman" w:cs="Times New Roman"/>
          <w:sz w:val="24"/>
          <w:szCs w:val="24"/>
          <w:lang w:val="lv-LV"/>
        </w:rPr>
        <w:t xml:space="preserve">Tas nozīmē, ka atšķirībā no minētās civillietas izskatāmajā gadījumā </w:t>
      </w:r>
      <w:r w:rsidRPr="007B4062">
        <w:rPr>
          <w:rFonts w:ascii="Times New Roman" w:hAnsi="Times New Roman" w:cs="Times New Roman"/>
          <w:sz w:val="24"/>
          <w:szCs w:val="24"/>
          <w:lang w:val="lv-LV"/>
        </w:rPr>
        <w:t xml:space="preserve">neatkarīgajam novērtējuma sagatavotājam bija </w:t>
      </w:r>
      <w:r w:rsidR="0024412D" w:rsidRPr="007B4062">
        <w:rPr>
          <w:rFonts w:ascii="Times New Roman" w:hAnsi="Times New Roman" w:cs="Times New Roman"/>
          <w:sz w:val="24"/>
          <w:szCs w:val="24"/>
          <w:lang w:val="lv-LV"/>
        </w:rPr>
        <w:t>zināmi ne</w:t>
      </w:r>
      <w:r w:rsidR="00320CBC">
        <w:rPr>
          <w:rFonts w:ascii="Times New Roman" w:hAnsi="Times New Roman" w:cs="Times New Roman"/>
          <w:sz w:val="24"/>
          <w:szCs w:val="24"/>
          <w:lang w:val="lv-LV"/>
        </w:rPr>
        <w:t>ie</w:t>
      </w:r>
      <w:r w:rsidR="0024412D" w:rsidRPr="007B4062">
        <w:rPr>
          <w:rFonts w:ascii="Times New Roman" w:hAnsi="Times New Roman" w:cs="Times New Roman"/>
          <w:sz w:val="24"/>
          <w:szCs w:val="24"/>
          <w:lang w:val="lv-LV"/>
        </w:rPr>
        <w:t>gūtās peļņas aprēķināšanai būtiski fakti</w:t>
      </w:r>
      <w:r w:rsidRPr="007B4062">
        <w:rPr>
          <w:rFonts w:ascii="Times New Roman" w:hAnsi="Times New Roman" w:cs="Times New Roman"/>
          <w:sz w:val="24"/>
          <w:szCs w:val="24"/>
          <w:lang w:val="lv-LV"/>
        </w:rPr>
        <w:t xml:space="preserve"> un pretēji </w:t>
      </w:r>
      <w:r w:rsidR="0024412D" w:rsidRPr="007B4062">
        <w:rPr>
          <w:rFonts w:ascii="Times New Roman" w:hAnsi="Times New Roman" w:cs="Times New Roman"/>
          <w:sz w:val="24"/>
          <w:szCs w:val="24"/>
          <w:lang w:val="lv-LV"/>
        </w:rPr>
        <w:t xml:space="preserve">kasatores apgalvojumam </w:t>
      </w:r>
      <w:r w:rsidR="00BD7F17">
        <w:rPr>
          <w:rFonts w:ascii="Times New Roman" w:hAnsi="Times New Roman" w:cs="Times New Roman"/>
          <w:sz w:val="24"/>
          <w:szCs w:val="24"/>
          <w:lang w:val="lv-LV"/>
        </w:rPr>
        <w:t>„</w:t>
      </w:r>
      <w:r w:rsidR="0024412D" w:rsidRPr="0045627A">
        <w:rPr>
          <w:rFonts w:ascii="Times New Roman" w:eastAsiaTheme="minorHAnsi" w:hAnsi="Times New Roman" w:cs="Times New Roman"/>
          <w:sz w:val="24"/>
          <w:szCs w:val="24"/>
          <w:lang w:val="lv-LV"/>
        </w:rPr>
        <w:t>Grant Thornton</w:t>
      </w:r>
      <w:r w:rsidR="00BD7F17">
        <w:rPr>
          <w:rFonts w:ascii="Times New Roman" w:eastAsiaTheme="minorHAnsi" w:hAnsi="Times New Roman" w:cs="Times New Roman"/>
          <w:sz w:val="24"/>
          <w:szCs w:val="24"/>
          <w:lang w:val="lv-LV"/>
        </w:rPr>
        <w:t>”</w:t>
      </w:r>
      <w:r w:rsidR="0024412D" w:rsidRPr="007B4062">
        <w:rPr>
          <w:rFonts w:ascii="Times New Roman" w:eastAsiaTheme="minorHAnsi" w:hAnsi="Times New Roman" w:cs="Times New Roman"/>
          <w:sz w:val="24"/>
          <w:szCs w:val="24"/>
          <w:lang w:val="lv-LV"/>
        </w:rPr>
        <w:t xml:space="preserve">, izstrādājot novērtējumu, aprēķinus nav </w:t>
      </w:r>
      <w:r w:rsidR="003D215E" w:rsidRPr="007B4062">
        <w:rPr>
          <w:rFonts w:ascii="Times New Roman" w:eastAsiaTheme="minorHAnsi" w:hAnsi="Times New Roman" w:cs="Times New Roman"/>
          <w:sz w:val="24"/>
          <w:szCs w:val="24"/>
          <w:lang w:val="lv-LV"/>
        </w:rPr>
        <w:t>balstīj</w:t>
      </w:r>
      <w:r w:rsidR="003D215E">
        <w:rPr>
          <w:rFonts w:ascii="Times New Roman" w:eastAsiaTheme="minorHAnsi" w:hAnsi="Times New Roman" w:cs="Times New Roman"/>
          <w:sz w:val="24"/>
          <w:szCs w:val="24"/>
          <w:lang w:val="lv-LV"/>
        </w:rPr>
        <w:t>is</w:t>
      </w:r>
      <w:r w:rsidR="003D215E" w:rsidRPr="007B4062">
        <w:rPr>
          <w:rFonts w:ascii="Times New Roman" w:eastAsiaTheme="minorHAnsi" w:hAnsi="Times New Roman" w:cs="Times New Roman"/>
          <w:sz w:val="24"/>
          <w:szCs w:val="24"/>
          <w:lang w:val="lv-LV"/>
        </w:rPr>
        <w:t xml:space="preserve"> </w:t>
      </w:r>
      <w:r w:rsidR="0024412D" w:rsidRPr="007B4062">
        <w:rPr>
          <w:rFonts w:ascii="Times New Roman" w:eastAsiaTheme="minorHAnsi" w:hAnsi="Times New Roman" w:cs="Times New Roman"/>
          <w:sz w:val="24"/>
          <w:szCs w:val="24"/>
          <w:lang w:val="lv-LV"/>
        </w:rPr>
        <w:t>tikai uz pieteicējas viedokli, bet gan uz konkrētiem faktiem (dokumentiem) saistībā ar strīdus iepirkumu. Savukārt tas, ka šis novērtējums nav eksperta atzinums Administratīvā procesa likuma izpratnē, neliedz to ņemt vērā kā rakstveida pierādījumu.</w:t>
      </w:r>
    </w:p>
    <w:p w14:paraId="3F9F3D1B" w14:textId="08186612" w:rsidR="007A0EDA" w:rsidRPr="007B4062" w:rsidRDefault="00C36D29" w:rsidP="003F1B18">
      <w:pPr>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 xml:space="preserve">Tādējādi kasatores uzskats, ka </w:t>
      </w:r>
      <w:r w:rsidR="003D215E">
        <w:rPr>
          <w:rFonts w:ascii="Times New Roman" w:eastAsiaTheme="minorHAnsi" w:hAnsi="Times New Roman" w:cs="Times New Roman"/>
          <w:sz w:val="24"/>
          <w:szCs w:val="24"/>
          <w:lang w:val="lv-LV"/>
        </w:rPr>
        <w:t>„</w:t>
      </w:r>
      <w:r w:rsidRPr="0045627A">
        <w:rPr>
          <w:rFonts w:ascii="Times New Roman" w:eastAsiaTheme="minorHAnsi" w:hAnsi="Times New Roman" w:cs="Times New Roman"/>
          <w:sz w:val="24"/>
          <w:szCs w:val="24"/>
          <w:lang w:val="lv-LV"/>
        </w:rPr>
        <w:t>Grant Thornton</w:t>
      </w:r>
      <w:r w:rsidR="003D215E">
        <w:rPr>
          <w:rFonts w:ascii="Times New Roman" w:eastAsiaTheme="minorHAnsi" w:hAnsi="Times New Roman" w:cs="Times New Roman"/>
          <w:sz w:val="24"/>
          <w:szCs w:val="24"/>
          <w:lang w:val="lv-LV"/>
        </w:rPr>
        <w:t>”</w:t>
      </w:r>
      <w:r w:rsidRPr="007B4062">
        <w:rPr>
          <w:rFonts w:ascii="Times New Roman" w:eastAsiaTheme="minorHAnsi" w:hAnsi="Times New Roman" w:cs="Times New Roman"/>
          <w:i/>
          <w:iCs/>
          <w:sz w:val="24"/>
          <w:szCs w:val="24"/>
          <w:lang w:val="lv-LV"/>
        </w:rPr>
        <w:t xml:space="preserve"> </w:t>
      </w:r>
      <w:r w:rsidRPr="007B4062">
        <w:rPr>
          <w:rFonts w:ascii="Times New Roman" w:eastAsiaTheme="minorHAnsi" w:hAnsi="Times New Roman" w:cs="Times New Roman"/>
          <w:sz w:val="24"/>
          <w:szCs w:val="24"/>
          <w:lang w:val="lv-LV"/>
        </w:rPr>
        <w:t xml:space="preserve">novērtējums izskatāmajā lietā </w:t>
      </w:r>
      <w:r w:rsidR="00B25BF4" w:rsidRPr="007B4062">
        <w:rPr>
          <w:rFonts w:ascii="Times New Roman" w:eastAsiaTheme="minorHAnsi" w:hAnsi="Times New Roman" w:cs="Times New Roman"/>
          <w:sz w:val="24"/>
          <w:szCs w:val="24"/>
          <w:lang w:val="lv-LV"/>
        </w:rPr>
        <w:t xml:space="preserve">vispār </w:t>
      </w:r>
      <w:r w:rsidRPr="007B4062">
        <w:rPr>
          <w:rFonts w:ascii="Times New Roman" w:eastAsiaTheme="minorHAnsi" w:hAnsi="Times New Roman" w:cs="Times New Roman"/>
          <w:sz w:val="24"/>
          <w:szCs w:val="24"/>
          <w:lang w:val="lv-LV"/>
        </w:rPr>
        <w:t>nav izmantojams kā pierādījums, ir nepamatots.</w:t>
      </w:r>
    </w:p>
    <w:p w14:paraId="3478D449" w14:textId="77777777" w:rsidR="007A0EDA" w:rsidRPr="007B4062" w:rsidRDefault="007A0EDA" w:rsidP="003F1B18">
      <w:pPr>
        <w:spacing w:after="0"/>
        <w:ind w:firstLine="567"/>
        <w:jc w:val="both"/>
        <w:rPr>
          <w:rFonts w:ascii="Times New Roman" w:eastAsiaTheme="minorHAnsi" w:hAnsi="Times New Roman" w:cs="Times New Roman"/>
          <w:sz w:val="24"/>
          <w:szCs w:val="24"/>
          <w:lang w:val="lv-LV"/>
        </w:rPr>
      </w:pPr>
    </w:p>
    <w:p w14:paraId="6ABAB2A9" w14:textId="2139C534" w:rsidR="00F10618" w:rsidRPr="007B4062" w:rsidRDefault="00C36D29" w:rsidP="003F1B18">
      <w:pPr>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[4</w:t>
      </w:r>
      <w:r w:rsidR="00155792" w:rsidRPr="007B4062">
        <w:rPr>
          <w:rFonts w:ascii="Times New Roman" w:eastAsiaTheme="minorHAnsi" w:hAnsi="Times New Roman" w:cs="Times New Roman"/>
          <w:sz w:val="24"/>
          <w:szCs w:val="24"/>
          <w:lang w:val="lv-LV"/>
        </w:rPr>
        <w:t>6</w:t>
      </w:r>
      <w:r w:rsidRPr="007B4062">
        <w:rPr>
          <w:rFonts w:ascii="Times New Roman" w:eastAsiaTheme="minorHAnsi" w:hAnsi="Times New Roman" w:cs="Times New Roman"/>
          <w:sz w:val="24"/>
          <w:szCs w:val="24"/>
          <w:lang w:val="lv-LV"/>
        </w:rPr>
        <w:t>]</w:t>
      </w:r>
      <w:r w:rsidR="00A92E72">
        <w:rPr>
          <w:rFonts w:ascii="Times New Roman" w:eastAsiaTheme="minorHAnsi" w:hAnsi="Times New Roman" w:cs="Times New Roman"/>
          <w:sz w:val="24"/>
          <w:szCs w:val="24"/>
          <w:lang w:val="lv-LV"/>
        </w:rPr>
        <w:t> </w:t>
      </w:r>
      <w:r w:rsidRPr="007B4062">
        <w:rPr>
          <w:rFonts w:ascii="Times New Roman" w:eastAsiaTheme="minorHAnsi" w:hAnsi="Times New Roman" w:cs="Times New Roman"/>
          <w:sz w:val="24"/>
          <w:szCs w:val="24"/>
          <w:lang w:val="lv-LV"/>
        </w:rPr>
        <w:t xml:space="preserve">Kasatore kasācijas sūdzībā arī norādījusi, ka tiesa pieļāvusi kļūdu, atzīstot, ka </w:t>
      </w:r>
      <w:r w:rsidR="003D215E">
        <w:rPr>
          <w:rFonts w:ascii="Times New Roman" w:eastAsiaTheme="minorHAnsi" w:hAnsi="Times New Roman" w:cs="Times New Roman"/>
          <w:sz w:val="24"/>
          <w:szCs w:val="24"/>
          <w:lang w:val="lv-LV"/>
        </w:rPr>
        <w:t>„</w:t>
      </w:r>
      <w:r w:rsidRPr="0045627A">
        <w:rPr>
          <w:rFonts w:ascii="Times New Roman" w:eastAsiaTheme="minorHAnsi" w:hAnsi="Times New Roman" w:cs="Times New Roman"/>
          <w:sz w:val="24"/>
          <w:szCs w:val="24"/>
          <w:lang w:val="lv-LV"/>
        </w:rPr>
        <w:t>Grant Thor</w:t>
      </w:r>
      <w:r w:rsidR="003D215E">
        <w:rPr>
          <w:rFonts w:ascii="Times New Roman" w:eastAsiaTheme="minorHAnsi" w:hAnsi="Times New Roman" w:cs="Times New Roman"/>
          <w:sz w:val="24"/>
          <w:szCs w:val="24"/>
          <w:lang w:val="lv-LV"/>
        </w:rPr>
        <w:t>n</w:t>
      </w:r>
      <w:r w:rsidRPr="0045627A">
        <w:rPr>
          <w:rFonts w:ascii="Times New Roman" w:eastAsiaTheme="minorHAnsi" w:hAnsi="Times New Roman" w:cs="Times New Roman"/>
          <w:sz w:val="24"/>
          <w:szCs w:val="24"/>
          <w:lang w:val="lv-LV"/>
        </w:rPr>
        <w:t>ton</w:t>
      </w:r>
      <w:r w:rsidR="003D215E">
        <w:rPr>
          <w:rFonts w:ascii="Times New Roman" w:eastAsiaTheme="minorHAnsi" w:hAnsi="Times New Roman" w:cs="Times New Roman"/>
          <w:sz w:val="24"/>
          <w:szCs w:val="24"/>
          <w:lang w:val="lv-LV"/>
        </w:rPr>
        <w:t>”</w:t>
      </w:r>
      <w:r w:rsidRPr="007B4062">
        <w:rPr>
          <w:rFonts w:ascii="Times New Roman" w:eastAsiaTheme="minorHAnsi" w:hAnsi="Times New Roman" w:cs="Times New Roman"/>
          <w:sz w:val="24"/>
          <w:szCs w:val="24"/>
          <w:lang w:val="lv-LV"/>
        </w:rPr>
        <w:t xml:space="preserve"> novērtējums ir pietiekams, lai secinātu, ka zaudējumu apmērs ir pierādīts. </w:t>
      </w:r>
    </w:p>
    <w:p w14:paraId="65FCE5A8" w14:textId="1498A67A" w:rsidR="002E02E5" w:rsidRPr="007B4062" w:rsidRDefault="00C36D29" w:rsidP="003F1B18">
      <w:pPr>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Šajā sakarā kasatore uzsvērusi</w:t>
      </w:r>
      <w:r w:rsidR="007A0EDA" w:rsidRPr="007B4062">
        <w:rPr>
          <w:rFonts w:ascii="Times New Roman" w:eastAsiaTheme="minorHAnsi" w:hAnsi="Times New Roman" w:cs="Times New Roman"/>
          <w:sz w:val="24"/>
          <w:szCs w:val="24"/>
          <w:lang w:val="lv-LV"/>
        </w:rPr>
        <w:t xml:space="preserve">, ka tiesa ir paļāvusies uz minēto novērtējumu, </w:t>
      </w:r>
      <w:r w:rsidR="00950282" w:rsidRPr="007B4062">
        <w:rPr>
          <w:rFonts w:ascii="Times New Roman" w:eastAsiaTheme="minorHAnsi" w:hAnsi="Times New Roman" w:cs="Times New Roman"/>
          <w:sz w:val="24"/>
          <w:szCs w:val="24"/>
          <w:lang w:val="lv-LV"/>
        </w:rPr>
        <w:t>argumentējot</w:t>
      </w:r>
      <w:r w:rsidR="007A0EDA" w:rsidRPr="007B4062">
        <w:rPr>
          <w:rFonts w:ascii="Times New Roman" w:eastAsiaTheme="minorHAnsi" w:hAnsi="Times New Roman" w:cs="Times New Roman"/>
          <w:sz w:val="24"/>
          <w:szCs w:val="24"/>
          <w:lang w:val="lv-LV"/>
        </w:rPr>
        <w:t xml:space="preserve">, ka </w:t>
      </w:r>
      <w:r w:rsidR="00E05C5F" w:rsidRPr="007B4062">
        <w:rPr>
          <w:rFonts w:ascii="Times New Roman" w:hAnsi="Times New Roman" w:cs="Times New Roman"/>
          <w:sz w:val="24"/>
          <w:szCs w:val="24"/>
          <w:lang w:val="lv-LV"/>
        </w:rPr>
        <w:t xml:space="preserve">tai nav pamata apšaubīt </w:t>
      </w:r>
      <w:r w:rsidR="00B25BF4" w:rsidRPr="007B4062">
        <w:rPr>
          <w:rFonts w:ascii="Times New Roman" w:hAnsi="Times New Roman" w:cs="Times New Roman"/>
          <w:sz w:val="24"/>
          <w:szCs w:val="24"/>
          <w:lang w:val="lv-LV"/>
        </w:rPr>
        <w:t>vērtētāju</w:t>
      </w:r>
      <w:r w:rsidR="00E05C5F" w:rsidRPr="007B4062">
        <w:rPr>
          <w:rFonts w:ascii="Times New Roman" w:hAnsi="Times New Roman" w:cs="Times New Roman"/>
          <w:sz w:val="24"/>
          <w:szCs w:val="24"/>
          <w:lang w:val="lv-LV"/>
        </w:rPr>
        <w:t xml:space="preserve"> kompetenci</w:t>
      </w:r>
      <w:r w:rsidR="00B25BF4" w:rsidRPr="007B4062">
        <w:rPr>
          <w:rFonts w:ascii="Times New Roman" w:hAnsi="Times New Roman" w:cs="Times New Roman"/>
          <w:sz w:val="24"/>
          <w:szCs w:val="24"/>
          <w:lang w:val="lv-LV"/>
        </w:rPr>
        <w:t>, objektivitāti un</w:t>
      </w:r>
      <w:r w:rsidR="00E05C5F" w:rsidRPr="007B4062">
        <w:rPr>
          <w:rFonts w:ascii="Times New Roman" w:hAnsi="Times New Roman" w:cs="Times New Roman"/>
          <w:sz w:val="24"/>
          <w:szCs w:val="24"/>
          <w:lang w:val="lv-LV"/>
        </w:rPr>
        <w:t xml:space="preserve"> reputāciju.</w:t>
      </w:r>
      <w:r w:rsidR="007A0EDA" w:rsidRPr="007B4062">
        <w:rPr>
          <w:rFonts w:ascii="Times New Roman" w:hAnsi="Times New Roman" w:cs="Times New Roman"/>
          <w:sz w:val="24"/>
          <w:szCs w:val="24"/>
          <w:lang w:val="lv-LV"/>
        </w:rPr>
        <w:t xml:space="preserve"> Tomēr atsaukšanās uz to, ka tiesai nav pamata apšaubīt vērtētāju profesionalitāti</w:t>
      </w:r>
      <w:r w:rsidR="00F10618" w:rsidRPr="007B4062">
        <w:rPr>
          <w:rFonts w:ascii="Times New Roman" w:hAnsi="Times New Roman" w:cs="Times New Roman"/>
          <w:sz w:val="24"/>
          <w:szCs w:val="24"/>
          <w:lang w:val="lv-LV"/>
        </w:rPr>
        <w:t xml:space="preserve"> un neitralitāti</w:t>
      </w:r>
      <w:r w:rsidR="007A0EDA" w:rsidRPr="007B4062">
        <w:rPr>
          <w:rFonts w:ascii="Times New Roman" w:hAnsi="Times New Roman" w:cs="Times New Roman"/>
          <w:sz w:val="24"/>
          <w:szCs w:val="24"/>
          <w:lang w:val="lv-LV"/>
        </w:rPr>
        <w:t>, pati par sevi n</w:t>
      </w:r>
      <w:r w:rsidR="00B25BF4" w:rsidRPr="007B4062">
        <w:rPr>
          <w:rFonts w:ascii="Times New Roman" w:hAnsi="Times New Roman" w:cs="Times New Roman"/>
          <w:sz w:val="24"/>
          <w:szCs w:val="24"/>
          <w:lang w:val="lv-LV"/>
        </w:rPr>
        <w:t>evar būt</w:t>
      </w:r>
      <w:r w:rsidR="007A0EDA" w:rsidRPr="007B4062">
        <w:rPr>
          <w:rFonts w:ascii="Times New Roman" w:hAnsi="Times New Roman" w:cs="Times New Roman"/>
          <w:sz w:val="24"/>
          <w:szCs w:val="24"/>
          <w:lang w:val="lv-LV"/>
        </w:rPr>
        <w:t xml:space="preserve"> pietiekams arguments, kāpēc tiesa šo novērtējumu līdz ar to uzskatīj</w:t>
      </w:r>
      <w:r w:rsidR="00950282" w:rsidRPr="007B4062">
        <w:rPr>
          <w:rFonts w:ascii="Times New Roman" w:hAnsi="Times New Roman" w:cs="Times New Roman"/>
          <w:sz w:val="24"/>
          <w:szCs w:val="24"/>
          <w:lang w:val="lv-LV"/>
        </w:rPr>
        <w:t>usi</w:t>
      </w:r>
      <w:r w:rsidR="007A0EDA" w:rsidRPr="007B4062">
        <w:rPr>
          <w:rFonts w:ascii="Times New Roman" w:hAnsi="Times New Roman" w:cs="Times New Roman"/>
          <w:sz w:val="24"/>
          <w:szCs w:val="24"/>
          <w:lang w:val="lv-LV"/>
        </w:rPr>
        <w:t xml:space="preserve"> par pietiekamu pierādījumu zaudējumu atlīdzinājuma apmēra noteikšanai. Kasatore pirmās instances tiesai bija norādījusi</w:t>
      </w:r>
      <w:r w:rsidR="00F10618" w:rsidRPr="007B4062">
        <w:rPr>
          <w:rFonts w:ascii="Times New Roman" w:hAnsi="Times New Roman" w:cs="Times New Roman"/>
          <w:sz w:val="24"/>
          <w:szCs w:val="24"/>
          <w:lang w:val="lv-LV"/>
        </w:rPr>
        <w:t xml:space="preserve"> uz novērtējumā uzsvērto, ka </w:t>
      </w:r>
      <w:r w:rsidR="007A0EDA" w:rsidRPr="007B4062">
        <w:rPr>
          <w:rFonts w:ascii="Times New Roman" w:hAnsi="Times New Roman" w:cs="Times New Roman"/>
          <w:sz w:val="24"/>
          <w:szCs w:val="24"/>
          <w:lang w:val="lv-LV"/>
        </w:rPr>
        <w:t xml:space="preserve">vērtētāji neatbild </w:t>
      </w:r>
      <w:r w:rsidR="00F10618" w:rsidRPr="007B4062">
        <w:rPr>
          <w:rFonts w:ascii="Times New Roman" w:hAnsi="Times New Roman" w:cs="Times New Roman"/>
          <w:sz w:val="24"/>
          <w:szCs w:val="24"/>
          <w:lang w:val="lv-LV"/>
        </w:rPr>
        <w:t>par</w:t>
      </w:r>
      <w:r w:rsidR="007A0EDA" w:rsidRPr="007B4062">
        <w:rPr>
          <w:rFonts w:ascii="Times New Roman" w:hAnsi="Times New Roman" w:cs="Times New Roman"/>
          <w:sz w:val="24"/>
          <w:szCs w:val="24"/>
          <w:lang w:val="lv-LV"/>
        </w:rPr>
        <w:t xml:space="preserve"> novērtēšanā izmantoto datu patiesumu</w:t>
      </w:r>
      <w:r w:rsidR="00F10618" w:rsidRPr="007B4062">
        <w:rPr>
          <w:rFonts w:ascii="Times New Roman" w:hAnsi="Times New Roman" w:cs="Times New Roman"/>
          <w:sz w:val="24"/>
          <w:szCs w:val="24"/>
          <w:lang w:val="lv-LV"/>
        </w:rPr>
        <w:t xml:space="preserve">, kā arī uz to, ka novērtējumā izmantota </w:t>
      </w:r>
      <w:r w:rsidR="00AD559F" w:rsidRPr="007B4062">
        <w:rPr>
          <w:rFonts w:ascii="Times New Roman" w:hAnsi="Times New Roman" w:cs="Times New Roman"/>
          <w:sz w:val="24"/>
          <w:szCs w:val="24"/>
          <w:lang w:val="lv-LV"/>
        </w:rPr>
        <w:t xml:space="preserve">pieteicējas </w:t>
      </w:r>
      <w:r w:rsidR="00F10618" w:rsidRPr="007B4062">
        <w:rPr>
          <w:rFonts w:ascii="Times New Roman" w:hAnsi="Times New Roman" w:cs="Times New Roman"/>
          <w:sz w:val="24"/>
          <w:szCs w:val="24"/>
          <w:lang w:val="lv-LV"/>
        </w:rPr>
        <w:t>2014.gada 24.oktobra Procedūru rokasgrāmata (Versija: 10)</w:t>
      </w:r>
      <w:r w:rsidR="00B25BF4" w:rsidRPr="007B4062">
        <w:rPr>
          <w:rFonts w:ascii="Times New Roman" w:hAnsi="Times New Roman" w:cs="Times New Roman"/>
          <w:sz w:val="24"/>
          <w:szCs w:val="24"/>
          <w:lang w:val="lv-LV"/>
        </w:rPr>
        <w:t xml:space="preserve">, kaut arī, </w:t>
      </w:r>
      <w:r w:rsidR="00AD559F" w:rsidRPr="007B4062">
        <w:rPr>
          <w:rFonts w:ascii="Times New Roman" w:hAnsi="Times New Roman" w:cs="Times New Roman"/>
          <w:sz w:val="24"/>
          <w:szCs w:val="24"/>
          <w:lang w:val="lv-LV"/>
        </w:rPr>
        <w:t>2013.gadā gatavojot</w:t>
      </w:r>
      <w:r w:rsidR="008E663E" w:rsidRPr="007B4062">
        <w:rPr>
          <w:rFonts w:ascii="Times New Roman" w:hAnsi="Times New Roman" w:cs="Times New Roman"/>
          <w:sz w:val="24"/>
          <w:szCs w:val="24"/>
          <w:lang w:val="lv-LV"/>
        </w:rPr>
        <w:t xml:space="preserve"> tāmes piedāvājuma sagatavošanai, pieteicēja </w:t>
      </w:r>
      <w:r w:rsidR="00B25BF4" w:rsidRPr="007B4062">
        <w:rPr>
          <w:rFonts w:ascii="Times New Roman" w:hAnsi="Times New Roman" w:cs="Times New Roman"/>
          <w:sz w:val="24"/>
          <w:szCs w:val="24"/>
          <w:lang w:val="lv-LV"/>
        </w:rPr>
        <w:t>šo rokasgrāmatu n</w:t>
      </w:r>
      <w:r w:rsidR="008E663E" w:rsidRPr="007B4062">
        <w:rPr>
          <w:rFonts w:ascii="Times New Roman" w:hAnsi="Times New Roman" w:cs="Times New Roman"/>
          <w:sz w:val="24"/>
          <w:szCs w:val="24"/>
          <w:lang w:val="lv-LV"/>
        </w:rPr>
        <w:t>evarēja būt izmantojusi.</w:t>
      </w:r>
      <w:r w:rsidR="00F10618" w:rsidRPr="007B4062">
        <w:rPr>
          <w:rFonts w:ascii="Times New Roman" w:hAnsi="Times New Roman" w:cs="Times New Roman"/>
          <w:sz w:val="24"/>
          <w:szCs w:val="24"/>
          <w:lang w:val="lv-LV"/>
        </w:rPr>
        <w:t xml:space="preserve"> </w:t>
      </w:r>
      <w:r w:rsidR="006C3B5D" w:rsidRPr="007B4062">
        <w:rPr>
          <w:rFonts w:ascii="Times New Roman" w:hAnsi="Times New Roman" w:cs="Times New Roman"/>
          <w:sz w:val="24"/>
          <w:szCs w:val="24"/>
          <w:lang w:val="lv-LV"/>
        </w:rPr>
        <w:t>Kasatore uzsvērusi, ka t</w:t>
      </w:r>
      <w:r w:rsidR="008E663E" w:rsidRPr="007B4062">
        <w:rPr>
          <w:rFonts w:ascii="Times New Roman" w:hAnsi="Times New Roman" w:cs="Times New Roman"/>
          <w:sz w:val="24"/>
          <w:szCs w:val="24"/>
          <w:lang w:val="lv-LV"/>
        </w:rPr>
        <w:t xml:space="preserve">iesa spriedumā nav sniegusi atbildi uz </w:t>
      </w:r>
      <w:r w:rsidR="006C3B5D" w:rsidRPr="007B4062">
        <w:rPr>
          <w:rFonts w:ascii="Times New Roman" w:hAnsi="Times New Roman" w:cs="Times New Roman"/>
          <w:sz w:val="24"/>
          <w:szCs w:val="24"/>
          <w:lang w:val="lv-LV"/>
        </w:rPr>
        <w:t xml:space="preserve">šiem </w:t>
      </w:r>
      <w:r w:rsidR="008E663E" w:rsidRPr="007B4062">
        <w:rPr>
          <w:rFonts w:ascii="Times New Roman" w:hAnsi="Times New Roman" w:cs="Times New Roman"/>
          <w:sz w:val="24"/>
          <w:szCs w:val="24"/>
          <w:lang w:val="lv-LV"/>
        </w:rPr>
        <w:t>pieteicējas iebildumiem, neizskaidrojot, kāpēc t</w:t>
      </w:r>
      <w:r w:rsidR="00F27CC3" w:rsidRPr="007B4062">
        <w:rPr>
          <w:rFonts w:ascii="Times New Roman" w:hAnsi="Times New Roman" w:cs="Times New Roman"/>
          <w:sz w:val="24"/>
          <w:szCs w:val="24"/>
          <w:lang w:val="lv-LV"/>
        </w:rPr>
        <w:t>ie</w:t>
      </w:r>
      <w:r w:rsidR="008E663E" w:rsidRPr="007B4062">
        <w:rPr>
          <w:rFonts w:ascii="Times New Roman" w:hAnsi="Times New Roman" w:cs="Times New Roman"/>
          <w:sz w:val="24"/>
          <w:szCs w:val="24"/>
          <w:lang w:val="lv-LV"/>
        </w:rPr>
        <w:t xml:space="preserve">m nav nozīmes un kāpēc, neskatoties uz minēto, </w:t>
      </w:r>
      <w:r w:rsidR="003D215E">
        <w:rPr>
          <w:rFonts w:ascii="Times New Roman" w:hAnsi="Times New Roman" w:cs="Times New Roman"/>
          <w:sz w:val="24"/>
          <w:szCs w:val="24"/>
          <w:lang w:val="lv-LV"/>
        </w:rPr>
        <w:t>„</w:t>
      </w:r>
      <w:r w:rsidR="008E663E" w:rsidRPr="0045627A">
        <w:rPr>
          <w:rFonts w:ascii="Times New Roman" w:eastAsiaTheme="minorHAnsi" w:hAnsi="Times New Roman" w:cs="Times New Roman"/>
          <w:sz w:val="24"/>
          <w:szCs w:val="24"/>
          <w:lang w:val="lv-LV"/>
        </w:rPr>
        <w:t>Grant Thor</w:t>
      </w:r>
      <w:r w:rsidR="003D215E" w:rsidRPr="0045627A">
        <w:rPr>
          <w:rFonts w:ascii="Times New Roman" w:eastAsiaTheme="minorHAnsi" w:hAnsi="Times New Roman" w:cs="Times New Roman"/>
          <w:sz w:val="24"/>
          <w:szCs w:val="24"/>
          <w:lang w:val="lv-LV"/>
        </w:rPr>
        <w:t>n</w:t>
      </w:r>
      <w:r w:rsidR="008E663E" w:rsidRPr="0045627A">
        <w:rPr>
          <w:rFonts w:ascii="Times New Roman" w:eastAsiaTheme="minorHAnsi" w:hAnsi="Times New Roman" w:cs="Times New Roman"/>
          <w:sz w:val="24"/>
          <w:szCs w:val="24"/>
          <w:lang w:val="lv-LV"/>
        </w:rPr>
        <w:t>ton</w:t>
      </w:r>
      <w:r w:rsidR="003D215E">
        <w:rPr>
          <w:rFonts w:ascii="Times New Roman" w:eastAsiaTheme="minorHAnsi" w:hAnsi="Times New Roman" w:cs="Times New Roman"/>
          <w:sz w:val="24"/>
          <w:szCs w:val="24"/>
          <w:lang w:val="lv-LV"/>
        </w:rPr>
        <w:t>”</w:t>
      </w:r>
      <w:r w:rsidR="008E663E" w:rsidRPr="007B4062">
        <w:rPr>
          <w:rFonts w:ascii="Times New Roman" w:eastAsiaTheme="minorHAnsi" w:hAnsi="Times New Roman" w:cs="Times New Roman"/>
          <w:sz w:val="24"/>
          <w:szCs w:val="24"/>
          <w:lang w:val="lv-LV"/>
        </w:rPr>
        <w:t xml:space="preserve"> novērtējums ir pietiekams pierādījums tam, kādu peļņu pieteicēja būtu guvusi, ja iepirkuma līgums ar to būtu noslēgts.</w:t>
      </w:r>
    </w:p>
    <w:p w14:paraId="0C9C1D2F" w14:textId="77777777" w:rsidR="002E02E5" w:rsidRPr="007B4062" w:rsidRDefault="002E02E5" w:rsidP="003F1B18">
      <w:pPr>
        <w:spacing w:after="0"/>
        <w:ind w:firstLine="567"/>
        <w:jc w:val="both"/>
        <w:rPr>
          <w:rFonts w:ascii="Times New Roman" w:eastAsiaTheme="minorHAnsi" w:hAnsi="Times New Roman" w:cs="Times New Roman"/>
          <w:sz w:val="24"/>
          <w:szCs w:val="24"/>
          <w:lang w:val="lv-LV"/>
        </w:rPr>
      </w:pPr>
    </w:p>
    <w:p w14:paraId="1503CBAD" w14:textId="5BFEBDDA" w:rsidR="001C2EB4" w:rsidRPr="007B4062" w:rsidRDefault="00D97D6F" w:rsidP="003F1B18">
      <w:pPr>
        <w:spacing w:after="0"/>
        <w:ind w:firstLine="567"/>
        <w:jc w:val="both"/>
        <w:rPr>
          <w:rFonts w:ascii="TimesNewRomanPSMT" w:eastAsiaTheme="minorHAnsi" w:hAnsi="TimesNewRomanPSMT" w:cs="TimesNewRomanPSMT"/>
          <w:sz w:val="24"/>
          <w:szCs w:val="24"/>
          <w:lang w:val="lv-LV"/>
        </w:rPr>
      </w:pPr>
      <w:r w:rsidRPr="007B4062">
        <w:rPr>
          <w:rFonts w:ascii="Times New Roman" w:eastAsiaTheme="minorHAnsi" w:hAnsi="Times New Roman" w:cs="Times New Roman"/>
          <w:sz w:val="24"/>
          <w:szCs w:val="24"/>
          <w:lang w:val="lv-LV"/>
        </w:rPr>
        <w:t>[4</w:t>
      </w:r>
      <w:r w:rsidR="00155792" w:rsidRPr="007B4062">
        <w:rPr>
          <w:rFonts w:ascii="Times New Roman" w:eastAsiaTheme="minorHAnsi" w:hAnsi="Times New Roman" w:cs="Times New Roman"/>
          <w:sz w:val="24"/>
          <w:szCs w:val="24"/>
          <w:lang w:val="lv-LV"/>
        </w:rPr>
        <w:t>7</w:t>
      </w:r>
      <w:r w:rsidRPr="007B4062">
        <w:rPr>
          <w:rFonts w:ascii="Times New Roman" w:eastAsiaTheme="minorHAnsi" w:hAnsi="Times New Roman" w:cs="Times New Roman"/>
          <w:sz w:val="24"/>
          <w:szCs w:val="24"/>
          <w:lang w:val="lv-LV"/>
        </w:rPr>
        <w:t>]</w:t>
      </w:r>
      <w:r w:rsidR="00A92E72">
        <w:rPr>
          <w:rFonts w:ascii="Times New Roman" w:eastAsiaTheme="minorHAnsi" w:hAnsi="Times New Roman" w:cs="Times New Roman"/>
          <w:sz w:val="24"/>
          <w:szCs w:val="24"/>
          <w:lang w:val="lv-LV"/>
        </w:rPr>
        <w:t> </w:t>
      </w:r>
      <w:r w:rsidRPr="007B4062">
        <w:rPr>
          <w:rFonts w:ascii="Times New Roman" w:eastAsiaTheme="minorHAnsi" w:hAnsi="Times New Roman" w:cs="Times New Roman"/>
          <w:sz w:val="24"/>
          <w:szCs w:val="24"/>
          <w:lang w:val="lv-LV"/>
        </w:rPr>
        <w:t>Senāts konstatē, ka tiesa savu secinājumu, ka ne</w:t>
      </w:r>
      <w:r w:rsidR="00320CBC">
        <w:rPr>
          <w:rFonts w:ascii="Times New Roman" w:eastAsiaTheme="minorHAnsi" w:hAnsi="Times New Roman" w:cs="Times New Roman"/>
          <w:sz w:val="24"/>
          <w:szCs w:val="24"/>
          <w:lang w:val="lv-LV"/>
        </w:rPr>
        <w:t>ie</w:t>
      </w:r>
      <w:r w:rsidRPr="007B4062">
        <w:rPr>
          <w:rFonts w:ascii="Times New Roman" w:eastAsiaTheme="minorHAnsi" w:hAnsi="Times New Roman" w:cs="Times New Roman"/>
          <w:sz w:val="24"/>
          <w:szCs w:val="24"/>
          <w:lang w:val="lv-LV"/>
        </w:rPr>
        <w:t xml:space="preserve">gūtā peļņa pieteicējas prasītajā </w:t>
      </w:r>
      <w:r w:rsidR="002E02E5" w:rsidRPr="007B4062">
        <w:rPr>
          <w:rFonts w:ascii="Times New Roman" w:eastAsiaTheme="minorHAnsi" w:hAnsi="Times New Roman" w:cs="Times New Roman"/>
          <w:sz w:val="24"/>
          <w:szCs w:val="24"/>
          <w:lang w:val="lv-LV"/>
        </w:rPr>
        <w:t xml:space="preserve">apmērā ir pierādīta, balstījusi uz </w:t>
      </w:r>
      <w:r w:rsidR="003D215E">
        <w:rPr>
          <w:rFonts w:ascii="Times New Roman" w:eastAsiaTheme="minorHAnsi" w:hAnsi="Times New Roman" w:cs="Times New Roman"/>
          <w:sz w:val="24"/>
          <w:szCs w:val="24"/>
          <w:lang w:val="lv-LV"/>
        </w:rPr>
        <w:t>„</w:t>
      </w:r>
      <w:r w:rsidR="002E02E5" w:rsidRPr="0045627A">
        <w:rPr>
          <w:rFonts w:ascii="Times New Roman" w:eastAsiaTheme="minorHAnsi" w:hAnsi="Times New Roman" w:cs="Times New Roman"/>
          <w:sz w:val="24"/>
          <w:szCs w:val="24"/>
          <w:lang w:val="lv-LV"/>
        </w:rPr>
        <w:t>Grant Thor</w:t>
      </w:r>
      <w:r w:rsidR="003D215E" w:rsidRPr="0045627A">
        <w:rPr>
          <w:rFonts w:ascii="Times New Roman" w:eastAsiaTheme="minorHAnsi" w:hAnsi="Times New Roman" w:cs="Times New Roman"/>
          <w:sz w:val="24"/>
          <w:szCs w:val="24"/>
          <w:lang w:val="lv-LV"/>
        </w:rPr>
        <w:t>n</w:t>
      </w:r>
      <w:r w:rsidR="002E02E5" w:rsidRPr="0045627A">
        <w:rPr>
          <w:rFonts w:ascii="Times New Roman" w:eastAsiaTheme="minorHAnsi" w:hAnsi="Times New Roman" w:cs="Times New Roman"/>
          <w:sz w:val="24"/>
          <w:szCs w:val="24"/>
          <w:lang w:val="lv-LV"/>
        </w:rPr>
        <w:t>ton</w:t>
      </w:r>
      <w:r w:rsidR="003D215E">
        <w:rPr>
          <w:rFonts w:ascii="Times New Roman" w:eastAsiaTheme="minorHAnsi" w:hAnsi="Times New Roman" w:cs="Times New Roman"/>
          <w:sz w:val="24"/>
          <w:szCs w:val="24"/>
          <w:lang w:val="lv-LV"/>
        </w:rPr>
        <w:t>”</w:t>
      </w:r>
      <w:r w:rsidR="002E02E5" w:rsidRPr="007B4062">
        <w:rPr>
          <w:rFonts w:ascii="Times New Roman" w:eastAsiaTheme="minorHAnsi" w:hAnsi="Times New Roman" w:cs="Times New Roman"/>
          <w:sz w:val="24"/>
          <w:szCs w:val="24"/>
          <w:lang w:val="lv-LV"/>
        </w:rPr>
        <w:t xml:space="preserve"> novērtējumu</w:t>
      </w:r>
      <w:r w:rsidR="00B25BF4" w:rsidRPr="007B4062">
        <w:rPr>
          <w:rFonts w:ascii="Times New Roman" w:eastAsiaTheme="minorHAnsi" w:hAnsi="Times New Roman" w:cs="Times New Roman"/>
          <w:sz w:val="24"/>
          <w:szCs w:val="24"/>
          <w:lang w:val="lv-LV"/>
        </w:rPr>
        <w:t xml:space="preserve"> un</w:t>
      </w:r>
      <w:r w:rsidR="002E02E5" w:rsidRPr="007B4062">
        <w:rPr>
          <w:rFonts w:ascii="Times New Roman" w:eastAsiaTheme="minorHAnsi" w:hAnsi="Times New Roman" w:cs="Times New Roman"/>
          <w:sz w:val="24"/>
          <w:szCs w:val="24"/>
          <w:lang w:val="lv-LV"/>
        </w:rPr>
        <w:t xml:space="preserve"> izziņu par pieteicējas </w:t>
      </w:r>
      <w:r w:rsidR="002E02E5" w:rsidRPr="007B4062">
        <w:rPr>
          <w:rFonts w:ascii="Times New Roman" w:hAnsi="Times New Roman" w:cs="Times New Roman"/>
          <w:sz w:val="24"/>
          <w:szCs w:val="24"/>
          <w:lang w:val="lv-LV"/>
        </w:rPr>
        <w:t xml:space="preserve">vidējiem peļņas rādītājiem no apgrozījuma 2013., 2014. un 2015.gadā. Tomēr atsauce uz minēto izziņu būtībā izmantota tikai kā papildu apstāklis, kura dēļ tiesa atzinusi, ka </w:t>
      </w:r>
      <w:r w:rsidR="00950282" w:rsidRPr="007B4062">
        <w:rPr>
          <w:rFonts w:ascii="Times New Roman" w:hAnsi="Times New Roman" w:cs="Times New Roman"/>
          <w:sz w:val="24"/>
          <w:szCs w:val="24"/>
          <w:lang w:val="lv-LV"/>
        </w:rPr>
        <w:t xml:space="preserve">konstatētais </w:t>
      </w:r>
      <w:r w:rsidR="002E02E5" w:rsidRPr="007B4062">
        <w:rPr>
          <w:rFonts w:ascii="Times New Roman" w:hAnsi="Times New Roman" w:cs="Times New Roman"/>
          <w:sz w:val="24"/>
          <w:szCs w:val="24"/>
          <w:lang w:val="lv-LV"/>
        </w:rPr>
        <w:t xml:space="preserve">pieteicējas peļņas </w:t>
      </w:r>
      <w:r w:rsidR="002E02E5" w:rsidRPr="007B4062">
        <w:rPr>
          <w:rFonts w:ascii="TimesNewRomanPSMT" w:eastAsiaTheme="minorHAnsi" w:hAnsi="TimesNewRomanPSMT" w:cs="TimesNewRomanPSMT"/>
          <w:sz w:val="24"/>
          <w:szCs w:val="24"/>
          <w:lang w:val="lv-LV"/>
        </w:rPr>
        <w:t xml:space="preserve">procentuālais apmērs ir saprātīgs un neliecina par parastai tirgus situācijai neatbilstošu sadārdzinājumu. </w:t>
      </w:r>
    </w:p>
    <w:p w14:paraId="3F2BDF36" w14:textId="6320D488" w:rsidR="008E663E" w:rsidRPr="007B4062" w:rsidRDefault="002E02E5" w:rsidP="003F1B18">
      <w:pPr>
        <w:spacing w:after="0"/>
        <w:ind w:firstLine="567"/>
        <w:jc w:val="both"/>
        <w:rPr>
          <w:rFonts w:ascii="Times New Roman" w:eastAsiaTheme="minorHAnsi" w:hAnsi="Times New Roman" w:cs="Times New Roman"/>
          <w:sz w:val="24"/>
          <w:szCs w:val="24"/>
          <w:lang w:val="lv-LV"/>
        </w:rPr>
      </w:pPr>
      <w:r w:rsidRPr="007B4062">
        <w:rPr>
          <w:rFonts w:ascii="TimesNewRomanPSMT" w:eastAsiaTheme="minorHAnsi" w:hAnsi="TimesNewRomanPSMT" w:cs="TimesNewRomanPSMT"/>
          <w:sz w:val="24"/>
          <w:szCs w:val="24"/>
          <w:lang w:val="lv-LV"/>
        </w:rPr>
        <w:t xml:space="preserve">Tātad tiesa savu secinājumu par to, kāda apmēra peļņu no darbu </w:t>
      </w:r>
      <w:r w:rsidR="00076C25">
        <w:rPr>
          <w:rFonts w:ascii="TimesNewRomanPSMT" w:eastAsiaTheme="minorHAnsi" w:hAnsi="TimesNewRomanPSMT" w:cs="TimesNewRomanPSMT"/>
          <w:sz w:val="24"/>
          <w:szCs w:val="24"/>
          <w:lang w:val="lv-LV"/>
        </w:rPr>
        <w:t>izpildes</w:t>
      </w:r>
      <w:r w:rsidRPr="007B4062">
        <w:rPr>
          <w:rFonts w:ascii="TimesNewRomanPSMT" w:eastAsiaTheme="minorHAnsi" w:hAnsi="TimesNewRomanPSMT" w:cs="TimesNewRomanPSMT"/>
          <w:sz w:val="24"/>
          <w:szCs w:val="24"/>
          <w:lang w:val="lv-LV"/>
        </w:rPr>
        <w:t xml:space="preserve"> pieteicēja ticami būtu guvusi, būtībā balstījusi tikai uz </w:t>
      </w:r>
      <w:r w:rsidR="003D215E">
        <w:rPr>
          <w:rFonts w:ascii="TimesNewRomanPSMT" w:eastAsiaTheme="minorHAnsi" w:hAnsi="TimesNewRomanPSMT" w:cs="TimesNewRomanPSMT"/>
          <w:sz w:val="24"/>
          <w:szCs w:val="24"/>
          <w:lang w:val="lv-LV"/>
        </w:rPr>
        <w:t>„</w:t>
      </w:r>
      <w:r w:rsidRPr="0045627A">
        <w:rPr>
          <w:rFonts w:ascii="Times New Roman" w:eastAsiaTheme="minorHAnsi" w:hAnsi="Times New Roman" w:cs="Times New Roman"/>
          <w:sz w:val="24"/>
          <w:szCs w:val="24"/>
          <w:lang w:val="lv-LV"/>
        </w:rPr>
        <w:t>Grant Thor</w:t>
      </w:r>
      <w:r w:rsidR="003D215E">
        <w:rPr>
          <w:rFonts w:ascii="Times New Roman" w:eastAsiaTheme="minorHAnsi" w:hAnsi="Times New Roman" w:cs="Times New Roman"/>
          <w:sz w:val="24"/>
          <w:szCs w:val="24"/>
          <w:lang w:val="lv-LV"/>
        </w:rPr>
        <w:t>n</w:t>
      </w:r>
      <w:r w:rsidRPr="0045627A">
        <w:rPr>
          <w:rFonts w:ascii="Times New Roman" w:eastAsiaTheme="minorHAnsi" w:hAnsi="Times New Roman" w:cs="Times New Roman"/>
          <w:sz w:val="24"/>
          <w:szCs w:val="24"/>
          <w:lang w:val="lv-LV"/>
        </w:rPr>
        <w:t>ton</w:t>
      </w:r>
      <w:r w:rsidR="003D215E">
        <w:rPr>
          <w:rFonts w:ascii="Times New Roman" w:eastAsiaTheme="minorHAnsi" w:hAnsi="Times New Roman" w:cs="Times New Roman"/>
          <w:sz w:val="24"/>
          <w:szCs w:val="24"/>
          <w:lang w:val="lv-LV"/>
        </w:rPr>
        <w:t>”</w:t>
      </w:r>
      <w:r w:rsidRPr="007B4062">
        <w:rPr>
          <w:rFonts w:ascii="Times New Roman" w:eastAsiaTheme="minorHAnsi" w:hAnsi="Times New Roman" w:cs="Times New Roman"/>
          <w:sz w:val="24"/>
          <w:szCs w:val="24"/>
          <w:lang w:val="lv-LV"/>
        </w:rPr>
        <w:t xml:space="preserve"> novērtējumu. Tas nozīmē, ka arī secinājumu par to, kādas izmaksas pieteicējai ar lielu varbūtību būtu radušās, realitātē pildot iepirkuma līgumu, tiesa izdarījusi, tikai balstoties uz minēto novērtējumu.</w:t>
      </w:r>
    </w:p>
    <w:p w14:paraId="6C908355" w14:textId="1B4BB692" w:rsidR="00FF5AC1" w:rsidRPr="007B4062" w:rsidRDefault="00FF5AC1" w:rsidP="003F1B18">
      <w:pPr>
        <w:spacing w:after="0"/>
        <w:ind w:firstLine="567"/>
        <w:jc w:val="both"/>
        <w:rPr>
          <w:rFonts w:ascii="Times New Roman" w:hAnsi="Times New Roman" w:cs="Times New Roman"/>
          <w:sz w:val="24"/>
          <w:szCs w:val="24"/>
          <w:lang w:val="lv-LV"/>
        </w:rPr>
      </w:pPr>
      <w:r w:rsidRPr="007B4062">
        <w:rPr>
          <w:rFonts w:ascii="Times New Roman" w:eastAsiaTheme="minorHAnsi" w:hAnsi="Times New Roman" w:cs="Times New Roman"/>
          <w:sz w:val="24"/>
          <w:szCs w:val="24"/>
          <w:lang w:val="lv-LV"/>
        </w:rPr>
        <w:t>Kā jau Senāts norādīja iepriekš, ne</w:t>
      </w:r>
      <w:r w:rsidR="00320CBC">
        <w:rPr>
          <w:rFonts w:ascii="Times New Roman" w:eastAsiaTheme="minorHAnsi" w:hAnsi="Times New Roman" w:cs="Times New Roman"/>
          <w:sz w:val="24"/>
          <w:szCs w:val="24"/>
          <w:lang w:val="lv-LV"/>
        </w:rPr>
        <w:t>ie</w:t>
      </w:r>
      <w:r w:rsidRPr="007B4062">
        <w:rPr>
          <w:rFonts w:ascii="Times New Roman" w:eastAsiaTheme="minorHAnsi" w:hAnsi="Times New Roman" w:cs="Times New Roman"/>
          <w:sz w:val="24"/>
          <w:szCs w:val="24"/>
          <w:lang w:val="lv-LV"/>
        </w:rPr>
        <w:t xml:space="preserve">gūtās peļņas aprēķināšana pamatā </w:t>
      </w:r>
      <w:r w:rsidR="00B25BF4" w:rsidRPr="007B4062">
        <w:rPr>
          <w:rFonts w:ascii="Times New Roman" w:eastAsiaTheme="minorHAnsi" w:hAnsi="Times New Roman" w:cs="Times New Roman"/>
          <w:sz w:val="24"/>
          <w:szCs w:val="24"/>
          <w:lang w:val="lv-LV"/>
        </w:rPr>
        <w:t>veicama</w:t>
      </w:r>
      <w:r w:rsidRPr="007B4062">
        <w:rPr>
          <w:rFonts w:ascii="Times New Roman" w:eastAsiaTheme="minorHAnsi" w:hAnsi="Times New Roman" w:cs="Times New Roman"/>
          <w:sz w:val="24"/>
          <w:szCs w:val="24"/>
          <w:lang w:val="lv-LV"/>
        </w:rPr>
        <w:t>, noskaidrojot, kādus ieņēmumus pieteicējs būtu guvis</w:t>
      </w:r>
      <w:r w:rsidR="00B25BF4" w:rsidRPr="007B4062">
        <w:rPr>
          <w:rFonts w:ascii="Times New Roman" w:eastAsiaTheme="minorHAnsi" w:hAnsi="Times New Roman" w:cs="Times New Roman"/>
          <w:sz w:val="24"/>
          <w:szCs w:val="24"/>
          <w:lang w:val="lv-LV"/>
        </w:rPr>
        <w:t xml:space="preserve"> un</w:t>
      </w:r>
      <w:r w:rsidRPr="007B4062">
        <w:rPr>
          <w:rFonts w:ascii="Times New Roman" w:eastAsiaTheme="minorHAnsi" w:hAnsi="Times New Roman" w:cs="Times New Roman"/>
          <w:sz w:val="24"/>
          <w:szCs w:val="24"/>
          <w:lang w:val="lv-LV"/>
        </w:rPr>
        <w:t xml:space="preserve"> kād</w:t>
      </w:r>
      <w:r w:rsidR="00F27CC3" w:rsidRPr="007B4062">
        <w:rPr>
          <w:rFonts w:ascii="Times New Roman" w:eastAsiaTheme="minorHAnsi" w:hAnsi="Times New Roman" w:cs="Times New Roman"/>
          <w:sz w:val="24"/>
          <w:szCs w:val="24"/>
          <w:lang w:val="lv-LV"/>
        </w:rPr>
        <w:t>i</w:t>
      </w:r>
      <w:r w:rsidRPr="007B4062">
        <w:rPr>
          <w:rFonts w:ascii="Times New Roman" w:eastAsiaTheme="minorHAnsi" w:hAnsi="Times New Roman" w:cs="Times New Roman"/>
          <w:sz w:val="24"/>
          <w:szCs w:val="24"/>
          <w:lang w:val="lv-LV"/>
        </w:rPr>
        <w:t xml:space="preserve"> būtu bijuš</w:t>
      </w:r>
      <w:r w:rsidR="00F27CC3" w:rsidRPr="007B4062">
        <w:rPr>
          <w:rFonts w:ascii="Times New Roman" w:eastAsiaTheme="minorHAnsi" w:hAnsi="Times New Roman" w:cs="Times New Roman"/>
          <w:sz w:val="24"/>
          <w:szCs w:val="24"/>
          <w:lang w:val="lv-LV"/>
        </w:rPr>
        <w:t>i</w:t>
      </w:r>
      <w:r w:rsidRPr="007B4062">
        <w:rPr>
          <w:rFonts w:ascii="Times New Roman" w:eastAsiaTheme="minorHAnsi" w:hAnsi="Times New Roman" w:cs="Times New Roman"/>
          <w:sz w:val="24"/>
          <w:szCs w:val="24"/>
          <w:lang w:val="lv-LV"/>
        </w:rPr>
        <w:t xml:space="preserve"> pieteicēja </w:t>
      </w:r>
      <w:r w:rsidR="00F27CC3" w:rsidRPr="007B4062">
        <w:rPr>
          <w:rFonts w:ascii="Times New Roman" w:eastAsiaTheme="minorHAnsi" w:hAnsi="Times New Roman" w:cs="Times New Roman"/>
          <w:sz w:val="24"/>
          <w:szCs w:val="24"/>
          <w:lang w:val="lv-LV"/>
        </w:rPr>
        <w:t>izdevumi</w:t>
      </w:r>
      <w:r w:rsidRPr="007B4062">
        <w:rPr>
          <w:rFonts w:ascii="Times New Roman" w:eastAsiaTheme="minorHAnsi" w:hAnsi="Times New Roman" w:cs="Times New Roman"/>
          <w:sz w:val="24"/>
          <w:szCs w:val="24"/>
          <w:lang w:val="lv-LV"/>
        </w:rPr>
        <w:t>, ja tam būtu bijusi dota iespēja pildīt iepirkuma līgumu, un kāda attiecīgi ir ne</w:t>
      </w:r>
      <w:r w:rsidR="00320CBC">
        <w:rPr>
          <w:rFonts w:ascii="Times New Roman" w:eastAsiaTheme="minorHAnsi" w:hAnsi="Times New Roman" w:cs="Times New Roman"/>
          <w:sz w:val="24"/>
          <w:szCs w:val="24"/>
          <w:lang w:val="lv-LV"/>
        </w:rPr>
        <w:t>ie</w:t>
      </w:r>
      <w:r w:rsidRPr="007B4062">
        <w:rPr>
          <w:rFonts w:ascii="Times New Roman" w:eastAsiaTheme="minorHAnsi" w:hAnsi="Times New Roman" w:cs="Times New Roman"/>
          <w:sz w:val="24"/>
          <w:szCs w:val="24"/>
          <w:lang w:val="lv-LV"/>
        </w:rPr>
        <w:t xml:space="preserve">gūtā peļņa, un </w:t>
      </w:r>
      <w:r w:rsidRPr="007B4062">
        <w:rPr>
          <w:rFonts w:ascii="Times New Roman" w:hAnsi="Times New Roman" w:cs="Times New Roman"/>
          <w:sz w:val="24"/>
          <w:szCs w:val="24"/>
          <w:lang w:val="lv-LV"/>
        </w:rPr>
        <w:t>ir pietiekami, ja tiek pierādīta</w:t>
      </w:r>
      <w:r w:rsidR="00B25BF4" w:rsidRPr="007B4062">
        <w:rPr>
          <w:rFonts w:ascii="Times New Roman" w:hAnsi="Times New Roman" w:cs="Times New Roman"/>
          <w:sz w:val="24"/>
          <w:szCs w:val="24"/>
          <w:lang w:val="lv-LV"/>
        </w:rPr>
        <w:t xml:space="preserve"> minēto elementu </w:t>
      </w:r>
      <w:r w:rsidRPr="007B4062">
        <w:rPr>
          <w:rFonts w:ascii="Times New Roman" w:hAnsi="Times New Roman" w:cs="Times New Roman"/>
          <w:sz w:val="24"/>
          <w:szCs w:val="24"/>
          <w:lang w:val="lv-LV"/>
        </w:rPr>
        <w:t xml:space="preserve">liela varbūtība. </w:t>
      </w:r>
    </w:p>
    <w:p w14:paraId="482596AF" w14:textId="097DE3BE" w:rsidR="00697F21" w:rsidRPr="007B4062" w:rsidRDefault="00FF5AC1"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Kā konstatējams no lietas materiāliem, </w:t>
      </w:r>
      <w:r w:rsidR="005D0F50">
        <w:rPr>
          <w:rFonts w:ascii="Times New Roman" w:hAnsi="Times New Roman" w:cs="Times New Roman"/>
          <w:sz w:val="24"/>
          <w:szCs w:val="24"/>
          <w:lang w:val="lv-LV"/>
        </w:rPr>
        <w:t>„</w:t>
      </w:r>
      <w:r w:rsidRPr="0045627A">
        <w:rPr>
          <w:rFonts w:ascii="Times New Roman" w:eastAsiaTheme="minorHAnsi" w:hAnsi="Times New Roman" w:cs="Times New Roman"/>
          <w:sz w:val="24"/>
          <w:szCs w:val="24"/>
          <w:lang w:val="lv-LV"/>
        </w:rPr>
        <w:t>Grant Thor</w:t>
      </w:r>
      <w:r w:rsidR="003D215E" w:rsidRPr="0045627A">
        <w:rPr>
          <w:rFonts w:ascii="Times New Roman" w:eastAsiaTheme="minorHAnsi" w:hAnsi="Times New Roman" w:cs="Times New Roman"/>
          <w:sz w:val="24"/>
          <w:szCs w:val="24"/>
          <w:lang w:val="lv-LV"/>
        </w:rPr>
        <w:t>n</w:t>
      </w:r>
      <w:r w:rsidRPr="0045627A">
        <w:rPr>
          <w:rFonts w:ascii="Times New Roman" w:eastAsiaTheme="minorHAnsi" w:hAnsi="Times New Roman" w:cs="Times New Roman"/>
          <w:sz w:val="24"/>
          <w:szCs w:val="24"/>
          <w:lang w:val="lv-LV"/>
        </w:rPr>
        <w:t>ton</w:t>
      </w:r>
      <w:r w:rsidR="005D0F50">
        <w:rPr>
          <w:rFonts w:ascii="Times New Roman" w:eastAsiaTheme="minorHAnsi" w:hAnsi="Times New Roman" w:cs="Times New Roman"/>
          <w:sz w:val="24"/>
          <w:szCs w:val="24"/>
          <w:lang w:val="lv-LV"/>
        </w:rPr>
        <w:t>”</w:t>
      </w:r>
      <w:r w:rsidRPr="007B4062">
        <w:rPr>
          <w:rFonts w:ascii="Times New Roman" w:eastAsiaTheme="minorHAnsi" w:hAnsi="Times New Roman" w:cs="Times New Roman"/>
          <w:sz w:val="24"/>
          <w:szCs w:val="24"/>
          <w:lang w:val="lv-LV"/>
        </w:rPr>
        <w:t xml:space="preserve"> novērtējumā attiecībā uz pieteicējas tāmēs aprēķināto </w:t>
      </w:r>
      <w:r w:rsidRPr="007B4062">
        <w:rPr>
          <w:rFonts w:ascii="Times New Roman" w:hAnsi="Times New Roman" w:cs="Times New Roman"/>
          <w:sz w:val="24"/>
          <w:szCs w:val="24"/>
          <w:lang w:val="lv-LV"/>
        </w:rPr>
        <w:t>darbu izpildes pašizmaksu norādīts, ka atbilstoši pieteicējas procedūru rokasgrāmatai pieteicēja tāmē iekļāvusi izmaksas, kādas pieteicējai r</w:t>
      </w:r>
      <w:r w:rsidR="001C2EB4" w:rsidRPr="007B4062">
        <w:rPr>
          <w:rFonts w:ascii="Times New Roman" w:hAnsi="Times New Roman" w:cs="Times New Roman"/>
          <w:sz w:val="24"/>
          <w:szCs w:val="24"/>
          <w:lang w:val="lv-LV"/>
        </w:rPr>
        <w:t>astos</w:t>
      </w:r>
      <w:r w:rsidRPr="007B4062">
        <w:rPr>
          <w:rFonts w:ascii="Times New Roman" w:hAnsi="Times New Roman" w:cs="Times New Roman"/>
          <w:sz w:val="24"/>
          <w:szCs w:val="24"/>
          <w:lang w:val="lv-LV"/>
        </w:rPr>
        <w:t>, piesaistot apakšuzņēmējus darbu izpildei (ņemot vērā apakšuzņēmēju pieteicējai piedāvāto cenu). Tādējādi no novērtējuma izriet, ka</w:t>
      </w:r>
      <w:r w:rsidR="001F1744" w:rsidRPr="007B4062">
        <w:rPr>
          <w:rFonts w:ascii="Times New Roman" w:hAnsi="Times New Roman" w:cs="Times New Roman"/>
          <w:sz w:val="24"/>
          <w:szCs w:val="24"/>
          <w:lang w:val="lv-LV"/>
        </w:rPr>
        <w:t xml:space="preserve"> vērtē</w:t>
      </w:r>
      <w:r w:rsidR="001C2EB4" w:rsidRPr="007B4062">
        <w:rPr>
          <w:rFonts w:ascii="Times New Roman" w:hAnsi="Times New Roman" w:cs="Times New Roman"/>
          <w:sz w:val="24"/>
          <w:szCs w:val="24"/>
          <w:lang w:val="lv-LV"/>
        </w:rPr>
        <w:t>tā</w:t>
      </w:r>
      <w:r w:rsidR="001F1744" w:rsidRPr="007B4062">
        <w:rPr>
          <w:rFonts w:ascii="Times New Roman" w:hAnsi="Times New Roman" w:cs="Times New Roman"/>
          <w:sz w:val="24"/>
          <w:szCs w:val="24"/>
          <w:lang w:val="lv-LV"/>
        </w:rPr>
        <w:t>ji nav pārliecinājušies, vai tiešām konkrētajā gadījumā pieteicējas tāmē ietvertās izmaksas ir balstītas uz apakšuzņēmēju pieteicējai piedāvāto cenu</w:t>
      </w:r>
      <w:r w:rsidRPr="007B4062">
        <w:rPr>
          <w:rFonts w:ascii="Times New Roman" w:hAnsi="Times New Roman" w:cs="Times New Roman"/>
          <w:sz w:val="24"/>
          <w:szCs w:val="24"/>
          <w:lang w:val="lv-LV"/>
        </w:rPr>
        <w:t xml:space="preserve">, </w:t>
      </w:r>
      <w:r w:rsidR="001F1744" w:rsidRPr="007B4062">
        <w:rPr>
          <w:rFonts w:ascii="Times New Roman" w:hAnsi="Times New Roman" w:cs="Times New Roman"/>
          <w:sz w:val="24"/>
          <w:szCs w:val="24"/>
          <w:lang w:val="lv-LV"/>
        </w:rPr>
        <w:t xml:space="preserve">bet gan, atsaucoties uz rokasgrāmatu, ir prezumējuši, ka tas tā ir. </w:t>
      </w:r>
      <w:r w:rsidR="00CA133A" w:rsidRPr="007B4062">
        <w:rPr>
          <w:rFonts w:ascii="Times New Roman" w:hAnsi="Times New Roman" w:cs="Times New Roman"/>
          <w:sz w:val="24"/>
          <w:szCs w:val="24"/>
          <w:lang w:val="lv-LV"/>
        </w:rPr>
        <w:t>Savukārt attiecīgā</w:t>
      </w:r>
      <w:r w:rsidR="007B4062" w:rsidRPr="007B4062">
        <w:rPr>
          <w:rFonts w:ascii="Times New Roman" w:hAnsi="Times New Roman" w:cs="Times New Roman"/>
          <w:sz w:val="24"/>
          <w:szCs w:val="24"/>
          <w:lang w:val="lv-LV"/>
        </w:rPr>
        <w:t>s</w:t>
      </w:r>
      <w:r w:rsidR="00CA133A" w:rsidRPr="007B4062">
        <w:rPr>
          <w:rFonts w:ascii="Times New Roman" w:hAnsi="Times New Roman" w:cs="Times New Roman"/>
          <w:sz w:val="24"/>
          <w:szCs w:val="24"/>
          <w:lang w:val="lv-LV"/>
        </w:rPr>
        <w:t xml:space="preserve"> rokasgrāmata</w:t>
      </w:r>
      <w:r w:rsidR="007B4062" w:rsidRPr="007B4062">
        <w:rPr>
          <w:rFonts w:ascii="Times New Roman" w:hAnsi="Times New Roman" w:cs="Times New Roman"/>
          <w:sz w:val="24"/>
          <w:szCs w:val="24"/>
          <w:lang w:val="lv-LV"/>
        </w:rPr>
        <w:t>s versija</w:t>
      </w:r>
      <w:r w:rsidR="00CA133A" w:rsidRPr="007B4062">
        <w:rPr>
          <w:rFonts w:ascii="Times New Roman" w:hAnsi="Times New Roman" w:cs="Times New Roman"/>
          <w:sz w:val="24"/>
          <w:szCs w:val="24"/>
          <w:lang w:val="lv-LV"/>
        </w:rPr>
        <w:t xml:space="preserve">, </w:t>
      </w:r>
      <w:r w:rsidR="007B4062" w:rsidRPr="007B4062">
        <w:rPr>
          <w:rFonts w:ascii="Times New Roman" w:hAnsi="Times New Roman" w:cs="Times New Roman"/>
          <w:sz w:val="24"/>
          <w:szCs w:val="24"/>
          <w:lang w:val="lv-LV"/>
        </w:rPr>
        <w:t xml:space="preserve">kuru izmantojuši vērtētāji, </w:t>
      </w:r>
      <w:r w:rsidR="00CA133A" w:rsidRPr="007B4062">
        <w:rPr>
          <w:rFonts w:ascii="Times New Roman" w:hAnsi="Times New Roman" w:cs="Times New Roman"/>
          <w:sz w:val="24"/>
          <w:szCs w:val="24"/>
          <w:lang w:val="lv-LV"/>
        </w:rPr>
        <w:t>kā to gan pirmās instances tiesai</w:t>
      </w:r>
      <w:r w:rsidR="001C2EB4" w:rsidRPr="007B4062">
        <w:rPr>
          <w:rFonts w:ascii="Times New Roman" w:hAnsi="Times New Roman" w:cs="Times New Roman"/>
          <w:sz w:val="24"/>
          <w:szCs w:val="24"/>
          <w:lang w:val="lv-LV"/>
        </w:rPr>
        <w:t>,</w:t>
      </w:r>
      <w:r w:rsidR="00CA133A" w:rsidRPr="007B4062">
        <w:rPr>
          <w:rFonts w:ascii="Times New Roman" w:hAnsi="Times New Roman" w:cs="Times New Roman"/>
          <w:sz w:val="24"/>
          <w:szCs w:val="24"/>
          <w:lang w:val="lv-LV"/>
        </w:rPr>
        <w:t xml:space="preserve"> gan kasācijas sūdzībā Senātam </w:t>
      </w:r>
      <w:r w:rsidR="00C35E2B" w:rsidRPr="007B4062">
        <w:rPr>
          <w:rFonts w:ascii="Times New Roman" w:hAnsi="Times New Roman" w:cs="Times New Roman"/>
          <w:sz w:val="24"/>
          <w:szCs w:val="24"/>
          <w:lang w:val="lv-LV"/>
        </w:rPr>
        <w:t>apgalvo</w:t>
      </w:r>
      <w:r w:rsidR="00CA133A" w:rsidRPr="007B4062">
        <w:rPr>
          <w:rFonts w:ascii="Times New Roman" w:hAnsi="Times New Roman" w:cs="Times New Roman"/>
          <w:sz w:val="24"/>
          <w:szCs w:val="24"/>
          <w:lang w:val="lv-LV"/>
        </w:rPr>
        <w:t xml:space="preserve"> pasūtītāja, </w:t>
      </w:r>
      <w:r w:rsidR="00E7195E" w:rsidRPr="007B4062">
        <w:rPr>
          <w:rFonts w:ascii="Times New Roman" w:hAnsi="Times New Roman" w:cs="Times New Roman"/>
          <w:sz w:val="24"/>
          <w:szCs w:val="24"/>
          <w:lang w:val="lv-LV"/>
        </w:rPr>
        <w:t>nemaz vēl nebija spēkā laikā, kad pieteicēja gatavoja piedāvājumu.</w:t>
      </w:r>
    </w:p>
    <w:p w14:paraId="6AAFE3BF" w14:textId="72378AAD" w:rsidR="00697F21" w:rsidRPr="007B4062" w:rsidRDefault="00697F21"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Šādos apstākļos Senāts piekrīt </w:t>
      </w:r>
      <w:r w:rsidR="00950282" w:rsidRPr="007B4062">
        <w:rPr>
          <w:rFonts w:ascii="Times New Roman" w:hAnsi="Times New Roman" w:cs="Times New Roman"/>
          <w:sz w:val="24"/>
          <w:szCs w:val="24"/>
          <w:lang w:val="lv-LV"/>
        </w:rPr>
        <w:t>pasūtītājai</w:t>
      </w:r>
      <w:r w:rsidRPr="007B4062">
        <w:rPr>
          <w:rFonts w:ascii="Times New Roman" w:hAnsi="Times New Roman" w:cs="Times New Roman"/>
          <w:sz w:val="24"/>
          <w:szCs w:val="24"/>
          <w:lang w:val="lv-LV"/>
        </w:rPr>
        <w:t xml:space="preserve">, ka tiesai, ja tā secināja, ka </w:t>
      </w:r>
      <w:r w:rsidR="005D0F50">
        <w:rPr>
          <w:rFonts w:ascii="Times New Roman" w:hAnsi="Times New Roman" w:cs="Times New Roman"/>
          <w:sz w:val="24"/>
          <w:szCs w:val="24"/>
          <w:lang w:val="lv-LV"/>
        </w:rPr>
        <w:t>„</w:t>
      </w:r>
      <w:r w:rsidRPr="0045627A">
        <w:rPr>
          <w:rFonts w:ascii="Times New Roman" w:eastAsiaTheme="minorHAnsi" w:hAnsi="Times New Roman" w:cs="Times New Roman"/>
          <w:sz w:val="24"/>
          <w:szCs w:val="24"/>
          <w:lang w:val="lv-LV"/>
        </w:rPr>
        <w:t>Grant Thor</w:t>
      </w:r>
      <w:r w:rsidR="005D0F50">
        <w:rPr>
          <w:rFonts w:ascii="Times New Roman" w:eastAsiaTheme="minorHAnsi" w:hAnsi="Times New Roman" w:cs="Times New Roman"/>
          <w:sz w:val="24"/>
          <w:szCs w:val="24"/>
          <w:lang w:val="lv-LV"/>
        </w:rPr>
        <w:t>n</w:t>
      </w:r>
      <w:r w:rsidRPr="0045627A">
        <w:rPr>
          <w:rFonts w:ascii="Times New Roman" w:eastAsiaTheme="minorHAnsi" w:hAnsi="Times New Roman" w:cs="Times New Roman"/>
          <w:sz w:val="24"/>
          <w:szCs w:val="24"/>
          <w:lang w:val="lv-LV"/>
        </w:rPr>
        <w:t>ton</w:t>
      </w:r>
      <w:r w:rsidR="005D0F50">
        <w:rPr>
          <w:rFonts w:ascii="Times New Roman" w:eastAsiaTheme="minorHAnsi" w:hAnsi="Times New Roman" w:cs="Times New Roman"/>
          <w:sz w:val="24"/>
          <w:szCs w:val="24"/>
          <w:lang w:val="lv-LV"/>
        </w:rPr>
        <w:t>”</w:t>
      </w:r>
      <w:r w:rsidRPr="007B4062">
        <w:rPr>
          <w:rFonts w:ascii="Times New Roman" w:eastAsiaTheme="minorHAnsi" w:hAnsi="Times New Roman" w:cs="Times New Roman"/>
          <w:sz w:val="24"/>
          <w:szCs w:val="24"/>
          <w:lang w:val="lv-LV"/>
        </w:rPr>
        <w:t xml:space="preserve"> novērtējums pats par sevi ir pietiekams pierādījums tam, kādu </w:t>
      </w:r>
      <w:r w:rsidRPr="007B4062">
        <w:rPr>
          <w:rFonts w:ascii="Times New Roman" w:hAnsi="Times New Roman" w:cs="Times New Roman"/>
          <w:sz w:val="24"/>
          <w:szCs w:val="24"/>
          <w:lang w:val="lv-LV"/>
        </w:rPr>
        <w:t xml:space="preserve">peļņu pieteicēja ticami varēja gūt, spriedumā bija jāatspoguļo savi apsvērumi, kuru dēļ tā nonākusi pie konkrētā secinājuma, tostarp atbildot uz pasūtītājas iebildumiem. </w:t>
      </w:r>
      <w:r w:rsidR="00950282" w:rsidRPr="007B4062">
        <w:rPr>
          <w:rFonts w:ascii="Times New Roman" w:hAnsi="Times New Roman" w:cs="Times New Roman"/>
          <w:sz w:val="24"/>
          <w:szCs w:val="24"/>
          <w:lang w:val="lv-LV"/>
        </w:rPr>
        <w:t>Norāde, ka tiesai nav šaubu par vērtētāju profesionalitāti un objektivitāti, pati par sevi nav pietiekama.</w:t>
      </w:r>
    </w:p>
    <w:p w14:paraId="2027C83C" w14:textId="3C9EEC06" w:rsidR="0070547E" w:rsidRPr="007B4062" w:rsidRDefault="0070547E" w:rsidP="003F1B18">
      <w:pPr>
        <w:spacing w:after="0"/>
        <w:ind w:firstLine="567"/>
        <w:jc w:val="both"/>
        <w:rPr>
          <w:rFonts w:ascii="Times New Roman" w:hAnsi="Times New Roman" w:cs="Times New Roman"/>
          <w:sz w:val="24"/>
          <w:szCs w:val="24"/>
          <w:lang w:val="lv-LV"/>
        </w:rPr>
      </w:pPr>
    </w:p>
    <w:p w14:paraId="18E722FF" w14:textId="66AB5EC1" w:rsidR="009400FA" w:rsidRPr="007B4062" w:rsidRDefault="00C706E5" w:rsidP="003F1B18">
      <w:pPr>
        <w:spacing w:after="0"/>
        <w:ind w:firstLine="567"/>
        <w:jc w:val="both"/>
        <w:rPr>
          <w:rFonts w:ascii="Times New Roman" w:eastAsiaTheme="minorHAnsi" w:hAnsi="Times New Roman" w:cs="Times New Roman"/>
          <w:sz w:val="24"/>
          <w:szCs w:val="24"/>
          <w:lang w:val="lv-LV"/>
        </w:rPr>
      </w:pPr>
      <w:r w:rsidRPr="007B4062">
        <w:rPr>
          <w:rFonts w:ascii="Times New Roman" w:hAnsi="Times New Roman" w:cs="Times New Roman"/>
          <w:sz w:val="24"/>
          <w:szCs w:val="24"/>
          <w:lang w:val="lv-LV"/>
        </w:rPr>
        <w:t>[</w:t>
      </w:r>
      <w:r w:rsidR="005D0F50" w:rsidRPr="007B4062">
        <w:rPr>
          <w:rFonts w:ascii="Times New Roman" w:hAnsi="Times New Roman" w:cs="Times New Roman"/>
          <w:sz w:val="24"/>
          <w:szCs w:val="24"/>
          <w:lang w:val="lv-LV"/>
        </w:rPr>
        <w:t>4</w:t>
      </w:r>
      <w:r w:rsidR="005D0F50">
        <w:rPr>
          <w:rFonts w:ascii="Times New Roman" w:hAnsi="Times New Roman" w:cs="Times New Roman"/>
          <w:sz w:val="24"/>
          <w:szCs w:val="24"/>
          <w:lang w:val="lv-LV"/>
        </w:rPr>
        <w:t>8</w:t>
      </w:r>
      <w:r w:rsidRPr="007B4062">
        <w:rPr>
          <w:rFonts w:ascii="Times New Roman" w:hAnsi="Times New Roman" w:cs="Times New Roman"/>
          <w:sz w:val="24"/>
          <w:szCs w:val="24"/>
          <w:lang w:val="lv-LV"/>
        </w:rPr>
        <w:t>]</w:t>
      </w:r>
      <w:r w:rsidR="00A92E72">
        <w:rPr>
          <w:rFonts w:ascii="Times New Roman" w:hAnsi="Times New Roman" w:cs="Times New Roman"/>
          <w:sz w:val="24"/>
          <w:szCs w:val="24"/>
          <w:lang w:val="lv-LV"/>
        </w:rPr>
        <w:t> </w:t>
      </w:r>
      <w:r w:rsidR="00697F21" w:rsidRPr="007B4062">
        <w:rPr>
          <w:rFonts w:ascii="Times New Roman" w:hAnsi="Times New Roman" w:cs="Times New Roman"/>
          <w:sz w:val="24"/>
          <w:szCs w:val="24"/>
          <w:lang w:val="lv-LV"/>
        </w:rPr>
        <w:t>T</w:t>
      </w:r>
      <w:r w:rsidR="006C3B5D" w:rsidRPr="007B4062">
        <w:rPr>
          <w:rFonts w:ascii="Times New Roman" w:hAnsi="Times New Roman" w:cs="Times New Roman"/>
          <w:sz w:val="24"/>
          <w:szCs w:val="24"/>
          <w:lang w:val="lv-LV"/>
        </w:rPr>
        <w:t xml:space="preserve">iesa spriedumā arī atsaukusies uz </w:t>
      </w:r>
      <w:r w:rsidR="005D0F50">
        <w:rPr>
          <w:rFonts w:ascii="Times New Roman" w:hAnsi="Times New Roman" w:cs="Times New Roman"/>
          <w:sz w:val="24"/>
          <w:szCs w:val="24"/>
          <w:lang w:val="lv-LV"/>
        </w:rPr>
        <w:t>„</w:t>
      </w:r>
      <w:r w:rsidR="006C3B5D" w:rsidRPr="0045627A">
        <w:rPr>
          <w:rFonts w:ascii="Times New Roman" w:eastAsiaTheme="minorHAnsi" w:hAnsi="Times New Roman" w:cs="Times New Roman"/>
          <w:sz w:val="24"/>
          <w:szCs w:val="24"/>
          <w:lang w:val="lv-LV"/>
        </w:rPr>
        <w:t>Grant Thor</w:t>
      </w:r>
      <w:r w:rsidR="005D0F50">
        <w:rPr>
          <w:rFonts w:ascii="Times New Roman" w:eastAsiaTheme="minorHAnsi" w:hAnsi="Times New Roman" w:cs="Times New Roman"/>
          <w:sz w:val="24"/>
          <w:szCs w:val="24"/>
          <w:lang w:val="lv-LV"/>
        </w:rPr>
        <w:t>n</w:t>
      </w:r>
      <w:r w:rsidR="006C3B5D" w:rsidRPr="0045627A">
        <w:rPr>
          <w:rFonts w:ascii="Times New Roman" w:eastAsiaTheme="minorHAnsi" w:hAnsi="Times New Roman" w:cs="Times New Roman"/>
          <w:sz w:val="24"/>
          <w:szCs w:val="24"/>
          <w:lang w:val="lv-LV"/>
        </w:rPr>
        <w:t>ton</w:t>
      </w:r>
      <w:r w:rsidR="005D0F50">
        <w:rPr>
          <w:rFonts w:ascii="Times New Roman" w:eastAsiaTheme="minorHAnsi" w:hAnsi="Times New Roman" w:cs="Times New Roman"/>
          <w:sz w:val="24"/>
          <w:szCs w:val="24"/>
          <w:lang w:val="lv-LV"/>
        </w:rPr>
        <w:t>”</w:t>
      </w:r>
      <w:r w:rsidR="006C3B5D" w:rsidRPr="007B4062">
        <w:rPr>
          <w:rFonts w:ascii="Times New Roman" w:eastAsiaTheme="minorHAnsi" w:hAnsi="Times New Roman" w:cs="Times New Roman"/>
          <w:sz w:val="24"/>
          <w:szCs w:val="24"/>
          <w:lang w:val="lv-LV"/>
        </w:rPr>
        <w:t xml:space="preserve"> novērtējumā norādīto</w:t>
      </w:r>
      <w:r w:rsidR="0070547E" w:rsidRPr="007B4062">
        <w:rPr>
          <w:rFonts w:ascii="Times New Roman" w:eastAsiaTheme="minorHAnsi" w:hAnsi="Times New Roman" w:cs="Times New Roman"/>
          <w:sz w:val="24"/>
          <w:szCs w:val="24"/>
          <w:lang w:val="lv-LV"/>
        </w:rPr>
        <w:t xml:space="preserve">: </w:t>
      </w:r>
      <w:r w:rsidRPr="007B4062">
        <w:rPr>
          <w:rFonts w:ascii="Times New Roman" w:eastAsiaTheme="minorHAnsi" w:hAnsi="Times New Roman" w:cs="Times New Roman"/>
          <w:sz w:val="24"/>
          <w:szCs w:val="24"/>
          <w:lang w:val="lv-LV"/>
        </w:rPr>
        <w:t>1)</w:t>
      </w:r>
      <w:r w:rsidR="00A92E72">
        <w:rPr>
          <w:rFonts w:ascii="Times New Roman" w:eastAsiaTheme="minorHAnsi" w:hAnsi="Times New Roman" w:cs="Times New Roman"/>
          <w:sz w:val="24"/>
          <w:szCs w:val="24"/>
          <w:lang w:val="lv-LV"/>
        </w:rPr>
        <w:t> </w:t>
      </w:r>
      <w:r w:rsidR="0070547E" w:rsidRPr="007B4062">
        <w:rPr>
          <w:rFonts w:ascii="Times New Roman" w:eastAsiaTheme="minorHAnsi" w:hAnsi="Times New Roman" w:cs="Times New Roman"/>
          <w:sz w:val="24"/>
          <w:szCs w:val="24"/>
          <w:lang w:val="lv-LV"/>
        </w:rPr>
        <w:t xml:space="preserve">ja </w:t>
      </w:r>
      <w:r w:rsidR="0070547E" w:rsidRPr="007B4062">
        <w:rPr>
          <w:rFonts w:ascii="Times New Roman" w:hAnsi="Times New Roman" w:cs="Times New Roman"/>
          <w:sz w:val="24"/>
          <w:szCs w:val="24"/>
          <w:lang w:val="lv-LV"/>
        </w:rPr>
        <w:t xml:space="preserve">pieteicējas tāmē </w:t>
      </w:r>
      <w:r w:rsidR="00F27CC3" w:rsidRPr="007B4062">
        <w:rPr>
          <w:rFonts w:ascii="Times New Roman" w:hAnsi="Times New Roman" w:cs="Times New Roman"/>
          <w:sz w:val="24"/>
          <w:szCs w:val="24"/>
          <w:lang w:val="lv-LV"/>
        </w:rPr>
        <w:t>ap</w:t>
      </w:r>
      <w:r w:rsidR="0070547E" w:rsidRPr="007B4062">
        <w:rPr>
          <w:rFonts w:ascii="Times New Roman" w:hAnsi="Times New Roman" w:cs="Times New Roman"/>
          <w:sz w:val="24"/>
          <w:szCs w:val="24"/>
          <w:lang w:val="lv-LV"/>
        </w:rPr>
        <w:t>rēķinātās izmaksas atbilda vidējā</w:t>
      </w:r>
      <w:r w:rsidR="00F27CC3" w:rsidRPr="007B4062">
        <w:rPr>
          <w:rFonts w:ascii="Times New Roman" w:hAnsi="Times New Roman" w:cs="Times New Roman"/>
          <w:sz w:val="24"/>
          <w:szCs w:val="24"/>
          <w:lang w:val="lv-LV"/>
        </w:rPr>
        <w:t>m</w:t>
      </w:r>
      <w:r w:rsidR="0070547E" w:rsidRPr="007B4062">
        <w:rPr>
          <w:rFonts w:ascii="Times New Roman" w:hAnsi="Times New Roman" w:cs="Times New Roman"/>
          <w:sz w:val="24"/>
          <w:szCs w:val="24"/>
          <w:lang w:val="lv-LV"/>
        </w:rPr>
        <w:t xml:space="preserve"> tirgus izmaksām par konkrētā projekta īstenošanu, </w:t>
      </w:r>
      <w:r w:rsidR="0070547E" w:rsidRPr="007B4062">
        <w:rPr>
          <w:rFonts w:ascii="Times New Roman" w:eastAsiaTheme="minorHAnsi" w:hAnsi="Times New Roman" w:cs="Times New Roman"/>
          <w:sz w:val="24"/>
          <w:szCs w:val="24"/>
          <w:lang w:val="lv-LV"/>
        </w:rPr>
        <w:t>tad var uzskatīt, ka arī tāmē iekļautais peļņas procents atbilst vidēji nozarē pastāvošajam rentabilitātes līmenim</w:t>
      </w:r>
      <w:r w:rsidRPr="007B4062">
        <w:rPr>
          <w:rFonts w:ascii="Times New Roman" w:eastAsiaTheme="minorHAnsi" w:hAnsi="Times New Roman" w:cs="Times New Roman"/>
          <w:sz w:val="24"/>
          <w:szCs w:val="24"/>
          <w:lang w:val="lv-LV"/>
        </w:rPr>
        <w:t>; 2)</w:t>
      </w:r>
      <w:r w:rsidR="00A92E72">
        <w:rPr>
          <w:rFonts w:ascii="Times New Roman" w:eastAsiaTheme="minorHAnsi" w:hAnsi="Times New Roman" w:cs="Times New Roman"/>
          <w:sz w:val="24"/>
          <w:szCs w:val="24"/>
          <w:lang w:val="lv-LV"/>
        </w:rPr>
        <w:t> </w:t>
      </w:r>
      <w:r w:rsidR="0070547E" w:rsidRPr="007B4062">
        <w:rPr>
          <w:rFonts w:ascii="Times New Roman" w:eastAsiaTheme="minorHAnsi" w:hAnsi="Times New Roman" w:cs="Times New Roman"/>
          <w:sz w:val="24"/>
          <w:szCs w:val="24"/>
          <w:lang w:val="lv-LV"/>
        </w:rPr>
        <w:t xml:space="preserve">ir iespējams uzskatīt, ka </w:t>
      </w:r>
      <w:r w:rsidR="009400FA" w:rsidRPr="007B4062">
        <w:rPr>
          <w:rFonts w:ascii="Times New Roman" w:hAnsi="Times New Roman" w:cs="Times New Roman"/>
          <w:sz w:val="24"/>
          <w:szCs w:val="24"/>
          <w:lang w:val="lv-LV"/>
        </w:rPr>
        <w:t xml:space="preserve">pieteicējas tāmē </w:t>
      </w:r>
      <w:r w:rsidR="00F27CC3" w:rsidRPr="007B4062">
        <w:rPr>
          <w:rFonts w:ascii="Times New Roman" w:hAnsi="Times New Roman" w:cs="Times New Roman"/>
          <w:sz w:val="24"/>
          <w:szCs w:val="24"/>
          <w:lang w:val="lv-LV"/>
        </w:rPr>
        <w:t>ap</w:t>
      </w:r>
      <w:r w:rsidR="009400FA" w:rsidRPr="007B4062">
        <w:rPr>
          <w:rFonts w:ascii="Times New Roman" w:hAnsi="Times New Roman" w:cs="Times New Roman"/>
          <w:sz w:val="24"/>
          <w:szCs w:val="24"/>
          <w:lang w:val="lv-LV"/>
        </w:rPr>
        <w:t>rēķinātās izmaksas atbilda vidējā</w:t>
      </w:r>
      <w:r w:rsidR="001C2EB4" w:rsidRPr="007B4062">
        <w:rPr>
          <w:rFonts w:ascii="Times New Roman" w:hAnsi="Times New Roman" w:cs="Times New Roman"/>
          <w:sz w:val="24"/>
          <w:szCs w:val="24"/>
          <w:lang w:val="lv-LV"/>
        </w:rPr>
        <w:t>m</w:t>
      </w:r>
      <w:r w:rsidR="009400FA" w:rsidRPr="007B4062">
        <w:rPr>
          <w:rFonts w:ascii="Times New Roman" w:hAnsi="Times New Roman" w:cs="Times New Roman"/>
          <w:sz w:val="24"/>
          <w:szCs w:val="24"/>
          <w:lang w:val="lv-LV"/>
        </w:rPr>
        <w:t xml:space="preserve"> tirgus izmaksām par konkrētā projekta īstenošanu</w:t>
      </w:r>
      <w:r w:rsidR="0070547E" w:rsidRPr="007B4062">
        <w:rPr>
          <w:rFonts w:ascii="Times New Roman" w:eastAsiaTheme="minorHAnsi" w:hAnsi="Times New Roman" w:cs="Times New Roman"/>
          <w:sz w:val="24"/>
          <w:szCs w:val="24"/>
          <w:lang w:val="lv-LV"/>
        </w:rPr>
        <w:t xml:space="preserve">, jo pieteicējas finanšu piedāvājuma summa nav bijusi būtiski atšķirīga no pārējo konkursa pretendentu piedāvājumiem. </w:t>
      </w:r>
    </w:p>
    <w:p w14:paraId="50E5B4A9" w14:textId="08EBAA8C" w:rsidR="00697F21" w:rsidRPr="007B4062" w:rsidRDefault="00697F21" w:rsidP="003F1B18">
      <w:pPr>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 xml:space="preserve">Kasācijas sūdzībā uzsvērts, ka novērtējumā papildus minētajam </w:t>
      </w:r>
      <w:r w:rsidR="009400FA" w:rsidRPr="007B4062">
        <w:rPr>
          <w:rFonts w:ascii="Times New Roman" w:eastAsiaTheme="minorHAnsi" w:hAnsi="Times New Roman" w:cs="Times New Roman"/>
          <w:sz w:val="24"/>
          <w:szCs w:val="24"/>
          <w:lang w:val="lv-LV"/>
        </w:rPr>
        <w:t xml:space="preserve">vienlaikus </w:t>
      </w:r>
      <w:r w:rsidRPr="007B4062">
        <w:rPr>
          <w:rFonts w:ascii="Times New Roman" w:eastAsiaTheme="minorHAnsi" w:hAnsi="Times New Roman" w:cs="Times New Roman"/>
          <w:sz w:val="24"/>
          <w:szCs w:val="24"/>
          <w:lang w:val="lv-LV"/>
        </w:rPr>
        <w:t xml:space="preserve">arī norādīts, ka, </w:t>
      </w:r>
      <w:r w:rsidRPr="007B4062">
        <w:rPr>
          <w:rFonts w:ascii="Times New Roman" w:hAnsi="Times New Roman" w:cs="Times New Roman"/>
          <w:sz w:val="24"/>
          <w:szCs w:val="24"/>
          <w:lang w:val="lv-LV"/>
        </w:rPr>
        <w:t>vērtētāju ieskatā, ir grūtības pamatoti spriest par konkrētā projekta tāmē norādītā peļņas procenta objektīvu līmeni</w:t>
      </w:r>
      <w:r w:rsidR="008E27E6" w:rsidRPr="007B4062">
        <w:rPr>
          <w:rFonts w:ascii="Times New Roman" w:hAnsi="Times New Roman" w:cs="Times New Roman"/>
          <w:sz w:val="24"/>
          <w:szCs w:val="24"/>
          <w:lang w:val="lv-LV"/>
        </w:rPr>
        <w:t>. Turklāt Atlīdzināšanas likuma 12.panta trešā daļa noteic: n</w:t>
      </w:r>
      <w:r w:rsidR="008E27E6" w:rsidRPr="007B4062">
        <w:rPr>
          <w:rFonts w:ascii="Times New Roman" w:hAnsi="Times New Roman" w:cs="Times New Roman"/>
          <w:sz w:val="24"/>
          <w:szCs w:val="24"/>
          <w:shd w:val="clear" w:color="auto" w:fill="FFFFFF"/>
          <w:lang w:val="lv-LV"/>
        </w:rPr>
        <w:t xml:space="preserve">osakot neiegūtās peļņas apmēru, iestāde vai tiesa ņem vērā arī vispārējos riskus, kas ietekmē neiegūtās peļņas varbūtību, bet </w:t>
      </w:r>
      <w:r w:rsidR="005D0F50">
        <w:rPr>
          <w:rFonts w:ascii="Times New Roman" w:hAnsi="Times New Roman" w:cs="Times New Roman"/>
          <w:sz w:val="24"/>
          <w:szCs w:val="24"/>
          <w:shd w:val="clear" w:color="auto" w:fill="FFFFFF"/>
          <w:lang w:val="lv-LV"/>
        </w:rPr>
        <w:t>„</w:t>
      </w:r>
      <w:r w:rsidR="008E27E6" w:rsidRPr="0045627A">
        <w:rPr>
          <w:rFonts w:ascii="Times New Roman" w:eastAsiaTheme="minorHAnsi" w:hAnsi="Times New Roman" w:cs="Times New Roman"/>
          <w:sz w:val="24"/>
          <w:szCs w:val="24"/>
          <w:lang w:val="lv-LV"/>
        </w:rPr>
        <w:t>Grant Thor</w:t>
      </w:r>
      <w:r w:rsidR="005D0F50">
        <w:rPr>
          <w:rFonts w:ascii="Times New Roman" w:eastAsiaTheme="minorHAnsi" w:hAnsi="Times New Roman" w:cs="Times New Roman"/>
          <w:sz w:val="24"/>
          <w:szCs w:val="24"/>
          <w:lang w:val="lv-LV"/>
        </w:rPr>
        <w:t>n</w:t>
      </w:r>
      <w:r w:rsidR="008E27E6" w:rsidRPr="0045627A">
        <w:rPr>
          <w:rFonts w:ascii="Times New Roman" w:eastAsiaTheme="minorHAnsi" w:hAnsi="Times New Roman" w:cs="Times New Roman"/>
          <w:sz w:val="24"/>
          <w:szCs w:val="24"/>
          <w:lang w:val="lv-LV"/>
        </w:rPr>
        <w:t>ton</w:t>
      </w:r>
      <w:r w:rsidR="005D0F50">
        <w:rPr>
          <w:rFonts w:ascii="Times New Roman" w:eastAsiaTheme="minorHAnsi" w:hAnsi="Times New Roman" w:cs="Times New Roman"/>
          <w:sz w:val="24"/>
          <w:szCs w:val="24"/>
          <w:lang w:val="lv-LV"/>
        </w:rPr>
        <w:t>”</w:t>
      </w:r>
      <w:r w:rsidR="008E27E6" w:rsidRPr="007B4062">
        <w:rPr>
          <w:rFonts w:ascii="Times New Roman" w:eastAsiaTheme="minorHAnsi" w:hAnsi="Times New Roman" w:cs="Times New Roman"/>
          <w:sz w:val="24"/>
          <w:szCs w:val="24"/>
          <w:lang w:val="lv-LV"/>
        </w:rPr>
        <w:t xml:space="preserve"> novērtējumā nav analizēti riski, kas varētu ietekmēt ne</w:t>
      </w:r>
      <w:r w:rsidR="00320CBC">
        <w:rPr>
          <w:rFonts w:ascii="Times New Roman" w:eastAsiaTheme="minorHAnsi" w:hAnsi="Times New Roman" w:cs="Times New Roman"/>
          <w:sz w:val="24"/>
          <w:szCs w:val="24"/>
          <w:lang w:val="lv-LV"/>
        </w:rPr>
        <w:t>ie</w:t>
      </w:r>
      <w:r w:rsidR="008E27E6" w:rsidRPr="007B4062">
        <w:rPr>
          <w:rFonts w:ascii="Times New Roman" w:eastAsiaTheme="minorHAnsi" w:hAnsi="Times New Roman" w:cs="Times New Roman"/>
          <w:sz w:val="24"/>
          <w:szCs w:val="24"/>
          <w:lang w:val="lv-LV"/>
        </w:rPr>
        <w:t>gūtās peļņas apmēru. T</w:t>
      </w:r>
      <w:r w:rsidR="001C2EB4" w:rsidRPr="007B4062">
        <w:rPr>
          <w:rFonts w:ascii="Times New Roman" w:hAnsi="Times New Roman" w:cs="Times New Roman"/>
          <w:sz w:val="24"/>
          <w:szCs w:val="24"/>
          <w:lang w:val="lv-LV"/>
        </w:rPr>
        <w:t>ādējādi vērtē</w:t>
      </w:r>
      <w:r w:rsidR="00950282" w:rsidRPr="007B4062">
        <w:rPr>
          <w:rFonts w:ascii="Times New Roman" w:hAnsi="Times New Roman" w:cs="Times New Roman"/>
          <w:sz w:val="24"/>
          <w:szCs w:val="24"/>
          <w:lang w:val="lv-LV"/>
        </w:rPr>
        <w:t>tāj</w:t>
      </w:r>
      <w:r w:rsidR="001C2EB4" w:rsidRPr="007B4062">
        <w:rPr>
          <w:rFonts w:ascii="Times New Roman" w:hAnsi="Times New Roman" w:cs="Times New Roman"/>
          <w:sz w:val="24"/>
          <w:szCs w:val="24"/>
          <w:lang w:val="lv-LV"/>
        </w:rPr>
        <w:t>i tika</w:t>
      </w:r>
      <w:r w:rsidR="00950282" w:rsidRPr="007B4062">
        <w:rPr>
          <w:rFonts w:ascii="Times New Roman" w:hAnsi="Times New Roman" w:cs="Times New Roman"/>
          <w:sz w:val="24"/>
          <w:szCs w:val="24"/>
          <w:lang w:val="lv-LV"/>
        </w:rPr>
        <w:t>i</w:t>
      </w:r>
      <w:r w:rsidR="001C2EB4" w:rsidRPr="007B4062">
        <w:rPr>
          <w:rFonts w:ascii="Times New Roman" w:hAnsi="Times New Roman" w:cs="Times New Roman"/>
          <w:sz w:val="24"/>
          <w:szCs w:val="24"/>
          <w:lang w:val="lv-LV"/>
        </w:rPr>
        <w:t xml:space="preserve"> pieļauj iespēju, nevis ir pārliecināti, ka pieteicējas tāmē </w:t>
      </w:r>
      <w:r w:rsidR="00F27CC3" w:rsidRPr="007B4062">
        <w:rPr>
          <w:rFonts w:ascii="Times New Roman" w:hAnsi="Times New Roman" w:cs="Times New Roman"/>
          <w:sz w:val="24"/>
          <w:szCs w:val="24"/>
          <w:lang w:val="lv-LV"/>
        </w:rPr>
        <w:t>ap</w:t>
      </w:r>
      <w:r w:rsidR="001C2EB4" w:rsidRPr="007B4062">
        <w:rPr>
          <w:rFonts w:ascii="Times New Roman" w:hAnsi="Times New Roman" w:cs="Times New Roman"/>
          <w:sz w:val="24"/>
          <w:szCs w:val="24"/>
          <w:lang w:val="lv-LV"/>
        </w:rPr>
        <w:t>rēķinātās izmaksas atbilda vidē</w:t>
      </w:r>
      <w:r w:rsidR="00F27CC3" w:rsidRPr="007B4062">
        <w:rPr>
          <w:rFonts w:ascii="Times New Roman" w:hAnsi="Times New Roman" w:cs="Times New Roman"/>
          <w:sz w:val="24"/>
          <w:szCs w:val="24"/>
          <w:lang w:val="lv-LV"/>
        </w:rPr>
        <w:t>j</w:t>
      </w:r>
      <w:r w:rsidR="001C2EB4" w:rsidRPr="007B4062">
        <w:rPr>
          <w:rFonts w:ascii="Times New Roman" w:hAnsi="Times New Roman" w:cs="Times New Roman"/>
          <w:sz w:val="24"/>
          <w:szCs w:val="24"/>
          <w:lang w:val="lv-LV"/>
        </w:rPr>
        <w:t>ā</w:t>
      </w:r>
      <w:r w:rsidR="00F27CC3" w:rsidRPr="007B4062">
        <w:rPr>
          <w:rFonts w:ascii="Times New Roman" w:hAnsi="Times New Roman" w:cs="Times New Roman"/>
          <w:sz w:val="24"/>
          <w:szCs w:val="24"/>
          <w:lang w:val="lv-LV"/>
        </w:rPr>
        <w:t>m</w:t>
      </w:r>
      <w:r w:rsidR="001C2EB4" w:rsidRPr="007B4062">
        <w:rPr>
          <w:rFonts w:ascii="Times New Roman" w:hAnsi="Times New Roman" w:cs="Times New Roman"/>
          <w:sz w:val="24"/>
          <w:szCs w:val="24"/>
          <w:lang w:val="lv-LV"/>
        </w:rPr>
        <w:t xml:space="preserve"> tirgus izmaksām par konkrētā projekta īstenošanu</w:t>
      </w:r>
      <w:r w:rsidR="00C35E2B" w:rsidRPr="007B4062">
        <w:rPr>
          <w:rFonts w:ascii="Times New Roman" w:hAnsi="Times New Roman" w:cs="Times New Roman"/>
          <w:sz w:val="24"/>
          <w:szCs w:val="24"/>
          <w:lang w:val="lv-LV"/>
        </w:rPr>
        <w:t xml:space="preserve"> un attiecīgi peļņa – vidējiem peļņas rādītājiem nozarē</w:t>
      </w:r>
      <w:r w:rsidR="001C2EB4" w:rsidRPr="007B4062">
        <w:rPr>
          <w:rFonts w:ascii="Times New Roman" w:hAnsi="Times New Roman" w:cs="Times New Roman"/>
          <w:sz w:val="24"/>
          <w:szCs w:val="24"/>
          <w:lang w:val="lv-LV"/>
        </w:rPr>
        <w:t>. T</w:t>
      </w:r>
      <w:r w:rsidR="009400FA" w:rsidRPr="007B4062">
        <w:rPr>
          <w:rFonts w:ascii="Times New Roman" w:hAnsi="Times New Roman" w:cs="Times New Roman"/>
          <w:sz w:val="24"/>
          <w:szCs w:val="24"/>
          <w:lang w:val="lv-LV"/>
        </w:rPr>
        <w:t xml:space="preserve">āpēc tiesai bija spriedumā jāizskaidro, kāpēc tā uzskata, ka </w:t>
      </w:r>
      <w:r w:rsidR="005D0F50">
        <w:rPr>
          <w:rFonts w:ascii="Times New Roman" w:hAnsi="Times New Roman" w:cs="Times New Roman"/>
          <w:sz w:val="24"/>
          <w:szCs w:val="24"/>
          <w:lang w:val="lv-LV"/>
        </w:rPr>
        <w:t>„</w:t>
      </w:r>
      <w:r w:rsidR="009400FA" w:rsidRPr="0045627A">
        <w:rPr>
          <w:rFonts w:ascii="Times New Roman" w:eastAsiaTheme="minorHAnsi" w:hAnsi="Times New Roman" w:cs="Times New Roman"/>
          <w:sz w:val="24"/>
          <w:szCs w:val="24"/>
          <w:lang w:val="lv-LV"/>
        </w:rPr>
        <w:t>Grant Thor</w:t>
      </w:r>
      <w:r w:rsidR="005D0F50">
        <w:rPr>
          <w:rFonts w:ascii="Times New Roman" w:eastAsiaTheme="minorHAnsi" w:hAnsi="Times New Roman" w:cs="Times New Roman"/>
          <w:sz w:val="24"/>
          <w:szCs w:val="24"/>
          <w:lang w:val="lv-LV"/>
        </w:rPr>
        <w:t>n</w:t>
      </w:r>
      <w:r w:rsidR="009400FA" w:rsidRPr="0045627A">
        <w:rPr>
          <w:rFonts w:ascii="Times New Roman" w:eastAsiaTheme="minorHAnsi" w:hAnsi="Times New Roman" w:cs="Times New Roman"/>
          <w:sz w:val="24"/>
          <w:szCs w:val="24"/>
          <w:lang w:val="lv-LV"/>
        </w:rPr>
        <w:t>ton</w:t>
      </w:r>
      <w:r w:rsidR="005D0F50">
        <w:rPr>
          <w:rFonts w:ascii="Times New Roman" w:eastAsiaTheme="minorHAnsi" w:hAnsi="Times New Roman" w:cs="Times New Roman"/>
          <w:sz w:val="24"/>
          <w:szCs w:val="24"/>
          <w:lang w:val="lv-LV"/>
        </w:rPr>
        <w:t>”</w:t>
      </w:r>
      <w:r w:rsidR="009400FA" w:rsidRPr="007B4062">
        <w:rPr>
          <w:rFonts w:ascii="Times New Roman" w:eastAsiaTheme="minorHAnsi" w:hAnsi="Times New Roman" w:cs="Times New Roman"/>
          <w:sz w:val="24"/>
          <w:szCs w:val="24"/>
          <w:lang w:val="lv-LV"/>
        </w:rPr>
        <w:t xml:space="preserve"> novērtējumā norādītais ticami apliecina, ka </w:t>
      </w:r>
      <w:r w:rsidR="009400FA" w:rsidRPr="007B4062">
        <w:rPr>
          <w:rFonts w:ascii="Times New Roman" w:hAnsi="Times New Roman" w:cs="Times New Roman"/>
          <w:sz w:val="24"/>
          <w:szCs w:val="24"/>
          <w:lang w:val="lv-LV"/>
        </w:rPr>
        <w:t xml:space="preserve">pieteicējas tāmē </w:t>
      </w:r>
      <w:r w:rsidR="00F27CC3" w:rsidRPr="007B4062">
        <w:rPr>
          <w:rFonts w:ascii="Times New Roman" w:hAnsi="Times New Roman" w:cs="Times New Roman"/>
          <w:sz w:val="24"/>
          <w:szCs w:val="24"/>
          <w:lang w:val="lv-LV"/>
        </w:rPr>
        <w:t>ap</w:t>
      </w:r>
      <w:r w:rsidR="009400FA" w:rsidRPr="007B4062">
        <w:rPr>
          <w:rFonts w:ascii="Times New Roman" w:hAnsi="Times New Roman" w:cs="Times New Roman"/>
          <w:sz w:val="24"/>
          <w:szCs w:val="24"/>
          <w:lang w:val="lv-LV"/>
        </w:rPr>
        <w:t>rēķinātās izmaksas atbilda vidējā</w:t>
      </w:r>
      <w:r w:rsidR="00F27CC3" w:rsidRPr="007B4062">
        <w:rPr>
          <w:rFonts w:ascii="Times New Roman" w:hAnsi="Times New Roman" w:cs="Times New Roman"/>
          <w:sz w:val="24"/>
          <w:szCs w:val="24"/>
          <w:lang w:val="lv-LV"/>
        </w:rPr>
        <w:t>m</w:t>
      </w:r>
      <w:r w:rsidR="009400FA" w:rsidRPr="007B4062">
        <w:rPr>
          <w:rFonts w:ascii="Times New Roman" w:hAnsi="Times New Roman" w:cs="Times New Roman"/>
          <w:sz w:val="24"/>
          <w:szCs w:val="24"/>
          <w:lang w:val="lv-LV"/>
        </w:rPr>
        <w:t xml:space="preserve"> tirgus izmaksām par konkrētā projekta īstenošanu</w:t>
      </w:r>
      <w:r w:rsidR="009400FA" w:rsidRPr="007B4062">
        <w:rPr>
          <w:rFonts w:ascii="Times New Roman" w:eastAsiaTheme="minorHAnsi" w:hAnsi="Times New Roman" w:cs="Times New Roman"/>
          <w:sz w:val="24"/>
          <w:szCs w:val="24"/>
          <w:lang w:val="lv-LV"/>
        </w:rPr>
        <w:t xml:space="preserve"> un līdz ar to arī peļņas rādītājs atbilst vidēji nozarē pastāvošajam rentabilitātes līmenim.</w:t>
      </w:r>
    </w:p>
    <w:p w14:paraId="0BACDBF6" w14:textId="146DB78A" w:rsidR="006B1744" w:rsidRPr="007B4062" w:rsidRDefault="009400FA" w:rsidP="003F1B18">
      <w:pPr>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Senāts šo kasācijas sūdzības argumentu atzīst par pamatotu. Kā jau minēts, pietiekama pārliecība par to, kādas būtu bijušas pieteicēja izmaksas, ja iepirkuma līgums tiktu pildīts, ir būtisks elements ne</w:t>
      </w:r>
      <w:r w:rsidR="00320CBC">
        <w:rPr>
          <w:rFonts w:ascii="Times New Roman" w:eastAsiaTheme="minorHAnsi" w:hAnsi="Times New Roman" w:cs="Times New Roman"/>
          <w:sz w:val="24"/>
          <w:szCs w:val="24"/>
          <w:lang w:val="lv-LV"/>
        </w:rPr>
        <w:t>ie</w:t>
      </w:r>
      <w:r w:rsidRPr="007B4062">
        <w:rPr>
          <w:rFonts w:ascii="Times New Roman" w:eastAsiaTheme="minorHAnsi" w:hAnsi="Times New Roman" w:cs="Times New Roman"/>
          <w:sz w:val="24"/>
          <w:szCs w:val="24"/>
          <w:lang w:val="lv-LV"/>
        </w:rPr>
        <w:t>gūtās peļņas apmēra noteikšanā. Tāpēc būtu sagaidāms, ka tiesa, atbildot uz pasūtītāja norādēm par novērtējuma saturu, izskaidro</w:t>
      </w:r>
      <w:r w:rsidR="0070547E" w:rsidRPr="007B4062">
        <w:rPr>
          <w:rFonts w:ascii="Times New Roman" w:eastAsiaTheme="minorHAnsi" w:hAnsi="Times New Roman" w:cs="Times New Roman"/>
          <w:sz w:val="24"/>
          <w:szCs w:val="24"/>
          <w:lang w:val="lv-LV"/>
        </w:rPr>
        <w:t xml:space="preserve"> savus apsvērumus, kāpēc </w:t>
      </w:r>
      <w:r w:rsidR="00697F21" w:rsidRPr="007B4062">
        <w:rPr>
          <w:rFonts w:ascii="Times New Roman" w:eastAsiaTheme="minorHAnsi" w:hAnsi="Times New Roman" w:cs="Times New Roman"/>
          <w:sz w:val="24"/>
          <w:szCs w:val="24"/>
          <w:lang w:val="lv-LV"/>
        </w:rPr>
        <w:t>no</w:t>
      </w:r>
      <w:r w:rsidR="0070547E" w:rsidRPr="007B4062">
        <w:rPr>
          <w:rFonts w:ascii="Times New Roman" w:eastAsiaTheme="minorHAnsi" w:hAnsi="Times New Roman" w:cs="Times New Roman"/>
          <w:sz w:val="24"/>
          <w:szCs w:val="24"/>
          <w:lang w:val="lv-LV"/>
        </w:rPr>
        <w:t>vērtēj</w:t>
      </w:r>
      <w:r w:rsidR="00697F21" w:rsidRPr="007B4062">
        <w:rPr>
          <w:rFonts w:ascii="Times New Roman" w:eastAsiaTheme="minorHAnsi" w:hAnsi="Times New Roman" w:cs="Times New Roman"/>
          <w:sz w:val="24"/>
          <w:szCs w:val="24"/>
          <w:lang w:val="lv-LV"/>
        </w:rPr>
        <w:t>um</w:t>
      </w:r>
      <w:r w:rsidRPr="007B4062">
        <w:rPr>
          <w:rFonts w:ascii="Times New Roman" w:eastAsiaTheme="minorHAnsi" w:hAnsi="Times New Roman" w:cs="Times New Roman"/>
          <w:sz w:val="24"/>
          <w:szCs w:val="24"/>
          <w:lang w:val="lv-LV"/>
        </w:rPr>
        <w:t xml:space="preserve">ā norādītais tomēr pietiekami pierāda, </w:t>
      </w:r>
      <w:r w:rsidR="007B4062" w:rsidRPr="007B4062">
        <w:rPr>
          <w:rFonts w:ascii="Times New Roman" w:eastAsiaTheme="minorHAnsi" w:hAnsi="Times New Roman" w:cs="Times New Roman"/>
          <w:sz w:val="24"/>
          <w:szCs w:val="24"/>
          <w:lang w:val="lv-LV"/>
        </w:rPr>
        <w:t xml:space="preserve">piemēram, to, </w:t>
      </w:r>
      <w:r w:rsidRPr="007B4062">
        <w:rPr>
          <w:rFonts w:ascii="Times New Roman" w:eastAsiaTheme="minorHAnsi" w:hAnsi="Times New Roman" w:cs="Times New Roman"/>
          <w:sz w:val="24"/>
          <w:szCs w:val="24"/>
          <w:lang w:val="lv-LV"/>
        </w:rPr>
        <w:t xml:space="preserve">ka ar lielu varbūtību pieteicējas tāmē aprēķinātās izmaksas atspoguļo to, kādas izmaksas faktiski būtu līguma izpildīšanas gadījumā. </w:t>
      </w:r>
    </w:p>
    <w:p w14:paraId="69795663" w14:textId="360548B4" w:rsidR="00E7195E" w:rsidRPr="007B4062" w:rsidRDefault="009400FA" w:rsidP="003F1B18">
      <w:pPr>
        <w:spacing w:after="0"/>
        <w:ind w:firstLine="567"/>
        <w:jc w:val="both"/>
        <w:rPr>
          <w:rFonts w:ascii="Times New Roman" w:eastAsiaTheme="minorHAnsi" w:hAnsi="Times New Roman" w:cs="Times New Roman"/>
          <w:sz w:val="24"/>
          <w:szCs w:val="24"/>
          <w:lang w:val="lv-LV"/>
        </w:rPr>
      </w:pPr>
      <w:r w:rsidRPr="007B4062">
        <w:rPr>
          <w:rFonts w:ascii="Times New Roman" w:eastAsiaTheme="minorHAnsi" w:hAnsi="Times New Roman" w:cs="Times New Roman"/>
          <w:sz w:val="24"/>
          <w:szCs w:val="24"/>
          <w:lang w:val="lv-LV"/>
        </w:rPr>
        <w:t xml:space="preserve">Minētais jo īpaši būtu sagaidāms, ņemot vērā, ka </w:t>
      </w:r>
      <w:r w:rsidR="005D0F50">
        <w:rPr>
          <w:rFonts w:ascii="Times New Roman" w:eastAsiaTheme="minorHAnsi" w:hAnsi="Times New Roman" w:cs="Times New Roman"/>
          <w:sz w:val="24"/>
          <w:szCs w:val="24"/>
          <w:lang w:val="lv-LV"/>
        </w:rPr>
        <w:t>„</w:t>
      </w:r>
      <w:r w:rsidRPr="0045627A">
        <w:rPr>
          <w:rFonts w:ascii="Times New Roman" w:eastAsiaTheme="minorHAnsi" w:hAnsi="Times New Roman" w:cs="Times New Roman"/>
          <w:sz w:val="24"/>
          <w:szCs w:val="24"/>
          <w:lang w:val="lv-LV"/>
        </w:rPr>
        <w:t>Grant Thor</w:t>
      </w:r>
      <w:r w:rsidR="005D0F50">
        <w:rPr>
          <w:rFonts w:ascii="Times New Roman" w:eastAsiaTheme="minorHAnsi" w:hAnsi="Times New Roman" w:cs="Times New Roman"/>
          <w:sz w:val="24"/>
          <w:szCs w:val="24"/>
          <w:lang w:val="lv-LV"/>
        </w:rPr>
        <w:t>n</w:t>
      </w:r>
      <w:r w:rsidRPr="0045627A">
        <w:rPr>
          <w:rFonts w:ascii="Times New Roman" w:eastAsiaTheme="minorHAnsi" w:hAnsi="Times New Roman" w:cs="Times New Roman"/>
          <w:sz w:val="24"/>
          <w:szCs w:val="24"/>
          <w:lang w:val="lv-LV"/>
        </w:rPr>
        <w:t>ton</w:t>
      </w:r>
      <w:r w:rsidR="005D0F50">
        <w:rPr>
          <w:rFonts w:ascii="Times New Roman" w:eastAsiaTheme="minorHAnsi" w:hAnsi="Times New Roman" w:cs="Times New Roman"/>
          <w:sz w:val="24"/>
          <w:szCs w:val="24"/>
          <w:lang w:val="lv-LV"/>
        </w:rPr>
        <w:t>”</w:t>
      </w:r>
      <w:r w:rsidRPr="007B4062">
        <w:rPr>
          <w:rFonts w:ascii="Times New Roman" w:eastAsiaTheme="minorHAnsi" w:hAnsi="Times New Roman" w:cs="Times New Roman"/>
          <w:sz w:val="24"/>
          <w:szCs w:val="24"/>
          <w:lang w:val="lv-LV"/>
        </w:rPr>
        <w:t xml:space="preserve"> novērtējums nav sagatavots kā būvniecības nozares lietpratēja novērtējums, bet gan kā </w:t>
      </w:r>
      <w:r w:rsidR="006B1744" w:rsidRPr="007B4062">
        <w:rPr>
          <w:rFonts w:ascii="Times New Roman" w:eastAsiaTheme="minorHAnsi" w:hAnsi="Times New Roman" w:cs="Times New Roman"/>
          <w:sz w:val="24"/>
          <w:szCs w:val="24"/>
          <w:lang w:val="lv-LV"/>
        </w:rPr>
        <w:t xml:space="preserve">finanšu jomas lietpratēja novērtējums, kas, kā norādīts novērtējumā, lielā mērā balstīts uz pieteicējas grāmatvedības dokumentiem. </w:t>
      </w:r>
      <w:r w:rsidR="00C35E2B" w:rsidRPr="007B4062">
        <w:rPr>
          <w:rFonts w:ascii="Times New Roman" w:eastAsiaTheme="minorHAnsi" w:hAnsi="Times New Roman" w:cs="Times New Roman"/>
          <w:sz w:val="24"/>
          <w:szCs w:val="24"/>
          <w:lang w:val="lv-LV"/>
        </w:rPr>
        <w:t>Turklāt novērtējumā norādīts, ka tā autori pieņēma, ka nav notikušas būtiskas izmaiņas, kas varētu ietekmēt vērtējumu. Jāpiekrīt kasatorei, ka šāda veida norādes var radīt šaubas, vai, ne</w:t>
      </w:r>
      <w:r w:rsidR="00320CBC">
        <w:rPr>
          <w:rFonts w:ascii="Times New Roman" w:eastAsiaTheme="minorHAnsi" w:hAnsi="Times New Roman" w:cs="Times New Roman"/>
          <w:sz w:val="24"/>
          <w:szCs w:val="24"/>
          <w:lang w:val="lv-LV"/>
        </w:rPr>
        <w:t>ie</w:t>
      </w:r>
      <w:r w:rsidR="00C35E2B" w:rsidRPr="007B4062">
        <w:rPr>
          <w:rFonts w:ascii="Times New Roman" w:eastAsiaTheme="minorHAnsi" w:hAnsi="Times New Roman" w:cs="Times New Roman"/>
          <w:sz w:val="24"/>
          <w:szCs w:val="24"/>
          <w:lang w:val="lv-LV"/>
        </w:rPr>
        <w:t>gūtās peļņas apmēra pierādīšanu balstot tikai uz novērtējumu, tiesa ir pienācīgi pārbaudījusi, vai lietā ir pietiekama informācija par visiem zaudējumu apmēra noteikšanai būtiskajiem aspektiem.</w:t>
      </w:r>
      <w:r w:rsidR="00C35E2B" w:rsidRPr="007B4062">
        <w:rPr>
          <w:rFonts w:ascii="Times New Roman" w:hAnsi="Times New Roman" w:cs="Times New Roman"/>
          <w:sz w:val="24"/>
          <w:szCs w:val="24"/>
          <w:lang w:val="lv-LV"/>
        </w:rPr>
        <w:t xml:space="preserve"> </w:t>
      </w:r>
      <w:r w:rsidRPr="007B4062">
        <w:rPr>
          <w:rFonts w:ascii="Times New Roman" w:hAnsi="Times New Roman" w:cs="Times New Roman"/>
          <w:sz w:val="24"/>
          <w:szCs w:val="24"/>
          <w:lang w:val="lv-LV"/>
        </w:rPr>
        <w:t xml:space="preserve">Jāņem vērā, ka ir iespējami dažādi </w:t>
      </w:r>
      <w:r w:rsidR="00950282" w:rsidRPr="007B4062">
        <w:rPr>
          <w:rFonts w:ascii="Times New Roman" w:hAnsi="Times New Roman" w:cs="Times New Roman"/>
          <w:sz w:val="24"/>
          <w:szCs w:val="24"/>
          <w:lang w:val="lv-LV"/>
        </w:rPr>
        <w:t xml:space="preserve">ar nozares tirgu saistīti </w:t>
      </w:r>
      <w:r w:rsidRPr="007B4062">
        <w:rPr>
          <w:rFonts w:ascii="Times New Roman" w:hAnsi="Times New Roman" w:cs="Times New Roman"/>
          <w:sz w:val="24"/>
          <w:szCs w:val="24"/>
          <w:lang w:val="lv-LV"/>
        </w:rPr>
        <w:t>apstākļi (piemēram, būvniecības materiālu cenu kāpums</w:t>
      </w:r>
      <w:r w:rsidR="006B1744" w:rsidRPr="007B4062">
        <w:rPr>
          <w:rFonts w:ascii="Times New Roman" w:hAnsi="Times New Roman" w:cs="Times New Roman"/>
          <w:sz w:val="24"/>
          <w:szCs w:val="24"/>
          <w:lang w:val="lv-LV"/>
        </w:rPr>
        <w:t xml:space="preserve"> u.tml.</w:t>
      </w:r>
      <w:r w:rsidRPr="007B4062">
        <w:rPr>
          <w:rFonts w:ascii="Times New Roman" w:hAnsi="Times New Roman" w:cs="Times New Roman"/>
          <w:sz w:val="24"/>
          <w:szCs w:val="24"/>
          <w:lang w:val="lv-LV"/>
        </w:rPr>
        <w:t>), kas var likt secināt, ka izmaksas, par kādām sākotnēji bija plānots darbus izpildīt, faktiski būtu lielākas un attiecīgi peļņa būtu mazāka, nekā iecerēts.</w:t>
      </w:r>
      <w:r w:rsidR="006B1744" w:rsidRPr="007B4062">
        <w:rPr>
          <w:rFonts w:ascii="Times New Roman" w:hAnsi="Times New Roman" w:cs="Times New Roman"/>
          <w:sz w:val="24"/>
          <w:szCs w:val="24"/>
          <w:lang w:val="lv-LV"/>
        </w:rPr>
        <w:t xml:space="preserve"> Līdz ar to tiesai b</w:t>
      </w:r>
      <w:r w:rsidR="00DE4641" w:rsidRPr="007B4062">
        <w:rPr>
          <w:rFonts w:ascii="Times New Roman" w:hAnsi="Times New Roman" w:cs="Times New Roman"/>
          <w:sz w:val="24"/>
          <w:szCs w:val="24"/>
          <w:lang w:val="lv-LV"/>
        </w:rPr>
        <w:t>ija</w:t>
      </w:r>
      <w:r w:rsidR="006B1744" w:rsidRPr="007B4062">
        <w:rPr>
          <w:rFonts w:ascii="Times New Roman" w:hAnsi="Times New Roman" w:cs="Times New Roman"/>
          <w:sz w:val="24"/>
          <w:szCs w:val="24"/>
          <w:lang w:val="lv-LV"/>
        </w:rPr>
        <w:t xml:space="preserve"> jāizskaidro, kāpēc būvniecības jomas neprofesionāļa novērtējums, kas balstīts tikai uz to, kādi bija pretendentu piedāvājumi iepirkuma izsludināšanas laikā,</w:t>
      </w:r>
      <w:r w:rsidR="001C2EB4" w:rsidRPr="007B4062">
        <w:rPr>
          <w:rFonts w:ascii="Times New Roman" w:hAnsi="Times New Roman" w:cs="Times New Roman"/>
          <w:sz w:val="24"/>
          <w:szCs w:val="24"/>
          <w:lang w:val="lv-LV"/>
        </w:rPr>
        <w:t xml:space="preserve"> turklāt ar piebildi</w:t>
      </w:r>
      <w:r w:rsidR="00DE4641" w:rsidRPr="007B4062">
        <w:rPr>
          <w:rFonts w:ascii="Times New Roman" w:hAnsi="Times New Roman" w:cs="Times New Roman"/>
          <w:sz w:val="24"/>
          <w:szCs w:val="24"/>
          <w:lang w:val="lv-LV"/>
        </w:rPr>
        <w:t xml:space="preserve">, ka vērtētājiem ir grūtības pamatoti spriest par konkrētā projekta tāmē norādītā peļņas procenta objektīvu līmeni, </w:t>
      </w:r>
      <w:r w:rsidR="006B1744" w:rsidRPr="007B4062">
        <w:rPr>
          <w:rFonts w:ascii="Times New Roman" w:hAnsi="Times New Roman" w:cs="Times New Roman"/>
          <w:sz w:val="24"/>
          <w:szCs w:val="24"/>
          <w:lang w:val="lv-LV"/>
        </w:rPr>
        <w:t xml:space="preserve">tai </w:t>
      </w:r>
      <w:r w:rsidR="00DE4641" w:rsidRPr="007B4062">
        <w:rPr>
          <w:rFonts w:ascii="Times New Roman" w:hAnsi="Times New Roman" w:cs="Times New Roman"/>
          <w:sz w:val="24"/>
          <w:szCs w:val="24"/>
          <w:lang w:val="lv-LV"/>
        </w:rPr>
        <w:t xml:space="preserve">tomēr </w:t>
      </w:r>
      <w:r w:rsidR="006B1744" w:rsidRPr="007B4062">
        <w:rPr>
          <w:rFonts w:ascii="Times New Roman" w:hAnsi="Times New Roman" w:cs="Times New Roman"/>
          <w:sz w:val="24"/>
          <w:szCs w:val="24"/>
          <w:lang w:val="lv-LV"/>
        </w:rPr>
        <w:t xml:space="preserve">ļāvis gūt pārliecību, ka pieteicējas tāmē </w:t>
      </w:r>
      <w:r w:rsidR="00F27CC3" w:rsidRPr="007B4062">
        <w:rPr>
          <w:rFonts w:ascii="Times New Roman" w:hAnsi="Times New Roman" w:cs="Times New Roman"/>
          <w:sz w:val="24"/>
          <w:szCs w:val="24"/>
          <w:lang w:val="lv-LV"/>
        </w:rPr>
        <w:t>ap</w:t>
      </w:r>
      <w:r w:rsidR="006B1744" w:rsidRPr="007B4062">
        <w:rPr>
          <w:rFonts w:ascii="Times New Roman" w:hAnsi="Times New Roman" w:cs="Times New Roman"/>
          <w:sz w:val="24"/>
          <w:szCs w:val="24"/>
          <w:lang w:val="lv-LV"/>
        </w:rPr>
        <w:t>rēķinātās izmaksas atbilda vidējā</w:t>
      </w:r>
      <w:r w:rsidR="00F27CC3" w:rsidRPr="007B4062">
        <w:rPr>
          <w:rFonts w:ascii="Times New Roman" w:hAnsi="Times New Roman" w:cs="Times New Roman"/>
          <w:sz w:val="24"/>
          <w:szCs w:val="24"/>
          <w:lang w:val="lv-LV"/>
        </w:rPr>
        <w:t>m</w:t>
      </w:r>
      <w:r w:rsidR="006B1744" w:rsidRPr="007B4062">
        <w:rPr>
          <w:rFonts w:ascii="Times New Roman" w:hAnsi="Times New Roman" w:cs="Times New Roman"/>
          <w:sz w:val="24"/>
          <w:szCs w:val="24"/>
          <w:lang w:val="lv-LV"/>
        </w:rPr>
        <w:t xml:space="preserve"> tirgus izmaksām par konkrētā projekta īstenošanu laikā, kad darbi bija izpildāmi.</w:t>
      </w:r>
      <w:r w:rsidR="00E7195E" w:rsidRPr="007B4062">
        <w:rPr>
          <w:rFonts w:ascii="Times New Roman" w:hAnsi="Times New Roman" w:cs="Times New Roman"/>
          <w:sz w:val="24"/>
          <w:szCs w:val="24"/>
          <w:lang w:val="lv-LV"/>
        </w:rPr>
        <w:t xml:space="preserve"> </w:t>
      </w:r>
    </w:p>
    <w:p w14:paraId="305D411F" w14:textId="7A0D35C6" w:rsidR="00D3314E" w:rsidRPr="007B4062" w:rsidRDefault="00D3314E"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Senāts atzīst, ka š</w:t>
      </w:r>
      <w:r w:rsidR="00DE4641" w:rsidRPr="007B4062">
        <w:rPr>
          <w:rFonts w:ascii="Times New Roman" w:hAnsi="Times New Roman" w:cs="Times New Roman"/>
          <w:sz w:val="24"/>
          <w:szCs w:val="24"/>
          <w:lang w:val="lv-LV"/>
        </w:rPr>
        <w:t>ādu apsvērumu trūkums</w:t>
      </w:r>
      <w:r w:rsidRPr="007B4062">
        <w:rPr>
          <w:rFonts w:ascii="Times New Roman" w:hAnsi="Times New Roman" w:cs="Times New Roman"/>
          <w:sz w:val="24"/>
          <w:szCs w:val="24"/>
          <w:lang w:val="lv-LV"/>
        </w:rPr>
        <w:t xml:space="preserve"> spriedumā</w:t>
      </w:r>
      <w:r w:rsidR="00DE4641" w:rsidRPr="007B4062">
        <w:rPr>
          <w:rFonts w:ascii="Times New Roman" w:hAnsi="Times New Roman" w:cs="Times New Roman"/>
          <w:sz w:val="24"/>
          <w:szCs w:val="24"/>
          <w:lang w:val="lv-LV"/>
        </w:rPr>
        <w:t xml:space="preserve">, attiecīgi neatbildot uz pasūtītāja argumentiem un arī neizskaidrojot, kāpēc šie argumenti, tiesas ieskatā, nav būtiski, </w:t>
      </w:r>
      <w:r w:rsidR="00C35E2B" w:rsidRPr="007B4062">
        <w:rPr>
          <w:rFonts w:ascii="Times New Roman" w:hAnsi="Times New Roman" w:cs="Times New Roman"/>
          <w:sz w:val="24"/>
          <w:szCs w:val="24"/>
          <w:lang w:val="lv-LV"/>
        </w:rPr>
        <w:t xml:space="preserve">neļauj pārliecināties, ka </w:t>
      </w:r>
      <w:r w:rsidRPr="007B4062">
        <w:rPr>
          <w:rFonts w:ascii="Times New Roman" w:hAnsi="Times New Roman" w:cs="Times New Roman"/>
          <w:sz w:val="24"/>
          <w:szCs w:val="24"/>
          <w:lang w:val="lv-LV"/>
        </w:rPr>
        <w:t xml:space="preserve">tiesa </w:t>
      </w:r>
      <w:r w:rsidR="00C35E2B" w:rsidRPr="007B4062">
        <w:rPr>
          <w:rFonts w:ascii="Times New Roman" w:hAnsi="Times New Roman" w:cs="Times New Roman"/>
          <w:sz w:val="24"/>
          <w:szCs w:val="24"/>
          <w:lang w:val="lv-LV"/>
        </w:rPr>
        <w:t>ir</w:t>
      </w:r>
      <w:r w:rsidRPr="007B4062">
        <w:rPr>
          <w:rFonts w:ascii="Times New Roman" w:hAnsi="Times New Roman" w:cs="Times New Roman"/>
          <w:sz w:val="24"/>
          <w:szCs w:val="24"/>
          <w:lang w:val="lv-LV"/>
        </w:rPr>
        <w:t xml:space="preserve"> pienācīgi ievērojusi no Administratīvā procesa likuma 154.panta izrietošo pienākumu pilnīgi un vispusīgi pārbaudīt pierādījumus lietā.</w:t>
      </w:r>
    </w:p>
    <w:p w14:paraId="5071152D" w14:textId="763C4032" w:rsidR="00D3314E" w:rsidRPr="007B4062" w:rsidRDefault="00850C9A"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Tas ir pietiekams pamats sprieduma atcelšanai</w:t>
      </w:r>
      <w:r w:rsidR="00D3314E" w:rsidRPr="007B4062">
        <w:rPr>
          <w:rFonts w:ascii="Times New Roman" w:hAnsi="Times New Roman" w:cs="Times New Roman"/>
          <w:sz w:val="24"/>
          <w:szCs w:val="24"/>
          <w:lang w:val="lv-LV"/>
        </w:rPr>
        <w:t>.</w:t>
      </w:r>
    </w:p>
    <w:p w14:paraId="225AC8F8" w14:textId="055F85F0" w:rsidR="00353072" w:rsidRPr="007B4062" w:rsidRDefault="00353072" w:rsidP="003F1B18">
      <w:pPr>
        <w:spacing w:after="0"/>
        <w:ind w:firstLine="567"/>
        <w:jc w:val="both"/>
        <w:rPr>
          <w:rFonts w:ascii="Times New Roman" w:hAnsi="Times New Roman" w:cs="Times New Roman"/>
          <w:sz w:val="24"/>
          <w:szCs w:val="24"/>
          <w:lang w:val="lv-LV"/>
        </w:rPr>
      </w:pPr>
    </w:p>
    <w:p w14:paraId="792CF56D" w14:textId="575F0461" w:rsidR="00D3314E" w:rsidRPr="007B4062" w:rsidRDefault="005A498B"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w:t>
      </w:r>
      <w:r w:rsidR="005D0F50">
        <w:rPr>
          <w:rFonts w:ascii="Times New Roman" w:hAnsi="Times New Roman" w:cs="Times New Roman"/>
          <w:sz w:val="24"/>
          <w:szCs w:val="24"/>
          <w:lang w:val="lv-LV"/>
        </w:rPr>
        <w:t>49</w:t>
      </w:r>
      <w:r w:rsidRPr="007B4062">
        <w:rPr>
          <w:rFonts w:ascii="Times New Roman" w:hAnsi="Times New Roman" w:cs="Times New Roman"/>
          <w:sz w:val="24"/>
          <w:szCs w:val="24"/>
          <w:lang w:val="lv-LV"/>
        </w:rPr>
        <w:t>]</w:t>
      </w:r>
      <w:r w:rsidR="00A92E72">
        <w:rPr>
          <w:rFonts w:ascii="Times New Roman" w:hAnsi="Times New Roman" w:cs="Times New Roman"/>
          <w:sz w:val="24"/>
          <w:szCs w:val="24"/>
          <w:lang w:val="lv-LV"/>
        </w:rPr>
        <w:t> </w:t>
      </w:r>
      <w:r w:rsidRPr="007B4062">
        <w:rPr>
          <w:rFonts w:ascii="Times New Roman" w:hAnsi="Times New Roman" w:cs="Times New Roman"/>
          <w:sz w:val="24"/>
          <w:szCs w:val="24"/>
          <w:lang w:val="lv-LV"/>
        </w:rPr>
        <w:t xml:space="preserve">Kasatore arī norādījusi, ka </w:t>
      </w:r>
      <w:r w:rsidR="00D3314E" w:rsidRPr="007B4062">
        <w:rPr>
          <w:rFonts w:ascii="Times New Roman" w:hAnsi="Times New Roman" w:cs="Times New Roman"/>
          <w:sz w:val="24"/>
          <w:szCs w:val="24"/>
          <w:lang w:val="lv-LV"/>
        </w:rPr>
        <w:t xml:space="preserve">tas, ka tiesa spriedumā atsaukusies uz izziņu </w:t>
      </w:r>
      <w:r w:rsidR="00D3314E" w:rsidRPr="007B4062">
        <w:rPr>
          <w:rFonts w:ascii="Times New Roman" w:eastAsiaTheme="minorHAnsi" w:hAnsi="Times New Roman" w:cs="Times New Roman"/>
          <w:sz w:val="24"/>
          <w:szCs w:val="24"/>
          <w:lang w:val="lv-LV"/>
        </w:rPr>
        <w:t xml:space="preserve">par pieteicējas </w:t>
      </w:r>
      <w:r w:rsidR="00D3314E" w:rsidRPr="007B4062">
        <w:rPr>
          <w:rFonts w:ascii="Times New Roman" w:hAnsi="Times New Roman" w:cs="Times New Roman"/>
          <w:sz w:val="24"/>
          <w:szCs w:val="24"/>
          <w:lang w:val="lv-LV"/>
        </w:rPr>
        <w:t>vidējiem peļņas rādītājiem no apgrozījuma 2013., 2014. un 2015.gadā, ir</w:t>
      </w:r>
      <w:r w:rsidRPr="007B4062">
        <w:rPr>
          <w:rFonts w:ascii="Times New Roman" w:hAnsi="Times New Roman" w:cs="Times New Roman"/>
          <w:sz w:val="24"/>
          <w:szCs w:val="24"/>
          <w:lang w:val="lv-LV"/>
        </w:rPr>
        <w:t xml:space="preserve"> pretrunā Senāta jau minētajā </w:t>
      </w:r>
      <w:r w:rsidRPr="007B4062">
        <w:rPr>
          <w:rFonts w:ascii="Times New Roman" w:eastAsiaTheme="minorHAnsi" w:hAnsi="Times New Roman" w:cs="Times New Roman"/>
          <w:bCs/>
          <w:sz w:val="24"/>
          <w:szCs w:val="24"/>
          <w:lang w:val="lv-LV"/>
        </w:rPr>
        <w:t>2017.gada 22.septembra spriedumā lietā Nr. SKA-558/2017 (kasācijas sūdzībā kļūdaini norādīts Nr. SKA-588/2017)</w:t>
      </w:r>
      <w:r w:rsidRPr="007B4062">
        <w:rPr>
          <w:rFonts w:ascii="Times New Roman" w:hAnsi="Times New Roman" w:cs="Times New Roman"/>
          <w:sz w:val="24"/>
          <w:szCs w:val="24"/>
          <w:lang w:val="lv-LV"/>
        </w:rPr>
        <w:t xml:space="preserve"> izteiktajai atziņai, ka ne</w:t>
      </w:r>
      <w:r w:rsidR="00320CBC">
        <w:rPr>
          <w:rFonts w:ascii="Times New Roman" w:hAnsi="Times New Roman" w:cs="Times New Roman"/>
          <w:sz w:val="24"/>
          <w:szCs w:val="24"/>
          <w:lang w:val="lv-LV"/>
        </w:rPr>
        <w:t>ie</w:t>
      </w:r>
      <w:r w:rsidRPr="007B4062">
        <w:rPr>
          <w:rFonts w:ascii="Times New Roman" w:hAnsi="Times New Roman" w:cs="Times New Roman"/>
          <w:sz w:val="24"/>
          <w:szCs w:val="24"/>
          <w:lang w:val="lv-LV"/>
        </w:rPr>
        <w:t xml:space="preserve">gūtās peļņas apmēra noteikšanu nevar balstīt uz to, kādi vispār ir konkrētā komersanta vidējie peļņas rādītāji no apgrozījuma. </w:t>
      </w:r>
      <w:r w:rsidR="00D3314E" w:rsidRPr="007B4062">
        <w:rPr>
          <w:rFonts w:ascii="Times New Roman" w:hAnsi="Times New Roman" w:cs="Times New Roman"/>
          <w:sz w:val="24"/>
          <w:szCs w:val="24"/>
          <w:lang w:val="lv-LV"/>
        </w:rPr>
        <w:t xml:space="preserve">Tomēr šis </w:t>
      </w:r>
      <w:r w:rsidRPr="007B4062">
        <w:rPr>
          <w:rFonts w:ascii="Times New Roman" w:hAnsi="Times New Roman" w:cs="Times New Roman"/>
          <w:sz w:val="24"/>
          <w:szCs w:val="24"/>
          <w:lang w:val="lv-LV"/>
        </w:rPr>
        <w:t xml:space="preserve">arguments konkrētajā gadījumā ir nevietā. Minētajā lietā, kurā izteikta šī atziņa, pirmās instances tiesa bija zaudējumus atzinusi par pierādītiem, balstoties </w:t>
      </w:r>
      <w:r w:rsidRPr="007B4062">
        <w:rPr>
          <w:rFonts w:ascii="Times New Roman" w:hAnsi="Times New Roman" w:cs="Times New Roman"/>
          <w:i/>
          <w:iCs/>
          <w:sz w:val="24"/>
          <w:szCs w:val="24"/>
          <w:lang w:val="lv-LV"/>
        </w:rPr>
        <w:t>tikai</w:t>
      </w:r>
      <w:r w:rsidRPr="007B4062">
        <w:rPr>
          <w:rFonts w:ascii="Times New Roman" w:hAnsi="Times New Roman" w:cs="Times New Roman"/>
          <w:sz w:val="24"/>
          <w:szCs w:val="24"/>
          <w:lang w:val="lv-LV"/>
        </w:rPr>
        <w:t xml:space="preserve"> uz to, kāda vidēji bija attiecīgā komersanta peļņa, veicot saimniecisko darbību, un Senāts norādīja, ka šāda pieeja nav pareiza. Savukārt izskatāmajā lietā informāciju par pieteicējas vidējiem peļņas rādītājiem (peļņu no gada apgrozījuma) tiesa ir izmantojusi tikai kā papildu argumentu, kāpēc tā uzskata</w:t>
      </w:r>
      <w:r w:rsidR="00D3314E" w:rsidRPr="007B4062">
        <w:rPr>
          <w:rFonts w:ascii="Times New Roman" w:hAnsi="Times New Roman" w:cs="Times New Roman"/>
          <w:sz w:val="24"/>
          <w:szCs w:val="24"/>
          <w:lang w:val="lv-LV"/>
        </w:rPr>
        <w:t xml:space="preserve">, ka </w:t>
      </w:r>
      <w:r w:rsidRPr="007B4062">
        <w:rPr>
          <w:rFonts w:ascii="Times New Roman" w:hAnsi="Times New Roman" w:cs="Times New Roman"/>
          <w:sz w:val="24"/>
          <w:szCs w:val="24"/>
          <w:lang w:val="lv-LV"/>
        </w:rPr>
        <w:t>pieteicējas sagatavotajā tāmē norādīt</w:t>
      </w:r>
      <w:r w:rsidR="00D3314E" w:rsidRPr="007B4062">
        <w:rPr>
          <w:rFonts w:ascii="Times New Roman" w:hAnsi="Times New Roman" w:cs="Times New Roman"/>
          <w:sz w:val="24"/>
          <w:szCs w:val="24"/>
          <w:lang w:val="lv-LV"/>
        </w:rPr>
        <w:t>ais</w:t>
      </w:r>
      <w:r w:rsidRPr="007B4062">
        <w:rPr>
          <w:rFonts w:ascii="Times New Roman" w:hAnsi="Times New Roman" w:cs="Times New Roman"/>
          <w:sz w:val="24"/>
          <w:szCs w:val="24"/>
          <w:lang w:val="lv-LV"/>
        </w:rPr>
        <w:t xml:space="preserve"> ne</w:t>
      </w:r>
      <w:r w:rsidR="00320CBC">
        <w:rPr>
          <w:rFonts w:ascii="Times New Roman" w:hAnsi="Times New Roman" w:cs="Times New Roman"/>
          <w:sz w:val="24"/>
          <w:szCs w:val="24"/>
          <w:lang w:val="lv-LV"/>
        </w:rPr>
        <w:t>ie</w:t>
      </w:r>
      <w:r w:rsidRPr="007B4062">
        <w:rPr>
          <w:rFonts w:ascii="Times New Roman" w:hAnsi="Times New Roman" w:cs="Times New Roman"/>
          <w:sz w:val="24"/>
          <w:szCs w:val="24"/>
          <w:lang w:val="lv-LV"/>
        </w:rPr>
        <w:t>gūtās peļņas apmēr</w:t>
      </w:r>
      <w:r w:rsidR="00D3314E" w:rsidRPr="007B4062">
        <w:rPr>
          <w:rFonts w:ascii="Times New Roman" w:hAnsi="Times New Roman" w:cs="Times New Roman"/>
          <w:sz w:val="24"/>
          <w:szCs w:val="24"/>
          <w:lang w:val="lv-LV"/>
        </w:rPr>
        <w:t>s vispārīgi ir saprātīgs un ticams</w:t>
      </w:r>
      <w:r w:rsidRPr="007B4062">
        <w:rPr>
          <w:rFonts w:ascii="Times New Roman" w:hAnsi="Times New Roman" w:cs="Times New Roman"/>
          <w:sz w:val="24"/>
          <w:szCs w:val="24"/>
          <w:lang w:val="lv-LV"/>
        </w:rPr>
        <w:t xml:space="preserve">. </w:t>
      </w:r>
      <w:r w:rsidR="00D3314E" w:rsidRPr="007B4062">
        <w:rPr>
          <w:rFonts w:ascii="Times New Roman" w:hAnsi="Times New Roman" w:cs="Times New Roman"/>
          <w:sz w:val="24"/>
          <w:szCs w:val="24"/>
          <w:lang w:val="lv-LV"/>
        </w:rPr>
        <w:t xml:space="preserve">Minētā Senāta sprieduma atziņas neliedz uz šādu izziņu atsaukties kā </w:t>
      </w:r>
      <w:r w:rsidR="005D0F50">
        <w:rPr>
          <w:rFonts w:ascii="Times New Roman" w:hAnsi="Times New Roman" w:cs="Times New Roman"/>
          <w:sz w:val="24"/>
          <w:szCs w:val="24"/>
          <w:lang w:val="lv-LV"/>
        </w:rPr>
        <w:t xml:space="preserve">uz </w:t>
      </w:r>
      <w:r w:rsidR="00D3314E" w:rsidRPr="007B4062">
        <w:rPr>
          <w:rFonts w:ascii="Times New Roman" w:hAnsi="Times New Roman" w:cs="Times New Roman"/>
          <w:sz w:val="24"/>
          <w:szCs w:val="24"/>
          <w:lang w:val="lv-LV"/>
        </w:rPr>
        <w:t>papildu pierādījumu.</w:t>
      </w:r>
    </w:p>
    <w:p w14:paraId="09E89B22" w14:textId="77777777" w:rsidR="009100F6" w:rsidRPr="007B4062" w:rsidRDefault="009100F6" w:rsidP="003F1B18">
      <w:pPr>
        <w:pStyle w:val="Heading2"/>
        <w:numPr>
          <w:ilvl w:val="0"/>
          <w:numId w:val="0"/>
        </w:numPr>
        <w:spacing w:before="0" w:beforeAutospacing="0" w:after="0" w:afterAutospacing="0" w:line="276" w:lineRule="auto"/>
        <w:ind w:firstLine="709"/>
        <w:jc w:val="both"/>
        <w:rPr>
          <w:b w:val="0"/>
          <w:bCs w:val="0"/>
          <w:sz w:val="24"/>
          <w:szCs w:val="24"/>
        </w:rPr>
      </w:pPr>
    </w:p>
    <w:p w14:paraId="3C1F1D40" w14:textId="2B9BDBCB" w:rsidR="00380C7F" w:rsidRPr="007B4062" w:rsidRDefault="00DE0655" w:rsidP="003F1B18">
      <w:pPr>
        <w:spacing w:after="0"/>
        <w:jc w:val="center"/>
        <w:rPr>
          <w:rFonts w:ascii="Times New Roman" w:hAnsi="Times New Roman" w:cs="Times New Roman"/>
          <w:b/>
          <w:bCs/>
          <w:sz w:val="24"/>
          <w:szCs w:val="24"/>
          <w:lang w:val="lv-LV"/>
        </w:rPr>
      </w:pPr>
      <w:r w:rsidRPr="007B4062">
        <w:rPr>
          <w:rFonts w:ascii="Times New Roman" w:hAnsi="Times New Roman" w:cs="Times New Roman"/>
          <w:b/>
          <w:bCs/>
          <w:sz w:val="24"/>
          <w:szCs w:val="24"/>
          <w:lang w:val="lv-LV"/>
        </w:rPr>
        <w:t>IX</w:t>
      </w:r>
    </w:p>
    <w:p w14:paraId="34709000" w14:textId="77777777" w:rsidR="00916A8A" w:rsidRPr="007B4062" w:rsidRDefault="00916A8A" w:rsidP="003F1B18">
      <w:pPr>
        <w:spacing w:after="0"/>
        <w:jc w:val="both"/>
        <w:rPr>
          <w:rFonts w:ascii="Times New Roman" w:hAnsi="Times New Roman" w:cs="Times New Roman"/>
          <w:sz w:val="24"/>
          <w:szCs w:val="24"/>
          <w:lang w:val="lv-LV"/>
        </w:rPr>
      </w:pPr>
    </w:p>
    <w:p w14:paraId="24CE317D" w14:textId="162BE817" w:rsidR="00C51E27" w:rsidRPr="007B4062" w:rsidRDefault="00380C7F"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w:t>
      </w:r>
      <w:r w:rsidR="005D0F50" w:rsidRPr="007B4062">
        <w:rPr>
          <w:rFonts w:ascii="Times New Roman" w:hAnsi="Times New Roman" w:cs="Times New Roman"/>
          <w:sz w:val="24"/>
          <w:szCs w:val="24"/>
          <w:lang w:val="lv-LV"/>
        </w:rPr>
        <w:t>5</w:t>
      </w:r>
      <w:r w:rsidR="005D0F50">
        <w:rPr>
          <w:rFonts w:ascii="Times New Roman" w:hAnsi="Times New Roman" w:cs="Times New Roman"/>
          <w:sz w:val="24"/>
          <w:szCs w:val="24"/>
          <w:lang w:val="lv-LV"/>
        </w:rPr>
        <w:t>0</w:t>
      </w:r>
      <w:r w:rsidRPr="007B4062">
        <w:rPr>
          <w:rFonts w:ascii="Times New Roman" w:hAnsi="Times New Roman" w:cs="Times New Roman"/>
          <w:sz w:val="24"/>
          <w:szCs w:val="24"/>
          <w:lang w:val="lv-LV"/>
        </w:rPr>
        <w:t>]</w:t>
      </w:r>
      <w:r w:rsidR="00A92E72">
        <w:rPr>
          <w:rFonts w:ascii="Times New Roman" w:hAnsi="Times New Roman" w:cs="Times New Roman"/>
          <w:sz w:val="24"/>
          <w:szCs w:val="24"/>
          <w:lang w:val="lv-LV"/>
        </w:rPr>
        <w:t> </w:t>
      </w:r>
      <w:r w:rsidRPr="007B4062">
        <w:rPr>
          <w:rFonts w:ascii="Times New Roman" w:hAnsi="Times New Roman" w:cs="Times New Roman"/>
          <w:sz w:val="24"/>
          <w:szCs w:val="24"/>
          <w:lang w:val="lv-LV"/>
        </w:rPr>
        <w:t>Rezumējot</w:t>
      </w:r>
      <w:r w:rsidR="008A3BF8" w:rsidRPr="007B4062">
        <w:rPr>
          <w:rFonts w:ascii="Times New Roman" w:hAnsi="Times New Roman" w:cs="Times New Roman"/>
          <w:sz w:val="24"/>
          <w:szCs w:val="24"/>
          <w:lang w:val="lv-LV"/>
        </w:rPr>
        <w:t xml:space="preserve"> Senāts atzīst, ka </w:t>
      </w:r>
      <w:r w:rsidR="00C45EB1" w:rsidRPr="007B4062">
        <w:rPr>
          <w:rFonts w:ascii="Times New Roman" w:hAnsi="Times New Roman" w:cs="Times New Roman"/>
          <w:sz w:val="24"/>
          <w:szCs w:val="24"/>
          <w:lang w:val="lv-LV"/>
        </w:rPr>
        <w:t xml:space="preserve">tiesas spriedums ir atceļams </w:t>
      </w:r>
      <w:r w:rsidR="001C2EB4" w:rsidRPr="007B4062">
        <w:rPr>
          <w:rFonts w:ascii="Times New Roman" w:hAnsi="Times New Roman" w:cs="Times New Roman"/>
          <w:sz w:val="24"/>
          <w:szCs w:val="24"/>
          <w:lang w:val="lv-LV"/>
        </w:rPr>
        <w:t xml:space="preserve">tādēļ, ka </w:t>
      </w:r>
      <w:r w:rsidR="00C45EB1" w:rsidRPr="007B4062">
        <w:rPr>
          <w:rFonts w:ascii="Times New Roman" w:hAnsi="Times New Roman" w:cs="Times New Roman"/>
          <w:sz w:val="24"/>
          <w:szCs w:val="24"/>
          <w:lang w:val="lv-LV"/>
        </w:rPr>
        <w:t>tiesas s</w:t>
      </w:r>
      <w:r w:rsidR="001C2EB4" w:rsidRPr="007B4062">
        <w:rPr>
          <w:rFonts w:ascii="Times New Roman" w:hAnsi="Times New Roman" w:cs="Times New Roman"/>
          <w:sz w:val="24"/>
          <w:szCs w:val="24"/>
          <w:lang w:val="lv-LV"/>
        </w:rPr>
        <w:t xml:space="preserve">ecinājums par atlīdzināmo zaudējumu apmēru </w:t>
      </w:r>
      <w:r w:rsidR="00C45EB1" w:rsidRPr="007B4062">
        <w:rPr>
          <w:rFonts w:ascii="Times New Roman" w:hAnsi="Times New Roman" w:cs="Times New Roman"/>
          <w:sz w:val="24"/>
          <w:szCs w:val="24"/>
          <w:lang w:val="lv-LV"/>
        </w:rPr>
        <w:t>nav pamatots ar vispusīgi un pilnīgi pārbaudītu pierādījumu analīzi.</w:t>
      </w:r>
    </w:p>
    <w:p w14:paraId="5847D6A1" w14:textId="3EFEE1FF" w:rsidR="0045627A" w:rsidRDefault="0045627A" w:rsidP="003F1B18">
      <w:pPr>
        <w:spacing w:after="0"/>
        <w:rPr>
          <w:rFonts w:ascii="Times New Roman" w:hAnsi="Times New Roman" w:cs="Times New Roman"/>
          <w:b/>
          <w:sz w:val="24"/>
          <w:szCs w:val="24"/>
          <w:lang w:val="lv-LV"/>
        </w:rPr>
      </w:pPr>
    </w:p>
    <w:p w14:paraId="5330D199" w14:textId="374E81EF" w:rsidR="0045627A" w:rsidRDefault="0045627A" w:rsidP="003F1B18">
      <w:pPr>
        <w:spacing w:after="0"/>
        <w:jc w:val="center"/>
        <w:rPr>
          <w:rFonts w:ascii="Times New Roman" w:hAnsi="Times New Roman" w:cs="Times New Roman"/>
          <w:b/>
          <w:sz w:val="24"/>
          <w:szCs w:val="24"/>
          <w:lang w:val="lv-LV"/>
        </w:rPr>
      </w:pPr>
    </w:p>
    <w:p w14:paraId="5FBEB315" w14:textId="55DBC8F4" w:rsidR="000802E4" w:rsidRPr="007B4062" w:rsidRDefault="000802E4" w:rsidP="003F1B18">
      <w:pPr>
        <w:spacing w:after="0"/>
        <w:jc w:val="center"/>
        <w:rPr>
          <w:rFonts w:ascii="Times New Roman" w:hAnsi="Times New Roman" w:cs="Times New Roman"/>
          <w:b/>
          <w:sz w:val="24"/>
          <w:szCs w:val="24"/>
          <w:lang w:val="lv-LV"/>
        </w:rPr>
      </w:pPr>
      <w:r w:rsidRPr="007B4062">
        <w:rPr>
          <w:rFonts w:ascii="Times New Roman" w:hAnsi="Times New Roman" w:cs="Times New Roman"/>
          <w:b/>
          <w:sz w:val="24"/>
          <w:szCs w:val="24"/>
          <w:lang w:val="lv-LV"/>
        </w:rPr>
        <w:t>Rezolutīvā daļa</w:t>
      </w:r>
    </w:p>
    <w:p w14:paraId="31E9171A" w14:textId="77777777" w:rsidR="000802E4" w:rsidRPr="007B4062" w:rsidRDefault="000802E4" w:rsidP="003F1B18">
      <w:pPr>
        <w:spacing w:after="0"/>
        <w:ind w:firstLine="540"/>
        <w:jc w:val="both"/>
        <w:rPr>
          <w:rFonts w:ascii="Times New Roman" w:hAnsi="Times New Roman" w:cs="Times New Roman"/>
          <w:bCs/>
          <w:spacing w:val="70"/>
          <w:sz w:val="24"/>
          <w:szCs w:val="24"/>
          <w:lang w:val="lv-LV"/>
        </w:rPr>
      </w:pPr>
    </w:p>
    <w:p w14:paraId="56281E8E" w14:textId="6DD6EFE2" w:rsidR="000802E4" w:rsidRPr="007B4062" w:rsidRDefault="000802E4" w:rsidP="003F1B18">
      <w:pPr>
        <w:spacing w:after="0"/>
        <w:ind w:firstLine="567"/>
        <w:jc w:val="both"/>
        <w:rPr>
          <w:rFonts w:ascii="Times New Roman" w:hAnsi="Times New Roman" w:cs="Times New Roman"/>
          <w:sz w:val="24"/>
          <w:szCs w:val="24"/>
          <w:lang w:val="lv-LV"/>
        </w:rPr>
      </w:pPr>
      <w:r w:rsidRPr="007B4062">
        <w:rPr>
          <w:rFonts w:ascii="Times New Roman" w:hAnsi="Times New Roman" w:cs="Times New Roman"/>
          <w:sz w:val="24"/>
          <w:szCs w:val="24"/>
          <w:lang w:val="lv-LV"/>
        </w:rPr>
        <w:t xml:space="preserve">Pamatojoties uz Administratīvā procesa likuma 348.panta pirmās daļas </w:t>
      </w:r>
      <w:r w:rsidR="0043689E" w:rsidRPr="007B4062">
        <w:rPr>
          <w:rFonts w:ascii="Times New Roman" w:hAnsi="Times New Roman" w:cs="Times New Roman"/>
          <w:sz w:val="24"/>
          <w:szCs w:val="24"/>
          <w:lang w:val="lv-LV"/>
        </w:rPr>
        <w:t>1</w:t>
      </w:r>
      <w:r w:rsidRPr="007B4062">
        <w:rPr>
          <w:rFonts w:ascii="Times New Roman" w:hAnsi="Times New Roman" w:cs="Times New Roman"/>
          <w:sz w:val="24"/>
          <w:szCs w:val="24"/>
          <w:lang w:val="lv-LV"/>
        </w:rPr>
        <w:t>.punktu</w:t>
      </w:r>
      <w:r w:rsidR="00076C25">
        <w:rPr>
          <w:rFonts w:ascii="Times New Roman" w:hAnsi="Times New Roman" w:cs="Times New Roman"/>
          <w:sz w:val="24"/>
          <w:szCs w:val="24"/>
          <w:lang w:val="lv-LV"/>
        </w:rPr>
        <w:t>,</w:t>
      </w:r>
      <w:r w:rsidRPr="007B4062">
        <w:rPr>
          <w:rFonts w:ascii="Times New Roman" w:hAnsi="Times New Roman" w:cs="Times New Roman"/>
          <w:sz w:val="24"/>
          <w:szCs w:val="24"/>
          <w:lang w:val="lv-LV"/>
        </w:rPr>
        <w:t xml:space="preserve"> 351.pantu</w:t>
      </w:r>
      <w:r w:rsidR="00076C25">
        <w:rPr>
          <w:rFonts w:ascii="Times New Roman" w:hAnsi="Times New Roman" w:cs="Times New Roman"/>
          <w:sz w:val="24"/>
          <w:szCs w:val="24"/>
          <w:lang w:val="lv-LV"/>
        </w:rPr>
        <w:t xml:space="preserve"> un 129.</w:t>
      </w:r>
      <w:r w:rsidR="00076C25" w:rsidRPr="00320CBC">
        <w:rPr>
          <w:rFonts w:ascii="Times New Roman" w:hAnsi="Times New Roman" w:cs="Times New Roman"/>
          <w:sz w:val="24"/>
          <w:szCs w:val="24"/>
          <w:vertAlign w:val="superscript"/>
          <w:lang w:val="lv-LV"/>
        </w:rPr>
        <w:t>1</w:t>
      </w:r>
      <w:r w:rsidR="00076C25">
        <w:rPr>
          <w:rFonts w:ascii="Times New Roman" w:hAnsi="Times New Roman" w:cs="Times New Roman"/>
          <w:sz w:val="24"/>
          <w:szCs w:val="24"/>
          <w:lang w:val="lv-LV"/>
        </w:rPr>
        <w:t>panta pirmās daļas 1.punktu</w:t>
      </w:r>
      <w:r w:rsidRPr="007B4062">
        <w:rPr>
          <w:rFonts w:ascii="Times New Roman" w:hAnsi="Times New Roman" w:cs="Times New Roman"/>
          <w:sz w:val="24"/>
          <w:szCs w:val="24"/>
          <w:lang w:val="lv-LV"/>
        </w:rPr>
        <w:t>, Senāts</w:t>
      </w:r>
    </w:p>
    <w:p w14:paraId="5C290CD2" w14:textId="77777777" w:rsidR="000802E4" w:rsidRPr="007B4062" w:rsidRDefault="000802E4" w:rsidP="003F1B18">
      <w:pPr>
        <w:spacing w:after="0"/>
        <w:ind w:firstLine="567"/>
        <w:rPr>
          <w:rFonts w:ascii="Times New Roman" w:hAnsi="Times New Roman" w:cs="Times New Roman"/>
          <w:b/>
          <w:bCs/>
          <w:sz w:val="24"/>
          <w:szCs w:val="24"/>
          <w:lang w:val="lv-LV"/>
        </w:rPr>
      </w:pPr>
    </w:p>
    <w:p w14:paraId="2DDDA8F6" w14:textId="6ED06EC2" w:rsidR="000802E4" w:rsidRPr="007B4062" w:rsidRDefault="000802E4" w:rsidP="003F1B18">
      <w:pPr>
        <w:spacing w:after="0"/>
        <w:jc w:val="center"/>
        <w:rPr>
          <w:rFonts w:ascii="Times New Roman" w:hAnsi="Times New Roman" w:cs="Times New Roman"/>
          <w:b/>
          <w:bCs/>
          <w:sz w:val="24"/>
          <w:szCs w:val="24"/>
          <w:lang w:val="lv-LV"/>
        </w:rPr>
      </w:pPr>
      <w:r w:rsidRPr="007B4062">
        <w:rPr>
          <w:rFonts w:ascii="Times New Roman" w:hAnsi="Times New Roman" w:cs="Times New Roman"/>
          <w:b/>
          <w:bCs/>
          <w:sz w:val="24"/>
          <w:szCs w:val="24"/>
          <w:lang w:val="lv-LV"/>
        </w:rPr>
        <w:t>nosprieda</w:t>
      </w:r>
    </w:p>
    <w:p w14:paraId="2BA7A296" w14:textId="77777777" w:rsidR="000802E4" w:rsidRPr="007B4062" w:rsidRDefault="000802E4" w:rsidP="003F1B18">
      <w:pPr>
        <w:spacing w:after="0"/>
        <w:jc w:val="center"/>
        <w:rPr>
          <w:rFonts w:ascii="Times New Roman" w:hAnsi="Times New Roman" w:cs="Times New Roman"/>
          <w:b/>
          <w:bCs/>
          <w:sz w:val="24"/>
          <w:szCs w:val="24"/>
          <w:lang w:val="lv-LV"/>
        </w:rPr>
      </w:pPr>
    </w:p>
    <w:p w14:paraId="192CCC42" w14:textId="69DB3349" w:rsidR="000802E4" w:rsidRPr="007B4062" w:rsidRDefault="005D0F50" w:rsidP="003F1B18">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7B4062">
        <w:rPr>
          <w:rFonts w:ascii="Times New Roman" w:hAnsi="Times New Roman" w:cs="Times New Roman"/>
          <w:sz w:val="24"/>
          <w:szCs w:val="24"/>
          <w:lang w:val="lv-LV"/>
        </w:rPr>
        <w:t xml:space="preserve">tcelt </w:t>
      </w:r>
      <w:r w:rsidR="000802E4" w:rsidRPr="007B4062">
        <w:rPr>
          <w:rFonts w:ascii="Times New Roman" w:hAnsi="Times New Roman" w:cs="Times New Roman"/>
          <w:sz w:val="24"/>
          <w:szCs w:val="24"/>
          <w:lang w:val="lv-LV"/>
        </w:rPr>
        <w:t>Administratīvās rajona tiesas 2021.gada 11.jūnija spriedumu</w:t>
      </w:r>
      <w:r w:rsidR="001C2EB4" w:rsidRPr="007B4062">
        <w:rPr>
          <w:rFonts w:ascii="Times New Roman" w:hAnsi="Times New Roman" w:cs="Times New Roman"/>
          <w:sz w:val="24"/>
          <w:szCs w:val="24"/>
          <w:lang w:val="lv-LV"/>
        </w:rPr>
        <w:t xml:space="preserve"> pārsūdzētajā daļā un nodot lietu jaunai izskatīšanai Administratīvajā rajona tiesā</w:t>
      </w:r>
      <w:r>
        <w:rPr>
          <w:rFonts w:ascii="Times New Roman" w:hAnsi="Times New Roman" w:cs="Times New Roman"/>
          <w:sz w:val="24"/>
          <w:szCs w:val="24"/>
          <w:lang w:val="lv-LV"/>
        </w:rPr>
        <w:t>;</w:t>
      </w:r>
    </w:p>
    <w:p w14:paraId="4D2167CB" w14:textId="194B55B5" w:rsidR="00BC3380" w:rsidRPr="007B4062" w:rsidRDefault="005D0F50" w:rsidP="003F1B18">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7B4062">
        <w:rPr>
          <w:rFonts w:ascii="Times New Roman" w:hAnsi="Times New Roman" w:cs="Times New Roman"/>
          <w:sz w:val="24"/>
          <w:szCs w:val="24"/>
          <w:lang w:val="lv-LV"/>
        </w:rPr>
        <w:t xml:space="preserve">tlīdzināt </w:t>
      </w:r>
      <w:r w:rsidR="00BC3380" w:rsidRPr="007B4062">
        <w:rPr>
          <w:rFonts w:ascii="Times New Roman" w:hAnsi="Times New Roman" w:cs="Times New Roman"/>
          <w:sz w:val="24"/>
          <w:szCs w:val="24"/>
          <w:lang w:val="lv-LV"/>
        </w:rPr>
        <w:t>Latvijas Universitātei drošības naudu 70 </w:t>
      </w:r>
      <w:r w:rsidR="00BC3380" w:rsidRPr="007B4062">
        <w:rPr>
          <w:rFonts w:ascii="Times New Roman" w:hAnsi="Times New Roman" w:cs="Times New Roman"/>
          <w:i/>
          <w:sz w:val="24"/>
          <w:szCs w:val="24"/>
          <w:lang w:val="lv-LV"/>
        </w:rPr>
        <w:t>euro</w:t>
      </w:r>
      <w:r w:rsidR="00BC3380" w:rsidRPr="007B4062">
        <w:rPr>
          <w:rFonts w:ascii="Times New Roman" w:hAnsi="Times New Roman" w:cs="Times New Roman"/>
          <w:sz w:val="24"/>
          <w:szCs w:val="24"/>
          <w:lang w:val="lv-LV"/>
        </w:rPr>
        <w:t xml:space="preserve">. </w:t>
      </w:r>
    </w:p>
    <w:p w14:paraId="66A4B22D" w14:textId="77777777" w:rsidR="000802E4" w:rsidRPr="007B4062" w:rsidRDefault="000802E4" w:rsidP="003F1B18">
      <w:pPr>
        <w:spacing w:after="0"/>
        <w:ind w:firstLine="567"/>
        <w:jc w:val="both"/>
        <w:rPr>
          <w:rFonts w:ascii="Times New Roman" w:hAnsi="Times New Roman" w:cs="Times New Roman"/>
          <w:bCs/>
          <w:sz w:val="24"/>
          <w:szCs w:val="24"/>
          <w:lang w:val="lv-LV"/>
        </w:rPr>
      </w:pPr>
      <w:r w:rsidRPr="007B4062">
        <w:rPr>
          <w:rFonts w:ascii="Times New Roman" w:hAnsi="Times New Roman" w:cs="Times New Roman"/>
          <w:sz w:val="24"/>
          <w:szCs w:val="24"/>
          <w:lang w:val="lv-LV"/>
        </w:rPr>
        <w:t xml:space="preserve">Spriedums </w:t>
      </w:r>
      <w:r w:rsidRPr="007B4062">
        <w:rPr>
          <w:rFonts w:ascii="Times New Roman" w:hAnsi="Times New Roman" w:cs="Times New Roman"/>
          <w:bCs/>
          <w:sz w:val="24"/>
          <w:szCs w:val="24"/>
          <w:lang w:val="lv-LV"/>
        </w:rPr>
        <w:t>nav pārsūdzams.</w:t>
      </w:r>
      <w:bookmarkEnd w:id="4"/>
    </w:p>
    <w:p w14:paraId="57545D03" w14:textId="7BCDD3C6" w:rsidR="000802E4" w:rsidRPr="007B4062" w:rsidRDefault="000802E4" w:rsidP="003F1B18">
      <w:pPr>
        <w:spacing w:after="0"/>
        <w:ind w:firstLine="567"/>
        <w:jc w:val="both"/>
        <w:rPr>
          <w:rFonts w:ascii="Times New Roman" w:hAnsi="Times New Roman" w:cs="Times New Roman"/>
          <w:bCs/>
          <w:sz w:val="24"/>
          <w:szCs w:val="24"/>
          <w:lang w:val="lv-LV"/>
        </w:rPr>
      </w:pPr>
    </w:p>
    <w:p w14:paraId="2422096C" w14:textId="12D24A26" w:rsidR="004A2D7D" w:rsidRPr="007B4062" w:rsidRDefault="004A2D7D" w:rsidP="003F1B18">
      <w:pPr>
        <w:spacing w:after="0"/>
        <w:jc w:val="both"/>
        <w:rPr>
          <w:rFonts w:ascii="Times New Roman" w:hAnsi="Times New Roman" w:cs="Times New Roman"/>
          <w:sz w:val="24"/>
          <w:szCs w:val="24"/>
          <w:lang w:val="lv-LV"/>
        </w:rPr>
      </w:pPr>
    </w:p>
    <w:sectPr w:rsidR="004A2D7D" w:rsidRPr="007B4062" w:rsidSect="004F318D">
      <w:footerReference w:type="even" r:id="rId23"/>
      <w:footerReference w:type="default" r:id="rId24"/>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F87EC" w14:textId="77777777" w:rsidR="008B6444" w:rsidRDefault="008B6444">
      <w:pPr>
        <w:spacing w:after="0" w:line="240" w:lineRule="auto"/>
      </w:pPr>
      <w:r>
        <w:separator/>
      </w:r>
    </w:p>
  </w:endnote>
  <w:endnote w:type="continuationSeparator" w:id="0">
    <w:p w14:paraId="2306507D" w14:textId="77777777" w:rsidR="008B6444" w:rsidRDefault="008B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7C1B8" w14:textId="77777777" w:rsidR="00320CBC" w:rsidRDefault="00320CBC" w:rsidP="00E13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3BF95E6" w14:textId="77777777" w:rsidR="00320CBC" w:rsidRDefault="00320C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1BD4D" w14:textId="7AD7F338" w:rsidR="00320CBC" w:rsidRPr="00B1157D" w:rsidRDefault="00320CBC" w:rsidP="00B1157D">
    <w:pPr>
      <w:spacing w:after="0" w:line="240" w:lineRule="auto"/>
      <w:jc w:val="center"/>
      <w:rPr>
        <w:rFonts w:ascii="Times New Roman" w:eastAsia="Times New Roman" w:hAnsi="Times New Roman" w:cs="Times New Roman"/>
        <w:sz w:val="24"/>
        <w:szCs w:val="24"/>
        <w:lang w:val="lv-LV" w:eastAsia="ru-RU"/>
      </w:rPr>
    </w:pPr>
    <w:r w:rsidRPr="00B1157D">
      <w:rPr>
        <w:rFonts w:ascii="Times New Roman" w:eastAsia="Times New Roman" w:hAnsi="Times New Roman" w:cs="Times New Roman"/>
        <w:sz w:val="24"/>
        <w:szCs w:val="24"/>
        <w:lang w:val="lv-LV" w:eastAsia="ru-RU"/>
      </w:rPr>
      <w:fldChar w:fldCharType="begin"/>
    </w:r>
    <w:r w:rsidRPr="00B1157D">
      <w:rPr>
        <w:rFonts w:ascii="Times New Roman" w:eastAsia="Times New Roman" w:hAnsi="Times New Roman" w:cs="Times New Roman"/>
        <w:sz w:val="24"/>
        <w:szCs w:val="24"/>
        <w:lang w:val="lv-LV" w:eastAsia="ru-RU"/>
      </w:rPr>
      <w:instrText xml:space="preserve">PAGE  </w:instrText>
    </w:r>
    <w:r w:rsidRPr="00B1157D">
      <w:rPr>
        <w:rFonts w:ascii="Times New Roman" w:eastAsia="Times New Roman" w:hAnsi="Times New Roman" w:cs="Times New Roman"/>
        <w:sz w:val="24"/>
        <w:szCs w:val="24"/>
        <w:lang w:val="lv-LV" w:eastAsia="ru-RU"/>
      </w:rPr>
      <w:fldChar w:fldCharType="separate"/>
    </w:r>
    <w:r w:rsidR="007715D0">
      <w:rPr>
        <w:rFonts w:ascii="Times New Roman" w:eastAsia="Times New Roman" w:hAnsi="Times New Roman" w:cs="Times New Roman"/>
        <w:noProof/>
        <w:sz w:val="24"/>
        <w:szCs w:val="24"/>
        <w:lang w:val="lv-LV" w:eastAsia="ru-RU"/>
      </w:rPr>
      <w:t>7</w:t>
    </w:r>
    <w:r w:rsidRPr="00B1157D">
      <w:rPr>
        <w:rFonts w:ascii="Times New Roman" w:eastAsia="Times New Roman" w:hAnsi="Times New Roman" w:cs="Times New Roman"/>
        <w:sz w:val="24"/>
        <w:szCs w:val="24"/>
        <w:lang w:val="lv-LV" w:eastAsia="ru-RU"/>
      </w:rPr>
      <w:fldChar w:fldCharType="end"/>
    </w:r>
    <w:r w:rsidRPr="00B1157D">
      <w:rPr>
        <w:rFonts w:ascii="Times New Roman" w:eastAsia="Times New Roman" w:hAnsi="Times New Roman" w:cs="Times New Roman"/>
        <w:sz w:val="24"/>
        <w:szCs w:val="24"/>
        <w:lang w:val="lv-LV" w:eastAsia="ru-RU"/>
      </w:rPr>
      <w:t xml:space="preserve"> no </w:t>
    </w:r>
    <w:r w:rsidRPr="00B1157D">
      <w:rPr>
        <w:rFonts w:ascii="Times New Roman" w:eastAsia="Times New Roman" w:hAnsi="Times New Roman" w:cs="Times New Roman"/>
        <w:noProof/>
        <w:sz w:val="24"/>
        <w:szCs w:val="24"/>
        <w:lang w:val="lv-LV" w:eastAsia="ru-RU"/>
      </w:rPr>
      <w:fldChar w:fldCharType="begin"/>
    </w:r>
    <w:r w:rsidRPr="00B1157D">
      <w:rPr>
        <w:rFonts w:ascii="Times New Roman" w:eastAsia="Times New Roman" w:hAnsi="Times New Roman" w:cs="Times New Roman"/>
        <w:noProof/>
        <w:sz w:val="24"/>
        <w:szCs w:val="24"/>
        <w:lang w:val="lv-LV" w:eastAsia="ru-RU"/>
      </w:rPr>
      <w:instrText xml:space="preserve"> SECTIONPAGES   \* MERGEFORMAT </w:instrText>
    </w:r>
    <w:r w:rsidRPr="00B1157D">
      <w:rPr>
        <w:rFonts w:ascii="Times New Roman" w:eastAsia="Times New Roman" w:hAnsi="Times New Roman" w:cs="Times New Roman"/>
        <w:noProof/>
        <w:sz w:val="24"/>
        <w:szCs w:val="24"/>
        <w:lang w:val="lv-LV" w:eastAsia="ru-RU"/>
      </w:rPr>
      <w:fldChar w:fldCharType="separate"/>
    </w:r>
    <w:r w:rsidR="007715D0">
      <w:rPr>
        <w:rFonts w:ascii="Times New Roman" w:eastAsia="Times New Roman" w:hAnsi="Times New Roman" w:cs="Times New Roman"/>
        <w:noProof/>
        <w:sz w:val="24"/>
        <w:szCs w:val="24"/>
        <w:lang w:val="lv-LV" w:eastAsia="ru-RU"/>
      </w:rPr>
      <w:t>24</w:t>
    </w:r>
    <w:r w:rsidRPr="00B1157D">
      <w:rPr>
        <w:rFonts w:ascii="Times New Roman" w:eastAsia="Times New Roman" w:hAnsi="Times New Roman" w:cs="Times New Roman"/>
        <w:noProof/>
        <w:sz w:val="24"/>
        <w:szCs w:val="24"/>
        <w:lang w:val="lv-LV" w:eastAsia="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2CD9A" w14:textId="77777777" w:rsidR="008B6444" w:rsidRDefault="008B6444">
      <w:pPr>
        <w:spacing w:after="0" w:line="240" w:lineRule="auto"/>
      </w:pPr>
      <w:r>
        <w:separator/>
      </w:r>
    </w:p>
  </w:footnote>
  <w:footnote w:type="continuationSeparator" w:id="0">
    <w:p w14:paraId="1CEE5193" w14:textId="77777777" w:rsidR="008B6444" w:rsidRDefault="008B64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C67C1"/>
    <w:multiLevelType w:val="hybridMultilevel"/>
    <w:tmpl w:val="186EB9B4"/>
    <w:lvl w:ilvl="0" w:tplc="BDA61FA4">
      <w:start w:val="1"/>
      <w:numFmt w:val="upperRoman"/>
      <w:lvlText w:val="%1."/>
      <w:lvlJc w:val="left"/>
      <w:pPr>
        <w:ind w:left="1287" w:hanging="720"/>
      </w:pPr>
      <w:rPr>
        <w:rFonts w:ascii="Times New Roman" w:hAnsi="Times New Roman"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A8A5571"/>
    <w:multiLevelType w:val="hybridMultilevel"/>
    <w:tmpl w:val="1CD69B94"/>
    <w:lvl w:ilvl="0" w:tplc="AB02F0E4">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F8D1D61"/>
    <w:multiLevelType w:val="multilevel"/>
    <w:tmpl w:val="549A2222"/>
    <w:lvl w:ilvl="0">
      <w:start w:val="1"/>
      <w:numFmt w:val="decimal"/>
      <w:lvlText w:val="%1."/>
      <w:lvlJc w:val="left"/>
      <w:pPr>
        <w:ind w:left="360" w:hanging="360"/>
      </w:pPr>
      <w:rPr>
        <w:rFonts w:asciiTheme="minorHAnsi" w:hAnsiTheme="minorHAnsi" w:hint="default"/>
        <w:b w:val="0"/>
        <w:bCs/>
        <w:i w:val="0"/>
        <w:sz w:val="18"/>
        <w:szCs w:val="18"/>
      </w:rPr>
    </w:lvl>
    <w:lvl w:ilvl="1">
      <w:start w:val="1"/>
      <w:numFmt w:val="decimal"/>
      <w:lvlText w:val="%1.%2."/>
      <w:lvlJc w:val="left"/>
      <w:pPr>
        <w:ind w:left="792" w:hanging="432"/>
      </w:pPr>
      <w:rPr>
        <w:rFonts w:asciiTheme="minorHAnsi" w:hAnsiTheme="minorHAnsi" w:hint="default"/>
        <w:b w:val="0"/>
        <w:bCs w:val="0"/>
        <w:i w:val="0"/>
        <w:sz w:val="18"/>
        <w:szCs w:val="18"/>
      </w:rPr>
    </w:lvl>
    <w:lvl w:ilvl="2">
      <w:start w:val="1"/>
      <w:numFmt w:val="decimal"/>
      <w:lvlText w:val="%1.%2.%3."/>
      <w:lvlJc w:val="left"/>
      <w:pPr>
        <w:ind w:left="1224" w:hanging="504"/>
      </w:pPr>
      <w:rPr>
        <w:rFonts w:asciiTheme="minorHAnsi" w:hAnsiTheme="minorHAnsi" w:hint="default"/>
        <w:b/>
        <w:i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53077F"/>
    <w:multiLevelType w:val="hybridMultilevel"/>
    <w:tmpl w:val="2C44B90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7D7691"/>
    <w:multiLevelType w:val="hybridMultilevel"/>
    <w:tmpl w:val="F46A21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2765EA9"/>
    <w:multiLevelType w:val="hybridMultilevel"/>
    <w:tmpl w:val="18F4A4DA"/>
    <w:lvl w:ilvl="0" w:tplc="96A499AE">
      <w:start w:val="1"/>
      <w:numFmt w:val="decimal"/>
      <w:lvlText w:val="%1."/>
      <w:lvlJc w:val="left"/>
      <w:pPr>
        <w:ind w:left="1647" w:hanging="36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6" w15:restartNumberingAfterBreak="0">
    <w:nsid w:val="5B994545"/>
    <w:multiLevelType w:val="hybridMultilevel"/>
    <w:tmpl w:val="2E1C6E7C"/>
    <w:lvl w:ilvl="0" w:tplc="8E082C70">
      <w:start w:val="1"/>
      <w:numFmt w:val="upperRoman"/>
      <w:lvlText w:val="%1."/>
      <w:lvlJc w:val="left"/>
      <w:pPr>
        <w:ind w:left="1287" w:hanging="720"/>
      </w:pPr>
      <w:rPr>
        <w:rFonts w:ascii="Times New Roman" w:hAnsi="Times New Roman" w:cs="Times New Roman" w:hint="default"/>
        <w:sz w:val="24"/>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4A14BCF"/>
    <w:multiLevelType w:val="hybridMultilevel"/>
    <w:tmpl w:val="21F406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EBF3C44"/>
    <w:multiLevelType w:val="multilevel"/>
    <w:tmpl w:val="6742C2F0"/>
    <w:lvl w:ilvl="0">
      <w:start w:val="1"/>
      <w:numFmt w:val="upperRoman"/>
      <w:pStyle w:val="Heading1"/>
      <w:lvlText w:val="%1."/>
      <w:lvlJc w:val="left"/>
      <w:pPr>
        <w:ind w:left="567" w:hanging="567"/>
      </w:pPr>
      <w:rPr>
        <w:rFonts w:ascii="Calibri" w:hAnsi="Calibri" w:hint="default"/>
        <w:caps/>
        <w:strike w:val="0"/>
        <w:dstrike w:val="0"/>
        <w:vanish w:val="0"/>
        <w:color w:val="auto"/>
        <w:sz w:val="24"/>
        <w:vertAlign w:val="baseline"/>
      </w:rPr>
    </w:lvl>
    <w:lvl w:ilvl="1">
      <w:start w:val="1"/>
      <w:numFmt w:val="decimal"/>
      <w:pStyle w:val="Heading2"/>
      <w:lvlText w:val="%1.%2."/>
      <w:lvlJc w:val="left"/>
      <w:pPr>
        <w:ind w:left="737" w:hanging="737"/>
      </w:pPr>
      <w:rPr>
        <w:rFonts w:ascii="Calibri" w:hAnsi="Calibri" w:hint="default"/>
        <w:caps w:val="0"/>
        <w:strike w:val="0"/>
        <w:dstrike w:val="0"/>
        <w:vanish w:val="0"/>
        <w:color w:val="auto"/>
        <w:sz w:val="22"/>
        <w:vertAlign w:val="baseline"/>
      </w:rPr>
    </w:lvl>
    <w:lvl w:ilvl="2">
      <w:start w:val="1"/>
      <w:numFmt w:val="lowerRoman"/>
      <w:pStyle w:val="Heading3"/>
      <w:lvlText w:val="%1.%2.%3."/>
      <w:lvlJc w:val="right"/>
      <w:pPr>
        <w:ind w:left="1134" w:hanging="567"/>
      </w:pPr>
      <w:rPr>
        <w:rFonts w:ascii="Calibri" w:hAnsi="Calibri" w:hint="default"/>
        <w:caps w:val="0"/>
        <w:strike w:val="0"/>
        <w:dstrike w:val="0"/>
        <w:vanish w:val="0"/>
        <w:color w:val="auto"/>
        <w:sz w:val="22"/>
        <w:vertAlign w:val="baseline"/>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righ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right"/>
      <w:pPr>
        <w:ind w:left="3423" w:hanging="567"/>
      </w:pPr>
      <w:rPr>
        <w:rFonts w:hint="default"/>
      </w:rPr>
    </w:lvl>
  </w:abstractNum>
  <w:abstractNum w:abstractNumId="9" w15:restartNumberingAfterBreak="0">
    <w:nsid w:val="7FA81E16"/>
    <w:multiLevelType w:val="hybridMultilevel"/>
    <w:tmpl w:val="E68AD2F2"/>
    <w:lvl w:ilvl="0" w:tplc="3B1E8104">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9"/>
  </w:num>
  <w:num w:numId="6">
    <w:abstractNumId w:val="2"/>
  </w:num>
  <w:num w:numId="7">
    <w:abstractNumId w:val="4"/>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2E4"/>
    <w:rsid w:val="000014EE"/>
    <w:rsid w:val="00001AB5"/>
    <w:rsid w:val="00011437"/>
    <w:rsid w:val="0001152B"/>
    <w:rsid w:val="000160DD"/>
    <w:rsid w:val="00016672"/>
    <w:rsid w:val="0002331F"/>
    <w:rsid w:val="000255A7"/>
    <w:rsid w:val="00032C5F"/>
    <w:rsid w:val="00037DE1"/>
    <w:rsid w:val="0004526E"/>
    <w:rsid w:val="000517CF"/>
    <w:rsid w:val="00052C80"/>
    <w:rsid w:val="00062FBE"/>
    <w:rsid w:val="000666AD"/>
    <w:rsid w:val="000668CD"/>
    <w:rsid w:val="00070A59"/>
    <w:rsid w:val="000712FB"/>
    <w:rsid w:val="00076C25"/>
    <w:rsid w:val="00077112"/>
    <w:rsid w:val="000802E4"/>
    <w:rsid w:val="000827C8"/>
    <w:rsid w:val="00090D50"/>
    <w:rsid w:val="00092354"/>
    <w:rsid w:val="000951F9"/>
    <w:rsid w:val="000971F1"/>
    <w:rsid w:val="000B2886"/>
    <w:rsid w:val="000B3C80"/>
    <w:rsid w:val="000B59F1"/>
    <w:rsid w:val="000C5D15"/>
    <w:rsid w:val="000D0720"/>
    <w:rsid w:val="000E7DAC"/>
    <w:rsid w:val="000F6D21"/>
    <w:rsid w:val="00100E7A"/>
    <w:rsid w:val="00104AAD"/>
    <w:rsid w:val="00105837"/>
    <w:rsid w:val="0011071F"/>
    <w:rsid w:val="0011095A"/>
    <w:rsid w:val="001119D9"/>
    <w:rsid w:val="0011288F"/>
    <w:rsid w:val="001128BE"/>
    <w:rsid w:val="0011495A"/>
    <w:rsid w:val="00115C44"/>
    <w:rsid w:val="00116612"/>
    <w:rsid w:val="00117874"/>
    <w:rsid w:val="00117EA3"/>
    <w:rsid w:val="00122188"/>
    <w:rsid w:val="00124F48"/>
    <w:rsid w:val="001323E0"/>
    <w:rsid w:val="0013240A"/>
    <w:rsid w:val="001344A9"/>
    <w:rsid w:val="00134F97"/>
    <w:rsid w:val="001408A6"/>
    <w:rsid w:val="001411DD"/>
    <w:rsid w:val="00141568"/>
    <w:rsid w:val="00146BAC"/>
    <w:rsid w:val="0015051D"/>
    <w:rsid w:val="00152B31"/>
    <w:rsid w:val="00155792"/>
    <w:rsid w:val="00156D17"/>
    <w:rsid w:val="00157622"/>
    <w:rsid w:val="00164965"/>
    <w:rsid w:val="00170AE2"/>
    <w:rsid w:val="00171C1B"/>
    <w:rsid w:val="001752A1"/>
    <w:rsid w:val="00191AD1"/>
    <w:rsid w:val="00192E69"/>
    <w:rsid w:val="0019328D"/>
    <w:rsid w:val="0019719D"/>
    <w:rsid w:val="001A4730"/>
    <w:rsid w:val="001A709F"/>
    <w:rsid w:val="001B10CB"/>
    <w:rsid w:val="001B3043"/>
    <w:rsid w:val="001B380A"/>
    <w:rsid w:val="001C092A"/>
    <w:rsid w:val="001C1511"/>
    <w:rsid w:val="001C2EB4"/>
    <w:rsid w:val="001C4F37"/>
    <w:rsid w:val="001D02CA"/>
    <w:rsid w:val="001E7204"/>
    <w:rsid w:val="001F05A2"/>
    <w:rsid w:val="001F0E9D"/>
    <w:rsid w:val="001F1546"/>
    <w:rsid w:val="001F1744"/>
    <w:rsid w:val="001F39FD"/>
    <w:rsid w:val="001F645E"/>
    <w:rsid w:val="00204244"/>
    <w:rsid w:val="0020651D"/>
    <w:rsid w:val="00212E97"/>
    <w:rsid w:val="00217411"/>
    <w:rsid w:val="00217A1B"/>
    <w:rsid w:val="0022361D"/>
    <w:rsid w:val="00224E16"/>
    <w:rsid w:val="00225FB0"/>
    <w:rsid w:val="0023222C"/>
    <w:rsid w:val="002409AE"/>
    <w:rsid w:val="0024412D"/>
    <w:rsid w:val="002459F7"/>
    <w:rsid w:val="00254172"/>
    <w:rsid w:val="002544EA"/>
    <w:rsid w:val="0025479B"/>
    <w:rsid w:val="002575F8"/>
    <w:rsid w:val="00264F20"/>
    <w:rsid w:val="0026538C"/>
    <w:rsid w:val="002721C9"/>
    <w:rsid w:val="0027760E"/>
    <w:rsid w:val="00280E47"/>
    <w:rsid w:val="00284A9D"/>
    <w:rsid w:val="00284B60"/>
    <w:rsid w:val="00286D48"/>
    <w:rsid w:val="002B0982"/>
    <w:rsid w:val="002B2D0E"/>
    <w:rsid w:val="002B59EF"/>
    <w:rsid w:val="002B64B6"/>
    <w:rsid w:val="002B6580"/>
    <w:rsid w:val="002C259E"/>
    <w:rsid w:val="002C2D00"/>
    <w:rsid w:val="002C6279"/>
    <w:rsid w:val="002D1138"/>
    <w:rsid w:val="002E02E5"/>
    <w:rsid w:val="002E164B"/>
    <w:rsid w:val="002E53A7"/>
    <w:rsid w:val="002F0CBD"/>
    <w:rsid w:val="002F4881"/>
    <w:rsid w:val="00303169"/>
    <w:rsid w:val="003043C5"/>
    <w:rsid w:val="00306F38"/>
    <w:rsid w:val="00313D8D"/>
    <w:rsid w:val="003164AC"/>
    <w:rsid w:val="00316D8B"/>
    <w:rsid w:val="003178CE"/>
    <w:rsid w:val="00320CBC"/>
    <w:rsid w:val="00320FAB"/>
    <w:rsid w:val="00321FBB"/>
    <w:rsid w:val="0032750A"/>
    <w:rsid w:val="00333192"/>
    <w:rsid w:val="00334CED"/>
    <w:rsid w:val="003403E0"/>
    <w:rsid w:val="00340E40"/>
    <w:rsid w:val="00341309"/>
    <w:rsid w:val="0034346D"/>
    <w:rsid w:val="00343829"/>
    <w:rsid w:val="00344CE3"/>
    <w:rsid w:val="00351A40"/>
    <w:rsid w:val="00351AC5"/>
    <w:rsid w:val="00353072"/>
    <w:rsid w:val="00355364"/>
    <w:rsid w:val="00356B02"/>
    <w:rsid w:val="00360579"/>
    <w:rsid w:val="00360B03"/>
    <w:rsid w:val="00361BD0"/>
    <w:rsid w:val="00370282"/>
    <w:rsid w:val="0037561C"/>
    <w:rsid w:val="00380C7F"/>
    <w:rsid w:val="00381AC3"/>
    <w:rsid w:val="00383DFC"/>
    <w:rsid w:val="00390D75"/>
    <w:rsid w:val="00394262"/>
    <w:rsid w:val="00396166"/>
    <w:rsid w:val="003B32FE"/>
    <w:rsid w:val="003B3BF6"/>
    <w:rsid w:val="003C04A4"/>
    <w:rsid w:val="003C69C4"/>
    <w:rsid w:val="003D215E"/>
    <w:rsid w:val="003D3143"/>
    <w:rsid w:val="003D4961"/>
    <w:rsid w:val="003D575B"/>
    <w:rsid w:val="003D649A"/>
    <w:rsid w:val="003E276B"/>
    <w:rsid w:val="003E41F5"/>
    <w:rsid w:val="003E71BD"/>
    <w:rsid w:val="003F1B18"/>
    <w:rsid w:val="003F2C36"/>
    <w:rsid w:val="003F5D93"/>
    <w:rsid w:val="00401A14"/>
    <w:rsid w:val="00402BE7"/>
    <w:rsid w:val="00410E54"/>
    <w:rsid w:val="0041152F"/>
    <w:rsid w:val="00415BC9"/>
    <w:rsid w:val="0042697F"/>
    <w:rsid w:val="00426ABE"/>
    <w:rsid w:val="00431764"/>
    <w:rsid w:val="004327AF"/>
    <w:rsid w:val="004360ED"/>
    <w:rsid w:val="00436427"/>
    <w:rsid w:val="0043689E"/>
    <w:rsid w:val="0044326D"/>
    <w:rsid w:val="00444BDB"/>
    <w:rsid w:val="00445BC4"/>
    <w:rsid w:val="0045245D"/>
    <w:rsid w:val="00453699"/>
    <w:rsid w:val="004555CE"/>
    <w:rsid w:val="0045627A"/>
    <w:rsid w:val="00464ED6"/>
    <w:rsid w:val="004716DF"/>
    <w:rsid w:val="00472D0E"/>
    <w:rsid w:val="004738EE"/>
    <w:rsid w:val="00483AA4"/>
    <w:rsid w:val="00483D1E"/>
    <w:rsid w:val="00484DFF"/>
    <w:rsid w:val="004915E2"/>
    <w:rsid w:val="00491B86"/>
    <w:rsid w:val="00491EA6"/>
    <w:rsid w:val="00492EFA"/>
    <w:rsid w:val="00496D4C"/>
    <w:rsid w:val="004A26BF"/>
    <w:rsid w:val="004A2D7D"/>
    <w:rsid w:val="004B0AC2"/>
    <w:rsid w:val="004B35D0"/>
    <w:rsid w:val="004C3A9B"/>
    <w:rsid w:val="004C48EF"/>
    <w:rsid w:val="004C6B36"/>
    <w:rsid w:val="004D2553"/>
    <w:rsid w:val="004D455D"/>
    <w:rsid w:val="004E258D"/>
    <w:rsid w:val="004E27BF"/>
    <w:rsid w:val="004E33AA"/>
    <w:rsid w:val="004E342E"/>
    <w:rsid w:val="004E4FDB"/>
    <w:rsid w:val="004E52B1"/>
    <w:rsid w:val="004E5908"/>
    <w:rsid w:val="004E603A"/>
    <w:rsid w:val="004F1D0F"/>
    <w:rsid w:val="004F22B9"/>
    <w:rsid w:val="004F318D"/>
    <w:rsid w:val="004F4073"/>
    <w:rsid w:val="005022B0"/>
    <w:rsid w:val="00502416"/>
    <w:rsid w:val="00504EE9"/>
    <w:rsid w:val="005115CA"/>
    <w:rsid w:val="00511C9E"/>
    <w:rsid w:val="00530925"/>
    <w:rsid w:val="00532AE6"/>
    <w:rsid w:val="005344BF"/>
    <w:rsid w:val="00534CAA"/>
    <w:rsid w:val="00534D26"/>
    <w:rsid w:val="00540EB7"/>
    <w:rsid w:val="00541C7F"/>
    <w:rsid w:val="00542623"/>
    <w:rsid w:val="005438A9"/>
    <w:rsid w:val="00543F52"/>
    <w:rsid w:val="005505F1"/>
    <w:rsid w:val="005560FE"/>
    <w:rsid w:val="00560A25"/>
    <w:rsid w:val="005701BB"/>
    <w:rsid w:val="0057412A"/>
    <w:rsid w:val="005765CF"/>
    <w:rsid w:val="005769C6"/>
    <w:rsid w:val="00577AFB"/>
    <w:rsid w:val="00585008"/>
    <w:rsid w:val="0058568E"/>
    <w:rsid w:val="00585B1D"/>
    <w:rsid w:val="0058678A"/>
    <w:rsid w:val="00586FCA"/>
    <w:rsid w:val="00597843"/>
    <w:rsid w:val="005A498B"/>
    <w:rsid w:val="005A54CC"/>
    <w:rsid w:val="005C5EFF"/>
    <w:rsid w:val="005C78C8"/>
    <w:rsid w:val="005D0F50"/>
    <w:rsid w:val="005D5A09"/>
    <w:rsid w:val="005E1E9E"/>
    <w:rsid w:val="005F1017"/>
    <w:rsid w:val="006014C7"/>
    <w:rsid w:val="006025EB"/>
    <w:rsid w:val="006054CC"/>
    <w:rsid w:val="00622A44"/>
    <w:rsid w:val="006363BD"/>
    <w:rsid w:val="006436C6"/>
    <w:rsid w:val="00653865"/>
    <w:rsid w:val="00656334"/>
    <w:rsid w:val="006603D3"/>
    <w:rsid w:val="00661905"/>
    <w:rsid w:val="00663F74"/>
    <w:rsid w:val="00663F79"/>
    <w:rsid w:val="006654C5"/>
    <w:rsid w:val="006758BC"/>
    <w:rsid w:val="00676B55"/>
    <w:rsid w:val="00685A27"/>
    <w:rsid w:val="00686B38"/>
    <w:rsid w:val="00694F95"/>
    <w:rsid w:val="0069730B"/>
    <w:rsid w:val="00697469"/>
    <w:rsid w:val="00697F21"/>
    <w:rsid w:val="006A485F"/>
    <w:rsid w:val="006A4FA6"/>
    <w:rsid w:val="006A6042"/>
    <w:rsid w:val="006B0E66"/>
    <w:rsid w:val="006B11F7"/>
    <w:rsid w:val="006B1744"/>
    <w:rsid w:val="006C0E1D"/>
    <w:rsid w:val="006C144D"/>
    <w:rsid w:val="006C25CB"/>
    <w:rsid w:val="006C3B5D"/>
    <w:rsid w:val="006C5CFE"/>
    <w:rsid w:val="006C7918"/>
    <w:rsid w:val="006D2764"/>
    <w:rsid w:val="006D5488"/>
    <w:rsid w:val="006F2479"/>
    <w:rsid w:val="006F4156"/>
    <w:rsid w:val="006F64BB"/>
    <w:rsid w:val="007007F8"/>
    <w:rsid w:val="00704BC9"/>
    <w:rsid w:val="0070547E"/>
    <w:rsid w:val="00710D2B"/>
    <w:rsid w:val="007238E5"/>
    <w:rsid w:val="00726980"/>
    <w:rsid w:val="00730009"/>
    <w:rsid w:val="00732D45"/>
    <w:rsid w:val="00734242"/>
    <w:rsid w:val="00740755"/>
    <w:rsid w:val="00750315"/>
    <w:rsid w:val="00753D15"/>
    <w:rsid w:val="00760D77"/>
    <w:rsid w:val="007715D0"/>
    <w:rsid w:val="00775067"/>
    <w:rsid w:val="0077594E"/>
    <w:rsid w:val="00777406"/>
    <w:rsid w:val="0077786F"/>
    <w:rsid w:val="00780CBB"/>
    <w:rsid w:val="007818CE"/>
    <w:rsid w:val="00787DE6"/>
    <w:rsid w:val="007906C8"/>
    <w:rsid w:val="00790F07"/>
    <w:rsid w:val="007A032C"/>
    <w:rsid w:val="007A0EDA"/>
    <w:rsid w:val="007A200D"/>
    <w:rsid w:val="007A7D5B"/>
    <w:rsid w:val="007B0F9B"/>
    <w:rsid w:val="007B3726"/>
    <w:rsid w:val="007B4062"/>
    <w:rsid w:val="007B6988"/>
    <w:rsid w:val="007C39E2"/>
    <w:rsid w:val="007C3D00"/>
    <w:rsid w:val="007C48FD"/>
    <w:rsid w:val="007D5257"/>
    <w:rsid w:val="007E26E5"/>
    <w:rsid w:val="007E41AE"/>
    <w:rsid w:val="007E70FC"/>
    <w:rsid w:val="007F1EB9"/>
    <w:rsid w:val="00800D24"/>
    <w:rsid w:val="00804A57"/>
    <w:rsid w:val="00812090"/>
    <w:rsid w:val="00820DB3"/>
    <w:rsid w:val="00820F40"/>
    <w:rsid w:val="00821224"/>
    <w:rsid w:val="0082462B"/>
    <w:rsid w:val="00830564"/>
    <w:rsid w:val="00830FF6"/>
    <w:rsid w:val="00832065"/>
    <w:rsid w:val="00832B2D"/>
    <w:rsid w:val="00836080"/>
    <w:rsid w:val="00837972"/>
    <w:rsid w:val="00847B4A"/>
    <w:rsid w:val="0085036A"/>
    <w:rsid w:val="00850C1F"/>
    <w:rsid w:val="00850C9A"/>
    <w:rsid w:val="00850CFF"/>
    <w:rsid w:val="008519D0"/>
    <w:rsid w:val="008522A2"/>
    <w:rsid w:val="0086097F"/>
    <w:rsid w:val="008625D9"/>
    <w:rsid w:val="00867AFC"/>
    <w:rsid w:val="00874951"/>
    <w:rsid w:val="00876285"/>
    <w:rsid w:val="0087758E"/>
    <w:rsid w:val="0087772A"/>
    <w:rsid w:val="00881165"/>
    <w:rsid w:val="00893121"/>
    <w:rsid w:val="00894125"/>
    <w:rsid w:val="00895A3E"/>
    <w:rsid w:val="00896C0E"/>
    <w:rsid w:val="008A3BF8"/>
    <w:rsid w:val="008A658E"/>
    <w:rsid w:val="008A78C0"/>
    <w:rsid w:val="008B0C8D"/>
    <w:rsid w:val="008B109C"/>
    <w:rsid w:val="008B54A0"/>
    <w:rsid w:val="008B6444"/>
    <w:rsid w:val="008D3730"/>
    <w:rsid w:val="008D3886"/>
    <w:rsid w:val="008D4571"/>
    <w:rsid w:val="008D6C05"/>
    <w:rsid w:val="008E27E6"/>
    <w:rsid w:val="008E46EC"/>
    <w:rsid w:val="008E663E"/>
    <w:rsid w:val="008F2C75"/>
    <w:rsid w:val="008F3992"/>
    <w:rsid w:val="008F4909"/>
    <w:rsid w:val="0090032F"/>
    <w:rsid w:val="00900B70"/>
    <w:rsid w:val="00903EA5"/>
    <w:rsid w:val="009050CE"/>
    <w:rsid w:val="0090559E"/>
    <w:rsid w:val="00905BDF"/>
    <w:rsid w:val="00906D22"/>
    <w:rsid w:val="009100F6"/>
    <w:rsid w:val="009139FC"/>
    <w:rsid w:val="00914271"/>
    <w:rsid w:val="00916A8A"/>
    <w:rsid w:val="00925A7E"/>
    <w:rsid w:val="00930063"/>
    <w:rsid w:val="009326ED"/>
    <w:rsid w:val="00932D66"/>
    <w:rsid w:val="00934A14"/>
    <w:rsid w:val="009355D3"/>
    <w:rsid w:val="00936EC0"/>
    <w:rsid w:val="009400FA"/>
    <w:rsid w:val="00950282"/>
    <w:rsid w:val="0095366A"/>
    <w:rsid w:val="009553E6"/>
    <w:rsid w:val="009677F4"/>
    <w:rsid w:val="00971BD1"/>
    <w:rsid w:val="00976291"/>
    <w:rsid w:val="00992A5F"/>
    <w:rsid w:val="009947DF"/>
    <w:rsid w:val="00995662"/>
    <w:rsid w:val="00996948"/>
    <w:rsid w:val="00997C64"/>
    <w:rsid w:val="009A2047"/>
    <w:rsid w:val="009A6751"/>
    <w:rsid w:val="009A6DDD"/>
    <w:rsid w:val="009B2CC6"/>
    <w:rsid w:val="009B3334"/>
    <w:rsid w:val="009C09DE"/>
    <w:rsid w:val="009C4C01"/>
    <w:rsid w:val="009C51A7"/>
    <w:rsid w:val="009C7440"/>
    <w:rsid w:val="009D3AA7"/>
    <w:rsid w:val="009D6023"/>
    <w:rsid w:val="009E6691"/>
    <w:rsid w:val="009E770F"/>
    <w:rsid w:val="009F1861"/>
    <w:rsid w:val="00A00293"/>
    <w:rsid w:val="00A0516A"/>
    <w:rsid w:val="00A0688F"/>
    <w:rsid w:val="00A06C08"/>
    <w:rsid w:val="00A07CBB"/>
    <w:rsid w:val="00A10037"/>
    <w:rsid w:val="00A1515B"/>
    <w:rsid w:val="00A1741D"/>
    <w:rsid w:val="00A227E5"/>
    <w:rsid w:val="00A2611D"/>
    <w:rsid w:val="00A27ABF"/>
    <w:rsid w:val="00A33EDD"/>
    <w:rsid w:val="00A347F4"/>
    <w:rsid w:val="00A36583"/>
    <w:rsid w:val="00A40ADA"/>
    <w:rsid w:val="00A52B66"/>
    <w:rsid w:val="00A562D2"/>
    <w:rsid w:val="00A57672"/>
    <w:rsid w:val="00A57CCA"/>
    <w:rsid w:val="00A70E73"/>
    <w:rsid w:val="00A71E18"/>
    <w:rsid w:val="00A747ED"/>
    <w:rsid w:val="00A75224"/>
    <w:rsid w:val="00A76FDC"/>
    <w:rsid w:val="00A9254F"/>
    <w:rsid w:val="00A92E72"/>
    <w:rsid w:val="00A943B2"/>
    <w:rsid w:val="00A94715"/>
    <w:rsid w:val="00A9497A"/>
    <w:rsid w:val="00AA1D91"/>
    <w:rsid w:val="00AA6EDC"/>
    <w:rsid w:val="00AB2692"/>
    <w:rsid w:val="00AB40B6"/>
    <w:rsid w:val="00AB4B10"/>
    <w:rsid w:val="00AB5492"/>
    <w:rsid w:val="00AC0CC7"/>
    <w:rsid w:val="00AD10D9"/>
    <w:rsid w:val="00AD559F"/>
    <w:rsid w:val="00AD5A5F"/>
    <w:rsid w:val="00AE20F0"/>
    <w:rsid w:val="00AE2982"/>
    <w:rsid w:val="00AE5631"/>
    <w:rsid w:val="00AE6D2C"/>
    <w:rsid w:val="00AF0875"/>
    <w:rsid w:val="00AF1094"/>
    <w:rsid w:val="00AF1D91"/>
    <w:rsid w:val="00AF402C"/>
    <w:rsid w:val="00AF7E8D"/>
    <w:rsid w:val="00B02168"/>
    <w:rsid w:val="00B0241E"/>
    <w:rsid w:val="00B1157D"/>
    <w:rsid w:val="00B11828"/>
    <w:rsid w:val="00B1494B"/>
    <w:rsid w:val="00B21215"/>
    <w:rsid w:val="00B21BC8"/>
    <w:rsid w:val="00B25BF4"/>
    <w:rsid w:val="00B26AA8"/>
    <w:rsid w:val="00B31541"/>
    <w:rsid w:val="00B32D4B"/>
    <w:rsid w:val="00B343DD"/>
    <w:rsid w:val="00B34EA3"/>
    <w:rsid w:val="00B35B88"/>
    <w:rsid w:val="00B35E00"/>
    <w:rsid w:val="00B404C2"/>
    <w:rsid w:val="00B424A2"/>
    <w:rsid w:val="00B44788"/>
    <w:rsid w:val="00B44871"/>
    <w:rsid w:val="00B62E5F"/>
    <w:rsid w:val="00B65FA0"/>
    <w:rsid w:val="00B70761"/>
    <w:rsid w:val="00B70FE0"/>
    <w:rsid w:val="00B724E5"/>
    <w:rsid w:val="00B74154"/>
    <w:rsid w:val="00B77430"/>
    <w:rsid w:val="00B77B69"/>
    <w:rsid w:val="00B84B85"/>
    <w:rsid w:val="00B91B55"/>
    <w:rsid w:val="00B94D1D"/>
    <w:rsid w:val="00BA01A6"/>
    <w:rsid w:val="00BA5712"/>
    <w:rsid w:val="00BB0ED9"/>
    <w:rsid w:val="00BB2F71"/>
    <w:rsid w:val="00BC08AB"/>
    <w:rsid w:val="00BC1BAA"/>
    <w:rsid w:val="00BC3380"/>
    <w:rsid w:val="00BC4F97"/>
    <w:rsid w:val="00BC6400"/>
    <w:rsid w:val="00BD299B"/>
    <w:rsid w:val="00BD735A"/>
    <w:rsid w:val="00BD7F17"/>
    <w:rsid w:val="00BE34A4"/>
    <w:rsid w:val="00BE5B8D"/>
    <w:rsid w:val="00BE5F19"/>
    <w:rsid w:val="00BF5506"/>
    <w:rsid w:val="00BF5EC3"/>
    <w:rsid w:val="00BF6DD7"/>
    <w:rsid w:val="00C010CB"/>
    <w:rsid w:val="00C01E8F"/>
    <w:rsid w:val="00C027F8"/>
    <w:rsid w:val="00C04DB6"/>
    <w:rsid w:val="00C05211"/>
    <w:rsid w:val="00C05853"/>
    <w:rsid w:val="00C06E59"/>
    <w:rsid w:val="00C119C4"/>
    <w:rsid w:val="00C16707"/>
    <w:rsid w:val="00C17DA4"/>
    <w:rsid w:val="00C24360"/>
    <w:rsid w:val="00C24B6E"/>
    <w:rsid w:val="00C35E2B"/>
    <w:rsid w:val="00C36067"/>
    <w:rsid w:val="00C36D29"/>
    <w:rsid w:val="00C36FAE"/>
    <w:rsid w:val="00C45EB1"/>
    <w:rsid w:val="00C47DC1"/>
    <w:rsid w:val="00C5004D"/>
    <w:rsid w:val="00C516B7"/>
    <w:rsid w:val="00C51E27"/>
    <w:rsid w:val="00C53B8A"/>
    <w:rsid w:val="00C65506"/>
    <w:rsid w:val="00C65EDF"/>
    <w:rsid w:val="00C6757A"/>
    <w:rsid w:val="00C706E5"/>
    <w:rsid w:val="00C7267A"/>
    <w:rsid w:val="00C85880"/>
    <w:rsid w:val="00C86BC7"/>
    <w:rsid w:val="00C910CA"/>
    <w:rsid w:val="00C92445"/>
    <w:rsid w:val="00C96CB3"/>
    <w:rsid w:val="00CA133A"/>
    <w:rsid w:val="00CA353F"/>
    <w:rsid w:val="00CA3C59"/>
    <w:rsid w:val="00CA77C7"/>
    <w:rsid w:val="00CB5F75"/>
    <w:rsid w:val="00CC200F"/>
    <w:rsid w:val="00CC4A33"/>
    <w:rsid w:val="00CD6F98"/>
    <w:rsid w:val="00CE346B"/>
    <w:rsid w:val="00CE4EC8"/>
    <w:rsid w:val="00CE7579"/>
    <w:rsid w:val="00CF22B2"/>
    <w:rsid w:val="00CF3A1E"/>
    <w:rsid w:val="00D044D6"/>
    <w:rsid w:val="00D11C09"/>
    <w:rsid w:val="00D14631"/>
    <w:rsid w:val="00D201B3"/>
    <w:rsid w:val="00D222D0"/>
    <w:rsid w:val="00D24FF2"/>
    <w:rsid w:val="00D27088"/>
    <w:rsid w:val="00D3225E"/>
    <w:rsid w:val="00D3314E"/>
    <w:rsid w:val="00D3315A"/>
    <w:rsid w:val="00D3551A"/>
    <w:rsid w:val="00D428A9"/>
    <w:rsid w:val="00D43C55"/>
    <w:rsid w:val="00D449E3"/>
    <w:rsid w:val="00D46D28"/>
    <w:rsid w:val="00D500BB"/>
    <w:rsid w:val="00D51275"/>
    <w:rsid w:val="00D5570A"/>
    <w:rsid w:val="00D6278B"/>
    <w:rsid w:val="00D636C1"/>
    <w:rsid w:val="00D71980"/>
    <w:rsid w:val="00D77AE0"/>
    <w:rsid w:val="00D8038F"/>
    <w:rsid w:val="00D85824"/>
    <w:rsid w:val="00D868A4"/>
    <w:rsid w:val="00D95E44"/>
    <w:rsid w:val="00D97D6F"/>
    <w:rsid w:val="00DA2196"/>
    <w:rsid w:val="00DB55F1"/>
    <w:rsid w:val="00DB72BB"/>
    <w:rsid w:val="00DC29E6"/>
    <w:rsid w:val="00DD3AD4"/>
    <w:rsid w:val="00DD47A2"/>
    <w:rsid w:val="00DD5A0C"/>
    <w:rsid w:val="00DE0655"/>
    <w:rsid w:val="00DE4641"/>
    <w:rsid w:val="00DE54A0"/>
    <w:rsid w:val="00DE7948"/>
    <w:rsid w:val="00DF1D13"/>
    <w:rsid w:val="00DF281C"/>
    <w:rsid w:val="00DF2974"/>
    <w:rsid w:val="00DF373B"/>
    <w:rsid w:val="00DF4267"/>
    <w:rsid w:val="00DF5095"/>
    <w:rsid w:val="00DF72C3"/>
    <w:rsid w:val="00E05C5F"/>
    <w:rsid w:val="00E100A2"/>
    <w:rsid w:val="00E13D1F"/>
    <w:rsid w:val="00E14D07"/>
    <w:rsid w:val="00E167A1"/>
    <w:rsid w:val="00E17B1F"/>
    <w:rsid w:val="00E225D7"/>
    <w:rsid w:val="00E2454A"/>
    <w:rsid w:val="00E32A24"/>
    <w:rsid w:val="00E33CDC"/>
    <w:rsid w:val="00E33F57"/>
    <w:rsid w:val="00E40F9A"/>
    <w:rsid w:val="00E41337"/>
    <w:rsid w:val="00E500FF"/>
    <w:rsid w:val="00E55F52"/>
    <w:rsid w:val="00E57831"/>
    <w:rsid w:val="00E57C67"/>
    <w:rsid w:val="00E60A14"/>
    <w:rsid w:val="00E62F6A"/>
    <w:rsid w:val="00E63F0D"/>
    <w:rsid w:val="00E67248"/>
    <w:rsid w:val="00E7195E"/>
    <w:rsid w:val="00E726C9"/>
    <w:rsid w:val="00E72D89"/>
    <w:rsid w:val="00E74095"/>
    <w:rsid w:val="00E77510"/>
    <w:rsid w:val="00E775D5"/>
    <w:rsid w:val="00E80B72"/>
    <w:rsid w:val="00E80D4D"/>
    <w:rsid w:val="00E81EF2"/>
    <w:rsid w:val="00E83E72"/>
    <w:rsid w:val="00E87302"/>
    <w:rsid w:val="00E900E7"/>
    <w:rsid w:val="00E940DE"/>
    <w:rsid w:val="00E97061"/>
    <w:rsid w:val="00EA4C76"/>
    <w:rsid w:val="00EC1D79"/>
    <w:rsid w:val="00EC2808"/>
    <w:rsid w:val="00EC7A01"/>
    <w:rsid w:val="00ED106A"/>
    <w:rsid w:val="00ED1875"/>
    <w:rsid w:val="00ED1C68"/>
    <w:rsid w:val="00ED294D"/>
    <w:rsid w:val="00ED5EFA"/>
    <w:rsid w:val="00EE031B"/>
    <w:rsid w:val="00EE077F"/>
    <w:rsid w:val="00EE0D4C"/>
    <w:rsid w:val="00EE1EC9"/>
    <w:rsid w:val="00EE4F1C"/>
    <w:rsid w:val="00EF01D4"/>
    <w:rsid w:val="00EF711E"/>
    <w:rsid w:val="00F013D9"/>
    <w:rsid w:val="00F10618"/>
    <w:rsid w:val="00F131A7"/>
    <w:rsid w:val="00F15C3E"/>
    <w:rsid w:val="00F24A23"/>
    <w:rsid w:val="00F267F2"/>
    <w:rsid w:val="00F2686F"/>
    <w:rsid w:val="00F27CC3"/>
    <w:rsid w:val="00F3177A"/>
    <w:rsid w:val="00F45C26"/>
    <w:rsid w:val="00F50844"/>
    <w:rsid w:val="00F5087B"/>
    <w:rsid w:val="00F50F3E"/>
    <w:rsid w:val="00F51945"/>
    <w:rsid w:val="00F5328F"/>
    <w:rsid w:val="00F66FA4"/>
    <w:rsid w:val="00F740CD"/>
    <w:rsid w:val="00F74692"/>
    <w:rsid w:val="00F75F98"/>
    <w:rsid w:val="00F7791F"/>
    <w:rsid w:val="00F8097F"/>
    <w:rsid w:val="00F8124F"/>
    <w:rsid w:val="00F90F90"/>
    <w:rsid w:val="00F91B9F"/>
    <w:rsid w:val="00F96A3F"/>
    <w:rsid w:val="00F96F3E"/>
    <w:rsid w:val="00F97445"/>
    <w:rsid w:val="00FB2368"/>
    <w:rsid w:val="00FB2F97"/>
    <w:rsid w:val="00FB5253"/>
    <w:rsid w:val="00FB5FC7"/>
    <w:rsid w:val="00FC519C"/>
    <w:rsid w:val="00FC6123"/>
    <w:rsid w:val="00FC6654"/>
    <w:rsid w:val="00FD1BDD"/>
    <w:rsid w:val="00FD4039"/>
    <w:rsid w:val="00FD7B2B"/>
    <w:rsid w:val="00FE1F30"/>
    <w:rsid w:val="00FE340D"/>
    <w:rsid w:val="00FE3865"/>
    <w:rsid w:val="00FE4787"/>
    <w:rsid w:val="00FF5AC1"/>
    <w:rsid w:val="00FF5F5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0DF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2E4"/>
    <w:pPr>
      <w:spacing w:after="200" w:line="276" w:lineRule="auto"/>
    </w:pPr>
    <w:rPr>
      <w:rFonts w:eastAsiaTheme="minorEastAsia"/>
      <w:lang w:val="en-US"/>
    </w:rPr>
  </w:style>
  <w:style w:type="paragraph" w:styleId="Heading1">
    <w:name w:val="heading 1"/>
    <w:basedOn w:val="Normal"/>
    <w:next w:val="Normal"/>
    <w:link w:val="Heading1Char"/>
    <w:uiPriority w:val="9"/>
    <w:qFormat/>
    <w:rsid w:val="00F50844"/>
    <w:pPr>
      <w:keepNext/>
      <w:keepLines/>
      <w:numPr>
        <w:numId w:val="8"/>
      </w:numPr>
      <w:spacing w:before="240" w:after="0"/>
      <w:outlineLvl w:val="0"/>
    </w:pPr>
    <w:rPr>
      <w:rFonts w:asciiTheme="majorHAnsi" w:eastAsiaTheme="majorEastAsia" w:hAnsiTheme="majorHAnsi" w:cstheme="majorBidi"/>
      <w:color w:val="2F5496" w:themeColor="accent1" w:themeShade="BF"/>
      <w:sz w:val="32"/>
      <w:szCs w:val="32"/>
      <w:lang w:val="lv-LV"/>
    </w:rPr>
  </w:style>
  <w:style w:type="paragraph" w:styleId="Heading2">
    <w:name w:val="heading 2"/>
    <w:basedOn w:val="Normal"/>
    <w:link w:val="Heading2Char"/>
    <w:uiPriority w:val="9"/>
    <w:qFormat/>
    <w:rsid w:val="00F50844"/>
    <w:pPr>
      <w:numPr>
        <w:ilvl w:val="1"/>
        <w:numId w:val="8"/>
      </w:numPr>
      <w:spacing w:before="100" w:beforeAutospacing="1" w:after="100" w:afterAutospacing="1" w:line="240" w:lineRule="auto"/>
      <w:outlineLvl w:val="1"/>
    </w:pPr>
    <w:rPr>
      <w:rFonts w:ascii="Times New Roman" w:eastAsia="Times New Roman" w:hAnsi="Times New Roman" w:cs="Times New Roman"/>
      <w:b/>
      <w:bCs/>
      <w:sz w:val="36"/>
      <w:szCs w:val="36"/>
      <w:lang w:val="lv-LV" w:eastAsia="lv-LV"/>
    </w:rPr>
  </w:style>
  <w:style w:type="paragraph" w:styleId="Heading3">
    <w:name w:val="heading 3"/>
    <w:basedOn w:val="Normal"/>
    <w:next w:val="Normal"/>
    <w:link w:val="Heading3Char"/>
    <w:uiPriority w:val="9"/>
    <w:semiHidden/>
    <w:unhideWhenUsed/>
    <w:qFormat/>
    <w:rsid w:val="00F50844"/>
    <w:pPr>
      <w:keepNext/>
      <w:keepLines/>
      <w:numPr>
        <w:ilvl w:val="2"/>
        <w:numId w:val="8"/>
      </w:numPr>
      <w:spacing w:before="40" w:after="0"/>
      <w:outlineLvl w:val="2"/>
    </w:pPr>
    <w:rPr>
      <w:rFonts w:asciiTheme="majorHAnsi" w:eastAsiaTheme="majorEastAsia" w:hAnsiTheme="majorHAnsi" w:cstheme="majorBidi"/>
      <w:color w:val="1F3763" w:themeColor="accent1" w:themeShade="7F"/>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802E4"/>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0802E4"/>
    <w:rPr>
      <w:rFonts w:ascii="Garamond" w:eastAsia="Times New Roman" w:hAnsi="Garamond" w:cs="Times New Roman"/>
      <w:sz w:val="28"/>
      <w:szCs w:val="28"/>
    </w:rPr>
  </w:style>
  <w:style w:type="paragraph" w:styleId="Footer">
    <w:name w:val="footer"/>
    <w:basedOn w:val="Normal"/>
    <w:link w:val="FooterChar"/>
    <w:rsid w:val="000802E4"/>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rsid w:val="000802E4"/>
    <w:rPr>
      <w:rFonts w:ascii="Times New Roman" w:eastAsia="Times New Roman" w:hAnsi="Times New Roman" w:cs="Times New Roman"/>
      <w:sz w:val="24"/>
      <w:szCs w:val="24"/>
    </w:rPr>
  </w:style>
  <w:style w:type="character" w:styleId="PageNumber">
    <w:name w:val="page number"/>
    <w:basedOn w:val="DefaultParagraphFont"/>
    <w:rsid w:val="000802E4"/>
  </w:style>
  <w:style w:type="paragraph" w:styleId="BalloonText">
    <w:name w:val="Balloon Text"/>
    <w:basedOn w:val="Normal"/>
    <w:link w:val="BalloonTextChar"/>
    <w:uiPriority w:val="99"/>
    <w:semiHidden/>
    <w:unhideWhenUsed/>
    <w:rsid w:val="00080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2E4"/>
    <w:rPr>
      <w:rFonts w:ascii="Segoe UI" w:eastAsiaTheme="minorEastAsia" w:hAnsi="Segoe UI" w:cs="Segoe UI"/>
      <w:sz w:val="18"/>
      <w:szCs w:val="18"/>
      <w:lang w:val="en-US"/>
    </w:rPr>
  </w:style>
  <w:style w:type="paragraph" w:styleId="ListParagraph">
    <w:name w:val="List Paragraph"/>
    <w:basedOn w:val="Normal"/>
    <w:uiPriority w:val="34"/>
    <w:qFormat/>
    <w:rsid w:val="00732D45"/>
    <w:pPr>
      <w:ind w:left="720"/>
      <w:contextualSpacing/>
    </w:pPr>
  </w:style>
  <w:style w:type="paragraph" w:customStyle="1" w:styleId="Default">
    <w:name w:val="Default"/>
    <w:rsid w:val="00EC1D7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C1D79"/>
    <w:rPr>
      <w:sz w:val="16"/>
      <w:szCs w:val="16"/>
    </w:rPr>
  </w:style>
  <w:style w:type="paragraph" w:styleId="CommentText">
    <w:name w:val="annotation text"/>
    <w:basedOn w:val="Normal"/>
    <w:link w:val="CommentTextChar"/>
    <w:uiPriority w:val="99"/>
    <w:unhideWhenUsed/>
    <w:rsid w:val="00EC1D79"/>
    <w:pPr>
      <w:spacing w:line="240" w:lineRule="auto"/>
    </w:pPr>
    <w:rPr>
      <w:sz w:val="20"/>
      <w:szCs w:val="20"/>
    </w:rPr>
  </w:style>
  <w:style w:type="character" w:customStyle="1" w:styleId="CommentTextChar">
    <w:name w:val="Comment Text Char"/>
    <w:basedOn w:val="DefaultParagraphFont"/>
    <w:link w:val="CommentText"/>
    <w:uiPriority w:val="99"/>
    <w:rsid w:val="00EC1D79"/>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EC1D79"/>
    <w:rPr>
      <w:b/>
      <w:bCs/>
    </w:rPr>
  </w:style>
  <w:style w:type="character" w:customStyle="1" w:styleId="CommentSubjectChar">
    <w:name w:val="Comment Subject Char"/>
    <w:basedOn w:val="CommentTextChar"/>
    <w:link w:val="CommentSubject"/>
    <w:uiPriority w:val="99"/>
    <w:semiHidden/>
    <w:rsid w:val="00EC1D79"/>
    <w:rPr>
      <w:rFonts w:eastAsiaTheme="minorEastAsia"/>
      <w:b/>
      <w:bCs/>
      <w:sz w:val="20"/>
      <w:szCs w:val="20"/>
      <w:lang w:val="en-US"/>
    </w:rPr>
  </w:style>
  <w:style w:type="paragraph" w:styleId="FootnoteText">
    <w:name w:val="footnote text"/>
    <w:basedOn w:val="Normal"/>
    <w:link w:val="FootnoteTextChar"/>
    <w:uiPriority w:val="99"/>
    <w:unhideWhenUsed/>
    <w:rsid w:val="003403E0"/>
    <w:pPr>
      <w:spacing w:after="0" w:line="240" w:lineRule="auto"/>
    </w:pPr>
    <w:rPr>
      <w:rFonts w:ascii="Times New Roman" w:eastAsia="Calibri" w:hAnsi="Times New Roman" w:cs="Times New Roman"/>
      <w:sz w:val="20"/>
      <w:szCs w:val="20"/>
      <w:lang w:val="lv-LV"/>
    </w:rPr>
  </w:style>
  <w:style w:type="character" w:customStyle="1" w:styleId="FootnoteTextChar">
    <w:name w:val="Footnote Text Char"/>
    <w:basedOn w:val="DefaultParagraphFont"/>
    <w:link w:val="FootnoteText"/>
    <w:uiPriority w:val="99"/>
    <w:rsid w:val="003403E0"/>
    <w:rPr>
      <w:rFonts w:ascii="Times New Roman" w:eastAsia="Calibri" w:hAnsi="Times New Roman" w:cs="Times New Roman"/>
      <w:sz w:val="20"/>
      <w:szCs w:val="20"/>
    </w:rPr>
  </w:style>
  <w:style w:type="character" w:styleId="FootnoteReference">
    <w:name w:val="footnote reference"/>
    <w:uiPriority w:val="99"/>
    <w:semiHidden/>
    <w:unhideWhenUsed/>
    <w:rsid w:val="003403E0"/>
    <w:rPr>
      <w:vertAlign w:val="superscript"/>
    </w:rPr>
  </w:style>
  <w:style w:type="paragraph" w:customStyle="1" w:styleId="Pamatteksts1">
    <w:name w:val="Pamatteksts1"/>
    <w:basedOn w:val="Normal"/>
    <w:rsid w:val="00334CED"/>
    <w:pPr>
      <w:spacing w:before="240" w:after="0" w:line="240" w:lineRule="auto"/>
      <w:jc w:val="both"/>
    </w:pPr>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unhideWhenUsed/>
    <w:rsid w:val="00F15C3E"/>
    <w:rPr>
      <w:color w:val="0000FF"/>
      <w:u w:val="single"/>
    </w:rPr>
  </w:style>
  <w:style w:type="paragraph" w:styleId="NormalWeb">
    <w:name w:val="Normal (Web)"/>
    <w:basedOn w:val="Normal"/>
    <w:uiPriority w:val="99"/>
    <w:unhideWhenUsed/>
    <w:rsid w:val="00992A5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tv213">
    <w:name w:val="tv213"/>
    <w:basedOn w:val="Normal"/>
    <w:rsid w:val="00906D22"/>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sb8d990e2">
    <w:name w:val="sb8d990e2"/>
    <w:basedOn w:val="DefaultParagraphFont"/>
    <w:rsid w:val="00E74095"/>
  </w:style>
  <w:style w:type="character" w:customStyle="1" w:styleId="affairetitle">
    <w:name w:val="affaire_title"/>
    <w:basedOn w:val="DefaultParagraphFont"/>
    <w:rsid w:val="009139FC"/>
  </w:style>
  <w:style w:type="paragraph" w:customStyle="1" w:styleId="doc-ti">
    <w:name w:val="doc-ti"/>
    <w:basedOn w:val="Normal"/>
    <w:rsid w:val="00E55F52"/>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FollowedHyperlink">
    <w:name w:val="FollowedHyperlink"/>
    <w:basedOn w:val="DefaultParagraphFont"/>
    <w:uiPriority w:val="99"/>
    <w:semiHidden/>
    <w:unhideWhenUsed/>
    <w:rsid w:val="00192E69"/>
    <w:rPr>
      <w:color w:val="954F72" w:themeColor="followedHyperlink"/>
      <w:u w:val="single"/>
    </w:rPr>
  </w:style>
  <w:style w:type="character" w:customStyle="1" w:styleId="Heading1Char">
    <w:name w:val="Heading 1 Char"/>
    <w:basedOn w:val="DefaultParagraphFont"/>
    <w:link w:val="Heading1"/>
    <w:uiPriority w:val="9"/>
    <w:rsid w:val="00F508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0844"/>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F5084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11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52F"/>
    <w:rPr>
      <w:rFonts w:eastAsiaTheme="minorEastAsia"/>
      <w:lang w:val="en-US"/>
    </w:rPr>
  </w:style>
  <w:style w:type="paragraph" w:styleId="Revision">
    <w:name w:val="Revision"/>
    <w:hidden/>
    <w:uiPriority w:val="99"/>
    <w:semiHidden/>
    <w:rsid w:val="00B343DD"/>
    <w:pPr>
      <w:spacing w:after="0" w:line="240" w:lineRule="auto"/>
    </w:pPr>
    <w:rPr>
      <w:rFonts w:eastAsiaTheme="minorEastAsia"/>
      <w:lang w:val="en-US"/>
    </w:rPr>
  </w:style>
  <w:style w:type="character" w:customStyle="1" w:styleId="UnresolvedMention">
    <w:name w:val="Unresolved Mention"/>
    <w:basedOn w:val="DefaultParagraphFont"/>
    <w:uiPriority w:val="99"/>
    <w:semiHidden/>
    <w:unhideWhenUsed/>
    <w:rsid w:val="0023222C"/>
    <w:rPr>
      <w:color w:val="605E5C"/>
      <w:shd w:val="clear" w:color="auto" w:fill="E1DFDD"/>
    </w:rPr>
  </w:style>
  <w:style w:type="paragraph" w:customStyle="1" w:styleId="c01pointnumerotealtn">
    <w:name w:val="c01pointnumerotealtn"/>
    <w:basedOn w:val="Normal"/>
    <w:rsid w:val="00B77B69"/>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722">
      <w:bodyDiv w:val="1"/>
      <w:marLeft w:val="0"/>
      <w:marRight w:val="0"/>
      <w:marTop w:val="0"/>
      <w:marBottom w:val="0"/>
      <w:divBdr>
        <w:top w:val="none" w:sz="0" w:space="0" w:color="auto"/>
        <w:left w:val="none" w:sz="0" w:space="0" w:color="auto"/>
        <w:bottom w:val="none" w:sz="0" w:space="0" w:color="auto"/>
        <w:right w:val="none" w:sz="0" w:space="0" w:color="auto"/>
      </w:divBdr>
    </w:div>
    <w:div w:id="345987304">
      <w:bodyDiv w:val="1"/>
      <w:marLeft w:val="0"/>
      <w:marRight w:val="0"/>
      <w:marTop w:val="0"/>
      <w:marBottom w:val="0"/>
      <w:divBdr>
        <w:top w:val="none" w:sz="0" w:space="0" w:color="auto"/>
        <w:left w:val="none" w:sz="0" w:space="0" w:color="auto"/>
        <w:bottom w:val="none" w:sz="0" w:space="0" w:color="auto"/>
        <w:right w:val="none" w:sz="0" w:space="0" w:color="auto"/>
      </w:divBdr>
    </w:div>
    <w:div w:id="361904036">
      <w:bodyDiv w:val="1"/>
      <w:marLeft w:val="0"/>
      <w:marRight w:val="0"/>
      <w:marTop w:val="0"/>
      <w:marBottom w:val="0"/>
      <w:divBdr>
        <w:top w:val="none" w:sz="0" w:space="0" w:color="auto"/>
        <w:left w:val="none" w:sz="0" w:space="0" w:color="auto"/>
        <w:bottom w:val="none" w:sz="0" w:space="0" w:color="auto"/>
        <w:right w:val="none" w:sz="0" w:space="0" w:color="auto"/>
      </w:divBdr>
    </w:div>
    <w:div w:id="451436559">
      <w:bodyDiv w:val="1"/>
      <w:marLeft w:val="0"/>
      <w:marRight w:val="0"/>
      <w:marTop w:val="0"/>
      <w:marBottom w:val="0"/>
      <w:divBdr>
        <w:top w:val="none" w:sz="0" w:space="0" w:color="auto"/>
        <w:left w:val="none" w:sz="0" w:space="0" w:color="auto"/>
        <w:bottom w:val="none" w:sz="0" w:space="0" w:color="auto"/>
        <w:right w:val="none" w:sz="0" w:space="0" w:color="auto"/>
      </w:divBdr>
    </w:div>
    <w:div w:id="784422923">
      <w:bodyDiv w:val="1"/>
      <w:marLeft w:val="0"/>
      <w:marRight w:val="0"/>
      <w:marTop w:val="0"/>
      <w:marBottom w:val="0"/>
      <w:divBdr>
        <w:top w:val="none" w:sz="0" w:space="0" w:color="auto"/>
        <w:left w:val="none" w:sz="0" w:space="0" w:color="auto"/>
        <w:bottom w:val="none" w:sz="0" w:space="0" w:color="auto"/>
        <w:right w:val="none" w:sz="0" w:space="0" w:color="auto"/>
      </w:divBdr>
    </w:div>
    <w:div w:id="817648757">
      <w:bodyDiv w:val="1"/>
      <w:marLeft w:val="0"/>
      <w:marRight w:val="0"/>
      <w:marTop w:val="0"/>
      <w:marBottom w:val="0"/>
      <w:divBdr>
        <w:top w:val="none" w:sz="0" w:space="0" w:color="auto"/>
        <w:left w:val="none" w:sz="0" w:space="0" w:color="auto"/>
        <w:bottom w:val="none" w:sz="0" w:space="0" w:color="auto"/>
        <w:right w:val="none" w:sz="0" w:space="0" w:color="auto"/>
      </w:divBdr>
    </w:div>
    <w:div w:id="822234323">
      <w:bodyDiv w:val="1"/>
      <w:marLeft w:val="0"/>
      <w:marRight w:val="0"/>
      <w:marTop w:val="0"/>
      <w:marBottom w:val="0"/>
      <w:divBdr>
        <w:top w:val="none" w:sz="0" w:space="0" w:color="auto"/>
        <w:left w:val="none" w:sz="0" w:space="0" w:color="auto"/>
        <w:bottom w:val="none" w:sz="0" w:space="0" w:color="auto"/>
        <w:right w:val="none" w:sz="0" w:space="0" w:color="auto"/>
      </w:divBdr>
    </w:div>
    <w:div w:id="913321933">
      <w:bodyDiv w:val="1"/>
      <w:marLeft w:val="0"/>
      <w:marRight w:val="0"/>
      <w:marTop w:val="0"/>
      <w:marBottom w:val="0"/>
      <w:divBdr>
        <w:top w:val="none" w:sz="0" w:space="0" w:color="auto"/>
        <w:left w:val="none" w:sz="0" w:space="0" w:color="auto"/>
        <w:bottom w:val="none" w:sz="0" w:space="0" w:color="auto"/>
        <w:right w:val="none" w:sz="0" w:space="0" w:color="auto"/>
      </w:divBdr>
    </w:div>
    <w:div w:id="1256595429">
      <w:bodyDiv w:val="1"/>
      <w:marLeft w:val="0"/>
      <w:marRight w:val="0"/>
      <w:marTop w:val="0"/>
      <w:marBottom w:val="0"/>
      <w:divBdr>
        <w:top w:val="none" w:sz="0" w:space="0" w:color="auto"/>
        <w:left w:val="none" w:sz="0" w:space="0" w:color="auto"/>
        <w:bottom w:val="none" w:sz="0" w:space="0" w:color="auto"/>
        <w:right w:val="none" w:sz="0" w:space="0" w:color="auto"/>
      </w:divBdr>
    </w:div>
    <w:div w:id="1317878161">
      <w:bodyDiv w:val="1"/>
      <w:marLeft w:val="0"/>
      <w:marRight w:val="0"/>
      <w:marTop w:val="0"/>
      <w:marBottom w:val="0"/>
      <w:divBdr>
        <w:top w:val="none" w:sz="0" w:space="0" w:color="auto"/>
        <w:left w:val="none" w:sz="0" w:space="0" w:color="auto"/>
        <w:bottom w:val="none" w:sz="0" w:space="0" w:color="auto"/>
        <w:right w:val="none" w:sz="0" w:space="0" w:color="auto"/>
      </w:divBdr>
    </w:div>
    <w:div w:id="1782264892">
      <w:bodyDiv w:val="1"/>
      <w:marLeft w:val="0"/>
      <w:marRight w:val="0"/>
      <w:marTop w:val="0"/>
      <w:marBottom w:val="0"/>
      <w:divBdr>
        <w:top w:val="none" w:sz="0" w:space="0" w:color="auto"/>
        <w:left w:val="none" w:sz="0" w:space="0" w:color="auto"/>
        <w:bottom w:val="none" w:sz="0" w:space="0" w:color="auto"/>
        <w:right w:val="none" w:sz="0" w:space="0" w:color="auto"/>
      </w:divBdr>
    </w:div>
    <w:div w:id="1852405859">
      <w:bodyDiv w:val="1"/>
      <w:marLeft w:val="0"/>
      <w:marRight w:val="0"/>
      <w:marTop w:val="0"/>
      <w:marBottom w:val="0"/>
      <w:divBdr>
        <w:top w:val="none" w:sz="0" w:space="0" w:color="auto"/>
        <w:left w:val="none" w:sz="0" w:space="0" w:color="auto"/>
        <w:bottom w:val="none" w:sz="0" w:space="0" w:color="auto"/>
        <w:right w:val="none" w:sz="0" w:space="0" w:color="auto"/>
      </w:divBdr>
    </w:div>
    <w:div w:id="194480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510.A420340016.15.S" TargetMode="External"/><Relationship Id="rId13" Type="http://schemas.openxmlformats.org/officeDocument/2006/relationships/hyperlink" Target="https://curia.europa.eu/juris/document/document.jsf?text=2004%252F18%252FEK%2B55.%2Bpant*%2B1.%2Bpunkt*%2Belement*&amp;docid=121164&amp;pageIndex=0&amp;doclang=LV&amp;mode=req&amp;dir=&amp;occ=first&amp;part=1&amp;cid=41945050" TargetMode="External"/><Relationship Id="rId18" Type="http://schemas.openxmlformats.org/officeDocument/2006/relationships/hyperlink" Target="https://manas.tiesas.lv/eTiesasMvc/eclinolemumi/ECLI:LV:AT:2018:1112.C17089010.1.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anas.tiesas.lv/eTiesasMvc/eclinolemumi/ECLI:LV:AT:2019:0409.C40128313.2.S" TargetMode="External"/><Relationship Id="rId7" Type="http://schemas.openxmlformats.org/officeDocument/2006/relationships/endnotes" Target="endnotes.xml"/><Relationship Id="rId12" Type="http://schemas.openxmlformats.org/officeDocument/2006/relationships/hyperlink" Target="https://scn.echr.coe.int/courts/latvia/latvia_exchange/contribution_request_for_comparative_study_082021https:/curia.europa.eu/juris/document/document.jsf?text=&amp;docid=78001&amp;pageIndex=0&amp;doclang=FR&amp;mode=lst&amp;dir=&amp;occ=first&amp;part=1&amp;cid=6019540" TargetMode="External"/><Relationship Id="rId17" Type="http://schemas.openxmlformats.org/officeDocument/2006/relationships/hyperlink" Target="https://manas.tiesas.lv/eTiesasMvc/eclinolemumi/ECLI:LV:AT:2020:0213.C29452516.4.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nas.tiesas.lv/eTiesasMvc/eclinolemumi/ECLI:LV:AT:2018:1129.C31296613.2.S" TargetMode="External"/><Relationship Id="rId20" Type="http://schemas.openxmlformats.org/officeDocument/2006/relationships/hyperlink" Target="https://manas.tiesas.lv/eTiesasMvc/eclinolemumi/ECLI:LV:AT:2017:0922.A420285614.1.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1:0331.A420180517.12.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anas.tiesas.lv/eTiesasMvc/eclinolemumi/ECLI:LV:AT:2018:1112.C17089010.1.S" TargetMode="External"/><Relationship Id="rId23" Type="http://schemas.openxmlformats.org/officeDocument/2006/relationships/footer" Target="footer1.xml"/><Relationship Id="rId10" Type="http://schemas.openxmlformats.org/officeDocument/2006/relationships/hyperlink" Target="https://manas.tiesas.lv/eTiesasMvc/eclinolemumi/ECLI:LV:AT:2019:1122.A420240915.2.S" TargetMode="External"/><Relationship Id="rId19" Type="http://schemas.openxmlformats.org/officeDocument/2006/relationships/hyperlink" Target="https://manas.tiesas.lv/eTiesasMvc/eclinolemumi/ECLI:LV:AT:2020:0527.C24044908.8.S" TargetMode="External"/><Relationship Id="rId4" Type="http://schemas.openxmlformats.org/officeDocument/2006/relationships/settings" Target="settings.xml"/><Relationship Id="rId9" Type="http://schemas.openxmlformats.org/officeDocument/2006/relationships/hyperlink" Target="https://manas.tiesas.lv/eTiesasMvc/eclinolemumi/ECLI:LV:AT:2017:0922.A420285614.1.S" TargetMode="External"/><Relationship Id="rId14" Type="http://schemas.openxmlformats.org/officeDocument/2006/relationships/hyperlink" Target="https://curia.europa.eu/juris/document/document.jsf?text=&amp;docid=230864&amp;pageIndex=0&amp;doclang=LV&amp;mode=lst&amp;dir=&amp;occ=first&amp;part=1&amp;cid=184086" TargetMode="External"/><Relationship Id="rId22" Type="http://schemas.openxmlformats.org/officeDocument/2006/relationships/hyperlink" Target="https://manas.tiesas.lv/eTiesasMvc/eclinolemumi/ECLI:LV:AT:2020:0629.C09020614.5.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8F350-C526-4137-ADD7-329D72E5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13031</Words>
  <Characters>74281</Characters>
  <Application>Microsoft Office Word</Application>
  <DocSecurity>0</DocSecurity>
  <Lines>619</Lines>
  <Paragraphs>174</Paragraphs>
  <ScaleCrop>false</ScaleCrop>
  <Company/>
  <LinksUpToDate>false</LinksUpToDate>
  <CharactersWithSpaces>87138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2022-09-26T09:50:00Z</dcterms:created>
  <dcterms:modified xsi:type="dcterms:W3CDTF">2022-09-26T09:50:00Z</dcterms:modified>
</cp:coreProperties>
</file>