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4BAB0" w14:textId="77777777" w:rsidR="00BD7FC4" w:rsidRPr="00BD7FC4" w:rsidRDefault="00BD7FC4" w:rsidP="00BD7FC4">
      <w:pPr>
        <w:spacing w:line="276" w:lineRule="auto"/>
        <w:jc w:val="both"/>
        <w:rPr>
          <w:b/>
          <w:bCs/>
          <w:color w:val="000000"/>
          <w:lang w:eastAsia="en-US"/>
        </w:rPr>
      </w:pPr>
      <w:r w:rsidRPr="00BD7FC4">
        <w:rPr>
          <w:b/>
          <w:bCs/>
          <w:color w:val="000000"/>
        </w:rPr>
        <w:t>Hipotētiskas notikumu gaitas izvērtējuma nozīme atlīdzinājumā noteikšanā</w:t>
      </w:r>
    </w:p>
    <w:p w14:paraId="707AB48C" w14:textId="77777777" w:rsidR="00BD7FC4" w:rsidRPr="00BD7FC4" w:rsidRDefault="00BD7FC4" w:rsidP="00BD7FC4">
      <w:pPr>
        <w:spacing w:line="276" w:lineRule="auto"/>
        <w:jc w:val="both"/>
        <w:rPr>
          <w:color w:val="000000"/>
        </w:rPr>
      </w:pPr>
      <w:r w:rsidRPr="00BD7FC4">
        <w:rPr>
          <w:color w:val="000000"/>
        </w:rPr>
        <w:t>Atbilstīga atlīdzinājuma par personas nepamatotu tiesību aizskārumu noteikšanā būtiska nozīme var būt tam, kāda situācija hipotētiski būtu izveidojusies (pastāvējusi), ja iestāde nebūtu rīkojusies prettiesiski – nebūtu pieļāvusi konkrēto kļūdu.</w:t>
      </w:r>
    </w:p>
    <w:p w14:paraId="2E6D4B0F" w14:textId="77777777" w:rsidR="00BD7FC4" w:rsidRPr="00BD7FC4" w:rsidRDefault="00BD7FC4" w:rsidP="00BD7FC4">
      <w:pPr>
        <w:spacing w:line="276" w:lineRule="auto"/>
        <w:jc w:val="both"/>
        <w:rPr>
          <w:color w:val="000000"/>
        </w:rPr>
      </w:pPr>
      <w:r w:rsidRPr="00BD7FC4">
        <w:rPr>
          <w:color w:val="000000"/>
        </w:rPr>
        <w:t xml:space="preserve">Konstatējot, ka iestādes prettiesiskās rīcības dēļ persona nav varējusi iesniegt kreditora prasījumu konkrētā maksātnespējas procesā, un tādējādi zaudējusi kreditora statusu un prasījuma tiesības pret maksātnespējīgo privātpersonu, zaudējumu apmēra noteikšanai, kas konkrētajā gadījumā šai personai ir radies iestādes prettiesiskās rīcības dēļ, tiesai ir jāvērtē, kādu saistību apmēru, ievērojot kreditoru vienlīdzības principu, iespējamajā notikumu attīstības gaitā konkrētajā maksātnespējas procesā būtu atguvis katrs kreditors, tostarp persona, kuras tiesības tikušas aizskartas. </w:t>
      </w:r>
    </w:p>
    <w:p w14:paraId="31E53D04" w14:textId="77777777" w:rsidR="00BD7FC4" w:rsidRPr="00BD7FC4" w:rsidRDefault="00BD7FC4" w:rsidP="00BD7FC4">
      <w:pPr>
        <w:spacing w:line="276" w:lineRule="auto"/>
        <w:jc w:val="both"/>
        <w:rPr>
          <w:color w:val="000000"/>
        </w:rPr>
      </w:pPr>
      <w:r w:rsidRPr="00BD7FC4">
        <w:rPr>
          <w:color w:val="000000"/>
        </w:rPr>
        <w:t>Tas, ka citi kreditori konkrētajā maksātnespējas procesā faktiski atguva proporcionāli lielāku saistību apmēru, nerada personai tiesības prasīt iestādei (un plašākā nozīmē – valstij) atlīdzināt lielāku zaudējumu apmēru, nekā personai radušies iestādes pieļautās kļūdas dēļ. Atlīdzinājums par valsts pārvaldes iestāžu nodarītajiem zaudējumiem</w:t>
      </w:r>
      <w:bookmarkStart w:id="0" w:name="_GoBack"/>
      <w:bookmarkEnd w:id="0"/>
      <w:r w:rsidRPr="00BD7FC4">
        <w:rPr>
          <w:color w:val="000000"/>
        </w:rPr>
        <w:t xml:space="preserve"> tiek piešķirts no publiskā budžeta līdzekļiem, tātad būtībā – no visu nodokļu maksātāju naudas, un arī tāpēc nav pieļaujams, ka personai tiek piešķirts lielāks atlīdzinājums, nekā tai pienākas.</w:t>
      </w:r>
    </w:p>
    <w:p w14:paraId="2CF457E8" w14:textId="42628FA1" w:rsidR="003047F5" w:rsidRPr="00BD7FC4" w:rsidRDefault="003047F5" w:rsidP="00BD7FC4">
      <w:pPr>
        <w:pStyle w:val="BodyText2"/>
        <w:spacing w:line="276" w:lineRule="auto"/>
      </w:pPr>
    </w:p>
    <w:p w14:paraId="5B96512A" w14:textId="5669E791" w:rsidR="006B7BBC" w:rsidRPr="00BD7FC4" w:rsidRDefault="00BD7FC4" w:rsidP="00BD7FC4">
      <w:pPr>
        <w:spacing w:line="276" w:lineRule="auto"/>
        <w:jc w:val="center"/>
        <w:rPr>
          <w:b/>
        </w:rPr>
      </w:pPr>
      <w:r w:rsidRPr="00BD7FC4">
        <w:rPr>
          <w:b/>
        </w:rPr>
        <w:t>Latvijas Republikas Senāta</w:t>
      </w:r>
    </w:p>
    <w:p w14:paraId="54A4EECC" w14:textId="28593E74" w:rsidR="00BD7FC4" w:rsidRPr="00BD7FC4" w:rsidRDefault="00BD7FC4" w:rsidP="00BD7FC4">
      <w:pPr>
        <w:spacing w:line="276" w:lineRule="auto"/>
        <w:jc w:val="center"/>
        <w:rPr>
          <w:b/>
        </w:rPr>
      </w:pPr>
      <w:r w:rsidRPr="00BD7FC4">
        <w:rPr>
          <w:b/>
        </w:rPr>
        <w:t>Administratīvo lietu departamenta</w:t>
      </w:r>
    </w:p>
    <w:p w14:paraId="5568FC8E" w14:textId="02BDACC7" w:rsidR="00BD7FC4" w:rsidRPr="00BD7FC4" w:rsidRDefault="00BD7FC4" w:rsidP="00BD7FC4">
      <w:pPr>
        <w:spacing w:line="276" w:lineRule="auto"/>
        <w:jc w:val="center"/>
        <w:rPr>
          <w:b/>
        </w:rPr>
      </w:pPr>
      <w:r w:rsidRPr="00BD7FC4">
        <w:rPr>
          <w:b/>
        </w:rPr>
        <w:t>2022.gada 23.maija</w:t>
      </w:r>
    </w:p>
    <w:p w14:paraId="30B4B012" w14:textId="4AA36FFE" w:rsidR="006B7BBC" w:rsidRPr="00BD7FC4" w:rsidRDefault="0089619C" w:rsidP="00BD7FC4">
      <w:pPr>
        <w:spacing w:line="276" w:lineRule="auto"/>
        <w:jc w:val="center"/>
        <w:rPr>
          <w:b/>
        </w:rPr>
      </w:pPr>
      <w:r w:rsidRPr="00BD7FC4">
        <w:rPr>
          <w:b/>
        </w:rPr>
        <w:t>SPRIEDUMS</w:t>
      </w:r>
    </w:p>
    <w:p w14:paraId="23F28B20" w14:textId="77777777" w:rsidR="00BD7FC4" w:rsidRPr="00BD7FC4" w:rsidRDefault="00BD7FC4" w:rsidP="00BD7FC4">
      <w:pPr>
        <w:spacing w:line="276" w:lineRule="auto"/>
        <w:jc w:val="center"/>
        <w:rPr>
          <w:b/>
        </w:rPr>
      </w:pPr>
      <w:r w:rsidRPr="00BD7FC4">
        <w:rPr>
          <w:b/>
        </w:rPr>
        <w:t>Lieta Nr. A420215718</w:t>
      </w:r>
      <w:r w:rsidRPr="00BD7FC4">
        <w:rPr>
          <w:b/>
          <w:lang w:eastAsia="lv-LV"/>
        </w:rPr>
        <w:t xml:space="preserve">, </w:t>
      </w:r>
      <w:r w:rsidRPr="00BD7FC4">
        <w:rPr>
          <w:b/>
        </w:rPr>
        <w:t>SKA-596/2022</w:t>
      </w:r>
    </w:p>
    <w:p w14:paraId="4E761AE4" w14:textId="32AFE70D" w:rsidR="00BD7FC4" w:rsidRPr="00BD7FC4" w:rsidRDefault="00BD7FC4" w:rsidP="00BD7FC4">
      <w:pPr>
        <w:spacing w:line="276" w:lineRule="auto"/>
        <w:jc w:val="center"/>
      </w:pPr>
      <w:hyperlink r:id="rId7" w:history="1">
        <w:r w:rsidRPr="00BD7FC4">
          <w:rPr>
            <w:rStyle w:val="Hyperlink"/>
          </w:rPr>
          <w:t>ECLI:LV:AT:2022:0523.A420215718.18.S</w:t>
        </w:r>
      </w:hyperlink>
      <w:r w:rsidRPr="00BD7FC4">
        <w:t xml:space="preserve"> </w:t>
      </w:r>
    </w:p>
    <w:p w14:paraId="2F242BC5" w14:textId="77777777" w:rsidR="006B7BBC" w:rsidRPr="00BD7FC4" w:rsidRDefault="006B7BBC" w:rsidP="00BD7FC4">
      <w:pPr>
        <w:spacing w:line="276" w:lineRule="auto"/>
        <w:ind w:firstLine="567"/>
        <w:jc w:val="both"/>
      </w:pPr>
    </w:p>
    <w:p w14:paraId="19AFEF33" w14:textId="2C77C8FC" w:rsidR="006B7BBC" w:rsidRPr="00BD7FC4" w:rsidRDefault="006B7BBC" w:rsidP="00BD7FC4">
      <w:pPr>
        <w:spacing w:line="276" w:lineRule="auto"/>
        <w:ind w:firstLine="567"/>
        <w:jc w:val="both"/>
      </w:pPr>
      <w:r w:rsidRPr="00BD7FC4">
        <w:t>Tiesa šādā sastāvā: senator</w:t>
      </w:r>
      <w:r w:rsidR="00183463" w:rsidRPr="00BD7FC4">
        <w:t>es Ieva Višķere, Dzintra Amerika, Anita Kovaļevska</w:t>
      </w:r>
    </w:p>
    <w:p w14:paraId="3049557F" w14:textId="77777777" w:rsidR="003047F5" w:rsidRPr="00BD7FC4" w:rsidRDefault="003047F5" w:rsidP="00BD7FC4">
      <w:pPr>
        <w:spacing w:line="276" w:lineRule="auto"/>
        <w:ind w:firstLine="567"/>
        <w:jc w:val="both"/>
      </w:pPr>
    </w:p>
    <w:p w14:paraId="45FEDFF2" w14:textId="3E5C4569" w:rsidR="003047F5" w:rsidRPr="00BD7FC4" w:rsidRDefault="00941626" w:rsidP="00BD7FC4">
      <w:pPr>
        <w:spacing w:line="276" w:lineRule="auto"/>
        <w:ind w:firstLine="567"/>
        <w:jc w:val="both"/>
      </w:pPr>
      <w:r w:rsidRPr="00BD7FC4">
        <w:t xml:space="preserve">rakstveida procesā izskatīja administratīvo lietu, kas ierosināta, pamatojoties uz </w:t>
      </w:r>
      <w:r w:rsidR="00183463" w:rsidRPr="00BD7FC4">
        <w:t xml:space="preserve">AS „Citadele banka” pieteikumu par </w:t>
      </w:r>
      <w:r w:rsidR="007B0052" w:rsidRPr="00BD7FC4">
        <w:t>Latvijas Republikas Uzņēmumu reģistra faktiskās rīcības, veicot ierakstus maksātnespējas reģistrā par konkrētas privātpersonas maksātnespējas procesu, atzīšanu par prettiesisku un zaudējumu 5559,81 </w:t>
      </w:r>
      <w:r w:rsidR="007B0052" w:rsidRPr="00BD7FC4">
        <w:rPr>
          <w:i/>
          <w:iCs/>
        </w:rPr>
        <w:t xml:space="preserve">euro </w:t>
      </w:r>
      <w:r w:rsidR="007B0052" w:rsidRPr="00BD7FC4">
        <w:t>atlīdzinājumu</w:t>
      </w:r>
      <w:r w:rsidRPr="00BD7FC4">
        <w:t>, s</w:t>
      </w:r>
      <w:r w:rsidR="008570F8" w:rsidRPr="00BD7FC4">
        <w:t>a</w:t>
      </w:r>
      <w:r w:rsidRPr="00BD7FC4">
        <w:t xml:space="preserve">karā ar </w:t>
      </w:r>
      <w:r w:rsidR="007B0052" w:rsidRPr="00BD7FC4">
        <w:t>Latvijas Republikas Uzņēmumu reģistra</w:t>
      </w:r>
      <w:r w:rsidRPr="00BD7FC4">
        <w:t xml:space="preserve"> kasācijas sūdzību par </w:t>
      </w:r>
      <w:r w:rsidR="002663B3" w:rsidRPr="00BD7FC4">
        <w:t xml:space="preserve">Administratīvās </w:t>
      </w:r>
      <w:r w:rsidR="007B0052" w:rsidRPr="00BD7FC4">
        <w:t>apgabaltiesas 2021.gada 22.novembra</w:t>
      </w:r>
      <w:r w:rsidRPr="00BD7FC4">
        <w:t xml:space="preserve"> spriedumu</w:t>
      </w:r>
      <w:r w:rsidR="00D60ABB" w:rsidRPr="00BD7FC4">
        <w:t xml:space="preserve"> daļā</w:t>
      </w:r>
      <w:r w:rsidRPr="00BD7FC4">
        <w:t>.</w:t>
      </w:r>
    </w:p>
    <w:p w14:paraId="5DE22EF3" w14:textId="77777777" w:rsidR="00A6596A" w:rsidRPr="00BD7FC4" w:rsidRDefault="00A6596A" w:rsidP="00BD7FC4">
      <w:pPr>
        <w:spacing w:line="276" w:lineRule="auto"/>
        <w:ind w:firstLine="567"/>
        <w:jc w:val="both"/>
      </w:pPr>
    </w:p>
    <w:p w14:paraId="49301551" w14:textId="77777777" w:rsidR="003047F5" w:rsidRPr="00BD7FC4" w:rsidRDefault="003047F5" w:rsidP="00BD7FC4">
      <w:pPr>
        <w:pStyle w:val="ATpamattesksts"/>
        <w:ind w:firstLine="0"/>
        <w:jc w:val="center"/>
      </w:pPr>
      <w:r w:rsidRPr="00BD7FC4">
        <w:rPr>
          <w:b/>
        </w:rPr>
        <w:t>Aprakstošā</w:t>
      </w:r>
      <w:r w:rsidRPr="00BD7FC4">
        <w:t xml:space="preserve"> </w:t>
      </w:r>
      <w:r w:rsidRPr="00BD7FC4">
        <w:rPr>
          <w:b/>
        </w:rPr>
        <w:t>daļa</w:t>
      </w:r>
    </w:p>
    <w:p w14:paraId="54AE93A0" w14:textId="77777777" w:rsidR="003047F5" w:rsidRPr="00BD7FC4" w:rsidRDefault="003047F5" w:rsidP="00BD7FC4">
      <w:pPr>
        <w:spacing w:line="276" w:lineRule="auto"/>
        <w:ind w:firstLine="567"/>
        <w:jc w:val="both"/>
      </w:pPr>
    </w:p>
    <w:p w14:paraId="42915FF0" w14:textId="0040E72D" w:rsidR="007B0052" w:rsidRPr="00BD7FC4" w:rsidRDefault="003047F5" w:rsidP="00BD7FC4">
      <w:pPr>
        <w:spacing w:line="276" w:lineRule="auto"/>
        <w:ind w:firstLine="567"/>
        <w:jc w:val="both"/>
      </w:pPr>
      <w:r w:rsidRPr="00BD7FC4">
        <w:t>[1]</w:t>
      </w:r>
      <w:r w:rsidR="007B0052" w:rsidRPr="00BD7FC4">
        <w:t xml:space="preserve"> 2017.gada 25.aprīlī Latvijas Republikas Uzņēmumu reģistrā (turpmāk – Uzņēmumu reģistrs) tika saņemts Daugavpils tiesas 2017.gada 24.aprīļa spriedums, ar kuru pasludināts konkrētas privātpersonas maksātnespējas process. Uzņēmumu reģistrs 2017.gada 25.aprīlī šo spriedumu reģistrēja informācijas sistēmā, kā arī nolēma izdarīt ierakstu maksātnespējas reģistrā par procesa pasludināšanu, bankrota procedūras uzsākšanu un kreditoru pieteikšanās termiņu. </w:t>
      </w:r>
    </w:p>
    <w:p w14:paraId="5E1A6196" w14:textId="2137E45F" w:rsidR="007B0052" w:rsidRPr="00BD7FC4" w:rsidRDefault="00AF6D95" w:rsidP="00BD7FC4">
      <w:pPr>
        <w:spacing w:line="276" w:lineRule="auto"/>
        <w:ind w:firstLine="567"/>
        <w:jc w:val="both"/>
      </w:pPr>
      <w:r w:rsidRPr="00BD7FC4">
        <w:t>K</w:t>
      </w:r>
      <w:r w:rsidR="00601895" w:rsidRPr="00BD7FC4">
        <w:t xml:space="preserve">onkrētā maksātnespējas procesa ietvaros </w:t>
      </w:r>
      <w:r w:rsidRPr="00BD7FC4">
        <w:t xml:space="preserve">pieteicēja AS „Citadele banka” </w:t>
      </w:r>
      <w:r w:rsidR="007B0052" w:rsidRPr="00BD7FC4">
        <w:t xml:space="preserve">neiesniedza kreditora prasījumu. 2017.gada 11.oktobrī maksātnespējas reģistrā veikts ieraksts par </w:t>
      </w:r>
      <w:r w:rsidRPr="00BD7FC4">
        <w:t xml:space="preserve">attiecīgās </w:t>
      </w:r>
      <w:r w:rsidR="007B0052" w:rsidRPr="00BD7FC4">
        <w:t>privātpersonas saistību dzēšanas procedūras pasludināšanu.</w:t>
      </w:r>
    </w:p>
    <w:p w14:paraId="351EAACF" w14:textId="073E4C6F" w:rsidR="007B0052" w:rsidRPr="00BD7FC4" w:rsidRDefault="00AF6D95" w:rsidP="00BD7FC4">
      <w:pPr>
        <w:spacing w:line="276" w:lineRule="auto"/>
        <w:ind w:firstLine="567"/>
        <w:jc w:val="both"/>
      </w:pPr>
      <w:r w:rsidRPr="00BD7FC4">
        <w:t>P</w:t>
      </w:r>
      <w:r w:rsidR="007B0052" w:rsidRPr="00BD7FC4">
        <w:t xml:space="preserve">ieteicēja </w:t>
      </w:r>
      <w:r w:rsidRPr="00BD7FC4">
        <w:t>vērsās Uzņēmumu reģistrā, norādot, ka oficiālajā tīmekļvietnē 2017.gada 25.aprīļa ierakstos un arī pēc tam nebija atrodams ieraksts par konkrētās privātpersonas maksātnespēj</w:t>
      </w:r>
      <w:r w:rsidR="00576275" w:rsidRPr="00BD7FC4">
        <w:t>as procesu</w:t>
      </w:r>
      <w:r w:rsidRPr="00BD7FC4">
        <w:t xml:space="preserve"> un tāpēc pieteicēja par to laikus neuzzināja un secīgi zaudēja kreditora statusu un prasījuma tiesības pret šo privātpersonu. Šā iemesla dēļ pieteicēja </w:t>
      </w:r>
      <w:r w:rsidR="007B0052" w:rsidRPr="00BD7FC4">
        <w:t xml:space="preserve">lūdza </w:t>
      </w:r>
      <w:r w:rsidRPr="00BD7FC4">
        <w:t xml:space="preserve">Uzņēmumu reģistru </w:t>
      </w:r>
      <w:r w:rsidR="007B0052" w:rsidRPr="00BD7FC4">
        <w:t xml:space="preserve">atlīdzināt tai radītos zaudējumus </w:t>
      </w:r>
      <w:r w:rsidR="00601895" w:rsidRPr="00BD7FC4">
        <w:t>(summu, kuru pieteicējai bija parādā attiecīgā privātpersona)</w:t>
      </w:r>
      <w:r w:rsidR="007B0052" w:rsidRPr="00BD7FC4">
        <w:t>.</w:t>
      </w:r>
    </w:p>
    <w:p w14:paraId="748B8F94" w14:textId="78648B93" w:rsidR="007B0052" w:rsidRPr="00BD7FC4" w:rsidRDefault="007B0052" w:rsidP="00BD7FC4">
      <w:pPr>
        <w:spacing w:line="276" w:lineRule="auto"/>
        <w:ind w:firstLine="567"/>
        <w:jc w:val="both"/>
      </w:pPr>
      <w:r w:rsidRPr="00BD7FC4">
        <w:t>Uzņēmumu reģistrs atteica atlīdzināt zaudējumus, norādot, ka ierakst</w:t>
      </w:r>
      <w:r w:rsidR="00AF6D95" w:rsidRPr="00BD7FC4">
        <w:t xml:space="preserve">i </w:t>
      </w:r>
      <w:r w:rsidR="00696A95" w:rsidRPr="00BD7FC4">
        <w:t xml:space="preserve">maksātnespējas reģistrā </w:t>
      </w:r>
      <w:r w:rsidR="00AF6D95" w:rsidRPr="00BD7FC4">
        <w:t xml:space="preserve">par konkrētās privātpersonas maksātnespējas procesu bija </w:t>
      </w:r>
      <w:r w:rsidRPr="00BD7FC4">
        <w:t>izdarīt</w:t>
      </w:r>
      <w:r w:rsidR="00AF6D95" w:rsidRPr="00BD7FC4">
        <w:t xml:space="preserve">i </w:t>
      </w:r>
      <w:r w:rsidRPr="00BD7FC4">
        <w:t xml:space="preserve">atbilstoši Maksātnespējas likuma </w:t>
      </w:r>
      <w:r w:rsidR="00AF6D95" w:rsidRPr="00BD7FC4">
        <w:t>prasībām.</w:t>
      </w:r>
      <w:r w:rsidRPr="00BD7FC4">
        <w:t xml:space="preserve"> </w:t>
      </w:r>
    </w:p>
    <w:p w14:paraId="48623ABD" w14:textId="76E51609" w:rsidR="003047F5" w:rsidRPr="00BD7FC4" w:rsidRDefault="007B0052" w:rsidP="00BD7FC4">
      <w:pPr>
        <w:spacing w:line="276" w:lineRule="auto"/>
        <w:ind w:firstLine="567"/>
        <w:jc w:val="both"/>
      </w:pPr>
      <w:r w:rsidRPr="00BD7FC4">
        <w:t>Pieteicēja vērsās tiesā, lūdzot atzīt</w:t>
      </w:r>
      <w:r w:rsidR="00696A95" w:rsidRPr="00BD7FC4">
        <w:t xml:space="preserve"> Uzņēmumu reģistra rīcību</w:t>
      </w:r>
      <w:r w:rsidRPr="00BD7FC4">
        <w:t xml:space="preserve"> par prettiesisku un atlīdzināt zaudējumus.</w:t>
      </w:r>
    </w:p>
    <w:p w14:paraId="7B7447C9" w14:textId="77777777" w:rsidR="003047F5" w:rsidRPr="00BD7FC4" w:rsidRDefault="003047F5" w:rsidP="00BD7FC4">
      <w:pPr>
        <w:spacing w:line="276" w:lineRule="auto"/>
        <w:ind w:firstLine="567"/>
        <w:jc w:val="both"/>
      </w:pPr>
    </w:p>
    <w:p w14:paraId="36F2F623" w14:textId="6444A89D" w:rsidR="003047F5" w:rsidRPr="00BD7FC4" w:rsidRDefault="003047F5" w:rsidP="00BD7FC4">
      <w:pPr>
        <w:spacing w:line="276" w:lineRule="auto"/>
        <w:ind w:firstLine="567"/>
        <w:jc w:val="both"/>
      </w:pPr>
      <w:r w:rsidRPr="00BD7FC4">
        <w:lastRenderedPageBreak/>
        <w:t>[2]</w:t>
      </w:r>
      <w:r w:rsidR="00C702BA" w:rsidRPr="00BD7FC4">
        <w:t xml:space="preserve"> Administratīvā apgabaltiesa ar 2020.gada 5.marta spriedumu pieteikumu </w:t>
      </w:r>
      <w:r w:rsidR="002D5B13" w:rsidRPr="00BD7FC4">
        <w:t>noraidīja. Ar</w:t>
      </w:r>
      <w:r w:rsidR="003F289D" w:rsidRPr="00BD7FC4">
        <w:t xml:space="preserve"> Senāta 2021.gada 14.maija spriedumu</w:t>
      </w:r>
      <w:r w:rsidR="005F7C34" w:rsidRPr="00BD7FC4">
        <w:t xml:space="preserve"> (</w:t>
      </w:r>
      <w:hyperlink r:id="rId8" w:history="1">
        <w:r w:rsidR="005F7C34" w:rsidRPr="00BD7FC4">
          <w:rPr>
            <w:rStyle w:val="Hyperlink"/>
            <w:i/>
            <w:iCs/>
            <w:color w:val="auto"/>
            <w:u w:val="none"/>
          </w:rPr>
          <w:t>ECLI:LV:AT:2021:0514.A420215718.10.S</w:t>
        </w:r>
      </w:hyperlink>
      <w:r w:rsidR="005F7C34" w:rsidRPr="00BD7FC4">
        <w:t>)</w:t>
      </w:r>
      <w:r w:rsidR="003F289D" w:rsidRPr="00BD7FC4">
        <w:t xml:space="preserve"> minētais apgabaltiesas spriedums atcelts daļā, kas attiecas uz Uzņēmumu reģistra faktiskās rīcības, veicot ierakstu maksātnespējas reģistr</w:t>
      </w:r>
      <w:r w:rsidR="000E7ABC" w:rsidRPr="00BD7FC4">
        <w:t>a</w:t>
      </w:r>
      <w:r w:rsidR="003F289D" w:rsidRPr="00BD7FC4">
        <w:t xml:space="preserve"> sadaļā „Žurnāls”</w:t>
      </w:r>
      <w:r w:rsidR="00D1161E" w:rsidRPr="00BD7FC4">
        <w:t xml:space="preserve"> par konkrēt</w:t>
      </w:r>
      <w:r w:rsidR="003A3C64" w:rsidRPr="00BD7FC4">
        <w:t>ā</w:t>
      </w:r>
      <w:r w:rsidR="00D1161E" w:rsidRPr="00BD7FC4">
        <w:t>s privātpersonas maksātnespējas procesu, atzīšanu par prettiesisku un zaudējumu atlīdzinājumu.</w:t>
      </w:r>
      <w:r w:rsidR="00CE7077" w:rsidRPr="00BD7FC4">
        <w:t xml:space="preserve"> </w:t>
      </w:r>
    </w:p>
    <w:p w14:paraId="0C77F4AC" w14:textId="77777777" w:rsidR="00BC62BE" w:rsidRPr="00BD7FC4" w:rsidRDefault="00BC62BE" w:rsidP="00BD7FC4">
      <w:pPr>
        <w:pStyle w:val="ATpamattesksts"/>
        <w:ind w:firstLine="0"/>
      </w:pPr>
    </w:p>
    <w:p w14:paraId="21D969F8" w14:textId="564B0298" w:rsidR="003047F5" w:rsidRPr="00BD7FC4" w:rsidRDefault="003047F5" w:rsidP="00BD7FC4">
      <w:pPr>
        <w:spacing w:line="276" w:lineRule="auto"/>
        <w:ind w:firstLine="567"/>
        <w:jc w:val="both"/>
      </w:pPr>
      <w:r w:rsidRPr="00BD7FC4">
        <w:t>[</w:t>
      </w:r>
      <w:r w:rsidR="006B7BBC" w:rsidRPr="00BD7FC4">
        <w:t>3</w:t>
      </w:r>
      <w:r w:rsidRPr="00BD7FC4">
        <w:t>] </w:t>
      </w:r>
      <w:r w:rsidR="00AF1FE2" w:rsidRPr="00BD7FC4">
        <w:t>Administratīvā apgabaltiesa, izskatījusi lietu no jauna, ar 2021.gada 22.novembra spriedumu</w:t>
      </w:r>
      <w:r w:rsidR="00296229" w:rsidRPr="00BD7FC4">
        <w:t xml:space="preserve"> pieteikumu apmierināja daļā. Tiesa atzina par prettiesisku </w:t>
      </w:r>
      <w:r w:rsidR="002B44C6" w:rsidRPr="00BD7FC4">
        <w:t>Uzņēmumu reģistra faktisko rīcību,</w:t>
      </w:r>
      <w:r w:rsidR="00296229" w:rsidRPr="00BD7FC4">
        <w:t xml:space="preserve"> veicot</w:t>
      </w:r>
      <w:r w:rsidR="00D8770B" w:rsidRPr="00BD7FC4">
        <w:t xml:space="preserve"> ierakstu</w:t>
      </w:r>
      <w:r w:rsidR="00296229" w:rsidRPr="00BD7FC4">
        <w:t xml:space="preserve"> maksātnespējas reģistr</w:t>
      </w:r>
      <w:r w:rsidR="003A3C64" w:rsidRPr="00BD7FC4">
        <w:t>a</w:t>
      </w:r>
      <w:r w:rsidR="00296229" w:rsidRPr="00BD7FC4">
        <w:t xml:space="preserve"> sadaļā „Žurnāls” par konkrētās privātpersonas maksātnespējas procesu</w:t>
      </w:r>
      <w:r w:rsidR="00D8770B" w:rsidRPr="00BD7FC4">
        <w:t>, un uzdeva Latvijas Republikai atlīdzināt pieteicējai zaudējumus 402,53 </w:t>
      </w:r>
      <w:r w:rsidR="00D8770B" w:rsidRPr="00BD7FC4">
        <w:rPr>
          <w:i/>
          <w:iCs/>
        </w:rPr>
        <w:t>euro</w:t>
      </w:r>
      <w:r w:rsidR="00D8770B" w:rsidRPr="00BD7FC4">
        <w:t>.</w:t>
      </w:r>
      <w:r w:rsidR="00FE0477" w:rsidRPr="00BD7FC4">
        <w:t xml:space="preserve"> </w:t>
      </w:r>
      <w:r w:rsidR="00D8770B" w:rsidRPr="00BD7FC4">
        <w:t>Spriedums pamatots ar turpmāk norādītajiem apsvērumiem.</w:t>
      </w:r>
    </w:p>
    <w:p w14:paraId="2CC30CFC" w14:textId="14769C66" w:rsidR="003047F5" w:rsidRPr="00BD7FC4" w:rsidRDefault="006B7BBC" w:rsidP="00BD7FC4">
      <w:pPr>
        <w:spacing w:line="276" w:lineRule="auto"/>
        <w:ind w:firstLine="567"/>
        <w:jc w:val="both"/>
      </w:pPr>
      <w:r w:rsidRPr="00BD7FC4">
        <w:t>[3.1</w:t>
      </w:r>
      <w:r w:rsidR="003047F5" w:rsidRPr="00BD7FC4">
        <w:t>] </w:t>
      </w:r>
      <w:r w:rsidR="00816BF2" w:rsidRPr="00BD7FC4">
        <w:t>Pats Uzņēmumu reģistrs atzīst, ka laikā no 2017.gada 25.aprīļa līdz 2018.gada 18.janvārim maksātnespējas reģistr</w:t>
      </w:r>
      <w:r w:rsidR="00D4009E" w:rsidRPr="00BD7FC4">
        <w:t>a</w:t>
      </w:r>
      <w:r w:rsidR="00816BF2" w:rsidRPr="00BD7FC4">
        <w:t xml:space="preserve"> sadaļā „Žurnāls” ieraksts par konkrētās privātpersonas maksātnespējas procesa pasludināšanu nebija redzams. Tāpēc</w:t>
      </w:r>
      <w:r w:rsidR="00720660" w:rsidRPr="00BD7FC4">
        <w:t xml:space="preserve"> reģistra rīcība, minētajā laika periodā nenodrošinot, ka </w:t>
      </w:r>
      <w:r w:rsidR="00E6457C" w:rsidRPr="00BD7FC4">
        <w:t xml:space="preserve">attiecīgajā </w:t>
      </w:r>
      <w:r w:rsidR="00720660" w:rsidRPr="00BD7FC4">
        <w:t>maksātnespējas reģistr</w:t>
      </w:r>
      <w:r w:rsidR="00AB7D08" w:rsidRPr="00BD7FC4">
        <w:t>a</w:t>
      </w:r>
      <w:r w:rsidR="00720660" w:rsidRPr="00BD7FC4">
        <w:t xml:space="preserve"> sadaļā</w:t>
      </w:r>
      <w:r w:rsidR="00E6457C" w:rsidRPr="00BD7FC4">
        <w:t xml:space="preserve"> </w:t>
      </w:r>
      <w:r w:rsidR="009C527B" w:rsidRPr="00BD7FC4">
        <w:t>norādītā informācija ir pilnīga</w:t>
      </w:r>
      <w:r w:rsidR="00720660" w:rsidRPr="00BD7FC4">
        <w:t>, atzīstama par prettiesisku.</w:t>
      </w:r>
    </w:p>
    <w:p w14:paraId="2B230669" w14:textId="782D3D19" w:rsidR="00720660" w:rsidRPr="00BD7FC4" w:rsidRDefault="00720660" w:rsidP="00BD7FC4">
      <w:pPr>
        <w:spacing w:line="276" w:lineRule="auto"/>
        <w:ind w:firstLine="567"/>
        <w:jc w:val="both"/>
      </w:pPr>
      <w:r w:rsidRPr="00BD7FC4">
        <w:t xml:space="preserve">[3.2] Pieteicēja minētajā laika periodā varēja paļauties uz </w:t>
      </w:r>
      <w:r w:rsidR="009F1523" w:rsidRPr="00BD7FC4">
        <w:t xml:space="preserve">to, ka informācija </w:t>
      </w:r>
      <w:r w:rsidRPr="00BD7FC4">
        <w:t>maksātnespējas reģistra sadaļā „</w:t>
      </w:r>
      <w:r w:rsidR="00F275A6" w:rsidRPr="00BD7FC4">
        <w:t>Žurnāls</w:t>
      </w:r>
      <w:r w:rsidRPr="00BD7FC4">
        <w:t>”</w:t>
      </w:r>
      <w:r w:rsidR="009F1523" w:rsidRPr="00BD7FC4">
        <w:t xml:space="preserve"> ir pilnīga</w:t>
      </w:r>
      <w:r w:rsidR="00007F88" w:rsidRPr="00BD7FC4">
        <w:t xml:space="preserve">, pieteicēja uz to paļāvās un pieteicējas paļāvība ir aizsardzības vērta. Līdz ar to ir konstatējams pamats </w:t>
      </w:r>
      <w:r w:rsidR="00732B9E" w:rsidRPr="00BD7FC4">
        <w:t xml:space="preserve">zaudējumu, kas pieteicējai radušies saistībā ar Uzņēmumu reģistra </w:t>
      </w:r>
      <w:r w:rsidR="00E862F4" w:rsidRPr="00BD7FC4">
        <w:t xml:space="preserve">prettiesisko </w:t>
      </w:r>
      <w:r w:rsidR="00DC5F92" w:rsidRPr="00BD7FC4">
        <w:t xml:space="preserve">faktisko </w:t>
      </w:r>
      <w:r w:rsidR="00732B9E" w:rsidRPr="00BD7FC4">
        <w:t>rīcību</w:t>
      </w:r>
      <w:r w:rsidR="00740478" w:rsidRPr="00BD7FC4">
        <w:t>, atlīdzināšanai.</w:t>
      </w:r>
    </w:p>
    <w:p w14:paraId="1648346F" w14:textId="6BAEA39B" w:rsidR="00740478" w:rsidRPr="00BD7FC4" w:rsidRDefault="00740478" w:rsidP="00BD7FC4">
      <w:pPr>
        <w:spacing w:line="276" w:lineRule="auto"/>
        <w:ind w:firstLine="567"/>
        <w:jc w:val="both"/>
      </w:pPr>
      <w:r w:rsidRPr="00BD7FC4">
        <w:t>[3.3]</w:t>
      </w:r>
      <w:r w:rsidR="004C2BDB" w:rsidRPr="00BD7FC4">
        <w:t xml:space="preserve"> Pieteicēja norāda, ka Uzņēmumu reģistra prettiesiskās faktiskās rīcības </w:t>
      </w:r>
      <w:r w:rsidR="00C06BFD" w:rsidRPr="00BD7FC4">
        <w:t xml:space="preserve">dēļ </w:t>
      </w:r>
      <w:r w:rsidR="004C2BDB" w:rsidRPr="00BD7FC4">
        <w:t>pieteicēja neiesniedza kreditora prasījumu konkrētās privātpersonas maksātnespējas proces</w:t>
      </w:r>
      <w:r w:rsidR="004569F7" w:rsidRPr="00BD7FC4">
        <w:t>ā</w:t>
      </w:r>
      <w:r w:rsidR="004C2BDB" w:rsidRPr="00BD7FC4">
        <w:t xml:space="preserve">, </w:t>
      </w:r>
      <w:r w:rsidR="00434560" w:rsidRPr="00BD7FC4">
        <w:t xml:space="preserve">kā rezultātā </w:t>
      </w:r>
      <w:r w:rsidR="004C2BDB" w:rsidRPr="00BD7FC4">
        <w:t xml:space="preserve">zaudēja kreditora statusu un prasījuma tiesības pret </w:t>
      </w:r>
      <w:r w:rsidR="000F709C" w:rsidRPr="00BD7FC4">
        <w:t>attiecīgo</w:t>
      </w:r>
      <w:r w:rsidR="004C2BDB" w:rsidRPr="00BD7FC4">
        <w:t xml:space="preserve"> privātpersonu</w:t>
      </w:r>
      <w:r w:rsidR="00E36094" w:rsidRPr="00BD7FC4">
        <w:t xml:space="preserve"> un neatguva parādu </w:t>
      </w:r>
      <w:r w:rsidR="008A6DA2" w:rsidRPr="00BD7FC4">
        <w:t>5559,81 </w:t>
      </w:r>
      <w:r w:rsidR="008A6DA2" w:rsidRPr="00BD7FC4">
        <w:rPr>
          <w:i/>
          <w:iCs/>
        </w:rPr>
        <w:t>euro</w:t>
      </w:r>
      <w:r w:rsidR="00434560" w:rsidRPr="00BD7FC4">
        <w:t>.</w:t>
      </w:r>
      <w:r w:rsidR="00696A95" w:rsidRPr="00BD7FC4">
        <w:t xml:space="preserve"> </w:t>
      </w:r>
      <w:r w:rsidR="00E66B60" w:rsidRPr="00BD7FC4">
        <w:t>To, ka konkrētās privātpersonas saistīb</w:t>
      </w:r>
      <w:r w:rsidR="00822554" w:rsidRPr="00BD7FC4">
        <w:t>u</w:t>
      </w:r>
      <w:r w:rsidR="00E66B60" w:rsidRPr="00BD7FC4">
        <w:t xml:space="preserve"> pret pieteicēju </w:t>
      </w:r>
      <w:r w:rsidR="00822554" w:rsidRPr="00BD7FC4">
        <w:t>summa bija 5559,81 </w:t>
      </w:r>
      <w:r w:rsidR="00822554" w:rsidRPr="00BD7FC4">
        <w:rPr>
          <w:i/>
          <w:iCs/>
        </w:rPr>
        <w:t>euro</w:t>
      </w:r>
      <w:r w:rsidR="00E66B60" w:rsidRPr="00BD7FC4">
        <w:t xml:space="preserve">, apliecina arī citi pierādījumi lietā. Tomēr ņemams vērā, ka </w:t>
      </w:r>
      <w:r w:rsidR="005B40A3" w:rsidRPr="00BD7FC4">
        <w:t>kreditori, kuri iesniedza kreditora prasījumu</w:t>
      </w:r>
      <w:r w:rsidR="00DD7EFA" w:rsidRPr="00BD7FC4">
        <w:t>s</w:t>
      </w:r>
      <w:r w:rsidR="005B40A3" w:rsidRPr="00BD7FC4">
        <w:t xml:space="preserve"> maksātnespējas proces</w:t>
      </w:r>
      <w:r w:rsidR="004569F7" w:rsidRPr="00BD7FC4">
        <w:t>ā</w:t>
      </w:r>
      <w:r w:rsidR="005B40A3" w:rsidRPr="00BD7FC4">
        <w:t xml:space="preserve">, parādu atguva </w:t>
      </w:r>
      <w:r w:rsidR="00696A95" w:rsidRPr="00BD7FC4">
        <w:t xml:space="preserve">tikai </w:t>
      </w:r>
      <w:r w:rsidR="005B40A3" w:rsidRPr="00BD7FC4">
        <w:t xml:space="preserve">7,20 %–7,24 % apmērā. </w:t>
      </w:r>
      <w:r w:rsidR="0030437B" w:rsidRPr="00BD7FC4">
        <w:t xml:space="preserve">Līdz ar to atzīstams, ka arī pieteicēja nevar pretendēt uz lielāku summu kā 7,24 % no konkrētās privātpersonas saistību pret pieteicēju summas, jo pieteicēja nevar pretendēt uz lielāku summu, nekā būtu ieguvusi, ja </w:t>
      </w:r>
      <w:r w:rsidR="00696A95" w:rsidRPr="00BD7FC4">
        <w:t xml:space="preserve">Uzņēmumu </w:t>
      </w:r>
      <w:r w:rsidR="0030437B" w:rsidRPr="00BD7FC4">
        <w:t>reģistrs kļūdu nebūtu pieļāvis.</w:t>
      </w:r>
      <w:r w:rsidR="003E6FD2" w:rsidRPr="00BD7FC4">
        <w:t xml:space="preserve"> Tas nozīmē, ka pieteicējai ir atlīdzināmi zaudējumi 402,</w:t>
      </w:r>
      <w:r w:rsidR="00E0162B" w:rsidRPr="00BD7FC4">
        <w:t>53</w:t>
      </w:r>
      <w:r w:rsidR="003E6FD2" w:rsidRPr="00BD7FC4">
        <w:t> </w:t>
      </w:r>
      <w:r w:rsidR="003E6FD2" w:rsidRPr="00BD7FC4">
        <w:rPr>
          <w:i/>
          <w:iCs/>
        </w:rPr>
        <w:t>euro</w:t>
      </w:r>
      <w:r w:rsidR="00B82400" w:rsidRPr="00BD7FC4">
        <w:t xml:space="preserve"> (7,24 % no 5559,81 </w:t>
      </w:r>
      <w:r w:rsidR="00B82400" w:rsidRPr="00BD7FC4">
        <w:rPr>
          <w:i/>
          <w:iCs/>
        </w:rPr>
        <w:t>euro</w:t>
      </w:r>
      <w:r w:rsidR="00B82400" w:rsidRPr="00BD7FC4">
        <w:t>)</w:t>
      </w:r>
      <w:r w:rsidR="003E6FD2" w:rsidRPr="00BD7FC4">
        <w:t>.</w:t>
      </w:r>
    </w:p>
    <w:p w14:paraId="2E30E85C" w14:textId="1523DA9B" w:rsidR="00D94E97" w:rsidRPr="00BD7FC4" w:rsidRDefault="00D94E97" w:rsidP="00BD7FC4">
      <w:pPr>
        <w:pStyle w:val="ATpamattesksts"/>
        <w:ind w:firstLine="0"/>
      </w:pPr>
    </w:p>
    <w:p w14:paraId="164F87F3" w14:textId="40A498ED" w:rsidR="000E1BFC" w:rsidRPr="00BD7FC4" w:rsidRDefault="00EA3AB1" w:rsidP="00BD7FC4">
      <w:pPr>
        <w:pStyle w:val="ATpamattesksts"/>
        <w:rPr>
          <w:b/>
        </w:rPr>
      </w:pPr>
      <w:r w:rsidRPr="00BD7FC4">
        <w:t>[4] Uzņēmumu reģistrs iesniedza kasācijas sūdzību par spriedumu daļā, kurā Latvijas Republikai uzdots atlīdzināt pieteicējai zaudējumus 402,</w:t>
      </w:r>
      <w:r w:rsidR="009B3694" w:rsidRPr="00BD7FC4">
        <w:t>5</w:t>
      </w:r>
      <w:r w:rsidRPr="00BD7FC4">
        <w:t>3 </w:t>
      </w:r>
      <w:r w:rsidRPr="00BD7FC4">
        <w:rPr>
          <w:i/>
          <w:iCs/>
        </w:rPr>
        <w:t>euro</w:t>
      </w:r>
      <w:r w:rsidRPr="00BD7FC4">
        <w:t>.</w:t>
      </w:r>
      <w:r w:rsidR="00D2662A" w:rsidRPr="00BD7FC4">
        <w:t xml:space="preserve"> Kasācijas sūdzībā norādīts, ka gadījumā, ja pieteicēja konkrētās privātpersonas maksātnespējas procesā būtu iesniegusi kreditora prasījumu, </w:t>
      </w:r>
      <w:r w:rsidR="003B112A" w:rsidRPr="00BD7FC4">
        <w:t xml:space="preserve">tas nozīmētu, ka maksātnespējas procesā </w:t>
      </w:r>
      <w:r w:rsidR="00811CC0" w:rsidRPr="00BD7FC4">
        <w:t>būtu gan lielāks</w:t>
      </w:r>
      <w:r w:rsidR="003B112A" w:rsidRPr="00BD7FC4">
        <w:t xml:space="preserve"> kreditoru skaits, gan </w:t>
      </w:r>
      <w:r w:rsidR="00696A95" w:rsidRPr="00BD7FC4">
        <w:t xml:space="preserve">attiecīgi arī </w:t>
      </w:r>
      <w:r w:rsidR="00811CC0" w:rsidRPr="00BD7FC4">
        <w:t xml:space="preserve">lielāka </w:t>
      </w:r>
      <w:r w:rsidR="003B112A" w:rsidRPr="00BD7FC4">
        <w:t>kreditoru pieteiktā kopējā saistību summa.</w:t>
      </w:r>
      <w:r w:rsidR="000E5783" w:rsidRPr="00BD7FC4">
        <w:t xml:space="preserve"> </w:t>
      </w:r>
      <w:r w:rsidR="00811CC0" w:rsidRPr="00BD7FC4">
        <w:t>Tas savukārt nozīmētu</w:t>
      </w:r>
      <w:r w:rsidR="00CE1F4D" w:rsidRPr="00BD7FC4">
        <w:t xml:space="preserve">, ka saskaņā ar kreditoru vienlīdzības principu </w:t>
      </w:r>
      <w:r w:rsidR="0014508D" w:rsidRPr="00BD7FC4">
        <w:t xml:space="preserve">katrs kreditors varētu saņemt maksimums 5,83 % </w:t>
      </w:r>
      <w:r w:rsidR="00745F6F" w:rsidRPr="00BD7FC4">
        <w:t xml:space="preserve">no pieteiktās saistību summas, nevis 7,24 % no attiecīgās summas. </w:t>
      </w:r>
      <w:r w:rsidR="009A0F96" w:rsidRPr="00BD7FC4">
        <w:t>Līdz ar to tiesas noteik</w:t>
      </w:r>
      <w:r w:rsidR="001B53D2" w:rsidRPr="00BD7FC4">
        <w:t xml:space="preserve">tais </w:t>
      </w:r>
      <w:r w:rsidR="009A0F96" w:rsidRPr="00BD7FC4">
        <w:t>atlīdzinājum</w:t>
      </w:r>
      <w:r w:rsidR="00696A95" w:rsidRPr="00BD7FC4">
        <w:t>a apmērs</w:t>
      </w:r>
      <w:r w:rsidR="001B53D2" w:rsidRPr="00BD7FC4">
        <w:t xml:space="preserve"> </w:t>
      </w:r>
      <w:r w:rsidR="009A0F96" w:rsidRPr="00BD7FC4">
        <w:t xml:space="preserve">ir </w:t>
      </w:r>
      <w:r w:rsidR="001B53D2" w:rsidRPr="00BD7FC4">
        <w:t>nepareizs.</w:t>
      </w:r>
    </w:p>
    <w:p w14:paraId="49929CC8" w14:textId="3234BBA5" w:rsidR="000E1BFC" w:rsidRPr="00BD7FC4" w:rsidRDefault="000E1BFC" w:rsidP="00BD7FC4">
      <w:pPr>
        <w:pStyle w:val="ATpamattesksts"/>
      </w:pPr>
    </w:p>
    <w:p w14:paraId="683906C8" w14:textId="3027F944" w:rsidR="00E36094" w:rsidRPr="00BD7FC4" w:rsidRDefault="000E1BFC" w:rsidP="00BD7FC4">
      <w:pPr>
        <w:pStyle w:val="ATpamattesksts"/>
      </w:pPr>
      <w:r w:rsidRPr="00BD7FC4">
        <w:t>[5]</w:t>
      </w:r>
      <w:r w:rsidR="004112FE" w:rsidRPr="00BD7FC4">
        <w:t xml:space="preserve"> Paskaidrojumos par kasācijas sūdzību pieteicēja norādīja, ka pārējie pieci kreditori konkrētās privātpersonas maksātnespējas procesā jau ir atguvuši parādu 7,20 %–7,24 % apmērā no pieteiktās saistību summas. Tāpēc, ja pieteicējai tiktu atlīdzināti zaudējumi tikai 5,83 % apmērā no </w:t>
      </w:r>
      <w:r w:rsidR="00256B1D" w:rsidRPr="00BD7FC4">
        <w:t xml:space="preserve">privātpersonas saistību pret pieteicēju summas, </w:t>
      </w:r>
      <w:r w:rsidR="000D5B15" w:rsidRPr="00BD7FC4">
        <w:t xml:space="preserve">pieteicēja tiktu nepamatoti diskriminēta attiecībā pret pārējiem kreditoriem. </w:t>
      </w:r>
      <w:r w:rsidR="00A311BE" w:rsidRPr="00BD7FC4">
        <w:t>Līdz ar to pieteicēja kasācijas sūdzību uzskata par nepamatotu.</w:t>
      </w:r>
    </w:p>
    <w:p w14:paraId="1900DA50" w14:textId="2793B2A4" w:rsidR="003047F5" w:rsidRPr="00BD7FC4" w:rsidRDefault="003047F5" w:rsidP="00BD7FC4">
      <w:pPr>
        <w:spacing w:line="276" w:lineRule="auto"/>
        <w:jc w:val="center"/>
        <w:rPr>
          <w:b/>
        </w:rPr>
      </w:pPr>
      <w:r w:rsidRPr="00BD7FC4">
        <w:rPr>
          <w:b/>
        </w:rPr>
        <w:lastRenderedPageBreak/>
        <w:t>Motīvu daļa</w:t>
      </w:r>
    </w:p>
    <w:p w14:paraId="50C3E4A3" w14:textId="77777777" w:rsidR="003047F5" w:rsidRPr="00BD7FC4" w:rsidRDefault="003047F5" w:rsidP="00BD7FC4">
      <w:pPr>
        <w:spacing w:line="276" w:lineRule="auto"/>
        <w:ind w:firstLine="567"/>
        <w:jc w:val="both"/>
      </w:pPr>
    </w:p>
    <w:p w14:paraId="06271630" w14:textId="0010A3F9" w:rsidR="003047F5" w:rsidRPr="00BD7FC4" w:rsidRDefault="003047F5" w:rsidP="00BD7FC4">
      <w:pPr>
        <w:spacing w:line="276" w:lineRule="auto"/>
        <w:ind w:firstLine="567"/>
        <w:jc w:val="both"/>
      </w:pPr>
      <w:r w:rsidRPr="00BD7FC4">
        <w:t>[</w:t>
      </w:r>
      <w:r w:rsidR="002C7496" w:rsidRPr="00BD7FC4">
        <w:t>6</w:t>
      </w:r>
      <w:r w:rsidRPr="00BD7FC4">
        <w:t>]</w:t>
      </w:r>
      <w:r w:rsidR="009771B1" w:rsidRPr="00BD7FC4">
        <w:t xml:space="preserve"> Kasācijas </w:t>
      </w:r>
      <w:r w:rsidR="00937D69" w:rsidRPr="00BD7FC4">
        <w:t>sūdzībā Uzņēmumu reģistrs argumentē, ka apgabaltiesa, atzīstot pieteicējai tiesības uz atlīdzinājumu 402,53 </w:t>
      </w:r>
      <w:r w:rsidR="00937D69" w:rsidRPr="00BD7FC4">
        <w:rPr>
          <w:i/>
          <w:iCs/>
        </w:rPr>
        <w:t>euro</w:t>
      </w:r>
      <w:r w:rsidR="00937D69" w:rsidRPr="00BD7FC4">
        <w:t xml:space="preserve"> apmērā, nav pārliecinājusies, vai notikumu tiesiskas norises gadījumā</w:t>
      </w:r>
      <w:r w:rsidR="00C421BE" w:rsidRPr="00BD7FC4">
        <w:t xml:space="preserve"> (</w:t>
      </w:r>
      <w:r w:rsidR="00937D69" w:rsidRPr="00BD7FC4">
        <w:t>proti, ja iestāde nebūtu pieļāvusi tiesas konstatēto kļūdu</w:t>
      </w:r>
      <w:r w:rsidR="00C421BE" w:rsidRPr="00BD7FC4">
        <w:t>)</w:t>
      </w:r>
      <w:r w:rsidR="00937D69" w:rsidRPr="00BD7FC4">
        <w:t xml:space="preserve"> pieteicēja maksātnespējas procesa ietvaros būtu varējusi </w:t>
      </w:r>
      <w:r w:rsidR="00892FA7" w:rsidRPr="00BD7FC4">
        <w:t xml:space="preserve">atgūt </w:t>
      </w:r>
      <w:r w:rsidR="00937D69" w:rsidRPr="00BD7FC4">
        <w:t xml:space="preserve">šādu summu. Uzņēmumu reģistrs uzsvēris, ka gadījumā, ja pieteicēja būtu pieteikusi kreditora prasījumu, tad attiecīgajā maksātnespējas procesā </w:t>
      </w:r>
      <w:r w:rsidR="00E36094" w:rsidRPr="00BD7FC4">
        <w:t xml:space="preserve">katra </w:t>
      </w:r>
      <w:r w:rsidR="00937D69" w:rsidRPr="00BD7FC4">
        <w:t>kreditor</w:t>
      </w:r>
      <w:r w:rsidR="00E36094" w:rsidRPr="00BD7FC4">
        <w:t>a</w:t>
      </w:r>
      <w:r w:rsidR="00937D69" w:rsidRPr="00BD7FC4">
        <w:t>, tostarp – pieteicējas, atgūtie līdzekļi būtu proporcionāli mazāki</w:t>
      </w:r>
      <w:r w:rsidR="00892FA7" w:rsidRPr="00BD7FC4">
        <w:t xml:space="preserve"> un</w:t>
      </w:r>
      <w:r w:rsidR="00C421BE" w:rsidRPr="00BD7FC4">
        <w:t xml:space="preserve"> tādējādi arī zaudējumu apmērs, kurus radījusi iestādes kļūda, ir mazāks.</w:t>
      </w:r>
    </w:p>
    <w:p w14:paraId="1A0DC2B7" w14:textId="47DA4003" w:rsidR="00C465C1" w:rsidRPr="00BD7FC4" w:rsidRDefault="00C465C1" w:rsidP="00BD7FC4">
      <w:pPr>
        <w:spacing w:line="276" w:lineRule="auto"/>
        <w:ind w:firstLine="567"/>
        <w:jc w:val="both"/>
      </w:pPr>
    </w:p>
    <w:p w14:paraId="5B488F96" w14:textId="3DF71756" w:rsidR="00E11EA9" w:rsidRPr="00BD7FC4" w:rsidRDefault="00C465C1" w:rsidP="00BD7FC4">
      <w:pPr>
        <w:pStyle w:val="tv213"/>
        <w:shd w:val="clear" w:color="auto" w:fill="FFFFFF"/>
        <w:spacing w:before="0" w:beforeAutospacing="0" w:after="0" w:afterAutospacing="0" w:line="276" w:lineRule="auto"/>
        <w:ind w:firstLine="567"/>
        <w:jc w:val="both"/>
      </w:pPr>
      <w:r w:rsidRPr="00BD7FC4">
        <w:t>[7] </w:t>
      </w:r>
      <w:r w:rsidR="005D1F42" w:rsidRPr="00BD7FC4">
        <w:t xml:space="preserve">Personas tiesības uz atbilstīgu atlīdzinājumu nepamatota tiesību aizskāruma gadījumā ir noteiktas Latvijas Republikas Satversmes 92.pantā un konkretizētas Administratīvā procesa likuma 92.pantā, kas kopsakarā ar šā likuma 3.panta trešo daļu noteic, ka ikviens ir tiesīgs prasīt atbilstīgu atlīdzinājumu par </w:t>
      </w:r>
      <w:r w:rsidR="00F36198" w:rsidRPr="00BD7FC4">
        <w:t xml:space="preserve">mantiskajiem zaudējumiem </w:t>
      </w:r>
      <w:r w:rsidR="009153E4" w:rsidRPr="00BD7FC4">
        <w:t>vai nemantisko kaitējumu, kas tam nodarīt</w:t>
      </w:r>
      <w:r w:rsidR="00E11EA9" w:rsidRPr="00BD7FC4">
        <w:t>s</w:t>
      </w:r>
      <w:r w:rsidR="009153E4" w:rsidRPr="00BD7FC4">
        <w:t xml:space="preserve"> ar prettiesisku iestādes faktisko rīcību. </w:t>
      </w:r>
      <w:r w:rsidR="008B52D6" w:rsidRPr="00BD7FC4">
        <w:t>Savukārt Valsts pārvaldes iestāžu nodarīto zaudējumu atlīdzināšanas likum</w:t>
      </w:r>
      <w:r w:rsidR="00A75967" w:rsidRPr="00BD7FC4">
        <w:t>ā regulēts minēto tiesību īstenošanas mehānisms</w:t>
      </w:r>
      <w:r w:rsidR="00383C7D" w:rsidRPr="00BD7FC4">
        <w:t>.</w:t>
      </w:r>
      <w:r w:rsidR="00E11EA9" w:rsidRPr="00BD7FC4">
        <w:t xml:space="preserve"> Šis likums </w:t>
      </w:r>
      <w:r w:rsidR="001A6F90" w:rsidRPr="00BD7FC4">
        <w:t xml:space="preserve">citstarp </w:t>
      </w:r>
      <w:r w:rsidR="00E11EA9" w:rsidRPr="00BD7FC4">
        <w:t>paredz, ka tiesības uz atlīdzinājumu rodas tad, ja starp iestādes prettiesisko rīcību un cietušajam nodarīto zaudējumu pastāv tieša cēloņsakarība</w:t>
      </w:r>
      <w:r w:rsidR="001A6F90" w:rsidRPr="00BD7FC4">
        <w:t xml:space="preserve">, un </w:t>
      </w:r>
      <w:r w:rsidR="00E11EA9" w:rsidRPr="00BD7FC4">
        <w:t>cēloņsakarība nepastāv gadījumā, kad tāds pats zaudējums būtu radies arī tad, ja iestāde būtu rīkojusies tiesiski (likuma 6.pants).</w:t>
      </w:r>
    </w:p>
    <w:p w14:paraId="70AA4C8D" w14:textId="1D84EF69" w:rsidR="00477BD6" w:rsidRPr="00BD7FC4" w:rsidRDefault="00937D69" w:rsidP="00BD7FC4">
      <w:pPr>
        <w:spacing w:line="276" w:lineRule="auto"/>
        <w:ind w:firstLine="567"/>
        <w:jc w:val="both"/>
      </w:pPr>
      <w:r w:rsidRPr="00BD7FC4">
        <w:t>No minētajām tiesību normām izriet, ka a</w:t>
      </w:r>
      <w:r w:rsidR="00806081" w:rsidRPr="00BD7FC4">
        <w:t xml:space="preserve">tlīdzinājuma institūta būtība </w:t>
      </w:r>
      <w:r w:rsidR="00E11EA9" w:rsidRPr="00BD7FC4">
        <w:t xml:space="preserve">un primārais uzdevums </w:t>
      </w:r>
      <w:r w:rsidR="00457BD9" w:rsidRPr="00BD7FC4">
        <w:t>administratīvajā procesā</w:t>
      </w:r>
      <w:r w:rsidR="00806081" w:rsidRPr="00BD7FC4">
        <w:t xml:space="preserve"> ir nodrošināt to zaudējumu atlīdzināšanu, kurus ir izraisījusi iestādes </w:t>
      </w:r>
      <w:r w:rsidR="00E11EA9" w:rsidRPr="00BD7FC4">
        <w:t xml:space="preserve">prettiesiska </w:t>
      </w:r>
      <w:r w:rsidR="00806081" w:rsidRPr="00BD7FC4">
        <w:t>rīcība. Tādā veidā tiek nodrošināts, ka valsts uzņemas atbildību par tiem zaudējumiem, k</w:t>
      </w:r>
      <w:r w:rsidR="00E11EA9" w:rsidRPr="00BD7FC4">
        <w:t>urus</w:t>
      </w:r>
      <w:r w:rsidR="00453F97" w:rsidRPr="00BD7FC4">
        <w:t xml:space="preserve"> izraisījusi iestāde</w:t>
      </w:r>
      <w:r w:rsidR="00E11EA9" w:rsidRPr="00BD7FC4">
        <w:t xml:space="preserve"> (iestādes </w:t>
      </w:r>
      <w:r w:rsidR="00453F97" w:rsidRPr="00BD7FC4">
        <w:t>pieļauta kļūda</w:t>
      </w:r>
      <w:r w:rsidR="00E11EA9" w:rsidRPr="00BD7FC4">
        <w:t>)</w:t>
      </w:r>
      <w:r w:rsidR="00453F97" w:rsidRPr="00BD7FC4">
        <w:t>, vienlaikus neuzņemoties atbildību par zaudējumiem, kas personai radušies neatkarīgi no iestāžu rīcības.</w:t>
      </w:r>
      <w:r w:rsidR="00C22151" w:rsidRPr="00BD7FC4">
        <w:t xml:space="preserve"> </w:t>
      </w:r>
      <w:r w:rsidR="00696A95" w:rsidRPr="00BD7FC4">
        <w:t>Tā</w:t>
      </w:r>
      <w:r w:rsidR="00E11EA9" w:rsidRPr="00BD7FC4">
        <w:t>pēc</w:t>
      </w:r>
      <w:r w:rsidR="00696A95" w:rsidRPr="00BD7FC4">
        <w:t xml:space="preserve"> </w:t>
      </w:r>
      <w:r w:rsidR="00790585" w:rsidRPr="00BD7FC4">
        <w:t xml:space="preserve">zaudējumu atlīdzināšana ir vērsta uz to, lai cietušais tiktu nostādīts tādā mantiskā stāvoklī, kāds pastāvētu, ja zaudējumus izraisījusī </w:t>
      </w:r>
      <w:r w:rsidR="00E11EA9" w:rsidRPr="00BD7FC4">
        <w:t>iestādes</w:t>
      </w:r>
      <w:r w:rsidR="00790585" w:rsidRPr="00BD7FC4">
        <w:t xml:space="preserve"> </w:t>
      </w:r>
      <w:r w:rsidR="00E11EA9" w:rsidRPr="00BD7FC4">
        <w:t xml:space="preserve">kļūda nebūtu pieļauta, vienlaikus paturot prātā, ka </w:t>
      </w:r>
      <w:r w:rsidR="00074A6B" w:rsidRPr="00BD7FC4">
        <w:t>atlīdzinājumam nebūtu cietušajam jārada labāka mantiskā situācija, nekā tā būtu bijusi, ja pārkāpums nebūtu pieļauts</w:t>
      </w:r>
      <w:r w:rsidR="008D688D" w:rsidRPr="00BD7FC4">
        <w:t xml:space="preserve"> </w:t>
      </w:r>
      <w:r w:rsidR="005D7B92" w:rsidRPr="00BD7FC4">
        <w:t>(</w:t>
      </w:r>
      <w:r w:rsidR="005D7B92" w:rsidRPr="00BD7FC4">
        <w:rPr>
          <w:i/>
          <w:iCs/>
        </w:rPr>
        <w:t>Senāta 2022.gada 8.marta sprieduma lietā Nr. </w:t>
      </w:r>
      <w:r w:rsidR="008D688D" w:rsidRPr="00BD7FC4">
        <w:rPr>
          <w:i/>
          <w:iCs/>
        </w:rPr>
        <w:t>SKA-384/2022 (</w:t>
      </w:r>
      <w:hyperlink r:id="rId9" w:history="1">
        <w:r w:rsidR="00A85737" w:rsidRPr="00BD7FC4">
          <w:rPr>
            <w:rStyle w:val="Hyperlink"/>
            <w:i/>
            <w:iCs/>
            <w:color w:val="auto"/>
            <w:u w:val="none"/>
          </w:rPr>
          <w:t>ECLI:LV:AT:2022:0308.A420417014.11.S</w:t>
        </w:r>
      </w:hyperlink>
      <w:r w:rsidR="008D688D" w:rsidRPr="00BD7FC4">
        <w:rPr>
          <w:i/>
          <w:iCs/>
        </w:rPr>
        <w:t>) 12.punkts, 2022.gada 10.maija sprieduma lietā Nr. SKA-471/2022 (</w:t>
      </w:r>
      <w:hyperlink r:id="rId10" w:history="1">
        <w:r w:rsidR="00F364F1" w:rsidRPr="00BD7FC4">
          <w:rPr>
            <w:rStyle w:val="Hyperlink"/>
            <w:i/>
            <w:iCs/>
            <w:color w:val="auto"/>
            <w:u w:val="none"/>
          </w:rPr>
          <w:t>ECLI:LV:AT:2022:0510.A420340016.15.S</w:t>
        </w:r>
      </w:hyperlink>
      <w:r w:rsidR="008D688D" w:rsidRPr="00BD7FC4">
        <w:rPr>
          <w:i/>
          <w:iCs/>
        </w:rPr>
        <w:t>) 39.punkts un tajos norādītā judikatūra</w:t>
      </w:r>
      <w:r w:rsidR="008D688D" w:rsidRPr="00BD7FC4">
        <w:t>).</w:t>
      </w:r>
    </w:p>
    <w:p w14:paraId="590F380F" w14:textId="67CD0A59" w:rsidR="00100C22" w:rsidRPr="00BD7FC4" w:rsidRDefault="00100C22" w:rsidP="00BD7FC4">
      <w:pPr>
        <w:spacing w:line="276" w:lineRule="auto"/>
        <w:ind w:firstLine="567"/>
        <w:jc w:val="both"/>
      </w:pPr>
    </w:p>
    <w:p w14:paraId="37693EDB" w14:textId="3603E8D9" w:rsidR="0096601E" w:rsidRPr="00BD7FC4" w:rsidRDefault="00100C22" w:rsidP="00BD7FC4">
      <w:pPr>
        <w:spacing w:line="276" w:lineRule="auto"/>
        <w:ind w:firstLine="567"/>
        <w:jc w:val="both"/>
      </w:pPr>
      <w:r w:rsidRPr="00BD7FC4">
        <w:t>[8] </w:t>
      </w:r>
      <w:r w:rsidR="00E36094" w:rsidRPr="00BD7FC4">
        <w:t xml:space="preserve">Ievērojot minēto, atzīstams, ka </w:t>
      </w:r>
      <w:r w:rsidR="0096601E" w:rsidRPr="00BD7FC4">
        <w:t xml:space="preserve">atbilstīga atlīdzinājuma par personas nepamatotu tiesību aizskārumu noteikšanā būtiska nozīme </w:t>
      </w:r>
      <w:r w:rsidR="00E36094" w:rsidRPr="00BD7FC4">
        <w:t>var būt</w:t>
      </w:r>
      <w:r w:rsidR="0096601E" w:rsidRPr="00BD7FC4">
        <w:t xml:space="preserve"> tam, kāda situācija hipotētiski būtu izveidojusies (pastāvējusi), ja iestāde nebūtu </w:t>
      </w:r>
      <w:r w:rsidR="00E32C72" w:rsidRPr="00BD7FC4">
        <w:t xml:space="preserve">rīkojusies </w:t>
      </w:r>
      <w:r w:rsidR="00650E27" w:rsidRPr="00BD7FC4">
        <w:t>prettiesisk</w:t>
      </w:r>
      <w:r w:rsidR="00E32C72" w:rsidRPr="00BD7FC4">
        <w:t>i</w:t>
      </w:r>
      <w:r w:rsidR="00934681" w:rsidRPr="00BD7FC4">
        <w:t>, jeb, citiem vārdiem, kāda būtu iespējamā notikumu attīstības gaita</w:t>
      </w:r>
      <w:r w:rsidR="00BC0B73" w:rsidRPr="00BD7FC4">
        <w:t xml:space="preserve">, ja iestāde nebūtu pieļāvusi </w:t>
      </w:r>
      <w:r w:rsidR="003033E4" w:rsidRPr="00BD7FC4">
        <w:t xml:space="preserve">konkrēto </w:t>
      </w:r>
      <w:r w:rsidR="00BC0B73" w:rsidRPr="00BD7FC4">
        <w:t>kļūdu.</w:t>
      </w:r>
    </w:p>
    <w:p w14:paraId="4F53E522" w14:textId="771165A9" w:rsidR="00A56AA7" w:rsidRPr="00BD7FC4" w:rsidRDefault="000024EA" w:rsidP="00BD7FC4">
      <w:pPr>
        <w:spacing w:line="276" w:lineRule="auto"/>
        <w:ind w:firstLine="567"/>
        <w:jc w:val="both"/>
      </w:pPr>
      <w:r w:rsidRPr="00BD7FC4">
        <w:t xml:space="preserve">Pieteicēja izskatāmajā lietā argumentē, ka </w:t>
      </w:r>
      <w:r w:rsidR="000A31EB" w:rsidRPr="00BD7FC4">
        <w:t xml:space="preserve">iestādes prettiesiskās rīcības dēļ </w:t>
      </w:r>
      <w:r w:rsidR="00DF3B70" w:rsidRPr="00BD7FC4">
        <w:t xml:space="preserve">pieteicēja </w:t>
      </w:r>
      <w:r w:rsidR="000A31EB" w:rsidRPr="00BD7FC4">
        <w:t>neesot varējusi iesniegt kreditora prasījumu konkrēt</w:t>
      </w:r>
      <w:r w:rsidR="007D3FB5" w:rsidRPr="00BD7FC4">
        <w:t>a</w:t>
      </w:r>
      <w:r w:rsidR="000A31EB" w:rsidRPr="00BD7FC4">
        <w:t>s privātpersonas maksātnespējas procesā</w:t>
      </w:r>
      <w:r w:rsidR="001E013C" w:rsidRPr="00BD7FC4">
        <w:t>,</w:t>
      </w:r>
      <w:r w:rsidR="000A31EB" w:rsidRPr="00BD7FC4">
        <w:t xml:space="preserve"> un tā rezultātā esot zaudējusi kreditora statusu un prasījuma tiesības pret attiecīgo privātpersonu.</w:t>
      </w:r>
      <w:r w:rsidR="00D57F4D" w:rsidRPr="00BD7FC4">
        <w:t xml:space="preserve"> </w:t>
      </w:r>
      <w:r w:rsidR="006644A2" w:rsidRPr="00BD7FC4">
        <w:t>Proti,</w:t>
      </w:r>
      <w:r w:rsidR="006E7510" w:rsidRPr="00BD7FC4">
        <w:t xml:space="preserve"> </w:t>
      </w:r>
      <w:r w:rsidR="00D57F4D" w:rsidRPr="00BD7FC4">
        <w:t xml:space="preserve">pieteicējas pozīcija lietā ir tāda, ka gadījumā, ja iestāde nebūtu </w:t>
      </w:r>
      <w:r w:rsidR="00AB3287" w:rsidRPr="00BD7FC4">
        <w:t xml:space="preserve">pieļāvusi konkrēto kļūdu, pieteicēja būtu iesniegusi kreditora prasījumu </w:t>
      </w:r>
      <w:r w:rsidR="0022734C" w:rsidRPr="00BD7FC4">
        <w:t>konkrētajā</w:t>
      </w:r>
      <w:r w:rsidR="00AB3287" w:rsidRPr="00BD7FC4">
        <w:t xml:space="preserve"> maksātnespējas procesā </w:t>
      </w:r>
      <w:r w:rsidR="00DE7E6D" w:rsidRPr="00BD7FC4">
        <w:t xml:space="preserve">un tā rezultātā būtu atguvusi vismaz daļu </w:t>
      </w:r>
      <w:r w:rsidR="004F0D3B" w:rsidRPr="00BD7FC4">
        <w:t xml:space="preserve">no </w:t>
      </w:r>
      <w:r w:rsidR="00DE7E6D" w:rsidRPr="00BD7FC4">
        <w:t>attiecīgās privātpersonas saistību pret pieteicēju summas.</w:t>
      </w:r>
      <w:r w:rsidR="00A56AA7" w:rsidRPr="00BD7FC4">
        <w:t xml:space="preserve"> Attiecīgi pieteicēja kā zaudējumus, kas tai radušies iestādes prettiesiskās rīcības dēļ, ir norādījusi konkrētās privātpersonas saistību pret pieteicēju </w:t>
      </w:r>
      <w:r w:rsidR="00801FFF" w:rsidRPr="00BD7FC4">
        <w:t>summu.</w:t>
      </w:r>
    </w:p>
    <w:p w14:paraId="5017B12F" w14:textId="311855F0" w:rsidR="00127E34" w:rsidRPr="00BD7FC4" w:rsidRDefault="003229B3" w:rsidP="00BD7FC4">
      <w:pPr>
        <w:spacing w:line="276" w:lineRule="auto"/>
        <w:ind w:firstLine="567"/>
        <w:jc w:val="both"/>
      </w:pPr>
      <w:r w:rsidRPr="00BD7FC4">
        <w:t>Tādējādi,</w:t>
      </w:r>
      <w:r w:rsidR="00DA2AFE" w:rsidRPr="00BD7FC4">
        <w:t xml:space="preserve"> lai noteiktu zaudējumu apmēru, kas </w:t>
      </w:r>
      <w:r w:rsidR="001A6F90" w:rsidRPr="00BD7FC4">
        <w:t xml:space="preserve">konkrētajā gadījumā </w:t>
      </w:r>
      <w:r w:rsidR="00DA2AFE" w:rsidRPr="00BD7FC4">
        <w:t xml:space="preserve">pieteicējai ir </w:t>
      </w:r>
      <w:r w:rsidR="001A6F90" w:rsidRPr="00BD7FC4">
        <w:t>radies</w:t>
      </w:r>
      <w:r w:rsidR="00DA2AFE" w:rsidRPr="00BD7FC4">
        <w:t xml:space="preserve"> iestādes prettiesiskās rīcības dēļ, </w:t>
      </w:r>
      <w:r w:rsidR="001A6F90" w:rsidRPr="00BD7FC4">
        <w:t>tiesai bija jāvērtē</w:t>
      </w:r>
      <w:r w:rsidR="00127E34" w:rsidRPr="00BD7FC4">
        <w:t xml:space="preserve">, kā </w:t>
      </w:r>
      <w:r w:rsidR="009B509A" w:rsidRPr="00BD7FC4">
        <w:t>konkrētais</w:t>
      </w:r>
      <w:r w:rsidR="00127E34" w:rsidRPr="00BD7FC4">
        <w:t xml:space="preserve"> maksātnespējas process būtu </w:t>
      </w:r>
      <w:r w:rsidR="00127E34" w:rsidRPr="00BD7FC4">
        <w:lastRenderedPageBreak/>
        <w:t>norisinājies tad, ja tajā kreditora prasījumu vienlaikus ar pārējiem kreditoriem būtu iesniegusi arī pieteicēja,</w:t>
      </w:r>
      <w:r w:rsidR="00E36094" w:rsidRPr="00BD7FC4">
        <w:t xml:space="preserve"> pārbaudot</w:t>
      </w:r>
      <w:r w:rsidR="00127E34" w:rsidRPr="00BD7FC4">
        <w:t>, kādu saistību summu šādā situācijā pieteicēja</w:t>
      </w:r>
      <w:r w:rsidR="001A6F90" w:rsidRPr="00BD7FC4">
        <w:t xml:space="preserve"> </w:t>
      </w:r>
      <w:r w:rsidR="00E36094" w:rsidRPr="00BD7FC4">
        <w:t xml:space="preserve">ticami </w:t>
      </w:r>
      <w:r w:rsidR="001A6F90" w:rsidRPr="00BD7FC4">
        <w:t>būtu varējusi atgūt</w:t>
      </w:r>
      <w:r w:rsidR="00127E34" w:rsidRPr="00BD7FC4">
        <w:t>.</w:t>
      </w:r>
    </w:p>
    <w:p w14:paraId="1D1D5EA2" w14:textId="77777777" w:rsidR="00127E34" w:rsidRPr="00BD7FC4" w:rsidRDefault="00127E34" w:rsidP="00BD7FC4">
      <w:pPr>
        <w:spacing w:line="276" w:lineRule="auto"/>
        <w:ind w:firstLine="567"/>
        <w:jc w:val="both"/>
      </w:pPr>
    </w:p>
    <w:p w14:paraId="7C05D5F3" w14:textId="17F21D0D" w:rsidR="00801FFF" w:rsidRPr="00BD7FC4" w:rsidRDefault="00127E34" w:rsidP="00BD7FC4">
      <w:pPr>
        <w:spacing w:line="276" w:lineRule="auto"/>
        <w:ind w:firstLine="567"/>
        <w:jc w:val="both"/>
      </w:pPr>
      <w:r w:rsidRPr="00BD7FC4">
        <w:t>[9] </w:t>
      </w:r>
      <w:r w:rsidR="00785802" w:rsidRPr="00BD7FC4">
        <w:t>Apgabaltiesa konstatējusi, ka</w:t>
      </w:r>
      <w:r w:rsidR="00C20467" w:rsidRPr="00BD7FC4">
        <w:t xml:space="preserve"> konkrētās privātpersonas maksātnespējas procesā kreditora prasījumus iesniedza pieci kreditori, no kuriem katrs atguva 7,20 %–7,24 % no attiecīgās privātpersonas saistību pret kreditoriem summas. </w:t>
      </w:r>
      <w:r w:rsidR="00A15407" w:rsidRPr="00BD7FC4">
        <w:t xml:space="preserve">Tā rezultātā tiesa atzinusi, ka arī pieteicēja būtu varējusi atgūt maksimums 7,24 % no konkrētās privātpersonas saistību pret pieteicēju summas, </w:t>
      </w:r>
      <w:r w:rsidR="00152B49" w:rsidRPr="00BD7FC4">
        <w:t>proti,</w:t>
      </w:r>
      <w:r w:rsidR="00A15407" w:rsidRPr="00BD7FC4">
        <w:t xml:space="preserve"> </w:t>
      </w:r>
      <w:r w:rsidR="00174EE1" w:rsidRPr="00BD7FC4">
        <w:t xml:space="preserve">būtu varējusi atgūt </w:t>
      </w:r>
      <w:r w:rsidR="00A15407" w:rsidRPr="00BD7FC4">
        <w:t>402,53 </w:t>
      </w:r>
      <w:r w:rsidR="00A15407" w:rsidRPr="00BD7FC4">
        <w:rPr>
          <w:i/>
          <w:iCs/>
        </w:rPr>
        <w:t>euro</w:t>
      </w:r>
      <w:r w:rsidR="00A15407" w:rsidRPr="00BD7FC4">
        <w:t>.</w:t>
      </w:r>
    </w:p>
    <w:p w14:paraId="2347740B" w14:textId="77777777" w:rsidR="00A54656" w:rsidRPr="00BD7FC4" w:rsidRDefault="00691376" w:rsidP="00BD7FC4">
      <w:pPr>
        <w:spacing w:line="276" w:lineRule="auto"/>
        <w:ind w:firstLine="567"/>
        <w:jc w:val="both"/>
      </w:pPr>
      <w:r w:rsidRPr="00BD7FC4">
        <w:t xml:space="preserve">Tomēr, kā pamatoti norādīts kasācijas sūdzībā, tiesa minēto secinājumu ir izdarījusi, </w:t>
      </w:r>
      <w:r w:rsidR="00611AD2" w:rsidRPr="00BD7FC4">
        <w:t xml:space="preserve">vērtējot to, kā </w:t>
      </w:r>
      <w:r w:rsidR="00611AD2" w:rsidRPr="00BD7FC4">
        <w:rPr>
          <w:i/>
          <w:iCs/>
        </w:rPr>
        <w:t>faktiski norisinājās</w:t>
      </w:r>
      <w:r w:rsidR="00611AD2" w:rsidRPr="00BD7FC4">
        <w:t xml:space="preserve"> konkrētās privātpersonas maksātnespējas process, nevis kā tas </w:t>
      </w:r>
      <w:r w:rsidR="00611AD2" w:rsidRPr="00BD7FC4">
        <w:rPr>
          <w:i/>
          <w:iCs/>
        </w:rPr>
        <w:t>būtu norisinājies</w:t>
      </w:r>
      <w:r w:rsidR="00611AD2" w:rsidRPr="00BD7FC4">
        <w:t xml:space="preserve">, ja iestādes prettiesiskā rīcība nebūtu izdarīta. </w:t>
      </w:r>
      <w:r w:rsidR="000E0DE8" w:rsidRPr="00BD7FC4">
        <w:t>Jāņem</w:t>
      </w:r>
      <w:r w:rsidR="00ED460A" w:rsidRPr="00BD7FC4">
        <w:t xml:space="preserve"> vērā, ka g</w:t>
      </w:r>
      <w:r w:rsidR="00583AFC" w:rsidRPr="00BD7FC4">
        <w:t xml:space="preserve">adījumā, ja </w:t>
      </w:r>
      <w:r w:rsidR="002D0B36" w:rsidRPr="00BD7FC4">
        <w:t xml:space="preserve">iestāde nebūtu pieļāvusi konkrēto kļūdu un attiecīgi kreditora </w:t>
      </w:r>
      <w:r w:rsidR="00DF2365" w:rsidRPr="00BD7FC4">
        <w:t xml:space="preserve">prasījumu </w:t>
      </w:r>
      <w:r w:rsidR="002D0B36" w:rsidRPr="00BD7FC4">
        <w:t xml:space="preserve">konkrētajā maksātnespējas procesā būtu iesniegusi arī pieteicēja, </w:t>
      </w:r>
      <w:r w:rsidR="00C03FAC" w:rsidRPr="00BD7FC4">
        <w:t xml:space="preserve">maksātnespējas procesā kreditora prasījumus būtu iesnieguši </w:t>
      </w:r>
      <w:r w:rsidR="00DF2365" w:rsidRPr="00BD7FC4">
        <w:t xml:space="preserve">kopumā </w:t>
      </w:r>
      <w:r w:rsidR="00C03FAC" w:rsidRPr="00BD7FC4">
        <w:t xml:space="preserve">seši, nevis pieci kreditori. </w:t>
      </w:r>
      <w:r w:rsidR="00AF2E1C" w:rsidRPr="00BD7FC4">
        <w:t>Arī</w:t>
      </w:r>
      <w:r w:rsidR="00C03FAC" w:rsidRPr="00BD7FC4">
        <w:t xml:space="preserve"> kopējā kreditoru pieteiktā saistību summa būtu par pieteicējas kreditoru prasījumā norādīto summu lielāka, nek</w:t>
      </w:r>
      <w:r w:rsidR="006922F6" w:rsidRPr="00BD7FC4">
        <w:t xml:space="preserve">ā piecu kreditoru prasījumu gadījumā. </w:t>
      </w:r>
      <w:r w:rsidR="00E00183" w:rsidRPr="00BD7FC4">
        <w:t>Tas nozīmē, ka iespējamajā notikumu attīstības gaitā</w:t>
      </w:r>
      <w:r w:rsidR="009C178E" w:rsidRPr="00BD7FC4">
        <w:t>, kāda būtu bijusi</w:t>
      </w:r>
      <w:r w:rsidR="00EA643E" w:rsidRPr="00BD7FC4">
        <w:t xml:space="preserve"> (izveidojusies)</w:t>
      </w:r>
      <w:r w:rsidR="009C178E" w:rsidRPr="00BD7FC4">
        <w:t xml:space="preserve">, ja iestādes kļūda nebūtu pieļauta, katrs kreditors </w:t>
      </w:r>
      <w:r w:rsidR="00892FA7" w:rsidRPr="00BD7FC4">
        <w:t xml:space="preserve">būtu varējis </w:t>
      </w:r>
      <w:r w:rsidR="00CA6B58" w:rsidRPr="00BD7FC4">
        <w:t>atgūt</w:t>
      </w:r>
      <w:r w:rsidR="009C178E" w:rsidRPr="00BD7FC4">
        <w:t xml:space="preserve"> procentuāli mazāku apmēru no kreditoru prasījumos norādītās summas, nekā </w:t>
      </w:r>
      <w:r w:rsidR="00EA3F9A" w:rsidRPr="00BD7FC4">
        <w:t>kreditori faktiski atguva konkrētajā maksātnespējas procesā</w:t>
      </w:r>
      <w:r w:rsidR="00EA643E" w:rsidRPr="00BD7FC4">
        <w:t>.</w:t>
      </w:r>
      <w:r w:rsidR="00A54656" w:rsidRPr="00BD7FC4">
        <w:t xml:space="preserve"> </w:t>
      </w:r>
    </w:p>
    <w:p w14:paraId="0E19467C" w14:textId="4B5BFEB6" w:rsidR="00A54656" w:rsidRPr="00BD7FC4" w:rsidRDefault="00A54656" w:rsidP="00BD7FC4">
      <w:pPr>
        <w:spacing w:line="276" w:lineRule="auto"/>
        <w:ind w:firstLine="567"/>
        <w:jc w:val="both"/>
      </w:pPr>
      <w:r w:rsidRPr="00BD7FC4">
        <w:t xml:space="preserve">Tādējādi tiesa nav pareizi piemērojusi tiesību normas par atlīdzinājuma piešķiršanu, kļūdaini uzskatot, ka izskatāmajā situācijā jāvērtē apstākļi, kādā apmērā citi kreditori faktiski atguva parādu, nevis apstākļi, kādā apmērā pieteicēja būtu atguvusi parādu, ja nebūtu pieļauta lietā konstatētā Uzņēmumu reģistra kļūda. </w:t>
      </w:r>
    </w:p>
    <w:p w14:paraId="13A13872" w14:textId="5AB2BCEC" w:rsidR="00EA3F9A" w:rsidRPr="00BD7FC4" w:rsidRDefault="00E36094" w:rsidP="00BD7FC4">
      <w:pPr>
        <w:spacing w:line="276" w:lineRule="auto"/>
        <w:ind w:firstLine="567"/>
        <w:jc w:val="both"/>
      </w:pPr>
      <w:r w:rsidRPr="00BD7FC4">
        <w:t xml:space="preserve">Šāda </w:t>
      </w:r>
      <w:r w:rsidR="00A54656" w:rsidRPr="00BD7FC4">
        <w:t xml:space="preserve">tiesas </w:t>
      </w:r>
      <w:r w:rsidRPr="00BD7FC4">
        <w:t xml:space="preserve">kļūda var novest pie tā, ka pieteicējai tiek atlīdzināta lielāka summa nekā </w:t>
      </w:r>
      <w:r w:rsidR="000143D7" w:rsidRPr="00BD7FC4">
        <w:t>zaudējum</w:t>
      </w:r>
      <w:r w:rsidRPr="00BD7FC4">
        <w:t xml:space="preserve">u apmērs, kāds </w:t>
      </w:r>
      <w:r w:rsidR="007C22A0" w:rsidRPr="00BD7FC4">
        <w:t xml:space="preserve">pieteicējai </w:t>
      </w:r>
      <w:r w:rsidR="009746D5" w:rsidRPr="00BD7FC4">
        <w:t xml:space="preserve">faktiski </w:t>
      </w:r>
      <w:r w:rsidR="000143D7" w:rsidRPr="00BD7FC4">
        <w:t>rad</w:t>
      </w:r>
      <w:r w:rsidRPr="00BD7FC4">
        <w:t>ies</w:t>
      </w:r>
      <w:r w:rsidR="000143D7" w:rsidRPr="00BD7FC4">
        <w:t xml:space="preserve"> iestādes pieļautās kļūdas dēļ.</w:t>
      </w:r>
    </w:p>
    <w:p w14:paraId="5B5C4A74" w14:textId="77777777" w:rsidR="005E0C14" w:rsidRPr="00BD7FC4" w:rsidRDefault="005E0C14" w:rsidP="00BD7FC4">
      <w:pPr>
        <w:spacing w:line="276" w:lineRule="auto"/>
        <w:ind w:firstLine="567"/>
        <w:jc w:val="both"/>
      </w:pPr>
    </w:p>
    <w:p w14:paraId="2CFF4718" w14:textId="1B409989" w:rsidR="005D5A0F" w:rsidRPr="00BD7FC4" w:rsidRDefault="005D5A0F" w:rsidP="00BD7FC4">
      <w:pPr>
        <w:spacing w:line="276" w:lineRule="auto"/>
        <w:ind w:firstLine="567"/>
        <w:jc w:val="both"/>
      </w:pPr>
      <w:r w:rsidRPr="00BD7FC4">
        <w:t>[10] </w:t>
      </w:r>
      <w:r w:rsidR="00497EE7" w:rsidRPr="00BD7FC4">
        <w:t xml:space="preserve">Pieteicēja paskaidrojumos par kasācijas sūdzību norāda, ka </w:t>
      </w:r>
      <w:r w:rsidR="00F06B67" w:rsidRPr="00BD7FC4">
        <w:t>gadījumā</w:t>
      </w:r>
      <w:r w:rsidR="006466A5" w:rsidRPr="00BD7FC4">
        <w:t>, ja lietā tiktu atzīts, ka pieteicējai ir atlīdzināmi mantiskie zaudējumi</w:t>
      </w:r>
      <w:r w:rsidR="00E55693" w:rsidRPr="00BD7FC4">
        <w:t xml:space="preserve"> 5,83 % apmērā no tās summas, kuru pieteicēja būtu norādījusi kā konkrētās privātpersonas saistību pret pieteicēju summu, </w:t>
      </w:r>
      <w:r w:rsidR="00645BDB" w:rsidRPr="00BD7FC4">
        <w:t>iesniedzot</w:t>
      </w:r>
      <w:r w:rsidR="00E55693" w:rsidRPr="00BD7FC4">
        <w:t xml:space="preserve"> kreditora prasījumu attiecīgās privātpersonas maksātnespējas procesā, </w:t>
      </w:r>
      <w:r w:rsidR="00246891" w:rsidRPr="00BD7FC4">
        <w:t xml:space="preserve">tas radītu kreditoru vienlīdzības principa pārkāpumu. </w:t>
      </w:r>
      <w:r w:rsidR="00437376" w:rsidRPr="00BD7FC4">
        <w:t xml:space="preserve">Proti, </w:t>
      </w:r>
      <w:r w:rsidR="00645BDB" w:rsidRPr="00BD7FC4">
        <w:t xml:space="preserve">izveidotos situācija, kad </w:t>
      </w:r>
      <w:r w:rsidR="00195069" w:rsidRPr="00BD7FC4">
        <w:t>pieteicēja saņemtu procentuāli mazāku apmēru no konkrētās privātpersonas saistību pret pieteicēju summas</w:t>
      </w:r>
      <w:r w:rsidR="00E20074" w:rsidRPr="00BD7FC4">
        <w:t>, nek</w:t>
      </w:r>
      <w:r w:rsidR="00222A2E" w:rsidRPr="00BD7FC4">
        <w:t>ā konkrētajā maksātnespējas procesā faktiski saņēma pārējie pieci kreditori.</w:t>
      </w:r>
    </w:p>
    <w:p w14:paraId="278485C9" w14:textId="7D3E5E1F" w:rsidR="00195E21" w:rsidRPr="00BD7FC4" w:rsidRDefault="003876A4" w:rsidP="00BD7FC4">
      <w:pPr>
        <w:spacing w:line="276" w:lineRule="auto"/>
        <w:ind w:firstLine="567"/>
        <w:jc w:val="both"/>
      </w:pPr>
      <w:r w:rsidRPr="00BD7FC4">
        <w:t xml:space="preserve">Senāts </w:t>
      </w:r>
      <w:r w:rsidR="00892FA7" w:rsidRPr="00BD7FC4">
        <w:t>norāda, ka minētais arguments nevar attaisnot atlīdzinājuma piešķiršanu lielākā apmērā, nekā iestādes radītie zaudējumi.</w:t>
      </w:r>
      <w:r w:rsidR="002C54B4" w:rsidRPr="00BD7FC4">
        <w:t xml:space="preserve"> </w:t>
      </w:r>
      <w:r w:rsidR="00E241C4" w:rsidRPr="00BD7FC4">
        <w:t>Vērtējot, kādi zaudējumi pieteicējai ir atlīdzināmi saistībā ar iestādes prettiesisk</w:t>
      </w:r>
      <w:r w:rsidR="001D0EE2" w:rsidRPr="00BD7FC4">
        <w:t>u</w:t>
      </w:r>
      <w:r w:rsidR="00E241C4" w:rsidRPr="00BD7FC4">
        <w:t xml:space="preserve"> faktisko rīcību, kā jau norādīts, ir jāpārbauda, kādu naudas summu pieteicēja būtu saņēmusi, ja iestāde nebūtu pieļāvusi konkrēto kļūdu.</w:t>
      </w:r>
      <w:r w:rsidR="00743F7C" w:rsidRPr="00BD7FC4">
        <w:t xml:space="preserve"> </w:t>
      </w:r>
      <w:r w:rsidR="00F47E13" w:rsidRPr="00BD7FC4">
        <w:t>Konkrētā gadījuma kontekstā minētais nozīmē, ka</w:t>
      </w:r>
      <w:r w:rsidR="00E241C4" w:rsidRPr="00BD7FC4">
        <w:t xml:space="preserve"> </w:t>
      </w:r>
      <w:r w:rsidR="00743F7C" w:rsidRPr="00BD7FC4">
        <w:t>ir jāvērtē, kādu saistību apmēru</w:t>
      </w:r>
      <w:r w:rsidR="005B12B9" w:rsidRPr="00BD7FC4">
        <w:t>,</w:t>
      </w:r>
      <w:r w:rsidR="00743F7C" w:rsidRPr="00BD7FC4">
        <w:t xml:space="preserve"> ievērojot kreditoru vienlīdzības principu, </w:t>
      </w:r>
      <w:r w:rsidR="00AB2B59" w:rsidRPr="00BD7FC4">
        <w:t>iespējamajā notikumu attīstības gaitā</w:t>
      </w:r>
      <w:r w:rsidR="00B85FCC" w:rsidRPr="00BD7FC4">
        <w:t xml:space="preserve"> konkrētajā maksātnespējas procesā</w:t>
      </w:r>
      <w:r w:rsidR="00AB2B59" w:rsidRPr="00BD7FC4">
        <w:t xml:space="preserve"> </w:t>
      </w:r>
      <w:r w:rsidR="00743F7C" w:rsidRPr="00BD7FC4">
        <w:t>būtu atguvis katrs kreditors</w:t>
      </w:r>
      <w:r w:rsidR="005B12B9" w:rsidRPr="00BD7FC4">
        <w:t xml:space="preserve">, tostarp pieteicēja. </w:t>
      </w:r>
      <w:r w:rsidR="008A1F72" w:rsidRPr="00BD7FC4">
        <w:t xml:space="preserve">Tieši uz šādu saistību apmēru pieteicējai ir tiesības mantisko zaudējumu atlīdzinājuma veidā, </w:t>
      </w:r>
      <w:r w:rsidR="009B33FE" w:rsidRPr="00BD7FC4">
        <w:t xml:space="preserve">jo tas ir zaudējumu apmērs, kas ir tiešā cēloņsakarībā ar iestādes kļūdu. </w:t>
      </w:r>
      <w:r w:rsidR="001E2279" w:rsidRPr="00BD7FC4">
        <w:t xml:space="preserve">Tas, ka citi kreditori konkrētajā maksātnespējas procesā faktiski atguva proporcionāli lielāku saistību apmēru, nerada pieteicējai tiesības prasīt iestādei (un plašākā nozīmē – valstij) </w:t>
      </w:r>
      <w:r w:rsidR="0005144A" w:rsidRPr="00BD7FC4">
        <w:t>atlīdzināt lielāku zaudējumu apmēru, nekā pieteicējai radušies iestādes pieļautās kļūdas dēļ</w:t>
      </w:r>
      <w:r w:rsidR="00195E21" w:rsidRPr="00BD7FC4">
        <w:t>. Ja pieteicēja tiktu nostādīta labākā mantiskajā situācijā, nekā pieteicēja atrastos, ja iestādes kļūda nebūtu pieļauta, tas, kā jau minēts, būtu pretrunā zaudējumu atlīdzināšanas principiem administratīvajā procesā.</w:t>
      </w:r>
      <w:r w:rsidR="00892FA7" w:rsidRPr="00BD7FC4">
        <w:t xml:space="preserve"> Senāts uzsver, ka atlīdzinājums par valsts pārvaldes iestāžu nodarītajiem zaudējumiem tiek piešķirts no publiskā budžeta līdzekļiem, tātad būtībā – no visu nodokļu maksātāju naudas, un arī tāpēc nav pieļaujams, ka personai tiek piešķirts lielāks atlīdzinājums, nekā tai pienākas. </w:t>
      </w:r>
    </w:p>
    <w:p w14:paraId="2D8CB3F3" w14:textId="551AE85C" w:rsidR="00EA643E" w:rsidRPr="00BD7FC4" w:rsidRDefault="00EA643E" w:rsidP="00BD7FC4">
      <w:pPr>
        <w:spacing w:line="276" w:lineRule="auto"/>
        <w:ind w:firstLine="567"/>
        <w:jc w:val="both"/>
      </w:pPr>
    </w:p>
    <w:p w14:paraId="298500A5" w14:textId="6DAC4836" w:rsidR="001E5016" w:rsidRPr="00BD7FC4" w:rsidRDefault="00E35E8C" w:rsidP="00BD7FC4">
      <w:pPr>
        <w:spacing w:line="276" w:lineRule="auto"/>
        <w:ind w:firstLine="567"/>
        <w:jc w:val="both"/>
      </w:pPr>
      <w:r w:rsidRPr="00BD7FC4">
        <w:t>[11] </w:t>
      </w:r>
      <w:r w:rsidR="000714F6" w:rsidRPr="00BD7FC4">
        <w:t xml:space="preserve">Rezumējot minēto, </w:t>
      </w:r>
      <w:r w:rsidR="00CF4A91" w:rsidRPr="00BD7FC4">
        <w:t>atzīstams, ka</w:t>
      </w:r>
      <w:r w:rsidR="00447AD5" w:rsidRPr="00BD7FC4">
        <w:t xml:space="preserve"> </w:t>
      </w:r>
      <w:r w:rsidR="000143D7" w:rsidRPr="00BD7FC4">
        <w:t>apgabaltiesas spriedums tā pārsūdzētajā daļā</w:t>
      </w:r>
      <w:r w:rsidR="00447AD5" w:rsidRPr="00BD7FC4">
        <w:t xml:space="preserve"> ir atceļams un</w:t>
      </w:r>
      <w:r w:rsidR="009746D5" w:rsidRPr="00BD7FC4">
        <w:t xml:space="preserve"> minētajā daļā</w:t>
      </w:r>
      <w:r w:rsidR="00447AD5" w:rsidRPr="00BD7FC4">
        <w:t xml:space="preserve"> lieta nododama jaunai izskatīšanai apelācijas instances tiesai.</w:t>
      </w:r>
    </w:p>
    <w:p w14:paraId="055B1F4E" w14:textId="77777777" w:rsidR="00892FA7" w:rsidRPr="00BD7FC4" w:rsidRDefault="00892FA7" w:rsidP="00BD7FC4">
      <w:pPr>
        <w:spacing w:line="276" w:lineRule="auto"/>
        <w:ind w:firstLine="567"/>
        <w:jc w:val="both"/>
      </w:pPr>
    </w:p>
    <w:p w14:paraId="7F133DF8" w14:textId="420734E5" w:rsidR="003047F5" w:rsidRPr="00BD7FC4" w:rsidRDefault="003047F5" w:rsidP="00BD7FC4">
      <w:pPr>
        <w:spacing w:line="276" w:lineRule="auto"/>
        <w:jc w:val="center"/>
        <w:rPr>
          <w:b/>
        </w:rPr>
      </w:pPr>
      <w:r w:rsidRPr="00BD7FC4">
        <w:rPr>
          <w:b/>
        </w:rPr>
        <w:t>Rezolutīvā daļa</w:t>
      </w:r>
    </w:p>
    <w:p w14:paraId="203D55B2" w14:textId="77777777" w:rsidR="003047F5" w:rsidRPr="00BD7FC4" w:rsidRDefault="003047F5" w:rsidP="00BD7FC4">
      <w:pPr>
        <w:spacing w:line="276" w:lineRule="auto"/>
        <w:ind w:firstLine="567"/>
        <w:jc w:val="both"/>
        <w:rPr>
          <w:bCs/>
          <w:spacing w:val="70"/>
        </w:rPr>
      </w:pPr>
    </w:p>
    <w:p w14:paraId="6C0D5837" w14:textId="3E161B5D" w:rsidR="003047F5" w:rsidRPr="00BD7FC4" w:rsidRDefault="003047F5" w:rsidP="00BD7FC4">
      <w:pPr>
        <w:spacing w:line="276" w:lineRule="auto"/>
        <w:ind w:firstLine="567"/>
        <w:jc w:val="both"/>
        <w:rPr>
          <w:strike/>
        </w:rPr>
      </w:pPr>
      <w:r w:rsidRPr="00BD7FC4">
        <w:t xml:space="preserve">Pamatojoties uz </w:t>
      </w:r>
      <w:r w:rsidR="00941626" w:rsidRPr="00BD7FC4">
        <w:rPr>
          <w:rFonts w:eastAsiaTheme="minorHAnsi"/>
          <w:lang w:eastAsia="en-US"/>
        </w:rPr>
        <w:t xml:space="preserve">Administratīvā procesa likuma </w:t>
      </w:r>
      <w:r w:rsidR="00AF2237" w:rsidRPr="00BD7FC4">
        <w:rPr>
          <w:rFonts w:eastAsiaTheme="minorHAnsi"/>
          <w:lang w:eastAsia="en-US"/>
        </w:rPr>
        <w:t>129.</w:t>
      </w:r>
      <w:r w:rsidR="00AF2237" w:rsidRPr="00BD7FC4">
        <w:rPr>
          <w:rFonts w:eastAsiaTheme="minorHAnsi"/>
          <w:vertAlign w:val="superscript"/>
          <w:lang w:eastAsia="en-US"/>
        </w:rPr>
        <w:t>1</w:t>
      </w:r>
      <w:r w:rsidR="00AF2237" w:rsidRPr="00BD7FC4">
        <w:rPr>
          <w:rFonts w:eastAsiaTheme="minorHAnsi"/>
          <w:lang w:eastAsia="en-US"/>
        </w:rPr>
        <w:t xml:space="preserve">panta pirmās daļas 1.punktu, 348.panta pirmās daļas </w:t>
      </w:r>
      <w:r w:rsidR="00BA7CE9" w:rsidRPr="00BD7FC4">
        <w:rPr>
          <w:rFonts w:eastAsiaTheme="minorHAnsi"/>
          <w:lang w:eastAsia="en-US"/>
        </w:rPr>
        <w:t xml:space="preserve">2.punktu </w:t>
      </w:r>
      <w:r w:rsidR="00AF2237" w:rsidRPr="00BD7FC4">
        <w:rPr>
          <w:rFonts w:eastAsiaTheme="minorHAnsi"/>
          <w:lang w:eastAsia="en-US"/>
        </w:rPr>
        <w:t>un 351.pantu</w:t>
      </w:r>
      <w:r w:rsidRPr="00BD7FC4">
        <w:t xml:space="preserve">, </w:t>
      </w:r>
      <w:r w:rsidR="006B7BBC" w:rsidRPr="00BD7FC4">
        <w:t>Senāts</w:t>
      </w:r>
    </w:p>
    <w:p w14:paraId="56FE2BEB" w14:textId="77777777" w:rsidR="003047F5" w:rsidRPr="00BD7FC4" w:rsidRDefault="003047F5" w:rsidP="00BD7FC4">
      <w:pPr>
        <w:spacing w:line="276" w:lineRule="auto"/>
        <w:ind w:firstLine="567"/>
        <w:jc w:val="both"/>
      </w:pPr>
    </w:p>
    <w:p w14:paraId="6FE7AC9C" w14:textId="268BB826" w:rsidR="003047F5" w:rsidRPr="00BD7FC4" w:rsidRDefault="003047F5" w:rsidP="00BD7FC4">
      <w:pPr>
        <w:spacing w:line="276" w:lineRule="auto"/>
        <w:jc w:val="center"/>
        <w:rPr>
          <w:b/>
        </w:rPr>
      </w:pPr>
      <w:r w:rsidRPr="00BD7FC4">
        <w:rPr>
          <w:b/>
        </w:rPr>
        <w:t>nosprieda</w:t>
      </w:r>
    </w:p>
    <w:p w14:paraId="0FF14F5A" w14:textId="77777777" w:rsidR="00D22271" w:rsidRPr="00BD7FC4" w:rsidRDefault="00D22271" w:rsidP="00BD7FC4">
      <w:pPr>
        <w:spacing w:line="276" w:lineRule="auto"/>
        <w:ind w:firstLine="567"/>
        <w:jc w:val="both"/>
      </w:pPr>
    </w:p>
    <w:p w14:paraId="319BD4E3" w14:textId="74B678B8" w:rsidR="00D22271" w:rsidRPr="00BD7FC4" w:rsidRDefault="00FB383D" w:rsidP="00BD7FC4">
      <w:pPr>
        <w:spacing w:line="276" w:lineRule="auto"/>
        <w:ind w:firstLine="567"/>
        <w:jc w:val="both"/>
      </w:pPr>
      <w:r w:rsidRPr="00BD7FC4">
        <w:t xml:space="preserve">Atcelt Administratīvās </w:t>
      </w:r>
      <w:r w:rsidR="00082A16" w:rsidRPr="00BD7FC4">
        <w:t>apgabaltiesas 2021.gada 22.novembra</w:t>
      </w:r>
      <w:r w:rsidRPr="00BD7FC4">
        <w:t xml:space="preserve"> spriedumu </w:t>
      </w:r>
      <w:r w:rsidR="006177D0" w:rsidRPr="00BD7FC4">
        <w:t xml:space="preserve">pārsūdzētajā </w:t>
      </w:r>
      <w:r w:rsidRPr="00BD7FC4">
        <w:t>daļā</w:t>
      </w:r>
      <w:r w:rsidR="006177D0" w:rsidRPr="00BD7FC4">
        <w:t xml:space="preserve"> </w:t>
      </w:r>
      <w:r w:rsidRPr="00BD7FC4">
        <w:t xml:space="preserve">un </w:t>
      </w:r>
      <w:r w:rsidR="00B35553" w:rsidRPr="00BD7FC4">
        <w:t xml:space="preserve">nodot lietu šajā daļā jaunai izskatīšanai Administratīvajai </w:t>
      </w:r>
      <w:r w:rsidR="00082A16" w:rsidRPr="00BD7FC4">
        <w:t>apgabaltiesai</w:t>
      </w:r>
      <w:r w:rsidR="00B35553" w:rsidRPr="00BD7FC4">
        <w:t>.</w:t>
      </w:r>
    </w:p>
    <w:p w14:paraId="61CAEDC2" w14:textId="4DB48346" w:rsidR="00B35553" w:rsidRPr="00BD7FC4" w:rsidRDefault="00B35553" w:rsidP="00BD7FC4">
      <w:pPr>
        <w:spacing w:line="276" w:lineRule="auto"/>
        <w:ind w:firstLine="567"/>
        <w:jc w:val="both"/>
      </w:pPr>
      <w:r w:rsidRPr="00BD7FC4">
        <w:t xml:space="preserve">Atmaksāt </w:t>
      </w:r>
      <w:r w:rsidR="007F56CD" w:rsidRPr="00BD7FC4">
        <w:t>Latvijas Republikas Uzņēmumu reģistram</w:t>
      </w:r>
      <w:r w:rsidRPr="00BD7FC4">
        <w:t xml:space="preserve"> par kasācijas sūdzības iesniegšanu samaksāto drošības naudu 70 </w:t>
      </w:r>
      <w:r w:rsidRPr="00BD7FC4">
        <w:rPr>
          <w:i/>
        </w:rPr>
        <w:t>euro</w:t>
      </w:r>
      <w:r w:rsidRPr="00BD7FC4">
        <w:t>.</w:t>
      </w:r>
    </w:p>
    <w:p w14:paraId="53113CC7" w14:textId="10731965" w:rsidR="00B35553" w:rsidRPr="00BD7FC4" w:rsidRDefault="00B35553" w:rsidP="00BD7FC4">
      <w:pPr>
        <w:spacing w:line="276" w:lineRule="auto"/>
        <w:ind w:firstLine="567"/>
        <w:jc w:val="both"/>
      </w:pPr>
      <w:r w:rsidRPr="00BD7FC4">
        <w:t>Spriedums nav pārsūdzams.</w:t>
      </w:r>
    </w:p>
    <w:p w14:paraId="3857CED0" w14:textId="77777777" w:rsidR="00801CD9" w:rsidRDefault="00801CD9" w:rsidP="00801CD9">
      <w:pPr>
        <w:spacing w:line="276" w:lineRule="auto"/>
        <w:ind w:firstLine="567"/>
        <w:jc w:val="both"/>
        <w:rPr>
          <w:bCs/>
        </w:rPr>
      </w:pPr>
    </w:p>
    <w:p w14:paraId="2CCFD83C" w14:textId="2087B831" w:rsidR="00801CD9" w:rsidRDefault="00801CD9" w:rsidP="00801CD9">
      <w:pPr>
        <w:spacing w:line="276" w:lineRule="auto"/>
        <w:ind w:firstLine="567"/>
        <w:jc w:val="both"/>
        <w:rPr>
          <w:bCs/>
        </w:rPr>
      </w:pPr>
    </w:p>
    <w:p w14:paraId="11B20034" w14:textId="05B88603" w:rsidR="007F56CD" w:rsidRDefault="007F56CD" w:rsidP="00801CD9">
      <w:pPr>
        <w:spacing w:line="276" w:lineRule="auto"/>
        <w:ind w:firstLine="567"/>
        <w:jc w:val="both"/>
        <w:rPr>
          <w:bCs/>
        </w:rPr>
      </w:pPr>
    </w:p>
    <w:p w14:paraId="12F9C941" w14:textId="77777777" w:rsidR="007F56CD" w:rsidRDefault="007F56CD" w:rsidP="00801CD9">
      <w:pPr>
        <w:spacing w:line="276" w:lineRule="auto"/>
        <w:ind w:firstLine="567"/>
        <w:jc w:val="both"/>
        <w:rPr>
          <w:bCs/>
        </w:rPr>
      </w:pPr>
    </w:p>
    <w:p w14:paraId="4B4C74F8" w14:textId="20B1CC2E" w:rsidR="00F43FAD" w:rsidRPr="0082381C" w:rsidRDefault="00F43FAD" w:rsidP="007F56CD">
      <w:pPr>
        <w:tabs>
          <w:tab w:val="center" w:pos="1276"/>
          <w:tab w:val="center" w:pos="4678"/>
          <w:tab w:val="center" w:pos="8080"/>
        </w:tabs>
        <w:spacing w:line="276" w:lineRule="auto"/>
        <w:jc w:val="both"/>
        <w:rPr>
          <w:color w:val="000000"/>
        </w:rPr>
      </w:pPr>
    </w:p>
    <w:sectPr w:rsidR="00F43FAD" w:rsidRPr="0082381C"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27998" w14:textId="77777777" w:rsidR="00524A4E" w:rsidRDefault="00524A4E" w:rsidP="003047F5">
      <w:r>
        <w:separator/>
      </w:r>
    </w:p>
  </w:endnote>
  <w:endnote w:type="continuationSeparator" w:id="0">
    <w:p w14:paraId="7BFEA5FE" w14:textId="77777777" w:rsidR="00524A4E" w:rsidRDefault="00524A4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5A74CA9" w:rsidR="00937D69" w:rsidRDefault="00937D6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27239">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27239">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DFA2" w14:textId="77777777" w:rsidR="00524A4E" w:rsidRDefault="00524A4E" w:rsidP="003047F5">
      <w:r>
        <w:separator/>
      </w:r>
    </w:p>
  </w:footnote>
  <w:footnote w:type="continuationSeparator" w:id="0">
    <w:p w14:paraId="5FCEE26D" w14:textId="77777777" w:rsidR="00524A4E" w:rsidRDefault="00524A4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24EA"/>
    <w:rsid w:val="00007F88"/>
    <w:rsid w:val="00012D80"/>
    <w:rsid w:val="000143D7"/>
    <w:rsid w:val="00022682"/>
    <w:rsid w:val="00042112"/>
    <w:rsid w:val="00047103"/>
    <w:rsid w:val="0005144A"/>
    <w:rsid w:val="000700EB"/>
    <w:rsid w:val="000708AF"/>
    <w:rsid w:val="000714F6"/>
    <w:rsid w:val="00072833"/>
    <w:rsid w:val="00072B0F"/>
    <w:rsid w:val="00074A6B"/>
    <w:rsid w:val="00082A16"/>
    <w:rsid w:val="00086503"/>
    <w:rsid w:val="00093746"/>
    <w:rsid w:val="000A31EB"/>
    <w:rsid w:val="000B0A3A"/>
    <w:rsid w:val="000C2B51"/>
    <w:rsid w:val="000D05C1"/>
    <w:rsid w:val="000D2D65"/>
    <w:rsid w:val="000D5B15"/>
    <w:rsid w:val="000D5DAE"/>
    <w:rsid w:val="000D7295"/>
    <w:rsid w:val="000E0D31"/>
    <w:rsid w:val="000E0DE8"/>
    <w:rsid w:val="000E1BFC"/>
    <w:rsid w:val="000E533E"/>
    <w:rsid w:val="000E5783"/>
    <w:rsid w:val="000E7ABC"/>
    <w:rsid w:val="000F3172"/>
    <w:rsid w:val="000F709C"/>
    <w:rsid w:val="00100C22"/>
    <w:rsid w:val="00102509"/>
    <w:rsid w:val="001108D8"/>
    <w:rsid w:val="00123C6E"/>
    <w:rsid w:val="0012742A"/>
    <w:rsid w:val="00127E34"/>
    <w:rsid w:val="00132008"/>
    <w:rsid w:val="0014508D"/>
    <w:rsid w:val="0014709E"/>
    <w:rsid w:val="00150BF4"/>
    <w:rsid w:val="00152B49"/>
    <w:rsid w:val="0016381F"/>
    <w:rsid w:val="001646E9"/>
    <w:rsid w:val="00174EE1"/>
    <w:rsid w:val="001815D9"/>
    <w:rsid w:val="00183463"/>
    <w:rsid w:val="0019238A"/>
    <w:rsid w:val="00195069"/>
    <w:rsid w:val="00195E21"/>
    <w:rsid w:val="00196BAA"/>
    <w:rsid w:val="001A0495"/>
    <w:rsid w:val="001A6F90"/>
    <w:rsid w:val="001A798A"/>
    <w:rsid w:val="001B2A1A"/>
    <w:rsid w:val="001B476A"/>
    <w:rsid w:val="001B53D2"/>
    <w:rsid w:val="001C7890"/>
    <w:rsid w:val="001D017A"/>
    <w:rsid w:val="001D0D3C"/>
    <w:rsid w:val="001D0EE2"/>
    <w:rsid w:val="001E013C"/>
    <w:rsid w:val="001E16F3"/>
    <w:rsid w:val="001E2279"/>
    <w:rsid w:val="001E3A09"/>
    <w:rsid w:val="001E5016"/>
    <w:rsid w:val="001F1616"/>
    <w:rsid w:val="00205739"/>
    <w:rsid w:val="00210491"/>
    <w:rsid w:val="00222A2E"/>
    <w:rsid w:val="0022734C"/>
    <w:rsid w:val="002347AB"/>
    <w:rsid w:val="00236E52"/>
    <w:rsid w:val="00237F92"/>
    <w:rsid w:val="00246891"/>
    <w:rsid w:val="00250C8A"/>
    <w:rsid w:val="002543D5"/>
    <w:rsid w:val="00256B1D"/>
    <w:rsid w:val="00265491"/>
    <w:rsid w:val="002663B3"/>
    <w:rsid w:val="0027469B"/>
    <w:rsid w:val="0029037B"/>
    <w:rsid w:val="00293462"/>
    <w:rsid w:val="00296229"/>
    <w:rsid w:val="002A65A1"/>
    <w:rsid w:val="002B44C6"/>
    <w:rsid w:val="002C1D3E"/>
    <w:rsid w:val="002C2884"/>
    <w:rsid w:val="002C54B4"/>
    <w:rsid w:val="002C7496"/>
    <w:rsid w:val="002D0B36"/>
    <w:rsid w:val="002D0B46"/>
    <w:rsid w:val="002D5B13"/>
    <w:rsid w:val="002D6D32"/>
    <w:rsid w:val="002E559B"/>
    <w:rsid w:val="002F0239"/>
    <w:rsid w:val="002F592C"/>
    <w:rsid w:val="00301A51"/>
    <w:rsid w:val="003031CE"/>
    <w:rsid w:val="003033E4"/>
    <w:rsid w:val="0030437B"/>
    <w:rsid w:val="003047F5"/>
    <w:rsid w:val="00306D51"/>
    <w:rsid w:val="00321705"/>
    <w:rsid w:val="003229B3"/>
    <w:rsid w:val="00340907"/>
    <w:rsid w:val="00345EAD"/>
    <w:rsid w:val="0035346E"/>
    <w:rsid w:val="003562D0"/>
    <w:rsid w:val="00365A8F"/>
    <w:rsid w:val="00383C7D"/>
    <w:rsid w:val="003848AE"/>
    <w:rsid w:val="003876A4"/>
    <w:rsid w:val="00392225"/>
    <w:rsid w:val="003A08D9"/>
    <w:rsid w:val="003A238F"/>
    <w:rsid w:val="003A3C64"/>
    <w:rsid w:val="003A5B69"/>
    <w:rsid w:val="003A6C8C"/>
    <w:rsid w:val="003B112A"/>
    <w:rsid w:val="003C1D16"/>
    <w:rsid w:val="003C682A"/>
    <w:rsid w:val="003E6AC8"/>
    <w:rsid w:val="003E6FD2"/>
    <w:rsid w:val="003E73F4"/>
    <w:rsid w:val="003F289D"/>
    <w:rsid w:val="004112FE"/>
    <w:rsid w:val="00415064"/>
    <w:rsid w:val="00424B84"/>
    <w:rsid w:val="0043182C"/>
    <w:rsid w:val="0043387D"/>
    <w:rsid w:val="00434560"/>
    <w:rsid w:val="00437376"/>
    <w:rsid w:val="00447AD5"/>
    <w:rsid w:val="00453F97"/>
    <w:rsid w:val="00456459"/>
    <w:rsid w:val="004569F7"/>
    <w:rsid w:val="00457BD9"/>
    <w:rsid w:val="00477BD6"/>
    <w:rsid w:val="00477C81"/>
    <w:rsid w:val="00490E36"/>
    <w:rsid w:val="00491DEC"/>
    <w:rsid w:val="00497EE7"/>
    <w:rsid w:val="004A0332"/>
    <w:rsid w:val="004A1CE7"/>
    <w:rsid w:val="004A3E4F"/>
    <w:rsid w:val="004A4903"/>
    <w:rsid w:val="004A75CD"/>
    <w:rsid w:val="004C2BDB"/>
    <w:rsid w:val="004C2F09"/>
    <w:rsid w:val="004C6A69"/>
    <w:rsid w:val="004F0D3B"/>
    <w:rsid w:val="00521A02"/>
    <w:rsid w:val="00524A4E"/>
    <w:rsid w:val="0052501F"/>
    <w:rsid w:val="00531DE2"/>
    <w:rsid w:val="00535A31"/>
    <w:rsid w:val="00543E46"/>
    <w:rsid w:val="0055744E"/>
    <w:rsid w:val="00567C73"/>
    <w:rsid w:val="00576275"/>
    <w:rsid w:val="00577917"/>
    <w:rsid w:val="00583AFC"/>
    <w:rsid w:val="005A2640"/>
    <w:rsid w:val="005A5AD3"/>
    <w:rsid w:val="005B12B9"/>
    <w:rsid w:val="005B40A3"/>
    <w:rsid w:val="005B43D8"/>
    <w:rsid w:val="005D0203"/>
    <w:rsid w:val="005D1983"/>
    <w:rsid w:val="005D1F42"/>
    <w:rsid w:val="005D284E"/>
    <w:rsid w:val="005D59BD"/>
    <w:rsid w:val="005D5A0F"/>
    <w:rsid w:val="005D7B92"/>
    <w:rsid w:val="005E0C14"/>
    <w:rsid w:val="005E17A8"/>
    <w:rsid w:val="005F7C34"/>
    <w:rsid w:val="00601895"/>
    <w:rsid w:val="00610B80"/>
    <w:rsid w:val="00611AD2"/>
    <w:rsid w:val="006177D0"/>
    <w:rsid w:val="00622440"/>
    <w:rsid w:val="006300CF"/>
    <w:rsid w:val="00645BDB"/>
    <w:rsid w:val="006466A5"/>
    <w:rsid w:val="006500B8"/>
    <w:rsid w:val="00650E27"/>
    <w:rsid w:val="00652AAD"/>
    <w:rsid w:val="006535B4"/>
    <w:rsid w:val="006644A2"/>
    <w:rsid w:val="006661B2"/>
    <w:rsid w:val="00674264"/>
    <w:rsid w:val="006762AE"/>
    <w:rsid w:val="00690A20"/>
    <w:rsid w:val="00691376"/>
    <w:rsid w:val="006922F6"/>
    <w:rsid w:val="00696A95"/>
    <w:rsid w:val="00697D93"/>
    <w:rsid w:val="006B111F"/>
    <w:rsid w:val="006B7BBC"/>
    <w:rsid w:val="006B7DBA"/>
    <w:rsid w:val="006C1F6D"/>
    <w:rsid w:val="006C6135"/>
    <w:rsid w:val="006D2DDF"/>
    <w:rsid w:val="006D4ADD"/>
    <w:rsid w:val="006E7510"/>
    <w:rsid w:val="006F5D3B"/>
    <w:rsid w:val="00707BBF"/>
    <w:rsid w:val="00720660"/>
    <w:rsid w:val="00732B9E"/>
    <w:rsid w:val="00737D74"/>
    <w:rsid w:val="00740478"/>
    <w:rsid w:val="00743010"/>
    <w:rsid w:val="00743F7C"/>
    <w:rsid w:val="00745F6F"/>
    <w:rsid w:val="00747BB9"/>
    <w:rsid w:val="007520F8"/>
    <w:rsid w:val="007709C7"/>
    <w:rsid w:val="0077509E"/>
    <w:rsid w:val="0077591B"/>
    <w:rsid w:val="00785802"/>
    <w:rsid w:val="00790585"/>
    <w:rsid w:val="007B0052"/>
    <w:rsid w:val="007B0AB7"/>
    <w:rsid w:val="007B2286"/>
    <w:rsid w:val="007B3854"/>
    <w:rsid w:val="007C22A0"/>
    <w:rsid w:val="007C47F5"/>
    <w:rsid w:val="007D3FB5"/>
    <w:rsid w:val="007E0FD4"/>
    <w:rsid w:val="007E6304"/>
    <w:rsid w:val="007F3220"/>
    <w:rsid w:val="007F56CD"/>
    <w:rsid w:val="00801CD9"/>
    <w:rsid w:val="00801FFF"/>
    <w:rsid w:val="008051E8"/>
    <w:rsid w:val="00805327"/>
    <w:rsid w:val="00806081"/>
    <w:rsid w:val="00811CC0"/>
    <w:rsid w:val="00812CD6"/>
    <w:rsid w:val="00816BF2"/>
    <w:rsid w:val="00820346"/>
    <w:rsid w:val="00822554"/>
    <w:rsid w:val="0082381C"/>
    <w:rsid w:val="00833668"/>
    <w:rsid w:val="008337A0"/>
    <w:rsid w:val="008570F8"/>
    <w:rsid w:val="008578A6"/>
    <w:rsid w:val="00862017"/>
    <w:rsid w:val="008636A0"/>
    <w:rsid w:val="008718D8"/>
    <w:rsid w:val="00892FA7"/>
    <w:rsid w:val="0089619C"/>
    <w:rsid w:val="00896F62"/>
    <w:rsid w:val="008A1F72"/>
    <w:rsid w:val="008A6DA2"/>
    <w:rsid w:val="008B52D6"/>
    <w:rsid w:val="008C3728"/>
    <w:rsid w:val="008D688D"/>
    <w:rsid w:val="008F2FDA"/>
    <w:rsid w:val="0090732E"/>
    <w:rsid w:val="00912FC5"/>
    <w:rsid w:val="009153E4"/>
    <w:rsid w:val="009229FE"/>
    <w:rsid w:val="00922B62"/>
    <w:rsid w:val="00926372"/>
    <w:rsid w:val="00934681"/>
    <w:rsid w:val="00937D69"/>
    <w:rsid w:val="00941626"/>
    <w:rsid w:val="00954C58"/>
    <w:rsid w:val="0096230D"/>
    <w:rsid w:val="009639F7"/>
    <w:rsid w:val="0096601E"/>
    <w:rsid w:val="00972C65"/>
    <w:rsid w:val="009746D5"/>
    <w:rsid w:val="009771B1"/>
    <w:rsid w:val="009A0F96"/>
    <w:rsid w:val="009B33FE"/>
    <w:rsid w:val="009B3694"/>
    <w:rsid w:val="009B4012"/>
    <w:rsid w:val="009B509A"/>
    <w:rsid w:val="009C178E"/>
    <w:rsid w:val="009C3EB1"/>
    <w:rsid w:val="009C4DF4"/>
    <w:rsid w:val="009C527B"/>
    <w:rsid w:val="009C5FB5"/>
    <w:rsid w:val="009C6FD6"/>
    <w:rsid w:val="009D69AD"/>
    <w:rsid w:val="009F1523"/>
    <w:rsid w:val="009F2EE5"/>
    <w:rsid w:val="009F33D3"/>
    <w:rsid w:val="00A00062"/>
    <w:rsid w:val="00A014D8"/>
    <w:rsid w:val="00A04DFE"/>
    <w:rsid w:val="00A15407"/>
    <w:rsid w:val="00A311BE"/>
    <w:rsid w:val="00A31D28"/>
    <w:rsid w:val="00A44C7B"/>
    <w:rsid w:val="00A53C31"/>
    <w:rsid w:val="00A53E9C"/>
    <w:rsid w:val="00A54656"/>
    <w:rsid w:val="00A56AA7"/>
    <w:rsid w:val="00A6596A"/>
    <w:rsid w:val="00A726EB"/>
    <w:rsid w:val="00A75967"/>
    <w:rsid w:val="00A831F1"/>
    <w:rsid w:val="00A85737"/>
    <w:rsid w:val="00AA1071"/>
    <w:rsid w:val="00AB2B59"/>
    <w:rsid w:val="00AB3287"/>
    <w:rsid w:val="00AB7D08"/>
    <w:rsid w:val="00AF1FE2"/>
    <w:rsid w:val="00AF2237"/>
    <w:rsid w:val="00AF2E1C"/>
    <w:rsid w:val="00AF2EE4"/>
    <w:rsid w:val="00AF59F3"/>
    <w:rsid w:val="00AF6D95"/>
    <w:rsid w:val="00B129B5"/>
    <w:rsid w:val="00B2339B"/>
    <w:rsid w:val="00B35553"/>
    <w:rsid w:val="00B5499E"/>
    <w:rsid w:val="00B55645"/>
    <w:rsid w:val="00B75A4A"/>
    <w:rsid w:val="00B82400"/>
    <w:rsid w:val="00B85FCC"/>
    <w:rsid w:val="00B8661B"/>
    <w:rsid w:val="00B8672C"/>
    <w:rsid w:val="00B93B8B"/>
    <w:rsid w:val="00B9469D"/>
    <w:rsid w:val="00BA6D0A"/>
    <w:rsid w:val="00BA6EAB"/>
    <w:rsid w:val="00BA7CE9"/>
    <w:rsid w:val="00BB4182"/>
    <w:rsid w:val="00BB5382"/>
    <w:rsid w:val="00BC0B73"/>
    <w:rsid w:val="00BC62BE"/>
    <w:rsid w:val="00BD3BB7"/>
    <w:rsid w:val="00BD7FC4"/>
    <w:rsid w:val="00BE05CC"/>
    <w:rsid w:val="00BF1592"/>
    <w:rsid w:val="00C03FAC"/>
    <w:rsid w:val="00C0621F"/>
    <w:rsid w:val="00C06BFD"/>
    <w:rsid w:val="00C104DF"/>
    <w:rsid w:val="00C20467"/>
    <w:rsid w:val="00C22151"/>
    <w:rsid w:val="00C26214"/>
    <w:rsid w:val="00C421BE"/>
    <w:rsid w:val="00C465C1"/>
    <w:rsid w:val="00C54067"/>
    <w:rsid w:val="00C702BA"/>
    <w:rsid w:val="00CA6B58"/>
    <w:rsid w:val="00CA70B1"/>
    <w:rsid w:val="00CA7721"/>
    <w:rsid w:val="00CB287B"/>
    <w:rsid w:val="00CC2A43"/>
    <w:rsid w:val="00CD401A"/>
    <w:rsid w:val="00CE1F4D"/>
    <w:rsid w:val="00CE7077"/>
    <w:rsid w:val="00CF21F0"/>
    <w:rsid w:val="00CF4A91"/>
    <w:rsid w:val="00CF7B9B"/>
    <w:rsid w:val="00CF7E8E"/>
    <w:rsid w:val="00D021D2"/>
    <w:rsid w:val="00D10E17"/>
    <w:rsid w:val="00D1161E"/>
    <w:rsid w:val="00D15884"/>
    <w:rsid w:val="00D22271"/>
    <w:rsid w:val="00D2662A"/>
    <w:rsid w:val="00D27239"/>
    <w:rsid w:val="00D27CE6"/>
    <w:rsid w:val="00D3210B"/>
    <w:rsid w:val="00D372FE"/>
    <w:rsid w:val="00D4009E"/>
    <w:rsid w:val="00D57F4D"/>
    <w:rsid w:val="00D60ABB"/>
    <w:rsid w:val="00D7028E"/>
    <w:rsid w:val="00D71427"/>
    <w:rsid w:val="00D7148C"/>
    <w:rsid w:val="00D7177F"/>
    <w:rsid w:val="00D8770B"/>
    <w:rsid w:val="00D94E97"/>
    <w:rsid w:val="00DA2AFE"/>
    <w:rsid w:val="00DC5F92"/>
    <w:rsid w:val="00DD7EFA"/>
    <w:rsid w:val="00DE7E6D"/>
    <w:rsid w:val="00DF1E94"/>
    <w:rsid w:val="00DF2365"/>
    <w:rsid w:val="00DF3B70"/>
    <w:rsid w:val="00E00183"/>
    <w:rsid w:val="00E0162B"/>
    <w:rsid w:val="00E11EA9"/>
    <w:rsid w:val="00E15E57"/>
    <w:rsid w:val="00E20074"/>
    <w:rsid w:val="00E241C4"/>
    <w:rsid w:val="00E30347"/>
    <w:rsid w:val="00E32C72"/>
    <w:rsid w:val="00E354D5"/>
    <w:rsid w:val="00E35E8C"/>
    <w:rsid w:val="00E36094"/>
    <w:rsid w:val="00E45719"/>
    <w:rsid w:val="00E5207C"/>
    <w:rsid w:val="00E54557"/>
    <w:rsid w:val="00E55693"/>
    <w:rsid w:val="00E6457C"/>
    <w:rsid w:val="00E66B60"/>
    <w:rsid w:val="00E67E15"/>
    <w:rsid w:val="00E72D71"/>
    <w:rsid w:val="00E832FD"/>
    <w:rsid w:val="00E862F4"/>
    <w:rsid w:val="00EA2AA2"/>
    <w:rsid w:val="00EA3AB1"/>
    <w:rsid w:val="00EA3F9A"/>
    <w:rsid w:val="00EA643E"/>
    <w:rsid w:val="00EB57EB"/>
    <w:rsid w:val="00ED0FDB"/>
    <w:rsid w:val="00ED460A"/>
    <w:rsid w:val="00EE283C"/>
    <w:rsid w:val="00EE683F"/>
    <w:rsid w:val="00EF0CE9"/>
    <w:rsid w:val="00EF36AD"/>
    <w:rsid w:val="00F06B67"/>
    <w:rsid w:val="00F1124D"/>
    <w:rsid w:val="00F1174D"/>
    <w:rsid w:val="00F1467A"/>
    <w:rsid w:val="00F2189A"/>
    <w:rsid w:val="00F24B53"/>
    <w:rsid w:val="00F275A6"/>
    <w:rsid w:val="00F3420D"/>
    <w:rsid w:val="00F36198"/>
    <w:rsid w:val="00F364F1"/>
    <w:rsid w:val="00F4043F"/>
    <w:rsid w:val="00F436E9"/>
    <w:rsid w:val="00F43FAD"/>
    <w:rsid w:val="00F47E13"/>
    <w:rsid w:val="00F51EA4"/>
    <w:rsid w:val="00F60B64"/>
    <w:rsid w:val="00F81367"/>
    <w:rsid w:val="00F8171F"/>
    <w:rsid w:val="00F94614"/>
    <w:rsid w:val="00FA542C"/>
    <w:rsid w:val="00FA69C0"/>
    <w:rsid w:val="00FB383D"/>
    <w:rsid w:val="00FC0926"/>
    <w:rsid w:val="00FC0AE5"/>
    <w:rsid w:val="00FC2599"/>
    <w:rsid w:val="00FC5AE2"/>
    <w:rsid w:val="00FD25E0"/>
    <w:rsid w:val="00FE0477"/>
    <w:rsid w:val="00FE7C13"/>
    <w:rsid w:val="00FF760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7C34"/>
    <w:rPr>
      <w:color w:val="0563C1" w:themeColor="hyperlink"/>
      <w:u w:val="single"/>
    </w:rPr>
  </w:style>
  <w:style w:type="character" w:customStyle="1" w:styleId="UnresolvedMention">
    <w:name w:val="Unresolved Mention"/>
    <w:basedOn w:val="DefaultParagraphFont"/>
    <w:uiPriority w:val="99"/>
    <w:semiHidden/>
    <w:unhideWhenUsed/>
    <w:rsid w:val="005F7C34"/>
    <w:rPr>
      <w:color w:val="605E5C"/>
      <w:shd w:val="clear" w:color="auto" w:fill="E1DFDD"/>
    </w:rPr>
  </w:style>
  <w:style w:type="paragraph" w:customStyle="1" w:styleId="tv213">
    <w:name w:val="tv213"/>
    <w:basedOn w:val="Normal"/>
    <w:rsid w:val="00E11EA9"/>
    <w:pPr>
      <w:spacing w:before="100" w:beforeAutospacing="1" w:after="100" w:afterAutospacing="1"/>
    </w:pPr>
    <w:rPr>
      <w:lang w:eastAsia="lv-LV"/>
    </w:rPr>
  </w:style>
  <w:style w:type="paragraph" w:styleId="Revision">
    <w:name w:val="Revision"/>
    <w:hidden/>
    <w:uiPriority w:val="99"/>
    <w:semiHidden/>
    <w:rsid w:val="00210491"/>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7917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514.A420215718.10.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2:0523.A420215718.18.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22:0510.A420340016.15.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0308.A420417014.1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430E-6E6F-405C-A051-A1C4593D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2442</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2022-09-28T12:25:00Z</dcterms:created>
  <dcterms:modified xsi:type="dcterms:W3CDTF">2022-09-28T12:27:00Z</dcterms:modified>
</cp:coreProperties>
</file>