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EC921" w14:textId="77777777" w:rsidR="0092457B" w:rsidRDefault="0092457B" w:rsidP="0092457B">
      <w:pPr>
        <w:tabs>
          <w:tab w:val="left" w:pos="3318"/>
        </w:tabs>
        <w:spacing w:line="276" w:lineRule="auto"/>
        <w:jc w:val="both"/>
        <w:rPr>
          <w:b/>
          <w:bCs/>
        </w:rPr>
      </w:pPr>
      <w:bookmarkStart w:id="0" w:name="OLE_LINK1"/>
      <w:bookmarkStart w:id="1" w:name="OLE_LINK2"/>
      <w:r>
        <w:rPr>
          <w:b/>
          <w:bCs/>
        </w:rPr>
        <w:t>Prokurora piedalīšanās obligātums lietā par rīcībspējas ierobežojuma pārskatīšanu</w:t>
      </w:r>
    </w:p>
    <w:p w14:paraId="28F6E609" w14:textId="521229E7" w:rsidR="0092457B" w:rsidRDefault="0092457B" w:rsidP="0092457B">
      <w:pPr>
        <w:tabs>
          <w:tab w:val="left" w:pos="3318"/>
        </w:tabs>
        <w:spacing w:line="276" w:lineRule="auto"/>
        <w:jc w:val="both"/>
        <w:rPr>
          <w:b/>
          <w:bCs/>
        </w:rPr>
      </w:pPr>
      <w:r>
        <w:rPr>
          <w:b/>
          <w:bCs/>
        </w:rPr>
        <w:t>Sprieduma par</w:t>
      </w:r>
      <w:r w:rsidR="00DA1E44">
        <w:rPr>
          <w:b/>
          <w:bCs/>
        </w:rPr>
        <w:t xml:space="preserve"> </w:t>
      </w:r>
      <w:r>
        <w:rPr>
          <w:b/>
          <w:bCs/>
        </w:rPr>
        <w:t>rīcībspējas ierobežojuma pārskatīšanu rezolutīvā daļa</w:t>
      </w:r>
    </w:p>
    <w:p w14:paraId="32AA30CB" w14:textId="77777777" w:rsidR="006642EE" w:rsidRPr="006642EE" w:rsidRDefault="006642EE" w:rsidP="006642EE">
      <w:pPr>
        <w:pStyle w:val="BodyText2"/>
        <w:spacing w:line="276" w:lineRule="auto"/>
        <w:jc w:val="center"/>
        <w:rPr>
          <w:rFonts w:ascii="Times New Roman" w:hAnsi="Times New Roman"/>
          <w:sz w:val="24"/>
          <w:szCs w:val="24"/>
        </w:rPr>
      </w:pPr>
    </w:p>
    <w:p w14:paraId="6D130EE5" w14:textId="046C3453" w:rsidR="00BA065F" w:rsidRPr="00A27694" w:rsidRDefault="00BA065F" w:rsidP="006642EE">
      <w:pPr>
        <w:spacing w:line="276" w:lineRule="auto"/>
        <w:jc w:val="center"/>
        <w:rPr>
          <w:b/>
        </w:rPr>
      </w:pPr>
      <w:r w:rsidRPr="00A27694">
        <w:rPr>
          <w:b/>
        </w:rPr>
        <w:t xml:space="preserve">Latvijas Republikas </w:t>
      </w:r>
      <w:r w:rsidR="0002161B" w:rsidRPr="00A27694">
        <w:rPr>
          <w:b/>
        </w:rPr>
        <w:t>Senāt</w:t>
      </w:r>
      <w:r w:rsidR="006642EE" w:rsidRPr="00A27694">
        <w:rPr>
          <w:b/>
        </w:rPr>
        <w:t>a</w:t>
      </w:r>
    </w:p>
    <w:p w14:paraId="46200D9F" w14:textId="160D761E" w:rsidR="006642EE" w:rsidRPr="00A27694" w:rsidRDefault="006642EE" w:rsidP="006642EE">
      <w:pPr>
        <w:spacing w:line="276" w:lineRule="auto"/>
        <w:jc w:val="center"/>
        <w:rPr>
          <w:b/>
        </w:rPr>
      </w:pPr>
      <w:r w:rsidRPr="00A27694">
        <w:rPr>
          <w:b/>
        </w:rPr>
        <w:t>Civillietu departamenta</w:t>
      </w:r>
    </w:p>
    <w:p w14:paraId="79277408" w14:textId="77777777" w:rsidR="006642EE" w:rsidRPr="00A27694" w:rsidRDefault="006642EE" w:rsidP="006642EE">
      <w:pPr>
        <w:pStyle w:val="NoSpacing"/>
        <w:spacing w:line="276" w:lineRule="auto"/>
        <w:jc w:val="center"/>
        <w:rPr>
          <w:rFonts w:ascii="Times New Roman" w:hAnsi="Times New Roman"/>
          <w:b/>
          <w:bCs/>
          <w:szCs w:val="24"/>
        </w:rPr>
      </w:pPr>
      <w:r w:rsidRPr="00A27694">
        <w:rPr>
          <w:rFonts w:ascii="Times New Roman" w:hAnsi="Times New Roman"/>
          <w:b/>
          <w:bCs/>
          <w:szCs w:val="24"/>
        </w:rPr>
        <w:t>2022.gada [..]</w:t>
      </w:r>
    </w:p>
    <w:p w14:paraId="0F2F5F9B" w14:textId="499FF738" w:rsidR="001A777A" w:rsidRPr="00A27694" w:rsidRDefault="005D174F" w:rsidP="006642EE">
      <w:pPr>
        <w:spacing w:line="276" w:lineRule="auto"/>
        <w:jc w:val="center"/>
        <w:rPr>
          <w:b/>
        </w:rPr>
      </w:pPr>
      <w:r w:rsidRPr="00A27694">
        <w:rPr>
          <w:b/>
        </w:rPr>
        <w:t>SPRIEDUMS</w:t>
      </w:r>
      <w:r w:rsidR="006642EE" w:rsidRPr="00A27694">
        <w:rPr>
          <w:rStyle w:val="FootnoteReference"/>
          <w:b/>
        </w:rPr>
        <w:footnoteReference w:id="1"/>
      </w:r>
    </w:p>
    <w:p w14:paraId="345F15F7" w14:textId="6A7AF762" w:rsidR="006642EE" w:rsidRPr="00A27694" w:rsidRDefault="006642EE" w:rsidP="006642EE">
      <w:pPr>
        <w:spacing w:line="276" w:lineRule="auto"/>
        <w:jc w:val="center"/>
        <w:rPr>
          <w:b/>
          <w:bCs/>
        </w:rPr>
      </w:pPr>
      <w:r w:rsidRPr="00A27694">
        <w:rPr>
          <w:b/>
          <w:bCs/>
        </w:rPr>
        <w:t>Lieta Nr. [..], SPC-[F]/2022</w:t>
      </w:r>
    </w:p>
    <w:p w14:paraId="1C62E6B7" w14:textId="77777777" w:rsidR="006642EE" w:rsidRPr="00A27694" w:rsidRDefault="00DA1E44" w:rsidP="006642EE">
      <w:pPr>
        <w:pStyle w:val="NoSpacing"/>
        <w:spacing w:line="276" w:lineRule="auto"/>
        <w:jc w:val="center"/>
        <w:rPr>
          <w:rFonts w:ascii="Times New Roman" w:hAnsi="Times New Roman"/>
          <w:szCs w:val="24"/>
        </w:rPr>
      </w:pPr>
      <w:hyperlink r:id="rId8" w:tgtFrame="_blank" w:history="1">
        <w:r w:rsidR="006642EE" w:rsidRPr="00A27694">
          <w:rPr>
            <w:rStyle w:val="Hyperlink"/>
            <w:rFonts w:ascii="Times New Roman" w:hAnsi="Times New Roman"/>
            <w:szCs w:val="24"/>
          </w:rPr>
          <w:t>ECLI:LV:AT:2022:</w:t>
        </w:r>
      </w:hyperlink>
      <w:r w:rsidR="006642EE" w:rsidRPr="00A27694">
        <w:rPr>
          <w:rFonts w:ascii="Times New Roman" w:hAnsi="Times New Roman"/>
          <w:szCs w:val="24"/>
        </w:rPr>
        <w:t>[</w:t>
      </w:r>
      <w:r w:rsidR="006642EE" w:rsidRPr="00A27694">
        <w:rPr>
          <w:rFonts w:ascii="Times New Roman" w:hAnsi="Times New Roman"/>
          <w:color w:val="000000"/>
          <w:szCs w:val="24"/>
        </w:rPr>
        <w:t>..]</w:t>
      </w:r>
    </w:p>
    <w:p w14:paraId="51AD464D" w14:textId="77777777" w:rsidR="006642EE" w:rsidRPr="00A27694" w:rsidRDefault="006642EE" w:rsidP="006642EE">
      <w:pPr>
        <w:spacing w:line="276" w:lineRule="auto"/>
        <w:jc w:val="center"/>
      </w:pPr>
    </w:p>
    <w:bookmarkEnd w:id="0"/>
    <w:bookmarkEnd w:id="1"/>
    <w:p w14:paraId="1225276B" w14:textId="77777777" w:rsidR="00F07B0E" w:rsidRPr="00A27694" w:rsidRDefault="0002161B" w:rsidP="006642EE">
      <w:pPr>
        <w:spacing w:line="276" w:lineRule="auto"/>
        <w:ind w:firstLine="709"/>
        <w:jc w:val="both"/>
      </w:pPr>
      <w:r w:rsidRPr="00A27694">
        <w:t>Senāt</w:t>
      </w:r>
      <w:r w:rsidR="00945510" w:rsidRPr="00A27694">
        <w:t xml:space="preserve">s </w:t>
      </w:r>
      <w:r w:rsidR="00F07B0E" w:rsidRPr="00A27694">
        <w:t xml:space="preserve">šādā sastāvā: </w:t>
      </w:r>
    </w:p>
    <w:p w14:paraId="3665FD60" w14:textId="77777777" w:rsidR="00F07B0E" w:rsidRPr="00A27694" w:rsidRDefault="00945510" w:rsidP="006642EE">
      <w:pPr>
        <w:tabs>
          <w:tab w:val="left" w:pos="0"/>
        </w:tabs>
        <w:spacing w:line="276" w:lineRule="auto"/>
        <w:ind w:firstLine="1418"/>
        <w:jc w:val="both"/>
      </w:pPr>
      <w:r w:rsidRPr="00A27694">
        <w:t>s</w:t>
      </w:r>
      <w:r w:rsidR="0079393D" w:rsidRPr="00A27694">
        <w:t>e</w:t>
      </w:r>
      <w:r w:rsidR="0002161B" w:rsidRPr="00A27694">
        <w:t>natore</w:t>
      </w:r>
      <w:r w:rsidRPr="00A27694">
        <w:t xml:space="preserve"> referente</w:t>
      </w:r>
      <w:r w:rsidR="0079393D" w:rsidRPr="00A27694">
        <w:t xml:space="preserve"> Z</w:t>
      </w:r>
      <w:r w:rsidR="00A90024" w:rsidRPr="00A27694">
        <w:t xml:space="preserve">ane </w:t>
      </w:r>
      <w:r w:rsidR="0079393D" w:rsidRPr="00A27694">
        <w:t>Pētersone</w:t>
      </w:r>
      <w:r w:rsidR="002A52B1" w:rsidRPr="00A27694">
        <w:t>,</w:t>
      </w:r>
    </w:p>
    <w:p w14:paraId="01B62CFC" w14:textId="77777777" w:rsidR="00733869" w:rsidRPr="00A27694" w:rsidRDefault="00733869" w:rsidP="006642EE">
      <w:pPr>
        <w:tabs>
          <w:tab w:val="left" w:pos="3119"/>
        </w:tabs>
        <w:spacing w:line="276" w:lineRule="auto"/>
        <w:ind w:firstLine="1418"/>
        <w:jc w:val="both"/>
      </w:pPr>
      <w:r w:rsidRPr="00A27694">
        <w:t>senators Aivars Keišs,</w:t>
      </w:r>
    </w:p>
    <w:p w14:paraId="44E8829C" w14:textId="77777777" w:rsidR="00733869" w:rsidRPr="00A27694" w:rsidRDefault="00733869" w:rsidP="006642EE">
      <w:pPr>
        <w:tabs>
          <w:tab w:val="left" w:pos="0"/>
        </w:tabs>
        <w:spacing w:line="276" w:lineRule="auto"/>
        <w:ind w:firstLine="1418"/>
        <w:jc w:val="both"/>
      </w:pPr>
      <w:r w:rsidRPr="00A27694">
        <w:t>senatore Marika Senkāne</w:t>
      </w:r>
    </w:p>
    <w:p w14:paraId="10BF2F8D" w14:textId="77777777" w:rsidR="006642EE" w:rsidRPr="00A27694" w:rsidRDefault="006642EE" w:rsidP="006642EE">
      <w:pPr>
        <w:autoSpaceDE w:val="0"/>
        <w:autoSpaceDN w:val="0"/>
        <w:adjustRightInd w:val="0"/>
        <w:spacing w:line="276" w:lineRule="auto"/>
        <w:ind w:firstLine="709"/>
        <w:jc w:val="both"/>
      </w:pPr>
    </w:p>
    <w:p w14:paraId="26E763F5" w14:textId="333D01DA" w:rsidR="000A5250" w:rsidRPr="00A27694" w:rsidRDefault="00F07B0E" w:rsidP="006642EE">
      <w:pPr>
        <w:autoSpaceDE w:val="0"/>
        <w:autoSpaceDN w:val="0"/>
        <w:adjustRightInd w:val="0"/>
        <w:spacing w:line="276" w:lineRule="auto"/>
        <w:ind w:firstLine="709"/>
        <w:jc w:val="both"/>
        <w:rPr>
          <w:lang w:eastAsia="lv-LV"/>
        </w:rPr>
      </w:pPr>
      <w:r w:rsidRPr="00A27694">
        <w:t xml:space="preserve">izskatīja </w:t>
      </w:r>
      <w:r w:rsidR="00945510" w:rsidRPr="00A27694">
        <w:t xml:space="preserve">rakstveida procesā </w:t>
      </w:r>
      <w:r w:rsidR="00733869" w:rsidRPr="00A27694">
        <w:t xml:space="preserve">Latvijas Republikas ģenerālprokurora protestu </w:t>
      </w:r>
      <w:r w:rsidR="00733869" w:rsidRPr="00A27694">
        <w:rPr>
          <w:lang w:eastAsia="lv-LV"/>
        </w:rPr>
        <w:t xml:space="preserve">par </w:t>
      </w:r>
      <w:r w:rsidR="006642EE" w:rsidRPr="00A27694">
        <w:rPr>
          <w:lang w:eastAsia="lv-LV"/>
        </w:rPr>
        <w:t xml:space="preserve">[..] </w:t>
      </w:r>
      <w:r w:rsidR="00733869" w:rsidRPr="00A27694">
        <w:rPr>
          <w:lang w:eastAsia="lv-LV"/>
        </w:rPr>
        <w:t xml:space="preserve">tiesas 2022.gada </w:t>
      </w:r>
      <w:r w:rsidR="006642EE" w:rsidRPr="00A27694">
        <w:rPr>
          <w:lang w:eastAsia="lv-LV"/>
        </w:rPr>
        <w:t>[..]</w:t>
      </w:r>
      <w:r w:rsidR="00733869" w:rsidRPr="00A27694">
        <w:rPr>
          <w:lang w:eastAsia="lv-LV"/>
        </w:rPr>
        <w:t xml:space="preserve"> spriedumu lietā </w:t>
      </w:r>
      <w:r w:rsidR="006642EE" w:rsidRPr="00A27694">
        <w:rPr>
          <w:lang w:eastAsia="lv-LV"/>
        </w:rPr>
        <w:t>[pers. A]</w:t>
      </w:r>
      <w:r w:rsidR="00733869" w:rsidRPr="00A27694">
        <w:rPr>
          <w:lang w:eastAsia="lv-LV"/>
        </w:rPr>
        <w:t xml:space="preserve"> pieteikumā par </w:t>
      </w:r>
      <w:r w:rsidR="006642EE" w:rsidRPr="00A27694">
        <w:rPr>
          <w:lang w:eastAsia="lv-LV"/>
        </w:rPr>
        <w:t>[pers. B]</w:t>
      </w:r>
      <w:r w:rsidR="00733869" w:rsidRPr="00A27694">
        <w:rPr>
          <w:lang w:eastAsia="lv-LV"/>
        </w:rPr>
        <w:t xml:space="preserve"> rīcībspējas ierobežojum</w:t>
      </w:r>
      <w:r w:rsidR="00C147DF" w:rsidRPr="00A27694">
        <w:rPr>
          <w:lang w:eastAsia="lv-LV"/>
        </w:rPr>
        <w:t>a</w:t>
      </w:r>
      <w:r w:rsidR="00733869" w:rsidRPr="00A27694">
        <w:rPr>
          <w:lang w:eastAsia="lv-LV"/>
        </w:rPr>
        <w:t xml:space="preserve"> pārskatīšanu</w:t>
      </w:r>
      <w:r w:rsidR="00675596" w:rsidRPr="00A27694">
        <w:t>.</w:t>
      </w:r>
    </w:p>
    <w:p w14:paraId="15F26AD9" w14:textId="77777777" w:rsidR="001A777A" w:rsidRPr="00A27694" w:rsidRDefault="00675596" w:rsidP="006642EE">
      <w:pPr>
        <w:spacing w:line="276" w:lineRule="auto"/>
        <w:jc w:val="center"/>
        <w:rPr>
          <w:b/>
        </w:rPr>
      </w:pPr>
      <w:r w:rsidRPr="00A27694">
        <w:rPr>
          <w:b/>
        </w:rPr>
        <w:t>Aprakstošā daļa</w:t>
      </w:r>
    </w:p>
    <w:p w14:paraId="105E9C82" w14:textId="77777777" w:rsidR="006642EE" w:rsidRPr="00A27694" w:rsidRDefault="006642EE" w:rsidP="006642EE">
      <w:pPr>
        <w:spacing w:line="276" w:lineRule="auto"/>
        <w:ind w:firstLine="709"/>
        <w:jc w:val="both"/>
      </w:pPr>
    </w:p>
    <w:p w14:paraId="0FF9CD31" w14:textId="74944C19" w:rsidR="004F0B3C" w:rsidRPr="00A27694" w:rsidRDefault="00C74961" w:rsidP="006642EE">
      <w:pPr>
        <w:spacing w:line="276" w:lineRule="auto"/>
        <w:ind w:firstLine="709"/>
        <w:jc w:val="both"/>
      </w:pPr>
      <w:r w:rsidRPr="00A27694">
        <w:t xml:space="preserve">[1] </w:t>
      </w:r>
      <w:r w:rsidR="006642EE" w:rsidRPr="00A27694">
        <w:t>[Pers. A]</w:t>
      </w:r>
      <w:r w:rsidR="00733869" w:rsidRPr="00A27694">
        <w:t xml:space="preserve"> </w:t>
      </w:r>
      <w:r w:rsidR="006642EE" w:rsidRPr="00A27694">
        <w:t>[..]</w:t>
      </w:r>
      <w:r w:rsidR="00733869" w:rsidRPr="00A27694">
        <w:t xml:space="preserve"> iesniedza tiesā pieteikumu par </w:t>
      </w:r>
      <w:r w:rsidR="006642EE" w:rsidRPr="00A27694">
        <w:t>[pers. B]</w:t>
      </w:r>
      <w:r w:rsidR="00733869" w:rsidRPr="00A27694">
        <w:t xml:space="preserve"> rīcībspējas ierobežo</w:t>
      </w:r>
      <w:r w:rsidR="00AA4823" w:rsidRPr="00A27694">
        <w:t>jum</w:t>
      </w:r>
      <w:r w:rsidR="00C147DF" w:rsidRPr="00A27694">
        <w:t>a</w:t>
      </w:r>
      <w:r w:rsidR="00733869" w:rsidRPr="00A27694">
        <w:t xml:space="preserve"> pārskatīšanu, </w:t>
      </w:r>
      <w:r w:rsidR="00765746" w:rsidRPr="00A27694">
        <w:t xml:space="preserve">kā pieaicināmās institūcijas norādot Latvijas Republikas prokuratūru un </w:t>
      </w:r>
      <w:r w:rsidR="006642EE" w:rsidRPr="00A27694">
        <w:t xml:space="preserve">[..] </w:t>
      </w:r>
      <w:r w:rsidR="00765746" w:rsidRPr="00A27694">
        <w:t>bāriņtiesu. Pieteikumā lūgts</w:t>
      </w:r>
      <w:r w:rsidR="00733869" w:rsidRPr="00A27694">
        <w:t>:</w:t>
      </w:r>
    </w:p>
    <w:p w14:paraId="7D4199C7" w14:textId="00B83DB7" w:rsidR="00733869" w:rsidRPr="00A27694" w:rsidRDefault="00733869" w:rsidP="006642EE">
      <w:pPr>
        <w:spacing w:line="276" w:lineRule="auto"/>
        <w:ind w:firstLine="709"/>
        <w:jc w:val="both"/>
      </w:pPr>
      <w:r w:rsidRPr="00A27694">
        <w:t xml:space="preserve">1) saglabāt ar </w:t>
      </w:r>
      <w:r w:rsidR="00D54824" w:rsidRPr="00A27694">
        <w:t>[..]</w:t>
      </w:r>
      <w:r w:rsidRPr="00A27694">
        <w:t xml:space="preserve"> tiesas 201</w:t>
      </w:r>
      <w:r w:rsidR="003270D0" w:rsidRPr="00A27694">
        <w:t>5</w:t>
      </w:r>
      <w:r w:rsidRPr="00A27694">
        <w:t xml:space="preserve">.gada </w:t>
      </w:r>
      <w:r w:rsidR="00D54824" w:rsidRPr="00A27694">
        <w:t>[..]</w:t>
      </w:r>
      <w:r w:rsidRPr="00A27694">
        <w:t xml:space="preserve"> spriedumu </w:t>
      </w:r>
      <w:r w:rsidR="00D54824" w:rsidRPr="00A27694">
        <w:t>[pers. B]</w:t>
      </w:r>
      <w:r w:rsidRPr="00A27694">
        <w:t xml:space="preserve"> noteikto </w:t>
      </w:r>
      <w:r w:rsidR="003270D0" w:rsidRPr="00A27694">
        <w:t>rīcībspējas ierobežojumu</w:t>
      </w:r>
      <w:r w:rsidRPr="00A27694">
        <w:t xml:space="preserve"> šādās jomās: maks</w:t>
      </w:r>
      <w:r w:rsidR="00765746" w:rsidRPr="00A27694">
        <w:t>ājumu izdarīšana un saņemšana; darījumu slēgšan</w:t>
      </w:r>
      <w:r w:rsidR="008F7B8E" w:rsidRPr="00A27694">
        <w:t>a</w:t>
      </w:r>
      <w:r w:rsidR="00765746" w:rsidRPr="00A27694">
        <w:t>;</w:t>
      </w:r>
      <w:r w:rsidRPr="00A27694">
        <w:t xml:space="preserve"> rīcība ar mantu un tās pārvaldība, it īpaši nekustamā īpašuma atsavināšana, ieķīlāšana un apgrūtināša</w:t>
      </w:r>
      <w:r w:rsidR="00765746" w:rsidRPr="00A27694">
        <w:t>na ar lietu tiesībām;</w:t>
      </w:r>
      <w:r w:rsidRPr="00A27694">
        <w:t xml:space="preserve"> komercdarbības un saimnieciskās darbības veikšana</w:t>
      </w:r>
      <w:r w:rsidR="00765746" w:rsidRPr="00A27694">
        <w:t>;</w:t>
      </w:r>
      <w:r w:rsidRPr="00A27694">
        <w:t xml:space="preserve"> </w:t>
      </w:r>
      <w:r w:rsidR="003270D0" w:rsidRPr="00A27694">
        <w:t>invaliditātes pensijas saņemšana; sociālās palīdzības pieprasīšana un saņemšanas valsts un pašvaldību sociālajos dienestos</w:t>
      </w:r>
      <w:r w:rsidRPr="00A27694">
        <w:t>;</w:t>
      </w:r>
    </w:p>
    <w:p w14:paraId="58B56459" w14:textId="58CECC1C" w:rsidR="00733869" w:rsidRPr="00A27694" w:rsidRDefault="00733869" w:rsidP="006642EE">
      <w:pPr>
        <w:spacing w:line="276" w:lineRule="auto"/>
        <w:ind w:firstLine="709"/>
        <w:jc w:val="both"/>
      </w:pPr>
      <w:r w:rsidRPr="00A27694">
        <w:t xml:space="preserve">2) grozīt ar </w:t>
      </w:r>
      <w:r w:rsidR="00D54824" w:rsidRPr="00A27694">
        <w:t>[..]</w:t>
      </w:r>
      <w:r w:rsidRPr="00A27694">
        <w:t xml:space="preserve"> tiesas 2015.gada </w:t>
      </w:r>
      <w:r w:rsidR="00D54824" w:rsidRPr="00A27694">
        <w:t>[..]</w:t>
      </w:r>
      <w:r w:rsidRPr="00A27694">
        <w:t xml:space="preserve"> spriedumu</w:t>
      </w:r>
      <w:r w:rsidR="00765746" w:rsidRPr="00A27694">
        <w:t xml:space="preserve"> civillietā Nr.</w:t>
      </w:r>
      <w:r w:rsidR="00D54824" w:rsidRPr="00A27694">
        <w:t> [..]</w:t>
      </w:r>
      <w:r w:rsidRPr="00A27694">
        <w:t xml:space="preserve"> </w:t>
      </w:r>
      <w:r w:rsidR="00D54824" w:rsidRPr="00A27694">
        <w:t>[pers. B]</w:t>
      </w:r>
      <w:r w:rsidR="00C3578D" w:rsidRPr="00A27694">
        <w:t xml:space="preserve"> noteikto</w:t>
      </w:r>
      <w:r w:rsidRPr="00A27694">
        <w:t xml:space="preserve"> rīcībspējas ierobežojumu, papildus nosakot rīcībspējas ierobežojumu šādās jomās: nekustamā īpašuma atsavināšana, ieķīlāšana un apgrūtināšana ar lietu tiesīb</w:t>
      </w:r>
      <w:r w:rsidR="00765746" w:rsidRPr="00A27694">
        <w:t>ām;</w:t>
      </w:r>
      <w:r w:rsidRPr="00A27694">
        <w:t xml:space="preserve"> pārstāvība valsts un pašvaldību institūcijās un iestādēs, komerciestādēs, medicīnas un sociālās aprūpes iestādēs;</w:t>
      </w:r>
    </w:p>
    <w:p w14:paraId="41D78A51" w14:textId="2AB91F31" w:rsidR="00733869" w:rsidRPr="00A27694" w:rsidRDefault="00733869" w:rsidP="006642EE">
      <w:pPr>
        <w:spacing w:line="276" w:lineRule="auto"/>
        <w:ind w:firstLine="709"/>
        <w:jc w:val="both"/>
      </w:pPr>
      <w:r w:rsidRPr="00A27694">
        <w:t xml:space="preserve">3) noteikt, ka </w:t>
      </w:r>
      <w:r w:rsidR="00D54824" w:rsidRPr="00A27694">
        <w:t>[pers. B]</w:t>
      </w:r>
      <w:r w:rsidRPr="00A27694">
        <w:t xml:space="preserve"> aizgādnis rīkojas patstāvīgi visās jomās, kurās </w:t>
      </w:r>
      <w:r w:rsidR="00D54824" w:rsidRPr="00A27694">
        <w:t xml:space="preserve">[pers. B] </w:t>
      </w:r>
      <w:r w:rsidRPr="00A27694">
        <w:t>ierobežota rīcībspēja.</w:t>
      </w:r>
    </w:p>
    <w:p w14:paraId="39511124" w14:textId="30DAA7B8" w:rsidR="00733869" w:rsidRPr="00A27694" w:rsidRDefault="00D54824" w:rsidP="00D54824">
      <w:pPr>
        <w:spacing w:line="276" w:lineRule="auto"/>
        <w:ind w:firstLine="709"/>
        <w:jc w:val="both"/>
      </w:pPr>
      <w:r w:rsidRPr="00A27694">
        <w:t>[..].</w:t>
      </w:r>
    </w:p>
    <w:p w14:paraId="6ECFE81F" w14:textId="77777777" w:rsidR="00D54824" w:rsidRPr="00A27694" w:rsidRDefault="00D54824" w:rsidP="006642EE">
      <w:pPr>
        <w:spacing w:line="276" w:lineRule="auto"/>
        <w:ind w:firstLine="709"/>
        <w:jc w:val="both"/>
      </w:pPr>
    </w:p>
    <w:p w14:paraId="760B5CDB" w14:textId="7613C094" w:rsidR="009028DB" w:rsidRPr="00A27694" w:rsidRDefault="00866CD3" w:rsidP="006642EE">
      <w:pPr>
        <w:spacing w:line="276" w:lineRule="auto"/>
        <w:ind w:firstLine="709"/>
        <w:jc w:val="both"/>
      </w:pPr>
      <w:r w:rsidRPr="00A27694">
        <w:t xml:space="preserve">[2] </w:t>
      </w:r>
      <w:r w:rsidR="00765746" w:rsidRPr="00A27694">
        <w:t xml:space="preserve">Ar </w:t>
      </w:r>
      <w:r w:rsidR="00D54824" w:rsidRPr="00A27694">
        <w:t>[..]</w:t>
      </w:r>
      <w:r w:rsidR="00765746" w:rsidRPr="00A27694">
        <w:t xml:space="preserve"> tiesas 2022.gada </w:t>
      </w:r>
      <w:r w:rsidR="00D54824" w:rsidRPr="00A27694">
        <w:t>[..]</w:t>
      </w:r>
      <w:r w:rsidR="00765746" w:rsidRPr="00A27694">
        <w:t xml:space="preserve"> spriedumu pieteikums apmierināts</w:t>
      </w:r>
      <w:r w:rsidR="001A0DBB" w:rsidRPr="00A27694">
        <w:t>. Tiesa nolēma</w:t>
      </w:r>
      <w:r w:rsidR="00765746" w:rsidRPr="00A27694">
        <w:t>:</w:t>
      </w:r>
    </w:p>
    <w:p w14:paraId="2CF6220A" w14:textId="5D5374AC" w:rsidR="00765746" w:rsidRPr="00A27694" w:rsidRDefault="00765746" w:rsidP="006642EE">
      <w:pPr>
        <w:spacing w:line="276" w:lineRule="auto"/>
        <w:ind w:firstLine="709"/>
        <w:jc w:val="both"/>
      </w:pPr>
      <w:r w:rsidRPr="00A27694">
        <w:t xml:space="preserve">1) saglabāt ar </w:t>
      </w:r>
      <w:r w:rsidR="00D54824" w:rsidRPr="00A27694">
        <w:t>[..]</w:t>
      </w:r>
      <w:r w:rsidRPr="00A27694">
        <w:t xml:space="preserve"> tiesas 2011.gada </w:t>
      </w:r>
      <w:r w:rsidR="00D54824" w:rsidRPr="00A27694">
        <w:t>[..]</w:t>
      </w:r>
      <w:r w:rsidRPr="00A27694">
        <w:t xml:space="preserve"> spriedumu </w:t>
      </w:r>
      <w:r w:rsidR="00D54824" w:rsidRPr="00A27694">
        <w:t>[pers. B]</w:t>
      </w:r>
      <w:r w:rsidRPr="00A27694">
        <w:t xml:space="preserve"> noteikto rīcībspējas ierobežojuma apjomu un papildus noteikt rīcībspējas ierobežojumu </w:t>
      </w:r>
      <w:r w:rsidR="002E2111" w:rsidRPr="00A27694">
        <w:t>š</w:t>
      </w:r>
      <w:r w:rsidRPr="00A27694">
        <w:t>ā</w:t>
      </w:r>
      <w:r w:rsidR="002E2111" w:rsidRPr="00A27694">
        <w:t>dā</w:t>
      </w:r>
      <w:r w:rsidRPr="00A27694">
        <w:t>s jomās:</w:t>
      </w:r>
      <w:r w:rsidR="008F7B8E" w:rsidRPr="00A27694">
        <w:t xml:space="preserve"> </w:t>
      </w:r>
      <w:r w:rsidRPr="00A27694">
        <w:t xml:space="preserve">maksājumu izdarīšana un saņemšana; darījumu slēgšana; rīcība ar mantu un tās pārvaldība, it īpaši </w:t>
      </w:r>
      <w:r w:rsidRPr="00A27694">
        <w:lastRenderedPageBreak/>
        <w:t xml:space="preserve">nekustamā īpašuma atsavināšana, ieķīlāšana un apgrūtināšana ar lietu tiesībām; komercdarbības un saimnieciskās darbības veikšana; </w:t>
      </w:r>
      <w:r w:rsidR="008F7B8E" w:rsidRPr="00A27694">
        <w:t>p</w:t>
      </w:r>
      <w:r w:rsidRPr="00A27694">
        <w:t xml:space="preserve">ārstāvība valsts un pašvaldību institūcijās un iestādēs, komerciestādēs, medicīnas un sociālās aprūpes iestādēs, izņemot pārstāvību tiesību un likumisko interešu aizstāvēšanai iestādēs un tiesā saistībā ar </w:t>
      </w:r>
      <w:r w:rsidR="00D54824" w:rsidRPr="00A27694">
        <w:t>[pers. B]</w:t>
      </w:r>
      <w:r w:rsidRPr="00A27694">
        <w:t xml:space="preserve"> rīcībspējas un brīvības ierobežojumiem, domstarpībām, strīdiem ar aizgādni un aizgādņa iecelšanu un atcelšanu</w:t>
      </w:r>
      <w:r w:rsidR="00E84507" w:rsidRPr="00A27694">
        <w:t>;</w:t>
      </w:r>
      <w:r w:rsidRPr="00A27694">
        <w:t xml:space="preserve"> </w:t>
      </w:r>
    </w:p>
    <w:p w14:paraId="7984A36F" w14:textId="77777777" w:rsidR="00765746" w:rsidRPr="00A27694" w:rsidRDefault="00765746" w:rsidP="006642EE">
      <w:pPr>
        <w:spacing w:line="276" w:lineRule="auto"/>
        <w:ind w:firstLine="709"/>
        <w:jc w:val="both"/>
      </w:pPr>
      <w:r w:rsidRPr="00A27694">
        <w:t>2) noteikt, ka visā noteiktajā rīcībspējas ierobežojuma apjomā aizgādnis rīkojas patstāvīgi.</w:t>
      </w:r>
    </w:p>
    <w:p w14:paraId="3F680813" w14:textId="486FA8B4" w:rsidR="00765746" w:rsidRPr="00A27694" w:rsidRDefault="00D54824" w:rsidP="006642EE">
      <w:pPr>
        <w:spacing w:line="276" w:lineRule="auto"/>
        <w:ind w:firstLine="709"/>
        <w:jc w:val="both"/>
      </w:pPr>
      <w:r w:rsidRPr="00A27694">
        <w:t>[..].</w:t>
      </w:r>
    </w:p>
    <w:p w14:paraId="4AE297DC" w14:textId="77777777" w:rsidR="00D54824" w:rsidRPr="00A27694" w:rsidRDefault="00D54824" w:rsidP="006642EE">
      <w:pPr>
        <w:spacing w:line="276" w:lineRule="auto"/>
        <w:ind w:firstLine="709"/>
        <w:jc w:val="both"/>
      </w:pPr>
    </w:p>
    <w:p w14:paraId="150A9ABF" w14:textId="56BD6432" w:rsidR="00D02FEF" w:rsidRPr="00A27694" w:rsidRDefault="00D02FEF" w:rsidP="006642EE">
      <w:pPr>
        <w:spacing w:line="276" w:lineRule="auto"/>
        <w:ind w:firstLine="709"/>
        <w:jc w:val="both"/>
        <w:rPr>
          <w:lang w:eastAsia="lv-LV"/>
        </w:rPr>
      </w:pPr>
      <w:r w:rsidRPr="00A27694">
        <w:t>[</w:t>
      </w:r>
      <w:r w:rsidR="001A0DBB" w:rsidRPr="00A27694">
        <w:t>3</w:t>
      </w:r>
      <w:r w:rsidRPr="00A27694">
        <w:t xml:space="preserve">] </w:t>
      </w:r>
      <w:r w:rsidR="001A0DBB" w:rsidRPr="00A27694">
        <w:t xml:space="preserve">Latvijas Republikas </w:t>
      </w:r>
      <w:r w:rsidR="00592988" w:rsidRPr="00A27694">
        <w:t>ģenerāl</w:t>
      </w:r>
      <w:r w:rsidR="001A0DBB" w:rsidRPr="00A27694">
        <w:t xml:space="preserve">prokurors iesniedza protestu </w:t>
      </w:r>
      <w:r w:rsidR="001A0DBB" w:rsidRPr="00A27694">
        <w:rPr>
          <w:lang w:eastAsia="lv-LV"/>
        </w:rPr>
        <w:t xml:space="preserve">par </w:t>
      </w:r>
      <w:r w:rsidR="00D54824" w:rsidRPr="00A27694">
        <w:rPr>
          <w:lang w:eastAsia="lv-LV"/>
        </w:rPr>
        <w:t xml:space="preserve">[..] </w:t>
      </w:r>
      <w:r w:rsidR="00592988" w:rsidRPr="00A27694">
        <w:rPr>
          <w:lang w:eastAsia="lv-LV"/>
        </w:rPr>
        <w:t xml:space="preserve">tiesas 2022.gada </w:t>
      </w:r>
      <w:r w:rsidR="00D54824" w:rsidRPr="00A27694">
        <w:rPr>
          <w:lang w:eastAsia="lv-LV"/>
        </w:rPr>
        <w:t>[..]</w:t>
      </w:r>
      <w:r w:rsidR="00592988" w:rsidRPr="00A27694">
        <w:rPr>
          <w:lang w:eastAsia="lv-LV"/>
        </w:rPr>
        <w:t xml:space="preserve"> spriedumu</w:t>
      </w:r>
      <w:r w:rsidR="00B01EE6" w:rsidRPr="00A27694">
        <w:rPr>
          <w:lang w:eastAsia="lv-LV"/>
        </w:rPr>
        <w:t>.</w:t>
      </w:r>
    </w:p>
    <w:p w14:paraId="52DF3CB2" w14:textId="77777777" w:rsidR="00337655" w:rsidRPr="00A27694" w:rsidRDefault="001A0DBB" w:rsidP="006642EE">
      <w:pPr>
        <w:spacing w:line="276" w:lineRule="auto"/>
        <w:ind w:firstLine="709"/>
        <w:jc w:val="both"/>
      </w:pPr>
      <w:r w:rsidRPr="00A27694">
        <w:t>Protests pamatots</w:t>
      </w:r>
      <w:r w:rsidR="00B01EE6" w:rsidRPr="00A27694">
        <w:t xml:space="preserve"> ar šādiem argumentiem.</w:t>
      </w:r>
    </w:p>
    <w:p w14:paraId="5928520D" w14:textId="65CA2AFF" w:rsidR="00417D8E" w:rsidRPr="00A27694" w:rsidRDefault="001A0DBB" w:rsidP="006642EE">
      <w:pPr>
        <w:spacing w:line="276" w:lineRule="auto"/>
        <w:ind w:firstLine="709"/>
        <w:jc w:val="both"/>
      </w:pPr>
      <w:r w:rsidRPr="00A27694">
        <w:t>[3</w:t>
      </w:r>
      <w:r w:rsidR="00337655" w:rsidRPr="00A27694">
        <w:t xml:space="preserve">.1] </w:t>
      </w:r>
      <w:r w:rsidR="00417D8E" w:rsidRPr="00A27694">
        <w:t>Lai gan Civilprocesa likuma 33.</w:t>
      </w:r>
      <w:r w:rsidR="00417D8E" w:rsidRPr="00A27694">
        <w:rPr>
          <w:vertAlign w:val="superscript"/>
        </w:rPr>
        <w:t>1</w:t>
      </w:r>
      <w:r w:rsidR="00417D8E" w:rsidRPr="00A27694">
        <w:t>nodaļā ietvertās normas skaidri nenoteic, ka, izskatot pieteikumu par personas rīcībspējas ierobežojuma apjoma pārskatīšanu, prokurora piedalīšanās ir obligāta, no Civilprocesa likuma 72.panta piektās daļas nepārprotami izriet, ka lietās, kurās izskata personas rīcības un brīvības ierobežojumus, tiesa pieaicina prokuroru. Šajās lietās jautājums par prokurora pieaicināšanu nav izlemjams pēc tiesas ieskat</w:t>
      </w:r>
      <w:r w:rsidR="00247BE7" w:rsidRPr="00A27694">
        <w:t>a</w:t>
      </w:r>
      <w:r w:rsidR="00417D8E" w:rsidRPr="00A27694">
        <w:t>.</w:t>
      </w:r>
    </w:p>
    <w:p w14:paraId="7AE0B14F" w14:textId="5AFF4191" w:rsidR="00592988" w:rsidRPr="00A27694" w:rsidRDefault="00417D8E" w:rsidP="006642EE">
      <w:pPr>
        <w:spacing w:line="276" w:lineRule="auto"/>
        <w:ind w:firstLine="709"/>
        <w:jc w:val="both"/>
      </w:pPr>
      <w:r w:rsidRPr="00A27694">
        <w:t>N</w:t>
      </w:r>
      <w:r w:rsidR="00592988" w:rsidRPr="00A27694">
        <w:t xml:space="preserve">o lietas materiāliem redzams, ka tiesa nav </w:t>
      </w:r>
      <w:r w:rsidRPr="00A27694">
        <w:t>pie</w:t>
      </w:r>
      <w:r w:rsidR="00592988" w:rsidRPr="00A27694">
        <w:t>aicinājusi prokuroru piedalīties lietas izskatīšanā (prokuroram nav nosūtīts pieteikums par rīcībspējas ierobežojuma apjoma pārskatīšanu, lai prokurors lietā sniegtu atzinumu).</w:t>
      </w:r>
      <w:r w:rsidRPr="00A27694">
        <w:t xml:space="preserve"> </w:t>
      </w:r>
      <w:r w:rsidR="003C58AE" w:rsidRPr="00A27694">
        <w:t>Tādējādi</w:t>
      </w:r>
      <w:r w:rsidR="00592988" w:rsidRPr="00A27694">
        <w:t xml:space="preserve"> </w:t>
      </w:r>
      <w:r w:rsidR="003C58AE" w:rsidRPr="00A27694">
        <w:t>nav n</w:t>
      </w:r>
      <w:r w:rsidR="00592988" w:rsidRPr="00A27694">
        <w:t>odrošin</w:t>
      </w:r>
      <w:r w:rsidR="003C58AE" w:rsidRPr="00A27694">
        <w:t>ā</w:t>
      </w:r>
      <w:r w:rsidR="00592988" w:rsidRPr="00A27694">
        <w:t>t</w:t>
      </w:r>
      <w:r w:rsidR="003C58AE" w:rsidRPr="00A27694">
        <w:t>a</w:t>
      </w:r>
      <w:r w:rsidR="00592988" w:rsidRPr="00A27694">
        <w:t xml:space="preserve"> likumam atbilstoš</w:t>
      </w:r>
      <w:r w:rsidR="003C58AE" w:rsidRPr="00A27694">
        <w:t>a</w:t>
      </w:r>
      <w:r w:rsidR="00592988" w:rsidRPr="00A27694">
        <w:t xml:space="preserve"> procesuāl</w:t>
      </w:r>
      <w:r w:rsidR="003C58AE" w:rsidRPr="00A27694">
        <w:t>ā</w:t>
      </w:r>
      <w:r w:rsidR="00592988" w:rsidRPr="00A27694">
        <w:t xml:space="preserve"> kārtīb</w:t>
      </w:r>
      <w:r w:rsidR="003C58AE" w:rsidRPr="00A27694">
        <w:t>a</w:t>
      </w:r>
      <w:r w:rsidR="00592988" w:rsidRPr="00A27694">
        <w:t xml:space="preserve">. </w:t>
      </w:r>
    </w:p>
    <w:p w14:paraId="18FF15D1" w14:textId="77777777" w:rsidR="00592988" w:rsidRPr="00A27694" w:rsidRDefault="00BD4A2F" w:rsidP="006642EE">
      <w:pPr>
        <w:spacing w:line="276" w:lineRule="auto"/>
        <w:ind w:firstLine="709"/>
        <w:jc w:val="both"/>
      </w:pPr>
      <w:r w:rsidRPr="00A27694">
        <w:t xml:space="preserve">[3.2] Spriedums pēc būtības </w:t>
      </w:r>
      <w:r w:rsidR="00592988" w:rsidRPr="00A27694">
        <w:t>ir pretrunīgs.</w:t>
      </w:r>
      <w:r w:rsidRPr="00A27694">
        <w:t xml:space="preserve"> Proti, s</w:t>
      </w:r>
      <w:r w:rsidR="00592988" w:rsidRPr="00A27694">
        <w:t>prieduma rezolutīvajā daļā nospriestais neatbilst motīvu daļā norādītajiem argumentiem, kas ir pretrunā Civilprocesa likum</w:t>
      </w:r>
      <w:r w:rsidRPr="00A27694">
        <w:t>a 193.</w:t>
      </w:r>
      <w:r w:rsidR="00592988" w:rsidRPr="00A27694">
        <w:t>panta piektās un sestās daļas prasībām.</w:t>
      </w:r>
    </w:p>
    <w:p w14:paraId="0CF4BEFB" w14:textId="45190F58" w:rsidR="00592988" w:rsidRPr="00A27694" w:rsidRDefault="00BD4A2F" w:rsidP="006642EE">
      <w:pPr>
        <w:spacing w:line="276" w:lineRule="auto"/>
        <w:ind w:firstLine="709"/>
        <w:jc w:val="both"/>
      </w:pPr>
      <w:r w:rsidRPr="00A27694">
        <w:t xml:space="preserve">[3.2.1] </w:t>
      </w:r>
      <w:r w:rsidR="00572AFE" w:rsidRPr="00A27694">
        <w:t>S</w:t>
      </w:r>
      <w:r w:rsidR="00592988" w:rsidRPr="00A27694">
        <w:t>prieduma</w:t>
      </w:r>
      <w:r w:rsidRPr="00A27694">
        <w:t xml:space="preserve"> motīvu daļā tiesa norādījusi: „</w:t>
      </w:r>
      <w:r w:rsidR="00F52202" w:rsidRPr="00A27694">
        <w:t>T</w:t>
      </w:r>
      <w:r w:rsidR="00592988" w:rsidRPr="00A27694">
        <w:t xml:space="preserve">ā kā no pieteikuma izriet, ka </w:t>
      </w:r>
      <w:r w:rsidR="00166217" w:rsidRPr="00A27694">
        <w:t>[pers. B]</w:t>
      </w:r>
      <w:r w:rsidR="00592988" w:rsidRPr="00A27694">
        <w:t xml:space="preserve"> nepieder nekāda nekustamā vai vērtīga kustamā manta, tiesa nesaskata pamatojumu noteikt rīcībspējas ierobežojuma apjomu nekustamā īpašuma atsavināšanas, ieķīlāšanas un apgrūtināšanas ar lietu tiesībām jomā</w:t>
      </w:r>
      <w:r w:rsidR="00F52202" w:rsidRPr="00A27694">
        <w:t>.</w:t>
      </w:r>
      <w:r w:rsidRPr="00A27694">
        <w:t>”</w:t>
      </w:r>
      <w:r w:rsidR="00592988" w:rsidRPr="00A27694">
        <w:t xml:space="preserve"> Neskatoties uz minēto, sprieduma rezolutīvajā daļā tiesa tomēr nospried</w:t>
      </w:r>
      <w:r w:rsidRPr="00A27694">
        <w:t>a</w:t>
      </w:r>
      <w:r w:rsidR="00592988" w:rsidRPr="00A27694">
        <w:t xml:space="preserve"> šajā jomā </w:t>
      </w:r>
      <w:r w:rsidR="00166217" w:rsidRPr="00A27694">
        <w:t>[pers. B]</w:t>
      </w:r>
      <w:r w:rsidR="00592988" w:rsidRPr="00A27694">
        <w:t xml:space="preserve"> rīcībspēju ierobežot.</w:t>
      </w:r>
    </w:p>
    <w:p w14:paraId="244F64AC" w14:textId="72361A2A" w:rsidR="00592988" w:rsidRPr="00A27694" w:rsidRDefault="00BD4A2F" w:rsidP="006642EE">
      <w:pPr>
        <w:spacing w:line="276" w:lineRule="auto"/>
        <w:ind w:firstLine="709"/>
        <w:jc w:val="both"/>
      </w:pPr>
      <w:r w:rsidRPr="00A27694">
        <w:t xml:space="preserve">[3.2.2] </w:t>
      </w:r>
      <w:r w:rsidR="00F52202" w:rsidRPr="00A27694">
        <w:t>L</w:t>
      </w:r>
      <w:r w:rsidR="00592988" w:rsidRPr="00A27694">
        <w:t xml:space="preserve">ai gan sprieduma motīvu daļā norādīts, ka </w:t>
      </w:r>
      <w:r w:rsidR="00166217" w:rsidRPr="00A27694">
        <w:t>[pers. B]</w:t>
      </w:r>
      <w:r w:rsidR="00592988" w:rsidRPr="00A27694">
        <w:t xml:space="preserve"> saglabājams rīcībspējas ierobežojums </w:t>
      </w:r>
      <w:r w:rsidR="00166217" w:rsidRPr="00A27694">
        <w:t xml:space="preserve">[..] </w:t>
      </w:r>
      <w:r w:rsidR="00592988" w:rsidRPr="00A27694">
        <w:t xml:space="preserve">tiesas 2015.gada </w:t>
      </w:r>
      <w:r w:rsidR="00166217" w:rsidRPr="00A27694">
        <w:t>[..]</w:t>
      </w:r>
      <w:r w:rsidR="00592988" w:rsidRPr="00A27694">
        <w:t xml:space="preserve"> spriedumā noteiktajā apjomā, tiesa nepamatoti nospriedusi saglab</w:t>
      </w:r>
      <w:r w:rsidRPr="00A27694">
        <w:t xml:space="preserve">āt ar </w:t>
      </w:r>
      <w:r w:rsidR="00166217" w:rsidRPr="00A27694">
        <w:t xml:space="preserve">[..] </w:t>
      </w:r>
      <w:r w:rsidRPr="00A27694">
        <w:t xml:space="preserve">tiesas 2011.gada </w:t>
      </w:r>
      <w:r w:rsidR="00166217" w:rsidRPr="00A27694">
        <w:t>[..]</w:t>
      </w:r>
      <w:r w:rsidR="00592988" w:rsidRPr="00A27694">
        <w:t xml:space="preserve"> spriedumu noteikto rīcībspējas ierobežojuma apjomu. </w:t>
      </w:r>
    </w:p>
    <w:p w14:paraId="14D5EAE3" w14:textId="3D5E29D0" w:rsidR="00592988" w:rsidRPr="00A27694" w:rsidRDefault="00417D8E" w:rsidP="006642EE">
      <w:pPr>
        <w:spacing w:line="276" w:lineRule="auto"/>
        <w:ind w:firstLine="709"/>
        <w:jc w:val="both"/>
      </w:pPr>
      <w:r w:rsidRPr="00A27694">
        <w:t>Ņemot vērā, ka a</w:t>
      </w:r>
      <w:r w:rsidR="00592988" w:rsidRPr="00A27694">
        <w:t xml:space="preserve">r </w:t>
      </w:r>
      <w:r w:rsidR="00166217" w:rsidRPr="00A27694">
        <w:t>[..]</w:t>
      </w:r>
      <w:r w:rsidR="00BD4A2F" w:rsidRPr="00A27694">
        <w:t xml:space="preserve"> tiesas 2011.gada </w:t>
      </w:r>
      <w:r w:rsidR="00166217" w:rsidRPr="00A27694">
        <w:t>[..]</w:t>
      </w:r>
      <w:r w:rsidR="00592988" w:rsidRPr="00A27694">
        <w:t xml:space="preserve"> spriedumu </w:t>
      </w:r>
      <w:r w:rsidR="00166217" w:rsidRPr="00A27694">
        <w:t>[pers. B]</w:t>
      </w:r>
      <w:r w:rsidR="00592988" w:rsidRPr="00A27694">
        <w:t xml:space="preserve"> tika atzīts par r</w:t>
      </w:r>
      <w:r w:rsidR="00BD4A2F" w:rsidRPr="00A27694">
        <w:t>īcībnespējīgu</w:t>
      </w:r>
      <w:r w:rsidR="004C4DCD" w:rsidRPr="00A27694">
        <w:t xml:space="preserve">, bet </w:t>
      </w:r>
      <w:r w:rsidR="00BD4A2F" w:rsidRPr="00A27694">
        <w:t xml:space="preserve">ar 2015.gada </w:t>
      </w:r>
      <w:r w:rsidR="00166217" w:rsidRPr="00A27694">
        <w:t xml:space="preserve">[..] </w:t>
      </w:r>
      <w:r w:rsidR="00592988" w:rsidRPr="00A27694">
        <w:t>spriedumu rīcībspēja t</w:t>
      </w:r>
      <w:r w:rsidRPr="00A27694">
        <w:t>ika ierobežota konkrētā apjomā, tad n</w:t>
      </w:r>
      <w:r w:rsidR="00592988" w:rsidRPr="00A27694">
        <w:t xml:space="preserve">o tiesas sprieduma rezolutīvās daļas nav saprotams, kādā apjomā tiesa ir nospriedusi saglabāt rīcībspējas ierobežojumus. </w:t>
      </w:r>
    </w:p>
    <w:p w14:paraId="153C985B" w14:textId="77777777" w:rsidR="00F52202" w:rsidRPr="00A27694" w:rsidRDefault="00BD4A2F" w:rsidP="006642EE">
      <w:pPr>
        <w:spacing w:line="276" w:lineRule="auto"/>
        <w:ind w:firstLine="709"/>
        <w:jc w:val="both"/>
      </w:pPr>
      <w:r w:rsidRPr="00A27694">
        <w:t xml:space="preserve">[3.3] </w:t>
      </w:r>
      <w:r w:rsidR="00592988" w:rsidRPr="00A27694">
        <w:t>Civillikuma 358.</w:t>
      </w:r>
      <w:r w:rsidR="00592988" w:rsidRPr="00A27694">
        <w:rPr>
          <w:vertAlign w:val="superscript"/>
        </w:rPr>
        <w:t>1</w:t>
      </w:r>
      <w:r w:rsidR="00592988" w:rsidRPr="00A27694">
        <w:t xml:space="preserve">panta pirmā daļa noteic, ka rīcībspēja personai ar garīga rakstura vai citiem veselības traucējumiem var tikt ierobežota tādā apjomā, kādā tā nespēj saprast savas darbības nozīmi vai nespēj savu darbību vadīt. Personas rīcībspēja nav ierobežojama vairāk, kā tas nepieciešams pašas personas tiesību aizsardzībai. </w:t>
      </w:r>
      <w:r w:rsidRPr="00A27694">
        <w:t>Nosakot rīcībspējas ierobežojumus, riskam ir jābūt reālam, nevis teorētiskam</w:t>
      </w:r>
      <w:r w:rsidR="00F52202" w:rsidRPr="00A27694">
        <w:t>, un r</w:t>
      </w:r>
      <w:r w:rsidRPr="00A27694">
        <w:t xml:space="preserve">iski ir jāvērtē katrā jomā, kurā lūdz noteikt rīcībspējas ierobežojumus. </w:t>
      </w:r>
    </w:p>
    <w:p w14:paraId="71070AD6" w14:textId="413B2AAE" w:rsidR="00592988" w:rsidRPr="00A27694" w:rsidRDefault="00592988" w:rsidP="006642EE">
      <w:pPr>
        <w:spacing w:line="276" w:lineRule="auto"/>
        <w:ind w:firstLine="709"/>
        <w:jc w:val="both"/>
      </w:pPr>
      <w:r w:rsidRPr="00A27694">
        <w:t>Tiesa</w:t>
      </w:r>
      <w:r w:rsidR="00F52202" w:rsidRPr="00A27694">
        <w:t xml:space="preserve"> </w:t>
      </w:r>
      <w:r w:rsidRPr="00A27694">
        <w:t xml:space="preserve">nav vērtējusi, vai un kādi riski pastāv, lai, ievērojot </w:t>
      </w:r>
      <w:r w:rsidR="00BD4A2F" w:rsidRPr="00A27694">
        <w:t>lietā</w:t>
      </w:r>
      <w:r w:rsidRPr="00A27694">
        <w:t xml:space="preserve"> esošās ziņas par </w:t>
      </w:r>
      <w:r w:rsidR="00166217" w:rsidRPr="00A27694">
        <w:t>[pers. B]</w:t>
      </w:r>
      <w:r w:rsidRPr="00A27694">
        <w:t xml:space="preserve"> veselības stāvokli, viņam būtu nepieciešams ierobežot rīcībspēju darījumu slēgšanā, komercdarbības un saimnieciskās darbības veikšanā.</w:t>
      </w:r>
      <w:r w:rsidR="00F52202" w:rsidRPr="00A27694">
        <w:t xml:space="preserve"> </w:t>
      </w:r>
      <w:r w:rsidRPr="00A27694">
        <w:t>Līdz ar to tiesa nav iev</w:t>
      </w:r>
      <w:r w:rsidR="00BD4A2F" w:rsidRPr="00A27694">
        <w:t xml:space="preserve">ērojusi </w:t>
      </w:r>
      <w:r w:rsidR="00BD4A2F" w:rsidRPr="00A27694">
        <w:lastRenderedPageBreak/>
        <w:t>Civilprocesa likuma 97.</w:t>
      </w:r>
      <w:r w:rsidRPr="00A27694">
        <w:t>panta pirmās daļas prasības par lietā esošo pierādījumu (dokument</w:t>
      </w:r>
      <w:r w:rsidR="00F52202" w:rsidRPr="00A27694">
        <w:t>u par</w:t>
      </w:r>
      <w:r w:rsidRPr="00A27694">
        <w:t xml:space="preserve"> </w:t>
      </w:r>
      <w:r w:rsidR="00166217" w:rsidRPr="00A27694">
        <w:t>[pers. B]</w:t>
      </w:r>
      <w:r w:rsidRPr="00A27694">
        <w:t xml:space="preserve"> veselības stāvokli) vispusīgu, pilnīgu un objektīvu pārbaudi, kā arī Civilprocesa likuma 193.panta piektajā daļā </w:t>
      </w:r>
      <w:r w:rsidR="00F52202" w:rsidRPr="00A27694">
        <w:t xml:space="preserve">noteiktās prasības </w:t>
      </w:r>
      <w:r w:rsidRPr="00A27694">
        <w:t xml:space="preserve">sprieduma motīvu daļai. </w:t>
      </w:r>
    </w:p>
    <w:p w14:paraId="0FE6050C" w14:textId="77777777" w:rsidR="00166217" w:rsidRPr="00A27694" w:rsidRDefault="00166217" w:rsidP="006642EE">
      <w:pPr>
        <w:spacing w:line="276" w:lineRule="auto"/>
        <w:jc w:val="center"/>
        <w:rPr>
          <w:b/>
          <w:lang w:eastAsia="lv-LV"/>
        </w:rPr>
      </w:pPr>
    </w:p>
    <w:p w14:paraId="0D70112C" w14:textId="3C25C43C" w:rsidR="00D51386" w:rsidRPr="00A27694" w:rsidRDefault="00D51386" w:rsidP="006642EE">
      <w:pPr>
        <w:spacing w:line="276" w:lineRule="auto"/>
        <w:jc w:val="center"/>
        <w:rPr>
          <w:b/>
          <w:lang w:eastAsia="lv-LV"/>
        </w:rPr>
      </w:pPr>
      <w:r w:rsidRPr="00A27694">
        <w:rPr>
          <w:b/>
          <w:lang w:eastAsia="lv-LV"/>
        </w:rPr>
        <w:t>Motīvu daļa</w:t>
      </w:r>
    </w:p>
    <w:p w14:paraId="648D2BA8" w14:textId="77777777" w:rsidR="00166217" w:rsidRPr="00A27694" w:rsidRDefault="00166217" w:rsidP="006642EE">
      <w:pPr>
        <w:spacing w:line="276" w:lineRule="auto"/>
        <w:ind w:firstLine="709"/>
        <w:jc w:val="both"/>
      </w:pPr>
    </w:p>
    <w:p w14:paraId="458E06E5" w14:textId="355E6B1D" w:rsidR="007719F6" w:rsidRPr="00A27694" w:rsidRDefault="00D02FEF" w:rsidP="006642EE">
      <w:pPr>
        <w:spacing w:line="276" w:lineRule="auto"/>
        <w:ind w:firstLine="709"/>
        <w:jc w:val="both"/>
      </w:pPr>
      <w:r w:rsidRPr="00A27694">
        <w:t>[</w:t>
      </w:r>
      <w:r w:rsidR="00A30E40" w:rsidRPr="00A27694">
        <w:t>4</w:t>
      </w:r>
      <w:r w:rsidRPr="00A27694">
        <w:t xml:space="preserve">] Iepazinies ar iesniegto </w:t>
      </w:r>
      <w:r w:rsidR="001A0DBB" w:rsidRPr="00A27694">
        <w:t>protestu</w:t>
      </w:r>
      <w:r w:rsidRPr="00A27694">
        <w:t xml:space="preserve"> un pārējiem lietas materiāliem, </w:t>
      </w:r>
      <w:r w:rsidR="00675596" w:rsidRPr="00A27694">
        <w:t xml:space="preserve">Senāts </w:t>
      </w:r>
      <w:r w:rsidRPr="00A27694">
        <w:t>atzīst, ka</w:t>
      </w:r>
      <w:r w:rsidR="007719F6" w:rsidRPr="00A27694">
        <w:t xml:space="preserve"> </w:t>
      </w:r>
      <w:r w:rsidR="00166217" w:rsidRPr="00A27694">
        <w:t xml:space="preserve">[..] </w:t>
      </w:r>
      <w:r w:rsidR="00BD4A2F" w:rsidRPr="00A27694">
        <w:rPr>
          <w:lang w:eastAsia="lv-LV"/>
        </w:rPr>
        <w:t xml:space="preserve">tiesas 2022.gada </w:t>
      </w:r>
      <w:r w:rsidR="00166217" w:rsidRPr="00A27694">
        <w:rPr>
          <w:lang w:eastAsia="lv-LV"/>
        </w:rPr>
        <w:t>[..]</w:t>
      </w:r>
      <w:r w:rsidR="00BD4A2F" w:rsidRPr="00A27694">
        <w:rPr>
          <w:lang w:eastAsia="lv-LV"/>
        </w:rPr>
        <w:t xml:space="preserve"> spriedums </w:t>
      </w:r>
      <w:r w:rsidR="007719F6" w:rsidRPr="00A27694">
        <w:t>ir atceļam</w:t>
      </w:r>
      <w:r w:rsidR="00F26DFF" w:rsidRPr="00A27694">
        <w:t>s</w:t>
      </w:r>
      <w:r w:rsidR="007719F6" w:rsidRPr="00A27694">
        <w:t xml:space="preserve"> un</w:t>
      </w:r>
      <w:r w:rsidR="00F956E6" w:rsidRPr="00A27694">
        <w:t xml:space="preserve"> lieta</w:t>
      </w:r>
      <w:r w:rsidR="00A30E40" w:rsidRPr="00A27694">
        <w:t xml:space="preserve"> nododama jaunai izskatīšanai </w:t>
      </w:r>
      <w:r w:rsidR="00812CDD" w:rsidRPr="00A27694">
        <w:t>pirmās instances tiesai</w:t>
      </w:r>
      <w:r w:rsidR="00F26DFF" w:rsidRPr="00A27694">
        <w:t>.</w:t>
      </w:r>
    </w:p>
    <w:p w14:paraId="74AB55A8" w14:textId="77777777" w:rsidR="00BD4A2F" w:rsidRPr="00A27694" w:rsidRDefault="00BD4A2F" w:rsidP="006642EE">
      <w:pPr>
        <w:spacing w:line="276" w:lineRule="auto"/>
        <w:ind w:firstLine="709"/>
        <w:jc w:val="both"/>
      </w:pPr>
    </w:p>
    <w:p w14:paraId="2E3D7506" w14:textId="77777777" w:rsidR="00CB788E" w:rsidRPr="00A27694" w:rsidRDefault="00BD4A2F" w:rsidP="006642EE">
      <w:pPr>
        <w:spacing w:line="276" w:lineRule="auto"/>
        <w:ind w:firstLine="709"/>
        <w:jc w:val="both"/>
      </w:pPr>
      <w:r w:rsidRPr="00A27694">
        <w:t xml:space="preserve">[4.1] </w:t>
      </w:r>
      <w:r w:rsidR="00CB788E" w:rsidRPr="00A27694">
        <w:t>Civilprocesa likuma 90.panta trešā daļa paredz, ka p</w:t>
      </w:r>
      <w:r w:rsidR="00CB788E" w:rsidRPr="00A27694">
        <w:rPr>
          <w:shd w:val="clear" w:color="auto" w:fill="FFFFFF"/>
        </w:rPr>
        <w:t>rokurora piedalīšanās lietas izskatīšanā ir obligāta, ja tas ir noteikts likumā vai to par nepieciešamu atzinusi tiesa.</w:t>
      </w:r>
    </w:p>
    <w:p w14:paraId="6C01FF65" w14:textId="06BF346F" w:rsidR="00417D8E" w:rsidRPr="00A27694" w:rsidRDefault="00417D8E" w:rsidP="006642EE">
      <w:pPr>
        <w:spacing w:line="276" w:lineRule="auto"/>
        <w:ind w:firstLine="709"/>
        <w:jc w:val="both"/>
      </w:pPr>
      <w:r w:rsidRPr="00A27694">
        <w:t xml:space="preserve">Civilprocesa likuma 72.panta piektā daļa noteic, ka pilngadīgām fiziskajām personām, kuru rīcībspēju ierobežojusi tiesa, tomēr ir pilnīga civilprocesuālā rīcībspēja lietās, kurās izskata to rīcības un brīvības ierobežojumus, kā arī strīdos starp šo personu un tās aizgādni. Šādās lietās tiesa pieaicina prokuroru un bāriņtiesas pārstāvi. </w:t>
      </w:r>
    </w:p>
    <w:p w14:paraId="09B5144C" w14:textId="21E889B8" w:rsidR="00D2162A" w:rsidRPr="00A27694" w:rsidRDefault="00D2162A" w:rsidP="006642EE">
      <w:pPr>
        <w:spacing w:line="276" w:lineRule="auto"/>
        <w:ind w:firstLine="709"/>
        <w:jc w:val="both"/>
      </w:pPr>
      <w:r w:rsidRPr="00A27694">
        <w:t>Tātad prokurora piedalīšanās ir obligāta lietā, kurā izskata jautājumu par personas rīcībspējas ierobežojuma pārskatīšanu.</w:t>
      </w:r>
    </w:p>
    <w:p w14:paraId="23AFBF27" w14:textId="2B1FCEB6" w:rsidR="00417D8E" w:rsidRPr="00A27694" w:rsidRDefault="005E5EB0" w:rsidP="006642EE">
      <w:pPr>
        <w:spacing w:line="276" w:lineRule="auto"/>
        <w:ind w:firstLine="709"/>
        <w:jc w:val="both"/>
      </w:pPr>
      <w:r w:rsidRPr="00A27694">
        <w:t>Turklāt arī p</w:t>
      </w:r>
      <w:r w:rsidR="00417D8E" w:rsidRPr="00A27694">
        <w:t xml:space="preserve">ieteicēja </w:t>
      </w:r>
      <w:r w:rsidR="00166217" w:rsidRPr="00A27694">
        <w:t>[pers. A]</w:t>
      </w:r>
      <w:r w:rsidR="00417D8E" w:rsidRPr="00A27694">
        <w:t>, iesniedzot tiesā pieteikum</w:t>
      </w:r>
      <w:bookmarkStart w:id="2" w:name="_Hlk110589626"/>
      <w:r w:rsidR="00417D8E" w:rsidRPr="00A27694">
        <w:t xml:space="preserve">u par </w:t>
      </w:r>
      <w:r w:rsidR="00166217" w:rsidRPr="00A27694">
        <w:t>[pers. B]</w:t>
      </w:r>
      <w:r w:rsidR="00417D8E" w:rsidRPr="00A27694">
        <w:t xml:space="preserve"> rīcībspējas ierobežojuma apjoma pārskatīšanu</w:t>
      </w:r>
      <w:bookmarkEnd w:id="2"/>
      <w:r w:rsidR="00417D8E" w:rsidRPr="00A27694">
        <w:t>, kā pieaicinā</w:t>
      </w:r>
      <w:r w:rsidR="00D2162A" w:rsidRPr="00A27694">
        <w:t>m</w:t>
      </w:r>
      <w:r w:rsidR="00417D8E" w:rsidRPr="00A27694">
        <w:t xml:space="preserve">ās personas </w:t>
      </w:r>
      <w:r w:rsidRPr="00A27694">
        <w:t>bija</w:t>
      </w:r>
      <w:r w:rsidR="00417D8E" w:rsidRPr="00A27694">
        <w:t xml:space="preserve"> norādījusi Rīgas bāriņtiesu un Latvijas Republikas prokuratūru.</w:t>
      </w:r>
    </w:p>
    <w:p w14:paraId="2844FF94" w14:textId="33B161BF" w:rsidR="00BD4A2F" w:rsidRPr="00A27694" w:rsidRDefault="00BE7E61" w:rsidP="006642EE">
      <w:pPr>
        <w:spacing w:line="276" w:lineRule="auto"/>
        <w:ind w:firstLine="709"/>
        <w:jc w:val="both"/>
      </w:pPr>
      <w:r w:rsidRPr="00A27694">
        <w:t xml:space="preserve">Pārbaudot lietas materiālus, Senāts konstatē, ka tiesa nav </w:t>
      </w:r>
      <w:r w:rsidR="005E5EB0" w:rsidRPr="00A27694">
        <w:t xml:space="preserve">nedz </w:t>
      </w:r>
      <w:r w:rsidRPr="00A27694">
        <w:t xml:space="preserve">nosūtījusi </w:t>
      </w:r>
      <w:r w:rsidR="005E5EB0" w:rsidRPr="00A27694">
        <w:t xml:space="preserve">prokuratūrai </w:t>
      </w:r>
      <w:r w:rsidRPr="00A27694">
        <w:t xml:space="preserve">pieteikumu par rīcībspējas ierobežojuma apjoma pārskatīšanu, </w:t>
      </w:r>
      <w:r w:rsidR="005E5EB0" w:rsidRPr="00A27694">
        <w:t xml:space="preserve">nedz arī </w:t>
      </w:r>
      <w:r w:rsidRPr="00A27694">
        <w:t>pieaicinājusi prokuroru piedalīties lietas izskatīšanā</w:t>
      </w:r>
      <w:r w:rsidR="005E5EB0" w:rsidRPr="00A27694">
        <w:t>. Tādējādi tiesa</w:t>
      </w:r>
      <w:r w:rsidRPr="00A27694">
        <w:t xml:space="preserve"> pieļāvusi Civ</w:t>
      </w:r>
      <w:r w:rsidR="00417D8E" w:rsidRPr="00A27694">
        <w:t xml:space="preserve">ilprocesa likuma 72.panta piektās daļas </w:t>
      </w:r>
      <w:r w:rsidRPr="00A27694">
        <w:t>pārkāpumu</w:t>
      </w:r>
      <w:r w:rsidR="00C3578D" w:rsidRPr="00A27694">
        <w:t>.</w:t>
      </w:r>
    </w:p>
    <w:p w14:paraId="7A0DA462" w14:textId="4464CD03" w:rsidR="00C3578D" w:rsidRPr="00A27694" w:rsidRDefault="00BD4A2F" w:rsidP="006642EE">
      <w:pPr>
        <w:spacing w:line="276" w:lineRule="auto"/>
        <w:ind w:firstLine="709"/>
        <w:jc w:val="both"/>
        <w:rPr>
          <w:shd w:val="clear" w:color="auto" w:fill="FFFFFF"/>
        </w:rPr>
      </w:pPr>
      <w:r w:rsidRPr="00A27694">
        <w:t xml:space="preserve">[4.2] </w:t>
      </w:r>
      <w:r w:rsidR="00C3578D" w:rsidRPr="00A27694">
        <w:t>Civilprocesa likuma 189.panta trešā daļa noteic, ka spriedumam jābūt likumīgam un pamatotam. Proti, taisot spriedumu, tiesa vadās pēc materiālo un procesuālo tiesību normām (190.panta pirmā daļa) un to pamato uz apstākļiem, kas nodibināti ar pierādījumiem lietā (190.panta otrā daļa). Atbilstoši Civilprocesa li</w:t>
      </w:r>
      <w:r w:rsidR="00367D00" w:rsidRPr="00A27694">
        <w:t xml:space="preserve">kuma 193.panta piektajai daļai </w:t>
      </w:r>
      <w:r w:rsidR="00C3578D" w:rsidRPr="00A27694">
        <w:t xml:space="preserve">sprieduma motīvu daļā jāatspoguļo tiesas </w:t>
      </w:r>
      <w:r w:rsidR="00F203FC" w:rsidRPr="00A27694">
        <w:rPr>
          <w:shd w:val="clear" w:color="auto" w:fill="FFFFFF"/>
        </w:rPr>
        <w:t>konstatētie fakti; pierādījumi, uz kuriem pamatoti tiesas secinājumi, un argumenti, ar kuriem noraidīti tie vai citi pierādījumi; normatīvie akti, ar kuriem spriedums pamatots; konstatētais lietas apstākļu juridiskais novērtējums, kā arī tiesas secinājumi par prasības [pēc analoģijas – pieteikuma] pamatotību vai nepamatotību.</w:t>
      </w:r>
    </w:p>
    <w:p w14:paraId="6A19CD6B" w14:textId="7C6D3E67" w:rsidR="005E3DBB" w:rsidRPr="00A27694" w:rsidRDefault="005E3DBB" w:rsidP="006642EE">
      <w:pPr>
        <w:spacing w:line="276" w:lineRule="auto"/>
        <w:ind w:firstLine="709"/>
        <w:jc w:val="both"/>
        <w:rPr>
          <w:shd w:val="clear" w:color="auto" w:fill="FFFFFF"/>
        </w:rPr>
      </w:pPr>
      <w:r w:rsidRPr="00A27694">
        <w:rPr>
          <w:shd w:val="clear" w:color="auto" w:fill="FFFFFF"/>
        </w:rPr>
        <w:t xml:space="preserve">Senāts secina, ka tiesa šīs prasības nav izpildījusi, jo spriedums ir acīmredzami pretrunīgs un </w:t>
      </w:r>
      <w:r w:rsidR="006B03D6" w:rsidRPr="00A27694">
        <w:rPr>
          <w:shd w:val="clear" w:color="auto" w:fill="FFFFFF"/>
        </w:rPr>
        <w:t>līdz ar to</w:t>
      </w:r>
      <w:r w:rsidRPr="00A27694">
        <w:rPr>
          <w:shd w:val="clear" w:color="auto" w:fill="FFFFFF"/>
        </w:rPr>
        <w:t xml:space="preserve"> neskaidrs, turklāt attiecībā uz pašu būtiskāko – kādā apjomā un kādēļ </w:t>
      </w:r>
      <w:r w:rsidR="00AF5B48" w:rsidRPr="00A27694">
        <w:rPr>
          <w:shd w:val="clear" w:color="auto" w:fill="FFFFFF"/>
        </w:rPr>
        <w:t>[pers. B]</w:t>
      </w:r>
      <w:r w:rsidRPr="00A27694">
        <w:rPr>
          <w:shd w:val="clear" w:color="auto" w:fill="FFFFFF"/>
        </w:rPr>
        <w:t xml:space="preserve"> ierobežojama rīcībspēja nākamajā laika posmā.</w:t>
      </w:r>
    </w:p>
    <w:p w14:paraId="786838B6" w14:textId="0713A1F7" w:rsidR="00367D00" w:rsidRPr="00A27694" w:rsidRDefault="00367D00" w:rsidP="006642EE">
      <w:pPr>
        <w:spacing w:line="276" w:lineRule="auto"/>
        <w:ind w:firstLine="709"/>
        <w:jc w:val="both"/>
      </w:pPr>
      <w:r w:rsidRPr="00A27694">
        <w:t xml:space="preserve">[4.2.1] Tiesa sprieduma motīvu daļā </w:t>
      </w:r>
      <w:r w:rsidR="005E3DBB" w:rsidRPr="00A27694">
        <w:t xml:space="preserve">atzinusi, ka </w:t>
      </w:r>
      <w:r w:rsidR="00AF5B48" w:rsidRPr="00A27694">
        <w:t>[pers. B]</w:t>
      </w:r>
      <w:r w:rsidRPr="00A27694">
        <w:t xml:space="preserve"> nepieder nekāda nekustamā vai vērtīga kustamā manta, līdz ar to nav pamata noteikt rīcībspējas ierobežojuma apjomu nekustamā īpašuma atsavināšanas, ieķīlāšanas un apgrūtināšanas ar lietu tiesībām jomā. </w:t>
      </w:r>
      <w:r w:rsidR="005E3DBB" w:rsidRPr="00A27694">
        <w:t>Vienlaikus</w:t>
      </w:r>
      <w:r w:rsidRPr="00A27694">
        <w:t xml:space="preserve"> tiesa sprieduma rezolutīvajā daļā nospriedusi šajā jomā </w:t>
      </w:r>
      <w:r w:rsidR="00AF5B48" w:rsidRPr="00A27694">
        <w:t>[pers. B]</w:t>
      </w:r>
      <w:r w:rsidRPr="00A27694">
        <w:t xml:space="preserve"> rīcībspēju </w:t>
      </w:r>
      <w:r w:rsidR="006B03D6" w:rsidRPr="00A27694">
        <w:t xml:space="preserve">tomēr </w:t>
      </w:r>
      <w:r w:rsidRPr="00A27694">
        <w:t>ierobežot.</w:t>
      </w:r>
    </w:p>
    <w:p w14:paraId="51549AB9" w14:textId="2FD2CDFD" w:rsidR="00367D00" w:rsidRPr="00A27694" w:rsidRDefault="005E3DBB" w:rsidP="006642EE">
      <w:pPr>
        <w:spacing w:line="276" w:lineRule="auto"/>
        <w:ind w:firstLine="720"/>
        <w:jc w:val="both"/>
      </w:pPr>
      <w:r w:rsidRPr="00A27694">
        <w:t xml:space="preserve">Līdz ar to </w:t>
      </w:r>
      <w:r w:rsidR="00C3578D" w:rsidRPr="00A27694">
        <w:t xml:space="preserve">Senāts piekrīt </w:t>
      </w:r>
      <w:r w:rsidR="00367D00" w:rsidRPr="00A27694">
        <w:t>protesta argumentam</w:t>
      </w:r>
      <w:r w:rsidR="00C3578D" w:rsidRPr="00A27694">
        <w:t xml:space="preserve">, ka </w:t>
      </w:r>
      <w:r w:rsidR="00367D00" w:rsidRPr="00A27694">
        <w:t>sprieduma rezolutīvajā daļā nospriestais neatbilst motīvu daļā norādītaj</w:t>
      </w:r>
      <w:r w:rsidRPr="00A27694">
        <w:t>a</w:t>
      </w:r>
      <w:r w:rsidR="00367D00" w:rsidRPr="00A27694">
        <w:t>i argument</w:t>
      </w:r>
      <w:r w:rsidRPr="00A27694">
        <w:t>ācijai</w:t>
      </w:r>
      <w:r w:rsidR="00C8171F" w:rsidRPr="00A27694">
        <w:t>, tādēļ spriedumu nevar atzīt par likumīgu un pamatotu.</w:t>
      </w:r>
      <w:r w:rsidR="00367D00" w:rsidRPr="00A27694">
        <w:t xml:space="preserve"> </w:t>
      </w:r>
    </w:p>
    <w:p w14:paraId="35C087BF" w14:textId="5297297F" w:rsidR="00BE7E61" w:rsidRPr="00A27694" w:rsidRDefault="00367D00" w:rsidP="006642EE">
      <w:pPr>
        <w:spacing w:line="276" w:lineRule="auto"/>
        <w:ind w:firstLine="709"/>
        <w:jc w:val="both"/>
      </w:pPr>
      <w:r w:rsidRPr="00A27694">
        <w:t xml:space="preserve">[4.2.2] </w:t>
      </w:r>
      <w:r w:rsidR="00BE7E61" w:rsidRPr="00A27694">
        <w:t>Tāpat protestā pa</w:t>
      </w:r>
      <w:r w:rsidR="00C8171F" w:rsidRPr="00A27694">
        <w:t>reizi</w:t>
      </w:r>
      <w:r w:rsidR="00BE7E61" w:rsidRPr="00A27694">
        <w:t xml:space="preserve"> norādīts, ka no tiesas sprieduma rezolutīvās daļas nav saprotams, kādā apjomā tiesa ir nospriedusi saglabāt </w:t>
      </w:r>
      <w:r w:rsidR="00AF5B48" w:rsidRPr="00A27694">
        <w:t>[pers. B]</w:t>
      </w:r>
      <w:r w:rsidR="00BE7E61" w:rsidRPr="00A27694">
        <w:t xml:space="preserve"> rīcībspējas ierobežojumu. </w:t>
      </w:r>
    </w:p>
    <w:p w14:paraId="35A9BC12" w14:textId="6CDB7240" w:rsidR="00BC4A6C" w:rsidRPr="00A27694" w:rsidRDefault="00BC4A6C" w:rsidP="006642EE">
      <w:pPr>
        <w:spacing w:line="276" w:lineRule="auto"/>
        <w:ind w:firstLine="709"/>
        <w:jc w:val="both"/>
      </w:pPr>
      <w:r w:rsidRPr="00A27694">
        <w:lastRenderedPageBreak/>
        <w:t xml:space="preserve">Ar </w:t>
      </w:r>
      <w:r w:rsidR="00AF5B48" w:rsidRPr="00A27694">
        <w:t>[..]</w:t>
      </w:r>
      <w:r w:rsidRPr="00A27694">
        <w:t xml:space="preserve"> tiesas 2011.gada</w:t>
      </w:r>
      <w:r w:rsidR="00AF5B48" w:rsidRPr="00A27694">
        <w:t xml:space="preserve"> [..]</w:t>
      </w:r>
      <w:r w:rsidRPr="00A27694">
        <w:t xml:space="preserve"> spriedumu </w:t>
      </w:r>
      <w:r w:rsidR="00AF5B48" w:rsidRPr="00A27694">
        <w:t>[pers. B]</w:t>
      </w:r>
      <w:r w:rsidRPr="00A27694">
        <w:t xml:space="preserve"> tika atzīts par rīcībnespējīgu, savukārt ar </w:t>
      </w:r>
      <w:r w:rsidR="00AF5B48" w:rsidRPr="00A27694">
        <w:t>[..]</w:t>
      </w:r>
      <w:r w:rsidRPr="00A27694">
        <w:t xml:space="preserve"> tiesas 2015.gada </w:t>
      </w:r>
      <w:r w:rsidR="00AF5B48" w:rsidRPr="00A27694">
        <w:t>[..]</w:t>
      </w:r>
      <w:r w:rsidRPr="00A27694">
        <w:t xml:space="preserve"> spriedumu grozīts </w:t>
      </w:r>
      <w:r w:rsidR="00AF5B48" w:rsidRPr="00A27694">
        <w:t>[..]</w:t>
      </w:r>
      <w:r w:rsidRPr="00A27694">
        <w:t xml:space="preserve"> tiesas 2011.gada </w:t>
      </w:r>
      <w:r w:rsidR="00AF5B48" w:rsidRPr="00A27694">
        <w:t>[..]</w:t>
      </w:r>
      <w:r w:rsidRPr="00A27694">
        <w:t xml:space="preserve"> spriedums un rīcībspēja ierobežota šādā apjomā: maksājumu izdarīšana un saņemšana; darījumu slēgšana; rīcība ar mantu un tās pārvaldība, it īpaši nekustamā īpašuma atsavināšana, ieķīlāšana un apgrūtināšana ar lietu tiesībām; komercdarbības un saimnieciskās darbības veikšana, nosakot, ka </w:t>
      </w:r>
      <w:r w:rsidR="00AF5B48" w:rsidRPr="00A27694">
        <w:t>[pers. B]</w:t>
      </w:r>
      <w:r w:rsidRPr="00A27694">
        <w:t xml:space="preserve"> aizgādnis rīkojas patstāvīgi visās rīcībspējas ierobežojuma jomās.</w:t>
      </w:r>
    </w:p>
    <w:p w14:paraId="4EABA5DD" w14:textId="487943D4" w:rsidR="008B022C" w:rsidRPr="00A27694" w:rsidRDefault="00BC4A6C" w:rsidP="006642EE">
      <w:pPr>
        <w:spacing w:line="276" w:lineRule="auto"/>
        <w:ind w:firstLine="709"/>
        <w:jc w:val="both"/>
      </w:pPr>
      <w:r w:rsidRPr="00A27694">
        <w:t xml:space="preserve">Tātad ar </w:t>
      </w:r>
      <w:r w:rsidR="00AF5B48" w:rsidRPr="00A27694">
        <w:t>[..]</w:t>
      </w:r>
      <w:r w:rsidRPr="00A27694">
        <w:t xml:space="preserve"> tiesas 2011.gada </w:t>
      </w:r>
      <w:r w:rsidR="00AF5B48" w:rsidRPr="00A27694">
        <w:t>[..]</w:t>
      </w:r>
      <w:r w:rsidRPr="00A27694">
        <w:t xml:space="preserve"> spriedumu </w:t>
      </w:r>
      <w:r w:rsidR="00AF5B48" w:rsidRPr="00A27694">
        <w:t>[pers. B]</w:t>
      </w:r>
      <w:r w:rsidRPr="00A27694">
        <w:t xml:space="preserve"> tika atzīts par pilnīgi rīcībnespējīgu</w:t>
      </w:r>
      <w:r w:rsidR="008B022C" w:rsidRPr="00A27694">
        <w:t xml:space="preserve">, bet ar </w:t>
      </w:r>
      <w:r w:rsidR="00AF5B48" w:rsidRPr="00A27694">
        <w:t xml:space="preserve">[..] </w:t>
      </w:r>
      <w:r w:rsidR="008B022C" w:rsidRPr="00A27694">
        <w:t xml:space="preserve">tiesas 2015.gada </w:t>
      </w:r>
      <w:r w:rsidR="00AF5B48" w:rsidRPr="00A27694">
        <w:t>[..]</w:t>
      </w:r>
      <w:r w:rsidR="008B022C" w:rsidRPr="00A27694">
        <w:t xml:space="preserve"> spriedumu </w:t>
      </w:r>
      <w:r w:rsidR="00AF5B48" w:rsidRPr="00A27694">
        <w:t>[pers. B]</w:t>
      </w:r>
      <w:r w:rsidR="008B022C" w:rsidRPr="00A27694">
        <w:t xml:space="preserve"> rīcībspēja tika ierobežota konkrētā – mazākā – apjomā.</w:t>
      </w:r>
    </w:p>
    <w:p w14:paraId="2E11C35C" w14:textId="333D5CC6" w:rsidR="0034077C" w:rsidRPr="00A27694" w:rsidRDefault="008B022C" w:rsidP="006642EE">
      <w:pPr>
        <w:spacing w:line="276" w:lineRule="auto"/>
        <w:ind w:firstLine="709"/>
        <w:jc w:val="both"/>
      </w:pPr>
      <w:r w:rsidRPr="00A27694">
        <w:t xml:space="preserve">Protestētā sprieduma motīvu daļā tiesa atzinusi nepieciešamību saglabāt rīcībspējas ierobežojumu </w:t>
      </w:r>
      <w:r w:rsidR="00AF5B48" w:rsidRPr="00A27694">
        <w:t>[..]</w:t>
      </w:r>
      <w:r w:rsidRPr="00A27694">
        <w:t xml:space="preserve"> tiesas 2015.gada </w:t>
      </w:r>
      <w:r w:rsidR="00AF5B48" w:rsidRPr="00A27694">
        <w:t>[..]</w:t>
      </w:r>
      <w:r w:rsidRPr="00A27694">
        <w:t xml:space="preserve"> spriedumā noteiktajā apjomā, nosakot atsevišķu papildu ierobežojumu pārstāvībai iestādēs. Neskatoties uz minēto, sprieduma rezolutīvajā daļā </w:t>
      </w:r>
      <w:r w:rsidR="0034077C" w:rsidRPr="00A27694">
        <w:t>tiesa nospriedusi</w:t>
      </w:r>
      <w:r w:rsidR="004C4DCD" w:rsidRPr="00A27694">
        <w:t xml:space="preserve"> saglabāt ar </w:t>
      </w:r>
      <w:r w:rsidR="00AF5B48" w:rsidRPr="00A27694">
        <w:t>[..]</w:t>
      </w:r>
      <w:r w:rsidR="004C4DCD" w:rsidRPr="00A27694">
        <w:t xml:space="preserve"> tiesas 2011.gada </w:t>
      </w:r>
      <w:r w:rsidR="00AF5B48" w:rsidRPr="00A27694">
        <w:t>[..]</w:t>
      </w:r>
      <w:r w:rsidR="004C4DCD" w:rsidRPr="00A27694">
        <w:t xml:space="preserve"> spriedumu </w:t>
      </w:r>
      <w:r w:rsidR="00AF5B48" w:rsidRPr="00A27694">
        <w:t>[pers. B]</w:t>
      </w:r>
      <w:r w:rsidR="004C4DCD" w:rsidRPr="00A27694">
        <w:t xml:space="preserve"> noteikto rīcībspējas ierobežojuma apjomu, papildus no</w:t>
      </w:r>
      <w:r w:rsidR="001F4428" w:rsidRPr="00A27694">
        <w:t>sakot</w:t>
      </w:r>
      <w:r w:rsidR="004C4DCD" w:rsidRPr="00A27694">
        <w:t xml:space="preserve"> rīcībspējas ierobežojumu </w:t>
      </w:r>
      <w:r w:rsidR="001F4428" w:rsidRPr="00A27694">
        <w:t>vairākās jomās.</w:t>
      </w:r>
    </w:p>
    <w:p w14:paraId="5C8A142E" w14:textId="75156747" w:rsidR="001F4428" w:rsidRPr="00A27694" w:rsidRDefault="001F4428" w:rsidP="006642EE">
      <w:pPr>
        <w:spacing w:line="276" w:lineRule="auto"/>
        <w:ind w:firstLine="720"/>
        <w:jc w:val="both"/>
      </w:pPr>
      <w:r w:rsidRPr="00A27694">
        <w:t xml:space="preserve">Tātad arī šajā </w:t>
      </w:r>
      <w:r w:rsidR="001B3EB9" w:rsidRPr="00A27694">
        <w:t>aspektā</w:t>
      </w:r>
      <w:r w:rsidRPr="00A27694">
        <w:t xml:space="preserve"> sprieduma rezolutīvajā daļā nospriestais neatbilst motīvu daļā norādītajai argumentācijai. </w:t>
      </w:r>
    </w:p>
    <w:p w14:paraId="22E517D7" w14:textId="77777777" w:rsidR="00DE1333" w:rsidRPr="00A27694" w:rsidRDefault="001F4428" w:rsidP="006642EE">
      <w:pPr>
        <w:spacing w:line="276" w:lineRule="auto"/>
        <w:ind w:firstLine="709"/>
        <w:jc w:val="both"/>
      </w:pPr>
      <w:r w:rsidRPr="00A27694">
        <w:t xml:space="preserve">Tomēr Senāta ieskatā jo īpaši būtiski, ka </w:t>
      </w:r>
      <w:r w:rsidR="00BC4A6C" w:rsidRPr="00A27694">
        <w:t xml:space="preserve">protestētā sprieduma rezolutīvajā daļā ietvertā </w:t>
      </w:r>
      <w:r w:rsidRPr="00A27694">
        <w:t xml:space="preserve">iepriekšminētā </w:t>
      </w:r>
      <w:r w:rsidR="00BC4A6C" w:rsidRPr="00A27694">
        <w:t>konstrukcija ir neiespējama</w:t>
      </w:r>
      <w:r w:rsidRPr="00A27694">
        <w:t xml:space="preserve"> gan tiesiski, gan faktiski. </w:t>
      </w:r>
    </w:p>
    <w:p w14:paraId="4DBD5463" w14:textId="449CEDB9" w:rsidR="00BC4A6C" w:rsidRPr="00A27694" w:rsidRDefault="001F4428" w:rsidP="006642EE">
      <w:pPr>
        <w:spacing w:line="276" w:lineRule="auto"/>
        <w:ind w:firstLine="709"/>
        <w:jc w:val="both"/>
      </w:pPr>
      <w:r w:rsidRPr="00A27694">
        <w:t xml:space="preserve">Pirmkārt, ar </w:t>
      </w:r>
      <w:r w:rsidR="00AF5B48" w:rsidRPr="00A27694">
        <w:t>[..]</w:t>
      </w:r>
      <w:r w:rsidRPr="00A27694">
        <w:t xml:space="preserve"> tiesas 2011.gada </w:t>
      </w:r>
      <w:r w:rsidR="00AF5B48" w:rsidRPr="00A27694">
        <w:t>[..]</w:t>
      </w:r>
      <w:r w:rsidRPr="00A27694">
        <w:t xml:space="preserve"> spriedumu </w:t>
      </w:r>
      <w:r w:rsidR="00AF5B48" w:rsidRPr="00A27694">
        <w:t>[pers. B]</w:t>
      </w:r>
      <w:r w:rsidRPr="00A27694">
        <w:t xml:space="preserve"> tika atzīts par rīcībnespējīgu</w:t>
      </w:r>
      <w:r w:rsidR="00837383" w:rsidRPr="00A27694">
        <w:t>, proti, rīcībspēja tika nevis ierobežota kādā noteiktā apjomā, bet gan tā tika liegta visplašākajā apjomā</w:t>
      </w:r>
      <w:r w:rsidR="00424AD1" w:rsidRPr="00A27694">
        <w:t xml:space="preserve"> (visās dzīves jomās)</w:t>
      </w:r>
      <w:r w:rsidR="00837383" w:rsidRPr="00A27694">
        <w:t>. Līdz ar to pilnīgam rīcībspējas ierobežojumam noteikt papildus vēl kādus citus rīcībspējas ierobežojumus vispār nav iespējams.</w:t>
      </w:r>
    </w:p>
    <w:p w14:paraId="5785B688" w14:textId="00E86781" w:rsidR="00295F31" w:rsidRPr="00A27694" w:rsidRDefault="00837383" w:rsidP="006642EE">
      <w:pPr>
        <w:spacing w:line="276" w:lineRule="auto"/>
        <w:ind w:firstLine="709"/>
        <w:jc w:val="both"/>
      </w:pPr>
      <w:r w:rsidRPr="00A27694">
        <w:t xml:space="preserve">Otrkārt, </w:t>
      </w:r>
      <w:bookmarkStart w:id="3" w:name="_Hlk116387059"/>
      <w:r w:rsidR="00515AB4" w:rsidRPr="00A27694">
        <w:rPr>
          <w:color w:val="000000"/>
          <w:shd w:val="clear" w:color="auto" w:fill="FFFFFF"/>
        </w:rPr>
        <w:t>Latvijas Republikas Satversmes tiesa 2010.gada 27.decembra spriedumā lietā Nr. 2010-38-01</w:t>
      </w:r>
      <w:bookmarkEnd w:id="3"/>
      <w:r w:rsidR="00515AB4" w:rsidRPr="00A27694">
        <w:rPr>
          <w:color w:val="000000"/>
          <w:shd w:val="clear" w:color="auto" w:fill="FFFFFF"/>
        </w:rPr>
        <w:t xml:space="preserve"> atzina Civillikuma 358. un 364.pantu par neatbilstošu Latvijas Republikas Satversmes 96.pantam un spēkā neesošu no 2012.gada 1.janvāra.</w:t>
      </w:r>
      <w:r w:rsidR="00515AB4" w:rsidRPr="00A27694">
        <w:t xml:space="preserve"> K</w:t>
      </w:r>
      <w:r w:rsidRPr="00A27694">
        <w:t xml:space="preserve">opš </w:t>
      </w:r>
      <w:r w:rsidR="00CC3D3F" w:rsidRPr="00A27694">
        <w:t xml:space="preserve">2012.gada </w:t>
      </w:r>
      <w:r w:rsidR="00295F31" w:rsidRPr="00A27694">
        <w:t xml:space="preserve">29.novembra </w:t>
      </w:r>
      <w:r w:rsidRPr="00A27694">
        <w:t>grozījumiem</w:t>
      </w:r>
      <w:r w:rsidR="00CC3D3F" w:rsidRPr="00A27694">
        <w:t xml:space="preserve"> Civillikumā un Civilprocesa likumā</w:t>
      </w:r>
      <w:r w:rsidRPr="00A27694">
        <w:t xml:space="preserve">, kas </w:t>
      </w:r>
      <w:r w:rsidR="00CC3D3F" w:rsidRPr="00A27694">
        <w:t xml:space="preserve">stājās spēkā 2013.gada 1.janvārī, </w:t>
      </w:r>
      <w:r w:rsidR="00295F31" w:rsidRPr="00A27694">
        <w:t xml:space="preserve">likumdevējs atteicies no pilnīgas rīcībnespējas institūta, tā vietā paredzot tiesām tiesības noteikt </w:t>
      </w:r>
      <w:r w:rsidR="00515AB4" w:rsidRPr="00A27694">
        <w:t xml:space="preserve">personas </w:t>
      </w:r>
      <w:r w:rsidR="00295F31" w:rsidRPr="00A27694">
        <w:t>rīcībspējas ierobežojumus konkrētā</w:t>
      </w:r>
      <w:r w:rsidR="00515AB4" w:rsidRPr="00A27694">
        <w:t xml:space="preserve">s jomās un </w:t>
      </w:r>
      <w:r w:rsidR="00295F31" w:rsidRPr="00A27694">
        <w:t>apjomā (</w:t>
      </w:r>
      <w:r w:rsidR="00295F31" w:rsidRPr="00A27694">
        <w:rPr>
          <w:shd w:val="clear" w:color="auto" w:fill="FFFFFF"/>
        </w:rPr>
        <w:t xml:space="preserve">tādā apjomā, kādā </w:t>
      </w:r>
      <w:r w:rsidR="00424AD1" w:rsidRPr="00A27694">
        <w:rPr>
          <w:shd w:val="clear" w:color="auto" w:fill="FFFFFF"/>
        </w:rPr>
        <w:t>persona</w:t>
      </w:r>
      <w:r w:rsidR="00295F31" w:rsidRPr="00A27694">
        <w:rPr>
          <w:shd w:val="clear" w:color="auto" w:fill="FFFFFF"/>
        </w:rPr>
        <w:t xml:space="preserve"> nespēj saprast savas darbības nozīmi vai nespēj savu darbību vadīt)</w:t>
      </w:r>
      <w:r w:rsidR="00295F31" w:rsidRPr="00A27694">
        <w:t xml:space="preserve"> (sk. </w:t>
      </w:r>
      <w:r w:rsidR="00424AD1" w:rsidRPr="00A27694">
        <w:t xml:space="preserve">jo īpaši </w:t>
      </w:r>
      <w:r w:rsidR="00295F31" w:rsidRPr="00A27694">
        <w:t>Civillikuma 357., 358.</w:t>
      </w:r>
      <w:r w:rsidR="00295F31" w:rsidRPr="00A27694">
        <w:rPr>
          <w:vertAlign w:val="superscript"/>
        </w:rPr>
        <w:t>1</w:t>
      </w:r>
      <w:r w:rsidR="00295F31" w:rsidRPr="00A27694">
        <w:t>pantu).</w:t>
      </w:r>
      <w:r w:rsidR="00515AB4" w:rsidRPr="00A27694">
        <w:rPr>
          <w:color w:val="000000"/>
          <w:shd w:val="clear" w:color="auto" w:fill="FFFFFF"/>
        </w:rPr>
        <w:t xml:space="preserve"> Personas rīcībspēja nav ierobežojama vairāk, kā tas nepieciešamas pašas personas tiesību aizsardzībai.</w:t>
      </w:r>
    </w:p>
    <w:p w14:paraId="631C1543" w14:textId="37CF98D4" w:rsidR="00837383" w:rsidRPr="00A27694" w:rsidRDefault="00E811CE" w:rsidP="006642EE">
      <w:pPr>
        <w:spacing w:line="276" w:lineRule="auto"/>
        <w:ind w:firstLine="709"/>
        <w:jc w:val="both"/>
      </w:pPr>
      <w:r w:rsidRPr="00A27694">
        <w:t>Ar</w:t>
      </w:r>
      <w:r w:rsidR="00837383" w:rsidRPr="00A27694">
        <w:t xml:space="preserve"> </w:t>
      </w:r>
      <w:r w:rsidR="00AF5B48" w:rsidRPr="00A27694">
        <w:t>[..]</w:t>
      </w:r>
      <w:r w:rsidR="00837383" w:rsidRPr="00A27694">
        <w:t xml:space="preserve"> tiesas 2011.gada </w:t>
      </w:r>
      <w:r w:rsidR="00AF5B48" w:rsidRPr="00A27694">
        <w:t>[..]</w:t>
      </w:r>
      <w:r w:rsidR="00837383" w:rsidRPr="00A27694">
        <w:t xml:space="preserve"> spriedumu </w:t>
      </w:r>
      <w:r w:rsidR="00AF5B48" w:rsidRPr="00A27694">
        <w:t>[pers. B]</w:t>
      </w:r>
      <w:r w:rsidR="00837383" w:rsidRPr="00A27694">
        <w:t xml:space="preserve"> tika atzīts par rīcībnespējīgu</w:t>
      </w:r>
      <w:r w:rsidRPr="00A27694">
        <w:t xml:space="preserve"> saskaņā ar </w:t>
      </w:r>
      <w:r w:rsidR="00515AB4" w:rsidRPr="00A27694">
        <w:t xml:space="preserve">normatīvo </w:t>
      </w:r>
      <w:r w:rsidRPr="00A27694">
        <w:t>regulējumu</w:t>
      </w:r>
      <w:r w:rsidR="00515AB4" w:rsidRPr="00A27694">
        <w:t xml:space="preserve"> (tostarp </w:t>
      </w:r>
      <w:r w:rsidR="00372E1C" w:rsidRPr="00A27694">
        <w:t>C</w:t>
      </w:r>
      <w:r w:rsidR="00515AB4" w:rsidRPr="00A27694">
        <w:t>ivillikuma 358.pantu)</w:t>
      </w:r>
      <w:r w:rsidRPr="00A27694">
        <w:t>, kas vairs nav spēkā</w:t>
      </w:r>
      <w:r w:rsidR="00837383" w:rsidRPr="00A27694">
        <w:t xml:space="preserve">. Līdz ar to </w:t>
      </w:r>
      <w:r w:rsidR="00372E1C" w:rsidRPr="00A27694">
        <w:t xml:space="preserve">nav tiesiski saglabāt </w:t>
      </w:r>
      <w:r w:rsidR="00AF5B48" w:rsidRPr="00A27694">
        <w:t>[..]</w:t>
      </w:r>
      <w:r w:rsidR="00837383" w:rsidRPr="00A27694">
        <w:t xml:space="preserve"> tiesas 2011.gada </w:t>
      </w:r>
      <w:r w:rsidR="00AF5B48" w:rsidRPr="00A27694">
        <w:t>[..]</w:t>
      </w:r>
      <w:r w:rsidR="00837383" w:rsidRPr="00A27694">
        <w:t xml:space="preserve"> spriedumā noteikt</w:t>
      </w:r>
      <w:r w:rsidR="00372E1C" w:rsidRPr="00A27694">
        <w:t>o</w:t>
      </w:r>
      <w:r w:rsidR="00837383" w:rsidRPr="00A27694">
        <w:t xml:space="preserve"> </w:t>
      </w:r>
      <w:r w:rsidR="00AF5B48" w:rsidRPr="00A27694">
        <w:t>[pers. B]</w:t>
      </w:r>
      <w:r w:rsidR="00837383" w:rsidRPr="00A27694">
        <w:t xml:space="preserve"> rīcībspēj</w:t>
      </w:r>
      <w:r w:rsidR="00372E1C" w:rsidRPr="00A27694">
        <w:t>as pilnīgu ierobežojumu.</w:t>
      </w:r>
    </w:p>
    <w:p w14:paraId="6BEEB4F2" w14:textId="29021F03" w:rsidR="008050B6" w:rsidRPr="00A27694" w:rsidRDefault="00BD4A2F" w:rsidP="006642EE">
      <w:pPr>
        <w:spacing w:line="276" w:lineRule="auto"/>
        <w:ind w:firstLine="709"/>
        <w:jc w:val="both"/>
      </w:pPr>
      <w:r w:rsidRPr="00A27694">
        <w:t>[4.3]</w:t>
      </w:r>
      <w:r w:rsidR="00117688" w:rsidRPr="00A27694">
        <w:t xml:space="preserve"> </w:t>
      </w:r>
      <w:r w:rsidR="008050B6" w:rsidRPr="00A27694">
        <w:t xml:space="preserve">Minētie procesuālie pārkāpumi ir būtiski, jo ne tikai nav nodrošināta prokurora obligātā līdzdalība un attiecīgi kontrole procesā par personas rīcībspējas ierobežošanu, bet arī nav saprotams ar spriedumu noteiktais </w:t>
      </w:r>
      <w:r w:rsidR="00AF5B48" w:rsidRPr="00A27694">
        <w:t>[pers. B]</w:t>
      </w:r>
      <w:r w:rsidR="008050B6" w:rsidRPr="00A27694">
        <w:t xml:space="preserve"> rīcībspējas ierobežojum</w:t>
      </w:r>
      <w:r w:rsidR="00A83105" w:rsidRPr="00A27694">
        <w:t>a</w:t>
      </w:r>
      <w:r w:rsidR="008050B6" w:rsidRPr="00A27694">
        <w:t xml:space="preserve"> apjoms, tādēļ šie pārkāpumi ir pamats sprieduma atcelšanai saskaņā ar Civilprocesa likuma </w:t>
      </w:r>
      <w:r w:rsidR="008050B6" w:rsidRPr="00A27694">
        <w:rPr>
          <w:color w:val="000000"/>
        </w:rPr>
        <w:t>474.panta 2.punktu,</w:t>
      </w:r>
      <w:r w:rsidR="008050B6" w:rsidRPr="00A27694">
        <w:t xml:space="preserve"> 484.pantu. Lieta nododama jaunai izskatīšanai pirmās instances tiesai, kas pēc </w:t>
      </w:r>
      <w:r w:rsidR="00467823" w:rsidRPr="00A27694">
        <w:t>[..]</w:t>
      </w:r>
      <w:r w:rsidR="008050B6" w:rsidRPr="00A27694">
        <w:t xml:space="preserve"> tiesu reorganizācijas ir </w:t>
      </w:r>
      <w:r w:rsidR="00467823" w:rsidRPr="00A27694">
        <w:rPr>
          <w:lang w:eastAsia="lv-LV"/>
        </w:rPr>
        <w:t>[..]</w:t>
      </w:r>
      <w:r w:rsidR="008050B6" w:rsidRPr="00A27694">
        <w:rPr>
          <w:lang w:eastAsia="lv-LV"/>
        </w:rPr>
        <w:t xml:space="preserve"> </w:t>
      </w:r>
      <w:r w:rsidR="008050B6" w:rsidRPr="00A27694">
        <w:t>tiesa.</w:t>
      </w:r>
    </w:p>
    <w:p w14:paraId="65DF0FB6" w14:textId="1F0084F0" w:rsidR="00117688" w:rsidRPr="00A27694" w:rsidRDefault="008050B6" w:rsidP="006642EE">
      <w:pPr>
        <w:spacing w:line="276" w:lineRule="auto"/>
        <w:ind w:firstLine="709"/>
        <w:jc w:val="both"/>
      </w:pPr>
      <w:r w:rsidRPr="00A27694">
        <w:t xml:space="preserve">[4.4] </w:t>
      </w:r>
      <w:r w:rsidR="00117688" w:rsidRPr="00A27694">
        <w:t>Lai gan protestā pareizi norādīts, ka</w:t>
      </w:r>
      <w:r w:rsidR="00372E1C" w:rsidRPr="00A27694">
        <w:t xml:space="preserve">, nosakot rīcībspējas ierobežojumus, ir jāvērtē riski jomās, kurās tiek lūgts noteikt rīcībspējas ierobežojumus, tomēr Senāts </w:t>
      </w:r>
      <w:r w:rsidRPr="00A27694">
        <w:t xml:space="preserve">nesaskata būtiskus procesuālo tiesību normu pārkāpumus attiecībā uz </w:t>
      </w:r>
      <w:r w:rsidR="00372E1C" w:rsidRPr="00A27694">
        <w:t xml:space="preserve">lietā esošo pierādījumu par </w:t>
      </w:r>
      <w:r w:rsidR="00467823" w:rsidRPr="00A27694">
        <w:t>[pers. B]</w:t>
      </w:r>
      <w:r w:rsidR="00372E1C" w:rsidRPr="00A27694">
        <w:t xml:space="preserve"> veselības stāvokli pārbaudi</w:t>
      </w:r>
      <w:r w:rsidR="001F79A7" w:rsidRPr="00A27694">
        <w:t xml:space="preserve"> un to sasaisti ar nepieciešamību ierobežot </w:t>
      </w:r>
      <w:r w:rsidR="00467823" w:rsidRPr="00A27694">
        <w:t>[pers. B]</w:t>
      </w:r>
      <w:r w:rsidR="001F79A7" w:rsidRPr="00A27694">
        <w:t xml:space="preserve"> rīcībspēju darījumu slēgšanā, komercdarbības un saimnieciskās darbības veikšanā</w:t>
      </w:r>
      <w:r w:rsidRPr="00A27694">
        <w:t>.</w:t>
      </w:r>
      <w:r w:rsidR="00117688" w:rsidRPr="00A27694">
        <w:t xml:space="preserve"> </w:t>
      </w:r>
    </w:p>
    <w:p w14:paraId="0E04A45A" w14:textId="77EAAEC9" w:rsidR="001B3EB9" w:rsidRPr="00A27694" w:rsidRDefault="001B3EB9" w:rsidP="006642EE">
      <w:pPr>
        <w:spacing w:line="276" w:lineRule="auto"/>
        <w:ind w:firstLine="709"/>
        <w:jc w:val="both"/>
      </w:pPr>
      <w:r w:rsidRPr="00A27694">
        <w:lastRenderedPageBreak/>
        <w:t>[4.5] Senāts papildus norāda, ka</w:t>
      </w:r>
      <w:r w:rsidR="00561236" w:rsidRPr="00A27694">
        <w:t>,</w:t>
      </w:r>
      <w:r w:rsidRPr="00A27694">
        <w:t xml:space="preserve"> izlemjot pieteikumu par personas rīcībspējas ierobežojuma pārskatīšanu Civilprocesa likuma 33.</w:t>
      </w:r>
      <w:r w:rsidRPr="00A27694">
        <w:rPr>
          <w:vertAlign w:val="superscript"/>
        </w:rPr>
        <w:t>1</w:t>
      </w:r>
      <w:r w:rsidRPr="00A27694">
        <w:t>nodaļas kārtībā</w:t>
      </w:r>
      <w:r w:rsidR="00561236" w:rsidRPr="00A27694">
        <w:t xml:space="preserve">, tiesa </w:t>
      </w:r>
      <w:r w:rsidR="005774BA" w:rsidRPr="00A27694">
        <w:t xml:space="preserve">spriedumā </w:t>
      </w:r>
      <w:r w:rsidR="00561236" w:rsidRPr="00A27694">
        <w:t xml:space="preserve">norāda Civilprocesa likuma </w:t>
      </w:r>
      <w:r w:rsidR="00EA107F" w:rsidRPr="00A27694">
        <w:t>270.</w:t>
      </w:r>
      <w:r w:rsidR="00EA107F" w:rsidRPr="00A27694">
        <w:rPr>
          <w:vertAlign w:val="superscript"/>
        </w:rPr>
        <w:t>6</w:t>
      </w:r>
      <w:r w:rsidR="00EA107F" w:rsidRPr="00A27694">
        <w:t xml:space="preserve">panta </w:t>
      </w:r>
      <w:r w:rsidR="005774BA" w:rsidRPr="00A27694">
        <w:t>pirmajā daļā paredzēto, proti, vai ierobežojums atceļams, saglabājams vai grozāms.</w:t>
      </w:r>
      <w:r w:rsidR="00C31CC9" w:rsidRPr="00A27694">
        <w:t xml:space="preserve"> Atšķirībā no 270.</w:t>
      </w:r>
      <w:r w:rsidR="00C31CC9" w:rsidRPr="00A27694">
        <w:rPr>
          <w:vertAlign w:val="superscript"/>
        </w:rPr>
        <w:t>6</w:t>
      </w:r>
      <w:r w:rsidR="00C31CC9" w:rsidRPr="00A27694">
        <w:t xml:space="preserve">panta otrās daļas </w:t>
      </w:r>
      <w:r w:rsidR="00A664C1" w:rsidRPr="00A27694">
        <w:t xml:space="preserve">šī panta </w:t>
      </w:r>
      <w:r w:rsidR="00C31CC9" w:rsidRPr="00A27694">
        <w:t>pirmā daļa neparedz tajā noteikto informāciju ietvert tieši sprieduma rezolutīvajā daļā, attiecīgi to var darīt sprieduma motīvu daļā.</w:t>
      </w:r>
      <w:r w:rsidR="005774BA" w:rsidRPr="00A27694">
        <w:t xml:space="preserve"> Savukārt </w:t>
      </w:r>
      <w:r w:rsidR="00C31CC9" w:rsidRPr="00A27694">
        <w:t>Civilprocesa likuma 270.</w:t>
      </w:r>
      <w:r w:rsidR="00C31CC9" w:rsidRPr="00A27694">
        <w:rPr>
          <w:vertAlign w:val="superscript"/>
        </w:rPr>
        <w:t>6</w:t>
      </w:r>
      <w:r w:rsidR="00C31CC9" w:rsidRPr="00A27694">
        <w:t xml:space="preserve">panta </w:t>
      </w:r>
      <w:r w:rsidR="00EA107F" w:rsidRPr="00A27694">
        <w:t>otrā daļa noteic tiesas pienākumu sprieduma rezolutīvajā daļā norādīt atcelto un saglabāto ierobežojumu apjomu</w:t>
      </w:r>
      <w:r w:rsidR="0038265D" w:rsidRPr="00A27694">
        <w:t xml:space="preserve">. </w:t>
      </w:r>
      <w:r w:rsidR="00EA107F" w:rsidRPr="00A27694">
        <w:t xml:space="preserve">Lai </w:t>
      </w:r>
      <w:r w:rsidR="0038265D" w:rsidRPr="00A27694">
        <w:t>izpildītu šo Civilprocesa likuma 270.</w:t>
      </w:r>
      <w:r w:rsidR="0038265D" w:rsidRPr="00A27694">
        <w:rPr>
          <w:vertAlign w:val="superscript"/>
        </w:rPr>
        <w:t>6</w:t>
      </w:r>
      <w:r w:rsidR="0038265D" w:rsidRPr="00A27694">
        <w:t>panta otrajā daļā noteikto</w:t>
      </w:r>
      <w:r w:rsidR="00EA107F" w:rsidRPr="00A27694">
        <w:t xml:space="preserve"> pienākumu, tiesai nav nepieciešams </w:t>
      </w:r>
      <w:r w:rsidR="000D029D" w:rsidRPr="00A27694">
        <w:t xml:space="preserve">sprieduma </w:t>
      </w:r>
      <w:r w:rsidR="00EA107F" w:rsidRPr="00A27694">
        <w:t>rezolutīvajā daļā atsaukties uz iepriekš pieņemto spriedumu</w:t>
      </w:r>
      <w:r w:rsidR="00561236" w:rsidRPr="00A27694">
        <w:t>, jo īpaši, ja tas padara sprieduma rezolūciju neskaidru.</w:t>
      </w:r>
      <w:r w:rsidR="0038265D" w:rsidRPr="00A27694">
        <w:t xml:space="preserve"> </w:t>
      </w:r>
      <w:r w:rsidR="00513299" w:rsidRPr="00A27694">
        <w:t>Rīcībspējas ierobežojuma j</w:t>
      </w:r>
      <w:r w:rsidR="00C767E0" w:rsidRPr="00A27694">
        <w:t>autājum</w:t>
      </w:r>
      <w:r w:rsidR="0038265D" w:rsidRPr="00A27694">
        <w:t>ā tiek taisīts jauns spriedums, un ir būtiski, lai tā rezolutīvajā daļā tiesa skaidri noteiktu, kādi konkrēti ierobežojumi turpmāk būs konkrētajai personai.</w:t>
      </w:r>
    </w:p>
    <w:p w14:paraId="5F329255" w14:textId="62B2792B" w:rsidR="008D05CD" w:rsidRPr="00A27694" w:rsidRDefault="008D05CD" w:rsidP="006642EE">
      <w:pPr>
        <w:spacing w:line="276" w:lineRule="auto"/>
        <w:ind w:firstLine="709"/>
        <w:jc w:val="both"/>
      </w:pPr>
    </w:p>
    <w:p w14:paraId="55E3ABD9" w14:textId="77777777" w:rsidR="00521767" w:rsidRPr="00A27694" w:rsidRDefault="00675596" w:rsidP="006642EE">
      <w:pPr>
        <w:spacing w:line="276" w:lineRule="auto"/>
        <w:jc w:val="center"/>
        <w:rPr>
          <w:b/>
          <w:lang w:eastAsia="lv-LV"/>
        </w:rPr>
      </w:pPr>
      <w:r w:rsidRPr="00A27694">
        <w:rPr>
          <w:b/>
          <w:lang w:eastAsia="lv-LV"/>
        </w:rPr>
        <w:t>Rezolutīvā daļa</w:t>
      </w:r>
    </w:p>
    <w:p w14:paraId="24243987" w14:textId="77777777" w:rsidR="00467823" w:rsidRPr="00A27694" w:rsidRDefault="00467823" w:rsidP="006642EE">
      <w:pPr>
        <w:spacing w:line="276" w:lineRule="auto"/>
        <w:ind w:firstLine="709"/>
        <w:jc w:val="both"/>
      </w:pPr>
    </w:p>
    <w:p w14:paraId="1A448684" w14:textId="636E93AD" w:rsidR="001338CB" w:rsidRPr="00A27694" w:rsidRDefault="00F445AA" w:rsidP="006642EE">
      <w:pPr>
        <w:spacing w:line="276" w:lineRule="auto"/>
        <w:ind w:firstLine="709"/>
        <w:jc w:val="both"/>
        <w:rPr>
          <w:b/>
        </w:rPr>
      </w:pPr>
      <w:r w:rsidRPr="00A27694">
        <w:t>Ņemot vērā minēto un p</w:t>
      </w:r>
      <w:r w:rsidR="001A777A" w:rsidRPr="00A27694">
        <w:t>amatojoties uz Civilprocesa likuma</w:t>
      </w:r>
      <w:r w:rsidR="002543C3" w:rsidRPr="00A27694">
        <w:t xml:space="preserve"> </w:t>
      </w:r>
      <w:r w:rsidR="00465769" w:rsidRPr="00A27694">
        <w:rPr>
          <w:color w:val="000000"/>
        </w:rPr>
        <w:t xml:space="preserve">474.panta 2.punktu, </w:t>
      </w:r>
      <w:r w:rsidR="008D05CD" w:rsidRPr="00A27694">
        <w:rPr>
          <w:color w:val="000000"/>
        </w:rPr>
        <w:t xml:space="preserve">484., </w:t>
      </w:r>
      <w:r w:rsidR="00465769" w:rsidRPr="00A27694">
        <w:rPr>
          <w:color w:val="000000"/>
        </w:rPr>
        <w:t>485.pantu</w:t>
      </w:r>
      <w:r w:rsidR="000551BF" w:rsidRPr="00A27694">
        <w:t>,</w:t>
      </w:r>
      <w:r w:rsidR="0002161B" w:rsidRPr="00A27694">
        <w:t xml:space="preserve"> </w:t>
      </w:r>
      <w:r w:rsidR="00945510" w:rsidRPr="00A27694">
        <w:t>Senāts</w:t>
      </w:r>
    </w:p>
    <w:p w14:paraId="2E396200" w14:textId="77777777" w:rsidR="00BE5884" w:rsidRPr="00A27694" w:rsidRDefault="00BE5884" w:rsidP="006642EE">
      <w:pPr>
        <w:pStyle w:val="BodyText"/>
        <w:spacing w:after="0" w:line="276" w:lineRule="auto"/>
        <w:jc w:val="center"/>
        <w:rPr>
          <w:b/>
        </w:rPr>
      </w:pPr>
    </w:p>
    <w:p w14:paraId="51E931E5" w14:textId="1C52C417" w:rsidR="001A777A" w:rsidRPr="00A27694" w:rsidRDefault="00D02FEF" w:rsidP="006642EE">
      <w:pPr>
        <w:pStyle w:val="BodyText"/>
        <w:spacing w:after="0" w:line="276" w:lineRule="auto"/>
        <w:jc w:val="center"/>
        <w:rPr>
          <w:b/>
        </w:rPr>
      </w:pPr>
      <w:r w:rsidRPr="00A27694">
        <w:rPr>
          <w:b/>
        </w:rPr>
        <w:t>n</w:t>
      </w:r>
      <w:r w:rsidR="005D174F" w:rsidRPr="00A27694">
        <w:rPr>
          <w:b/>
        </w:rPr>
        <w:t>osprieda</w:t>
      </w:r>
    </w:p>
    <w:p w14:paraId="664D441C" w14:textId="77777777" w:rsidR="00467823" w:rsidRPr="00A27694" w:rsidRDefault="00467823" w:rsidP="006642EE">
      <w:pPr>
        <w:spacing w:line="276" w:lineRule="auto"/>
        <w:ind w:firstLine="720"/>
        <w:jc w:val="both"/>
      </w:pPr>
    </w:p>
    <w:p w14:paraId="7A2C0404" w14:textId="21B9A185" w:rsidR="00465769" w:rsidRPr="00A27694" w:rsidRDefault="007719F6" w:rsidP="006642EE">
      <w:pPr>
        <w:spacing w:line="276" w:lineRule="auto"/>
        <w:ind w:firstLine="720"/>
        <w:jc w:val="both"/>
      </w:pPr>
      <w:r w:rsidRPr="00A27694">
        <w:t xml:space="preserve">atcelt </w:t>
      </w:r>
      <w:r w:rsidR="00467823" w:rsidRPr="00A27694">
        <w:rPr>
          <w:lang w:eastAsia="lv-LV"/>
        </w:rPr>
        <w:t>[..]</w:t>
      </w:r>
      <w:r w:rsidR="00733869" w:rsidRPr="00A27694">
        <w:rPr>
          <w:lang w:eastAsia="lv-LV"/>
        </w:rPr>
        <w:t xml:space="preserve"> tiesas 2022.gada </w:t>
      </w:r>
      <w:r w:rsidR="00467823" w:rsidRPr="00A27694">
        <w:rPr>
          <w:lang w:eastAsia="lv-LV"/>
        </w:rPr>
        <w:t>[..]</w:t>
      </w:r>
      <w:r w:rsidR="00733869" w:rsidRPr="00A27694">
        <w:rPr>
          <w:lang w:eastAsia="lv-LV"/>
        </w:rPr>
        <w:t xml:space="preserve"> spriedumu </w:t>
      </w:r>
      <w:r w:rsidR="00465769" w:rsidRPr="00A27694">
        <w:t xml:space="preserve">un nodot lietu jaunai izskatīšanai </w:t>
      </w:r>
      <w:r w:rsidR="00467823" w:rsidRPr="00A27694">
        <w:t xml:space="preserve">[..] </w:t>
      </w:r>
      <w:r w:rsidR="00465769" w:rsidRPr="00A27694">
        <w:t>tiesai.</w:t>
      </w:r>
    </w:p>
    <w:p w14:paraId="05A307E4" w14:textId="77777777" w:rsidR="00465769" w:rsidRPr="006642EE" w:rsidRDefault="005D174F" w:rsidP="006642EE">
      <w:pPr>
        <w:spacing w:line="276" w:lineRule="auto"/>
        <w:ind w:firstLine="720"/>
        <w:jc w:val="both"/>
      </w:pPr>
      <w:r w:rsidRPr="00A27694">
        <w:t>Spriedums</w:t>
      </w:r>
      <w:r w:rsidR="001A777A" w:rsidRPr="00A27694">
        <w:t xml:space="preserve"> nav pārsūdzams.</w:t>
      </w:r>
    </w:p>
    <w:sectPr w:rsidR="00465769" w:rsidRPr="006642EE" w:rsidSect="006642EE">
      <w:footerReference w:type="default" r:id="rId9"/>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227AF" w14:textId="77777777" w:rsidR="004463B6" w:rsidRDefault="004463B6">
      <w:r>
        <w:separator/>
      </w:r>
    </w:p>
  </w:endnote>
  <w:endnote w:type="continuationSeparator" w:id="0">
    <w:p w14:paraId="3B863A20" w14:textId="77777777" w:rsidR="004463B6" w:rsidRDefault="00446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CAE18" w14:textId="47F2C7F3" w:rsidR="00E4776D" w:rsidRPr="007F2CF4" w:rsidRDefault="00E4776D" w:rsidP="00AA3820">
    <w:pPr>
      <w:pStyle w:val="Footer"/>
      <w:jc w:val="center"/>
      <w:rPr>
        <w:rStyle w:val="PageNumber"/>
        <w:sz w:val="22"/>
        <w:szCs w:val="22"/>
      </w:rPr>
    </w:pPr>
    <w:r w:rsidRPr="007F2CF4">
      <w:rPr>
        <w:rStyle w:val="PageNumber"/>
        <w:sz w:val="22"/>
        <w:szCs w:val="22"/>
      </w:rPr>
      <w:fldChar w:fldCharType="begin"/>
    </w:r>
    <w:r w:rsidRPr="007F2CF4">
      <w:rPr>
        <w:rStyle w:val="PageNumber"/>
        <w:sz w:val="22"/>
        <w:szCs w:val="22"/>
      </w:rPr>
      <w:instrText xml:space="preserve">PAGE  </w:instrText>
    </w:r>
    <w:r w:rsidRPr="007F2CF4">
      <w:rPr>
        <w:rStyle w:val="PageNumber"/>
        <w:sz w:val="22"/>
        <w:szCs w:val="22"/>
      </w:rPr>
      <w:fldChar w:fldCharType="separate"/>
    </w:r>
    <w:r w:rsidR="005D174F">
      <w:rPr>
        <w:rStyle w:val="PageNumber"/>
        <w:noProof/>
        <w:sz w:val="22"/>
        <w:szCs w:val="22"/>
      </w:rPr>
      <w:t>5</w:t>
    </w:r>
    <w:r w:rsidRPr="007F2CF4">
      <w:rPr>
        <w:rStyle w:val="PageNumber"/>
        <w:sz w:val="22"/>
        <w:szCs w:val="22"/>
      </w:rPr>
      <w:fldChar w:fldCharType="end"/>
    </w:r>
    <w:r w:rsidRPr="007F2CF4">
      <w:rPr>
        <w:rStyle w:val="PageNumber"/>
        <w:sz w:val="22"/>
        <w:szCs w:val="22"/>
      </w:rPr>
      <w:t xml:space="preserve"> no </w:t>
    </w:r>
    <w:r w:rsidRPr="007F2CF4">
      <w:rPr>
        <w:rStyle w:val="PageNumber"/>
        <w:sz w:val="22"/>
        <w:szCs w:val="22"/>
      </w:rPr>
      <w:fldChar w:fldCharType="begin"/>
    </w:r>
    <w:r w:rsidRPr="007F2CF4">
      <w:rPr>
        <w:rStyle w:val="PageNumber"/>
        <w:sz w:val="22"/>
        <w:szCs w:val="22"/>
      </w:rPr>
      <w:instrText xml:space="preserve"> SECTIONPAGES   \* MERGEFORMAT </w:instrText>
    </w:r>
    <w:r w:rsidRPr="007F2CF4">
      <w:rPr>
        <w:rStyle w:val="PageNumber"/>
        <w:sz w:val="22"/>
        <w:szCs w:val="22"/>
      </w:rPr>
      <w:fldChar w:fldCharType="separate"/>
    </w:r>
    <w:r w:rsidR="00DA1E44">
      <w:rPr>
        <w:rStyle w:val="PageNumber"/>
        <w:noProof/>
        <w:sz w:val="22"/>
        <w:szCs w:val="22"/>
      </w:rPr>
      <w:t>5</w:t>
    </w:r>
    <w:r w:rsidRPr="007F2CF4">
      <w:rPr>
        <w:rStyle w:val="PageNumber"/>
        <w:sz w:val="22"/>
        <w:szCs w:val="22"/>
      </w:rPr>
      <w:fldChar w:fldCharType="end"/>
    </w:r>
  </w:p>
  <w:p w14:paraId="4D6FB3CC" w14:textId="77777777" w:rsidR="00E4776D" w:rsidRDefault="00E4776D" w:rsidP="009A44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3D2C2" w14:textId="77777777" w:rsidR="004463B6" w:rsidRDefault="004463B6">
      <w:r>
        <w:separator/>
      </w:r>
    </w:p>
  </w:footnote>
  <w:footnote w:type="continuationSeparator" w:id="0">
    <w:p w14:paraId="01D18490" w14:textId="77777777" w:rsidR="004463B6" w:rsidRDefault="004463B6">
      <w:r>
        <w:continuationSeparator/>
      </w:r>
    </w:p>
  </w:footnote>
  <w:footnote w:id="1">
    <w:p w14:paraId="4A537506" w14:textId="34730D51" w:rsidR="006642EE" w:rsidRDefault="006642EE" w:rsidP="006642EE">
      <w:pPr>
        <w:pStyle w:val="FootnoteText"/>
      </w:pPr>
      <w:r>
        <w:rPr>
          <w:rStyle w:val="FootnoteReference"/>
        </w:rPr>
        <w:footnoteRef/>
      </w:r>
      <w:r>
        <w:t xml:space="preserve"> Slēgtas lietas statuss. Publicēti izvilkumi no sprieduma.</w:t>
      </w:r>
    </w:p>
    <w:p w14:paraId="7EBD4057" w14:textId="77777777" w:rsidR="006642EE" w:rsidRPr="00D37246" w:rsidRDefault="006642EE" w:rsidP="006642E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71D7E"/>
    <w:multiLevelType w:val="singleLevel"/>
    <w:tmpl w:val="2F3A4D18"/>
    <w:lvl w:ilvl="0">
      <w:start w:val="2"/>
      <w:numFmt w:val="decimal"/>
      <w:lvlText w:val="%1."/>
      <w:legacy w:legacy="1" w:legacySpace="0" w:legacyIndent="341"/>
      <w:lvlJc w:val="left"/>
      <w:rPr>
        <w:rFonts w:ascii="Times New Roman" w:hAnsi="Times New Roman" w:cs="Times New Roman" w:hint="default"/>
      </w:rPr>
    </w:lvl>
  </w:abstractNum>
  <w:abstractNum w:abstractNumId="1"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2"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6E05726"/>
    <w:multiLevelType w:val="hybridMultilevel"/>
    <w:tmpl w:val="80C210A4"/>
    <w:lvl w:ilvl="0" w:tplc="BF4E83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576C54"/>
    <w:multiLevelType w:val="hybridMultilevel"/>
    <w:tmpl w:val="512C7AD8"/>
    <w:lvl w:ilvl="0" w:tplc="74DCBC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28F45AFC"/>
    <w:multiLevelType w:val="singleLevel"/>
    <w:tmpl w:val="8D2E8F04"/>
    <w:lvl w:ilvl="0">
      <w:start w:val="3"/>
      <w:numFmt w:val="decimal"/>
      <w:lvlText w:val="%1."/>
      <w:legacy w:legacy="1" w:legacySpace="0" w:legacyIndent="360"/>
      <w:lvlJc w:val="left"/>
      <w:rPr>
        <w:rFonts w:ascii="Times New Roman" w:hAnsi="Times New Roman" w:cs="Times New Roman" w:hint="default"/>
      </w:rPr>
    </w:lvl>
  </w:abstractNum>
  <w:abstractNum w:abstractNumId="6"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1644B91"/>
    <w:multiLevelType w:val="hybridMultilevel"/>
    <w:tmpl w:val="717863D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9" w15:restartNumberingAfterBreak="0">
    <w:nsid w:val="45D701CF"/>
    <w:multiLevelType w:val="singleLevel"/>
    <w:tmpl w:val="4566C1D2"/>
    <w:lvl w:ilvl="0">
      <w:start w:val="1"/>
      <w:numFmt w:val="decimal"/>
      <w:lvlText w:val="%1."/>
      <w:legacy w:legacy="1" w:legacySpace="0" w:legacyIndent="331"/>
      <w:lvlJc w:val="left"/>
      <w:rPr>
        <w:rFonts w:ascii="Times New Roman" w:hAnsi="Times New Roman" w:cs="Times New Roman" w:hint="default"/>
      </w:rPr>
    </w:lvl>
  </w:abstractNum>
  <w:abstractNum w:abstractNumId="10"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1"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3"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9922C81"/>
    <w:multiLevelType w:val="singleLevel"/>
    <w:tmpl w:val="280CC768"/>
    <w:lvl w:ilvl="0">
      <w:start w:val="5"/>
      <w:numFmt w:val="decimal"/>
      <w:lvlText w:val="%1."/>
      <w:legacy w:legacy="1" w:legacySpace="0" w:legacyIndent="322"/>
      <w:lvlJc w:val="left"/>
      <w:rPr>
        <w:rFonts w:ascii="Times New Roman" w:hAnsi="Times New Roman" w:cs="Times New Roman" w:hint="default"/>
      </w:rPr>
    </w:lvl>
  </w:abstractNum>
  <w:abstractNum w:abstractNumId="15"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1995599240">
    <w:abstractNumId w:val="1"/>
  </w:num>
  <w:num w:numId="2" w16cid:durableId="207957615">
    <w:abstractNumId w:val="10"/>
  </w:num>
  <w:num w:numId="3" w16cid:durableId="292443136">
    <w:abstractNumId w:val="15"/>
  </w:num>
  <w:num w:numId="4" w16cid:durableId="712731216">
    <w:abstractNumId w:val="13"/>
  </w:num>
  <w:num w:numId="5" w16cid:durableId="1267807014">
    <w:abstractNumId w:val="6"/>
  </w:num>
  <w:num w:numId="6" w16cid:durableId="1546870733">
    <w:abstractNumId w:val="12"/>
  </w:num>
  <w:num w:numId="7" w16cid:durableId="1628318434">
    <w:abstractNumId w:val="11"/>
  </w:num>
  <w:num w:numId="8" w16cid:durableId="2080782009">
    <w:abstractNumId w:val="9"/>
  </w:num>
  <w:num w:numId="9" w16cid:durableId="249510476">
    <w:abstractNumId w:val="5"/>
  </w:num>
  <w:num w:numId="10" w16cid:durableId="950940870">
    <w:abstractNumId w:val="0"/>
  </w:num>
  <w:num w:numId="11" w16cid:durableId="607856022">
    <w:abstractNumId w:val="14"/>
  </w:num>
  <w:num w:numId="12" w16cid:durableId="1368064559">
    <w:abstractNumId w:val="7"/>
  </w:num>
  <w:num w:numId="13" w16cid:durableId="1018115487">
    <w:abstractNumId w:val="8"/>
  </w:num>
  <w:num w:numId="14" w16cid:durableId="241990907">
    <w:abstractNumId w:val="2"/>
  </w:num>
  <w:num w:numId="15" w16cid:durableId="1576862942">
    <w:abstractNumId w:val="4"/>
  </w:num>
  <w:num w:numId="16" w16cid:durableId="8050490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E12"/>
    <w:rsid w:val="00000F7A"/>
    <w:rsid w:val="000032F2"/>
    <w:rsid w:val="0000359A"/>
    <w:rsid w:val="00003857"/>
    <w:rsid w:val="00004EDF"/>
    <w:rsid w:val="00006319"/>
    <w:rsid w:val="00011EBB"/>
    <w:rsid w:val="000134B7"/>
    <w:rsid w:val="000203A3"/>
    <w:rsid w:val="0002161B"/>
    <w:rsid w:val="00024533"/>
    <w:rsid w:val="00024A6F"/>
    <w:rsid w:val="00030254"/>
    <w:rsid w:val="0003069C"/>
    <w:rsid w:val="000347FC"/>
    <w:rsid w:val="00036534"/>
    <w:rsid w:val="000513EF"/>
    <w:rsid w:val="000551BF"/>
    <w:rsid w:val="000566CC"/>
    <w:rsid w:val="0006175C"/>
    <w:rsid w:val="0006281E"/>
    <w:rsid w:val="00073A5E"/>
    <w:rsid w:val="000740B7"/>
    <w:rsid w:val="000762EE"/>
    <w:rsid w:val="000807F1"/>
    <w:rsid w:val="00082370"/>
    <w:rsid w:val="00082F25"/>
    <w:rsid w:val="00083A0F"/>
    <w:rsid w:val="00090C20"/>
    <w:rsid w:val="00094FC8"/>
    <w:rsid w:val="000A5250"/>
    <w:rsid w:val="000C3948"/>
    <w:rsid w:val="000C5658"/>
    <w:rsid w:val="000D029D"/>
    <w:rsid w:val="000D3321"/>
    <w:rsid w:val="000E2E8A"/>
    <w:rsid w:val="000E422C"/>
    <w:rsid w:val="000E6142"/>
    <w:rsid w:val="000E6EEC"/>
    <w:rsid w:val="000F0720"/>
    <w:rsid w:val="000F345B"/>
    <w:rsid w:val="000F7591"/>
    <w:rsid w:val="00103087"/>
    <w:rsid w:val="001050D5"/>
    <w:rsid w:val="00105150"/>
    <w:rsid w:val="00114B9A"/>
    <w:rsid w:val="00117688"/>
    <w:rsid w:val="00120D26"/>
    <w:rsid w:val="001241A7"/>
    <w:rsid w:val="001338CB"/>
    <w:rsid w:val="00135098"/>
    <w:rsid w:val="0013540B"/>
    <w:rsid w:val="00137B87"/>
    <w:rsid w:val="00162FB7"/>
    <w:rsid w:val="00166217"/>
    <w:rsid w:val="00173535"/>
    <w:rsid w:val="001934F4"/>
    <w:rsid w:val="0019407B"/>
    <w:rsid w:val="00194739"/>
    <w:rsid w:val="00197567"/>
    <w:rsid w:val="001A0DBB"/>
    <w:rsid w:val="001A4DA5"/>
    <w:rsid w:val="001A5FA2"/>
    <w:rsid w:val="001A777A"/>
    <w:rsid w:val="001A7957"/>
    <w:rsid w:val="001B2AE0"/>
    <w:rsid w:val="001B3EB9"/>
    <w:rsid w:val="001C22B0"/>
    <w:rsid w:val="001C4526"/>
    <w:rsid w:val="001C60A4"/>
    <w:rsid w:val="001D2AE6"/>
    <w:rsid w:val="001E0FBC"/>
    <w:rsid w:val="001F1EDA"/>
    <w:rsid w:val="001F1F3F"/>
    <w:rsid w:val="001F4428"/>
    <w:rsid w:val="001F6076"/>
    <w:rsid w:val="001F79A7"/>
    <w:rsid w:val="00203F73"/>
    <w:rsid w:val="00210671"/>
    <w:rsid w:val="0021270F"/>
    <w:rsid w:val="002134B1"/>
    <w:rsid w:val="0021682C"/>
    <w:rsid w:val="00216EF1"/>
    <w:rsid w:val="002206F3"/>
    <w:rsid w:val="0022274A"/>
    <w:rsid w:val="002260D6"/>
    <w:rsid w:val="00227182"/>
    <w:rsid w:val="00231896"/>
    <w:rsid w:val="00232664"/>
    <w:rsid w:val="002420E2"/>
    <w:rsid w:val="002424BA"/>
    <w:rsid w:val="00247BE7"/>
    <w:rsid w:val="002507F9"/>
    <w:rsid w:val="002543C3"/>
    <w:rsid w:val="002551A9"/>
    <w:rsid w:val="002617D8"/>
    <w:rsid w:val="002623C3"/>
    <w:rsid w:val="00263042"/>
    <w:rsid w:val="00264E65"/>
    <w:rsid w:val="00265438"/>
    <w:rsid w:val="002743D6"/>
    <w:rsid w:val="00276D78"/>
    <w:rsid w:val="00277356"/>
    <w:rsid w:val="00280617"/>
    <w:rsid w:val="00285EB6"/>
    <w:rsid w:val="00294511"/>
    <w:rsid w:val="00294F41"/>
    <w:rsid w:val="00295F31"/>
    <w:rsid w:val="002A1E37"/>
    <w:rsid w:val="002A52B1"/>
    <w:rsid w:val="002A7533"/>
    <w:rsid w:val="002C1747"/>
    <w:rsid w:val="002E2111"/>
    <w:rsid w:val="002E4BE2"/>
    <w:rsid w:val="00304538"/>
    <w:rsid w:val="00316C2F"/>
    <w:rsid w:val="00320D9B"/>
    <w:rsid w:val="00321E5C"/>
    <w:rsid w:val="0032308A"/>
    <w:rsid w:val="0032589A"/>
    <w:rsid w:val="003270D0"/>
    <w:rsid w:val="00330601"/>
    <w:rsid w:val="00337655"/>
    <w:rsid w:val="00337D37"/>
    <w:rsid w:val="0034077C"/>
    <w:rsid w:val="00344893"/>
    <w:rsid w:val="00353588"/>
    <w:rsid w:val="003537B8"/>
    <w:rsid w:val="0035679B"/>
    <w:rsid w:val="0036340F"/>
    <w:rsid w:val="00363A1B"/>
    <w:rsid w:val="00364FDF"/>
    <w:rsid w:val="00367D00"/>
    <w:rsid w:val="00372E1C"/>
    <w:rsid w:val="00374BBC"/>
    <w:rsid w:val="0038265D"/>
    <w:rsid w:val="00385EB5"/>
    <w:rsid w:val="003955EC"/>
    <w:rsid w:val="00396BDD"/>
    <w:rsid w:val="003A0770"/>
    <w:rsid w:val="003A1D62"/>
    <w:rsid w:val="003A5A39"/>
    <w:rsid w:val="003A7AB0"/>
    <w:rsid w:val="003A7CCB"/>
    <w:rsid w:val="003B774B"/>
    <w:rsid w:val="003C1983"/>
    <w:rsid w:val="003C3CFC"/>
    <w:rsid w:val="003C58AE"/>
    <w:rsid w:val="003E204D"/>
    <w:rsid w:val="003E338E"/>
    <w:rsid w:val="003E4B0B"/>
    <w:rsid w:val="003E5B39"/>
    <w:rsid w:val="003F3ED6"/>
    <w:rsid w:val="00405C79"/>
    <w:rsid w:val="00406ABC"/>
    <w:rsid w:val="00412B77"/>
    <w:rsid w:val="00416CCD"/>
    <w:rsid w:val="00417D8E"/>
    <w:rsid w:val="00424AD1"/>
    <w:rsid w:val="004277A8"/>
    <w:rsid w:val="00427A02"/>
    <w:rsid w:val="00427F25"/>
    <w:rsid w:val="004463B6"/>
    <w:rsid w:val="00450626"/>
    <w:rsid w:val="004535DD"/>
    <w:rsid w:val="00455938"/>
    <w:rsid w:val="00455A87"/>
    <w:rsid w:val="0045704A"/>
    <w:rsid w:val="00465769"/>
    <w:rsid w:val="00467823"/>
    <w:rsid w:val="004707B0"/>
    <w:rsid w:val="00473011"/>
    <w:rsid w:val="004747FA"/>
    <w:rsid w:val="00481832"/>
    <w:rsid w:val="00481FBC"/>
    <w:rsid w:val="004835CD"/>
    <w:rsid w:val="00496D67"/>
    <w:rsid w:val="004B6033"/>
    <w:rsid w:val="004C47EE"/>
    <w:rsid w:val="004C4DCD"/>
    <w:rsid w:val="004C7093"/>
    <w:rsid w:val="004D02B2"/>
    <w:rsid w:val="004D0CF4"/>
    <w:rsid w:val="004D3747"/>
    <w:rsid w:val="004D37D0"/>
    <w:rsid w:val="004D5A11"/>
    <w:rsid w:val="004F0B3C"/>
    <w:rsid w:val="0050163D"/>
    <w:rsid w:val="00501D1F"/>
    <w:rsid w:val="005044F5"/>
    <w:rsid w:val="00511C8B"/>
    <w:rsid w:val="00513299"/>
    <w:rsid w:val="00515AB4"/>
    <w:rsid w:val="00516406"/>
    <w:rsid w:val="00521767"/>
    <w:rsid w:val="00523D0A"/>
    <w:rsid w:val="00525DD0"/>
    <w:rsid w:val="0052694C"/>
    <w:rsid w:val="005272C1"/>
    <w:rsid w:val="00531C60"/>
    <w:rsid w:val="00540A2E"/>
    <w:rsid w:val="00544500"/>
    <w:rsid w:val="005462FB"/>
    <w:rsid w:val="005561F2"/>
    <w:rsid w:val="00560337"/>
    <w:rsid w:val="00561236"/>
    <w:rsid w:val="00562724"/>
    <w:rsid w:val="00563BAB"/>
    <w:rsid w:val="00571014"/>
    <w:rsid w:val="00572AFE"/>
    <w:rsid w:val="005774BA"/>
    <w:rsid w:val="00581D44"/>
    <w:rsid w:val="00592631"/>
    <w:rsid w:val="00592988"/>
    <w:rsid w:val="00593957"/>
    <w:rsid w:val="005A3845"/>
    <w:rsid w:val="005B596E"/>
    <w:rsid w:val="005B78C0"/>
    <w:rsid w:val="005C2752"/>
    <w:rsid w:val="005C2AF9"/>
    <w:rsid w:val="005C64D2"/>
    <w:rsid w:val="005D174F"/>
    <w:rsid w:val="005D646C"/>
    <w:rsid w:val="005E3DBB"/>
    <w:rsid w:val="005E5EB0"/>
    <w:rsid w:val="00600D35"/>
    <w:rsid w:val="00614172"/>
    <w:rsid w:val="00615AF6"/>
    <w:rsid w:val="00617737"/>
    <w:rsid w:val="00621F03"/>
    <w:rsid w:val="006234CB"/>
    <w:rsid w:val="00626AA5"/>
    <w:rsid w:val="0062787E"/>
    <w:rsid w:val="00627FE6"/>
    <w:rsid w:val="00630EA0"/>
    <w:rsid w:val="00634BA4"/>
    <w:rsid w:val="00635DBD"/>
    <w:rsid w:val="00640FA7"/>
    <w:rsid w:val="00641F12"/>
    <w:rsid w:val="00645182"/>
    <w:rsid w:val="006504EF"/>
    <w:rsid w:val="006509D0"/>
    <w:rsid w:val="00651B15"/>
    <w:rsid w:val="00660251"/>
    <w:rsid w:val="00660467"/>
    <w:rsid w:val="00660BA7"/>
    <w:rsid w:val="006612E5"/>
    <w:rsid w:val="00661923"/>
    <w:rsid w:val="00662288"/>
    <w:rsid w:val="0066297B"/>
    <w:rsid w:val="006642EE"/>
    <w:rsid w:val="00670D3B"/>
    <w:rsid w:val="0067201C"/>
    <w:rsid w:val="0067283B"/>
    <w:rsid w:val="00675596"/>
    <w:rsid w:val="00682234"/>
    <w:rsid w:val="00686510"/>
    <w:rsid w:val="00690A4E"/>
    <w:rsid w:val="006921FE"/>
    <w:rsid w:val="006935D4"/>
    <w:rsid w:val="006A5E57"/>
    <w:rsid w:val="006A5E77"/>
    <w:rsid w:val="006A712C"/>
    <w:rsid w:val="006B03D6"/>
    <w:rsid w:val="006B25E9"/>
    <w:rsid w:val="006C2A66"/>
    <w:rsid w:val="006E385E"/>
    <w:rsid w:val="006E7188"/>
    <w:rsid w:val="006F14BF"/>
    <w:rsid w:val="006F5ACF"/>
    <w:rsid w:val="0070169A"/>
    <w:rsid w:val="00714A06"/>
    <w:rsid w:val="00714D26"/>
    <w:rsid w:val="00721037"/>
    <w:rsid w:val="00721466"/>
    <w:rsid w:val="00727AFC"/>
    <w:rsid w:val="00730880"/>
    <w:rsid w:val="00733869"/>
    <w:rsid w:val="0073423C"/>
    <w:rsid w:val="00735693"/>
    <w:rsid w:val="00740E8C"/>
    <w:rsid w:val="00755303"/>
    <w:rsid w:val="007572EB"/>
    <w:rsid w:val="007576A7"/>
    <w:rsid w:val="00761364"/>
    <w:rsid w:val="007645A9"/>
    <w:rsid w:val="00765746"/>
    <w:rsid w:val="00766829"/>
    <w:rsid w:val="007716B7"/>
    <w:rsid w:val="007719F6"/>
    <w:rsid w:val="007724A9"/>
    <w:rsid w:val="00772D4E"/>
    <w:rsid w:val="007852D3"/>
    <w:rsid w:val="0078620D"/>
    <w:rsid w:val="00790B87"/>
    <w:rsid w:val="007919A0"/>
    <w:rsid w:val="00791FAE"/>
    <w:rsid w:val="0079393D"/>
    <w:rsid w:val="00793A40"/>
    <w:rsid w:val="00795DD3"/>
    <w:rsid w:val="0079794D"/>
    <w:rsid w:val="007A045D"/>
    <w:rsid w:val="007A38E7"/>
    <w:rsid w:val="007B7015"/>
    <w:rsid w:val="007C103D"/>
    <w:rsid w:val="007C23C9"/>
    <w:rsid w:val="007C3A3F"/>
    <w:rsid w:val="007D1E39"/>
    <w:rsid w:val="007E5B5A"/>
    <w:rsid w:val="007E672A"/>
    <w:rsid w:val="007F1891"/>
    <w:rsid w:val="007F2CF4"/>
    <w:rsid w:val="007F6765"/>
    <w:rsid w:val="00801352"/>
    <w:rsid w:val="00802DB5"/>
    <w:rsid w:val="00803F7E"/>
    <w:rsid w:val="008050B6"/>
    <w:rsid w:val="00810B55"/>
    <w:rsid w:val="008122C0"/>
    <w:rsid w:val="00812CDD"/>
    <w:rsid w:val="00816512"/>
    <w:rsid w:val="00820702"/>
    <w:rsid w:val="00824A30"/>
    <w:rsid w:val="00832FAB"/>
    <w:rsid w:val="00834C8D"/>
    <w:rsid w:val="008370EE"/>
    <w:rsid w:val="00837383"/>
    <w:rsid w:val="00841FAE"/>
    <w:rsid w:val="00842C85"/>
    <w:rsid w:val="00843DF7"/>
    <w:rsid w:val="008473F3"/>
    <w:rsid w:val="0085348F"/>
    <w:rsid w:val="00854E87"/>
    <w:rsid w:val="00855789"/>
    <w:rsid w:val="0085778F"/>
    <w:rsid w:val="00866CD3"/>
    <w:rsid w:val="00876625"/>
    <w:rsid w:val="00884E90"/>
    <w:rsid w:val="0088595D"/>
    <w:rsid w:val="00885E36"/>
    <w:rsid w:val="0089533E"/>
    <w:rsid w:val="008A19C3"/>
    <w:rsid w:val="008A6A11"/>
    <w:rsid w:val="008B022C"/>
    <w:rsid w:val="008B6DBA"/>
    <w:rsid w:val="008C62E8"/>
    <w:rsid w:val="008D05CD"/>
    <w:rsid w:val="008D2977"/>
    <w:rsid w:val="008D5C17"/>
    <w:rsid w:val="008D60D5"/>
    <w:rsid w:val="008E5805"/>
    <w:rsid w:val="008E64A5"/>
    <w:rsid w:val="008F0BFC"/>
    <w:rsid w:val="008F600F"/>
    <w:rsid w:val="008F7B8E"/>
    <w:rsid w:val="009028DB"/>
    <w:rsid w:val="009127F5"/>
    <w:rsid w:val="009139F7"/>
    <w:rsid w:val="009219E0"/>
    <w:rsid w:val="009227B3"/>
    <w:rsid w:val="0092457B"/>
    <w:rsid w:val="00931E44"/>
    <w:rsid w:val="00933635"/>
    <w:rsid w:val="00935ABA"/>
    <w:rsid w:val="0093652D"/>
    <w:rsid w:val="00937294"/>
    <w:rsid w:val="009400C4"/>
    <w:rsid w:val="0094338A"/>
    <w:rsid w:val="00944D87"/>
    <w:rsid w:val="00945510"/>
    <w:rsid w:val="00952094"/>
    <w:rsid w:val="00952576"/>
    <w:rsid w:val="00960008"/>
    <w:rsid w:val="00977FCE"/>
    <w:rsid w:val="00983A8A"/>
    <w:rsid w:val="00991652"/>
    <w:rsid w:val="00993336"/>
    <w:rsid w:val="00995474"/>
    <w:rsid w:val="00996621"/>
    <w:rsid w:val="009A263E"/>
    <w:rsid w:val="009A3AD6"/>
    <w:rsid w:val="009A4311"/>
    <w:rsid w:val="009A44FE"/>
    <w:rsid w:val="009A5136"/>
    <w:rsid w:val="009A6144"/>
    <w:rsid w:val="009B0624"/>
    <w:rsid w:val="009B0A0C"/>
    <w:rsid w:val="009B1092"/>
    <w:rsid w:val="009B1BA6"/>
    <w:rsid w:val="009B2360"/>
    <w:rsid w:val="009B6331"/>
    <w:rsid w:val="009B78D8"/>
    <w:rsid w:val="009C3E8C"/>
    <w:rsid w:val="009C6F43"/>
    <w:rsid w:val="009D1130"/>
    <w:rsid w:val="009D3D81"/>
    <w:rsid w:val="009D694E"/>
    <w:rsid w:val="009D6C42"/>
    <w:rsid w:val="009E23A6"/>
    <w:rsid w:val="009E26BE"/>
    <w:rsid w:val="009E7CAF"/>
    <w:rsid w:val="009F18BF"/>
    <w:rsid w:val="009F3CAD"/>
    <w:rsid w:val="00A02829"/>
    <w:rsid w:val="00A0353E"/>
    <w:rsid w:val="00A076C4"/>
    <w:rsid w:val="00A14F25"/>
    <w:rsid w:val="00A15FD1"/>
    <w:rsid w:val="00A167E7"/>
    <w:rsid w:val="00A20171"/>
    <w:rsid w:val="00A20419"/>
    <w:rsid w:val="00A2098C"/>
    <w:rsid w:val="00A24115"/>
    <w:rsid w:val="00A24690"/>
    <w:rsid w:val="00A27694"/>
    <w:rsid w:val="00A30E40"/>
    <w:rsid w:val="00A30FD1"/>
    <w:rsid w:val="00A32A74"/>
    <w:rsid w:val="00A378E2"/>
    <w:rsid w:val="00A41886"/>
    <w:rsid w:val="00A44A59"/>
    <w:rsid w:val="00A50A27"/>
    <w:rsid w:val="00A63322"/>
    <w:rsid w:val="00A6538A"/>
    <w:rsid w:val="00A664C1"/>
    <w:rsid w:val="00A76529"/>
    <w:rsid w:val="00A824FA"/>
    <w:rsid w:val="00A83105"/>
    <w:rsid w:val="00A85DC0"/>
    <w:rsid w:val="00A87DD7"/>
    <w:rsid w:val="00A90024"/>
    <w:rsid w:val="00AA3820"/>
    <w:rsid w:val="00AA4272"/>
    <w:rsid w:val="00AA4823"/>
    <w:rsid w:val="00AA5285"/>
    <w:rsid w:val="00AA7846"/>
    <w:rsid w:val="00AB1A2B"/>
    <w:rsid w:val="00AC11F9"/>
    <w:rsid w:val="00AC4812"/>
    <w:rsid w:val="00AD50A7"/>
    <w:rsid w:val="00AF0C8B"/>
    <w:rsid w:val="00AF3A23"/>
    <w:rsid w:val="00AF3C03"/>
    <w:rsid w:val="00AF5265"/>
    <w:rsid w:val="00AF5B48"/>
    <w:rsid w:val="00B01EE6"/>
    <w:rsid w:val="00B12342"/>
    <w:rsid w:val="00B1730A"/>
    <w:rsid w:val="00B23111"/>
    <w:rsid w:val="00B26F1D"/>
    <w:rsid w:val="00B349AF"/>
    <w:rsid w:val="00B40F77"/>
    <w:rsid w:val="00B413A5"/>
    <w:rsid w:val="00B43861"/>
    <w:rsid w:val="00B45F7F"/>
    <w:rsid w:val="00B4643A"/>
    <w:rsid w:val="00B560DF"/>
    <w:rsid w:val="00B60E2A"/>
    <w:rsid w:val="00B64AD7"/>
    <w:rsid w:val="00B6680C"/>
    <w:rsid w:val="00B73C66"/>
    <w:rsid w:val="00B75171"/>
    <w:rsid w:val="00B77831"/>
    <w:rsid w:val="00B803AE"/>
    <w:rsid w:val="00B81904"/>
    <w:rsid w:val="00B94C21"/>
    <w:rsid w:val="00BA065F"/>
    <w:rsid w:val="00BB2922"/>
    <w:rsid w:val="00BB4261"/>
    <w:rsid w:val="00BC3BC9"/>
    <w:rsid w:val="00BC4A6C"/>
    <w:rsid w:val="00BD0C68"/>
    <w:rsid w:val="00BD4A2F"/>
    <w:rsid w:val="00BD5AD1"/>
    <w:rsid w:val="00BE5884"/>
    <w:rsid w:val="00BE7E61"/>
    <w:rsid w:val="00C02293"/>
    <w:rsid w:val="00C04F83"/>
    <w:rsid w:val="00C05322"/>
    <w:rsid w:val="00C06494"/>
    <w:rsid w:val="00C13466"/>
    <w:rsid w:val="00C147DF"/>
    <w:rsid w:val="00C2096F"/>
    <w:rsid w:val="00C219FC"/>
    <w:rsid w:val="00C24550"/>
    <w:rsid w:val="00C31CC9"/>
    <w:rsid w:val="00C356C2"/>
    <w:rsid w:val="00C3578D"/>
    <w:rsid w:val="00C42544"/>
    <w:rsid w:val="00C73E78"/>
    <w:rsid w:val="00C7409F"/>
    <w:rsid w:val="00C74961"/>
    <w:rsid w:val="00C74F44"/>
    <w:rsid w:val="00C767E0"/>
    <w:rsid w:val="00C8171F"/>
    <w:rsid w:val="00C8625F"/>
    <w:rsid w:val="00C9185E"/>
    <w:rsid w:val="00C942E6"/>
    <w:rsid w:val="00C95090"/>
    <w:rsid w:val="00CA59D8"/>
    <w:rsid w:val="00CB2B9A"/>
    <w:rsid w:val="00CB788E"/>
    <w:rsid w:val="00CB78B6"/>
    <w:rsid w:val="00CC3D3F"/>
    <w:rsid w:val="00CC44BB"/>
    <w:rsid w:val="00CC5CFE"/>
    <w:rsid w:val="00CC6A23"/>
    <w:rsid w:val="00CD17BD"/>
    <w:rsid w:val="00CD2162"/>
    <w:rsid w:val="00CD2401"/>
    <w:rsid w:val="00CD3A5C"/>
    <w:rsid w:val="00CD5EA0"/>
    <w:rsid w:val="00CE5B1D"/>
    <w:rsid w:val="00D02FEF"/>
    <w:rsid w:val="00D04BAE"/>
    <w:rsid w:val="00D06334"/>
    <w:rsid w:val="00D06F81"/>
    <w:rsid w:val="00D07788"/>
    <w:rsid w:val="00D07C19"/>
    <w:rsid w:val="00D10DE5"/>
    <w:rsid w:val="00D144F6"/>
    <w:rsid w:val="00D2162A"/>
    <w:rsid w:val="00D21945"/>
    <w:rsid w:val="00D21A54"/>
    <w:rsid w:val="00D22F8E"/>
    <w:rsid w:val="00D24144"/>
    <w:rsid w:val="00D24B75"/>
    <w:rsid w:val="00D25122"/>
    <w:rsid w:val="00D25DEA"/>
    <w:rsid w:val="00D261DA"/>
    <w:rsid w:val="00D305B3"/>
    <w:rsid w:val="00D429DA"/>
    <w:rsid w:val="00D43336"/>
    <w:rsid w:val="00D4477B"/>
    <w:rsid w:val="00D503B7"/>
    <w:rsid w:val="00D51386"/>
    <w:rsid w:val="00D54824"/>
    <w:rsid w:val="00D56DCC"/>
    <w:rsid w:val="00D6788F"/>
    <w:rsid w:val="00D725FF"/>
    <w:rsid w:val="00D73678"/>
    <w:rsid w:val="00D739AF"/>
    <w:rsid w:val="00D84061"/>
    <w:rsid w:val="00D8487C"/>
    <w:rsid w:val="00D95FAB"/>
    <w:rsid w:val="00DA1E44"/>
    <w:rsid w:val="00DB0361"/>
    <w:rsid w:val="00DB1AC1"/>
    <w:rsid w:val="00DB4163"/>
    <w:rsid w:val="00DB71F0"/>
    <w:rsid w:val="00DB7438"/>
    <w:rsid w:val="00DC11ED"/>
    <w:rsid w:val="00DC777D"/>
    <w:rsid w:val="00DE1333"/>
    <w:rsid w:val="00DE1A6C"/>
    <w:rsid w:val="00DE2CA0"/>
    <w:rsid w:val="00DE4B84"/>
    <w:rsid w:val="00DF128C"/>
    <w:rsid w:val="00DF3456"/>
    <w:rsid w:val="00DF3D88"/>
    <w:rsid w:val="00DF4673"/>
    <w:rsid w:val="00E00403"/>
    <w:rsid w:val="00E03E11"/>
    <w:rsid w:val="00E05B1F"/>
    <w:rsid w:val="00E12D10"/>
    <w:rsid w:val="00E15F37"/>
    <w:rsid w:val="00E2043F"/>
    <w:rsid w:val="00E21CBE"/>
    <w:rsid w:val="00E35135"/>
    <w:rsid w:val="00E3616E"/>
    <w:rsid w:val="00E426E8"/>
    <w:rsid w:val="00E4513B"/>
    <w:rsid w:val="00E4776D"/>
    <w:rsid w:val="00E5003A"/>
    <w:rsid w:val="00E51A75"/>
    <w:rsid w:val="00E52160"/>
    <w:rsid w:val="00E52807"/>
    <w:rsid w:val="00E55466"/>
    <w:rsid w:val="00E568F7"/>
    <w:rsid w:val="00E729E4"/>
    <w:rsid w:val="00E72ED5"/>
    <w:rsid w:val="00E748ED"/>
    <w:rsid w:val="00E752BF"/>
    <w:rsid w:val="00E811CE"/>
    <w:rsid w:val="00E8310E"/>
    <w:rsid w:val="00E84507"/>
    <w:rsid w:val="00E91202"/>
    <w:rsid w:val="00E92161"/>
    <w:rsid w:val="00E945AD"/>
    <w:rsid w:val="00EA107F"/>
    <w:rsid w:val="00EA1335"/>
    <w:rsid w:val="00EA4A53"/>
    <w:rsid w:val="00EA6783"/>
    <w:rsid w:val="00EA73A8"/>
    <w:rsid w:val="00EB06A9"/>
    <w:rsid w:val="00EB106A"/>
    <w:rsid w:val="00EB2B34"/>
    <w:rsid w:val="00EC0E22"/>
    <w:rsid w:val="00EC1EAD"/>
    <w:rsid w:val="00EC634D"/>
    <w:rsid w:val="00ED4D27"/>
    <w:rsid w:val="00EE3B9D"/>
    <w:rsid w:val="00EF5D7A"/>
    <w:rsid w:val="00EF6609"/>
    <w:rsid w:val="00F00ABC"/>
    <w:rsid w:val="00F02265"/>
    <w:rsid w:val="00F03068"/>
    <w:rsid w:val="00F0379A"/>
    <w:rsid w:val="00F05E6C"/>
    <w:rsid w:val="00F07B0E"/>
    <w:rsid w:val="00F128CD"/>
    <w:rsid w:val="00F203FC"/>
    <w:rsid w:val="00F20D94"/>
    <w:rsid w:val="00F20E1F"/>
    <w:rsid w:val="00F20F8A"/>
    <w:rsid w:val="00F23D68"/>
    <w:rsid w:val="00F26DFF"/>
    <w:rsid w:val="00F40B63"/>
    <w:rsid w:val="00F445AA"/>
    <w:rsid w:val="00F4493C"/>
    <w:rsid w:val="00F52202"/>
    <w:rsid w:val="00F54064"/>
    <w:rsid w:val="00F55599"/>
    <w:rsid w:val="00F62779"/>
    <w:rsid w:val="00F62A94"/>
    <w:rsid w:val="00F6602F"/>
    <w:rsid w:val="00F70A84"/>
    <w:rsid w:val="00F71C91"/>
    <w:rsid w:val="00F75EE5"/>
    <w:rsid w:val="00F83C7D"/>
    <w:rsid w:val="00F879E5"/>
    <w:rsid w:val="00F87CB3"/>
    <w:rsid w:val="00F956E6"/>
    <w:rsid w:val="00FA18D4"/>
    <w:rsid w:val="00FC607A"/>
    <w:rsid w:val="00FD069A"/>
    <w:rsid w:val="00FD27CA"/>
    <w:rsid w:val="00FD4154"/>
    <w:rsid w:val="00FE5573"/>
    <w:rsid w:val="00FE5B8A"/>
    <w:rsid w:val="00FF2467"/>
    <w:rsid w:val="00FF3E13"/>
    <w:rsid w:val="00FF41A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A214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basedOn w:val="DefaultParagraphFont"/>
    <w:link w:val="BodyText"/>
    <w:rsid w:val="00945510"/>
    <w:rPr>
      <w:sz w:val="24"/>
      <w:szCs w:val="24"/>
      <w:lang w:eastAsia="en-US"/>
    </w:rPr>
  </w:style>
  <w:style w:type="paragraph" w:customStyle="1" w:styleId="tv213">
    <w:name w:val="tv213"/>
    <w:basedOn w:val="Normal"/>
    <w:rsid w:val="001B2AE0"/>
    <w:pPr>
      <w:spacing w:before="100" w:beforeAutospacing="1" w:after="100" w:afterAutospacing="1"/>
    </w:pPr>
    <w:rPr>
      <w:lang w:val="en-US"/>
    </w:rPr>
  </w:style>
  <w:style w:type="character" w:styleId="Hyperlink">
    <w:name w:val="Hyperlink"/>
    <w:basedOn w:val="DefaultParagraphFont"/>
    <w:uiPriority w:val="99"/>
    <w:unhideWhenUsed/>
    <w:rsid w:val="001B2AE0"/>
    <w:rPr>
      <w:color w:val="0000FF"/>
      <w:u w:val="single"/>
    </w:rPr>
  </w:style>
  <w:style w:type="paragraph" w:styleId="ListParagraph">
    <w:name w:val="List Paragraph"/>
    <w:basedOn w:val="Normal"/>
    <w:uiPriority w:val="99"/>
    <w:qFormat/>
    <w:rsid w:val="00082F25"/>
    <w:pPr>
      <w:spacing w:after="200" w:line="276" w:lineRule="auto"/>
      <w:ind w:left="720"/>
    </w:pPr>
    <w:rPr>
      <w:rFonts w:eastAsia="Calibri"/>
    </w:rPr>
  </w:style>
  <w:style w:type="paragraph" w:styleId="NoSpacing">
    <w:name w:val="No Spacing"/>
    <w:uiPriority w:val="1"/>
    <w:qFormat/>
    <w:rsid w:val="006642EE"/>
    <w:rPr>
      <w:rFonts w:ascii="Arial Narrow" w:hAnsi="Arial Narrow"/>
      <w:sz w:val="24"/>
    </w:rPr>
  </w:style>
  <w:style w:type="paragraph" w:styleId="FootnoteText">
    <w:name w:val="footnote text"/>
    <w:basedOn w:val="Normal"/>
    <w:link w:val="FootnoteTextChar"/>
    <w:uiPriority w:val="99"/>
    <w:unhideWhenUsed/>
    <w:rsid w:val="006642E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642EE"/>
    <w:rPr>
      <w:rFonts w:asciiTheme="minorHAnsi" w:eastAsiaTheme="minorHAnsi" w:hAnsiTheme="minorHAnsi" w:cstheme="minorBidi"/>
      <w:lang w:eastAsia="en-US"/>
    </w:rPr>
  </w:style>
  <w:style w:type="character" w:styleId="FootnoteReference">
    <w:name w:val="footnote reference"/>
    <w:basedOn w:val="DefaultParagraphFont"/>
    <w:unhideWhenUsed/>
    <w:rsid w:val="006642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682099">
      <w:bodyDiv w:val="1"/>
      <w:marLeft w:val="0"/>
      <w:marRight w:val="0"/>
      <w:marTop w:val="0"/>
      <w:marBottom w:val="0"/>
      <w:divBdr>
        <w:top w:val="none" w:sz="0" w:space="0" w:color="auto"/>
        <w:left w:val="none" w:sz="0" w:space="0" w:color="auto"/>
        <w:bottom w:val="none" w:sz="0" w:space="0" w:color="auto"/>
        <w:right w:val="none" w:sz="0" w:space="0" w:color="auto"/>
      </w:divBdr>
    </w:div>
    <w:div w:id="867572581">
      <w:bodyDiv w:val="1"/>
      <w:marLeft w:val="0"/>
      <w:marRight w:val="0"/>
      <w:marTop w:val="0"/>
      <w:marBottom w:val="0"/>
      <w:divBdr>
        <w:top w:val="none" w:sz="0" w:space="0" w:color="auto"/>
        <w:left w:val="none" w:sz="0" w:space="0" w:color="auto"/>
        <w:bottom w:val="none" w:sz="0" w:space="0" w:color="auto"/>
        <w:right w:val="none" w:sz="0" w:space="0" w:color="auto"/>
      </w:divBdr>
    </w:div>
    <w:div w:id="19447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427.C29526917.24.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2E9283-1E9A-4A82-BD2F-58F71D74A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1742</Words>
  <Characters>12215</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2022-10-11T10:18:00Z</dcterms:created>
  <dcterms:modified xsi:type="dcterms:W3CDTF">2022-10-12T12:37:00Z</dcterms:modified>
</cp:coreProperties>
</file>