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95E1" w14:textId="77777777" w:rsidR="009E6A2E" w:rsidRDefault="009E6A2E" w:rsidP="009E6A2E">
      <w:pPr>
        <w:spacing w:line="276" w:lineRule="auto"/>
        <w:ind w:left="-284"/>
        <w:jc w:val="both"/>
        <w:rPr>
          <w:b/>
          <w:bCs/>
          <w:color w:val="000000"/>
        </w:rPr>
      </w:pPr>
      <w:r w:rsidRPr="009E6A2E">
        <w:rPr>
          <w:b/>
          <w:bCs/>
          <w:color w:val="000000"/>
        </w:rPr>
        <w:t>Slepkavība sakarā ar to, ka cietušais devis liecību tiesā vai pirmstiesas kriminālprocesā</w:t>
      </w:r>
    </w:p>
    <w:p w14:paraId="4215EEAF" w14:textId="587CC229" w:rsidR="00DE44D2" w:rsidRPr="009E6A2E" w:rsidRDefault="009E6A2E" w:rsidP="009E6A2E">
      <w:pPr>
        <w:spacing w:line="276" w:lineRule="auto"/>
        <w:ind w:left="-284"/>
        <w:jc w:val="both"/>
        <w:rPr>
          <w:b/>
          <w:bCs/>
          <w:noProof/>
          <w:u w:val="single"/>
        </w:rPr>
      </w:pPr>
      <w:r w:rsidRPr="009E6A2E">
        <w:t xml:space="preserve">Lai personu atzītu par vainīgu Krimināllikuma </w:t>
      </w:r>
      <w:proofErr w:type="gramStart"/>
      <w:r w:rsidRPr="009E6A2E">
        <w:t>118.panta</w:t>
      </w:r>
      <w:proofErr w:type="gramEnd"/>
      <w:r w:rsidRPr="009E6A2E">
        <w:t xml:space="preserve"> 1.punktā paredzētās slepkavības izdarīšanā, </w:t>
      </w:r>
      <w:r w:rsidRPr="009E6A2E">
        <w:rPr>
          <w:color w:val="000000"/>
        </w:rPr>
        <w:t>t</w:t>
      </w:r>
      <w:r w:rsidRPr="009E6A2E">
        <w:t>iesai jākonstatē, ka cietušais ir devis liecību tiesā vai pirmstiesas kriminālprocesā un tieši liecības sniegšana bijusi par iemeslu viņa slepkavībai.</w:t>
      </w:r>
    </w:p>
    <w:p w14:paraId="4391F834" w14:textId="51EBB0D1" w:rsidR="009E6A2E" w:rsidRPr="009E6A2E" w:rsidRDefault="009E6A2E" w:rsidP="009E6A2E">
      <w:pPr>
        <w:pStyle w:val="BodyText2"/>
        <w:spacing w:line="276" w:lineRule="auto"/>
        <w:jc w:val="both"/>
        <w:outlineLvl w:val="0"/>
        <w:rPr>
          <w:rFonts w:ascii="Times New Roman" w:hAnsi="Times New Roman"/>
          <w:sz w:val="24"/>
          <w:szCs w:val="24"/>
        </w:rPr>
      </w:pPr>
    </w:p>
    <w:p w14:paraId="0BCD2B5B" w14:textId="2D6384EB" w:rsidR="009E6A2E" w:rsidRDefault="009E6A2E" w:rsidP="009E6A2E">
      <w:pPr>
        <w:spacing w:line="276" w:lineRule="auto"/>
        <w:ind w:left="-284"/>
        <w:jc w:val="both"/>
        <w:rPr>
          <w:b/>
          <w:bCs/>
        </w:rPr>
      </w:pPr>
      <w:r w:rsidRPr="009E6A2E">
        <w:rPr>
          <w:b/>
          <w:bCs/>
        </w:rPr>
        <w:t>Maznodrošinātas personas statuss kā pamats atbrīvošanai no procesuālo izdevumu samaksas</w:t>
      </w:r>
    </w:p>
    <w:p w14:paraId="5DEEF94C" w14:textId="77777777" w:rsidR="009E6A2E" w:rsidRPr="009E6A2E" w:rsidRDefault="009E6A2E" w:rsidP="009E6A2E">
      <w:pPr>
        <w:spacing w:line="276" w:lineRule="auto"/>
        <w:ind w:left="-284"/>
        <w:jc w:val="both"/>
        <w:rPr>
          <w:b/>
          <w:bCs/>
        </w:rPr>
      </w:pPr>
    </w:p>
    <w:p w14:paraId="014E9B35" w14:textId="77777777" w:rsidR="009E6A2E" w:rsidRPr="009E6A2E" w:rsidRDefault="00DE44D2" w:rsidP="009E6A2E">
      <w:pPr>
        <w:spacing w:line="276" w:lineRule="auto"/>
        <w:jc w:val="center"/>
        <w:rPr>
          <w:b/>
        </w:rPr>
      </w:pPr>
      <w:r w:rsidRPr="009E6A2E">
        <w:rPr>
          <w:b/>
        </w:rPr>
        <w:t>Latvijas Republikas Senāt</w:t>
      </w:r>
      <w:r w:rsidR="009E6A2E" w:rsidRPr="009E6A2E">
        <w:rPr>
          <w:b/>
        </w:rPr>
        <w:t xml:space="preserve">a </w:t>
      </w:r>
    </w:p>
    <w:p w14:paraId="78B5FB73" w14:textId="77777777" w:rsidR="009E6A2E" w:rsidRPr="009E6A2E" w:rsidRDefault="009E6A2E" w:rsidP="009E6A2E">
      <w:pPr>
        <w:spacing w:line="276" w:lineRule="auto"/>
        <w:jc w:val="center"/>
        <w:rPr>
          <w:b/>
        </w:rPr>
      </w:pPr>
      <w:r w:rsidRPr="009E6A2E">
        <w:rPr>
          <w:b/>
        </w:rPr>
        <w:t>Krimināllietu departamenta</w:t>
      </w:r>
    </w:p>
    <w:p w14:paraId="047DA4CB" w14:textId="01E63CC5" w:rsidR="00DE44D2" w:rsidRPr="009E6A2E" w:rsidRDefault="009E6A2E" w:rsidP="009E6A2E">
      <w:pPr>
        <w:spacing w:line="276" w:lineRule="auto"/>
        <w:jc w:val="center"/>
        <w:rPr>
          <w:b/>
        </w:rPr>
      </w:pPr>
      <w:proofErr w:type="gramStart"/>
      <w:r w:rsidRPr="009E6A2E">
        <w:rPr>
          <w:b/>
        </w:rPr>
        <w:t>2022.gada</w:t>
      </w:r>
      <w:proofErr w:type="gramEnd"/>
      <w:r w:rsidRPr="009E6A2E">
        <w:rPr>
          <w:b/>
        </w:rPr>
        <w:t xml:space="preserve"> 30.septembra</w:t>
      </w:r>
    </w:p>
    <w:p w14:paraId="6327BE89" w14:textId="77777777" w:rsidR="00DE44D2" w:rsidRPr="009E6A2E" w:rsidRDefault="00DE44D2" w:rsidP="009E6A2E">
      <w:pPr>
        <w:spacing w:line="276" w:lineRule="auto"/>
        <w:jc w:val="center"/>
        <w:rPr>
          <w:b/>
        </w:rPr>
      </w:pPr>
      <w:r w:rsidRPr="009E6A2E">
        <w:rPr>
          <w:b/>
        </w:rPr>
        <w:t>LĒMUMS</w:t>
      </w:r>
    </w:p>
    <w:p w14:paraId="06C56FDB" w14:textId="1D2913B9" w:rsidR="00DE44D2" w:rsidRPr="009E6A2E" w:rsidRDefault="009E6A2E" w:rsidP="009E6A2E">
      <w:pPr>
        <w:spacing w:line="276" w:lineRule="auto"/>
        <w:jc w:val="center"/>
      </w:pPr>
      <w:r w:rsidRPr="009E6A2E">
        <w:rPr>
          <w:b/>
        </w:rPr>
        <w:t>Lieta Nr. 11095120817, SKK-52/2022</w:t>
      </w:r>
    </w:p>
    <w:p w14:paraId="4BE65614" w14:textId="52AC8387" w:rsidR="009E6A2E" w:rsidRPr="009E6A2E" w:rsidRDefault="00DB01D6" w:rsidP="009E6A2E">
      <w:pPr>
        <w:spacing w:line="276" w:lineRule="auto"/>
        <w:jc w:val="center"/>
        <w:rPr>
          <w:b/>
        </w:rPr>
      </w:pPr>
      <w:hyperlink r:id="rId8" w:history="1">
        <w:r w:rsidR="009E6A2E" w:rsidRPr="009E6A2E">
          <w:rPr>
            <w:rStyle w:val="Hyperlink"/>
            <w:shd w:val="clear" w:color="auto" w:fill="FFFFFF"/>
          </w:rPr>
          <w:t>ECLI:LV:AT:2022:0930.1109512</w:t>
        </w:r>
        <w:r w:rsidR="009E6A2E" w:rsidRPr="009E6A2E">
          <w:rPr>
            <w:rStyle w:val="Hyperlink"/>
            <w:shd w:val="clear" w:color="auto" w:fill="FFFFFF"/>
          </w:rPr>
          <w:t>0</w:t>
        </w:r>
        <w:r w:rsidR="009E6A2E" w:rsidRPr="009E6A2E">
          <w:rPr>
            <w:rStyle w:val="Hyperlink"/>
            <w:shd w:val="clear" w:color="auto" w:fill="FFFFFF"/>
          </w:rPr>
          <w:t>817.21.L</w:t>
        </w:r>
      </w:hyperlink>
    </w:p>
    <w:p w14:paraId="5F60CF1E" w14:textId="77777777" w:rsidR="00DE44D2" w:rsidRPr="000648E5" w:rsidRDefault="00DE44D2" w:rsidP="009E6A2E">
      <w:pPr>
        <w:shd w:val="clear" w:color="auto" w:fill="FFFFFF"/>
        <w:spacing w:line="276" w:lineRule="auto"/>
      </w:pPr>
      <w:r w:rsidRPr="000648E5">
        <w:t> </w:t>
      </w:r>
    </w:p>
    <w:p w14:paraId="1FF69255" w14:textId="01DE71EA" w:rsidR="00DE44D2" w:rsidRPr="000648E5" w:rsidRDefault="00DE44D2" w:rsidP="009E6A2E">
      <w:pPr>
        <w:spacing w:line="276" w:lineRule="auto"/>
        <w:ind w:firstLine="652"/>
        <w:contextualSpacing/>
      </w:pPr>
      <w:r w:rsidRPr="000648E5">
        <w:t>Tiesa šādā sastāvā: senatori</w:t>
      </w:r>
      <w:r w:rsidR="00624919" w:rsidRPr="000648E5">
        <w:t xml:space="preserve"> Aija Branta,</w:t>
      </w:r>
      <w:r w:rsidR="00F96449" w:rsidRPr="000648E5">
        <w:t xml:space="preserve"> Aivars Uminskis, Inese Laura Zemīte</w:t>
      </w:r>
    </w:p>
    <w:p w14:paraId="515897F3" w14:textId="77777777" w:rsidR="00DE44D2" w:rsidRPr="000648E5" w:rsidRDefault="00DE44D2" w:rsidP="0061366C">
      <w:pPr>
        <w:tabs>
          <w:tab w:val="left" w:pos="-3120"/>
        </w:tabs>
        <w:suppressAutoHyphens/>
        <w:spacing w:line="276" w:lineRule="auto"/>
        <w:ind w:firstLine="652"/>
        <w:contextualSpacing/>
        <w:jc w:val="both"/>
      </w:pPr>
    </w:p>
    <w:p w14:paraId="4ECA33A5" w14:textId="07BC2F06" w:rsidR="00DE44D2" w:rsidRPr="00C576A8" w:rsidRDefault="00DE44D2" w:rsidP="0061366C">
      <w:pPr>
        <w:tabs>
          <w:tab w:val="left" w:pos="-3120"/>
        </w:tabs>
        <w:suppressAutoHyphens/>
        <w:spacing w:line="276" w:lineRule="auto"/>
        <w:ind w:firstLine="652"/>
        <w:contextualSpacing/>
        <w:jc w:val="both"/>
      </w:pPr>
      <w:r w:rsidRPr="000648E5">
        <w:t xml:space="preserve">izskatīja rakstveida procesā krimināllietu sakarā ar </w:t>
      </w:r>
      <w:r w:rsidR="00D86D99" w:rsidRPr="000648E5">
        <w:t xml:space="preserve">apsūdzētā </w:t>
      </w:r>
      <w:r w:rsidR="009E6A2E">
        <w:t>[pers. A]</w:t>
      </w:r>
      <w:r w:rsidR="000648E5">
        <w:t xml:space="preserve"> un viņa</w:t>
      </w:r>
      <w:r w:rsidR="00E35D6E" w:rsidRPr="000648E5">
        <w:t xml:space="preserve"> </w:t>
      </w:r>
      <w:r w:rsidR="00D86D99" w:rsidRPr="000648E5">
        <w:t xml:space="preserve">aizstāvja Ralfa </w:t>
      </w:r>
      <w:proofErr w:type="spellStart"/>
      <w:r w:rsidR="00D86D99" w:rsidRPr="000648E5">
        <w:t>Losberga</w:t>
      </w:r>
      <w:proofErr w:type="spellEnd"/>
      <w:r w:rsidR="00075E43" w:rsidRPr="000648E5">
        <w:t xml:space="preserve"> </w:t>
      </w:r>
      <w:r w:rsidRPr="000648E5">
        <w:t xml:space="preserve">kasācijas </w:t>
      </w:r>
      <w:r w:rsidR="00E21CDD" w:rsidRPr="000648E5">
        <w:t>sūdzīb</w:t>
      </w:r>
      <w:r w:rsidR="000648E5">
        <w:t>ām</w:t>
      </w:r>
      <w:r w:rsidRPr="000648E5">
        <w:t xml:space="preserve"> par </w:t>
      </w:r>
      <w:r w:rsidR="00D86D99" w:rsidRPr="000648E5">
        <w:t>Rīgas</w:t>
      </w:r>
      <w:r w:rsidRPr="000648E5">
        <w:t xml:space="preserve"> apgabaltiesas </w:t>
      </w:r>
      <w:proofErr w:type="gramStart"/>
      <w:r w:rsidRPr="000648E5">
        <w:t>20</w:t>
      </w:r>
      <w:r w:rsidR="00855DF4" w:rsidRPr="000648E5">
        <w:t>2</w:t>
      </w:r>
      <w:r w:rsidR="00D86D99" w:rsidRPr="000648E5">
        <w:t>1</w:t>
      </w:r>
      <w:r w:rsidRPr="000648E5">
        <w:t>.gada</w:t>
      </w:r>
      <w:proofErr w:type="gramEnd"/>
      <w:r w:rsidRPr="000648E5">
        <w:t xml:space="preserve"> </w:t>
      </w:r>
      <w:r w:rsidR="00D86D99" w:rsidRPr="000648E5">
        <w:t>17</w:t>
      </w:r>
      <w:r w:rsidRPr="000648E5">
        <w:t>.</w:t>
      </w:r>
      <w:r w:rsidR="00D86D99" w:rsidRPr="000648E5">
        <w:t>februā</w:t>
      </w:r>
      <w:r w:rsidRPr="000648E5">
        <w:t xml:space="preserve">ra </w:t>
      </w:r>
      <w:r w:rsidR="00932EB4" w:rsidRPr="000648E5">
        <w:t>lēm</w:t>
      </w:r>
      <w:r w:rsidRPr="000648E5">
        <w:t>umu.</w:t>
      </w:r>
    </w:p>
    <w:p w14:paraId="3E2C3023" w14:textId="77777777" w:rsidR="00DE44D2" w:rsidRPr="00C576A8" w:rsidRDefault="00DE44D2" w:rsidP="0061366C">
      <w:pPr>
        <w:spacing w:line="276" w:lineRule="auto"/>
        <w:ind w:firstLine="652"/>
        <w:contextualSpacing/>
      </w:pPr>
    </w:p>
    <w:p w14:paraId="403F7778" w14:textId="77777777" w:rsidR="00DE44D2" w:rsidRPr="00C576A8" w:rsidRDefault="00DE44D2" w:rsidP="0061366C">
      <w:pPr>
        <w:spacing w:line="276" w:lineRule="auto"/>
        <w:ind w:firstLine="652"/>
        <w:contextualSpacing/>
        <w:jc w:val="center"/>
        <w:rPr>
          <w:b/>
        </w:rPr>
      </w:pPr>
      <w:r w:rsidRPr="00C576A8">
        <w:rPr>
          <w:b/>
        </w:rPr>
        <w:t>Aprakstošā daļa</w:t>
      </w:r>
    </w:p>
    <w:p w14:paraId="5DD71EBE" w14:textId="77777777" w:rsidR="00DE44D2" w:rsidRPr="00C576A8" w:rsidRDefault="00DE44D2" w:rsidP="0061366C">
      <w:pPr>
        <w:spacing w:line="276" w:lineRule="auto"/>
        <w:ind w:firstLine="652"/>
        <w:contextualSpacing/>
        <w:rPr>
          <w:b/>
        </w:rPr>
      </w:pPr>
      <w:r w:rsidRPr="00C576A8">
        <w:rPr>
          <w:b/>
        </w:rPr>
        <w:tab/>
      </w:r>
    </w:p>
    <w:p w14:paraId="20C34B4C" w14:textId="4B8A9F67" w:rsidR="00DE44D2" w:rsidRPr="00C576A8" w:rsidRDefault="00DE44D2" w:rsidP="0061366C">
      <w:pPr>
        <w:spacing w:line="276" w:lineRule="auto"/>
        <w:ind w:firstLine="652"/>
        <w:contextualSpacing/>
        <w:rPr>
          <w:bCs/>
        </w:rPr>
      </w:pPr>
      <w:r w:rsidRPr="00C576A8">
        <w:rPr>
          <w:bCs/>
        </w:rPr>
        <w:t xml:space="preserve">[1] Ar </w:t>
      </w:r>
      <w:r w:rsidR="00D86D99">
        <w:rPr>
          <w:bCs/>
        </w:rPr>
        <w:t>Rīgas pilsētas Pārdaugavas</w:t>
      </w:r>
      <w:r w:rsidRPr="00C576A8">
        <w:rPr>
          <w:bCs/>
        </w:rPr>
        <w:t xml:space="preserve"> tiesas </w:t>
      </w:r>
      <w:proofErr w:type="gramStart"/>
      <w:r w:rsidRPr="00C576A8">
        <w:rPr>
          <w:bCs/>
        </w:rPr>
        <w:t>20</w:t>
      </w:r>
      <w:r w:rsidR="00D86D99">
        <w:rPr>
          <w:bCs/>
        </w:rPr>
        <w:t>20</w:t>
      </w:r>
      <w:r w:rsidRPr="00C576A8">
        <w:rPr>
          <w:bCs/>
        </w:rPr>
        <w:t>.gada</w:t>
      </w:r>
      <w:proofErr w:type="gramEnd"/>
      <w:r w:rsidRPr="00C576A8">
        <w:rPr>
          <w:bCs/>
        </w:rPr>
        <w:t xml:space="preserve"> </w:t>
      </w:r>
      <w:r w:rsidR="00D86D99">
        <w:rPr>
          <w:bCs/>
        </w:rPr>
        <w:t>22</w:t>
      </w:r>
      <w:r w:rsidRPr="00C576A8">
        <w:rPr>
          <w:bCs/>
        </w:rPr>
        <w:t>.</w:t>
      </w:r>
      <w:r w:rsidR="00D86D99">
        <w:rPr>
          <w:bCs/>
        </w:rPr>
        <w:t>janvār</w:t>
      </w:r>
      <w:r w:rsidRPr="00C576A8">
        <w:rPr>
          <w:bCs/>
        </w:rPr>
        <w:t>a spriedumu</w:t>
      </w:r>
    </w:p>
    <w:p w14:paraId="7F2C6824" w14:textId="1420919C" w:rsidR="00DE44D2" w:rsidRPr="00C576A8" w:rsidRDefault="009E6A2E" w:rsidP="0061366C">
      <w:pPr>
        <w:spacing w:line="276" w:lineRule="auto"/>
        <w:ind w:firstLine="652"/>
        <w:contextualSpacing/>
        <w:rPr>
          <w:bCs/>
        </w:rPr>
      </w:pPr>
      <w:r>
        <w:rPr>
          <w:bCs/>
        </w:rPr>
        <w:t>[pers. </w:t>
      </w:r>
      <w:r>
        <w:t>A]</w:t>
      </w:r>
      <w:r w:rsidR="00DE44D2" w:rsidRPr="00C576A8">
        <w:rPr>
          <w:bCs/>
        </w:rPr>
        <w:t xml:space="preserve">, personas kods </w:t>
      </w:r>
      <w:r>
        <w:rPr>
          <w:bCs/>
        </w:rPr>
        <w:t>[..]</w:t>
      </w:r>
      <w:r w:rsidR="00DE44D2" w:rsidRPr="00C576A8">
        <w:rPr>
          <w:bCs/>
        </w:rPr>
        <w:t>,</w:t>
      </w:r>
    </w:p>
    <w:p w14:paraId="65A41C7F" w14:textId="6287B49A" w:rsidR="00271BD9" w:rsidRDefault="00E21CDD" w:rsidP="0061366C">
      <w:pPr>
        <w:spacing w:line="276" w:lineRule="auto"/>
        <w:ind w:firstLine="652"/>
        <w:contextualSpacing/>
        <w:jc w:val="both"/>
        <w:rPr>
          <w:bCs/>
        </w:rPr>
      </w:pPr>
      <w:r>
        <w:rPr>
          <w:bCs/>
        </w:rPr>
        <w:t xml:space="preserve">atzīts par vainīgu Krimināllikuma </w:t>
      </w:r>
      <w:proofErr w:type="gramStart"/>
      <w:r>
        <w:rPr>
          <w:bCs/>
        </w:rPr>
        <w:t>1</w:t>
      </w:r>
      <w:r w:rsidR="00D86D99">
        <w:rPr>
          <w:bCs/>
        </w:rPr>
        <w:t>18</w:t>
      </w:r>
      <w:r>
        <w:rPr>
          <w:bCs/>
        </w:rPr>
        <w:t>.panta</w:t>
      </w:r>
      <w:proofErr w:type="gramEnd"/>
      <w:r>
        <w:rPr>
          <w:bCs/>
        </w:rPr>
        <w:t xml:space="preserve"> </w:t>
      </w:r>
      <w:r w:rsidR="00D86D99">
        <w:rPr>
          <w:bCs/>
        </w:rPr>
        <w:t xml:space="preserve">1.punktā </w:t>
      </w:r>
      <w:r>
        <w:rPr>
          <w:bCs/>
        </w:rPr>
        <w:t xml:space="preserve">paredzētajā noziedzīgajā nodarījumā un sodīts ar brīvības atņemšanu uz </w:t>
      </w:r>
      <w:r w:rsidR="00D86D99">
        <w:rPr>
          <w:bCs/>
        </w:rPr>
        <w:t>16</w:t>
      </w:r>
      <w:r w:rsidR="00075E43">
        <w:rPr>
          <w:bCs/>
        </w:rPr>
        <w:t xml:space="preserve"> gadiem un probācijas uzraudzību uz 3 gadiem</w:t>
      </w:r>
      <w:r w:rsidR="00D86D99">
        <w:rPr>
          <w:bCs/>
        </w:rPr>
        <w:t>.</w:t>
      </w:r>
    </w:p>
    <w:p w14:paraId="49A273F1" w14:textId="4910FE01" w:rsidR="00A757E8" w:rsidRDefault="00D86D99" w:rsidP="0061366C">
      <w:pPr>
        <w:spacing w:line="276" w:lineRule="auto"/>
        <w:ind w:firstLine="652"/>
        <w:contextualSpacing/>
        <w:jc w:val="both"/>
        <w:rPr>
          <w:bCs/>
        </w:rPr>
      </w:pPr>
      <w:r>
        <w:rPr>
          <w:bCs/>
        </w:rPr>
        <w:t>D</w:t>
      </w:r>
      <w:r w:rsidR="00075E43">
        <w:rPr>
          <w:bCs/>
        </w:rPr>
        <w:t>rošības līd</w:t>
      </w:r>
      <w:r w:rsidR="00BA4660">
        <w:rPr>
          <w:bCs/>
        </w:rPr>
        <w:t>zeklis – apcietinājums – atstāts negrozīts.</w:t>
      </w:r>
    </w:p>
    <w:p w14:paraId="2BED509E" w14:textId="38308F1A" w:rsidR="00540ADC" w:rsidRDefault="009F42DD" w:rsidP="0061366C">
      <w:pPr>
        <w:spacing w:line="276" w:lineRule="auto"/>
        <w:ind w:firstLine="652"/>
        <w:contextualSpacing/>
        <w:jc w:val="both"/>
        <w:rPr>
          <w:bCs/>
        </w:rPr>
      </w:pPr>
      <w:r>
        <w:t>N</w:t>
      </w:r>
      <w:r w:rsidR="00540ADC">
        <w:t xml:space="preserve">o </w:t>
      </w:r>
      <w:r w:rsidR="009E6A2E">
        <w:t>[pers. A]</w:t>
      </w:r>
      <w:r w:rsidR="00540ADC">
        <w:t xml:space="preserve"> valst</w:t>
      </w:r>
      <w:r>
        <w:t>s labā piedzīti</w:t>
      </w:r>
      <w:r w:rsidR="00540ADC">
        <w:t xml:space="preserve"> procesuālie izdevumi </w:t>
      </w:r>
      <w:r w:rsidR="00962682">
        <w:t>21</w:t>
      </w:r>
      <w:r w:rsidR="003922BD">
        <w:t>3</w:t>
      </w:r>
      <w:r w:rsidR="00962682">
        <w:t>5</w:t>
      </w:r>
      <w:r w:rsidR="00540ADC">
        <w:t xml:space="preserve"> </w:t>
      </w:r>
      <w:proofErr w:type="spellStart"/>
      <w:r w:rsidR="00540ADC" w:rsidRPr="00540ADC">
        <w:rPr>
          <w:i/>
          <w:iCs/>
        </w:rPr>
        <w:t>euro</w:t>
      </w:r>
      <w:proofErr w:type="spellEnd"/>
      <w:r w:rsidR="00540ADC">
        <w:t xml:space="preserve"> par </w:t>
      </w:r>
      <w:r w:rsidR="00952B8E">
        <w:t>aizstāvju sniegto juridisko palīdzību</w:t>
      </w:r>
      <w:r w:rsidR="00124CC1">
        <w:t xml:space="preserve"> pirmstiesas procesā un tiesā.</w:t>
      </w:r>
    </w:p>
    <w:p w14:paraId="4BD7E173" w14:textId="77777777" w:rsidR="00A757E8" w:rsidRDefault="00A757E8" w:rsidP="0061366C">
      <w:pPr>
        <w:spacing w:line="276" w:lineRule="auto"/>
        <w:contextualSpacing/>
        <w:jc w:val="both"/>
        <w:rPr>
          <w:bCs/>
        </w:rPr>
      </w:pPr>
    </w:p>
    <w:p w14:paraId="7E8A990F" w14:textId="7EE6F990" w:rsidR="00665E2A" w:rsidRDefault="00A757E8" w:rsidP="0061366C">
      <w:pPr>
        <w:spacing w:line="276" w:lineRule="auto"/>
        <w:ind w:firstLine="652"/>
        <w:contextualSpacing/>
        <w:jc w:val="both"/>
        <w:rPr>
          <w:bCs/>
        </w:rPr>
      </w:pPr>
      <w:r>
        <w:rPr>
          <w:bCs/>
        </w:rPr>
        <w:t xml:space="preserve">[2] Ar </w:t>
      </w:r>
      <w:r w:rsidR="00D86D99">
        <w:rPr>
          <w:bCs/>
        </w:rPr>
        <w:t>Rīgas pilsētas Pārdaugavas</w:t>
      </w:r>
      <w:r>
        <w:rPr>
          <w:bCs/>
        </w:rPr>
        <w:t xml:space="preserve"> tiesas spriedumu </w:t>
      </w:r>
      <w:r w:rsidR="009E6A2E">
        <w:rPr>
          <w:bCs/>
        </w:rPr>
        <w:t>[pers. A]</w:t>
      </w:r>
      <w:r>
        <w:rPr>
          <w:bCs/>
        </w:rPr>
        <w:t xml:space="preserve"> atzīts par vainīgu un sodīts pēc Krimināllikuma </w:t>
      </w:r>
      <w:proofErr w:type="gramStart"/>
      <w:r>
        <w:rPr>
          <w:bCs/>
        </w:rPr>
        <w:t>1</w:t>
      </w:r>
      <w:r w:rsidR="00665E2A">
        <w:rPr>
          <w:bCs/>
        </w:rPr>
        <w:t>18.panta</w:t>
      </w:r>
      <w:proofErr w:type="gramEnd"/>
      <w:r w:rsidR="00665E2A">
        <w:rPr>
          <w:bCs/>
        </w:rPr>
        <w:t xml:space="preserve"> 1.punkta par citas personas tīšu prettiesisku nonāvēšanu (slepkavība) sakarā ar cietušā sniegto liecību pirmstiesas </w:t>
      </w:r>
      <w:r w:rsidR="00DF27CE">
        <w:rPr>
          <w:bCs/>
        </w:rPr>
        <w:t>krimināl</w:t>
      </w:r>
      <w:r w:rsidR="00665E2A">
        <w:rPr>
          <w:bCs/>
        </w:rPr>
        <w:t>procesā.</w:t>
      </w:r>
    </w:p>
    <w:p w14:paraId="40FBCE89" w14:textId="261EDF25" w:rsidR="00027750" w:rsidRDefault="00027750" w:rsidP="0061366C">
      <w:pPr>
        <w:spacing w:line="276" w:lineRule="auto"/>
        <w:ind w:firstLine="652"/>
        <w:contextualSpacing/>
        <w:jc w:val="both"/>
        <w:rPr>
          <w:bCs/>
        </w:rPr>
      </w:pPr>
    </w:p>
    <w:p w14:paraId="1A432A8F" w14:textId="45F9F221" w:rsidR="00C525F0" w:rsidRDefault="00027750" w:rsidP="0061366C">
      <w:pPr>
        <w:spacing w:line="276" w:lineRule="auto"/>
        <w:ind w:firstLine="652"/>
        <w:contextualSpacing/>
        <w:jc w:val="both"/>
        <w:rPr>
          <w:bCs/>
        </w:rPr>
      </w:pPr>
      <w:r>
        <w:rPr>
          <w:bCs/>
        </w:rPr>
        <w:t>[3] </w:t>
      </w:r>
      <w:r w:rsidR="000A6D57">
        <w:rPr>
          <w:bCs/>
        </w:rPr>
        <w:t xml:space="preserve">Ar </w:t>
      </w:r>
      <w:r w:rsidR="00665E2A">
        <w:rPr>
          <w:bCs/>
        </w:rPr>
        <w:t>Rīgas</w:t>
      </w:r>
      <w:r w:rsidR="000A6D57">
        <w:rPr>
          <w:bCs/>
        </w:rPr>
        <w:t xml:space="preserve"> apgabaltiesas </w:t>
      </w:r>
      <w:proofErr w:type="gramStart"/>
      <w:r w:rsidR="000A6D57">
        <w:rPr>
          <w:bCs/>
        </w:rPr>
        <w:t>202</w:t>
      </w:r>
      <w:r w:rsidR="00665E2A">
        <w:rPr>
          <w:bCs/>
        </w:rPr>
        <w:t>1</w:t>
      </w:r>
      <w:r w:rsidR="000A6D57">
        <w:rPr>
          <w:bCs/>
        </w:rPr>
        <w:t>.gada</w:t>
      </w:r>
      <w:proofErr w:type="gramEnd"/>
      <w:r w:rsidR="000A6D57">
        <w:rPr>
          <w:bCs/>
        </w:rPr>
        <w:t xml:space="preserve"> </w:t>
      </w:r>
      <w:r w:rsidR="00665E2A">
        <w:rPr>
          <w:bCs/>
        </w:rPr>
        <w:t>17</w:t>
      </w:r>
      <w:r w:rsidR="000A6D57">
        <w:rPr>
          <w:bCs/>
        </w:rPr>
        <w:t>.</w:t>
      </w:r>
      <w:r w:rsidR="00665E2A">
        <w:rPr>
          <w:bCs/>
        </w:rPr>
        <w:t>februā</w:t>
      </w:r>
      <w:r w:rsidR="000A6D57">
        <w:rPr>
          <w:bCs/>
        </w:rPr>
        <w:t>ra lēmumu, i</w:t>
      </w:r>
      <w:r>
        <w:rPr>
          <w:bCs/>
        </w:rPr>
        <w:t xml:space="preserve">ztiesājot lietu sakarā ar apsūdzētā </w:t>
      </w:r>
      <w:r w:rsidR="009E6A2E">
        <w:rPr>
          <w:bCs/>
        </w:rPr>
        <w:t>[pers. </w:t>
      </w:r>
      <w:r w:rsidR="009E6A2E">
        <w:t>A]</w:t>
      </w:r>
      <w:r w:rsidR="00DF27CE">
        <w:rPr>
          <w:bCs/>
        </w:rPr>
        <w:t xml:space="preserve"> un viņa</w:t>
      </w:r>
      <w:r>
        <w:rPr>
          <w:bCs/>
        </w:rPr>
        <w:t xml:space="preserve"> aizstāvja</w:t>
      </w:r>
      <w:r w:rsidR="00DF27CE">
        <w:rPr>
          <w:bCs/>
        </w:rPr>
        <w:t xml:space="preserve"> </w:t>
      </w:r>
      <w:r w:rsidR="00665E2A">
        <w:rPr>
          <w:bCs/>
        </w:rPr>
        <w:t>R.</w:t>
      </w:r>
      <w:r w:rsidR="00DF27CE">
        <w:rPr>
          <w:bCs/>
        </w:rPr>
        <w:t> </w:t>
      </w:r>
      <w:proofErr w:type="spellStart"/>
      <w:r w:rsidR="00665E2A">
        <w:rPr>
          <w:bCs/>
        </w:rPr>
        <w:t>Losberga</w:t>
      </w:r>
      <w:proofErr w:type="spellEnd"/>
      <w:r>
        <w:rPr>
          <w:bCs/>
        </w:rPr>
        <w:t xml:space="preserve"> apelācijas sūdzīb</w:t>
      </w:r>
      <w:r w:rsidR="00DF27CE">
        <w:rPr>
          <w:bCs/>
        </w:rPr>
        <w:t>ām</w:t>
      </w:r>
      <w:r>
        <w:rPr>
          <w:bCs/>
        </w:rPr>
        <w:t xml:space="preserve">, </w:t>
      </w:r>
      <w:r w:rsidR="00665E2A">
        <w:rPr>
          <w:bCs/>
        </w:rPr>
        <w:t>Rīgas pilsētas Pārdaugavas</w:t>
      </w:r>
      <w:r w:rsidR="00C525F0">
        <w:rPr>
          <w:bCs/>
        </w:rPr>
        <w:t xml:space="preserve"> tiesas 20</w:t>
      </w:r>
      <w:r w:rsidR="004772E2">
        <w:rPr>
          <w:bCs/>
        </w:rPr>
        <w:t>20</w:t>
      </w:r>
      <w:r w:rsidR="00C525F0">
        <w:rPr>
          <w:bCs/>
        </w:rPr>
        <w:t xml:space="preserve">.gada </w:t>
      </w:r>
      <w:r w:rsidR="00665E2A">
        <w:rPr>
          <w:bCs/>
        </w:rPr>
        <w:t>22</w:t>
      </w:r>
      <w:r w:rsidR="00C525F0">
        <w:rPr>
          <w:bCs/>
        </w:rPr>
        <w:t>.</w:t>
      </w:r>
      <w:r w:rsidR="00665E2A">
        <w:rPr>
          <w:bCs/>
        </w:rPr>
        <w:t>janvāra</w:t>
      </w:r>
      <w:r w:rsidR="00C525F0">
        <w:rPr>
          <w:bCs/>
        </w:rPr>
        <w:t xml:space="preserve"> spriedums atstāts negrozīts.</w:t>
      </w:r>
    </w:p>
    <w:p w14:paraId="5DBD841E" w14:textId="2F35E19C" w:rsidR="00D26D8E" w:rsidRDefault="00962682" w:rsidP="0061366C">
      <w:pPr>
        <w:spacing w:line="276" w:lineRule="auto"/>
        <w:ind w:firstLine="652"/>
        <w:contextualSpacing/>
        <w:jc w:val="both"/>
        <w:rPr>
          <w:bCs/>
        </w:rPr>
      </w:pPr>
      <w:r>
        <w:t>N</w:t>
      </w:r>
      <w:r w:rsidR="00D26D8E">
        <w:t xml:space="preserve">o </w:t>
      </w:r>
      <w:r w:rsidR="009E6A2E">
        <w:t>[pers. A]</w:t>
      </w:r>
      <w:r w:rsidR="00D26D8E">
        <w:t xml:space="preserve"> valsts labā</w:t>
      </w:r>
      <w:r>
        <w:t xml:space="preserve"> piedzīti </w:t>
      </w:r>
      <w:r w:rsidR="00D26D8E">
        <w:t xml:space="preserve">procesuālie izdevumi 120 </w:t>
      </w:r>
      <w:proofErr w:type="spellStart"/>
      <w:r w:rsidR="00D26D8E" w:rsidRPr="00D26D8E">
        <w:rPr>
          <w:i/>
          <w:iCs/>
        </w:rPr>
        <w:t>euro</w:t>
      </w:r>
      <w:proofErr w:type="spellEnd"/>
      <w:r w:rsidR="00D26D8E">
        <w:t xml:space="preserve"> par aizstāvja sniegto juridisko palīdzību apelācijas instances tiesā.</w:t>
      </w:r>
    </w:p>
    <w:p w14:paraId="16432EF0" w14:textId="77777777" w:rsidR="00C525F0" w:rsidRDefault="00C525F0" w:rsidP="0061366C">
      <w:pPr>
        <w:spacing w:line="276" w:lineRule="auto"/>
        <w:ind w:firstLine="652"/>
        <w:contextualSpacing/>
        <w:jc w:val="both"/>
        <w:rPr>
          <w:bCs/>
        </w:rPr>
      </w:pPr>
    </w:p>
    <w:p w14:paraId="4690B028" w14:textId="1B447BE1" w:rsidR="00E21CDD" w:rsidRDefault="00C525F0" w:rsidP="0061366C">
      <w:pPr>
        <w:spacing w:line="276" w:lineRule="auto"/>
        <w:ind w:firstLine="652"/>
        <w:contextualSpacing/>
        <w:jc w:val="both"/>
        <w:rPr>
          <w:bCs/>
        </w:rPr>
      </w:pPr>
      <w:r>
        <w:rPr>
          <w:bCs/>
        </w:rPr>
        <w:t xml:space="preserve">[4] Par </w:t>
      </w:r>
      <w:r w:rsidR="00665E2A">
        <w:rPr>
          <w:bCs/>
        </w:rPr>
        <w:t>Rīgas</w:t>
      </w:r>
      <w:r>
        <w:rPr>
          <w:bCs/>
        </w:rPr>
        <w:t xml:space="preserve"> </w:t>
      </w:r>
      <w:r w:rsidR="00027750">
        <w:rPr>
          <w:bCs/>
        </w:rPr>
        <w:t xml:space="preserve">apgabaltiesas </w:t>
      </w:r>
      <w:proofErr w:type="gramStart"/>
      <w:r w:rsidR="00027750">
        <w:rPr>
          <w:bCs/>
        </w:rPr>
        <w:t>202</w:t>
      </w:r>
      <w:r w:rsidR="00665E2A">
        <w:rPr>
          <w:bCs/>
        </w:rPr>
        <w:t>1</w:t>
      </w:r>
      <w:r w:rsidR="00027750">
        <w:rPr>
          <w:bCs/>
        </w:rPr>
        <w:t>.gada</w:t>
      </w:r>
      <w:proofErr w:type="gramEnd"/>
      <w:r w:rsidR="00027750">
        <w:rPr>
          <w:bCs/>
        </w:rPr>
        <w:t xml:space="preserve"> </w:t>
      </w:r>
      <w:r w:rsidR="00665E2A">
        <w:rPr>
          <w:bCs/>
        </w:rPr>
        <w:t>17</w:t>
      </w:r>
      <w:r w:rsidR="00027750">
        <w:rPr>
          <w:bCs/>
        </w:rPr>
        <w:t>.</w:t>
      </w:r>
      <w:r w:rsidR="00665E2A">
        <w:rPr>
          <w:bCs/>
        </w:rPr>
        <w:t>februā</w:t>
      </w:r>
      <w:r w:rsidR="00027750">
        <w:rPr>
          <w:bCs/>
        </w:rPr>
        <w:t>ra lēmumu</w:t>
      </w:r>
      <w:r>
        <w:rPr>
          <w:bCs/>
        </w:rPr>
        <w:t xml:space="preserve"> </w:t>
      </w:r>
      <w:r w:rsidR="00DF27CE">
        <w:rPr>
          <w:bCs/>
        </w:rPr>
        <w:t xml:space="preserve">apsūdzētā </w:t>
      </w:r>
      <w:r w:rsidR="009E6A2E">
        <w:rPr>
          <w:bCs/>
        </w:rPr>
        <w:t>[pers. </w:t>
      </w:r>
      <w:r w:rsidR="009E6A2E">
        <w:t>A]</w:t>
      </w:r>
      <w:r w:rsidR="00DF27CE">
        <w:rPr>
          <w:bCs/>
        </w:rPr>
        <w:t xml:space="preserve"> aizstāvis R. </w:t>
      </w:r>
      <w:proofErr w:type="spellStart"/>
      <w:r w:rsidR="00DF27CE">
        <w:rPr>
          <w:bCs/>
        </w:rPr>
        <w:t>Losbergs</w:t>
      </w:r>
      <w:proofErr w:type="spellEnd"/>
      <w:r w:rsidR="00DF27CE">
        <w:rPr>
          <w:bCs/>
        </w:rPr>
        <w:t xml:space="preserve"> </w:t>
      </w:r>
      <w:r>
        <w:rPr>
          <w:bCs/>
        </w:rPr>
        <w:t>iesnie</w:t>
      </w:r>
      <w:r w:rsidR="00665E2A">
        <w:rPr>
          <w:bCs/>
        </w:rPr>
        <w:t>dzis</w:t>
      </w:r>
      <w:r w:rsidR="00DF27CE">
        <w:rPr>
          <w:bCs/>
        </w:rPr>
        <w:t xml:space="preserve"> kasācijas sūdzību</w:t>
      </w:r>
      <w:r>
        <w:rPr>
          <w:bCs/>
        </w:rPr>
        <w:t>,</w:t>
      </w:r>
      <w:r w:rsidR="00DF27CE">
        <w:rPr>
          <w:bCs/>
        </w:rPr>
        <w:t xml:space="preserve"> kurā lūdz</w:t>
      </w:r>
      <w:r>
        <w:rPr>
          <w:bCs/>
        </w:rPr>
        <w:t xml:space="preserve"> atcelt apelācijas instances tiesas lēmumu un</w:t>
      </w:r>
      <w:r w:rsidR="008B1C10">
        <w:rPr>
          <w:bCs/>
        </w:rPr>
        <w:t xml:space="preserve"> nosūtīt lietu jaunai izskatīšanai apelācijas instances tiesā.</w:t>
      </w:r>
    </w:p>
    <w:p w14:paraId="6FDD1168" w14:textId="1B2F2C85" w:rsidR="00F96449" w:rsidRDefault="001B7159" w:rsidP="0061366C">
      <w:pPr>
        <w:spacing w:line="276" w:lineRule="auto"/>
        <w:ind w:firstLine="652"/>
        <w:contextualSpacing/>
        <w:jc w:val="both"/>
        <w:rPr>
          <w:bCs/>
        </w:rPr>
      </w:pPr>
      <w:r>
        <w:rPr>
          <w:bCs/>
        </w:rPr>
        <w:t>Kasācijas sūdzīb</w:t>
      </w:r>
      <w:r w:rsidR="0066422C">
        <w:rPr>
          <w:bCs/>
        </w:rPr>
        <w:t>u pamato turpmāk norādītie argumenti.</w:t>
      </w:r>
    </w:p>
    <w:p w14:paraId="71DC0E32" w14:textId="6243724E" w:rsidR="005278F5" w:rsidRDefault="005278F5" w:rsidP="0061366C">
      <w:pPr>
        <w:spacing w:line="276" w:lineRule="auto"/>
        <w:ind w:firstLine="652"/>
        <w:contextualSpacing/>
        <w:jc w:val="both"/>
        <w:rPr>
          <w:bCs/>
        </w:rPr>
      </w:pPr>
      <w:r>
        <w:rPr>
          <w:bCs/>
        </w:rPr>
        <w:lastRenderedPageBreak/>
        <w:t xml:space="preserve">[4.1] Apelācijas instances tiesa </w:t>
      </w:r>
      <w:r w:rsidR="009E6A2E">
        <w:rPr>
          <w:bCs/>
        </w:rPr>
        <w:t>[pers. </w:t>
      </w:r>
      <w:r w:rsidR="009E6A2E">
        <w:t>A]</w:t>
      </w:r>
      <w:r>
        <w:rPr>
          <w:bCs/>
        </w:rPr>
        <w:t xml:space="preserve"> darbības kļūdaini kvalificējusi pēc Krimināllikuma </w:t>
      </w:r>
      <w:proofErr w:type="gramStart"/>
      <w:r>
        <w:rPr>
          <w:bCs/>
        </w:rPr>
        <w:t>118.panta</w:t>
      </w:r>
      <w:proofErr w:type="gramEnd"/>
      <w:r>
        <w:rPr>
          <w:bCs/>
        </w:rPr>
        <w:t xml:space="preserve"> 1.punkta un tādējādi pieļāvusi Kriminālprocesa likuma 574.panta 2.punktā norādīto pārkāpumu.</w:t>
      </w:r>
    </w:p>
    <w:p w14:paraId="22199A5D" w14:textId="78EEB320" w:rsidR="005278F5" w:rsidRDefault="005278F5" w:rsidP="0061366C">
      <w:pPr>
        <w:spacing w:line="276" w:lineRule="auto"/>
        <w:ind w:firstLine="652"/>
        <w:contextualSpacing/>
        <w:jc w:val="both"/>
        <w:rPr>
          <w:bCs/>
        </w:rPr>
      </w:pPr>
      <w:r>
        <w:rPr>
          <w:bCs/>
        </w:rPr>
        <w:t xml:space="preserve">Lai </w:t>
      </w:r>
      <w:r w:rsidR="009E6A2E">
        <w:rPr>
          <w:bCs/>
        </w:rPr>
        <w:t>[pers. </w:t>
      </w:r>
      <w:r w:rsidR="009E6A2E">
        <w:t>A]</w:t>
      </w:r>
      <w:r>
        <w:rPr>
          <w:bCs/>
        </w:rPr>
        <w:t xml:space="preserve"> atzītu par vainīgu Krimināllikuma </w:t>
      </w:r>
      <w:proofErr w:type="gramStart"/>
      <w:r>
        <w:rPr>
          <w:bCs/>
        </w:rPr>
        <w:t>118.panta</w:t>
      </w:r>
      <w:proofErr w:type="gramEnd"/>
      <w:r>
        <w:rPr>
          <w:bCs/>
        </w:rPr>
        <w:t xml:space="preserve"> 1.punktā paredzētajā noziedzīgajā nodarījumā, viņa rīcībā bija jākonstatē minētajā pantā paredzētā noziedzīgā nodarījuma subjektīvā puse, proti, vēlme atriebties </w:t>
      </w:r>
      <w:r w:rsidR="009E6A2E">
        <w:rPr>
          <w:bCs/>
        </w:rPr>
        <w:t>[pers. </w:t>
      </w:r>
      <w:r w:rsidR="009E6A2E">
        <w:t>B]</w:t>
      </w:r>
      <w:r>
        <w:rPr>
          <w:bCs/>
        </w:rPr>
        <w:t xml:space="preserve"> </w:t>
      </w:r>
      <w:r w:rsidR="00544F17">
        <w:rPr>
          <w:bCs/>
        </w:rPr>
        <w:t xml:space="preserve">par viņa </w:t>
      </w:r>
      <w:r>
        <w:rPr>
          <w:bCs/>
        </w:rPr>
        <w:t>sniegt</w:t>
      </w:r>
      <w:r w:rsidR="00DD19D0">
        <w:rPr>
          <w:bCs/>
        </w:rPr>
        <w:t>o</w:t>
      </w:r>
      <w:r>
        <w:rPr>
          <w:bCs/>
        </w:rPr>
        <w:t xml:space="preserve"> liecību</w:t>
      </w:r>
      <w:r w:rsidR="00DF27CE">
        <w:rPr>
          <w:bCs/>
        </w:rPr>
        <w:t xml:space="preserve"> pirmstiesas</w:t>
      </w:r>
      <w:r w:rsidR="000C5331">
        <w:rPr>
          <w:bCs/>
        </w:rPr>
        <w:t xml:space="preserve"> kriminālprocesā</w:t>
      </w:r>
      <w:r>
        <w:rPr>
          <w:bCs/>
        </w:rPr>
        <w:t>.</w:t>
      </w:r>
    </w:p>
    <w:p w14:paraId="23EE805E" w14:textId="11925FF9" w:rsidR="007E6D0B" w:rsidRDefault="005278F5" w:rsidP="0061366C">
      <w:pPr>
        <w:spacing w:line="276" w:lineRule="auto"/>
        <w:ind w:firstLine="652"/>
        <w:contextualSpacing/>
        <w:jc w:val="both"/>
        <w:rPr>
          <w:bCs/>
        </w:rPr>
      </w:pPr>
      <w:r>
        <w:rPr>
          <w:bCs/>
        </w:rPr>
        <w:t>Apelācijas instances tiesa</w:t>
      </w:r>
      <w:r w:rsidR="007D10FF">
        <w:rPr>
          <w:bCs/>
        </w:rPr>
        <w:t>, atstājot negrozītu pirmās instances tiesas spriedumu, konstatējusi faktu, ka</w:t>
      </w:r>
      <w:r>
        <w:rPr>
          <w:bCs/>
        </w:rPr>
        <w:t xml:space="preserve"> </w:t>
      </w:r>
      <w:r w:rsidR="009E6A2E">
        <w:rPr>
          <w:bCs/>
        </w:rPr>
        <w:t>[pers. B]</w:t>
      </w:r>
      <w:r>
        <w:rPr>
          <w:bCs/>
        </w:rPr>
        <w:t xml:space="preserve"> </w:t>
      </w:r>
      <w:proofErr w:type="gramStart"/>
      <w:r>
        <w:rPr>
          <w:bCs/>
        </w:rPr>
        <w:t>2013.gada</w:t>
      </w:r>
      <w:proofErr w:type="gramEnd"/>
      <w:r>
        <w:rPr>
          <w:bCs/>
        </w:rPr>
        <w:t xml:space="preserve"> 23.aprīlī piedalījies izmeklēšanas eksperimentā </w:t>
      </w:r>
      <w:r w:rsidR="0066422C">
        <w:rPr>
          <w:bCs/>
        </w:rPr>
        <w:t xml:space="preserve">citā </w:t>
      </w:r>
      <w:r>
        <w:rPr>
          <w:bCs/>
        </w:rPr>
        <w:t>kriminālprocesā,</w:t>
      </w:r>
      <w:r w:rsidR="003E7A8D">
        <w:rPr>
          <w:bCs/>
        </w:rPr>
        <w:t xml:space="preserve"> kurā par nelikumīgām darbībām ar aizliegtām vielām atzīta par vainīgu un sodīta </w:t>
      </w:r>
      <w:r w:rsidR="002157DB">
        <w:rPr>
          <w:bCs/>
        </w:rPr>
        <w:t xml:space="preserve">viņam agrāk nepazīstamā </w:t>
      </w:r>
      <w:r w:rsidR="009E6A2E">
        <w:rPr>
          <w:bCs/>
        </w:rPr>
        <w:t>[pers. C]</w:t>
      </w:r>
      <w:r>
        <w:rPr>
          <w:bCs/>
        </w:rPr>
        <w:t>.</w:t>
      </w:r>
      <w:r w:rsidR="000A5DDF">
        <w:rPr>
          <w:bCs/>
        </w:rPr>
        <w:t xml:space="preserve"> </w:t>
      </w:r>
      <w:r w:rsidR="002157DB">
        <w:rPr>
          <w:bCs/>
        </w:rPr>
        <w:t>Savukārt izskatāmajā lietā</w:t>
      </w:r>
      <w:r>
        <w:rPr>
          <w:bCs/>
        </w:rPr>
        <w:t xml:space="preserve"> tika konstatēts, ka konfliktam starp </w:t>
      </w:r>
      <w:r w:rsidR="002157DB">
        <w:rPr>
          <w:bCs/>
        </w:rPr>
        <w:t xml:space="preserve">apsūdzēto </w:t>
      </w:r>
      <w:r w:rsidR="009E6A2E">
        <w:rPr>
          <w:bCs/>
        </w:rPr>
        <w:t>[pers. A]</w:t>
      </w:r>
      <w:r>
        <w:rPr>
          <w:bCs/>
        </w:rPr>
        <w:t xml:space="preserve"> un cietušo</w:t>
      </w:r>
      <w:r w:rsidR="002157DB">
        <w:rPr>
          <w:bCs/>
        </w:rPr>
        <w:t xml:space="preserve"> </w:t>
      </w:r>
      <w:r w:rsidR="009E6A2E">
        <w:rPr>
          <w:bCs/>
        </w:rPr>
        <w:t>[pers. B]</w:t>
      </w:r>
      <w:r>
        <w:rPr>
          <w:bCs/>
        </w:rPr>
        <w:t xml:space="preserve"> bija personisks raksturs</w:t>
      </w:r>
      <w:proofErr w:type="gramStart"/>
      <w:r>
        <w:rPr>
          <w:bCs/>
        </w:rPr>
        <w:t xml:space="preserve"> un</w:t>
      </w:r>
      <w:proofErr w:type="gramEnd"/>
      <w:r>
        <w:rPr>
          <w:bCs/>
        </w:rPr>
        <w:t xml:space="preserve"> tas nebija saistīts ar cietušā</w:t>
      </w:r>
      <w:r w:rsidR="002157DB">
        <w:rPr>
          <w:bCs/>
        </w:rPr>
        <w:t xml:space="preserve"> sniegt</w:t>
      </w:r>
      <w:r w:rsidR="00FB301B">
        <w:rPr>
          <w:bCs/>
        </w:rPr>
        <w:t>o</w:t>
      </w:r>
      <w:r w:rsidR="002157DB">
        <w:rPr>
          <w:bCs/>
        </w:rPr>
        <w:t xml:space="preserve"> liecīb</w:t>
      </w:r>
      <w:r w:rsidR="00FB301B">
        <w:rPr>
          <w:bCs/>
        </w:rPr>
        <w:t>u</w:t>
      </w:r>
      <w:r w:rsidR="002157DB">
        <w:rPr>
          <w:bCs/>
        </w:rPr>
        <w:t>.</w:t>
      </w:r>
    </w:p>
    <w:p w14:paraId="16D24A2D" w14:textId="13BEE06A" w:rsidR="00A1181D" w:rsidRDefault="007D10FF" w:rsidP="0061366C">
      <w:pPr>
        <w:spacing w:line="276" w:lineRule="auto"/>
        <w:ind w:firstLine="652"/>
        <w:contextualSpacing/>
        <w:jc w:val="both"/>
        <w:rPr>
          <w:bCs/>
        </w:rPr>
      </w:pPr>
      <w:r>
        <w:rPr>
          <w:bCs/>
        </w:rPr>
        <w:t xml:space="preserve"> </w:t>
      </w:r>
      <w:r w:rsidR="007E6D0B">
        <w:rPr>
          <w:bCs/>
        </w:rPr>
        <w:t>[4.</w:t>
      </w:r>
      <w:r w:rsidR="00A30D0A">
        <w:rPr>
          <w:bCs/>
        </w:rPr>
        <w:t>2</w:t>
      </w:r>
      <w:r w:rsidR="007E6D0B">
        <w:rPr>
          <w:bCs/>
        </w:rPr>
        <w:t>] </w:t>
      </w:r>
      <w:bookmarkStart w:id="0" w:name="_Hlk113969203"/>
      <w:r w:rsidR="00A1181D">
        <w:rPr>
          <w:bCs/>
        </w:rPr>
        <w:t xml:space="preserve">Izvērtējot pierādījumus, </w:t>
      </w:r>
      <w:r w:rsidR="00BA4660">
        <w:rPr>
          <w:bCs/>
        </w:rPr>
        <w:t>pieļ</w:t>
      </w:r>
      <w:r w:rsidR="00544F17">
        <w:rPr>
          <w:bCs/>
        </w:rPr>
        <w:t>aut</w:t>
      </w:r>
      <w:r w:rsidR="006F0017">
        <w:rPr>
          <w:bCs/>
        </w:rPr>
        <w:t>i</w:t>
      </w:r>
      <w:r w:rsidR="00A1181D">
        <w:rPr>
          <w:bCs/>
        </w:rPr>
        <w:t xml:space="preserve"> Kriminālprocesa likuma </w:t>
      </w:r>
      <w:r w:rsidR="009C7893">
        <w:rPr>
          <w:bCs/>
        </w:rPr>
        <w:t xml:space="preserve">124., </w:t>
      </w:r>
      <w:r w:rsidR="00A1181D">
        <w:rPr>
          <w:bCs/>
        </w:rPr>
        <w:t>127.</w:t>
      </w:r>
      <w:r w:rsidR="00860621">
        <w:rPr>
          <w:bCs/>
        </w:rPr>
        <w:t> </w:t>
      </w:r>
      <w:r w:rsidR="00071599">
        <w:rPr>
          <w:bCs/>
        </w:rPr>
        <w:t>–</w:t>
      </w:r>
      <w:r w:rsidR="00860621">
        <w:rPr>
          <w:bCs/>
        </w:rPr>
        <w:t> </w:t>
      </w:r>
      <w:proofErr w:type="gramStart"/>
      <w:r w:rsidR="00A1181D">
        <w:rPr>
          <w:bCs/>
        </w:rPr>
        <w:t>130.panta</w:t>
      </w:r>
      <w:proofErr w:type="gramEnd"/>
      <w:r w:rsidR="00A1181D">
        <w:rPr>
          <w:bCs/>
        </w:rPr>
        <w:t xml:space="preserve"> pārkāpum</w:t>
      </w:r>
      <w:r w:rsidR="006F0017">
        <w:rPr>
          <w:bCs/>
        </w:rPr>
        <w:t>i</w:t>
      </w:r>
      <w:r w:rsidR="00A1181D">
        <w:rPr>
          <w:bCs/>
        </w:rPr>
        <w:t>.</w:t>
      </w:r>
      <w:bookmarkEnd w:id="0"/>
    </w:p>
    <w:p w14:paraId="517D69FE" w14:textId="0021C27B" w:rsidR="00A30D0A" w:rsidRDefault="007E6D0B" w:rsidP="0061366C">
      <w:pPr>
        <w:spacing w:line="276" w:lineRule="auto"/>
        <w:ind w:firstLine="652"/>
        <w:contextualSpacing/>
        <w:jc w:val="both"/>
        <w:rPr>
          <w:bCs/>
        </w:rPr>
      </w:pPr>
      <w:r>
        <w:rPr>
          <w:bCs/>
        </w:rPr>
        <w:t xml:space="preserve"> </w:t>
      </w:r>
      <w:r w:rsidR="009C7893">
        <w:rPr>
          <w:bCs/>
        </w:rPr>
        <w:t xml:space="preserve">Apelācijas instances tiesa </w:t>
      </w:r>
      <w:r>
        <w:rPr>
          <w:bCs/>
        </w:rPr>
        <w:t xml:space="preserve">nepamatoti atzinusi par pieļaujamu pierādījumu </w:t>
      </w:r>
      <w:proofErr w:type="gramStart"/>
      <w:r>
        <w:rPr>
          <w:bCs/>
        </w:rPr>
        <w:t>2018.gada</w:t>
      </w:r>
      <w:proofErr w:type="gramEnd"/>
      <w:r>
        <w:rPr>
          <w:bCs/>
        </w:rPr>
        <w:t xml:space="preserve"> 23.februāra apskates protokolā atspoguļoto privātas telefonsarunas skaņu ierakstu, ko slepeni veicis liecinieks </w:t>
      </w:r>
      <w:r w:rsidR="009E6A2E">
        <w:rPr>
          <w:bCs/>
        </w:rPr>
        <w:t>[pers. D]</w:t>
      </w:r>
      <w:r>
        <w:rPr>
          <w:bCs/>
        </w:rPr>
        <w:t>. Minētais ieraksts nav iegūts Kriminālprocesa likuma 11.nodaļā noteiktajā kārtībā, tas ir, veicot speciālās izmeklēšanas darbības. Savukārt fakts, ka sarunu ieraksts kā pierādījums tika noformēts Kriminālprocesa likumā noteiktajā kārtībā un pievienots lieta</w:t>
      </w:r>
      <w:r w:rsidR="00A30D0A">
        <w:rPr>
          <w:bCs/>
        </w:rPr>
        <w:t>i</w:t>
      </w:r>
      <w:r>
        <w:rPr>
          <w:bCs/>
        </w:rPr>
        <w:t>, ne</w:t>
      </w:r>
      <w:r w:rsidR="00DD19D0">
        <w:rPr>
          <w:bCs/>
        </w:rPr>
        <w:t>pamato</w:t>
      </w:r>
      <w:r>
        <w:rPr>
          <w:bCs/>
        </w:rPr>
        <w:t xml:space="preserve"> </w:t>
      </w:r>
      <w:r w:rsidR="00DD19D0">
        <w:rPr>
          <w:bCs/>
        </w:rPr>
        <w:t>sarunas ieraksta</w:t>
      </w:r>
      <w:r>
        <w:rPr>
          <w:bCs/>
        </w:rPr>
        <w:t xml:space="preserve"> iegūšanas </w:t>
      </w:r>
      <w:r w:rsidR="00DD19D0">
        <w:rPr>
          <w:bCs/>
        </w:rPr>
        <w:t>tiesiskum</w:t>
      </w:r>
      <w:r>
        <w:rPr>
          <w:bCs/>
        </w:rPr>
        <w:t>u. Turklāt slepe</w:t>
      </w:r>
      <w:r w:rsidR="00DD19D0">
        <w:rPr>
          <w:bCs/>
        </w:rPr>
        <w:t xml:space="preserve">ni ierakstītās </w:t>
      </w:r>
      <w:r>
        <w:rPr>
          <w:bCs/>
        </w:rPr>
        <w:t>sarun</w:t>
      </w:r>
      <w:r w:rsidR="00A30D0A">
        <w:rPr>
          <w:bCs/>
        </w:rPr>
        <w:t>as</w:t>
      </w:r>
      <w:r>
        <w:rPr>
          <w:bCs/>
        </w:rPr>
        <w:t xml:space="preserve"> </w:t>
      </w:r>
      <w:r w:rsidR="00A30D0A">
        <w:rPr>
          <w:bCs/>
        </w:rPr>
        <w:t xml:space="preserve">tiesas izmeklēšanā </w:t>
      </w:r>
      <w:r>
        <w:rPr>
          <w:bCs/>
        </w:rPr>
        <w:t>netika pārbaudīt</w:t>
      </w:r>
      <w:r w:rsidR="00A30D0A">
        <w:rPr>
          <w:bCs/>
        </w:rPr>
        <w:t>as</w:t>
      </w:r>
      <w:r>
        <w:rPr>
          <w:bCs/>
        </w:rPr>
        <w:t xml:space="preserve"> likumā noteiktajā kārtībā.</w:t>
      </w:r>
    </w:p>
    <w:p w14:paraId="56DF5FA2" w14:textId="3D73879F" w:rsidR="00954CCD" w:rsidRDefault="00954CCD" w:rsidP="0061366C">
      <w:pPr>
        <w:spacing w:line="276" w:lineRule="auto"/>
        <w:ind w:firstLine="652"/>
        <w:contextualSpacing/>
        <w:jc w:val="both"/>
        <w:rPr>
          <w:bCs/>
        </w:rPr>
      </w:pPr>
      <w:r>
        <w:rPr>
          <w:bCs/>
        </w:rPr>
        <w:t>[4.</w:t>
      </w:r>
      <w:r w:rsidR="0066422C">
        <w:rPr>
          <w:bCs/>
        </w:rPr>
        <w:t>3</w:t>
      </w:r>
      <w:r>
        <w:rPr>
          <w:bCs/>
        </w:rPr>
        <w:t>] </w:t>
      </w:r>
      <w:r w:rsidR="00B55150">
        <w:rPr>
          <w:bCs/>
        </w:rPr>
        <w:t>N</w:t>
      </w:r>
      <w:r>
        <w:rPr>
          <w:bCs/>
        </w:rPr>
        <w:t xml:space="preserve">osakot sodu, </w:t>
      </w:r>
      <w:r w:rsidR="00DD19D0">
        <w:rPr>
          <w:bCs/>
        </w:rPr>
        <w:t xml:space="preserve">apelācijas instances tiesa </w:t>
      </w:r>
      <w:r>
        <w:rPr>
          <w:bCs/>
        </w:rPr>
        <w:t xml:space="preserve">nav ņēmusi vērā </w:t>
      </w:r>
      <w:r w:rsidR="009E6A2E">
        <w:rPr>
          <w:bCs/>
        </w:rPr>
        <w:t>[pers. A]</w:t>
      </w:r>
      <w:r>
        <w:rPr>
          <w:bCs/>
        </w:rPr>
        <w:t xml:space="preserve"> veselības stāvokli, proti, ka </w:t>
      </w:r>
      <w:r w:rsidR="00BA4660">
        <w:rPr>
          <w:bCs/>
        </w:rPr>
        <w:t>viņš ir</w:t>
      </w:r>
      <w:r>
        <w:rPr>
          <w:bCs/>
        </w:rPr>
        <w:t xml:space="preserve"> darbnespējīga persona, </w:t>
      </w:r>
      <w:r w:rsidR="00B55150">
        <w:rPr>
          <w:bCs/>
        </w:rPr>
        <w:t>kurai</w:t>
      </w:r>
      <w:r>
        <w:rPr>
          <w:bCs/>
        </w:rPr>
        <w:t xml:space="preserve"> noteikta II invaliditātes grupa un ikdienā ir nepieciešama asistenta palīdzība</w:t>
      </w:r>
      <w:r w:rsidR="00B55150">
        <w:rPr>
          <w:bCs/>
        </w:rPr>
        <w:t>.</w:t>
      </w:r>
    </w:p>
    <w:p w14:paraId="210B6864" w14:textId="0DC26A37" w:rsidR="00B679C6" w:rsidRDefault="00B679C6" w:rsidP="0061366C">
      <w:pPr>
        <w:spacing w:line="276" w:lineRule="auto"/>
        <w:ind w:firstLine="652"/>
        <w:contextualSpacing/>
        <w:jc w:val="both"/>
        <w:rPr>
          <w:bCs/>
        </w:rPr>
      </w:pPr>
      <w:r>
        <w:rPr>
          <w:bCs/>
        </w:rPr>
        <w:t>[4.</w:t>
      </w:r>
      <w:r w:rsidR="0066422C">
        <w:rPr>
          <w:bCs/>
        </w:rPr>
        <w:t>4</w:t>
      </w:r>
      <w:r>
        <w:rPr>
          <w:bCs/>
        </w:rPr>
        <w:t>] </w:t>
      </w:r>
      <w:r w:rsidR="00A30D0A">
        <w:rPr>
          <w:bCs/>
        </w:rPr>
        <w:t>N</w:t>
      </w:r>
      <w:r>
        <w:rPr>
          <w:bCs/>
        </w:rPr>
        <w:t xml:space="preserve">o </w:t>
      </w:r>
      <w:r w:rsidR="007E6D0B">
        <w:rPr>
          <w:bCs/>
        </w:rPr>
        <w:t xml:space="preserve">apsūdzētā </w:t>
      </w:r>
      <w:r w:rsidR="009E6A2E">
        <w:rPr>
          <w:bCs/>
        </w:rPr>
        <w:t>[pers. A]</w:t>
      </w:r>
      <w:r>
        <w:rPr>
          <w:bCs/>
        </w:rPr>
        <w:t xml:space="preserve"> </w:t>
      </w:r>
      <w:r w:rsidR="00954CCD">
        <w:rPr>
          <w:bCs/>
        </w:rPr>
        <w:t>nepamatoti piedzīti</w:t>
      </w:r>
      <w:r>
        <w:rPr>
          <w:bCs/>
        </w:rPr>
        <w:t xml:space="preserve"> procesuāl</w:t>
      </w:r>
      <w:r w:rsidR="00954CCD">
        <w:rPr>
          <w:bCs/>
        </w:rPr>
        <w:t>ie</w:t>
      </w:r>
      <w:r>
        <w:rPr>
          <w:bCs/>
        </w:rPr>
        <w:t xml:space="preserve"> izdevum</w:t>
      </w:r>
      <w:r w:rsidR="00954CCD">
        <w:rPr>
          <w:bCs/>
        </w:rPr>
        <w:t>i</w:t>
      </w:r>
      <w:r>
        <w:rPr>
          <w:bCs/>
        </w:rPr>
        <w:t xml:space="preserve"> par aizstāvju sniegto juridisko palīdzību kriminālprocesā</w:t>
      </w:r>
      <w:r w:rsidR="000C5331">
        <w:rPr>
          <w:bCs/>
        </w:rPr>
        <w:t>, lai gan</w:t>
      </w:r>
      <w:r w:rsidR="0066422C">
        <w:rPr>
          <w:bCs/>
        </w:rPr>
        <w:t xml:space="preserve"> a</w:t>
      </w:r>
      <w:r>
        <w:rPr>
          <w:bCs/>
        </w:rPr>
        <w:t xml:space="preserve">pelācijas instances tiesā tika iesniegta sociālā dienesta izziņa par </w:t>
      </w:r>
      <w:r w:rsidR="009E6A2E">
        <w:rPr>
          <w:bCs/>
        </w:rPr>
        <w:t>[pers. </w:t>
      </w:r>
      <w:r w:rsidR="009E6A2E">
        <w:t>A]</w:t>
      </w:r>
      <w:r>
        <w:rPr>
          <w:bCs/>
        </w:rPr>
        <w:t xml:space="preserve"> piešķirto maznodrošinātas personas statusu </w:t>
      </w:r>
      <w:r w:rsidR="007E6D0B">
        <w:rPr>
          <w:bCs/>
        </w:rPr>
        <w:t xml:space="preserve">no </w:t>
      </w:r>
      <w:proofErr w:type="gramStart"/>
      <w:r>
        <w:rPr>
          <w:bCs/>
        </w:rPr>
        <w:t>2017.gada</w:t>
      </w:r>
      <w:proofErr w:type="gramEnd"/>
      <w:r>
        <w:rPr>
          <w:bCs/>
        </w:rPr>
        <w:t xml:space="preserve"> 1.februāra līdz 31.jūlijam. </w:t>
      </w:r>
      <w:bookmarkStart w:id="1" w:name="_Hlk113969385"/>
      <w:r w:rsidR="000C5331">
        <w:rPr>
          <w:bCs/>
        </w:rPr>
        <w:t xml:space="preserve">Savukārt </w:t>
      </w:r>
      <w:r w:rsidR="009E6A2E">
        <w:rPr>
          <w:bCs/>
        </w:rPr>
        <w:t>[pers. </w:t>
      </w:r>
      <w:r w:rsidR="009E6A2E">
        <w:t>A]</w:t>
      </w:r>
      <w:r>
        <w:rPr>
          <w:bCs/>
        </w:rPr>
        <w:t xml:space="preserve"> tika aizturēts </w:t>
      </w:r>
      <w:proofErr w:type="gramStart"/>
      <w:r>
        <w:rPr>
          <w:bCs/>
        </w:rPr>
        <w:t>2017.gada</w:t>
      </w:r>
      <w:proofErr w:type="gramEnd"/>
      <w:r>
        <w:rPr>
          <w:bCs/>
        </w:rPr>
        <w:t xml:space="preserve"> 29.jūlijā, tas ir</w:t>
      </w:r>
      <w:r w:rsidR="007E6D0B">
        <w:rPr>
          <w:bCs/>
        </w:rPr>
        <w:t>,</w:t>
      </w:r>
      <w:r>
        <w:rPr>
          <w:bCs/>
        </w:rPr>
        <w:t xml:space="preserve"> </w:t>
      </w:r>
      <w:r w:rsidR="000C5331">
        <w:rPr>
          <w:bCs/>
        </w:rPr>
        <w:t xml:space="preserve">laikā, kad viņam </w:t>
      </w:r>
      <w:r w:rsidR="00BF389F">
        <w:rPr>
          <w:bCs/>
        </w:rPr>
        <w:t xml:space="preserve">vēl </w:t>
      </w:r>
      <w:r w:rsidR="000C5331">
        <w:rPr>
          <w:bCs/>
        </w:rPr>
        <w:t xml:space="preserve">bija </w:t>
      </w:r>
      <w:r>
        <w:rPr>
          <w:bCs/>
        </w:rPr>
        <w:t>maznodrošinātas personas status</w:t>
      </w:r>
      <w:r w:rsidR="000C5331">
        <w:rPr>
          <w:bCs/>
        </w:rPr>
        <w:t>s</w:t>
      </w:r>
      <w:r>
        <w:rPr>
          <w:bCs/>
        </w:rPr>
        <w:t>.</w:t>
      </w:r>
      <w:bookmarkEnd w:id="1"/>
    </w:p>
    <w:p w14:paraId="1A0048AB" w14:textId="17F08F28" w:rsidR="00806702" w:rsidRDefault="00806702" w:rsidP="0061366C">
      <w:pPr>
        <w:spacing w:line="276" w:lineRule="auto"/>
        <w:contextualSpacing/>
        <w:jc w:val="both"/>
        <w:rPr>
          <w:bCs/>
        </w:rPr>
      </w:pPr>
    </w:p>
    <w:p w14:paraId="002EA2EA" w14:textId="69478A5E" w:rsidR="008F1A37" w:rsidRDefault="00806702" w:rsidP="0061366C">
      <w:pPr>
        <w:spacing w:line="276" w:lineRule="auto"/>
        <w:ind w:firstLine="652"/>
        <w:contextualSpacing/>
        <w:jc w:val="both"/>
        <w:rPr>
          <w:bCs/>
        </w:rPr>
      </w:pPr>
      <w:r>
        <w:rPr>
          <w:bCs/>
        </w:rPr>
        <w:t xml:space="preserve">[5] Par Rīgas apgabaltiesas </w:t>
      </w:r>
      <w:proofErr w:type="gramStart"/>
      <w:r>
        <w:rPr>
          <w:bCs/>
        </w:rPr>
        <w:t>2021.gada</w:t>
      </w:r>
      <w:proofErr w:type="gramEnd"/>
      <w:r>
        <w:rPr>
          <w:bCs/>
        </w:rPr>
        <w:t xml:space="preserve"> </w:t>
      </w:r>
      <w:r w:rsidR="00E438F6">
        <w:rPr>
          <w:bCs/>
        </w:rPr>
        <w:t>17.februāra</w:t>
      </w:r>
      <w:r>
        <w:rPr>
          <w:bCs/>
        </w:rPr>
        <w:t xml:space="preserve"> </w:t>
      </w:r>
      <w:r w:rsidR="00954CCD">
        <w:rPr>
          <w:bCs/>
        </w:rPr>
        <w:t>lēm</w:t>
      </w:r>
      <w:r>
        <w:rPr>
          <w:bCs/>
        </w:rPr>
        <w:t>um</w:t>
      </w:r>
      <w:r w:rsidR="00954CCD">
        <w:rPr>
          <w:bCs/>
        </w:rPr>
        <w:t>u</w:t>
      </w:r>
      <w:r w:rsidR="0030057A">
        <w:rPr>
          <w:bCs/>
        </w:rPr>
        <w:t xml:space="preserve"> kasācijas sūdzību </w:t>
      </w:r>
      <w:r>
        <w:rPr>
          <w:bCs/>
        </w:rPr>
        <w:t xml:space="preserve">iesniedzis arī apsūdzētais </w:t>
      </w:r>
      <w:r w:rsidR="009E6A2E">
        <w:rPr>
          <w:bCs/>
        </w:rPr>
        <w:t>[pers. </w:t>
      </w:r>
      <w:r w:rsidR="009E6A2E">
        <w:t>A]</w:t>
      </w:r>
      <w:r w:rsidR="008F1A37">
        <w:rPr>
          <w:bCs/>
        </w:rPr>
        <w:t>.</w:t>
      </w:r>
    </w:p>
    <w:p w14:paraId="479ADD44" w14:textId="1AE0F2ED" w:rsidR="008F1A37" w:rsidRDefault="00BF389F" w:rsidP="0061366C">
      <w:pPr>
        <w:spacing w:line="276" w:lineRule="auto"/>
        <w:ind w:firstLine="652"/>
        <w:contextualSpacing/>
        <w:jc w:val="both"/>
        <w:rPr>
          <w:bCs/>
        </w:rPr>
      </w:pPr>
      <w:r>
        <w:rPr>
          <w:bCs/>
        </w:rPr>
        <w:t>Apsūdzētā k</w:t>
      </w:r>
      <w:r w:rsidR="008F1A37">
        <w:rPr>
          <w:bCs/>
        </w:rPr>
        <w:t>asācijas sūdzīb</w:t>
      </w:r>
      <w:r w:rsidR="0066422C">
        <w:rPr>
          <w:bCs/>
        </w:rPr>
        <w:t>u</w:t>
      </w:r>
      <w:r w:rsidR="008F1A37">
        <w:rPr>
          <w:bCs/>
        </w:rPr>
        <w:t xml:space="preserve"> pamato turpmāk norādīt</w:t>
      </w:r>
      <w:r w:rsidR="0066422C">
        <w:rPr>
          <w:bCs/>
        </w:rPr>
        <w:t>ie</w:t>
      </w:r>
      <w:r w:rsidR="008F1A37">
        <w:rPr>
          <w:bCs/>
        </w:rPr>
        <w:t xml:space="preserve"> argumenti.</w:t>
      </w:r>
    </w:p>
    <w:p w14:paraId="4A523CE4" w14:textId="57822B6C" w:rsidR="004E7424" w:rsidRDefault="008F1A37" w:rsidP="0061366C">
      <w:pPr>
        <w:spacing w:line="276" w:lineRule="auto"/>
        <w:ind w:firstLine="652"/>
        <w:contextualSpacing/>
        <w:jc w:val="both"/>
        <w:rPr>
          <w:bCs/>
        </w:rPr>
      </w:pPr>
      <w:r>
        <w:rPr>
          <w:bCs/>
        </w:rPr>
        <w:t>[5.1]</w:t>
      </w:r>
      <w:r w:rsidR="007A2249">
        <w:rPr>
          <w:bCs/>
        </w:rPr>
        <w:t> </w:t>
      </w:r>
      <w:r w:rsidR="00BF389F">
        <w:rPr>
          <w:bCs/>
        </w:rPr>
        <w:t>Apelācijas instances tiesa l</w:t>
      </w:r>
      <w:r w:rsidR="000C5331">
        <w:rPr>
          <w:bCs/>
        </w:rPr>
        <w:t>ietā iegūtos pierādījumus</w:t>
      </w:r>
      <w:r w:rsidR="004E7424">
        <w:rPr>
          <w:bCs/>
        </w:rPr>
        <w:t xml:space="preserve"> nav izvērtējusi atbilstoši Kriminālprocesa likuma </w:t>
      </w:r>
      <w:proofErr w:type="gramStart"/>
      <w:r w:rsidR="004E7424">
        <w:rPr>
          <w:bCs/>
        </w:rPr>
        <w:t>128.panta</w:t>
      </w:r>
      <w:proofErr w:type="gramEnd"/>
      <w:r w:rsidR="004E7424">
        <w:rPr>
          <w:bCs/>
        </w:rPr>
        <w:t xml:space="preserve"> otrajā daļā noteiktajām prasībām</w:t>
      </w:r>
      <w:r w:rsidR="006F5CE1">
        <w:rPr>
          <w:bCs/>
        </w:rPr>
        <w:t>, proti, to kopumā un savstarpējā sakarībā</w:t>
      </w:r>
      <w:r w:rsidR="004E7424">
        <w:rPr>
          <w:bCs/>
        </w:rPr>
        <w:t>.</w:t>
      </w:r>
    </w:p>
    <w:p w14:paraId="7FB7922E" w14:textId="6426C0AA" w:rsidR="004F51C5" w:rsidRDefault="0051166F" w:rsidP="0061366C">
      <w:pPr>
        <w:spacing w:line="276" w:lineRule="auto"/>
        <w:ind w:firstLine="652"/>
        <w:contextualSpacing/>
        <w:jc w:val="both"/>
        <w:rPr>
          <w:bCs/>
        </w:rPr>
      </w:pPr>
      <w:bookmarkStart w:id="2" w:name="_Hlk113969490"/>
      <w:r>
        <w:rPr>
          <w:bCs/>
        </w:rPr>
        <w:t>Nepareizi</w:t>
      </w:r>
      <w:r w:rsidR="005E4AED">
        <w:rPr>
          <w:bCs/>
        </w:rPr>
        <w:t xml:space="preserve"> traktējot</w:t>
      </w:r>
      <w:r w:rsidR="004435D9">
        <w:rPr>
          <w:bCs/>
        </w:rPr>
        <w:t xml:space="preserve"> liecinieku liecīb</w:t>
      </w:r>
      <w:r w:rsidR="005E4AED">
        <w:rPr>
          <w:bCs/>
        </w:rPr>
        <w:t>ās minēto</w:t>
      </w:r>
      <w:r w:rsidR="004435D9">
        <w:rPr>
          <w:bCs/>
        </w:rPr>
        <w:t>, apelācijas instances tiesa nepamatoti secinājusi, ka</w:t>
      </w:r>
      <w:r w:rsidR="006F5CE1">
        <w:rPr>
          <w:bCs/>
        </w:rPr>
        <w:t xml:space="preserve"> </w:t>
      </w:r>
      <w:r w:rsidR="009E6A2E">
        <w:rPr>
          <w:bCs/>
        </w:rPr>
        <w:t>[pers. </w:t>
      </w:r>
      <w:r w:rsidR="009E6A2E">
        <w:t>B]</w:t>
      </w:r>
      <w:r w:rsidR="006F5CE1">
        <w:rPr>
          <w:bCs/>
        </w:rPr>
        <w:t xml:space="preserve"> </w:t>
      </w:r>
      <w:r w:rsidR="0038701E">
        <w:rPr>
          <w:bCs/>
        </w:rPr>
        <w:t>nod</w:t>
      </w:r>
      <w:r w:rsidR="006F5CE1">
        <w:rPr>
          <w:bCs/>
        </w:rPr>
        <w:t>urts</w:t>
      </w:r>
      <w:r w:rsidR="005E4AED">
        <w:rPr>
          <w:bCs/>
        </w:rPr>
        <w:t xml:space="preserve"> </w:t>
      </w:r>
      <w:r w:rsidR="00BF389F">
        <w:rPr>
          <w:bCs/>
        </w:rPr>
        <w:t>pirmstiesas</w:t>
      </w:r>
      <w:r w:rsidR="005E4AED">
        <w:rPr>
          <w:bCs/>
        </w:rPr>
        <w:t xml:space="preserve"> kriminālprocesā sniegt</w:t>
      </w:r>
      <w:r w:rsidR="007C3F2A">
        <w:rPr>
          <w:bCs/>
        </w:rPr>
        <w:t>o</w:t>
      </w:r>
      <w:r w:rsidR="005E4AED">
        <w:rPr>
          <w:bCs/>
        </w:rPr>
        <w:t xml:space="preserve"> liecīb</w:t>
      </w:r>
      <w:r w:rsidR="007C3F2A">
        <w:rPr>
          <w:bCs/>
        </w:rPr>
        <w:t>u dēļ</w:t>
      </w:r>
      <w:r w:rsidR="006F5CE1">
        <w:rPr>
          <w:bCs/>
        </w:rPr>
        <w:t>.</w:t>
      </w:r>
      <w:bookmarkEnd w:id="2"/>
      <w:r w:rsidR="006F5CE1">
        <w:rPr>
          <w:bCs/>
        </w:rPr>
        <w:t xml:space="preserve"> </w:t>
      </w:r>
      <w:r w:rsidR="00E36A48">
        <w:rPr>
          <w:bCs/>
        </w:rPr>
        <w:t>Turklāt šādu secinājumu tiesa pamatojusi ar nelikumīgi iegūt</w:t>
      </w:r>
      <w:r w:rsidR="00544F17">
        <w:rPr>
          <w:bCs/>
        </w:rPr>
        <w:t>u</w:t>
      </w:r>
      <w:r w:rsidR="007A2249">
        <w:rPr>
          <w:bCs/>
        </w:rPr>
        <w:t xml:space="preserve"> telefonsarun</w:t>
      </w:r>
      <w:r w:rsidR="00A40FF3">
        <w:rPr>
          <w:bCs/>
        </w:rPr>
        <w:t>as ierakstu</w:t>
      </w:r>
      <w:r w:rsidR="007A2249">
        <w:rPr>
          <w:bCs/>
        </w:rPr>
        <w:t>,</w:t>
      </w:r>
      <w:r w:rsidR="009924A9">
        <w:rPr>
          <w:bCs/>
        </w:rPr>
        <w:t xml:space="preserve"> </w:t>
      </w:r>
      <w:r w:rsidR="007A2249">
        <w:rPr>
          <w:bCs/>
        </w:rPr>
        <w:t>kam netika veikta ekspertīze un kas</w:t>
      </w:r>
      <w:r w:rsidR="009924A9">
        <w:rPr>
          <w:bCs/>
        </w:rPr>
        <w:t xml:space="preserve"> netika pārbaudīt</w:t>
      </w:r>
      <w:r w:rsidR="00A40FF3">
        <w:rPr>
          <w:bCs/>
        </w:rPr>
        <w:t>s</w:t>
      </w:r>
      <w:r w:rsidR="009924A9">
        <w:rPr>
          <w:bCs/>
        </w:rPr>
        <w:t xml:space="preserve"> tiesā</w:t>
      </w:r>
      <w:r w:rsidR="00E36A48">
        <w:rPr>
          <w:bCs/>
        </w:rPr>
        <w:t>. Vienlaikus t</w:t>
      </w:r>
      <w:r w:rsidR="006F5CE1">
        <w:rPr>
          <w:bCs/>
        </w:rPr>
        <w:t xml:space="preserve">iesa </w:t>
      </w:r>
      <w:r w:rsidR="004F51C5">
        <w:rPr>
          <w:bCs/>
        </w:rPr>
        <w:t xml:space="preserve">atstājusi bez ievērības liecinieku teikto par </w:t>
      </w:r>
      <w:r w:rsidR="009924A9">
        <w:rPr>
          <w:bCs/>
        </w:rPr>
        <w:t xml:space="preserve">viņa un </w:t>
      </w:r>
      <w:r w:rsidR="009E6A2E">
        <w:rPr>
          <w:bCs/>
        </w:rPr>
        <w:t>[pers. B]</w:t>
      </w:r>
      <w:r w:rsidR="009924A9">
        <w:rPr>
          <w:bCs/>
        </w:rPr>
        <w:t xml:space="preserve"> </w:t>
      </w:r>
      <w:r w:rsidR="00354201">
        <w:rPr>
          <w:bCs/>
        </w:rPr>
        <w:t xml:space="preserve">naidīgo attiecību un </w:t>
      </w:r>
      <w:r w:rsidR="004F51C5">
        <w:rPr>
          <w:bCs/>
        </w:rPr>
        <w:t>strīda patieso iemeslu</w:t>
      </w:r>
      <w:r w:rsidR="009924A9">
        <w:rPr>
          <w:bCs/>
        </w:rPr>
        <w:t>, proti,</w:t>
      </w:r>
      <w:r w:rsidR="00544F17">
        <w:rPr>
          <w:bCs/>
        </w:rPr>
        <w:t xml:space="preserve"> </w:t>
      </w:r>
      <w:r w:rsidR="009E6A2E">
        <w:rPr>
          <w:bCs/>
        </w:rPr>
        <w:t>[pers. B]</w:t>
      </w:r>
      <w:r>
        <w:rPr>
          <w:bCs/>
        </w:rPr>
        <w:t xml:space="preserve"> izteikt</w:t>
      </w:r>
      <w:r w:rsidR="00544F17">
        <w:rPr>
          <w:bCs/>
        </w:rPr>
        <w:t>ajiem</w:t>
      </w:r>
      <w:r>
        <w:rPr>
          <w:bCs/>
        </w:rPr>
        <w:t xml:space="preserve"> nepaties</w:t>
      </w:r>
      <w:r w:rsidR="00544F17">
        <w:rPr>
          <w:bCs/>
        </w:rPr>
        <w:t>ajiem</w:t>
      </w:r>
      <w:r>
        <w:rPr>
          <w:bCs/>
        </w:rPr>
        <w:t xml:space="preserve"> apvainojumi</w:t>
      </w:r>
      <w:r w:rsidR="00544F17">
        <w:rPr>
          <w:bCs/>
        </w:rPr>
        <w:t>em</w:t>
      </w:r>
      <w:r>
        <w:rPr>
          <w:bCs/>
        </w:rPr>
        <w:t xml:space="preserve"> naudas zādzībā.</w:t>
      </w:r>
    </w:p>
    <w:p w14:paraId="014EE4F3" w14:textId="7517E76F" w:rsidR="000A0F82" w:rsidRDefault="0051166F" w:rsidP="0061366C">
      <w:pPr>
        <w:spacing w:line="276" w:lineRule="auto"/>
        <w:ind w:firstLine="652"/>
        <w:contextualSpacing/>
        <w:jc w:val="both"/>
        <w:rPr>
          <w:bCs/>
        </w:rPr>
      </w:pPr>
      <w:r>
        <w:rPr>
          <w:bCs/>
        </w:rPr>
        <w:t>N</w:t>
      </w:r>
      <w:r w:rsidR="000A0F82">
        <w:rPr>
          <w:bCs/>
        </w:rPr>
        <w:t>av izvērtē</w:t>
      </w:r>
      <w:r>
        <w:rPr>
          <w:bCs/>
        </w:rPr>
        <w:t>ta</w:t>
      </w:r>
      <w:r w:rsidR="000A0F82">
        <w:rPr>
          <w:bCs/>
        </w:rPr>
        <w:t xml:space="preserve"> viņa darbību atbilstīb</w:t>
      </w:r>
      <w:r w:rsidR="00A40FF3">
        <w:rPr>
          <w:bCs/>
        </w:rPr>
        <w:t>a</w:t>
      </w:r>
      <w:r w:rsidR="000A0F82">
        <w:rPr>
          <w:bCs/>
        </w:rPr>
        <w:t xml:space="preserve"> Krimināllikuma </w:t>
      </w:r>
      <w:proofErr w:type="gramStart"/>
      <w:r w:rsidR="000A0F82">
        <w:rPr>
          <w:bCs/>
        </w:rPr>
        <w:t>125.panta</w:t>
      </w:r>
      <w:proofErr w:type="gramEnd"/>
      <w:r w:rsidR="000A0F82">
        <w:rPr>
          <w:bCs/>
        </w:rPr>
        <w:t xml:space="preserve"> trešajā daļā paredzētā noziedzīgā nodarījuma sastāvam.</w:t>
      </w:r>
      <w:r w:rsidR="008E34A2">
        <w:rPr>
          <w:bCs/>
        </w:rPr>
        <w:t xml:space="preserve"> Tiesa nav ņēmusi vērā, ka konflikts viņa un </w:t>
      </w:r>
      <w:proofErr w:type="gramStart"/>
      <w:r w:rsidR="009E6A2E">
        <w:rPr>
          <w:bCs/>
        </w:rPr>
        <w:t>[</w:t>
      </w:r>
      <w:proofErr w:type="gramEnd"/>
      <w:r w:rsidR="009E6A2E">
        <w:rPr>
          <w:bCs/>
        </w:rPr>
        <w:t>pers. B]</w:t>
      </w:r>
      <w:r w:rsidR="008E34A2">
        <w:rPr>
          <w:bCs/>
        </w:rPr>
        <w:t xml:space="preserve"> starpā </w:t>
      </w:r>
      <w:r w:rsidR="008E34A2">
        <w:rPr>
          <w:bCs/>
        </w:rPr>
        <w:lastRenderedPageBreak/>
        <w:t>noticis plkst</w:t>
      </w:r>
      <w:r w:rsidR="00544F17">
        <w:rPr>
          <w:bCs/>
        </w:rPr>
        <w:t>. </w:t>
      </w:r>
      <w:r w:rsidR="008E34A2">
        <w:rPr>
          <w:bCs/>
        </w:rPr>
        <w:t>14.22</w:t>
      </w:r>
      <w:r w:rsidR="00A95AAA">
        <w:rPr>
          <w:bCs/>
        </w:rPr>
        <w:t xml:space="preserve">, bet </w:t>
      </w:r>
      <w:r w:rsidR="006F74A8">
        <w:rPr>
          <w:bCs/>
        </w:rPr>
        <w:t>cietušais miris slimnīcā</w:t>
      </w:r>
      <w:r w:rsidR="00A95AAA">
        <w:rPr>
          <w:bCs/>
        </w:rPr>
        <w:t xml:space="preserve"> </w:t>
      </w:r>
      <w:r w:rsidR="000C5331">
        <w:rPr>
          <w:bCs/>
        </w:rPr>
        <w:t xml:space="preserve">tikai </w:t>
      </w:r>
      <w:r w:rsidR="00A95AAA">
        <w:rPr>
          <w:bCs/>
        </w:rPr>
        <w:t>plkst.</w:t>
      </w:r>
      <w:r w:rsidR="00544F17">
        <w:rPr>
          <w:bCs/>
        </w:rPr>
        <w:t> </w:t>
      </w:r>
      <w:r w:rsidR="00A95AAA">
        <w:rPr>
          <w:bCs/>
        </w:rPr>
        <w:t xml:space="preserve">22.30. Turklāt </w:t>
      </w:r>
      <w:r w:rsidR="008E34A2">
        <w:rPr>
          <w:bCs/>
        </w:rPr>
        <w:t>pēc konflikta</w:t>
      </w:r>
      <w:r w:rsidR="00A95AAA">
        <w:rPr>
          <w:bCs/>
        </w:rPr>
        <w:t xml:space="preserve">, kura laikā viņš </w:t>
      </w:r>
      <w:r w:rsidR="009E6A2E">
        <w:rPr>
          <w:bCs/>
        </w:rPr>
        <w:t>[pers. B]</w:t>
      </w:r>
      <w:r w:rsidR="006F74A8">
        <w:rPr>
          <w:bCs/>
        </w:rPr>
        <w:t xml:space="preserve"> nodarījis miesas bojājumus</w:t>
      </w:r>
      <w:r w:rsidR="00A95AAA">
        <w:rPr>
          <w:bCs/>
        </w:rPr>
        <w:t>,</w:t>
      </w:r>
      <w:r w:rsidR="006F74A8">
        <w:rPr>
          <w:bCs/>
        </w:rPr>
        <w:t xml:space="preserve"> cietušais </w:t>
      </w:r>
      <w:r w:rsidR="00544F17">
        <w:rPr>
          <w:bCs/>
        </w:rPr>
        <w:t xml:space="preserve">vēl </w:t>
      </w:r>
      <w:r w:rsidR="006F74A8">
        <w:rPr>
          <w:bCs/>
        </w:rPr>
        <w:t>gājis</w:t>
      </w:r>
      <w:r w:rsidR="008E34A2">
        <w:rPr>
          <w:bCs/>
        </w:rPr>
        <w:t xml:space="preserve"> uz tuvējo kafejnīcu, kur </w:t>
      </w:r>
      <w:r w:rsidR="00CE5361">
        <w:rPr>
          <w:bCs/>
        </w:rPr>
        <w:t xml:space="preserve">pārdevējai </w:t>
      </w:r>
      <w:r w:rsidR="008E34A2">
        <w:rPr>
          <w:bCs/>
        </w:rPr>
        <w:t>pieprasījis nazi</w:t>
      </w:r>
      <w:r w:rsidR="00A95AAA">
        <w:rPr>
          <w:bCs/>
        </w:rPr>
        <w:t>.</w:t>
      </w:r>
    </w:p>
    <w:p w14:paraId="25DDAEA2" w14:textId="67BBEA9E" w:rsidR="00A95AAA" w:rsidRDefault="00A95AAA" w:rsidP="0061366C">
      <w:pPr>
        <w:spacing w:line="276" w:lineRule="auto"/>
        <w:ind w:firstLine="652"/>
        <w:contextualSpacing/>
        <w:jc w:val="both"/>
        <w:rPr>
          <w:bCs/>
        </w:rPr>
      </w:pPr>
      <w:r>
        <w:rPr>
          <w:bCs/>
        </w:rPr>
        <w:t>[5.2] </w:t>
      </w:r>
      <w:r w:rsidR="006F74A8">
        <w:rPr>
          <w:bCs/>
        </w:rPr>
        <w:t>Nosakot sodu, apelācijas instances tiesa nav ņēmusi vērā viņa veselības stāvokli –</w:t>
      </w:r>
      <w:r w:rsidR="00A40FF3">
        <w:rPr>
          <w:bCs/>
        </w:rPr>
        <w:t xml:space="preserve"> to, ka viņam</w:t>
      </w:r>
      <w:r w:rsidR="006F74A8">
        <w:rPr>
          <w:bCs/>
        </w:rPr>
        <w:t xml:space="preserve"> </w:t>
      </w:r>
      <w:r w:rsidR="00CE5361">
        <w:rPr>
          <w:bCs/>
        </w:rPr>
        <w:t>ir</w:t>
      </w:r>
      <w:r w:rsidR="006F74A8">
        <w:rPr>
          <w:bCs/>
        </w:rPr>
        <w:t xml:space="preserve"> piešķirta II invaliditātes grupa</w:t>
      </w:r>
      <w:r w:rsidR="00B7126E">
        <w:rPr>
          <w:bCs/>
        </w:rPr>
        <w:t xml:space="preserve"> un</w:t>
      </w:r>
      <w:r w:rsidR="00837359">
        <w:rPr>
          <w:bCs/>
        </w:rPr>
        <w:t xml:space="preserve"> saistībā ar invaliditāti viņam nepieciešami asistenta pakalpojumi, ko apstiprina tiesai iesniegtie dokumenti.</w:t>
      </w:r>
      <w:r w:rsidR="00F57E9D" w:rsidRPr="00F57E9D">
        <w:rPr>
          <w:bCs/>
        </w:rPr>
        <w:t xml:space="preserve"> </w:t>
      </w:r>
      <w:r w:rsidR="00F57E9D">
        <w:rPr>
          <w:bCs/>
        </w:rPr>
        <w:t>Turklāt</w:t>
      </w:r>
      <w:r w:rsidR="00BB50F5">
        <w:rPr>
          <w:bCs/>
        </w:rPr>
        <w:t>,</w:t>
      </w:r>
      <w:r w:rsidR="00F57E9D">
        <w:rPr>
          <w:bCs/>
        </w:rPr>
        <w:t xml:space="preserve"> noraidot lūgumu noteikt viņam stacionāro tiesu psihiatrisko ekspertīzi, bet aprobežojoties ar eksperta ambulatorās tiesu psihiatriskās </w:t>
      </w:r>
      <w:r w:rsidR="00F57E9D" w:rsidRPr="0049159F">
        <w:rPr>
          <w:bCs/>
        </w:rPr>
        <w:t xml:space="preserve">ekspertīzes </w:t>
      </w:r>
      <w:proofErr w:type="gramStart"/>
      <w:r w:rsidR="00F57E9D" w:rsidRPr="0049159F">
        <w:rPr>
          <w:bCs/>
        </w:rPr>
        <w:t>20</w:t>
      </w:r>
      <w:r w:rsidR="0049159F" w:rsidRPr="0049159F">
        <w:rPr>
          <w:bCs/>
        </w:rPr>
        <w:t>19</w:t>
      </w:r>
      <w:r w:rsidR="00F57E9D" w:rsidRPr="0049159F">
        <w:rPr>
          <w:bCs/>
        </w:rPr>
        <w:t>.gada</w:t>
      </w:r>
      <w:proofErr w:type="gramEnd"/>
      <w:r w:rsidR="0049159F" w:rsidRPr="0049159F">
        <w:rPr>
          <w:bCs/>
        </w:rPr>
        <w:t xml:space="preserve"> 10</w:t>
      </w:r>
      <w:r w:rsidR="0049159F">
        <w:rPr>
          <w:bCs/>
        </w:rPr>
        <w:t>.decembra</w:t>
      </w:r>
      <w:r w:rsidR="00F57E9D">
        <w:rPr>
          <w:bCs/>
        </w:rPr>
        <w:t xml:space="preserve"> atzinumā secināto, tiesa nevarēja gūt pilnīgas ziņas par viņa psihiskās veselības stāvokli un līdz ar to noteikt viņam atbilstošu sodu.</w:t>
      </w:r>
    </w:p>
    <w:p w14:paraId="071AEC80" w14:textId="3C37CB09" w:rsidR="006F74A8" w:rsidRDefault="006F74A8" w:rsidP="0061366C">
      <w:pPr>
        <w:spacing w:line="276" w:lineRule="auto"/>
        <w:ind w:firstLine="652"/>
        <w:contextualSpacing/>
        <w:jc w:val="both"/>
        <w:rPr>
          <w:bCs/>
        </w:rPr>
      </w:pPr>
      <w:r>
        <w:rPr>
          <w:bCs/>
        </w:rPr>
        <w:t>[5.3] </w:t>
      </w:r>
      <w:r w:rsidR="00837359">
        <w:rPr>
          <w:bCs/>
        </w:rPr>
        <w:t>Apelācijas instances tiesa</w:t>
      </w:r>
      <w:r w:rsidR="007F42F0">
        <w:rPr>
          <w:bCs/>
        </w:rPr>
        <w:t xml:space="preserve"> nav ņēmusi vērā tiesas sēdē iesniegtos dokumentus par viņam piešķirto maznodrošinātas personas statusu</w:t>
      </w:r>
      <w:r w:rsidR="006C371E">
        <w:rPr>
          <w:bCs/>
        </w:rPr>
        <w:t>, tādēļ</w:t>
      </w:r>
      <w:r w:rsidR="007F42F0">
        <w:rPr>
          <w:bCs/>
        </w:rPr>
        <w:t xml:space="preserve"> nepamatoti piedzinusi no viņa</w:t>
      </w:r>
      <w:r w:rsidR="00837359">
        <w:rPr>
          <w:bCs/>
        </w:rPr>
        <w:t xml:space="preserve"> procesuālos izdevumus</w:t>
      </w:r>
      <w:r w:rsidR="007F42F0">
        <w:rPr>
          <w:bCs/>
        </w:rPr>
        <w:t xml:space="preserve"> par aizstāvju sniegto juridisko palīdzību</w:t>
      </w:r>
      <w:r w:rsidR="00A1181D">
        <w:rPr>
          <w:bCs/>
        </w:rPr>
        <w:t>.</w:t>
      </w:r>
      <w:r w:rsidR="00837359">
        <w:rPr>
          <w:bCs/>
        </w:rPr>
        <w:t xml:space="preserve"> </w:t>
      </w:r>
    </w:p>
    <w:p w14:paraId="7542D399" w14:textId="77777777" w:rsidR="0070734F" w:rsidRDefault="0070734F" w:rsidP="0061366C">
      <w:pPr>
        <w:spacing w:line="276" w:lineRule="auto"/>
        <w:jc w:val="both"/>
      </w:pPr>
    </w:p>
    <w:p w14:paraId="0CCE8F86" w14:textId="3C433CA3" w:rsidR="00A1181D" w:rsidRDefault="00A1181D" w:rsidP="0061366C">
      <w:pPr>
        <w:spacing w:line="276" w:lineRule="auto"/>
        <w:ind w:firstLine="652"/>
        <w:contextualSpacing/>
        <w:jc w:val="center"/>
        <w:rPr>
          <w:b/>
        </w:rPr>
      </w:pPr>
      <w:r w:rsidRPr="00806702">
        <w:rPr>
          <w:b/>
        </w:rPr>
        <w:t>Motīvu daļa</w:t>
      </w:r>
    </w:p>
    <w:p w14:paraId="393DAA06" w14:textId="77777777" w:rsidR="00A1181D" w:rsidRDefault="00A1181D" w:rsidP="0061366C">
      <w:pPr>
        <w:spacing w:line="276" w:lineRule="auto"/>
        <w:ind w:firstLine="652"/>
        <w:contextualSpacing/>
        <w:jc w:val="both"/>
        <w:rPr>
          <w:b/>
        </w:rPr>
      </w:pPr>
    </w:p>
    <w:p w14:paraId="1FBC91DD" w14:textId="55A7CC39" w:rsidR="0070734F" w:rsidRDefault="00A1181D" w:rsidP="0061366C">
      <w:pPr>
        <w:spacing w:line="276" w:lineRule="auto"/>
        <w:jc w:val="both"/>
      </w:pPr>
      <w:r>
        <w:tab/>
        <w:t>[6] Senāts atzīst, ka</w:t>
      </w:r>
      <w:r w:rsidR="009C7893">
        <w:t xml:space="preserve"> Rīgas apgabaltiesas </w:t>
      </w:r>
      <w:proofErr w:type="gramStart"/>
      <w:r w:rsidR="009C7893">
        <w:t>2021.gada</w:t>
      </w:r>
      <w:proofErr w:type="gramEnd"/>
      <w:r w:rsidR="009C7893">
        <w:t xml:space="preserve"> 17.februāra lēmums atceļams pilnībā un lieta nosūtāma jaunai izskatīšanai apelācijas instances tiesā.</w:t>
      </w:r>
      <w:r>
        <w:t xml:space="preserve"> </w:t>
      </w:r>
    </w:p>
    <w:p w14:paraId="4B8F9058" w14:textId="77777777" w:rsidR="00233C42" w:rsidRDefault="009C7893" w:rsidP="0061366C">
      <w:pPr>
        <w:spacing w:line="276" w:lineRule="auto"/>
        <w:ind w:firstLine="720"/>
        <w:contextualSpacing/>
        <w:jc w:val="both"/>
        <w:rPr>
          <w:bCs/>
        </w:rPr>
      </w:pPr>
      <w:r>
        <w:rPr>
          <w:bCs/>
        </w:rPr>
        <w:t xml:space="preserve">Kriminālprocesa likuma </w:t>
      </w:r>
      <w:proofErr w:type="gramStart"/>
      <w:r>
        <w:rPr>
          <w:bCs/>
        </w:rPr>
        <w:t>511.panta</w:t>
      </w:r>
      <w:proofErr w:type="gramEnd"/>
      <w:r>
        <w:rPr>
          <w:bCs/>
        </w:rPr>
        <w:t xml:space="preserve"> otrā daļa noteic, ka spriedumam jābūt tiesiskam un pamatotam. </w:t>
      </w:r>
      <w:r w:rsidR="006A2B08">
        <w:rPr>
          <w:bCs/>
        </w:rPr>
        <w:t xml:space="preserve">Kriminālprocesa likuma </w:t>
      </w:r>
      <w:proofErr w:type="gramStart"/>
      <w:r>
        <w:rPr>
          <w:bCs/>
        </w:rPr>
        <w:t>512.panta</w:t>
      </w:r>
      <w:proofErr w:type="gramEnd"/>
      <w:r>
        <w:rPr>
          <w:bCs/>
        </w:rPr>
        <w:t xml:space="preserve"> pirm</w:t>
      </w:r>
      <w:r w:rsidR="009A2F12">
        <w:rPr>
          <w:bCs/>
        </w:rPr>
        <w:t>ā</w:t>
      </w:r>
      <w:r w:rsidR="006A2B08">
        <w:rPr>
          <w:bCs/>
        </w:rPr>
        <w:t xml:space="preserve"> daļa</w:t>
      </w:r>
      <w:r w:rsidR="009A2F12">
        <w:rPr>
          <w:bCs/>
        </w:rPr>
        <w:t xml:space="preserve"> noteic</w:t>
      </w:r>
      <w:r>
        <w:rPr>
          <w:bCs/>
        </w:rPr>
        <w:t>,</w:t>
      </w:r>
      <w:r w:rsidR="009A2F12">
        <w:rPr>
          <w:bCs/>
        </w:rPr>
        <w:t xml:space="preserve"> ka,</w:t>
      </w:r>
      <w:r>
        <w:rPr>
          <w:bCs/>
        </w:rPr>
        <w:t xml:space="preserve"> taisot spriedumu, </w:t>
      </w:r>
      <w:r w:rsidR="007F42F0">
        <w:rPr>
          <w:bCs/>
        </w:rPr>
        <w:t xml:space="preserve">tiesa </w:t>
      </w:r>
      <w:r>
        <w:rPr>
          <w:bCs/>
        </w:rPr>
        <w:t xml:space="preserve">pamatojas uz materiālo un procesuālo tiesību normām. </w:t>
      </w:r>
      <w:r w:rsidR="009A2F12">
        <w:rPr>
          <w:bCs/>
        </w:rPr>
        <w:t xml:space="preserve">Savukārt </w:t>
      </w:r>
      <w:r>
        <w:rPr>
          <w:bCs/>
        </w:rPr>
        <w:t xml:space="preserve">Kriminālprocesa likuma </w:t>
      </w:r>
      <w:proofErr w:type="gramStart"/>
      <w:r>
        <w:rPr>
          <w:bCs/>
        </w:rPr>
        <w:t>564.panta</w:t>
      </w:r>
      <w:proofErr w:type="gramEnd"/>
      <w:r>
        <w:rPr>
          <w:bCs/>
        </w:rPr>
        <w:t xml:space="preserve"> ceturtā daļa noteic, ka</w:t>
      </w:r>
      <w:r w:rsidR="009A2F12">
        <w:rPr>
          <w:bCs/>
        </w:rPr>
        <w:t xml:space="preserve">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w:t>
      </w:r>
      <w:r w:rsidR="00233C42">
        <w:rPr>
          <w:bCs/>
        </w:rPr>
        <w:t xml:space="preserve"> noraida kādus pierādījumus, un likumi, pēc kuriem tā vadās.</w:t>
      </w:r>
    </w:p>
    <w:p w14:paraId="41E5ADAB" w14:textId="77777777" w:rsidR="00233C42" w:rsidRDefault="006A2B08" w:rsidP="0061366C">
      <w:pPr>
        <w:spacing w:line="276" w:lineRule="auto"/>
        <w:ind w:firstLine="720"/>
        <w:contextualSpacing/>
        <w:jc w:val="both"/>
        <w:rPr>
          <w:bCs/>
        </w:rPr>
      </w:pPr>
      <w:r>
        <w:t>Senāts</w:t>
      </w:r>
      <w:r w:rsidR="005F7685" w:rsidRPr="00F42675">
        <w:t xml:space="preserve"> konstatē, ka apelācijas instances tiesa, iztiesājot krimināllietu, minētās tiesību normas nav ievērojusi.</w:t>
      </w:r>
    </w:p>
    <w:p w14:paraId="0F7475F0" w14:textId="77777777" w:rsidR="00233C42" w:rsidRDefault="00233C42" w:rsidP="0061366C">
      <w:pPr>
        <w:spacing w:line="276" w:lineRule="auto"/>
        <w:ind w:firstLine="720"/>
        <w:contextualSpacing/>
        <w:jc w:val="both"/>
        <w:rPr>
          <w:bCs/>
        </w:rPr>
      </w:pPr>
    </w:p>
    <w:p w14:paraId="194A13BB" w14:textId="220652C1" w:rsidR="00F4097F" w:rsidRPr="00233C42" w:rsidRDefault="00BA4660" w:rsidP="0061366C">
      <w:pPr>
        <w:spacing w:line="276" w:lineRule="auto"/>
        <w:ind w:firstLine="720"/>
        <w:contextualSpacing/>
        <w:jc w:val="both"/>
        <w:rPr>
          <w:bCs/>
        </w:rPr>
      </w:pPr>
      <w:r>
        <w:rPr>
          <w:rFonts w:eastAsia="Calibri"/>
        </w:rPr>
        <w:t>[</w:t>
      </w:r>
      <w:r w:rsidR="00233C42">
        <w:rPr>
          <w:rFonts w:eastAsia="Calibri"/>
        </w:rPr>
        <w:t>7</w:t>
      </w:r>
      <w:r>
        <w:rPr>
          <w:rFonts w:eastAsia="Calibri"/>
        </w:rPr>
        <w:t xml:space="preserve">] </w:t>
      </w:r>
      <w:r w:rsidR="00F4097F">
        <w:rPr>
          <w:rFonts w:eastAsia="Calibri"/>
        </w:rPr>
        <w:t>Noziedzīga nodarījuma kvalifikācija ir pilnīgas atbilstības konstatēšana starp nodarījuma faktiskajām pazīmēm un Krimināllikuma normā (pantā, panta daļā, punktā) paredzētā konkrētā noziedzīgā nodarījuma sastāva pazīmēm (</w:t>
      </w:r>
      <w:r w:rsidR="00F4097F" w:rsidRPr="00086A24">
        <w:rPr>
          <w:rFonts w:eastAsia="Calibri"/>
          <w:i/>
        </w:rPr>
        <w:t>Krastiņš U. Noziedzīga nodarījuma sastāvs un nodarījuma kvalifikācija. Teorētiskie aspekti. Rīga: Tiesu namu aģentūra, 2014, 46.</w:t>
      </w:r>
      <w:r w:rsidR="00400794">
        <w:rPr>
          <w:rFonts w:eastAsia="Calibri"/>
          <w:i/>
        </w:rPr>
        <w:t>-</w:t>
      </w:r>
      <w:r w:rsidR="00F4097F" w:rsidRPr="00086A24">
        <w:rPr>
          <w:rFonts w:eastAsia="Calibri"/>
          <w:i/>
        </w:rPr>
        <w:t>47.lpp.</w:t>
      </w:r>
      <w:r w:rsidR="00F4097F">
        <w:rPr>
          <w:rFonts w:eastAsia="Calibri"/>
        </w:rPr>
        <w:t>).</w:t>
      </w:r>
    </w:p>
    <w:p w14:paraId="504D5B2C" w14:textId="2FAB5813" w:rsidR="00F4097F" w:rsidRDefault="00990DB3" w:rsidP="0061366C">
      <w:pPr>
        <w:spacing w:line="276" w:lineRule="auto"/>
        <w:ind w:firstLine="567"/>
        <w:jc w:val="both"/>
        <w:rPr>
          <w:lang w:eastAsia="lv-LV"/>
        </w:rPr>
      </w:pPr>
      <w:r w:rsidRPr="00F42675">
        <w:rPr>
          <w:lang w:eastAsia="lv-LV"/>
        </w:rPr>
        <w:t>Augstākā tiesa</w:t>
      </w:r>
      <w:r w:rsidR="008A5B00">
        <w:rPr>
          <w:lang w:eastAsia="lv-LV"/>
        </w:rPr>
        <w:t xml:space="preserve"> jau iepriekš paudusi atziņu</w:t>
      </w:r>
      <w:r w:rsidRPr="00F42675">
        <w:rPr>
          <w:lang w:eastAsia="lv-LV"/>
        </w:rPr>
        <w:t>, ka</w:t>
      </w:r>
      <w:r w:rsidR="008A5B00">
        <w:rPr>
          <w:lang w:eastAsia="lv-LV"/>
        </w:rPr>
        <w:t xml:space="preserve"> Krimināllikuma panta dispozīcijas pārrakstīšana nenosaka konkrētā noziedzīgā nodarījuma juridisko kvalifikāciju, to nosaka lietā konstatētie faktiskie apstākļi</w:t>
      </w:r>
      <w:r w:rsidR="008A5B00" w:rsidRPr="008A5B00">
        <w:rPr>
          <w:lang w:eastAsia="lv-LV"/>
        </w:rPr>
        <w:t>. T</w:t>
      </w:r>
      <w:r w:rsidR="006C371E" w:rsidRPr="008A5B00">
        <w:rPr>
          <w:lang w:eastAsia="lv-LV"/>
        </w:rPr>
        <w:t xml:space="preserve">ieši </w:t>
      </w:r>
      <w:r w:rsidRPr="008A5B00">
        <w:rPr>
          <w:lang w:eastAsia="lv-LV"/>
        </w:rPr>
        <w:t xml:space="preserve">noziedzīgā </w:t>
      </w:r>
      <w:r w:rsidRPr="00F42675">
        <w:rPr>
          <w:lang w:eastAsia="lv-LV"/>
        </w:rPr>
        <w:t>nodarījuma apraksts ir notiesājoša tiesas sprieduma būtiska sastāvdaļa, kas atspoguļo tiesas atzinumu par to, kādu noziedzīgo nodarījumu apsūdzētais ir izdarījis (</w:t>
      </w:r>
      <w:r w:rsidRPr="00F42675">
        <w:rPr>
          <w:i/>
          <w:lang w:eastAsia="lv-LV"/>
        </w:rPr>
        <w:t xml:space="preserve">Augstākās tiesas </w:t>
      </w:r>
      <w:proofErr w:type="gramStart"/>
      <w:r w:rsidRPr="00F42675">
        <w:rPr>
          <w:i/>
          <w:lang w:eastAsia="lv-LV"/>
        </w:rPr>
        <w:t>2016.gada</w:t>
      </w:r>
      <w:proofErr w:type="gramEnd"/>
      <w:r w:rsidRPr="00F42675">
        <w:rPr>
          <w:i/>
          <w:lang w:eastAsia="lv-LV"/>
        </w:rPr>
        <w:t xml:space="preserve"> 14.novembra lēmum</w:t>
      </w:r>
      <w:r>
        <w:rPr>
          <w:i/>
          <w:lang w:eastAsia="lv-LV"/>
        </w:rPr>
        <w:t>s</w:t>
      </w:r>
      <w:r w:rsidRPr="00F42675">
        <w:rPr>
          <w:i/>
          <w:lang w:eastAsia="lv-LV"/>
        </w:rPr>
        <w:t xml:space="preserve"> lietā Nr. SKK-</w:t>
      </w:r>
      <w:r w:rsidRPr="002A2653">
        <w:rPr>
          <w:i/>
          <w:lang w:eastAsia="lv-LV"/>
        </w:rPr>
        <w:t>501/2016 (</w:t>
      </w:r>
      <w:r w:rsidRPr="00892DA0">
        <w:rPr>
          <w:i/>
        </w:rPr>
        <w:t>11520032315</w:t>
      </w:r>
      <w:r w:rsidR="008A5B00">
        <w:rPr>
          <w:i/>
        </w:rPr>
        <w:t>)</w:t>
      </w:r>
      <w:r>
        <w:rPr>
          <w:i/>
          <w:lang w:eastAsia="lv-LV"/>
        </w:rPr>
        <w:t>,</w:t>
      </w:r>
      <w:r w:rsidRPr="00892DA0">
        <w:rPr>
          <w:i/>
        </w:rPr>
        <w:t xml:space="preserve"> </w:t>
      </w:r>
      <w:r w:rsidR="008A5B00">
        <w:rPr>
          <w:i/>
        </w:rPr>
        <w:t xml:space="preserve">2016.gada 21.janvāra lēmums lietā Nr. SKK-55/2016 (11250030514), </w:t>
      </w:r>
      <w:r w:rsidRPr="00892DA0">
        <w:rPr>
          <w:i/>
        </w:rPr>
        <w:t>2015.gad</w:t>
      </w:r>
      <w:r w:rsidRPr="002A2653">
        <w:rPr>
          <w:i/>
        </w:rPr>
        <w:t xml:space="preserve">a </w:t>
      </w:r>
      <w:r w:rsidR="003B387D">
        <w:rPr>
          <w:i/>
        </w:rPr>
        <w:t>2</w:t>
      </w:r>
      <w:r w:rsidRPr="002A2653">
        <w:rPr>
          <w:i/>
        </w:rPr>
        <w:t>9.maija lēmum</w:t>
      </w:r>
      <w:r w:rsidR="00641F6A">
        <w:rPr>
          <w:i/>
        </w:rPr>
        <w:t>s</w:t>
      </w:r>
      <w:r w:rsidRPr="002A2653">
        <w:rPr>
          <w:i/>
        </w:rPr>
        <w:t xml:space="preserve"> lietā Nr.</w:t>
      </w:r>
      <w:r w:rsidR="007A355A">
        <w:rPr>
          <w:i/>
        </w:rPr>
        <w:t> </w:t>
      </w:r>
      <w:r w:rsidRPr="002A2653">
        <w:rPr>
          <w:i/>
        </w:rPr>
        <w:t>SKK-</w:t>
      </w:r>
      <w:r w:rsidRPr="00892DA0">
        <w:rPr>
          <w:i/>
        </w:rPr>
        <w:t>313/2015</w:t>
      </w:r>
      <w:r w:rsidRPr="00892DA0">
        <w:rPr>
          <w:i/>
          <w:lang w:eastAsia="lv-LV"/>
        </w:rPr>
        <w:t xml:space="preserve"> </w:t>
      </w:r>
      <w:r w:rsidRPr="002A2653">
        <w:rPr>
          <w:i/>
          <w:lang w:eastAsia="lv-LV"/>
        </w:rPr>
        <w:t>(</w:t>
      </w:r>
      <w:r w:rsidRPr="00892DA0">
        <w:rPr>
          <w:i/>
        </w:rPr>
        <w:t>11096174414</w:t>
      </w:r>
      <w:r w:rsidRPr="002A2653">
        <w:rPr>
          <w:i/>
          <w:lang w:eastAsia="lv-LV"/>
        </w:rPr>
        <w:t>)</w:t>
      </w:r>
      <w:r w:rsidRPr="00F42675">
        <w:rPr>
          <w:lang w:eastAsia="lv-LV"/>
        </w:rPr>
        <w:t>).</w:t>
      </w:r>
    </w:p>
    <w:p w14:paraId="7305D986" w14:textId="5F4092A6" w:rsidR="007A355A" w:rsidRDefault="00CE5361" w:rsidP="0061366C">
      <w:pPr>
        <w:spacing w:line="276" w:lineRule="auto"/>
        <w:ind w:firstLine="567"/>
        <w:jc w:val="both"/>
        <w:rPr>
          <w:lang w:eastAsia="lv-LV"/>
        </w:rPr>
      </w:pPr>
      <w:r>
        <w:rPr>
          <w:lang w:eastAsia="lv-LV"/>
        </w:rPr>
        <w:t>Senāts norāda, ka, l</w:t>
      </w:r>
      <w:r w:rsidR="007A355A">
        <w:rPr>
          <w:lang w:eastAsia="lv-LV"/>
        </w:rPr>
        <w:t xml:space="preserve">ai personas darbības kvalificētu kā Krimināllikuma </w:t>
      </w:r>
      <w:proofErr w:type="gramStart"/>
      <w:r w:rsidR="007A355A">
        <w:rPr>
          <w:lang w:eastAsia="lv-LV"/>
        </w:rPr>
        <w:t>118.panta</w:t>
      </w:r>
      <w:proofErr w:type="gramEnd"/>
      <w:r w:rsidR="007A355A">
        <w:rPr>
          <w:lang w:eastAsia="lv-LV"/>
        </w:rPr>
        <w:t xml:space="preserve"> 1.punktā paredzēto slepkavību, ir jākonstatē, ka cietušais vai viņa tuvinieks ir izpildījis kādu no likumā norādītajām darbībām:</w:t>
      </w:r>
      <w:r w:rsidR="00233C42">
        <w:rPr>
          <w:lang w:eastAsia="lv-LV"/>
        </w:rPr>
        <w:t xml:space="preserve"> </w:t>
      </w:r>
      <w:r w:rsidR="007A355A">
        <w:rPr>
          <w:lang w:eastAsia="lv-LV"/>
        </w:rPr>
        <w:t xml:space="preserve">1) izpildījis dienesta vai savus profesionālos pienākumus vai </w:t>
      </w:r>
      <w:r w:rsidR="0005076B">
        <w:rPr>
          <w:lang w:eastAsia="lv-LV"/>
        </w:rPr>
        <w:t xml:space="preserve">2) </w:t>
      </w:r>
      <w:r w:rsidR="007A355A">
        <w:rPr>
          <w:lang w:eastAsia="lv-LV"/>
        </w:rPr>
        <w:t>piedalījies noziedzīga vai citāda prettiesiska nodarījuma novēršanā vai pārtraukšan</w:t>
      </w:r>
      <w:r w:rsidR="0005076B">
        <w:rPr>
          <w:lang w:eastAsia="lv-LV"/>
        </w:rPr>
        <w:t>ā</w:t>
      </w:r>
      <w:r w:rsidR="007A355A">
        <w:rPr>
          <w:lang w:eastAsia="lv-LV"/>
        </w:rPr>
        <w:t xml:space="preserve">, vai </w:t>
      </w:r>
      <w:r w:rsidR="0005076B">
        <w:rPr>
          <w:lang w:eastAsia="lv-LV"/>
        </w:rPr>
        <w:t xml:space="preserve">3) </w:t>
      </w:r>
      <w:r w:rsidR="007A355A">
        <w:rPr>
          <w:lang w:eastAsia="lv-LV"/>
        </w:rPr>
        <w:t>devis liecību tiesā vai pirmstiesas kriminālprocesā.</w:t>
      </w:r>
    </w:p>
    <w:p w14:paraId="2C4A8BA5" w14:textId="56D777EE" w:rsidR="0005076B" w:rsidRDefault="0005076B" w:rsidP="0061366C">
      <w:pPr>
        <w:spacing w:line="276" w:lineRule="auto"/>
        <w:ind w:firstLine="567"/>
        <w:jc w:val="both"/>
      </w:pPr>
      <w:r>
        <w:rPr>
          <w:rFonts w:eastAsia="Calibri"/>
        </w:rPr>
        <w:t>Savukārt n</w:t>
      </w:r>
      <w:r w:rsidRPr="00060B74">
        <w:rPr>
          <w:rFonts w:eastAsia="Calibri"/>
        </w:rPr>
        <w:t>o subjektīvās puses</w:t>
      </w:r>
      <w:r>
        <w:rPr>
          <w:rFonts w:eastAsia="Calibri"/>
        </w:rPr>
        <w:t xml:space="preserve"> Krimināllikuma </w:t>
      </w:r>
      <w:proofErr w:type="gramStart"/>
      <w:r>
        <w:rPr>
          <w:rFonts w:eastAsia="Calibri"/>
        </w:rPr>
        <w:t>118.panta</w:t>
      </w:r>
      <w:proofErr w:type="gramEnd"/>
      <w:r>
        <w:rPr>
          <w:rFonts w:eastAsia="Calibri"/>
        </w:rPr>
        <w:t xml:space="preserve"> 1.punktā paredzēto slepkavību var izdarīt tikai ar tiešu nodomu. Vainīgais apzinās, ka viņš tīši nonāvē cietušo sakarā ar viņa vai tā tuvinieka likumīgu rīcību un tieši tāpēc vēlas viņa nāves iestāšanos </w:t>
      </w:r>
      <w:proofErr w:type="gramStart"/>
      <w:r w:rsidRPr="00060B74">
        <w:t>(</w:t>
      </w:r>
      <w:proofErr w:type="spellStart"/>
      <w:proofErr w:type="gramEnd"/>
      <w:r w:rsidRPr="0017159B">
        <w:rPr>
          <w:i/>
        </w:rPr>
        <w:t>Liholaja</w:t>
      </w:r>
      <w:proofErr w:type="spellEnd"/>
      <w:r w:rsidRPr="0017159B">
        <w:rPr>
          <w:i/>
        </w:rPr>
        <w:t xml:space="preserve"> V. Noziedzīgu nodarījumu kvalifikācija: Likums. Teorija. Prakse. Otrais papildinātais izdevums. Rīga: Tiesu namu aģent</w:t>
      </w:r>
      <w:r>
        <w:rPr>
          <w:i/>
        </w:rPr>
        <w:t>ūra</w:t>
      </w:r>
      <w:r w:rsidRPr="0017159B">
        <w:rPr>
          <w:i/>
        </w:rPr>
        <w:t>, 2007,</w:t>
      </w:r>
      <w:r w:rsidR="00400794">
        <w:rPr>
          <w:i/>
        </w:rPr>
        <w:t xml:space="preserve"> </w:t>
      </w:r>
      <w:r w:rsidRPr="0017159B">
        <w:rPr>
          <w:i/>
        </w:rPr>
        <w:t>229.</w:t>
      </w:r>
      <w:r w:rsidR="00400794">
        <w:rPr>
          <w:i/>
        </w:rPr>
        <w:t>-</w:t>
      </w:r>
      <w:r w:rsidRPr="0017159B">
        <w:rPr>
          <w:i/>
        </w:rPr>
        <w:t>230.lpp</w:t>
      </w:r>
      <w:r>
        <w:t>.).</w:t>
      </w:r>
      <w:r w:rsidR="003C06D0">
        <w:t xml:space="preserve"> Slepkavība kvalificējama saskaņā ar Krimināllikuma </w:t>
      </w:r>
      <w:proofErr w:type="gramStart"/>
      <w:r w:rsidR="003C06D0">
        <w:t>118.panta</w:t>
      </w:r>
      <w:proofErr w:type="gramEnd"/>
      <w:r w:rsidR="003C06D0">
        <w:t xml:space="preserve"> 1.punktu arī tad, ja tā izdarīta ar nolūku nepieļaut cietušā vai viņa tuvinieka likumīgu rīcību vai arī aiz atriebības par to, ka cietušais vai viņa tuvinieks izpildījis savus dienesta vai profesionālos pienākumus vai arī veicis citas likumā norādītās darbības (</w:t>
      </w:r>
      <w:r w:rsidR="00865C09">
        <w:rPr>
          <w:i/>
          <w:iCs/>
          <w:sz w:val="23"/>
          <w:szCs w:val="23"/>
        </w:rPr>
        <w:t xml:space="preserve">Krastiņš U., </w:t>
      </w:r>
      <w:proofErr w:type="spellStart"/>
      <w:r w:rsidR="00865C09">
        <w:rPr>
          <w:i/>
          <w:iCs/>
          <w:sz w:val="23"/>
          <w:szCs w:val="23"/>
        </w:rPr>
        <w:t>Liholaja</w:t>
      </w:r>
      <w:proofErr w:type="spellEnd"/>
      <w:r w:rsidR="00865C09">
        <w:rPr>
          <w:i/>
          <w:iCs/>
          <w:sz w:val="23"/>
          <w:szCs w:val="23"/>
        </w:rPr>
        <w:t xml:space="preserve"> V. Krimināllikuma komentāri. </w:t>
      </w:r>
      <w:r w:rsidR="00020A63">
        <w:rPr>
          <w:i/>
          <w:iCs/>
          <w:sz w:val="23"/>
          <w:szCs w:val="23"/>
        </w:rPr>
        <w:t>Otrā</w:t>
      </w:r>
      <w:r w:rsidR="00865C09">
        <w:rPr>
          <w:i/>
          <w:iCs/>
          <w:sz w:val="23"/>
          <w:szCs w:val="23"/>
        </w:rPr>
        <w:t xml:space="preserve"> daļa (I</w:t>
      </w:r>
      <w:r w:rsidR="00020A63">
        <w:rPr>
          <w:i/>
          <w:iCs/>
          <w:sz w:val="23"/>
          <w:szCs w:val="23"/>
        </w:rPr>
        <w:t>X</w:t>
      </w:r>
      <w:r w:rsidR="00865C09">
        <w:rPr>
          <w:i/>
          <w:iCs/>
          <w:sz w:val="23"/>
          <w:szCs w:val="23"/>
        </w:rPr>
        <w:t>-XV</w:t>
      </w:r>
      <w:r w:rsidR="00020A63">
        <w:rPr>
          <w:i/>
          <w:iCs/>
          <w:sz w:val="23"/>
          <w:szCs w:val="23"/>
        </w:rPr>
        <w:t>II</w:t>
      </w:r>
      <w:r w:rsidR="00865C09">
        <w:rPr>
          <w:i/>
          <w:iCs/>
          <w:sz w:val="23"/>
          <w:szCs w:val="23"/>
        </w:rPr>
        <w:t xml:space="preserve"> nodaļa). Rīga: Tiesu namu aģentūra, 20</w:t>
      </w:r>
      <w:r w:rsidR="00020A63">
        <w:rPr>
          <w:i/>
          <w:iCs/>
          <w:sz w:val="23"/>
          <w:szCs w:val="23"/>
        </w:rPr>
        <w:t>22</w:t>
      </w:r>
      <w:r w:rsidR="00865C09">
        <w:rPr>
          <w:i/>
          <w:iCs/>
          <w:sz w:val="23"/>
          <w:szCs w:val="23"/>
        </w:rPr>
        <w:t>, 2</w:t>
      </w:r>
      <w:r w:rsidR="00020A63">
        <w:rPr>
          <w:i/>
          <w:iCs/>
          <w:sz w:val="23"/>
          <w:szCs w:val="23"/>
        </w:rPr>
        <w:t>90</w:t>
      </w:r>
      <w:r w:rsidR="00865C09">
        <w:rPr>
          <w:i/>
          <w:iCs/>
          <w:sz w:val="23"/>
          <w:szCs w:val="23"/>
        </w:rPr>
        <w:t>.lpp</w:t>
      </w:r>
      <w:r w:rsidR="00020A63">
        <w:rPr>
          <w:i/>
          <w:iCs/>
          <w:sz w:val="23"/>
          <w:szCs w:val="23"/>
        </w:rPr>
        <w:t>.</w:t>
      </w:r>
      <w:r w:rsidR="00865C09">
        <w:rPr>
          <w:sz w:val="23"/>
          <w:szCs w:val="23"/>
        </w:rPr>
        <w:t>)</w:t>
      </w:r>
      <w:r w:rsidR="003C06D0">
        <w:t>.</w:t>
      </w:r>
    </w:p>
    <w:p w14:paraId="1DB46EBD" w14:textId="77777777" w:rsidR="00233C42" w:rsidRDefault="00233C42" w:rsidP="0061366C">
      <w:pPr>
        <w:spacing w:line="276" w:lineRule="auto"/>
        <w:ind w:firstLine="567"/>
        <w:jc w:val="both"/>
      </w:pPr>
    </w:p>
    <w:p w14:paraId="084569C2" w14:textId="1B4FCB7F" w:rsidR="00641F6A" w:rsidRDefault="00233C42" w:rsidP="0061366C">
      <w:pPr>
        <w:spacing w:line="276" w:lineRule="auto"/>
        <w:ind w:firstLine="567"/>
        <w:jc w:val="both"/>
      </w:pPr>
      <w:r>
        <w:t>[8] </w:t>
      </w:r>
      <w:r w:rsidR="00F76F1E">
        <w:t xml:space="preserve">Apsūdzētajam </w:t>
      </w:r>
      <w:r w:rsidR="009E6A2E">
        <w:t>[pers. A]</w:t>
      </w:r>
      <w:r w:rsidR="00F76F1E">
        <w:t xml:space="preserve"> celta apsūdzība par </w:t>
      </w:r>
      <w:r w:rsidR="009E6A2E">
        <w:t>[pers. B]</w:t>
      </w:r>
      <w:r>
        <w:t xml:space="preserve"> </w:t>
      </w:r>
      <w:r w:rsidR="00C728AE">
        <w:t>slepkavību sakarā ar to, ka cietušais devis liecību pirmstiesas kriminālprocesā.</w:t>
      </w:r>
    </w:p>
    <w:p w14:paraId="3C69C655" w14:textId="5E102CEE" w:rsidR="00020A63" w:rsidRDefault="00020A63" w:rsidP="0061366C">
      <w:pPr>
        <w:spacing w:line="276" w:lineRule="auto"/>
        <w:ind w:firstLine="567"/>
        <w:jc w:val="both"/>
        <w:rPr>
          <w:rFonts w:eastAsia="Calibri"/>
        </w:rPr>
      </w:pPr>
      <w:bookmarkStart w:id="3" w:name="_Hlk113970709"/>
      <w:r>
        <w:t xml:space="preserve">Saskaņā ar </w:t>
      </w:r>
      <w:r w:rsidR="00CE5361">
        <w:t xml:space="preserve">apelācijas instances tiesas lēmumā sniegto </w:t>
      </w:r>
      <w:r>
        <w:t>pierādītā noziedzīgā nodarījuma aprakstu</w:t>
      </w:r>
      <w:r>
        <w:rPr>
          <w:rFonts w:eastAsia="Calibri"/>
        </w:rPr>
        <w:t xml:space="preserve"> apsūdzētais </w:t>
      </w:r>
      <w:r w:rsidR="009E6A2E">
        <w:rPr>
          <w:rFonts w:eastAsia="Calibri"/>
        </w:rPr>
        <w:t>[pers. A]</w:t>
      </w:r>
      <w:r>
        <w:rPr>
          <w:rFonts w:eastAsia="Calibri"/>
        </w:rPr>
        <w:t xml:space="preserve"> </w:t>
      </w:r>
      <w:proofErr w:type="gramStart"/>
      <w:r>
        <w:rPr>
          <w:rFonts w:eastAsia="Calibri"/>
        </w:rPr>
        <w:t>2017.gada</w:t>
      </w:r>
      <w:proofErr w:type="gramEnd"/>
      <w:r>
        <w:rPr>
          <w:rFonts w:eastAsia="Calibri"/>
        </w:rPr>
        <w:t xml:space="preserve"> 2</w:t>
      </w:r>
      <w:r w:rsidR="00B96DA8">
        <w:rPr>
          <w:rFonts w:eastAsia="Calibri"/>
        </w:rPr>
        <w:t>9</w:t>
      </w:r>
      <w:r>
        <w:rPr>
          <w:rFonts w:eastAsia="Calibri"/>
        </w:rPr>
        <w:t>.jūlijā ap plkst. 14.22, būdams alkohola un narkotisko vielu reibumā</w:t>
      </w:r>
      <w:r w:rsidR="00BB46E6">
        <w:rPr>
          <w:rFonts w:eastAsia="Calibri"/>
        </w:rPr>
        <w:t>,</w:t>
      </w:r>
      <w:r>
        <w:rPr>
          <w:rFonts w:eastAsia="Calibri"/>
        </w:rPr>
        <w:t xml:space="preserve"> </w:t>
      </w:r>
      <w:r w:rsidR="001A4124">
        <w:rPr>
          <w:rFonts w:eastAsia="Calibri"/>
        </w:rPr>
        <w:t xml:space="preserve">pie veikala </w:t>
      </w:r>
      <w:r w:rsidR="001A4124" w:rsidRPr="009228DC">
        <w:t>„</w:t>
      </w:r>
      <w:r w:rsidR="001A4124">
        <w:rPr>
          <w:rFonts w:eastAsia="Calibri"/>
        </w:rPr>
        <w:t xml:space="preserve">Lapa” </w:t>
      </w:r>
      <w:r>
        <w:rPr>
          <w:rFonts w:eastAsia="Calibri"/>
        </w:rPr>
        <w:t xml:space="preserve">Rīgā, kur tika lietots alkohols, personiska konflikta laikā ar </w:t>
      </w:r>
      <w:r w:rsidR="009E6A2E">
        <w:rPr>
          <w:rFonts w:eastAsia="Calibri"/>
        </w:rPr>
        <w:t>[pers. B]</w:t>
      </w:r>
      <w:r>
        <w:rPr>
          <w:rFonts w:eastAsia="Calibri"/>
        </w:rPr>
        <w:t xml:space="preserve"> dusmu, naida, personisku motīvu un atriebības vadīts par pirmstiesas kriminālprocesā </w:t>
      </w:r>
      <w:r w:rsidR="009E6A2E">
        <w:rPr>
          <w:rFonts w:eastAsia="Calibri"/>
        </w:rPr>
        <w:t>[pers. B]</w:t>
      </w:r>
      <w:r w:rsidR="00F565AA">
        <w:rPr>
          <w:rFonts w:eastAsia="Calibri"/>
        </w:rPr>
        <w:t xml:space="preserve"> sniegto liecību pret</w:t>
      </w:r>
      <w:r>
        <w:rPr>
          <w:rFonts w:eastAsia="Calibri"/>
        </w:rPr>
        <w:t xml:space="preserve"> </w:t>
      </w:r>
      <w:r w:rsidR="009E6A2E">
        <w:rPr>
          <w:rFonts w:eastAsia="Calibri"/>
        </w:rPr>
        <w:t>[pers. A]</w:t>
      </w:r>
      <w:r>
        <w:rPr>
          <w:rFonts w:eastAsia="Calibri"/>
        </w:rPr>
        <w:t xml:space="preserve"> paziņu, vēlēdamies </w:t>
      </w:r>
      <w:r w:rsidR="009E6A2E">
        <w:rPr>
          <w:rFonts w:eastAsia="Calibri"/>
        </w:rPr>
        <w:t>[pers. B]</w:t>
      </w:r>
      <w:r>
        <w:rPr>
          <w:rFonts w:eastAsia="Calibri"/>
        </w:rPr>
        <w:t xml:space="preserve"> nāves iestāšanos</w:t>
      </w:r>
      <w:r w:rsidR="00F565AA">
        <w:rPr>
          <w:rFonts w:eastAsia="Calibri"/>
        </w:rPr>
        <w:t>,</w:t>
      </w:r>
      <w:r>
        <w:rPr>
          <w:rFonts w:eastAsia="Calibri"/>
        </w:rPr>
        <w:t xml:space="preserve"> ar līdzpaņemto nazi ne mazāk kā divas reizes iedūra cietušajam krūšu kurvja labās puses priekšējā virsmā un krūšu kurvja kreisās puses mugurējā virsmā un šādā veidā nodarīja cietušajam smagu dzīvībai bīstamu miesas bojājumu, kas komplicējās ar iekšēju un ārēju asiņošanu, kas izraisīja iekšējo orgānu mazasinību un bija tiešā cēloniskā sakarā ar </w:t>
      </w:r>
      <w:r w:rsidR="009E6A2E">
        <w:rPr>
          <w:rFonts w:eastAsia="Calibri"/>
        </w:rPr>
        <w:t>[pers. B]</w:t>
      </w:r>
      <w:r>
        <w:rPr>
          <w:rFonts w:eastAsia="Calibri"/>
        </w:rPr>
        <w:t xml:space="preserve"> nāv</w:t>
      </w:r>
      <w:r w:rsidR="001A4124">
        <w:rPr>
          <w:rFonts w:eastAsia="Calibri"/>
        </w:rPr>
        <w:t>es iestāšanos</w:t>
      </w:r>
      <w:r>
        <w:rPr>
          <w:rFonts w:eastAsia="Calibri"/>
        </w:rPr>
        <w:t xml:space="preserve"> 2017.gada 2</w:t>
      </w:r>
      <w:r w:rsidR="00B96DA8">
        <w:rPr>
          <w:rFonts w:eastAsia="Calibri"/>
        </w:rPr>
        <w:t>9</w:t>
      </w:r>
      <w:r>
        <w:rPr>
          <w:rFonts w:eastAsia="Calibri"/>
        </w:rPr>
        <w:t>.jūlijā plkst. 22.30.</w:t>
      </w:r>
      <w:bookmarkEnd w:id="3"/>
    </w:p>
    <w:p w14:paraId="683D0ACC" w14:textId="71CFC2EE" w:rsidR="00F565AA" w:rsidRPr="002A7F2D" w:rsidRDefault="00F565AA" w:rsidP="0061366C">
      <w:pPr>
        <w:spacing w:line="276" w:lineRule="auto"/>
        <w:ind w:firstLine="567"/>
        <w:jc w:val="both"/>
        <w:rPr>
          <w:rFonts w:eastAsia="Calibri"/>
        </w:rPr>
      </w:pPr>
      <w:r>
        <w:rPr>
          <w:rFonts w:eastAsia="Calibri"/>
        </w:rPr>
        <w:t xml:space="preserve">Kaut arī apsūdzībā nav minēta </w:t>
      </w:r>
      <w:r w:rsidR="009E6A2E">
        <w:rPr>
          <w:rFonts w:eastAsia="Calibri"/>
        </w:rPr>
        <w:t>[pers. A]</w:t>
      </w:r>
      <w:r>
        <w:rPr>
          <w:rFonts w:eastAsia="Calibri"/>
        </w:rPr>
        <w:t xml:space="preserve"> paziņa</w:t>
      </w:r>
      <w:r w:rsidR="00400794">
        <w:rPr>
          <w:rFonts w:eastAsia="Calibri"/>
        </w:rPr>
        <w:t>,</w:t>
      </w:r>
      <w:r>
        <w:rPr>
          <w:rFonts w:eastAsia="Calibri"/>
        </w:rPr>
        <w:t xml:space="preserve"> pret kuru cietušais </w:t>
      </w:r>
      <w:r w:rsidR="009E6A2E">
        <w:rPr>
          <w:rFonts w:eastAsia="Calibri"/>
        </w:rPr>
        <w:t>[pers. B]</w:t>
      </w:r>
      <w:r>
        <w:rPr>
          <w:rFonts w:eastAsia="Calibri"/>
        </w:rPr>
        <w:t xml:space="preserve"> sniedzis liecību pirmstiesas kriminālprocesā, no apelācijas instances tiesas sprieduma 15.4 punktā minētā konstatējams, ka šī paziņa ir lieciniece </w:t>
      </w:r>
      <w:r w:rsidR="009E6A2E">
        <w:rPr>
          <w:rFonts w:eastAsia="Calibri"/>
        </w:rPr>
        <w:t>[pers. C]</w:t>
      </w:r>
      <w:r>
        <w:rPr>
          <w:rFonts w:eastAsia="Calibri"/>
        </w:rPr>
        <w:t xml:space="preserve">. Savukārt no apelācijas instances tiesas lēmumā izklāstītajām liecinieces </w:t>
      </w:r>
      <w:r w:rsidR="009E6A2E">
        <w:rPr>
          <w:rFonts w:eastAsia="Calibri"/>
        </w:rPr>
        <w:t>[pers. C]</w:t>
      </w:r>
      <w:r>
        <w:rPr>
          <w:rFonts w:eastAsia="Calibri"/>
        </w:rPr>
        <w:t xml:space="preserve"> liecībām konstatējams, ka viņa zinājusi par </w:t>
      </w:r>
      <w:r w:rsidR="009E6A2E">
        <w:rPr>
          <w:rFonts w:eastAsia="Calibri"/>
        </w:rPr>
        <w:t>[pers. B]</w:t>
      </w:r>
      <w:r>
        <w:rPr>
          <w:rFonts w:eastAsia="Calibri"/>
        </w:rPr>
        <w:t xml:space="preserve"> rīcību</w:t>
      </w:r>
      <w:r w:rsidR="00354D64">
        <w:rPr>
          <w:rFonts w:eastAsia="Calibri"/>
        </w:rPr>
        <w:t xml:space="preserve">, proti, par liecības </w:t>
      </w:r>
      <w:r w:rsidR="00354D64" w:rsidRPr="002A7F2D">
        <w:rPr>
          <w:rFonts w:eastAsia="Calibri"/>
        </w:rPr>
        <w:t>sniegšanu pirmstiesas kriminālprocesā</w:t>
      </w:r>
      <w:r w:rsidR="00400794" w:rsidRPr="002A7F2D">
        <w:rPr>
          <w:rFonts w:eastAsia="Calibri"/>
        </w:rPr>
        <w:t>,</w:t>
      </w:r>
      <w:r w:rsidRPr="002A7F2D">
        <w:rPr>
          <w:rFonts w:eastAsia="Calibri"/>
        </w:rPr>
        <w:t xml:space="preserve"> un par to pēc soda izciešanas pastāstījusi </w:t>
      </w:r>
      <w:r w:rsidR="00B66723" w:rsidRPr="002A7F2D">
        <w:rPr>
          <w:rFonts w:eastAsia="Calibri"/>
        </w:rPr>
        <w:t xml:space="preserve">arī </w:t>
      </w:r>
      <w:r w:rsidRPr="002A7F2D">
        <w:rPr>
          <w:rFonts w:eastAsia="Calibri"/>
        </w:rPr>
        <w:t xml:space="preserve">savam vīram </w:t>
      </w:r>
      <w:r w:rsidR="009E6A2E">
        <w:rPr>
          <w:rFonts w:eastAsia="Calibri"/>
        </w:rPr>
        <w:t>[pers. D]</w:t>
      </w:r>
      <w:r w:rsidR="0051403E" w:rsidRPr="002A7F2D">
        <w:rPr>
          <w:rFonts w:eastAsia="Calibri"/>
        </w:rPr>
        <w:t xml:space="preserve">, nevis apsūdzētajam </w:t>
      </w:r>
      <w:proofErr w:type="gramStart"/>
      <w:r w:rsidR="009E6A2E">
        <w:rPr>
          <w:rFonts w:eastAsia="Calibri"/>
        </w:rPr>
        <w:t>[</w:t>
      </w:r>
      <w:proofErr w:type="gramEnd"/>
      <w:r w:rsidR="009E6A2E">
        <w:rPr>
          <w:rFonts w:eastAsia="Calibri"/>
        </w:rPr>
        <w:t>pers. A]</w:t>
      </w:r>
      <w:r w:rsidRPr="002A7F2D">
        <w:rPr>
          <w:rFonts w:eastAsia="Calibri"/>
        </w:rPr>
        <w:t>.</w:t>
      </w:r>
    </w:p>
    <w:p w14:paraId="329D308B" w14:textId="36744F32" w:rsidR="00540F5D" w:rsidRPr="002A7F2D" w:rsidRDefault="00540F5D" w:rsidP="0061366C">
      <w:pPr>
        <w:spacing w:line="276" w:lineRule="auto"/>
        <w:ind w:firstLine="567"/>
        <w:jc w:val="both"/>
        <w:rPr>
          <w:rFonts w:eastAsia="Calibri"/>
        </w:rPr>
      </w:pPr>
      <w:r w:rsidRPr="002A7F2D">
        <w:rPr>
          <w:rFonts w:eastAsia="Calibri"/>
        </w:rPr>
        <w:t xml:space="preserve">Savukārt no liecinieka </w:t>
      </w:r>
      <w:r w:rsidR="009E6A2E">
        <w:rPr>
          <w:rFonts w:eastAsia="Calibri"/>
        </w:rPr>
        <w:t>[pers. D]</w:t>
      </w:r>
      <w:r w:rsidRPr="002A7F2D">
        <w:rPr>
          <w:rFonts w:eastAsia="Calibri"/>
        </w:rPr>
        <w:t xml:space="preserve"> liecību izklāsta apelācijas instances tiesas lēmumā konstatējams, ka par </w:t>
      </w:r>
      <w:r w:rsidR="009E6A2E">
        <w:rPr>
          <w:rFonts w:eastAsia="Calibri"/>
        </w:rPr>
        <w:t>[pers. B]</w:t>
      </w:r>
      <w:r w:rsidRPr="002A7F2D">
        <w:rPr>
          <w:rFonts w:eastAsia="Calibri"/>
        </w:rPr>
        <w:t xml:space="preserve"> rīcību apsūdzētais </w:t>
      </w:r>
      <w:r w:rsidR="009E6A2E">
        <w:rPr>
          <w:rFonts w:eastAsia="Calibri"/>
        </w:rPr>
        <w:t>[pers. A]</w:t>
      </w:r>
      <w:r w:rsidRPr="002A7F2D">
        <w:rPr>
          <w:rFonts w:eastAsia="Calibri"/>
        </w:rPr>
        <w:t xml:space="preserve"> varējis uzzināt nejauši, kad </w:t>
      </w:r>
      <w:r w:rsidR="009E6A2E">
        <w:rPr>
          <w:rFonts w:eastAsia="Calibri"/>
        </w:rPr>
        <w:t>[pers. D]</w:t>
      </w:r>
      <w:r w:rsidR="0050032E" w:rsidRPr="002A7F2D">
        <w:rPr>
          <w:rFonts w:eastAsia="Calibri"/>
        </w:rPr>
        <w:t xml:space="preserve"> </w:t>
      </w:r>
      <w:r w:rsidR="007D3DE5" w:rsidRPr="002A7F2D">
        <w:rPr>
          <w:rFonts w:eastAsia="Calibri"/>
        </w:rPr>
        <w:t>par to stāstījis saviem paziņām.</w:t>
      </w:r>
      <w:r w:rsidRPr="002A7F2D">
        <w:rPr>
          <w:rFonts w:eastAsia="Calibri"/>
        </w:rPr>
        <w:t xml:space="preserve"> </w:t>
      </w:r>
      <w:r w:rsidR="0014423F" w:rsidRPr="002A7F2D">
        <w:rPr>
          <w:rFonts w:eastAsia="Calibri"/>
        </w:rPr>
        <w:t>S</w:t>
      </w:r>
      <w:r w:rsidR="007D2F84" w:rsidRPr="002A7F2D">
        <w:rPr>
          <w:rFonts w:eastAsia="Calibri"/>
        </w:rPr>
        <w:t xml:space="preserve">priedumu </w:t>
      </w:r>
      <w:r w:rsidR="009E6A2E">
        <w:rPr>
          <w:rFonts w:eastAsia="Calibri"/>
        </w:rPr>
        <w:t>[pers. A]</w:t>
      </w:r>
      <w:r w:rsidR="007D2F84" w:rsidRPr="002A7F2D">
        <w:rPr>
          <w:rFonts w:eastAsia="Calibri"/>
        </w:rPr>
        <w:t xml:space="preserve"> nav devis</w:t>
      </w:r>
      <w:r w:rsidR="0014423F" w:rsidRPr="002A7F2D">
        <w:rPr>
          <w:rFonts w:eastAsia="Calibri"/>
        </w:rPr>
        <w:t>, jo uzskatījis, ka</w:t>
      </w:r>
      <w:r w:rsidRPr="002A7F2D">
        <w:rPr>
          <w:rFonts w:eastAsia="Calibri"/>
        </w:rPr>
        <w:t xml:space="preserve"> </w:t>
      </w:r>
      <w:r w:rsidR="009E6A2E">
        <w:rPr>
          <w:rFonts w:eastAsia="Calibri"/>
        </w:rPr>
        <w:t>[pers.</w:t>
      </w:r>
      <w:r w:rsidR="00E5166B">
        <w:rPr>
          <w:rFonts w:eastAsia="Calibri"/>
        </w:rPr>
        <w:t> </w:t>
      </w:r>
      <w:r w:rsidR="009E6A2E">
        <w:rPr>
          <w:rFonts w:eastAsia="Calibri"/>
        </w:rPr>
        <w:t>C]</w:t>
      </w:r>
      <w:r w:rsidRPr="002A7F2D">
        <w:rPr>
          <w:rFonts w:eastAsia="Calibri"/>
        </w:rPr>
        <w:t xml:space="preserve"> notiesāšana uz </w:t>
      </w:r>
      <w:r w:rsidR="009E6A2E">
        <w:rPr>
          <w:rFonts w:eastAsia="Calibri"/>
        </w:rPr>
        <w:t>[pers. A]</w:t>
      </w:r>
      <w:r w:rsidRPr="002A7F2D">
        <w:rPr>
          <w:rFonts w:eastAsia="Calibri"/>
        </w:rPr>
        <w:t xml:space="preserve"> neattiecas. </w:t>
      </w:r>
    </w:p>
    <w:p w14:paraId="3742F2EC" w14:textId="0E167637" w:rsidR="00354D64" w:rsidRPr="002A7F2D" w:rsidRDefault="00354D64" w:rsidP="0061366C">
      <w:pPr>
        <w:spacing w:line="276" w:lineRule="auto"/>
        <w:ind w:firstLine="567"/>
        <w:jc w:val="both"/>
        <w:rPr>
          <w:rFonts w:eastAsia="Calibri"/>
        </w:rPr>
      </w:pPr>
      <w:r w:rsidRPr="002A7F2D">
        <w:rPr>
          <w:rFonts w:eastAsia="Calibri"/>
        </w:rPr>
        <w:t xml:space="preserve">Apelācijas instances tiesa, lēmumā izklāstot liecinieku </w:t>
      </w:r>
      <w:r w:rsidR="009E6A2E">
        <w:rPr>
          <w:rFonts w:eastAsia="Calibri"/>
        </w:rPr>
        <w:t>[pers. D]</w:t>
      </w:r>
      <w:r w:rsidRPr="002A7F2D">
        <w:rPr>
          <w:rFonts w:eastAsia="Calibri"/>
        </w:rPr>
        <w:t xml:space="preserve">, </w:t>
      </w:r>
      <w:r w:rsidR="00D8742C">
        <w:rPr>
          <w:rFonts w:eastAsia="Calibri"/>
        </w:rPr>
        <w:t>[pers. E]</w:t>
      </w:r>
      <w:r w:rsidR="0050032E" w:rsidRPr="002A7F2D">
        <w:rPr>
          <w:rFonts w:eastAsia="Calibri"/>
        </w:rPr>
        <w:t xml:space="preserve"> un</w:t>
      </w:r>
      <w:r w:rsidRPr="002A7F2D">
        <w:rPr>
          <w:rFonts w:eastAsia="Calibri"/>
        </w:rPr>
        <w:t xml:space="preserve"> </w:t>
      </w:r>
      <w:r w:rsidR="00D8742C">
        <w:rPr>
          <w:rFonts w:eastAsia="Calibri"/>
        </w:rPr>
        <w:t>[pers. F]</w:t>
      </w:r>
      <w:r w:rsidRPr="002A7F2D">
        <w:rPr>
          <w:rFonts w:eastAsia="Calibri"/>
        </w:rPr>
        <w:t xml:space="preserve"> liecības, nav norādījusi, kuras tieši no šajās liecībās norādītajām ziņām par faktiem pierāda apsūdzētā </w:t>
      </w:r>
      <w:r w:rsidR="00D8742C">
        <w:rPr>
          <w:rFonts w:eastAsia="Calibri"/>
        </w:rPr>
        <w:t>[pers. A]</w:t>
      </w:r>
      <w:r w:rsidRPr="002A7F2D">
        <w:rPr>
          <w:rFonts w:eastAsia="Calibri"/>
        </w:rPr>
        <w:t xml:space="preserve"> nolūku noslepkavot </w:t>
      </w:r>
      <w:r w:rsidR="00D8742C">
        <w:rPr>
          <w:rFonts w:eastAsia="Calibri"/>
        </w:rPr>
        <w:t>[pers. B]</w:t>
      </w:r>
      <w:r w:rsidRPr="002A7F2D">
        <w:rPr>
          <w:rFonts w:eastAsia="Calibri"/>
        </w:rPr>
        <w:t xml:space="preserve"> par viņa pirmstiesas kriminālprocesā sniegt</w:t>
      </w:r>
      <w:r w:rsidR="00A45F7A" w:rsidRPr="002A7F2D">
        <w:rPr>
          <w:rFonts w:eastAsia="Calibri"/>
        </w:rPr>
        <w:t>o</w:t>
      </w:r>
      <w:r w:rsidRPr="002A7F2D">
        <w:rPr>
          <w:rFonts w:eastAsia="Calibri"/>
        </w:rPr>
        <w:t xml:space="preserve"> liecīb</w:t>
      </w:r>
      <w:r w:rsidR="00A45F7A" w:rsidRPr="002A7F2D">
        <w:rPr>
          <w:rFonts w:eastAsia="Calibri"/>
        </w:rPr>
        <w:t>u</w:t>
      </w:r>
      <w:r w:rsidRPr="002A7F2D">
        <w:rPr>
          <w:rFonts w:eastAsia="Calibri"/>
        </w:rPr>
        <w:t xml:space="preserve"> pret </w:t>
      </w:r>
      <w:proofErr w:type="gramStart"/>
      <w:r w:rsidR="00D8742C">
        <w:rPr>
          <w:rFonts w:eastAsia="Calibri"/>
        </w:rPr>
        <w:t>[</w:t>
      </w:r>
      <w:proofErr w:type="gramEnd"/>
      <w:r w:rsidR="00D8742C">
        <w:rPr>
          <w:rFonts w:eastAsia="Calibri"/>
        </w:rPr>
        <w:t>pers. A]</w:t>
      </w:r>
      <w:r w:rsidRPr="002A7F2D">
        <w:rPr>
          <w:rFonts w:eastAsia="Calibri"/>
        </w:rPr>
        <w:t xml:space="preserve"> mazpazīstamo </w:t>
      </w:r>
      <w:r w:rsidR="00D8742C">
        <w:rPr>
          <w:rFonts w:eastAsia="Calibri"/>
        </w:rPr>
        <w:t>[pers. C]</w:t>
      </w:r>
      <w:r w:rsidRPr="002A7F2D">
        <w:rPr>
          <w:rFonts w:eastAsia="Calibri"/>
        </w:rPr>
        <w:t xml:space="preserve">. No apelācijas instances tiesas lēmumā izklāstītajām minēto liecinieku liecībām konstatējams vienīgi tas, ka apsūdzētais </w:t>
      </w:r>
      <w:r w:rsidR="00D8742C">
        <w:rPr>
          <w:rFonts w:eastAsia="Calibri"/>
        </w:rPr>
        <w:t>[pers. A]</w:t>
      </w:r>
      <w:r w:rsidRPr="002A7F2D">
        <w:rPr>
          <w:rFonts w:eastAsia="Calibri"/>
        </w:rPr>
        <w:t xml:space="preserve"> ir zinājis par liecības sniegšanas faktu.</w:t>
      </w:r>
    </w:p>
    <w:p w14:paraId="50D91EEB" w14:textId="22E0BBF0" w:rsidR="00C3292E" w:rsidRPr="002A7F2D" w:rsidRDefault="00354D64" w:rsidP="0061366C">
      <w:pPr>
        <w:spacing w:line="276" w:lineRule="auto"/>
        <w:ind w:firstLine="567"/>
        <w:jc w:val="both"/>
        <w:rPr>
          <w:rFonts w:eastAsia="Calibri"/>
        </w:rPr>
      </w:pPr>
      <w:bookmarkStart w:id="4" w:name="_Hlk114058278"/>
      <w:r w:rsidRPr="002A7F2D">
        <w:rPr>
          <w:rFonts w:eastAsia="Calibri"/>
        </w:rPr>
        <w:t xml:space="preserve">Savukārt pretēji Kriminālprocesa likuma </w:t>
      </w:r>
      <w:proofErr w:type="gramStart"/>
      <w:r w:rsidRPr="002A7F2D">
        <w:rPr>
          <w:rFonts w:eastAsia="Calibri"/>
        </w:rPr>
        <w:t>564.panta</w:t>
      </w:r>
      <w:proofErr w:type="gramEnd"/>
      <w:r w:rsidRPr="002A7F2D">
        <w:rPr>
          <w:rFonts w:eastAsia="Calibri"/>
        </w:rPr>
        <w:t xml:space="preserve"> ceturtajā daļā noteiktajam apelācijas instances tiesa nav izvērtējusi lieciniek</w:t>
      </w:r>
      <w:r w:rsidR="006D3059" w:rsidRPr="002A7F2D">
        <w:rPr>
          <w:rFonts w:eastAsia="Calibri"/>
        </w:rPr>
        <w:t>u</w:t>
      </w:r>
      <w:r w:rsidRPr="002A7F2D">
        <w:rPr>
          <w:rFonts w:eastAsia="Calibri"/>
        </w:rPr>
        <w:t xml:space="preserve"> </w:t>
      </w:r>
      <w:r w:rsidR="00D8742C">
        <w:rPr>
          <w:rFonts w:eastAsia="Calibri"/>
        </w:rPr>
        <w:t>[pers. D]</w:t>
      </w:r>
      <w:r w:rsidR="006D3059" w:rsidRPr="002A7F2D">
        <w:rPr>
          <w:rFonts w:eastAsia="Calibri"/>
        </w:rPr>
        <w:t xml:space="preserve">, </w:t>
      </w:r>
      <w:r w:rsidR="00D8742C">
        <w:rPr>
          <w:rFonts w:eastAsia="Calibri"/>
        </w:rPr>
        <w:t>[pers. E]</w:t>
      </w:r>
      <w:r w:rsidR="00B66723" w:rsidRPr="002A7F2D">
        <w:rPr>
          <w:rFonts w:eastAsia="Calibri"/>
        </w:rPr>
        <w:t xml:space="preserve"> un</w:t>
      </w:r>
      <w:r w:rsidR="00AD20E6" w:rsidRPr="002A7F2D">
        <w:rPr>
          <w:rFonts w:eastAsia="Calibri"/>
        </w:rPr>
        <w:t xml:space="preserve"> </w:t>
      </w:r>
      <w:r w:rsidR="00D8742C">
        <w:rPr>
          <w:rFonts w:eastAsia="Calibri"/>
        </w:rPr>
        <w:t>[pers. F]</w:t>
      </w:r>
      <w:r w:rsidR="006D3059" w:rsidRPr="002A7F2D">
        <w:rPr>
          <w:rFonts w:eastAsia="Calibri"/>
        </w:rPr>
        <w:t xml:space="preserve"> </w:t>
      </w:r>
      <w:r w:rsidRPr="002A7F2D">
        <w:rPr>
          <w:rFonts w:eastAsia="Calibri"/>
        </w:rPr>
        <w:t xml:space="preserve"> liecības un uz šo liecību pamata pirmās instances tiesas spriedum</w:t>
      </w:r>
      <w:r w:rsidR="006D3059" w:rsidRPr="002A7F2D">
        <w:rPr>
          <w:rFonts w:eastAsia="Calibri"/>
        </w:rPr>
        <w:t>ā</w:t>
      </w:r>
      <w:r w:rsidRPr="002A7F2D">
        <w:rPr>
          <w:rFonts w:eastAsia="Calibri"/>
        </w:rPr>
        <w:t xml:space="preserve"> secināto</w:t>
      </w:r>
      <w:r w:rsidR="006D3059">
        <w:rPr>
          <w:rFonts w:eastAsia="Calibri"/>
        </w:rPr>
        <w:t xml:space="preserve"> (</w:t>
      </w:r>
      <w:r w:rsidR="006D3059" w:rsidRPr="006D3059">
        <w:rPr>
          <w:rFonts w:eastAsia="Calibri"/>
          <w:i/>
          <w:iCs/>
        </w:rPr>
        <w:t>sprieduma 45.lpp.</w:t>
      </w:r>
      <w:r w:rsidR="006D3059">
        <w:rPr>
          <w:rFonts w:eastAsia="Calibri"/>
        </w:rPr>
        <w:t>)</w:t>
      </w:r>
      <w:r>
        <w:rPr>
          <w:rFonts w:eastAsia="Calibri"/>
        </w:rPr>
        <w:t xml:space="preserve"> par iemeslu apsūdzētā </w:t>
      </w:r>
      <w:r w:rsidR="00D8742C">
        <w:rPr>
          <w:rFonts w:eastAsia="Calibri"/>
        </w:rPr>
        <w:t>[pers. A]</w:t>
      </w:r>
      <w:r>
        <w:rPr>
          <w:rFonts w:eastAsia="Calibri"/>
        </w:rPr>
        <w:t xml:space="preserve"> personiskajai nepatikai un naidīgumam pret cietušo </w:t>
      </w:r>
      <w:r w:rsidR="00D8742C">
        <w:rPr>
          <w:rFonts w:eastAsia="Calibri"/>
        </w:rPr>
        <w:t>[pers. B]</w:t>
      </w:r>
      <w:r>
        <w:rPr>
          <w:rFonts w:eastAsia="Calibri"/>
        </w:rPr>
        <w:t>, k</w:t>
      </w:r>
      <w:r w:rsidR="006D3059">
        <w:rPr>
          <w:rFonts w:eastAsia="Calibri"/>
        </w:rPr>
        <w:t>ā</w:t>
      </w:r>
      <w:r>
        <w:rPr>
          <w:rFonts w:eastAsia="Calibri"/>
        </w:rPr>
        <w:t xml:space="preserve"> arī par </w:t>
      </w:r>
      <w:r w:rsidR="00B66723">
        <w:rPr>
          <w:rFonts w:eastAsia="Calibri"/>
        </w:rPr>
        <w:t>2017.gada 2</w:t>
      </w:r>
      <w:r w:rsidR="00B96DA8">
        <w:rPr>
          <w:rFonts w:eastAsia="Calibri"/>
        </w:rPr>
        <w:t>9</w:t>
      </w:r>
      <w:r w:rsidR="00B66723">
        <w:rPr>
          <w:rFonts w:eastAsia="Calibri"/>
        </w:rPr>
        <w:t xml:space="preserve">.jūlijā notikušā strīda uzsākšanas </w:t>
      </w:r>
      <w:r w:rsidR="00B66723" w:rsidRPr="002A7F2D">
        <w:rPr>
          <w:rFonts w:eastAsia="Calibri"/>
        </w:rPr>
        <w:t>iemeslu</w:t>
      </w:r>
      <w:r w:rsidR="0098548C" w:rsidRPr="002A7F2D">
        <w:rPr>
          <w:rFonts w:eastAsia="Calibri"/>
        </w:rPr>
        <w:t xml:space="preserve">, proti, ka </w:t>
      </w:r>
      <w:r w:rsidR="00D8742C">
        <w:rPr>
          <w:rFonts w:eastAsia="Calibri"/>
        </w:rPr>
        <w:t>[pers. A]</w:t>
      </w:r>
      <w:r w:rsidR="00692CE5" w:rsidRPr="002A7F2D">
        <w:t xml:space="preserve"> jau sākotnēji bija aizvainojums, netaisnības sajūta</w:t>
      </w:r>
      <w:r w:rsidR="00B961AC">
        <w:t xml:space="preserve"> un</w:t>
      </w:r>
      <w:r w:rsidR="00692CE5" w:rsidRPr="002A7F2D">
        <w:t xml:space="preserve"> dusmas</w:t>
      </w:r>
      <w:r w:rsidR="00F036AC" w:rsidRPr="002A7F2D">
        <w:t xml:space="preserve"> uz</w:t>
      </w:r>
      <w:r w:rsidR="00692CE5" w:rsidRPr="002A7F2D">
        <w:t xml:space="preserve"> </w:t>
      </w:r>
      <w:r w:rsidR="00D8742C">
        <w:t>[pers. B]</w:t>
      </w:r>
      <w:r w:rsidR="00692CE5" w:rsidRPr="002A7F2D">
        <w:t xml:space="preserve"> sakarā ar to, ka cietušais atņēma apsūdzētajam medikamentus, piekāva, nepamatoti apmeloja naudas zādzībā</w:t>
      </w:r>
      <w:r w:rsidR="00B961AC">
        <w:t xml:space="preserve"> un</w:t>
      </w:r>
      <w:r w:rsidR="00692CE5" w:rsidRPr="002A7F2D">
        <w:t xml:space="preserve"> sauca par „žurku”.</w:t>
      </w:r>
      <w:bookmarkEnd w:id="4"/>
    </w:p>
    <w:p w14:paraId="39880367" w14:textId="6C1A3FF4" w:rsidR="000A37AC" w:rsidRPr="0008242A" w:rsidRDefault="000A37AC" w:rsidP="0061366C">
      <w:pPr>
        <w:spacing w:line="276" w:lineRule="auto"/>
        <w:ind w:firstLine="567"/>
        <w:jc w:val="both"/>
        <w:rPr>
          <w:rFonts w:eastAsia="Calibri"/>
        </w:rPr>
      </w:pPr>
      <w:r w:rsidRPr="002A7F2D">
        <w:rPr>
          <w:rFonts w:eastAsia="Calibri"/>
        </w:rPr>
        <w:t xml:space="preserve">Tiesa arī nav izvērtējusi un sniegusi savu atzinumu par apsūdzētā </w:t>
      </w:r>
      <w:r w:rsidR="00D8742C">
        <w:rPr>
          <w:rFonts w:eastAsia="Calibri"/>
        </w:rPr>
        <w:t>[pers. A]</w:t>
      </w:r>
      <w:r w:rsidRPr="002A7F2D">
        <w:rPr>
          <w:rFonts w:eastAsia="Calibri"/>
        </w:rPr>
        <w:t xml:space="preserve"> liecībām, kurās viņš norādījis iemeslu, kāpēc viņam bijis nepieciešams </w:t>
      </w:r>
      <w:r w:rsidR="00D8742C">
        <w:rPr>
          <w:rFonts w:eastAsia="Calibri"/>
        </w:rPr>
        <w:t>[pers. C]</w:t>
      </w:r>
      <w:r w:rsidRPr="002A7F2D">
        <w:rPr>
          <w:rFonts w:eastAsia="Calibri"/>
        </w:rPr>
        <w:t xml:space="preserve"> notiesājošais spriedums, proti, lai, to parādot </w:t>
      </w:r>
      <w:r w:rsidR="00D8742C">
        <w:rPr>
          <w:rFonts w:eastAsia="Calibri"/>
        </w:rPr>
        <w:t>[pers. B]</w:t>
      </w:r>
      <w:r w:rsidRPr="002A7F2D">
        <w:rPr>
          <w:rFonts w:eastAsia="Calibri"/>
        </w:rPr>
        <w:t xml:space="preserve">, </w:t>
      </w:r>
      <w:r w:rsidR="00630A75" w:rsidRPr="002A7F2D">
        <w:rPr>
          <w:rFonts w:eastAsia="Calibri"/>
        </w:rPr>
        <w:t>uzsvērtu</w:t>
      </w:r>
      <w:r w:rsidRPr="002A7F2D">
        <w:rPr>
          <w:rFonts w:eastAsia="Calibri"/>
        </w:rPr>
        <w:t xml:space="preserve">, ka tam nav morālu tiesību vērsties pret </w:t>
      </w:r>
      <w:proofErr w:type="gramStart"/>
      <w:r w:rsidR="00D8742C">
        <w:rPr>
          <w:rFonts w:eastAsia="Calibri"/>
        </w:rPr>
        <w:t>[</w:t>
      </w:r>
      <w:proofErr w:type="gramEnd"/>
      <w:r w:rsidR="00D8742C">
        <w:rPr>
          <w:rFonts w:eastAsia="Calibri"/>
        </w:rPr>
        <w:t>pers. A]</w:t>
      </w:r>
      <w:r w:rsidRPr="002A7F2D">
        <w:rPr>
          <w:rFonts w:eastAsia="Calibri"/>
        </w:rPr>
        <w:t xml:space="preserve">, </w:t>
      </w:r>
      <w:r w:rsidR="00B137B4" w:rsidRPr="002A7F2D">
        <w:rPr>
          <w:rFonts w:eastAsia="Calibri"/>
        </w:rPr>
        <w:t xml:space="preserve"> </w:t>
      </w:r>
      <w:r w:rsidRPr="002A7F2D">
        <w:rPr>
          <w:rFonts w:eastAsia="Calibri"/>
        </w:rPr>
        <w:t xml:space="preserve">nepamatoti viņu apmelojot naudas zādzībā, ņemot vērā, ka pats </w:t>
      </w:r>
      <w:r w:rsidR="00D8742C">
        <w:rPr>
          <w:rFonts w:eastAsia="Calibri"/>
        </w:rPr>
        <w:t>[pers. B]</w:t>
      </w:r>
      <w:r w:rsidRPr="002A7F2D">
        <w:rPr>
          <w:rFonts w:eastAsia="Calibri"/>
        </w:rPr>
        <w:t xml:space="preserve"> ir rīkojies amorāli, sniedzot liecību pret </w:t>
      </w:r>
      <w:r w:rsidR="00D8742C">
        <w:rPr>
          <w:rFonts w:eastAsia="Calibri"/>
        </w:rPr>
        <w:t>[pers. C]</w:t>
      </w:r>
      <w:r w:rsidRPr="002A7F2D">
        <w:rPr>
          <w:rFonts w:eastAsia="Calibri"/>
        </w:rPr>
        <w:t>.</w:t>
      </w:r>
    </w:p>
    <w:p w14:paraId="5FAA9160" w14:textId="2417A645" w:rsidR="00682EDA" w:rsidRDefault="00354D64" w:rsidP="008F4F46">
      <w:pPr>
        <w:spacing w:line="276" w:lineRule="auto"/>
        <w:ind w:firstLine="567"/>
        <w:jc w:val="both"/>
      </w:pPr>
      <w:r>
        <w:rPr>
          <w:rFonts w:eastAsia="Calibri"/>
        </w:rPr>
        <w:t xml:space="preserve">Līdz ar to </w:t>
      </w:r>
      <w:r w:rsidRPr="00687C45">
        <w:t xml:space="preserve">Senāts atzīst, ka apelācijas instances tiesa </w:t>
      </w:r>
      <w:r>
        <w:t xml:space="preserve">savus secinājumus par Krimināllikuma </w:t>
      </w:r>
      <w:proofErr w:type="gramStart"/>
      <w:r>
        <w:t>118.panta</w:t>
      </w:r>
      <w:proofErr w:type="gramEnd"/>
      <w:r>
        <w:t xml:space="preserve"> 1.punktā norādītās kvalificējošās pazīmes esību apsūdzētā </w:t>
      </w:r>
      <w:r w:rsidR="00D8742C">
        <w:t>[pers. A]</w:t>
      </w:r>
      <w:r>
        <w:t xml:space="preserve"> darbībās pamatojusi </w:t>
      </w:r>
      <w:r w:rsidR="002848EB">
        <w:t xml:space="preserve">vienīgi </w:t>
      </w:r>
      <w:r>
        <w:t xml:space="preserve">ar to, ka viņš zinājis par </w:t>
      </w:r>
      <w:r w:rsidR="00D8742C">
        <w:t>[pers. B]</w:t>
      </w:r>
      <w:r>
        <w:t xml:space="preserve"> sniegto liecību pirmstiesas kriminālprocesā, bet nav izvērtējusi, vai minētās </w:t>
      </w:r>
      <w:r w:rsidR="00D8742C">
        <w:t>[pers. B]</w:t>
      </w:r>
      <w:r w:rsidR="00580651">
        <w:t xml:space="preserve"> </w:t>
      </w:r>
      <w:r>
        <w:t>darbības, proti, liecības sniegšana pirmstiesas kriminālprocesā</w:t>
      </w:r>
      <w:r w:rsidR="00400794">
        <w:t>,</w:t>
      </w:r>
      <w:r>
        <w:t xml:space="preserve"> bijusi par </w:t>
      </w:r>
      <w:r w:rsidR="00FB301B">
        <w:t>iemesl</w:t>
      </w:r>
      <w:r>
        <w:t xml:space="preserve">u </w:t>
      </w:r>
      <w:r w:rsidR="00D8742C">
        <w:t>[pers. B]</w:t>
      </w:r>
      <w:r w:rsidR="00A45F7A">
        <w:t xml:space="preserve"> slepkavībai.</w:t>
      </w:r>
      <w:r>
        <w:t xml:space="preserve"> </w:t>
      </w:r>
    </w:p>
    <w:p w14:paraId="3B017FB8" w14:textId="77777777" w:rsidR="00682EDA" w:rsidRDefault="00682EDA" w:rsidP="0061366C">
      <w:pPr>
        <w:spacing w:line="276" w:lineRule="auto"/>
        <w:jc w:val="both"/>
      </w:pPr>
    </w:p>
    <w:p w14:paraId="3A965B1F" w14:textId="204A18E8" w:rsidR="00FB301B" w:rsidRPr="005A78ED" w:rsidRDefault="00BA4660" w:rsidP="0061366C">
      <w:pPr>
        <w:spacing w:line="276" w:lineRule="auto"/>
        <w:ind w:firstLine="652"/>
        <w:jc w:val="both"/>
      </w:pPr>
      <w:r>
        <w:t>[</w:t>
      </w:r>
      <w:r w:rsidR="00FB301B">
        <w:t>9</w:t>
      </w:r>
      <w:r>
        <w:t>]</w:t>
      </w:r>
      <w:r w:rsidR="00FB301B">
        <w:t xml:space="preserve">  </w:t>
      </w:r>
      <w:r w:rsidR="005A78ED" w:rsidRPr="008F4F46">
        <w:t>Senāts atzīst par nepamatotu aizstāvja</w:t>
      </w:r>
      <w:r w:rsidR="008F4F46" w:rsidRPr="008F4F46">
        <w:t xml:space="preserve"> R. </w:t>
      </w:r>
      <w:proofErr w:type="spellStart"/>
      <w:r w:rsidR="008F4F46" w:rsidRPr="008F4F46">
        <w:t>Losberga</w:t>
      </w:r>
      <w:proofErr w:type="spellEnd"/>
      <w:r w:rsidR="005A78ED" w:rsidRPr="008F4F46">
        <w:t xml:space="preserve"> kasācijas sūdzībā norādīto par liecinieka</w:t>
      </w:r>
      <w:r w:rsidR="008F4F46" w:rsidRPr="008F4F46">
        <w:t xml:space="preserve"> </w:t>
      </w:r>
      <w:r w:rsidR="00D8742C">
        <w:t>[pers. D]</w:t>
      </w:r>
      <w:r w:rsidR="00D63ACF" w:rsidRPr="008F4F46">
        <w:t xml:space="preserve"> </w:t>
      </w:r>
      <w:r w:rsidR="005A78ED" w:rsidRPr="008F4F46">
        <w:t>un apsūdzētā</w:t>
      </w:r>
      <w:r w:rsidR="008F4F46" w:rsidRPr="008F4F46">
        <w:t xml:space="preserve"> </w:t>
      </w:r>
      <w:r w:rsidR="00D8742C">
        <w:t>[pers. A]</w:t>
      </w:r>
      <w:r w:rsidR="005A78ED" w:rsidRPr="008F4F46">
        <w:t xml:space="preserve"> telefonsarunas laikā fiksēto ziņu nepieļaujamību apsūdzētā vainīguma pierādīšanā</w:t>
      </w:r>
      <w:r w:rsidR="005A78ED">
        <w:rPr>
          <w:i/>
          <w:iCs/>
        </w:rPr>
        <w:t>.</w:t>
      </w:r>
    </w:p>
    <w:p w14:paraId="407F61D5" w14:textId="47E20691" w:rsidR="00C43029" w:rsidRDefault="00682EDA" w:rsidP="0061366C">
      <w:pPr>
        <w:spacing w:line="276" w:lineRule="auto"/>
        <w:ind w:firstLine="652"/>
        <w:contextualSpacing/>
        <w:jc w:val="both"/>
        <w:rPr>
          <w:bCs/>
        </w:rPr>
      </w:pPr>
      <w:r>
        <w:rPr>
          <w:bCs/>
        </w:rPr>
        <w:t>Senāts konstatē, ka apelācijas instances tiesa ir izvērtējusi minētās sarunas</w:t>
      </w:r>
      <w:r w:rsidR="000009F9">
        <w:rPr>
          <w:bCs/>
        </w:rPr>
        <w:t xml:space="preserve"> ieraksta</w:t>
      </w:r>
      <w:r>
        <w:rPr>
          <w:bCs/>
        </w:rPr>
        <w:t xml:space="preserve"> iegūšanas </w:t>
      </w:r>
      <w:r w:rsidR="008B1C3F">
        <w:rPr>
          <w:bCs/>
        </w:rPr>
        <w:t>tiesiskumu</w:t>
      </w:r>
      <w:r w:rsidR="00C43029">
        <w:rPr>
          <w:bCs/>
        </w:rPr>
        <w:t xml:space="preserve"> un nav konstatējusi pamatu tajā fiksētās ziņas atzīt par nepieļaujamu pierādījumu.</w:t>
      </w:r>
    </w:p>
    <w:p w14:paraId="2CF61BAD" w14:textId="04628DF3" w:rsidR="00682EDA" w:rsidRDefault="00C43029" w:rsidP="0061366C">
      <w:pPr>
        <w:spacing w:line="276" w:lineRule="auto"/>
        <w:ind w:firstLine="652"/>
        <w:contextualSpacing/>
        <w:jc w:val="both"/>
        <w:rPr>
          <w:bCs/>
        </w:rPr>
      </w:pPr>
      <w:r>
        <w:rPr>
          <w:bCs/>
        </w:rPr>
        <w:t>Senātam nav pamata apšaubīt apelācijas instances tiesas secinājumus.</w:t>
      </w:r>
    </w:p>
    <w:p w14:paraId="211D01D5" w14:textId="77777777" w:rsidR="00FB301B" w:rsidRDefault="00FB301B" w:rsidP="0061366C">
      <w:pPr>
        <w:spacing w:line="276" w:lineRule="auto"/>
        <w:jc w:val="both"/>
      </w:pPr>
    </w:p>
    <w:p w14:paraId="57D3FA83" w14:textId="0D20A985" w:rsidR="00C43029" w:rsidRDefault="00C43029" w:rsidP="0061366C">
      <w:pPr>
        <w:tabs>
          <w:tab w:val="left" w:pos="1134"/>
        </w:tabs>
        <w:spacing w:line="276" w:lineRule="auto"/>
        <w:ind w:firstLine="709"/>
        <w:jc w:val="both"/>
      </w:pPr>
      <w:r w:rsidRPr="008B1C3F">
        <w:rPr>
          <w:rFonts w:eastAsia="Calibri"/>
        </w:rPr>
        <w:t>[1</w:t>
      </w:r>
      <w:r w:rsidR="000E3E7C">
        <w:rPr>
          <w:rFonts w:eastAsia="Calibri"/>
        </w:rPr>
        <w:t>0</w:t>
      </w:r>
      <w:r w:rsidRPr="008B1C3F">
        <w:rPr>
          <w:rFonts w:eastAsia="Calibri"/>
        </w:rPr>
        <w:t>] </w:t>
      </w:r>
      <w:r>
        <w:t xml:space="preserve">Saskaņā ar Kriminālprocesa likuma </w:t>
      </w:r>
      <w:proofErr w:type="gramStart"/>
      <w:r>
        <w:t>367.panta</w:t>
      </w:r>
      <w:proofErr w:type="gramEnd"/>
      <w:r>
        <w:t xml:space="preserve"> pirmās daļas 4.punktu procesuālie izdevumi ir samaksa advokātam, kad izdevumus par juridisko palīdzību sedz no valsts līdzekļiem. Savukārt atbilstoši Kriminālprocesa likuma </w:t>
      </w:r>
      <w:proofErr w:type="gramStart"/>
      <w:r>
        <w:t>368.panta</w:t>
      </w:r>
      <w:proofErr w:type="gramEnd"/>
      <w:r>
        <w:t xml:space="preserve"> pirmajai daļai procesuālos izdevumus ar tiesas nolēmumu piedzen no notiesātajiem, izņemot šā panta trešajā, ceturtajā, piektajā un sestajā daļā minētos gadījumus. Minētā panta ceturtajā daļā noteikts, ka procesuālos izdevumus sedz no valsts līdzekļiem, ja persona, no kuras tie piedzenami, ir maznodrošināta vai trūcīga.</w:t>
      </w:r>
    </w:p>
    <w:p w14:paraId="7A3E4D47" w14:textId="2D502C8E" w:rsidR="00C43029" w:rsidRDefault="00C43029" w:rsidP="0061366C">
      <w:pPr>
        <w:tabs>
          <w:tab w:val="left" w:pos="1134"/>
        </w:tabs>
        <w:spacing w:line="276" w:lineRule="auto"/>
        <w:ind w:firstLine="709"/>
        <w:jc w:val="both"/>
      </w:pPr>
      <w:bookmarkStart w:id="5" w:name="_Hlk113972866"/>
      <w:r>
        <w:t xml:space="preserve">Kasācijas sūdzībās nepieciešamība atbrīvot </w:t>
      </w:r>
      <w:r w:rsidR="00D8742C">
        <w:t>[pers. A]</w:t>
      </w:r>
      <w:r>
        <w:t xml:space="preserve"> no procesuālajiem izdevumiem par aizstāvju </w:t>
      </w:r>
      <w:r w:rsidR="00F665D3">
        <w:t xml:space="preserve">juridisko </w:t>
      </w:r>
      <w:r>
        <w:t>palīdzību pamatota ar maznodrošinātas personas status</w:t>
      </w:r>
      <w:r w:rsidR="007D0715">
        <w:t>u</w:t>
      </w:r>
      <w:r>
        <w:t xml:space="preserve"> </w:t>
      </w:r>
      <w:r w:rsidR="00D8742C">
        <w:t>[pers. A]</w:t>
      </w:r>
      <w:r>
        <w:t>.</w:t>
      </w:r>
      <w:bookmarkEnd w:id="5"/>
      <w:r>
        <w:t xml:space="preserve"> </w:t>
      </w:r>
    </w:p>
    <w:p w14:paraId="432786E4" w14:textId="0F9C9D67" w:rsidR="00C43029" w:rsidRDefault="00C43029" w:rsidP="0061366C">
      <w:pPr>
        <w:tabs>
          <w:tab w:val="left" w:pos="1134"/>
        </w:tabs>
        <w:spacing w:line="276" w:lineRule="auto"/>
        <w:ind w:firstLine="709"/>
        <w:jc w:val="both"/>
      </w:pPr>
      <w:r>
        <w:t xml:space="preserve">Senāts konstatē, ka aizstāvja apelācijas sūdzībai pievienotā pašvaldības iestādes Sociālā dienesta informācija apstiprina, ka </w:t>
      </w:r>
      <w:r w:rsidR="00D8742C">
        <w:t>[pers. A]</w:t>
      </w:r>
      <w:r>
        <w:t xml:space="preserve"> noziedzīgā nodarījuma izdarīšanas dien</w:t>
      </w:r>
      <w:r w:rsidR="00A45F7A">
        <w:t>ā</w:t>
      </w:r>
      <w:r>
        <w:t xml:space="preserve"> – </w:t>
      </w:r>
      <w:proofErr w:type="gramStart"/>
      <w:r>
        <w:t>2017.gada</w:t>
      </w:r>
      <w:proofErr w:type="gramEnd"/>
      <w:r>
        <w:t xml:space="preserve"> 29.jūlij</w:t>
      </w:r>
      <w:r w:rsidR="00A45F7A">
        <w:t>ā</w:t>
      </w:r>
      <w:r>
        <w:t> – un apcietinājuma piemērošan</w:t>
      </w:r>
      <w:r w:rsidR="00A45F7A">
        <w:t>as brīdī</w:t>
      </w:r>
      <w:r>
        <w:t xml:space="preserve"> – 2017.gada 31</w:t>
      </w:r>
      <w:r w:rsidR="00A45F7A">
        <w:t>.</w:t>
      </w:r>
      <w:r>
        <w:t>jūlij</w:t>
      </w:r>
      <w:r w:rsidR="00A45F7A">
        <w:t>ā</w:t>
      </w:r>
      <w:r>
        <w:t xml:space="preserve"> – bija piešķirts maznodrošinātas personas statuss.</w:t>
      </w:r>
    </w:p>
    <w:p w14:paraId="6A99393F" w14:textId="06C8784C" w:rsidR="00CD5CB4" w:rsidRDefault="00CD5CB4" w:rsidP="0061366C">
      <w:pPr>
        <w:tabs>
          <w:tab w:val="left" w:pos="1134"/>
        </w:tabs>
        <w:spacing w:line="276" w:lineRule="auto"/>
        <w:ind w:firstLine="709"/>
        <w:jc w:val="both"/>
      </w:pPr>
      <w:r w:rsidRPr="00630A75">
        <w:t xml:space="preserve">Apelācijas instances tiesa, noraidot apsūdzētā apelācijas sūdzības argumentu par nepamatotu procesuālo izdevumu piedziņu par aizstāvja sniegto juridisko palīdzību pirmstiesas procesā un pirmās instances tiesā, ir konstatējusi, ka </w:t>
      </w:r>
      <w:r w:rsidR="00D8742C">
        <w:t>[pers. A]</w:t>
      </w:r>
      <w:r w:rsidRPr="00630A75">
        <w:t xml:space="preserve"> maznodrošinātas personas statuss bija piešķirts no </w:t>
      </w:r>
      <w:proofErr w:type="gramStart"/>
      <w:r w:rsidRPr="00630A75">
        <w:t>2017.gada</w:t>
      </w:r>
      <w:proofErr w:type="gramEnd"/>
      <w:r w:rsidRPr="00630A75">
        <w:t xml:space="preserve"> 1.februāra līdz 31.jūlijam, bet nav pamatojusi Kriminālprocesa likuma 368.panta ceturtajā daļā paredzētās tiesību normas nepiemērošanu.</w:t>
      </w:r>
    </w:p>
    <w:p w14:paraId="2D665878" w14:textId="13362126" w:rsidR="008B1C3F" w:rsidRPr="00CD5CB4" w:rsidRDefault="00565467" w:rsidP="0061366C">
      <w:pPr>
        <w:tabs>
          <w:tab w:val="left" w:pos="1134"/>
        </w:tabs>
        <w:spacing w:line="276" w:lineRule="auto"/>
        <w:ind w:firstLine="709"/>
        <w:jc w:val="both"/>
      </w:pPr>
      <w:r>
        <w:t xml:space="preserve">Senāts jau agrāk ir norādījis, ka </w:t>
      </w:r>
      <w:r w:rsidR="008B1C3F">
        <w:t xml:space="preserve">Kriminālprocesa likuma </w:t>
      </w:r>
      <w:proofErr w:type="gramStart"/>
      <w:r w:rsidR="008B1C3F">
        <w:t>368.panta</w:t>
      </w:r>
      <w:proofErr w:type="gramEnd"/>
      <w:r w:rsidR="008B1C3F">
        <w:t xml:space="preserve"> ceturtajā daļā ietvertās normas mērķis ir atbrīvot no samaksas par aizstāvja palīdzību personas, kuru mantiskais stāvoklis izslēdz iespēju izdevumus par aizstāvja palīdzību segt no saviem līdzekļiem, tādējādi nodrošinot aizstāvja pieejamību neatkarīgi no personas mantiskā stāvokļa</w:t>
      </w:r>
      <w:r>
        <w:t xml:space="preserve"> </w:t>
      </w:r>
      <w:r w:rsidRPr="00565467">
        <w:rPr>
          <w:i/>
          <w:iCs/>
        </w:rPr>
        <w:t>(</w:t>
      </w:r>
      <w:bookmarkStart w:id="6" w:name="_Hlk117230440"/>
      <w:r w:rsidRPr="00565467">
        <w:rPr>
          <w:i/>
          <w:iCs/>
        </w:rPr>
        <w:t>Augstākās tiesas 2020.gada 20.maija lēmums lietā Nr. SKK-J-406/202</w:t>
      </w:r>
      <w:r w:rsidR="00683CEE">
        <w:rPr>
          <w:i/>
          <w:iCs/>
        </w:rPr>
        <w:t>0</w:t>
      </w:r>
      <w:r w:rsidRPr="00565467">
        <w:rPr>
          <w:i/>
          <w:iCs/>
        </w:rPr>
        <w:t xml:space="preserve"> (</w:t>
      </w:r>
      <w:r w:rsidRPr="00565467">
        <w:rPr>
          <w:bCs/>
          <w:i/>
          <w:iCs/>
          <w:shd w:val="clear" w:color="auto" w:fill="FFFFFF"/>
        </w:rPr>
        <w:t>ECLI:LV:AT:2020:0520.11181135316.9.L</w:t>
      </w:r>
      <w:r w:rsidRPr="00565467">
        <w:rPr>
          <w:i/>
          <w:iCs/>
        </w:rPr>
        <w:t>)</w:t>
      </w:r>
      <w:bookmarkEnd w:id="6"/>
      <w:r>
        <w:t>).</w:t>
      </w:r>
      <w:bookmarkStart w:id="7" w:name="_Hlk113973143"/>
    </w:p>
    <w:bookmarkEnd w:id="7"/>
    <w:p w14:paraId="55629423" w14:textId="7BB55BBA" w:rsidR="00FC142D" w:rsidRDefault="00C43029" w:rsidP="0061366C">
      <w:pPr>
        <w:tabs>
          <w:tab w:val="left" w:pos="1134"/>
        </w:tabs>
        <w:spacing w:line="276" w:lineRule="auto"/>
        <w:ind w:firstLine="709"/>
        <w:jc w:val="both"/>
      </w:pPr>
      <w:r>
        <w:t>Līdz ar to</w:t>
      </w:r>
      <w:r w:rsidR="00712315">
        <w:t xml:space="preserve"> </w:t>
      </w:r>
      <w:r>
        <w:t xml:space="preserve">Senāts atzīst, ka atbilstoši Kriminālprocesa likuma </w:t>
      </w:r>
      <w:proofErr w:type="gramStart"/>
      <w:r>
        <w:t>368.panta</w:t>
      </w:r>
      <w:proofErr w:type="gramEnd"/>
      <w:r>
        <w:t xml:space="preserve"> ceturtajai daļai </w:t>
      </w:r>
      <w:r w:rsidR="00D8742C">
        <w:t>[pers. A]</w:t>
      </w:r>
      <w:r>
        <w:t xml:space="preserve"> bija atbrīvojams no procesuālo izdevumu samaksas par aizstāvj</w:t>
      </w:r>
      <w:r w:rsidR="000E3E7C">
        <w:t>u</w:t>
      </w:r>
      <w:r>
        <w:t xml:space="preserve"> palīdzību.</w:t>
      </w:r>
    </w:p>
    <w:p w14:paraId="47DDE607" w14:textId="41D9F4E8" w:rsidR="00C43029" w:rsidRDefault="00C43029" w:rsidP="0061366C">
      <w:pPr>
        <w:tabs>
          <w:tab w:val="left" w:pos="1134"/>
        </w:tabs>
        <w:spacing w:line="276" w:lineRule="auto"/>
        <w:ind w:firstLine="709"/>
        <w:jc w:val="both"/>
      </w:pPr>
      <w:r>
        <w:t xml:space="preserve">Minētās tiesību normas pārkāpums atzīstams par Kriminālprocesa likuma būtisku pārkāpumu šā likuma </w:t>
      </w:r>
      <w:proofErr w:type="gramStart"/>
      <w:r>
        <w:t>575.panta</w:t>
      </w:r>
      <w:proofErr w:type="gramEnd"/>
      <w:r>
        <w:t xml:space="preserve"> trešās daļas izpratnē, kas novedis pie personas, kurai ir tiesības uz aizstāvību, stāvokļa nelikumīgas pasliktināšanās.</w:t>
      </w:r>
    </w:p>
    <w:p w14:paraId="61953B3A" w14:textId="350DFCD5" w:rsidR="00FC142D" w:rsidRDefault="00FC142D" w:rsidP="0061366C">
      <w:pPr>
        <w:tabs>
          <w:tab w:val="left" w:pos="1134"/>
        </w:tabs>
        <w:spacing w:line="276" w:lineRule="auto"/>
        <w:ind w:firstLine="709"/>
        <w:jc w:val="both"/>
      </w:pPr>
    </w:p>
    <w:p w14:paraId="4CFBED1D" w14:textId="0C07356C" w:rsidR="00BA4660" w:rsidRPr="005A78ED" w:rsidRDefault="00FC142D" w:rsidP="0061366C">
      <w:pPr>
        <w:tabs>
          <w:tab w:val="left" w:pos="1134"/>
        </w:tabs>
        <w:spacing w:line="276" w:lineRule="auto"/>
        <w:ind w:firstLine="709"/>
        <w:jc w:val="both"/>
      </w:pPr>
      <w:r>
        <w:t>[11]</w:t>
      </w:r>
      <w:r w:rsidR="005B281B">
        <w:t> </w:t>
      </w:r>
      <w:r w:rsidR="005A78ED" w:rsidRPr="005A78ED">
        <w:t xml:space="preserve">Ņemot vērā iepriekš minēto apstākļu kopumu, Senāts atzīst, ka apelācijas instances tiesa pieļāvusi Kriminālprocesa likuma </w:t>
      </w:r>
      <w:proofErr w:type="gramStart"/>
      <w:r w:rsidR="005A78ED" w:rsidRPr="005A78ED">
        <w:t>511.panta</w:t>
      </w:r>
      <w:proofErr w:type="gramEnd"/>
      <w:r w:rsidR="005A78ED" w:rsidRPr="005A78ED">
        <w:t xml:space="preserve"> otrās daļas, 512.panta pirmās daļas, 564.panta ceturtās daļas un 368.panta ceturtās daļas pārkāpumus, kas atzīstami par Kriminālprocesa likuma būtiskiem pārkāpumiem šā likuma 575.panta trešās daļas izpratnē un ir noveduši pie nelikumīga nolēmuma, tādēļ Rīgas apgabaltiesas 2021.gada 17.februāra lēmums atceļams pilnībā un lieta nosūtāma jaunai izskatīšanai apelācijas instances tiesā.</w:t>
      </w:r>
    </w:p>
    <w:p w14:paraId="0ADB575D" w14:textId="77777777" w:rsidR="00244ED7" w:rsidRPr="00FC142D" w:rsidRDefault="00244ED7" w:rsidP="0061366C">
      <w:pPr>
        <w:tabs>
          <w:tab w:val="left" w:pos="1134"/>
        </w:tabs>
        <w:spacing w:line="276" w:lineRule="auto"/>
        <w:ind w:firstLine="709"/>
        <w:jc w:val="both"/>
      </w:pPr>
    </w:p>
    <w:p w14:paraId="0930E5A6" w14:textId="25A8FB6D" w:rsidR="00C52BD3" w:rsidRDefault="00BA4660" w:rsidP="0061366C">
      <w:pPr>
        <w:spacing w:line="276" w:lineRule="auto"/>
        <w:ind w:firstLine="709"/>
        <w:jc w:val="both"/>
      </w:pPr>
      <w:r>
        <w:t>[1</w:t>
      </w:r>
      <w:r w:rsidR="00FC142D">
        <w:t>2</w:t>
      </w:r>
      <w:r>
        <w:t>]</w:t>
      </w:r>
      <w:r w:rsidR="00FC142D">
        <w:t> </w:t>
      </w:r>
      <w:r w:rsidR="00C52BD3">
        <w:t xml:space="preserve">Apsūdzētajam </w:t>
      </w:r>
      <w:r w:rsidR="00D8742C">
        <w:t>[pers. A]</w:t>
      </w:r>
      <w:r w:rsidR="00C52BD3">
        <w:t xml:space="preserve"> pirmstiesas </w:t>
      </w:r>
      <w:r w:rsidR="00FC142D">
        <w:t>krimināl</w:t>
      </w:r>
      <w:r w:rsidR="00C52BD3">
        <w:t xml:space="preserve">procesā piemērots drošības līdzeklis – apcietinājums. Ar pirmās instances tiesas spriedumu apsūdzētais </w:t>
      </w:r>
      <w:r w:rsidR="00D8742C">
        <w:t>[pers. A]</w:t>
      </w:r>
      <w:r w:rsidR="00C52BD3">
        <w:t xml:space="preserve"> atzīts par vainīgu Krimināllikuma </w:t>
      </w:r>
      <w:proofErr w:type="gramStart"/>
      <w:r w:rsidR="00C52BD3">
        <w:t>118.panta</w:t>
      </w:r>
      <w:proofErr w:type="gramEnd"/>
      <w:r w:rsidR="00C52BD3">
        <w:t xml:space="preserve"> 1.punktā paredzētajā noziegumā, tas ir, sevišķi smaga nozieguma izdarīšanā, par kuru viņam noteikts brīvības atņemšanas sods.</w:t>
      </w:r>
    </w:p>
    <w:p w14:paraId="73D184A3" w14:textId="31817261" w:rsidR="00560177" w:rsidRPr="00C52BD3" w:rsidRDefault="00C52BD3" w:rsidP="0061366C">
      <w:pPr>
        <w:autoSpaceDE w:val="0"/>
        <w:autoSpaceDN w:val="0"/>
        <w:adjustRightInd w:val="0"/>
        <w:spacing w:line="276" w:lineRule="auto"/>
        <w:ind w:firstLine="720"/>
        <w:jc w:val="both"/>
      </w:pPr>
      <w:r>
        <w:t xml:space="preserve">Līdz ar to Senāts atzīst, ka apsūdzētajam </w:t>
      </w:r>
      <w:r w:rsidR="00D8742C">
        <w:t>[pers. A]</w:t>
      </w:r>
      <w:r>
        <w:t xml:space="preserve"> piemērotais drošības līdzeklis</w:t>
      </w:r>
      <w:r w:rsidRPr="00560177">
        <w:t xml:space="preserve"> </w:t>
      </w:r>
      <w:r>
        <w:t>atbilst sabiedrības drošības interesēm, ir samērīgs ar noziedzīgā nodarījuma raksturu un apsūdzētā personību raksturojošajām ziņām, tādēļ ir pamats tā piemērošanas turpināšanai.</w:t>
      </w:r>
      <w:r w:rsidR="00671624" w:rsidRPr="00D11770">
        <w:rPr>
          <w:color w:val="FF0000"/>
        </w:rPr>
        <w:t xml:space="preserve"> </w:t>
      </w:r>
    </w:p>
    <w:p w14:paraId="79BB8FB8" w14:textId="18F5FC89" w:rsidR="00A87799" w:rsidRPr="00473F47" w:rsidRDefault="00A53A35" w:rsidP="0061366C">
      <w:pPr>
        <w:spacing w:line="276" w:lineRule="auto"/>
        <w:ind w:firstLine="709"/>
        <w:jc w:val="both"/>
      </w:pPr>
      <w:r>
        <w:t xml:space="preserve"> </w:t>
      </w:r>
    </w:p>
    <w:p w14:paraId="2B85727E" w14:textId="77777777" w:rsidR="00A87799" w:rsidRPr="00473F47" w:rsidRDefault="00A87799" w:rsidP="0061366C">
      <w:pPr>
        <w:pStyle w:val="tv213"/>
        <w:spacing w:before="0" w:beforeAutospacing="0" w:after="0" w:afterAutospacing="0" w:line="276" w:lineRule="auto"/>
        <w:ind w:firstLine="652"/>
        <w:contextualSpacing/>
        <w:jc w:val="both"/>
      </w:pPr>
      <w:r w:rsidRPr="00BA4593">
        <w:t xml:space="preserve">Pamatojoties uz Kriminālprocesa likuma 585. un </w:t>
      </w:r>
      <w:proofErr w:type="gramStart"/>
      <w:r w:rsidRPr="00BA4593">
        <w:t>587.pantu</w:t>
      </w:r>
      <w:proofErr w:type="gramEnd"/>
      <w:r w:rsidRPr="00BA4593">
        <w:t>,</w:t>
      </w:r>
      <w:r>
        <w:t xml:space="preserve"> </w:t>
      </w:r>
      <w:r w:rsidRPr="00BA4593">
        <w:t>tiesa</w:t>
      </w:r>
    </w:p>
    <w:p w14:paraId="39860DF0" w14:textId="77777777" w:rsidR="00A87799" w:rsidRPr="00C576A8" w:rsidRDefault="00A87799" w:rsidP="0061366C">
      <w:pPr>
        <w:spacing w:line="276" w:lineRule="auto"/>
        <w:ind w:firstLine="652"/>
        <w:contextualSpacing/>
      </w:pPr>
    </w:p>
    <w:p w14:paraId="66D17292" w14:textId="77777777" w:rsidR="00A87799" w:rsidRPr="00C576A8" w:rsidRDefault="00A87799" w:rsidP="0061366C">
      <w:pPr>
        <w:spacing w:line="276" w:lineRule="auto"/>
        <w:ind w:firstLine="652"/>
        <w:contextualSpacing/>
        <w:jc w:val="center"/>
        <w:rPr>
          <w:b/>
        </w:rPr>
      </w:pPr>
      <w:r w:rsidRPr="00C576A8">
        <w:rPr>
          <w:b/>
        </w:rPr>
        <w:t>nolēma:</w:t>
      </w:r>
    </w:p>
    <w:p w14:paraId="0C2548B3" w14:textId="77777777" w:rsidR="00A87799" w:rsidRPr="00C576A8" w:rsidRDefault="00A87799" w:rsidP="0061366C">
      <w:pPr>
        <w:spacing w:line="276" w:lineRule="auto"/>
        <w:ind w:firstLine="652"/>
        <w:contextualSpacing/>
        <w:jc w:val="center"/>
        <w:rPr>
          <w:b/>
        </w:rPr>
      </w:pPr>
    </w:p>
    <w:p w14:paraId="103CBC67" w14:textId="7376F46C" w:rsidR="00671624" w:rsidRDefault="00671624" w:rsidP="0061366C">
      <w:pPr>
        <w:spacing w:line="276" w:lineRule="auto"/>
        <w:ind w:firstLine="652"/>
        <w:contextualSpacing/>
        <w:jc w:val="both"/>
        <w:rPr>
          <w:rFonts w:eastAsia="Calibri"/>
        </w:rPr>
      </w:pPr>
      <w:r>
        <w:rPr>
          <w:rFonts w:eastAsia="Calibri"/>
        </w:rPr>
        <w:t xml:space="preserve">atcelt pilnībā </w:t>
      </w:r>
      <w:r w:rsidR="00665E2A">
        <w:rPr>
          <w:rFonts w:eastAsia="Calibri"/>
        </w:rPr>
        <w:t>Rīgas</w:t>
      </w:r>
      <w:r w:rsidR="005F304B">
        <w:rPr>
          <w:rFonts w:eastAsia="Calibri"/>
        </w:rPr>
        <w:t xml:space="preserve"> apgabaltiesas </w:t>
      </w:r>
      <w:proofErr w:type="gramStart"/>
      <w:r w:rsidR="005F304B">
        <w:rPr>
          <w:rFonts w:eastAsia="Calibri"/>
        </w:rPr>
        <w:t>202</w:t>
      </w:r>
      <w:r w:rsidR="00665E2A">
        <w:rPr>
          <w:rFonts w:eastAsia="Calibri"/>
        </w:rPr>
        <w:t>1</w:t>
      </w:r>
      <w:r w:rsidR="005F304B">
        <w:rPr>
          <w:rFonts w:eastAsia="Calibri"/>
        </w:rPr>
        <w:t>.gada</w:t>
      </w:r>
      <w:proofErr w:type="gramEnd"/>
      <w:r w:rsidR="005F304B">
        <w:rPr>
          <w:rFonts w:eastAsia="Calibri"/>
        </w:rPr>
        <w:t xml:space="preserve"> </w:t>
      </w:r>
      <w:r w:rsidR="00665E2A">
        <w:rPr>
          <w:rFonts w:eastAsia="Calibri"/>
        </w:rPr>
        <w:t>17</w:t>
      </w:r>
      <w:r w:rsidR="005F304B">
        <w:rPr>
          <w:rFonts w:eastAsia="Calibri"/>
        </w:rPr>
        <w:t>.</w:t>
      </w:r>
      <w:r w:rsidR="00665E2A">
        <w:rPr>
          <w:rFonts w:eastAsia="Calibri"/>
        </w:rPr>
        <w:t>februā</w:t>
      </w:r>
      <w:r w:rsidR="005F304B">
        <w:rPr>
          <w:rFonts w:eastAsia="Calibri"/>
        </w:rPr>
        <w:t>ra lēmumu</w:t>
      </w:r>
      <w:r>
        <w:rPr>
          <w:rFonts w:eastAsia="Calibri"/>
        </w:rPr>
        <w:t xml:space="preserve"> un nosūtīt lietu jaunai izskatīšanai Rīgas apgabaltiesā.</w:t>
      </w:r>
    </w:p>
    <w:p w14:paraId="48F18E00" w14:textId="0880A57D" w:rsidR="00671624" w:rsidRDefault="00671624" w:rsidP="0061366C">
      <w:pPr>
        <w:spacing w:line="276" w:lineRule="auto"/>
        <w:ind w:firstLine="652"/>
        <w:contextualSpacing/>
        <w:jc w:val="both"/>
        <w:rPr>
          <w:rFonts w:eastAsia="Calibri"/>
        </w:rPr>
      </w:pPr>
      <w:r>
        <w:rPr>
          <w:rFonts w:eastAsia="Calibri"/>
        </w:rPr>
        <w:t xml:space="preserve">Apsūdzētajam </w:t>
      </w:r>
      <w:r w:rsidR="00D8742C">
        <w:rPr>
          <w:rFonts w:eastAsia="Calibri"/>
        </w:rPr>
        <w:t>[pers. A]</w:t>
      </w:r>
      <w:r>
        <w:rPr>
          <w:rFonts w:eastAsia="Calibri"/>
        </w:rPr>
        <w:t xml:space="preserve"> turpināt piemērot drošības līdzekli – apcietinājumu.</w:t>
      </w:r>
    </w:p>
    <w:p w14:paraId="4BB41862" w14:textId="75E17588" w:rsidR="00883B22" w:rsidRDefault="00671624" w:rsidP="0061366C">
      <w:pPr>
        <w:spacing w:line="276" w:lineRule="auto"/>
        <w:ind w:firstLine="652"/>
        <w:contextualSpacing/>
        <w:jc w:val="both"/>
        <w:rPr>
          <w:rFonts w:eastAsia="Calibri"/>
        </w:rPr>
      </w:pPr>
      <w:r>
        <w:rPr>
          <w:rFonts w:eastAsia="Calibri"/>
        </w:rPr>
        <w:t>Lēmums nav pārsūdzams.</w:t>
      </w:r>
    </w:p>
    <w:sectPr w:rsidR="00883B22" w:rsidSect="00D8444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C358" w14:textId="77777777" w:rsidR="00877681" w:rsidRDefault="00877681" w:rsidP="002C361B">
      <w:r>
        <w:separator/>
      </w:r>
    </w:p>
  </w:endnote>
  <w:endnote w:type="continuationSeparator" w:id="0">
    <w:p w14:paraId="4C354BC0" w14:textId="77777777" w:rsidR="00877681" w:rsidRDefault="00877681"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17912"/>
      <w:docPartObj>
        <w:docPartGallery w:val="Page Numbers (Bottom of Page)"/>
        <w:docPartUnique/>
      </w:docPartObj>
    </w:sdtPr>
    <w:sdtEndPr/>
    <w:sdtContent>
      <w:sdt>
        <w:sdtPr>
          <w:id w:val="1728636285"/>
          <w:docPartObj>
            <w:docPartGallery w:val="Page Numbers (Top of Page)"/>
            <w:docPartUnique/>
          </w:docPartObj>
        </w:sdtPr>
        <w:sdtEndPr/>
        <w:sdtContent>
          <w:p w14:paraId="0D6C853D" w14:textId="77777777" w:rsidR="00C576A8" w:rsidRDefault="00C576A8">
            <w:pPr>
              <w:pStyle w:val="Footer"/>
              <w:jc w:val="center"/>
            </w:pPr>
            <w:r w:rsidRPr="002C361B">
              <w:rPr>
                <w:bCs/>
              </w:rPr>
              <w:fldChar w:fldCharType="begin"/>
            </w:r>
            <w:r w:rsidRPr="002C361B">
              <w:rPr>
                <w:bCs/>
              </w:rPr>
              <w:instrText xml:space="preserve"> PAGE </w:instrText>
            </w:r>
            <w:r w:rsidRPr="002C361B">
              <w:rPr>
                <w:bCs/>
              </w:rPr>
              <w:fldChar w:fldCharType="separate"/>
            </w:r>
            <w:r w:rsidR="00227BC0">
              <w:rPr>
                <w:bCs/>
                <w:noProof/>
              </w:rPr>
              <w:t>7</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227BC0">
              <w:rPr>
                <w:bCs/>
                <w:noProof/>
              </w:rPr>
              <w:t>7</w:t>
            </w:r>
            <w:r w:rsidRPr="002C361B">
              <w:rPr>
                <w:bCs/>
              </w:rPr>
              <w:fldChar w:fldCharType="end"/>
            </w:r>
          </w:p>
        </w:sdtContent>
      </w:sdt>
    </w:sdtContent>
  </w:sdt>
  <w:p w14:paraId="17403A2C" w14:textId="77777777" w:rsidR="00C576A8" w:rsidRDefault="00C5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C2D8" w14:textId="77777777" w:rsidR="00877681" w:rsidRDefault="00877681" w:rsidP="002C361B">
      <w:r>
        <w:separator/>
      </w:r>
    </w:p>
  </w:footnote>
  <w:footnote w:type="continuationSeparator" w:id="0">
    <w:p w14:paraId="7076172B" w14:textId="77777777" w:rsidR="00877681" w:rsidRDefault="00877681" w:rsidP="002C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7C91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0748DE"/>
    <w:multiLevelType w:val="hybridMultilevel"/>
    <w:tmpl w:val="515822C8"/>
    <w:lvl w:ilvl="0" w:tplc="D0DE5098">
      <w:start w:val="1"/>
      <w:numFmt w:val="decimal"/>
      <w:lvlText w:val="[%1]"/>
      <w:lvlJc w:val="left"/>
      <w:pPr>
        <w:ind w:left="1212" w:hanging="360"/>
      </w:pPr>
      <w:rPr>
        <w:rFonts w:hint="default"/>
        <w:i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72506E7"/>
    <w:multiLevelType w:val="hybridMultilevel"/>
    <w:tmpl w:val="C14C35CA"/>
    <w:lvl w:ilvl="0" w:tplc="3DE839EE">
      <w:start w:val="199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536119736">
    <w:abstractNumId w:val="2"/>
  </w:num>
  <w:num w:numId="2" w16cid:durableId="1268194906">
    <w:abstractNumId w:val="3"/>
  </w:num>
  <w:num w:numId="3" w16cid:durableId="939724833">
    <w:abstractNumId w:val="1"/>
  </w:num>
  <w:num w:numId="4" w16cid:durableId="164975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2B0"/>
    <w:rsid w:val="000009F9"/>
    <w:rsid w:val="00000BF7"/>
    <w:rsid w:val="00007716"/>
    <w:rsid w:val="00012985"/>
    <w:rsid w:val="00014EFD"/>
    <w:rsid w:val="0001694C"/>
    <w:rsid w:val="00020A63"/>
    <w:rsid w:val="00022B2E"/>
    <w:rsid w:val="000256F1"/>
    <w:rsid w:val="00027750"/>
    <w:rsid w:val="00043679"/>
    <w:rsid w:val="000467B8"/>
    <w:rsid w:val="0005031C"/>
    <w:rsid w:val="0005076B"/>
    <w:rsid w:val="00052A3F"/>
    <w:rsid w:val="000568AC"/>
    <w:rsid w:val="000648E5"/>
    <w:rsid w:val="00066C0C"/>
    <w:rsid w:val="00071599"/>
    <w:rsid w:val="00075990"/>
    <w:rsid w:val="00075E43"/>
    <w:rsid w:val="0008242A"/>
    <w:rsid w:val="00087510"/>
    <w:rsid w:val="00087A66"/>
    <w:rsid w:val="00092BBB"/>
    <w:rsid w:val="0009390E"/>
    <w:rsid w:val="000A00EB"/>
    <w:rsid w:val="000A0F82"/>
    <w:rsid w:val="000A1530"/>
    <w:rsid w:val="000A1FA6"/>
    <w:rsid w:val="000A30A2"/>
    <w:rsid w:val="000A37AC"/>
    <w:rsid w:val="000A5DDF"/>
    <w:rsid w:val="000A6D57"/>
    <w:rsid w:val="000B022B"/>
    <w:rsid w:val="000B5412"/>
    <w:rsid w:val="000C5331"/>
    <w:rsid w:val="000C640E"/>
    <w:rsid w:val="000E3E7C"/>
    <w:rsid w:val="000E6213"/>
    <w:rsid w:val="000F1703"/>
    <w:rsid w:val="000F38D4"/>
    <w:rsid w:val="000F4008"/>
    <w:rsid w:val="0010170B"/>
    <w:rsid w:val="00104B05"/>
    <w:rsid w:val="00110883"/>
    <w:rsid w:val="00112A74"/>
    <w:rsid w:val="001135D0"/>
    <w:rsid w:val="001159E3"/>
    <w:rsid w:val="0011611C"/>
    <w:rsid w:val="00116ACE"/>
    <w:rsid w:val="00116BBB"/>
    <w:rsid w:val="001201FB"/>
    <w:rsid w:val="00124CC1"/>
    <w:rsid w:val="00125A1E"/>
    <w:rsid w:val="00130BE8"/>
    <w:rsid w:val="00134DD1"/>
    <w:rsid w:val="00135171"/>
    <w:rsid w:val="00141F7C"/>
    <w:rsid w:val="001440E9"/>
    <w:rsid w:val="0014423F"/>
    <w:rsid w:val="0015467F"/>
    <w:rsid w:val="001551D1"/>
    <w:rsid w:val="0015536B"/>
    <w:rsid w:val="00162EA3"/>
    <w:rsid w:val="00164F57"/>
    <w:rsid w:val="0016683D"/>
    <w:rsid w:val="00167C9C"/>
    <w:rsid w:val="00174EE3"/>
    <w:rsid w:val="00175C5D"/>
    <w:rsid w:val="00194E8F"/>
    <w:rsid w:val="00196120"/>
    <w:rsid w:val="00197ED3"/>
    <w:rsid w:val="001A1A99"/>
    <w:rsid w:val="001A389D"/>
    <w:rsid w:val="001A3D57"/>
    <w:rsid w:val="001A4124"/>
    <w:rsid w:val="001A4974"/>
    <w:rsid w:val="001A51DE"/>
    <w:rsid w:val="001B0166"/>
    <w:rsid w:val="001B23B7"/>
    <w:rsid w:val="001B4E63"/>
    <w:rsid w:val="001B7159"/>
    <w:rsid w:val="001C4980"/>
    <w:rsid w:val="001C75CC"/>
    <w:rsid w:val="001C7734"/>
    <w:rsid w:val="001E00F2"/>
    <w:rsid w:val="001E4ACC"/>
    <w:rsid w:val="001E74F2"/>
    <w:rsid w:val="001E7C75"/>
    <w:rsid w:val="001F1954"/>
    <w:rsid w:val="001F1DC3"/>
    <w:rsid w:val="001F3BF1"/>
    <w:rsid w:val="001F53D3"/>
    <w:rsid w:val="001F6D79"/>
    <w:rsid w:val="001F71DC"/>
    <w:rsid w:val="00201AF3"/>
    <w:rsid w:val="0020451A"/>
    <w:rsid w:val="00204D3F"/>
    <w:rsid w:val="0021307C"/>
    <w:rsid w:val="002145F0"/>
    <w:rsid w:val="00214CA7"/>
    <w:rsid w:val="002157DB"/>
    <w:rsid w:val="00222D5B"/>
    <w:rsid w:val="00222E93"/>
    <w:rsid w:val="00227BC0"/>
    <w:rsid w:val="0023053C"/>
    <w:rsid w:val="0023068D"/>
    <w:rsid w:val="00233A22"/>
    <w:rsid w:val="00233C42"/>
    <w:rsid w:val="002357BC"/>
    <w:rsid w:val="00237BD6"/>
    <w:rsid w:val="002409CE"/>
    <w:rsid w:val="00244ED7"/>
    <w:rsid w:val="002552A0"/>
    <w:rsid w:val="00256BCF"/>
    <w:rsid w:val="00262D8A"/>
    <w:rsid w:val="00267608"/>
    <w:rsid w:val="002717A5"/>
    <w:rsid w:val="00271BD9"/>
    <w:rsid w:val="00275F14"/>
    <w:rsid w:val="00276EE5"/>
    <w:rsid w:val="00281A57"/>
    <w:rsid w:val="002840E4"/>
    <w:rsid w:val="002848EB"/>
    <w:rsid w:val="0028529D"/>
    <w:rsid w:val="002854E2"/>
    <w:rsid w:val="00290D05"/>
    <w:rsid w:val="00297607"/>
    <w:rsid w:val="002A4339"/>
    <w:rsid w:val="002A5980"/>
    <w:rsid w:val="002A7F2D"/>
    <w:rsid w:val="002B27C8"/>
    <w:rsid w:val="002B4EDE"/>
    <w:rsid w:val="002C0586"/>
    <w:rsid w:val="002C0C0A"/>
    <w:rsid w:val="002C361B"/>
    <w:rsid w:val="002C5D9D"/>
    <w:rsid w:val="002D57DD"/>
    <w:rsid w:val="002E05B0"/>
    <w:rsid w:val="002F0F15"/>
    <w:rsid w:val="002F33C5"/>
    <w:rsid w:val="002F637E"/>
    <w:rsid w:val="002F69D7"/>
    <w:rsid w:val="0030057A"/>
    <w:rsid w:val="00304C35"/>
    <w:rsid w:val="00306220"/>
    <w:rsid w:val="00313FFC"/>
    <w:rsid w:val="00315865"/>
    <w:rsid w:val="0032268A"/>
    <w:rsid w:val="00323709"/>
    <w:rsid w:val="0033044A"/>
    <w:rsid w:val="0033611E"/>
    <w:rsid w:val="003379E8"/>
    <w:rsid w:val="00337A76"/>
    <w:rsid w:val="00340509"/>
    <w:rsid w:val="00340513"/>
    <w:rsid w:val="00345904"/>
    <w:rsid w:val="00345D34"/>
    <w:rsid w:val="003469CF"/>
    <w:rsid w:val="003507AB"/>
    <w:rsid w:val="00354201"/>
    <w:rsid w:val="00354D64"/>
    <w:rsid w:val="00355579"/>
    <w:rsid w:val="00357C8F"/>
    <w:rsid w:val="0036243E"/>
    <w:rsid w:val="003662B4"/>
    <w:rsid w:val="00367C48"/>
    <w:rsid w:val="003701BE"/>
    <w:rsid w:val="003720BD"/>
    <w:rsid w:val="00376276"/>
    <w:rsid w:val="00382CD6"/>
    <w:rsid w:val="00384060"/>
    <w:rsid w:val="003852ED"/>
    <w:rsid w:val="0038701E"/>
    <w:rsid w:val="003922BD"/>
    <w:rsid w:val="0039384B"/>
    <w:rsid w:val="00393AB2"/>
    <w:rsid w:val="00393B08"/>
    <w:rsid w:val="0039610D"/>
    <w:rsid w:val="003A4ED6"/>
    <w:rsid w:val="003A506F"/>
    <w:rsid w:val="003B026B"/>
    <w:rsid w:val="003B387D"/>
    <w:rsid w:val="003B4E8B"/>
    <w:rsid w:val="003B51FF"/>
    <w:rsid w:val="003B58B6"/>
    <w:rsid w:val="003B6065"/>
    <w:rsid w:val="003B6D25"/>
    <w:rsid w:val="003B7404"/>
    <w:rsid w:val="003B776C"/>
    <w:rsid w:val="003C06D0"/>
    <w:rsid w:val="003C19D5"/>
    <w:rsid w:val="003C1E8E"/>
    <w:rsid w:val="003C24C1"/>
    <w:rsid w:val="003C52DE"/>
    <w:rsid w:val="003C7A42"/>
    <w:rsid w:val="003C7E7A"/>
    <w:rsid w:val="003D44FA"/>
    <w:rsid w:val="003D54A3"/>
    <w:rsid w:val="003E26AA"/>
    <w:rsid w:val="003E7A8D"/>
    <w:rsid w:val="003F0874"/>
    <w:rsid w:val="003F0E90"/>
    <w:rsid w:val="00400794"/>
    <w:rsid w:val="004009EF"/>
    <w:rsid w:val="00401141"/>
    <w:rsid w:val="0041166B"/>
    <w:rsid w:val="00412309"/>
    <w:rsid w:val="00412601"/>
    <w:rsid w:val="00413306"/>
    <w:rsid w:val="00415A69"/>
    <w:rsid w:val="00416398"/>
    <w:rsid w:val="00416859"/>
    <w:rsid w:val="00433B1E"/>
    <w:rsid w:val="00437A75"/>
    <w:rsid w:val="004403C5"/>
    <w:rsid w:val="004422E4"/>
    <w:rsid w:val="004435D9"/>
    <w:rsid w:val="004461CE"/>
    <w:rsid w:val="0044691A"/>
    <w:rsid w:val="004502F2"/>
    <w:rsid w:val="00450656"/>
    <w:rsid w:val="00452D8F"/>
    <w:rsid w:val="004559C4"/>
    <w:rsid w:val="00456246"/>
    <w:rsid w:val="0046645B"/>
    <w:rsid w:val="004732D5"/>
    <w:rsid w:val="00474AAF"/>
    <w:rsid w:val="004772E2"/>
    <w:rsid w:val="00477E06"/>
    <w:rsid w:val="00482B63"/>
    <w:rsid w:val="004845B7"/>
    <w:rsid w:val="00487C9C"/>
    <w:rsid w:val="00490269"/>
    <w:rsid w:val="004906E0"/>
    <w:rsid w:val="0049159F"/>
    <w:rsid w:val="00493C5F"/>
    <w:rsid w:val="004A5B66"/>
    <w:rsid w:val="004A792A"/>
    <w:rsid w:val="004A7DC3"/>
    <w:rsid w:val="004B2C76"/>
    <w:rsid w:val="004B6056"/>
    <w:rsid w:val="004B729B"/>
    <w:rsid w:val="004C188E"/>
    <w:rsid w:val="004C1A6E"/>
    <w:rsid w:val="004C2680"/>
    <w:rsid w:val="004C5E6C"/>
    <w:rsid w:val="004D2CE2"/>
    <w:rsid w:val="004D351A"/>
    <w:rsid w:val="004D665E"/>
    <w:rsid w:val="004E4041"/>
    <w:rsid w:val="004E7424"/>
    <w:rsid w:val="004F2F74"/>
    <w:rsid w:val="004F51C5"/>
    <w:rsid w:val="005002A3"/>
    <w:rsid w:val="0050032E"/>
    <w:rsid w:val="00500DDF"/>
    <w:rsid w:val="00503C56"/>
    <w:rsid w:val="005069CA"/>
    <w:rsid w:val="00507CA0"/>
    <w:rsid w:val="0051166F"/>
    <w:rsid w:val="00512836"/>
    <w:rsid w:val="0051403E"/>
    <w:rsid w:val="00514757"/>
    <w:rsid w:val="0051636F"/>
    <w:rsid w:val="00521878"/>
    <w:rsid w:val="005257D1"/>
    <w:rsid w:val="005278F5"/>
    <w:rsid w:val="00527B70"/>
    <w:rsid w:val="00537FB6"/>
    <w:rsid w:val="00540ADC"/>
    <w:rsid w:val="00540F5D"/>
    <w:rsid w:val="00541FFD"/>
    <w:rsid w:val="00544F17"/>
    <w:rsid w:val="00546D96"/>
    <w:rsid w:val="00551ABA"/>
    <w:rsid w:val="00551D7E"/>
    <w:rsid w:val="00554844"/>
    <w:rsid w:val="00554F55"/>
    <w:rsid w:val="005565AB"/>
    <w:rsid w:val="0055756F"/>
    <w:rsid w:val="0056015F"/>
    <w:rsid w:val="00560177"/>
    <w:rsid w:val="0056284B"/>
    <w:rsid w:val="00565467"/>
    <w:rsid w:val="00566339"/>
    <w:rsid w:val="00566E73"/>
    <w:rsid w:val="00572DBB"/>
    <w:rsid w:val="00576C36"/>
    <w:rsid w:val="00580651"/>
    <w:rsid w:val="00580EA5"/>
    <w:rsid w:val="00580F89"/>
    <w:rsid w:val="00593C5F"/>
    <w:rsid w:val="005950A3"/>
    <w:rsid w:val="005A44E1"/>
    <w:rsid w:val="005A78ED"/>
    <w:rsid w:val="005B050D"/>
    <w:rsid w:val="005B0555"/>
    <w:rsid w:val="005B281B"/>
    <w:rsid w:val="005B767B"/>
    <w:rsid w:val="005C2F7D"/>
    <w:rsid w:val="005C477F"/>
    <w:rsid w:val="005D093A"/>
    <w:rsid w:val="005D1074"/>
    <w:rsid w:val="005D6C2C"/>
    <w:rsid w:val="005E1696"/>
    <w:rsid w:val="005E4AED"/>
    <w:rsid w:val="005E5AAE"/>
    <w:rsid w:val="005F304B"/>
    <w:rsid w:val="005F38E0"/>
    <w:rsid w:val="005F7685"/>
    <w:rsid w:val="00602A19"/>
    <w:rsid w:val="00603063"/>
    <w:rsid w:val="006051E8"/>
    <w:rsid w:val="00605F1B"/>
    <w:rsid w:val="006074EF"/>
    <w:rsid w:val="0061366C"/>
    <w:rsid w:val="00613C59"/>
    <w:rsid w:val="006143C9"/>
    <w:rsid w:val="006212DF"/>
    <w:rsid w:val="00621A94"/>
    <w:rsid w:val="00624919"/>
    <w:rsid w:val="006306CC"/>
    <w:rsid w:val="00630A75"/>
    <w:rsid w:val="00636D3F"/>
    <w:rsid w:val="006415DE"/>
    <w:rsid w:val="00641F6A"/>
    <w:rsid w:val="00650574"/>
    <w:rsid w:val="006515CC"/>
    <w:rsid w:val="00654D96"/>
    <w:rsid w:val="006639C7"/>
    <w:rsid w:val="0066422C"/>
    <w:rsid w:val="00665E2A"/>
    <w:rsid w:val="006678BC"/>
    <w:rsid w:val="00671624"/>
    <w:rsid w:val="00671800"/>
    <w:rsid w:val="0067261A"/>
    <w:rsid w:val="00681152"/>
    <w:rsid w:val="00682EDA"/>
    <w:rsid w:val="00683CEE"/>
    <w:rsid w:val="00687191"/>
    <w:rsid w:val="00687C45"/>
    <w:rsid w:val="006922F2"/>
    <w:rsid w:val="00692CE5"/>
    <w:rsid w:val="00692E73"/>
    <w:rsid w:val="006A2B08"/>
    <w:rsid w:val="006A5906"/>
    <w:rsid w:val="006B42BC"/>
    <w:rsid w:val="006B718F"/>
    <w:rsid w:val="006B76BC"/>
    <w:rsid w:val="006C371E"/>
    <w:rsid w:val="006C55B0"/>
    <w:rsid w:val="006C694B"/>
    <w:rsid w:val="006C7EA4"/>
    <w:rsid w:val="006D3059"/>
    <w:rsid w:val="006F0017"/>
    <w:rsid w:val="006F26B2"/>
    <w:rsid w:val="006F5CE1"/>
    <w:rsid w:val="006F74A8"/>
    <w:rsid w:val="0070249F"/>
    <w:rsid w:val="00706AD8"/>
    <w:rsid w:val="00706F32"/>
    <w:rsid w:val="0070734F"/>
    <w:rsid w:val="00712315"/>
    <w:rsid w:val="00714A21"/>
    <w:rsid w:val="00717B0D"/>
    <w:rsid w:val="0072077A"/>
    <w:rsid w:val="007266E5"/>
    <w:rsid w:val="00743F79"/>
    <w:rsid w:val="0074555F"/>
    <w:rsid w:val="007551C6"/>
    <w:rsid w:val="00757534"/>
    <w:rsid w:val="00765E34"/>
    <w:rsid w:val="007724C5"/>
    <w:rsid w:val="0077286F"/>
    <w:rsid w:val="00772B5A"/>
    <w:rsid w:val="00776937"/>
    <w:rsid w:val="007776F1"/>
    <w:rsid w:val="007856AF"/>
    <w:rsid w:val="007869F9"/>
    <w:rsid w:val="0079371D"/>
    <w:rsid w:val="0079445B"/>
    <w:rsid w:val="007973CB"/>
    <w:rsid w:val="007A1D93"/>
    <w:rsid w:val="007A2249"/>
    <w:rsid w:val="007A2867"/>
    <w:rsid w:val="007A3459"/>
    <w:rsid w:val="007A355A"/>
    <w:rsid w:val="007A6F05"/>
    <w:rsid w:val="007B4985"/>
    <w:rsid w:val="007C3F2A"/>
    <w:rsid w:val="007D0715"/>
    <w:rsid w:val="007D10FF"/>
    <w:rsid w:val="007D2F84"/>
    <w:rsid w:val="007D3DE5"/>
    <w:rsid w:val="007E0E7F"/>
    <w:rsid w:val="007E169B"/>
    <w:rsid w:val="007E3E24"/>
    <w:rsid w:val="007E6D0B"/>
    <w:rsid w:val="007F0353"/>
    <w:rsid w:val="007F271B"/>
    <w:rsid w:val="007F379D"/>
    <w:rsid w:val="007F381F"/>
    <w:rsid w:val="007F42F0"/>
    <w:rsid w:val="008030F3"/>
    <w:rsid w:val="00806702"/>
    <w:rsid w:val="00812C9E"/>
    <w:rsid w:val="00813012"/>
    <w:rsid w:val="00813E0A"/>
    <w:rsid w:val="00815EF9"/>
    <w:rsid w:val="0081615D"/>
    <w:rsid w:val="00816CE8"/>
    <w:rsid w:val="00821A09"/>
    <w:rsid w:val="00822681"/>
    <w:rsid w:val="00823F15"/>
    <w:rsid w:val="00826427"/>
    <w:rsid w:val="008279A6"/>
    <w:rsid w:val="00837359"/>
    <w:rsid w:val="00844745"/>
    <w:rsid w:val="0084616B"/>
    <w:rsid w:val="00846FFD"/>
    <w:rsid w:val="00853B4B"/>
    <w:rsid w:val="00855410"/>
    <w:rsid w:val="00855DF4"/>
    <w:rsid w:val="00860621"/>
    <w:rsid w:val="00862D3E"/>
    <w:rsid w:val="00863C1E"/>
    <w:rsid w:val="00864DA4"/>
    <w:rsid w:val="00865C09"/>
    <w:rsid w:val="00871863"/>
    <w:rsid w:val="00871D19"/>
    <w:rsid w:val="00871EE1"/>
    <w:rsid w:val="00877681"/>
    <w:rsid w:val="00881238"/>
    <w:rsid w:val="00881A44"/>
    <w:rsid w:val="00883574"/>
    <w:rsid w:val="008836C0"/>
    <w:rsid w:val="00883B22"/>
    <w:rsid w:val="0088543F"/>
    <w:rsid w:val="00887DCD"/>
    <w:rsid w:val="00890AEA"/>
    <w:rsid w:val="00893353"/>
    <w:rsid w:val="008966C7"/>
    <w:rsid w:val="008968F0"/>
    <w:rsid w:val="008A2F9D"/>
    <w:rsid w:val="008A32CD"/>
    <w:rsid w:val="008A5B00"/>
    <w:rsid w:val="008B1C10"/>
    <w:rsid w:val="008B1C3F"/>
    <w:rsid w:val="008C27C5"/>
    <w:rsid w:val="008D0352"/>
    <w:rsid w:val="008D10E8"/>
    <w:rsid w:val="008D2A63"/>
    <w:rsid w:val="008E06E2"/>
    <w:rsid w:val="008E0CCD"/>
    <w:rsid w:val="008E3125"/>
    <w:rsid w:val="008E34A2"/>
    <w:rsid w:val="008E4834"/>
    <w:rsid w:val="008E52DA"/>
    <w:rsid w:val="008E62E2"/>
    <w:rsid w:val="008F0292"/>
    <w:rsid w:val="008F1A37"/>
    <w:rsid w:val="008F3D6A"/>
    <w:rsid w:val="008F4F46"/>
    <w:rsid w:val="008F7073"/>
    <w:rsid w:val="00900C73"/>
    <w:rsid w:val="009016B7"/>
    <w:rsid w:val="00903A23"/>
    <w:rsid w:val="0090658E"/>
    <w:rsid w:val="00906A6E"/>
    <w:rsid w:val="00922FEC"/>
    <w:rsid w:val="009237BD"/>
    <w:rsid w:val="00925986"/>
    <w:rsid w:val="00927399"/>
    <w:rsid w:val="00932EB4"/>
    <w:rsid w:val="00935853"/>
    <w:rsid w:val="00937794"/>
    <w:rsid w:val="00942B68"/>
    <w:rsid w:val="00943AF2"/>
    <w:rsid w:val="009470BF"/>
    <w:rsid w:val="00947816"/>
    <w:rsid w:val="00952B8E"/>
    <w:rsid w:val="00954CCD"/>
    <w:rsid w:val="00962682"/>
    <w:rsid w:val="0098517A"/>
    <w:rsid w:val="0098548C"/>
    <w:rsid w:val="00990DB3"/>
    <w:rsid w:val="00991723"/>
    <w:rsid w:val="009924A9"/>
    <w:rsid w:val="009931F9"/>
    <w:rsid w:val="009933BB"/>
    <w:rsid w:val="0099343D"/>
    <w:rsid w:val="00997254"/>
    <w:rsid w:val="009A2F12"/>
    <w:rsid w:val="009A7338"/>
    <w:rsid w:val="009B2555"/>
    <w:rsid w:val="009B31FC"/>
    <w:rsid w:val="009B537E"/>
    <w:rsid w:val="009C2B19"/>
    <w:rsid w:val="009C5B69"/>
    <w:rsid w:val="009C775C"/>
    <w:rsid w:val="009C7893"/>
    <w:rsid w:val="009D2F21"/>
    <w:rsid w:val="009E41EE"/>
    <w:rsid w:val="009E6A2E"/>
    <w:rsid w:val="009F3533"/>
    <w:rsid w:val="009F42DD"/>
    <w:rsid w:val="00A00756"/>
    <w:rsid w:val="00A05F07"/>
    <w:rsid w:val="00A063AB"/>
    <w:rsid w:val="00A1181D"/>
    <w:rsid w:val="00A230B6"/>
    <w:rsid w:val="00A231D6"/>
    <w:rsid w:val="00A23635"/>
    <w:rsid w:val="00A24725"/>
    <w:rsid w:val="00A25B7A"/>
    <w:rsid w:val="00A3058B"/>
    <w:rsid w:val="00A30D0A"/>
    <w:rsid w:val="00A3131C"/>
    <w:rsid w:val="00A32277"/>
    <w:rsid w:val="00A32673"/>
    <w:rsid w:val="00A34012"/>
    <w:rsid w:val="00A34BA7"/>
    <w:rsid w:val="00A40FF3"/>
    <w:rsid w:val="00A42B06"/>
    <w:rsid w:val="00A448CA"/>
    <w:rsid w:val="00A45292"/>
    <w:rsid w:val="00A45F7A"/>
    <w:rsid w:val="00A46D7C"/>
    <w:rsid w:val="00A502F6"/>
    <w:rsid w:val="00A53A35"/>
    <w:rsid w:val="00A53BAA"/>
    <w:rsid w:val="00A70AB3"/>
    <w:rsid w:val="00A757E8"/>
    <w:rsid w:val="00A761B5"/>
    <w:rsid w:val="00A7700A"/>
    <w:rsid w:val="00A8026B"/>
    <w:rsid w:val="00A802E4"/>
    <w:rsid w:val="00A81A5C"/>
    <w:rsid w:val="00A82315"/>
    <w:rsid w:val="00A87799"/>
    <w:rsid w:val="00A910D1"/>
    <w:rsid w:val="00A932F1"/>
    <w:rsid w:val="00A93D0D"/>
    <w:rsid w:val="00A95AAA"/>
    <w:rsid w:val="00A97244"/>
    <w:rsid w:val="00A97C40"/>
    <w:rsid w:val="00AA2A92"/>
    <w:rsid w:val="00AC0FCF"/>
    <w:rsid w:val="00AC21FA"/>
    <w:rsid w:val="00AC2E41"/>
    <w:rsid w:val="00AC5168"/>
    <w:rsid w:val="00AC60F5"/>
    <w:rsid w:val="00AD085A"/>
    <w:rsid w:val="00AD20E6"/>
    <w:rsid w:val="00AD59AF"/>
    <w:rsid w:val="00AE51AB"/>
    <w:rsid w:val="00AE5425"/>
    <w:rsid w:val="00AE79A8"/>
    <w:rsid w:val="00AF1237"/>
    <w:rsid w:val="00AF707A"/>
    <w:rsid w:val="00B05F3B"/>
    <w:rsid w:val="00B07456"/>
    <w:rsid w:val="00B0789C"/>
    <w:rsid w:val="00B10290"/>
    <w:rsid w:val="00B137B4"/>
    <w:rsid w:val="00B13C87"/>
    <w:rsid w:val="00B13EEC"/>
    <w:rsid w:val="00B14A81"/>
    <w:rsid w:val="00B14E41"/>
    <w:rsid w:val="00B20032"/>
    <w:rsid w:val="00B207DC"/>
    <w:rsid w:val="00B2120D"/>
    <w:rsid w:val="00B265AA"/>
    <w:rsid w:val="00B31D53"/>
    <w:rsid w:val="00B31D7E"/>
    <w:rsid w:val="00B32CAB"/>
    <w:rsid w:val="00B330EF"/>
    <w:rsid w:val="00B35FF4"/>
    <w:rsid w:val="00B37213"/>
    <w:rsid w:val="00B50E91"/>
    <w:rsid w:val="00B55150"/>
    <w:rsid w:val="00B55605"/>
    <w:rsid w:val="00B601EB"/>
    <w:rsid w:val="00B61E9A"/>
    <w:rsid w:val="00B63FA4"/>
    <w:rsid w:val="00B65E1E"/>
    <w:rsid w:val="00B66723"/>
    <w:rsid w:val="00B679C6"/>
    <w:rsid w:val="00B67A53"/>
    <w:rsid w:val="00B7126E"/>
    <w:rsid w:val="00B770AF"/>
    <w:rsid w:val="00B7739B"/>
    <w:rsid w:val="00B8053D"/>
    <w:rsid w:val="00B82A47"/>
    <w:rsid w:val="00B86264"/>
    <w:rsid w:val="00B875E4"/>
    <w:rsid w:val="00B91CC4"/>
    <w:rsid w:val="00B93CCC"/>
    <w:rsid w:val="00B961AC"/>
    <w:rsid w:val="00B96D5F"/>
    <w:rsid w:val="00B96DA8"/>
    <w:rsid w:val="00BA0239"/>
    <w:rsid w:val="00BA4660"/>
    <w:rsid w:val="00BA5EE8"/>
    <w:rsid w:val="00BB46E6"/>
    <w:rsid w:val="00BB50F5"/>
    <w:rsid w:val="00BB66C2"/>
    <w:rsid w:val="00BC0D08"/>
    <w:rsid w:val="00BC24BC"/>
    <w:rsid w:val="00BC30F1"/>
    <w:rsid w:val="00BC6D8B"/>
    <w:rsid w:val="00BC743B"/>
    <w:rsid w:val="00BD3FE5"/>
    <w:rsid w:val="00BD4130"/>
    <w:rsid w:val="00BD60F1"/>
    <w:rsid w:val="00BD7E74"/>
    <w:rsid w:val="00BE45A7"/>
    <w:rsid w:val="00BF0B23"/>
    <w:rsid w:val="00BF37DA"/>
    <w:rsid w:val="00BF389F"/>
    <w:rsid w:val="00BF4CE8"/>
    <w:rsid w:val="00BF4FC1"/>
    <w:rsid w:val="00C00ADF"/>
    <w:rsid w:val="00C07B65"/>
    <w:rsid w:val="00C2039F"/>
    <w:rsid w:val="00C24393"/>
    <w:rsid w:val="00C3108D"/>
    <w:rsid w:val="00C3170C"/>
    <w:rsid w:val="00C3292E"/>
    <w:rsid w:val="00C349C5"/>
    <w:rsid w:val="00C351F7"/>
    <w:rsid w:val="00C37EA8"/>
    <w:rsid w:val="00C42234"/>
    <w:rsid w:val="00C43029"/>
    <w:rsid w:val="00C525F0"/>
    <w:rsid w:val="00C52BD3"/>
    <w:rsid w:val="00C576A8"/>
    <w:rsid w:val="00C62279"/>
    <w:rsid w:val="00C71621"/>
    <w:rsid w:val="00C71E22"/>
    <w:rsid w:val="00C728AE"/>
    <w:rsid w:val="00C80D72"/>
    <w:rsid w:val="00C8401A"/>
    <w:rsid w:val="00C84B43"/>
    <w:rsid w:val="00C91BDD"/>
    <w:rsid w:val="00C93396"/>
    <w:rsid w:val="00C934F2"/>
    <w:rsid w:val="00C954FE"/>
    <w:rsid w:val="00CA1ABB"/>
    <w:rsid w:val="00CA1DE9"/>
    <w:rsid w:val="00CA46DE"/>
    <w:rsid w:val="00CA56BB"/>
    <w:rsid w:val="00CB186E"/>
    <w:rsid w:val="00CB396D"/>
    <w:rsid w:val="00CB3FDE"/>
    <w:rsid w:val="00CB6092"/>
    <w:rsid w:val="00CB656F"/>
    <w:rsid w:val="00CB693B"/>
    <w:rsid w:val="00CB6A05"/>
    <w:rsid w:val="00CC0CB3"/>
    <w:rsid w:val="00CC265F"/>
    <w:rsid w:val="00CC3FC8"/>
    <w:rsid w:val="00CC4220"/>
    <w:rsid w:val="00CC5276"/>
    <w:rsid w:val="00CC62E0"/>
    <w:rsid w:val="00CD2329"/>
    <w:rsid w:val="00CD5CB4"/>
    <w:rsid w:val="00CE18A8"/>
    <w:rsid w:val="00CE5361"/>
    <w:rsid w:val="00CF4119"/>
    <w:rsid w:val="00CF46A4"/>
    <w:rsid w:val="00D02017"/>
    <w:rsid w:val="00D11770"/>
    <w:rsid w:val="00D12AEA"/>
    <w:rsid w:val="00D13158"/>
    <w:rsid w:val="00D141D3"/>
    <w:rsid w:val="00D2015C"/>
    <w:rsid w:val="00D20781"/>
    <w:rsid w:val="00D2140C"/>
    <w:rsid w:val="00D219B2"/>
    <w:rsid w:val="00D219B3"/>
    <w:rsid w:val="00D259AC"/>
    <w:rsid w:val="00D26D8E"/>
    <w:rsid w:val="00D4109B"/>
    <w:rsid w:val="00D46340"/>
    <w:rsid w:val="00D516D4"/>
    <w:rsid w:val="00D53D4E"/>
    <w:rsid w:val="00D602E3"/>
    <w:rsid w:val="00D63ACF"/>
    <w:rsid w:val="00D65E89"/>
    <w:rsid w:val="00D7133A"/>
    <w:rsid w:val="00D74F6A"/>
    <w:rsid w:val="00D760EC"/>
    <w:rsid w:val="00D778AF"/>
    <w:rsid w:val="00D80A2A"/>
    <w:rsid w:val="00D83607"/>
    <w:rsid w:val="00D84442"/>
    <w:rsid w:val="00D8507E"/>
    <w:rsid w:val="00D85EA6"/>
    <w:rsid w:val="00D86D99"/>
    <w:rsid w:val="00D8742C"/>
    <w:rsid w:val="00D87A39"/>
    <w:rsid w:val="00D9189A"/>
    <w:rsid w:val="00D92B3D"/>
    <w:rsid w:val="00D93EA4"/>
    <w:rsid w:val="00D94AF0"/>
    <w:rsid w:val="00D972F6"/>
    <w:rsid w:val="00DA24BC"/>
    <w:rsid w:val="00DB01D6"/>
    <w:rsid w:val="00DB3996"/>
    <w:rsid w:val="00DB3F73"/>
    <w:rsid w:val="00DC2DF4"/>
    <w:rsid w:val="00DD04F0"/>
    <w:rsid w:val="00DD12FD"/>
    <w:rsid w:val="00DD19D0"/>
    <w:rsid w:val="00DE0A74"/>
    <w:rsid w:val="00DE2801"/>
    <w:rsid w:val="00DE44D2"/>
    <w:rsid w:val="00DE5D15"/>
    <w:rsid w:val="00DE6999"/>
    <w:rsid w:val="00DF27CE"/>
    <w:rsid w:val="00E02289"/>
    <w:rsid w:val="00E139F9"/>
    <w:rsid w:val="00E149AB"/>
    <w:rsid w:val="00E176A7"/>
    <w:rsid w:val="00E21CDD"/>
    <w:rsid w:val="00E241E8"/>
    <w:rsid w:val="00E2462A"/>
    <w:rsid w:val="00E25460"/>
    <w:rsid w:val="00E3076A"/>
    <w:rsid w:val="00E30E97"/>
    <w:rsid w:val="00E3158B"/>
    <w:rsid w:val="00E33F35"/>
    <w:rsid w:val="00E35D6E"/>
    <w:rsid w:val="00E3635A"/>
    <w:rsid w:val="00E36A48"/>
    <w:rsid w:val="00E36F14"/>
    <w:rsid w:val="00E37C98"/>
    <w:rsid w:val="00E438A1"/>
    <w:rsid w:val="00E438F6"/>
    <w:rsid w:val="00E44DD4"/>
    <w:rsid w:val="00E466AF"/>
    <w:rsid w:val="00E5166B"/>
    <w:rsid w:val="00E62405"/>
    <w:rsid w:val="00E66117"/>
    <w:rsid w:val="00E71F50"/>
    <w:rsid w:val="00E84D1E"/>
    <w:rsid w:val="00E8673D"/>
    <w:rsid w:val="00E86ACC"/>
    <w:rsid w:val="00E91805"/>
    <w:rsid w:val="00E93A8C"/>
    <w:rsid w:val="00E9495E"/>
    <w:rsid w:val="00E978F8"/>
    <w:rsid w:val="00EB59E2"/>
    <w:rsid w:val="00EC2BD2"/>
    <w:rsid w:val="00ED0E1B"/>
    <w:rsid w:val="00EE09BF"/>
    <w:rsid w:val="00EE5914"/>
    <w:rsid w:val="00EF064D"/>
    <w:rsid w:val="00EF28C6"/>
    <w:rsid w:val="00EF2BD2"/>
    <w:rsid w:val="00EF3161"/>
    <w:rsid w:val="00EF410F"/>
    <w:rsid w:val="00F0033B"/>
    <w:rsid w:val="00F036AC"/>
    <w:rsid w:val="00F0722A"/>
    <w:rsid w:val="00F1124B"/>
    <w:rsid w:val="00F122C5"/>
    <w:rsid w:val="00F124ED"/>
    <w:rsid w:val="00F1338D"/>
    <w:rsid w:val="00F13540"/>
    <w:rsid w:val="00F13D15"/>
    <w:rsid w:val="00F16A5F"/>
    <w:rsid w:val="00F305A5"/>
    <w:rsid w:val="00F35193"/>
    <w:rsid w:val="00F4097F"/>
    <w:rsid w:val="00F451B1"/>
    <w:rsid w:val="00F4637D"/>
    <w:rsid w:val="00F46542"/>
    <w:rsid w:val="00F46559"/>
    <w:rsid w:val="00F517DB"/>
    <w:rsid w:val="00F52B9B"/>
    <w:rsid w:val="00F539E8"/>
    <w:rsid w:val="00F563E6"/>
    <w:rsid w:val="00F565AA"/>
    <w:rsid w:val="00F571C1"/>
    <w:rsid w:val="00F57E9D"/>
    <w:rsid w:val="00F656A4"/>
    <w:rsid w:val="00F660D1"/>
    <w:rsid w:val="00F665D3"/>
    <w:rsid w:val="00F76164"/>
    <w:rsid w:val="00F76EA6"/>
    <w:rsid w:val="00F76F1E"/>
    <w:rsid w:val="00F77F0A"/>
    <w:rsid w:val="00F84F2D"/>
    <w:rsid w:val="00F87554"/>
    <w:rsid w:val="00F8790B"/>
    <w:rsid w:val="00F87FAB"/>
    <w:rsid w:val="00F90B67"/>
    <w:rsid w:val="00F92066"/>
    <w:rsid w:val="00F92D80"/>
    <w:rsid w:val="00F96449"/>
    <w:rsid w:val="00FA2634"/>
    <w:rsid w:val="00FA5A52"/>
    <w:rsid w:val="00FA6BE6"/>
    <w:rsid w:val="00FB301B"/>
    <w:rsid w:val="00FB5C89"/>
    <w:rsid w:val="00FC0DE1"/>
    <w:rsid w:val="00FC142D"/>
    <w:rsid w:val="00FC19AA"/>
    <w:rsid w:val="00FC3D88"/>
    <w:rsid w:val="00FC666C"/>
    <w:rsid w:val="00FD0D39"/>
    <w:rsid w:val="00FD3C5E"/>
    <w:rsid w:val="00FD5A90"/>
    <w:rsid w:val="00FE21E3"/>
    <w:rsid w:val="00FE5E8E"/>
    <w:rsid w:val="00FE6A13"/>
    <w:rsid w:val="00FF14A4"/>
    <w:rsid w:val="00FF2E05"/>
    <w:rsid w:val="00FF3158"/>
    <w:rsid w:val="00FF3DE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2E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unhideWhenUsed/>
    <w:rsid w:val="00714A21"/>
    <w:rPr>
      <w:color w:val="0000FF"/>
      <w:u w:val="single"/>
    </w:rPr>
  </w:style>
  <w:style w:type="paragraph" w:styleId="FootnoteText">
    <w:name w:val="footnote text"/>
    <w:basedOn w:val="Normal"/>
    <w:link w:val="FootnoteTextChar"/>
    <w:uiPriority w:val="99"/>
    <w:semiHidden/>
    <w:unhideWhenUsed/>
    <w:rsid w:val="00B0789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0789C"/>
    <w:rPr>
      <w:sz w:val="20"/>
      <w:szCs w:val="20"/>
    </w:rPr>
  </w:style>
  <w:style w:type="character" w:styleId="FootnoteReference">
    <w:name w:val="footnote reference"/>
    <w:basedOn w:val="DefaultParagraphFont"/>
    <w:uiPriority w:val="99"/>
    <w:semiHidden/>
    <w:unhideWhenUsed/>
    <w:rsid w:val="00B0789C"/>
    <w:rPr>
      <w:vertAlign w:val="superscript"/>
    </w:rPr>
  </w:style>
  <w:style w:type="paragraph" w:styleId="ListParagraph">
    <w:name w:val="List Paragraph"/>
    <w:basedOn w:val="Normal"/>
    <w:uiPriority w:val="34"/>
    <w:qFormat/>
    <w:rsid w:val="00B0789C"/>
    <w:pPr>
      <w:spacing w:after="160" w:line="259" w:lineRule="auto"/>
      <w:ind w:left="720"/>
      <w:contextualSpacing/>
    </w:pPr>
    <w:rPr>
      <w:rFonts w:eastAsiaTheme="minorHAnsi" w:cstheme="minorBidi"/>
      <w:szCs w:val="22"/>
    </w:rPr>
  </w:style>
  <w:style w:type="paragraph" w:styleId="ListBullet">
    <w:name w:val="List Bullet"/>
    <w:basedOn w:val="Normal"/>
    <w:uiPriority w:val="99"/>
    <w:unhideWhenUsed/>
    <w:rsid w:val="00682EDA"/>
    <w:pPr>
      <w:numPr>
        <w:numId w:val="4"/>
      </w:numPr>
      <w:contextualSpacing/>
    </w:pPr>
  </w:style>
  <w:style w:type="paragraph" w:styleId="Revision">
    <w:name w:val="Revision"/>
    <w:hidden/>
    <w:uiPriority w:val="99"/>
    <w:semiHidden/>
    <w:rsid w:val="00244ED7"/>
    <w:p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9E6A2E"/>
    <w:rPr>
      <w:color w:val="605E5C"/>
      <w:shd w:val="clear" w:color="auto" w:fill="E1DFDD"/>
    </w:rPr>
  </w:style>
  <w:style w:type="character" w:styleId="FollowedHyperlink">
    <w:name w:val="FollowedHyperlink"/>
    <w:basedOn w:val="DefaultParagraphFont"/>
    <w:uiPriority w:val="99"/>
    <w:semiHidden/>
    <w:unhideWhenUsed/>
    <w:rsid w:val="00E516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456646">
      <w:bodyDiv w:val="1"/>
      <w:marLeft w:val="0"/>
      <w:marRight w:val="0"/>
      <w:marTop w:val="0"/>
      <w:marBottom w:val="0"/>
      <w:divBdr>
        <w:top w:val="none" w:sz="0" w:space="0" w:color="auto"/>
        <w:left w:val="none" w:sz="0" w:space="0" w:color="auto"/>
        <w:bottom w:val="none" w:sz="0" w:space="0" w:color="auto"/>
        <w:right w:val="none" w:sz="0" w:space="0" w:color="auto"/>
      </w:divBdr>
    </w:div>
    <w:div w:id="1042631419">
      <w:bodyDiv w:val="1"/>
      <w:marLeft w:val="0"/>
      <w:marRight w:val="0"/>
      <w:marTop w:val="0"/>
      <w:marBottom w:val="0"/>
      <w:divBdr>
        <w:top w:val="none" w:sz="0" w:space="0" w:color="auto"/>
        <w:left w:val="none" w:sz="0" w:space="0" w:color="auto"/>
        <w:bottom w:val="none" w:sz="0" w:space="0" w:color="auto"/>
        <w:right w:val="none" w:sz="0" w:space="0" w:color="auto"/>
      </w:divBdr>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 w:id="1837647442">
      <w:bodyDiv w:val="1"/>
      <w:marLeft w:val="0"/>
      <w:marRight w:val="0"/>
      <w:marTop w:val="0"/>
      <w:marBottom w:val="0"/>
      <w:divBdr>
        <w:top w:val="none" w:sz="0" w:space="0" w:color="auto"/>
        <w:left w:val="none" w:sz="0" w:space="0" w:color="auto"/>
        <w:bottom w:val="none" w:sz="0" w:space="0" w:color="auto"/>
        <w:right w:val="none" w:sz="0" w:space="0" w:color="auto"/>
      </w:divBdr>
    </w:div>
    <w:div w:id="19731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727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9411-DE2F-45A3-947A-8AD96064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11457</Words>
  <Characters>6532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2022-10-21T05:01:00Z</dcterms:created>
  <dcterms:modified xsi:type="dcterms:W3CDTF">2022-10-21T05:01:00Z</dcterms:modified>
</cp:coreProperties>
</file>