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FE5B" w14:textId="77777777" w:rsidR="003F7EDA" w:rsidRDefault="003F7EDA" w:rsidP="003F7EDA">
      <w:pPr>
        <w:ind w:left="-284" w:firstLine="284"/>
        <w:jc w:val="both"/>
        <w:rPr>
          <w:b/>
          <w:bCs/>
          <w:u w:val="single"/>
        </w:rPr>
      </w:pPr>
      <w:r>
        <w:rPr>
          <w:b/>
          <w:bCs/>
          <w:color w:val="000000"/>
        </w:rPr>
        <w:t>Neslavas celšana tīmekļvietnē</w:t>
      </w:r>
    </w:p>
    <w:p w14:paraId="7BEE575F" w14:textId="77777777" w:rsidR="003F7EDA" w:rsidRDefault="003F7EDA" w:rsidP="003F7EDA">
      <w:pPr>
        <w:spacing w:line="276" w:lineRule="auto"/>
        <w:jc w:val="both"/>
      </w:pPr>
      <w:r>
        <w:t xml:space="preserve">„Masu saziņas līdzeklis” Krimināllikuma </w:t>
      </w:r>
      <w:proofErr w:type="gramStart"/>
      <w:r>
        <w:t>157.panta</w:t>
      </w:r>
      <w:proofErr w:type="gramEnd"/>
      <w:r>
        <w:t xml:space="preserve"> otrās daļas izpratnē ir arī tīmekļvietne,  ja tā ir publiski pieejams informācijas avots un ar tajā sniegto informāciju var iepazīties plašs personu loks.</w:t>
      </w:r>
    </w:p>
    <w:p w14:paraId="28F9BFC5" w14:textId="77777777" w:rsidR="003F7EDA" w:rsidRDefault="003F7EDA" w:rsidP="003F7EDA">
      <w:pPr>
        <w:spacing w:line="276" w:lineRule="auto"/>
        <w:jc w:val="both"/>
      </w:pPr>
    </w:p>
    <w:p w14:paraId="03FEA426" w14:textId="019AC164" w:rsidR="003F7EDA" w:rsidRPr="004715FC" w:rsidRDefault="003F7EDA" w:rsidP="003F7EDA">
      <w:pPr>
        <w:spacing w:line="276" w:lineRule="auto"/>
        <w:jc w:val="both"/>
      </w:pPr>
      <w:r>
        <w:rPr>
          <w:b/>
          <w:bCs/>
        </w:rPr>
        <w:t>Cietušais kriminālprocesā</w:t>
      </w:r>
    </w:p>
    <w:p w14:paraId="1E0D432A" w14:textId="5E12C026" w:rsidR="003F7EDA" w:rsidRPr="007309D0" w:rsidRDefault="003F7EDA" w:rsidP="003F7EDA">
      <w:pPr>
        <w:spacing w:line="276" w:lineRule="auto"/>
        <w:jc w:val="both"/>
      </w:pPr>
      <w:r>
        <w:t>Personas nevēlēšanās pieteikt morālā kaitējuma kompensāciju neliedz tai tiesības saglabāt cietušā statusu kriminālprocesā.</w:t>
      </w:r>
    </w:p>
    <w:p w14:paraId="42AFD01F" w14:textId="4FDCDA05" w:rsidR="001F557E" w:rsidRPr="007309D0" w:rsidRDefault="001F557E" w:rsidP="001F557E">
      <w:pPr>
        <w:pStyle w:val="BodyText2"/>
        <w:spacing w:after="0" w:line="276" w:lineRule="auto"/>
        <w:jc w:val="center"/>
        <w:rPr>
          <w:lang w:val="lv-LV"/>
        </w:rPr>
      </w:pPr>
    </w:p>
    <w:p w14:paraId="65A14239" w14:textId="77777777" w:rsidR="003F7EDA" w:rsidRPr="003F7EDA" w:rsidRDefault="001F557E" w:rsidP="001F557E">
      <w:pPr>
        <w:spacing w:line="276" w:lineRule="auto"/>
        <w:jc w:val="center"/>
        <w:rPr>
          <w:b/>
        </w:rPr>
      </w:pPr>
      <w:r w:rsidRPr="003F7EDA">
        <w:rPr>
          <w:b/>
        </w:rPr>
        <w:t>Latvijas Republikas Senāt</w:t>
      </w:r>
      <w:r w:rsidR="003F7EDA" w:rsidRPr="003F7EDA">
        <w:rPr>
          <w:b/>
        </w:rPr>
        <w:t>a</w:t>
      </w:r>
      <w:r w:rsidRPr="003F7EDA">
        <w:rPr>
          <w:b/>
        </w:rPr>
        <w:t xml:space="preserve"> </w:t>
      </w:r>
    </w:p>
    <w:p w14:paraId="0CDE0609" w14:textId="77777777" w:rsidR="003F7EDA" w:rsidRPr="003F7EDA" w:rsidRDefault="003F7EDA" w:rsidP="001F557E">
      <w:pPr>
        <w:spacing w:line="276" w:lineRule="auto"/>
        <w:jc w:val="center"/>
        <w:rPr>
          <w:b/>
        </w:rPr>
      </w:pPr>
      <w:r w:rsidRPr="003F7EDA">
        <w:rPr>
          <w:b/>
        </w:rPr>
        <w:t>Krimināllietu departamenta</w:t>
      </w:r>
    </w:p>
    <w:p w14:paraId="6DCFFA45" w14:textId="4DD559AC" w:rsidR="001F557E" w:rsidRPr="003F7EDA" w:rsidRDefault="003F7EDA" w:rsidP="001F557E">
      <w:pPr>
        <w:spacing w:line="276" w:lineRule="auto"/>
        <w:jc w:val="center"/>
        <w:rPr>
          <w:b/>
        </w:rPr>
      </w:pPr>
      <w:proofErr w:type="gramStart"/>
      <w:r w:rsidRPr="003F7EDA">
        <w:rPr>
          <w:b/>
        </w:rPr>
        <w:t>2022.gada</w:t>
      </w:r>
      <w:proofErr w:type="gramEnd"/>
      <w:r w:rsidRPr="003F7EDA">
        <w:rPr>
          <w:b/>
        </w:rPr>
        <w:t xml:space="preserve"> 11.augusta</w:t>
      </w:r>
    </w:p>
    <w:p w14:paraId="4D9C5736" w14:textId="77777777" w:rsidR="003F7EDA" w:rsidRPr="003F7EDA" w:rsidRDefault="001F557E" w:rsidP="001F557E">
      <w:pPr>
        <w:spacing w:line="276" w:lineRule="auto"/>
        <w:jc w:val="center"/>
        <w:rPr>
          <w:b/>
        </w:rPr>
      </w:pPr>
      <w:r w:rsidRPr="003F7EDA">
        <w:rPr>
          <w:b/>
        </w:rPr>
        <w:t>LĒMUMS</w:t>
      </w:r>
      <w:r w:rsidR="003F7EDA" w:rsidRPr="003F7EDA">
        <w:rPr>
          <w:b/>
        </w:rPr>
        <w:t xml:space="preserve"> </w:t>
      </w:r>
    </w:p>
    <w:p w14:paraId="5EC10E11" w14:textId="279AB7FE" w:rsidR="001F557E" w:rsidRPr="003F7EDA" w:rsidRDefault="003F7EDA" w:rsidP="001F557E">
      <w:pPr>
        <w:spacing w:line="276" w:lineRule="auto"/>
        <w:jc w:val="center"/>
        <w:rPr>
          <w:b/>
        </w:rPr>
      </w:pPr>
      <w:r w:rsidRPr="003F7EDA">
        <w:rPr>
          <w:b/>
        </w:rPr>
        <w:t>Lieta Nr. </w:t>
      </w:r>
      <w:r w:rsidRPr="003F7EDA">
        <w:rPr>
          <w:b/>
          <w:lang w:eastAsia="lv-LV"/>
        </w:rPr>
        <w:t xml:space="preserve">11817001018, </w:t>
      </w:r>
      <w:r w:rsidRPr="003F7EDA">
        <w:rPr>
          <w:b/>
        </w:rPr>
        <w:t>SKK-138/2022</w:t>
      </w:r>
    </w:p>
    <w:p w14:paraId="759152AD" w14:textId="61ABD857" w:rsidR="003F7EDA" w:rsidRPr="003F7EDA" w:rsidRDefault="002311CE" w:rsidP="001F557E">
      <w:pPr>
        <w:spacing w:line="276" w:lineRule="auto"/>
        <w:jc w:val="center"/>
        <w:rPr>
          <w:bCs/>
        </w:rPr>
      </w:pPr>
      <w:hyperlink r:id="rId6" w:history="1">
        <w:r w:rsidR="003F7EDA" w:rsidRPr="003F7EDA">
          <w:rPr>
            <w:rStyle w:val="Hyperlink"/>
            <w:bCs/>
            <w:shd w:val="clear" w:color="auto" w:fill="FFFFFF"/>
          </w:rPr>
          <w:t>ECLI:LV:AT:2022:0811.11817001018.6.L</w:t>
        </w:r>
      </w:hyperlink>
    </w:p>
    <w:p w14:paraId="1C98BEBE" w14:textId="77777777" w:rsidR="001F557E" w:rsidRPr="007309D0" w:rsidRDefault="001F557E" w:rsidP="001F557E">
      <w:pPr>
        <w:spacing w:line="276" w:lineRule="auto"/>
        <w:ind w:firstLine="567"/>
        <w:jc w:val="both"/>
      </w:pPr>
    </w:p>
    <w:p w14:paraId="2ADA3858" w14:textId="1E57EB70" w:rsidR="001F557E" w:rsidRPr="007309D0" w:rsidRDefault="001F557E" w:rsidP="0090057E">
      <w:pPr>
        <w:spacing w:line="276" w:lineRule="auto"/>
        <w:ind w:firstLine="709"/>
        <w:jc w:val="both"/>
      </w:pPr>
      <w:r w:rsidRPr="007309D0">
        <w:t>Tiesa šādā sastāvā: senator</w:t>
      </w:r>
      <w:r w:rsidR="00641271">
        <w:t xml:space="preserve">es </w:t>
      </w:r>
      <w:r w:rsidRPr="007309D0">
        <w:t>A</w:t>
      </w:r>
      <w:r>
        <w:t>nita Poļakova</w:t>
      </w:r>
      <w:r w:rsidRPr="007309D0">
        <w:t xml:space="preserve">, </w:t>
      </w:r>
      <w:r>
        <w:t>Aija Branta, Inguna Radzeviča</w:t>
      </w:r>
    </w:p>
    <w:p w14:paraId="10B06016" w14:textId="77777777" w:rsidR="001F557E" w:rsidRPr="007309D0" w:rsidRDefault="001F557E" w:rsidP="0090057E">
      <w:pPr>
        <w:spacing w:line="276" w:lineRule="auto"/>
        <w:ind w:firstLine="709"/>
        <w:jc w:val="both"/>
      </w:pPr>
    </w:p>
    <w:p w14:paraId="5962F6D8" w14:textId="054BCED1" w:rsidR="001F557E" w:rsidRPr="007309D0" w:rsidRDefault="001F557E" w:rsidP="0090057E">
      <w:pPr>
        <w:spacing w:line="276" w:lineRule="auto"/>
        <w:ind w:firstLine="709"/>
        <w:jc w:val="both"/>
      </w:pPr>
      <w:r w:rsidRPr="007309D0">
        <w:t xml:space="preserve">izskatīja rakstveida procesā krimināllietu sakarā ar </w:t>
      </w:r>
      <w:bookmarkStart w:id="0" w:name="_Hlk45528273"/>
      <w:r>
        <w:t xml:space="preserve">apsūdzētā </w:t>
      </w:r>
      <w:r w:rsidR="003F7EDA">
        <w:t>[pers. A]</w:t>
      </w:r>
      <w:r>
        <w:t xml:space="preserve"> un viņa aizstāvja Gata Gaiļa kasācijas sūdzībām par </w:t>
      </w:r>
      <w:bookmarkEnd w:id="0"/>
      <w:r>
        <w:t xml:space="preserve">Rīgas </w:t>
      </w:r>
      <w:r w:rsidRPr="007309D0">
        <w:t xml:space="preserve">apgabaltiesas </w:t>
      </w:r>
      <w:proofErr w:type="gramStart"/>
      <w:r w:rsidRPr="007309D0">
        <w:t>20</w:t>
      </w:r>
      <w:r>
        <w:t>21</w:t>
      </w:r>
      <w:r w:rsidRPr="007309D0">
        <w:t>.gada</w:t>
      </w:r>
      <w:proofErr w:type="gramEnd"/>
      <w:r w:rsidRPr="007309D0">
        <w:t xml:space="preserve"> </w:t>
      </w:r>
      <w:r>
        <w:t>4.oktobra lēmumu</w:t>
      </w:r>
      <w:r w:rsidRPr="007309D0">
        <w:t>.</w:t>
      </w:r>
    </w:p>
    <w:p w14:paraId="44A4A7EA" w14:textId="77777777" w:rsidR="001F557E" w:rsidRPr="007309D0" w:rsidRDefault="001F557E" w:rsidP="001F557E">
      <w:pPr>
        <w:spacing w:line="276" w:lineRule="auto"/>
        <w:ind w:firstLine="567"/>
        <w:jc w:val="both"/>
      </w:pPr>
    </w:p>
    <w:p w14:paraId="7BCAA7FA" w14:textId="77777777" w:rsidR="001F557E" w:rsidRPr="007309D0" w:rsidRDefault="001F557E" w:rsidP="001F557E">
      <w:pPr>
        <w:spacing w:line="276" w:lineRule="auto"/>
        <w:jc w:val="center"/>
        <w:rPr>
          <w:b/>
        </w:rPr>
      </w:pPr>
      <w:r w:rsidRPr="007309D0">
        <w:rPr>
          <w:b/>
        </w:rPr>
        <w:t>Aprakstošā daļa</w:t>
      </w:r>
    </w:p>
    <w:p w14:paraId="289B1835" w14:textId="77777777" w:rsidR="001F557E" w:rsidRPr="007309D0" w:rsidRDefault="001F557E" w:rsidP="001F557E">
      <w:pPr>
        <w:spacing w:line="276" w:lineRule="auto"/>
        <w:ind w:firstLine="567"/>
      </w:pPr>
    </w:p>
    <w:p w14:paraId="60FC82CB" w14:textId="4AE696CD" w:rsidR="001F557E" w:rsidRPr="007309D0" w:rsidRDefault="001F557E" w:rsidP="0090057E">
      <w:pPr>
        <w:spacing w:line="276" w:lineRule="auto"/>
        <w:ind w:firstLine="709"/>
        <w:jc w:val="both"/>
      </w:pPr>
      <w:r w:rsidRPr="007309D0">
        <w:t xml:space="preserve">[1] Ar </w:t>
      </w:r>
      <w:r>
        <w:t>Rīgas pilsētas Vidzemes priekšpilsētas tiesas</w:t>
      </w:r>
      <w:r w:rsidRPr="007309D0">
        <w:t xml:space="preserve"> </w:t>
      </w:r>
      <w:proofErr w:type="gramStart"/>
      <w:r w:rsidRPr="007309D0">
        <w:t>20</w:t>
      </w:r>
      <w:r>
        <w:t>20</w:t>
      </w:r>
      <w:r w:rsidRPr="007309D0">
        <w:t>.gada</w:t>
      </w:r>
      <w:proofErr w:type="gramEnd"/>
      <w:r w:rsidRPr="007309D0">
        <w:t xml:space="preserve"> </w:t>
      </w:r>
      <w:r>
        <w:t xml:space="preserve">29.janvāra </w:t>
      </w:r>
      <w:r w:rsidRPr="007309D0">
        <w:t>spriedumu</w:t>
      </w:r>
    </w:p>
    <w:p w14:paraId="638163F5" w14:textId="0B7A62D0" w:rsidR="00781251" w:rsidRDefault="003F7EDA" w:rsidP="0090057E">
      <w:pPr>
        <w:spacing w:line="276" w:lineRule="auto"/>
        <w:ind w:firstLine="709"/>
        <w:jc w:val="both"/>
      </w:pPr>
      <w:r>
        <w:t>[pers. A]</w:t>
      </w:r>
      <w:r w:rsidR="001F557E">
        <w:t xml:space="preserve">, personas kods </w:t>
      </w:r>
      <w:r>
        <w:t>[..]</w:t>
      </w:r>
      <w:r w:rsidR="001F557E">
        <w:t>,</w:t>
      </w:r>
    </w:p>
    <w:p w14:paraId="44499BF0" w14:textId="65DAF32D" w:rsidR="00781251" w:rsidRPr="00781251" w:rsidRDefault="001F557E" w:rsidP="0090057E">
      <w:pPr>
        <w:spacing w:line="276" w:lineRule="auto"/>
        <w:ind w:firstLine="709"/>
        <w:jc w:val="both"/>
      </w:pPr>
      <w:r w:rsidRPr="000D086F">
        <w:t>atzīt</w:t>
      </w:r>
      <w:r>
        <w:t>s</w:t>
      </w:r>
      <w:r w:rsidRPr="000D086F">
        <w:t xml:space="preserve"> par vainīgu</w:t>
      </w:r>
      <w:r w:rsidR="00781251" w:rsidRPr="00047281">
        <w:rPr>
          <w:rFonts w:asciiTheme="majorBidi" w:hAnsiTheme="majorBidi" w:cstheme="majorBidi"/>
        </w:rPr>
        <w:t xml:space="preserve"> Krimināllikuma </w:t>
      </w:r>
      <w:proofErr w:type="gramStart"/>
      <w:r w:rsidR="00781251">
        <w:rPr>
          <w:rFonts w:asciiTheme="majorBidi" w:hAnsiTheme="majorBidi" w:cstheme="majorBidi"/>
        </w:rPr>
        <w:t>157</w:t>
      </w:r>
      <w:r w:rsidR="00781251" w:rsidRPr="00047281">
        <w:rPr>
          <w:rFonts w:asciiTheme="majorBidi" w:hAnsiTheme="majorBidi" w:cstheme="majorBidi"/>
        </w:rPr>
        <w:t>.panta</w:t>
      </w:r>
      <w:proofErr w:type="gramEnd"/>
      <w:r w:rsidR="00781251" w:rsidRPr="00047281">
        <w:rPr>
          <w:rFonts w:asciiTheme="majorBidi" w:hAnsiTheme="majorBidi" w:cstheme="majorBidi"/>
        </w:rPr>
        <w:t xml:space="preserve"> </w:t>
      </w:r>
      <w:r w:rsidR="00781251">
        <w:rPr>
          <w:rFonts w:asciiTheme="majorBidi" w:hAnsiTheme="majorBidi" w:cstheme="majorBidi"/>
        </w:rPr>
        <w:t>otrajā daļā paredzētajā noziedzīgajā nodarījumā</w:t>
      </w:r>
      <w:r w:rsidR="00781251" w:rsidRPr="00047281">
        <w:rPr>
          <w:rFonts w:asciiTheme="majorBidi" w:hAnsiTheme="majorBidi" w:cstheme="majorBidi"/>
        </w:rPr>
        <w:t xml:space="preserve"> un sodīts ar </w:t>
      </w:r>
      <w:r w:rsidR="00781251">
        <w:rPr>
          <w:rFonts w:asciiTheme="majorBidi" w:hAnsiTheme="majorBidi" w:cstheme="majorBidi"/>
        </w:rPr>
        <w:t>piespiedu darbu uz 100 stundām.</w:t>
      </w:r>
    </w:p>
    <w:p w14:paraId="211D4A43" w14:textId="77777777" w:rsidR="001F557E" w:rsidRDefault="001F557E" w:rsidP="0090057E">
      <w:pPr>
        <w:spacing w:line="276" w:lineRule="auto"/>
        <w:ind w:firstLine="709"/>
        <w:jc w:val="both"/>
      </w:pPr>
    </w:p>
    <w:p w14:paraId="7BB69FD0" w14:textId="2479FC1C" w:rsidR="001F557E" w:rsidRDefault="001F557E" w:rsidP="0090057E">
      <w:pPr>
        <w:spacing w:line="276" w:lineRule="auto"/>
        <w:ind w:firstLine="709"/>
        <w:jc w:val="both"/>
      </w:pPr>
      <w:r>
        <w:t xml:space="preserve">[2] </w:t>
      </w:r>
      <w:r w:rsidR="00781251">
        <w:rPr>
          <w:rFonts w:asciiTheme="majorBidi" w:hAnsiTheme="majorBidi" w:cstheme="majorBidi"/>
        </w:rPr>
        <w:t xml:space="preserve">Ar pirmās instances tiesas spriedumu </w:t>
      </w:r>
      <w:r w:rsidR="003F7EDA">
        <w:rPr>
          <w:rFonts w:asciiTheme="majorBidi" w:hAnsiTheme="majorBidi" w:cstheme="majorBidi"/>
        </w:rPr>
        <w:t>[pers. A]</w:t>
      </w:r>
      <w:r w:rsidR="00781251">
        <w:rPr>
          <w:rFonts w:asciiTheme="majorBidi" w:hAnsiTheme="majorBidi" w:cstheme="majorBidi"/>
        </w:rPr>
        <w:t xml:space="preserve"> </w:t>
      </w:r>
      <w:r w:rsidR="00781251" w:rsidRPr="00047281">
        <w:rPr>
          <w:rFonts w:asciiTheme="majorBidi" w:hAnsiTheme="majorBidi" w:cstheme="majorBidi"/>
        </w:rPr>
        <w:t>atzīts par vainīgu un sodīts</w:t>
      </w:r>
      <w:r w:rsidR="00781251" w:rsidRPr="006744F5">
        <w:rPr>
          <w:rFonts w:asciiTheme="majorBidi" w:hAnsiTheme="majorBidi" w:cstheme="majorBidi"/>
        </w:rPr>
        <w:t xml:space="preserve"> </w:t>
      </w:r>
      <w:r w:rsidR="00781251" w:rsidRPr="00047281">
        <w:rPr>
          <w:rFonts w:asciiTheme="majorBidi" w:hAnsiTheme="majorBidi" w:cstheme="majorBidi"/>
        </w:rPr>
        <w:t xml:space="preserve">pēc Krimināllikuma </w:t>
      </w:r>
      <w:proofErr w:type="gramStart"/>
      <w:r w:rsidR="00781251">
        <w:rPr>
          <w:rFonts w:asciiTheme="majorBidi" w:hAnsiTheme="majorBidi" w:cstheme="majorBidi"/>
        </w:rPr>
        <w:t>157</w:t>
      </w:r>
      <w:r w:rsidR="00781251" w:rsidRPr="00047281">
        <w:rPr>
          <w:rFonts w:asciiTheme="majorBidi" w:hAnsiTheme="majorBidi" w:cstheme="majorBidi"/>
        </w:rPr>
        <w:t>.panta</w:t>
      </w:r>
      <w:proofErr w:type="gramEnd"/>
      <w:r w:rsidR="00781251" w:rsidRPr="00047281">
        <w:rPr>
          <w:rFonts w:asciiTheme="majorBidi" w:hAnsiTheme="majorBidi" w:cstheme="majorBidi"/>
        </w:rPr>
        <w:t xml:space="preserve"> </w:t>
      </w:r>
      <w:r w:rsidR="00781251">
        <w:rPr>
          <w:rFonts w:asciiTheme="majorBidi" w:hAnsiTheme="majorBidi" w:cstheme="majorBidi"/>
        </w:rPr>
        <w:t>otrās</w:t>
      </w:r>
      <w:r w:rsidR="00781251" w:rsidRPr="00047281">
        <w:rPr>
          <w:rFonts w:asciiTheme="majorBidi" w:hAnsiTheme="majorBidi" w:cstheme="majorBidi"/>
        </w:rPr>
        <w:t xml:space="preserve"> daļas </w:t>
      </w:r>
      <w:r w:rsidR="00781251">
        <w:rPr>
          <w:rFonts w:asciiTheme="majorBidi" w:hAnsiTheme="majorBidi" w:cstheme="majorBidi"/>
        </w:rPr>
        <w:t>p</w:t>
      </w:r>
      <w:r w:rsidR="00781251" w:rsidRPr="00047281">
        <w:rPr>
          <w:rFonts w:asciiTheme="majorBidi" w:hAnsiTheme="majorBidi" w:cstheme="majorBidi"/>
        </w:rPr>
        <w:t>ar</w:t>
      </w:r>
      <w:r w:rsidR="00781251">
        <w:rPr>
          <w:rFonts w:asciiTheme="majorBidi" w:hAnsiTheme="majorBidi" w:cstheme="majorBidi"/>
        </w:rPr>
        <w:t xml:space="preserve"> neslavas celšanu, proti, apzināti nepatiesu, otru personu apkaunojošu </w:t>
      </w:r>
      <w:r w:rsidR="00B463A3">
        <w:rPr>
          <w:rFonts w:asciiTheme="majorBidi" w:hAnsiTheme="majorBidi" w:cstheme="majorBidi"/>
        </w:rPr>
        <w:t>izdomājumu tīšu izplatīšanu masu saziņas līdzeklī.</w:t>
      </w:r>
    </w:p>
    <w:p w14:paraId="281DE699" w14:textId="77777777" w:rsidR="001F557E" w:rsidRDefault="001F557E" w:rsidP="0090057E">
      <w:pPr>
        <w:spacing w:line="276" w:lineRule="auto"/>
        <w:ind w:firstLine="709"/>
        <w:jc w:val="both"/>
      </w:pPr>
    </w:p>
    <w:p w14:paraId="6EA4513C" w14:textId="2CE7D6DA" w:rsidR="00B463A3" w:rsidRDefault="001F557E" w:rsidP="0090057E">
      <w:pPr>
        <w:spacing w:line="276" w:lineRule="auto"/>
        <w:ind w:firstLine="709"/>
        <w:jc w:val="both"/>
      </w:pPr>
      <w:r>
        <w:t xml:space="preserve">[3] Ar </w:t>
      </w:r>
      <w:r w:rsidR="00B463A3">
        <w:t>Rīgas apgabaltiesas</w:t>
      </w:r>
      <w:r>
        <w:t xml:space="preserve"> </w:t>
      </w:r>
      <w:proofErr w:type="gramStart"/>
      <w:r>
        <w:t>2021.gada</w:t>
      </w:r>
      <w:proofErr w:type="gramEnd"/>
      <w:r>
        <w:t xml:space="preserve"> </w:t>
      </w:r>
      <w:r w:rsidR="00B463A3">
        <w:t>4.oktobra</w:t>
      </w:r>
      <w:r>
        <w:t xml:space="preserve"> lēmumu, iztiesājot krimināllietu apelācijas kārtībā sakarā ar </w:t>
      </w:r>
      <w:r w:rsidR="00B463A3">
        <w:t xml:space="preserve">apsūdzētā </w:t>
      </w:r>
      <w:r w:rsidR="003F7EDA">
        <w:t>[pers. A]</w:t>
      </w:r>
      <w:r>
        <w:t xml:space="preserve"> apelācijas </w:t>
      </w:r>
      <w:r w:rsidR="00B463A3">
        <w:t xml:space="preserve">sūdzību, Rīgas pilsētas Vidzemes priekšpilsētas </w:t>
      </w:r>
      <w:r>
        <w:t xml:space="preserve">tiesas </w:t>
      </w:r>
      <w:proofErr w:type="gramStart"/>
      <w:r>
        <w:t>2020.gada</w:t>
      </w:r>
      <w:proofErr w:type="gramEnd"/>
      <w:r w:rsidR="00B463A3">
        <w:t xml:space="preserve"> 29.janvāra</w:t>
      </w:r>
      <w:r>
        <w:t xml:space="preserve"> spriedums atstāts negrozīts.</w:t>
      </w:r>
    </w:p>
    <w:p w14:paraId="5186683B" w14:textId="77777777" w:rsidR="00B463A3" w:rsidRDefault="00B463A3" w:rsidP="0090057E">
      <w:pPr>
        <w:spacing w:line="276" w:lineRule="auto"/>
        <w:ind w:firstLine="709"/>
        <w:jc w:val="both"/>
      </w:pPr>
    </w:p>
    <w:p w14:paraId="63AB0337" w14:textId="12B41E93" w:rsidR="00641271" w:rsidRDefault="001F557E" w:rsidP="00641271">
      <w:pPr>
        <w:spacing w:line="276" w:lineRule="auto"/>
        <w:ind w:firstLine="709"/>
        <w:jc w:val="both"/>
      </w:pPr>
      <w:r>
        <w:t xml:space="preserve">[4] </w:t>
      </w:r>
      <w:r w:rsidR="00B463A3">
        <w:t xml:space="preserve">Par Rīgas apgabaltiesas </w:t>
      </w:r>
      <w:proofErr w:type="gramStart"/>
      <w:r w:rsidR="00B463A3">
        <w:t>2021.gada</w:t>
      </w:r>
      <w:proofErr w:type="gramEnd"/>
      <w:r w:rsidR="00B463A3">
        <w:t xml:space="preserve"> 4.oktobra lēmumu apsūdzētais </w:t>
      </w:r>
      <w:r w:rsidR="003F7EDA">
        <w:t>[pers. A]</w:t>
      </w:r>
      <w:r w:rsidR="00B463A3">
        <w:t xml:space="preserve"> un viņa aizstāvis G. Gailis iesnieguši kasācijas sūdzības, kurās lūgts atcelt apelācijas instances tiesas lēmumu pilnībā</w:t>
      </w:r>
      <w:r w:rsidR="00641271">
        <w:t xml:space="preserve">, turklāt aizstāvis lūdzis nosūtīt lietu jaunai izskatīšanai, bet apsūdzētais </w:t>
      </w:r>
      <w:r w:rsidR="00B463A3">
        <w:t>lūdzis lietu izskatīt mutvārdu procesā un izbeigt kriminālprocesu</w:t>
      </w:r>
      <w:r w:rsidR="00641271">
        <w:t>.</w:t>
      </w:r>
      <w:r w:rsidR="00B463A3">
        <w:t xml:space="preserve"> </w:t>
      </w:r>
    </w:p>
    <w:p w14:paraId="66465F8E" w14:textId="727A94CA" w:rsidR="006A1303" w:rsidRDefault="00B463A3" w:rsidP="00641271">
      <w:pPr>
        <w:spacing w:line="276" w:lineRule="auto"/>
        <w:ind w:firstLine="709"/>
        <w:jc w:val="both"/>
      </w:pPr>
      <w:r>
        <w:t>Kasācijas sūdzībās paustie lūgumi pamatoti ar turpmāk norādītajiem argumentiem</w:t>
      </w:r>
      <w:r w:rsidR="006A1303">
        <w:t>.</w:t>
      </w:r>
    </w:p>
    <w:p w14:paraId="6B017209" w14:textId="2A337556" w:rsidR="006A1303" w:rsidRDefault="00B463A3" w:rsidP="0090057E">
      <w:pPr>
        <w:spacing w:line="276" w:lineRule="auto"/>
        <w:ind w:firstLine="709"/>
        <w:jc w:val="both"/>
      </w:pPr>
      <w:r>
        <w:t>[</w:t>
      </w:r>
      <w:r w:rsidR="008A1456">
        <w:t>4.1</w:t>
      </w:r>
      <w:r>
        <w:t xml:space="preserve">] Apelācijas instances tiesa nepareizi piemērojusi Krimināllikuma </w:t>
      </w:r>
      <w:proofErr w:type="gramStart"/>
      <w:r>
        <w:t>157.panta</w:t>
      </w:r>
      <w:proofErr w:type="gramEnd"/>
      <w:r>
        <w:t xml:space="preserve"> otro daļu, kvalificējot </w:t>
      </w:r>
      <w:r w:rsidR="003F7EDA">
        <w:t>[pers. A]</w:t>
      </w:r>
      <w:r>
        <w:t xml:space="preserve"> inkriminēto noziedzīgo nodarījumu</w:t>
      </w:r>
      <w:r w:rsidR="00A56B08">
        <w:t xml:space="preserve"> un</w:t>
      </w:r>
      <w:r>
        <w:t xml:space="preserve"> tādējādi pieļāvusi Kriminālprocesa likuma 574.panta 2.punktā norādīto Krimināllikuma pārkāpumu.</w:t>
      </w:r>
    </w:p>
    <w:p w14:paraId="279037D7" w14:textId="70D62AE6" w:rsidR="006A1303" w:rsidRDefault="003F7EDA" w:rsidP="0090057E">
      <w:pPr>
        <w:spacing w:line="276" w:lineRule="auto"/>
        <w:ind w:firstLine="709"/>
        <w:jc w:val="both"/>
      </w:pPr>
      <w:r>
        <w:lastRenderedPageBreak/>
        <w:t>[Pers. A]</w:t>
      </w:r>
      <w:r w:rsidR="00B463A3">
        <w:t xml:space="preserve"> uzrādīta apsūdzība par neslavas celšanu masu saziņas līdzeklī. Tiesa, kvalificējot apsūdzētā nodarījumu, paplašināti tulkojusi Krimināllikuma </w:t>
      </w:r>
      <w:proofErr w:type="gramStart"/>
      <w:r w:rsidR="00B463A3">
        <w:t>157.panta</w:t>
      </w:r>
      <w:proofErr w:type="gramEnd"/>
      <w:r w:rsidR="00B463A3">
        <w:t xml:space="preserve"> dispozīcijā ietverto jēdzienu </w:t>
      </w:r>
      <w:r w:rsidR="008A1456">
        <w:t>„</w:t>
      </w:r>
      <w:r w:rsidR="00B463A3">
        <w:t xml:space="preserve">masu saziņas līdzeklis”. Saskaņā ar likuma </w:t>
      </w:r>
      <w:r w:rsidR="008A1456">
        <w:t>„</w:t>
      </w:r>
      <w:r w:rsidR="00B463A3">
        <w:t xml:space="preserve">Par presi un citiem masu informācijas līdzekļiem” </w:t>
      </w:r>
      <w:proofErr w:type="gramStart"/>
      <w:r w:rsidR="00B463A3">
        <w:t>2.panta</w:t>
      </w:r>
      <w:proofErr w:type="gramEnd"/>
      <w:r w:rsidR="00B463A3">
        <w:t xml:space="preserve"> pirmo daļu, informācijas līdzeklim, lai t</w:t>
      </w:r>
      <w:r w:rsidR="00641271">
        <w:t>o</w:t>
      </w:r>
      <w:r w:rsidR="00B463A3">
        <w:t xml:space="preserve"> atzīt</w:t>
      </w:r>
      <w:r w:rsidR="00641271">
        <w:t>u</w:t>
      </w:r>
      <w:r w:rsidR="00B463A3">
        <w:t xml:space="preserve"> par masu saziņas līdzekli, ir jābūt reģistrētam Uzņēmumu reģistra Masu informācijas līdzekļu reģistrā. Interneta vietne </w:t>
      </w:r>
      <w:r w:rsidR="006E367A">
        <w:t>www.</w:t>
      </w:r>
      <w:r w:rsidR="006E367A" w:rsidRPr="006E367A">
        <w:t>p</w:t>
      </w:r>
      <w:r w:rsidR="00B463A3" w:rsidRPr="006E367A">
        <w:t>ietiek.com</w:t>
      </w:r>
      <w:r w:rsidR="00B463A3">
        <w:t xml:space="preserve"> šajā reģistrā nav ietverta.</w:t>
      </w:r>
    </w:p>
    <w:p w14:paraId="269F3040" w14:textId="076B2533" w:rsidR="00513999" w:rsidRDefault="00B463A3" w:rsidP="0090057E">
      <w:pPr>
        <w:spacing w:line="276" w:lineRule="auto"/>
        <w:ind w:firstLine="709"/>
        <w:jc w:val="both"/>
      </w:pPr>
      <w:r>
        <w:t xml:space="preserve">Tiesa, pamatojoties uz subjektīviem apsvērumiem, atsaucoties uz juridisko literatūru, kas nav tiesību doktrīna, nemotivēti atzinusi interneta vietni </w:t>
      </w:r>
      <w:r w:rsidR="006E367A">
        <w:t>www</w:t>
      </w:r>
      <w:r w:rsidR="006E367A" w:rsidRPr="006E367A">
        <w:t>.p</w:t>
      </w:r>
      <w:r w:rsidRPr="006E367A">
        <w:t>ietiek.com</w:t>
      </w:r>
      <w:r>
        <w:t xml:space="preserve"> par masu saziņas līdzekli Krimināllikuma </w:t>
      </w:r>
      <w:proofErr w:type="gramStart"/>
      <w:r>
        <w:t>157.panta</w:t>
      </w:r>
      <w:proofErr w:type="gramEnd"/>
      <w:r>
        <w:t xml:space="preserve"> izpratnē.</w:t>
      </w:r>
    </w:p>
    <w:p w14:paraId="4E865F94" w14:textId="14C435FF" w:rsidR="00513999" w:rsidRDefault="00B463A3" w:rsidP="0090057E">
      <w:pPr>
        <w:spacing w:line="276" w:lineRule="auto"/>
        <w:ind w:firstLine="709"/>
        <w:jc w:val="both"/>
      </w:pPr>
      <w:r>
        <w:t>[</w:t>
      </w:r>
      <w:r w:rsidR="006E367A">
        <w:t>4.2</w:t>
      </w:r>
      <w:r>
        <w:t xml:space="preserve">] Apelācijas instances tiesa ir nepamatoti iztiesājusi lietu </w:t>
      </w:r>
      <w:r w:rsidR="005D74AA">
        <w:t xml:space="preserve">bez </w:t>
      </w:r>
      <w:r>
        <w:t xml:space="preserve">apsūdzētā </w:t>
      </w:r>
      <w:r w:rsidR="005D74AA">
        <w:t>klātbūtnes</w:t>
      </w:r>
      <w:r w:rsidR="00FD1617">
        <w:t>,</w:t>
      </w:r>
      <w:r>
        <w:t xml:space="preserve"> </w:t>
      </w:r>
      <w:r w:rsidR="00A56B08">
        <w:t>liedzot</w:t>
      </w:r>
      <w:r>
        <w:t xml:space="preserve"> viņam </w:t>
      </w:r>
      <w:r w:rsidR="00A56B08">
        <w:t xml:space="preserve">iespēju </w:t>
      </w:r>
      <w:r>
        <w:t>teikt pēdējo vārdu,</w:t>
      </w:r>
      <w:r w:rsidR="00A56B08">
        <w:t xml:space="preserve"> jo apsūdzētais bija sniedzis rakstveidā ziņas par savas neierašanās uz tiesas sēdi attaisnojošiem iemesliem.</w:t>
      </w:r>
      <w:r>
        <w:t xml:space="preserve"> </w:t>
      </w:r>
      <w:r w:rsidR="00A56B08">
        <w:t>T</w:t>
      </w:r>
      <w:r>
        <w:t xml:space="preserve">ādējādi </w:t>
      </w:r>
      <w:r w:rsidR="00A56B08">
        <w:t xml:space="preserve">tiesa </w:t>
      </w:r>
      <w:r>
        <w:t xml:space="preserve">pieļāvusi Kriminālprocesa likuma </w:t>
      </w:r>
      <w:proofErr w:type="gramStart"/>
      <w:r>
        <w:t>575.panta</w:t>
      </w:r>
      <w:proofErr w:type="gramEnd"/>
      <w:r>
        <w:t xml:space="preserve"> pirmās daļas 5.punktā norādīto pārkāpumu</w:t>
      </w:r>
      <w:r w:rsidR="005D74AA">
        <w:t>,</w:t>
      </w:r>
      <w:r>
        <w:t xml:space="preserve"> kā arī pārkāpusi Kriminālprocesa likuma 72.panta otro daļu, 71.panta 11.punktu un 463.panta pirmo daļu un nepamatoti piemērojusi 464.panta pirmo daļu</w:t>
      </w:r>
      <w:r w:rsidR="00FD1617">
        <w:t>.</w:t>
      </w:r>
      <w:r>
        <w:t xml:space="preserve"> </w:t>
      </w:r>
    </w:p>
    <w:p w14:paraId="4D1BF466" w14:textId="2961084D" w:rsidR="00513999" w:rsidRPr="000847CB" w:rsidRDefault="00B463A3" w:rsidP="0090057E">
      <w:pPr>
        <w:spacing w:line="276" w:lineRule="auto"/>
        <w:ind w:firstLine="709"/>
        <w:jc w:val="both"/>
        <w:rPr>
          <w:color w:val="000000" w:themeColor="text1"/>
        </w:rPr>
      </w:pPr>
      <w:r w:rsidRPr="000847CB">
        <w:rPr>
          <w:color w:val="000000" w:themeColor="text1"/>
        </w:rPr>
        <w:t>[</w:t>
      </w:r>
      <w:r w:rsidR="006E367A" w:rsidRPr="000847CB">
        <w:rPr>
          <w:color w:val="000000" w:themeColor="text1"/>
        </w:rPr>
        <w:t>4.3</w:t>
      </w:r>
      <w:r w:rsidRPr="000847CB">
        <w:rPr>
          <w:color w:val="000000" w:themeColor="text1"/>
        </w:rPr>
        <w:t xml:space="preserve">] Tiesa pamatojusi nolēmumu ar pierādījumiem, kuri neatbilst Kriminālprocesa likuma </w:t>
      </w:r>
      <w:proofErr w:type="gramStart"/>
      <w:r w:rsidRPr="000847CB">
        <w:rPr>
          <w:color w:val="000000" w:themeColor="text1"/>
        </w:rPr>
        <w:t>127.pantā</w:t>
      </w:r>
      <w:proofErr w:type="gramEnd"/>
      <w:r w:rsidRPr="000847CB">
        <w:rPr>
          <w:color w:val="000000" w:themeColor="text1"/>
        </w:rPr>
        <w:t xml:space="preserve"> noteiktajiem kritērijiem ziņu atzīšanai par pierādījumu, un atsaukusies uz lietas materiāliem, kuri neatbilst dokumenta oriģinālam izvirzītajām prasībām,</w:t>
      </w:r>
      <w:r w:rsidR="00FD1617" w:rsidRPr="000847CB">
        <w:rPr>
          <w:color w:val="000000" w:themeColor="text1"/>
        </w:rPr>
        <w:t xml:space="preserve"> tie satur ziņas par publikācijām, kuras nepastāv un nav pastāvējušas.</w:t>
      </w:r>
      <w:r w:rsidRPr="000847CB">
        <w:rPr>
          <w:color w:val="000000" w:themeColor="text1"/>
        </w:rPr>
        <w:t xml:space="preserve"> Tiesas izmeklēšanā nav iegūti pierādījumi tam, ka interneta vietnē </w:t>
      </w:r>
      <w:r w:rsidR="006E367A" w:rsidRPr="000847CB">
        <w:rPr>
          <w:color w:val="000000" w:themeColor="text1"/>
        </w:rPr>
        <w:t>www.p</w:t>
      </w:r>
      <w:r w:rsidRPr="000847CB">
        <w:rPr>
          <w:color w:val="000000" w:themeColor="text1"/>
        </w:rPr>
        <w:t xml:space="preserve">ietiek.com ir publicēti raksti, par kuru publicēšanu iesniegtās ziņas – izdrukas un apskates protokols – atzītas par pieļaujamiem pierādījumiem, kā arī, rakstus, ja tādi ir bijuši, publicējis </w:t>
      </w:r>
      <w:r w:rsidR="003F7EDA">
        <w:rPr>
          <w:color w:val="000000" w:themeColor="text1"/>
        </w:rPr>
        <w:t>[pers. A]</w:t>
      </w:r>
      <w:r w:rsidRPr="000847CB">
        <w:rPr>
          <w:color w:val="000000" w:themeColor="text1"/>
        </w:rPr>
        <w:t>.</w:t>
      </w:r>
    </w:p>
    <w:p w14:paraId="34DF42F7" w14:textId="2466E0A9" w:rsidR="00513999" w:rsidRDefault="00B463A3" w:rsidP="0090057E">
      <w:pPr>
        <w:spacing w:line="276" w:lineRule="auto"/>
        <w:ind w:firstLine="709"/>
        <w:jc w:val="both"/>
      </w:pPr>
      <w:r>
        <w:t>[</w:t>
      </w:r>
      <w:r w:rsidR="0007754B">
        <w:t>4.4</w:t>
      </w:r>
      <w:r>
        <w:t xml:space="preserve">] Tiesa pamatojusi spriedumu ar pierādījumiem </w:t>
      </w:r>
      <w:r w:rsidR="005D74AA">
        <w:t>(divām</w:t>
      </w:r>
      <w:r>
        <w:t xml:space="preserve"> izdrukām no sociālā tīkla </w:t>
      </w:r>
      <w:proofErr w:type="spellStart"/>
      <w:r w:rsidRPr="0007754B">
        <w:rPr>
          <w:i/>
          <w:iCs/>
        </w:rPr>
        <w:t>Facebook</w:t>
      </w:r>
      <w:proofErr w:type="spellEnd"/>
      <w:r>
        <w:t>), kuri nav pārbaudīti tiesas sēdē</w:t>
      </w:r>
      <w:r w:rsidR="00FD1617">
        <w:t>,</w:t>
      </w:r>
      <w:r w:rsidR="005D74AA">
        <w:t xml:space="preserve"> un</w:t>
      </w:r>
      <w:r>
        <w:t xml:space="preserve"> tādējādi pārkāpusi Kriminālprocesa likuma </w:t>
      </w:r>
      <w:proofErr w:type="gramStart"/>
      <w:r>
        <w:t>512.panta</w:t>
      </w:r>
      <w:proofErr w:type="gramEnd"/>
      <w:r>
        <w:t xml:space="preserve"> otrās daļas 1.punktu.</w:t>
      </w:r>
    </w:p>
    <w:p w14:paraId="68F053F0" w14:textId="79BDA4E8" w:rsidR="00513999" w:rsidRDefault="00B463A3" w:rsidP="0090057E">
      <w:pPr>
        <w:spacing w:line="276" w:lineRule="auto"/>
        <w:ind w:firstLine="709"/>
        <w:jc w:val="both"/>
      </w:pPr>
      <w:r>
        <w:t>[</w:t>
      </w:r>
      <w:r w:rsidR="0007754B">
        <w:t>4.5</w:t>
      </w:r>
      <w:r>
        <w:t xml:space="preserve">] Apelācijas instances tiesa ir pārbaudījusi </w:t>
      </w:r>
      <w:r w:rsidR="0044474F">
        <w:t xml:space="preserve">apsūdzētā un cietušā </w:t>
      </w:r>
      <w:r w:rsidR="003F7EDA">
        <w:t>[pers. B]</w:t>
      </w:r>
      <w:r w:rsidR="0044474F">
        <w:t xml:space="preserve"> </w:t>
      </w:r>
      <w:r>
        <w:t xml:space="preserve">pirmstiesas izmeklēšanā sniegtās liecības, nejautājot, vai apsūdzētais un viņa aizstāvis piekrīt šo pierādījumu izmantošanai. Tādējādi tiesa pārkāpusi Kriminālprocesa likuma </w:t>
      </w:r>
      <w:proofErr w:type="gramStart"/>
      <w:r>
        <w:t>512.panta</w:t>
      </w:r>
      <w:proofErr w:type="gramEnd"/>
      <w:r>
        <w:t xml:space="preserve"> otrās daļas 4.punktu.</w:t>
      </w:r>
    </w:p>
    <w:p w14:paraId="43E6AAD9" w14:textId="313C2E1E" w:rsidR="00513999" w:rsidRDefault="00B463A3" w:rsidP="0090057E">
      <w:pPr>
        <w:spacing w:line="276" w:lineRule="auto"/>
        <w:ind w:firstLine="709"/>
        <w:jc w:val="both"/>
      </w:pPr>
      <w:r>
        <w:t>[</w:t>
      </w:r>
      <w:r w:rsidR="0007754B">
        <w:t>4.6</w:t>
      </w:r>
      <w:r>
        <w:t xml:space="preserve">] Iztiesājot lietu bez apsūdzētā </w:t>
      </w:r>
      <w:r w:rsidR="005D74AA">
        <w:t>piedalīšanās</w:t>
      </w:r>
      <w:r>
        <w:t xml:space="preserve">, tiesa ir liegusi </w:t>
      </w:r>
      <w:r w:rsidR="003F7EDA">
        <w:t>[pers. A]</w:t>
      </w:r>
      <w:r>
        <w:t xml:space="preserve"> izteikties par liecinieku </w:t>
      </w:r>
      <w:r w:rsidR="003F7EDA">
        <w:t>[pers. C]</w:t>
      </w:r>
      <w:r>
        <w:t xml:space="preserve"> un </w:t>
      </w:r>
      <w:r w:rsidR="003F7EDA">
        <w:t>[pers. D]</w:t>
      </w:r>
      <w:r>
        <w:t xml:space="preserve"> liecību izmantošanu pierādīšanā.</w:t>
      </w:r>
    </w:p>
    <w:p w14:paraId="0F48F81C" w14:textId="14E30201" w:rsidR="00513999" w:rsidRDefault="00B463A3" w:rsidP="0090057E">
      <w:pPr>
        <w:spacing w:line="276" w:lineRule="auto"/>
        <w:ind w:firstLine="709"/>
        <w:jc w:val="both"/>
      </w:pPr>
      <w:r>
        <w:t>[</w:t>
      </w:r>
      <w:r w:rsidR="0007754B">
        <w:t>4.7</w:t>
      </w:r>
      <w:r>
        <w:t xml:space="preserve">] Iztiesājot lietu, tiesa nav ņēmusi vērā, ka saskaņā ar Kriminālprocesa likuma </w:t>
      </w:r>
      <w:proofErr w:type="gramStart"/>
      <w:r>
        <w:t>7.panta</w:t>
      </w:r>
      <w:proofErr w:type="gramEnd"/>
      <w:r>
        <w:t xml:space="preserve"> otro daļu kriminālprocesu pēc Krimināllikuma 157.panta var uzsākt tikai gadījumā, ja saņemts tās personas pietiekums, kurai nodarīts kaitējums. Izskatāmajā lietā par cietušo atzītajai personai kaitējums nav nodarīts.</w:t>
      </w:r>
    </w:p>
    <w:p w14:paraId="1DC3D2AC" w14:textId="2C664DB2" w:rsidR="00513999" w:rsidRDefault="00B463A3" w:rsidP="0090057E">
      <w:pPr>
        <w:spacing w:line="276" w:lineRule="auto"/>
        <w:ind w:firstLine="709"/>
        <w:jc w:val="both"/>
      </w:pPr>
      <w:r>
        <w:t>[</w:t>
      </w:r>
      <w:r w:rsidR="0007754B">
        <w:t>4.8</w:t>
      </w:r>
      <w:r>
        <w:t xml:space="preserve">] Apelācijas instances tiesa, taisot spriedumu, nepamatoti piemērojusi Kriminālprocesa likuma </w:t>
      </w:r>
      <w:proofErr w:type="gramStart"/>
      <w:r>
        <w:t>564.panta</w:t>
      </w:r>
      <w:proofErr w:type="gramEnd"/>
      <w:r>
        <w:t xml:space="preserve"> sesto daļu, jo pirmās instances tiesa savā spriedumā nav atsaukusies uz konkrētiem pierādījumiem</w:t>
      </w:r>
      <w:r w:rsidR="0044474F">
        <w:t>, nav</w:t>
      </w:r>
      <w:r>
        <w:t xml:space="preserve"> citējusi dokumentus vai liecību fragmentus.</w:t>
      </w:r>
    </w:p>
    <w:p w14:paraId="39577347" w14:textId="7873C4E4" w:rsidR="00513999" w:rsidRDefault="00B463A3" w:rsidP="0090057E">
      <w:pPr>
        <w:spacing w:line="276" w:lineRule="auto"/>
        <w:ind w:firstLine="709"/>
        <w:jc w:val="both"/>
      </w:pPr>
      <w:r>
        <w:t>[</w:t>
      </w:r>
      <w:r w:rsidR="0007754B">
        <w:t>4.9</w:t>
      </w:r>
      <w:r>
        <w:t>] Tiesas atzinum</w:t>
      </w:r>
      <w:r w:rsidR="0007754B">
        <w:t>s</w:t>
      </w:r>
      <w:r>
        <w:t xml:space="preserve"> par apsūdzētā vainīgumu ir nepamatots. Turklāt tiesa nepamatoti noraidījusi apsūdzētā lūgumu par </w:t>
      </w:r>
      <w:r w:rsidR="00970EA3">
        <w:t>interneta vietnes www.p</w:t>
      </w:r>
      <w:r>
        <w:t>ietiek.com tehniskās administrācijas</w:t>
      </w:r>
      <w:r w:rsidR="0044474F">
        <w:t xml:space="preserve"> darbinieku</w:t>
      </w:r>
      <w:r>
        <w:t xml:space="preserve"> nopratināšanu un, vērtējot pierādījumus, nav ņēmusi vērā, ka pirmstiesas izmeklēšanā n</w:t>
      </w:r>
      <w:r w:rsidR="005D74AA">
        <w:t>av</w:t>
      </w:r>
      <w:r>
        <w:t xml:space="preserve"> izņemta un nodota ekspertīzei apsūdzētā lietošanā esošā datortehnika.</w:t>
      </w:r>
    </w:p>
    <w:p w14:paraId="55E7F1C6" w14:textId="41960E61" w:rsidR="00513999" w:rsidRDefault="00B463A3" w:rsidP="0090057E">
      <w:pPr>
        <w:spacing w:line="276" w:lineRule="auto"/>
        <w:ind w:firstLine="709"/>
        <w:jc w:val="both"/>
      </w:pPr>
      <w:r w:rsidRPr="007C07A5">
        <w:t>[</w:t>
      </w:r>
      <w:r w:rsidR="00023130" w:rsidRPr="007C07A5">
        <w:t>4.10</w:t>
      </w:r>
      <w:r w:rsidRPr="007C07A5">
        <w:t xml:space="preserve">] </w:t>
      </w:r>
      <w:r w:rsidR="007C07A5" w:rsidRPr="007C07A5">
        <w:t>Lingvistiskā</w:t>
      </w:r>
      <w:r w:rsidRPr="007C07A5">
        <w:t xml:space="preserve"> ekspertīze ir </w:t>
      </w:r>
      <w:r>
        <w:t>noteikta</w:t>
      </w:r>
      <w:r w:rsidR="0044474F">
        <w:t>,</w:t>
      </w:r>
      <w:r>
        <w:t xml:space="preserve"> pārkāpjot Kriminālprocesa likuma </w:t>
      </w:r>
      <w:proofErr w:type="gramStart"/>
      <w:r>
        <w:t>194.panta</w:t>
      </w:r>
      <w:proofErr w:type="gramEnd"/>
      <w:r>
        <w:t xml:space="preserve"> pirmajā daļā noteikto ekspertīzes pamatu. Turklāt eksperta atzinums, uz kuru tiesa atsaucās, pamatojot atzinumus spriedumā, nav pārbaudīts tiesas izmeklēšanā.</w:t>
      </w:r>
    </w:p>
    <w:p w14:paraId="7D7FF389" w14:textId="365F9176" w:rsidR="00513999" w:rsidRDefault="00B463A3" w:rsidP="0090057E">
      <w:pPr>
        <w:spacing w:line="276" w:lineRule="auto"/>
        <w:ind w:firstLine="709"/>
        <w:jc w:val="both"/>
      </w:pPr>
      <w:r>
        <w:lastRenderedPageBreak/>
        <w:t xml:space="preserve">Izlemjot apsūdzētā lūgumu par atkārtotas ekspertīzes noteikšanu, tiesa ir pārkāpusi Kriminālprocesa likuma </w:t>
      </w:r>
      <w:proofErr w:type="gramStart"/>
      <w:r>
        <w:t>473.panta</w:t>
      </w:r>
      <w:proofErr w:type="gramEnd"/>
      <w:r>
        <w:t xml:space="preserve"> otrās daļas 4.punktu un trešo daļu, jo </w:t>
      </w:r>
      <w:r w:rsidR="005D74AA">
        <w:t xml:space="preserve">tiesas pieņemtais lēmums </w:t>
      </w:r>
      <w:r>
        <w:t xml:space="preserve">nav </w:t>
      </w:r>
      <w:r w:rsidR="005D74AA">
        <w:t>sa</w:t>
      </w:r>
      <w:r>
        <w:t>gatavo</w:t>
      </w:r>
      <w:r w:rsidR="005D74AA">
        <w:t>ts dokumenta veidā.</w:t>
      </w:r>
    </w:p>
    <w:p w14:paraId="6E943C1D" w14:textId="2D07B0DD" w:rsidR="00B463A3" w:rsidRPr="009D6E38" w:rsidRDefault="00B463A3" w:rsidP="0090057E">
      <w:pPr>
        <w:spacing w:line="276" w:lineRule="auto"/>
        <w:ind w:firstLine="709"/>
        <w:jc w:val="both"/>
      </w:pPr>
      <w:r>
        <w:t>[</w:t>
      </w:r>
      <w:r w:rsidR="00023130">
        <w:t>4.11</w:t>
      </w:r>
      <w:r>
        <w:t xml:space="preserve">] Lieta apelācijas instances tiesā iztiesāta interešu konflikta apstākļos, jo divas no tiesas sastāva tiesnesēm un cietušais ir tikuši nodarbināti un saņēmuši atalgojumu vienā un tajā pašā privātstruktūrā – </w:t>
      </w:r>
      <w:r w:rsidR="00A27A20">
        <w:t>„</w:t>
      </w:r>
      <w:r>
        <w:t xml:space="preserve">Latvijas tiesnešu mācību centrs”. </w:t>
      </w:r>
    </w:p>
    <w:p w14:paraId="24C9BD7D" w14:textId="47D305B8" w:rsidR="001F557E" w:rsidRDefault="001F557E" w:rsidP="0090057E">
      <w:pPr>
        <w:spacing w:line="276" w:lineRule="auto"/>
        <w:ind w:firstLine="709"/>
        <w:jc w:val="both"/>
      </w:pPr>
    </w:p>
    <w:p w14:paraId="797CA75C" w14:textId="77777777" w:rsidR="001F557E" w:rsidRPr="000F4DBA" w:rsidRDefault="001F557E" w:rsidP="001F557E">
      <w:pPr>
        <w:spacing w:line="276" w:lineRule="auto"/>
        <w:jc w:val="center"/>
        <w:rPr>
          <w:b/>
        </w:rPr>
      </w:pPr>
      <w:r w:rsidRPr="007309D0">
        <w:rPr>
          <w:b/>
        </w:rPr>
        <w:t>Motīvu daļa</w:t>
      </w:r>
    </w:p>
    <w:p w14:paraId="3E2D7FCA" w14:textId="77777777" w:rsidR="001F557E" w:rsidRDefault="001F557E" w:rsidP="001F557E">
      <w:pPr>
        <w:spacing w:line="276" w:lineRule="auto"/>
        <w:ind w:firstLine="709"/>
        <w:jc w:val="both"/>
      </w:pPr>
    </w:p>
    <w:p w14:paraId="124B6044" w14:textId="70D8CA28" w:rsidR="007C07A5" w:rsidRDefault="00023130" w:rsidP="0090057E">
      <w:pPr>
        <w:spacing w:line="276" w:lineRule="auto"/>
        <w:ind w:firstLine="709"/>
        <w:jc w:val="both"/>
      </w:pPr>
      <w:r>
        <w:rPr>
          <w:rFonts w:eastAsia="Calibri"/>
        </w:rPr>
        <w:t>[5]</w:t>
      </w:r>
      <w:r>
        <w:t xml:space="preserve"> Apsūdzētais </w:t>
      </w:r>
      <w:r w:rsidR="003F7EDA">
        <w:t>[pers. A]</w:t>
      </w:r>
      <w:r>
        <w:t xml:space="preserve"> kasācijas sūdzībā l</w:t>
      </w:r>
      <w:r w:rsidR="00AC016C">
        <w:t>ūdzis</w:t>
      </w:r>
      <w:r>
        <w:t xml:space="preserve"> izskatīt lietu mutvārdu procesā. Senāts atzīst, ka apsūdzētā </w:t>
      </w:r>
      <w:r w:rsidR="003F7EDA">
        <w:t>[pers. A]</w:t>
      </w:r>
      <w:r>
        <w:t xml:space="preserve"> lūgums par lietas izskatīšanu mutvārdu procesā ir noraidāms. </w:t>
      </w:r>
    </w:p>
    <w:p w14:paraId="7A0EB89B" w14:textId="4871B7C8" w:rsidR="007C07A5" w:rsidRDefault="00023130" w:rsidP="0090057E">
      <w:pPr>
        <w:spacing w:line="276" w:lineRule="auto"/>
        <w:ind w:firstLine="709"/>
        <w:jc w:val="both"/>
      </w:pPr>
      <w:r>
        <w:t xml:space="preserve">Saskaņā ar Kriminālprocesa likuma </w:t>
      </w:r>
      <w:proofErr w:type="gramStart"/>
      <w:r>
        <w:t>583.panta</w:t>
      </w:r>
      <w:proofErr w:type="gramEnd"/>
      <w:r>
        <w:t xml:space="preserve"> pirmo daļu, </w:t>
      </w:r>
      <w:r w:rsidR="00AC016C">
        <w:t>ierosinot kasācijas tiesvedību, tiesa nosaka lietas izskatīšanu rakstveida procesā vai izskatīšanu tiesas sēdē</w:t>
      </w:r>
      <w:r>
        <w:t xml:space="preserve">. No šā panta otrās daļas </w:t>
      </w:r>
      <w:r w:rsidR="00AC016C">
        <w:t>konstatējams</w:t>
      </w:r>
      <w:r>
        <w:t xml:space="preserve">,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5DDC143D" w14:textId="70B8BBEF" w:rsidR="00023130" w:rsidRDefault="00023130" w:rsidP="0090057E">
      <w:pPr>
        <w:spacing w:line="276" w:lineRule="auto"/>
        <w:ind w:firstLine="709"/>
        <w:jc w:val="both"/>
        <w:rPr>
          <w:rFonts w:eastAsia="Calibri"/>
        </w:rPr>
      </w:pPr>
      <w:r>
        <w:t>Kasācijas instances tiesa atzīst, ka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14:paraId="5044D50A" w14:textId="77777777" w:rsidR="00023130" w:rsidRDefault="00023130" w:rsidP="0090057E">
      <w:pPr>
        <w:spacing w:line="276" w:lineRule="auto"/>
        <w:ind w:firstLine="709"/>
        <w:jc w:val="both"/>
        <w:rPr>
          <w:rFonts w:eastAsia="Calibri"/>
        </w:rPr>
      </w:pPr>
    </w:p>
    <w:p w14:paraId="35B3FA90" w14:textId="0375D809" w:rsidR="003C0817" w:rsidRDefault="001F557E" w:rsidP="003C0817">
      <w:pPr>
        <w:spacing w:line="276" w:lineRule="auto"/>
        <w:ind w:firstLine="709"/>
        <w:jc w:val="both"/>
        <w:rPr>
          <w:rFonts w:eastAsia="Calibri"/>
        </w:rPr>
      </w:pPr>
      <w:r w:rsidRPr="00E12FF5">
        <w:rPr>
          <w:rFonts w:eastAsia="Calibri"/>
        </w:rPr>
        <w:t>[</w:t>
      </w:r>
      <w:r w:rsidR="00023130">
        <w:rPr>
          <w:rFonts w:eastAsia="Calibri"/>
        </w:rPr>
        <w:t>6</w:t>
      </w:r>
      <w:r w:rsidRPr="00E12FF5">
        <w:rPr>
          <w:rFonts w:eastAsia="Calibri"/>
        </w:rPr>
        <w:t xml:space="preserve">] Senāts atzīst, ka </w:t>
      </w:r>
      <w:r w:rsidR="00513999">
        <w:rPr>
          <w:rFonts w:eastAsia="Calibri"/>
        </w:rPr>
        <w:t>Rīgas</w:t>
      </w:r>
      <w:r w:rsidRPr="00E12FF5">
        <w:rPr>
          <w:rFonts w:eastAsia="Calibri"/>
        </w:rPr>
        <w:t xml:space="preserve"> apgabaltiesas </w:t>
      </w:r>
      <w:proofErr w:type="gramStart"/>
      <w:r w:rsidRPr="00E12FF5">
        <w:rPr>
          <w:rFonts w:eastAsia="Calibri"/>
        </w:rPr>
        <w:t>20</w:t>
      </w:r>
      <w:r>
        <w:rPr>
          <w:rFonts w:eastAsia="Calibri"/>
        </w:rPr>
        <w:t>21.gada</w:t>
      </w:r>
      <w:proofErr w:type="gramEnd"/>
      <w:r>
        <w:rPr>
          <w:rFonts w:eastAsia="Calibri"/>
        </w:rPr>
        <w:t xml:space="preserve"> </w:t>
      </w:r>
      <w:r w:rsidR="00513999">
        <w:rPr>
          <w:rFonts w:eastAsia="Calibri"/>
        </w:rPr>
        <w:t>4.oktobra</w:t>
      </w:r>
      <w:r>
        <w:rPr>
          <w:rFonts w:eastAsia="Calibri"/>
        </w:rPr>
        <w:t xml:space="preserve"> lēmums</w:t>
      </w:r>
      <w:r w:rsidRPr="00E12FF5">
        <w:rPr>
          <w:rFonts w:eastAsia="Calibri"/>
        </w:rPr>
        <w:t xml:space="preserve"> atstājams negrozīts, bet </w:t>
      </w:r>
      <w:r w:rsidR="00513999">
        <w:rPr>
          <w:rFonts w:eastAsia="Calibri"/>
        </w:rPr>
        <w:t xml:space="preserve">apsūdzētā </w:t>
      </w:r>
      <w:r w:rsidR="003F7EDA">
        <w:rPr>
          <w:rFonts w:eastAsia="Calibri"/>
        </w:rPr>
        <w:t>[pers. A]</w:t>
      </w:r>
      <w:r w:rsidR="00513999">
        <w:rPr>
          <w:rFonts w:eastAsia="Calibri"/>
        </w:rPr>
        <w:t xml:space="preserve"> un viņa aizstāvja G. Gaiļa kasācijas sūdzības n</w:t>
      </w:r>
      <w:r w:rsidRPr="00E12FF5">
        <w:rPr>
          <w:rFonts w:eastAsia="Calibri"/>
        </w:rPr>
        <w:t>oraidām</w:t>
      </w:r>
      <w:r w:rsidR="00513999">
        <w:rPr>
          <w:rFonts w:eastAsia="Calibri"/>
        </w:rPr>
        <w:t>a</w:t>
      </w:r>
      <w:r w:rsidRPr="00E12FF5">
        <w:rPr>
          <w:rFonts w:eastAsia="Calibri"/>
        </w:rPr>
        <w:t>s.</w:t>
      </w:r>
    </w:p>
    <w:p w14:paraId="2387A14E" w14:textId="77777777" w:rsidR="003C0817" w:rsidRDefault="003C0817" w:rsidP="003C0817">
      <w:pPr>
        <w:spacing w:line="276" w:lineRule="auto"/>
        <w:ind w:firstLine="709"/>
        <w:jc w:val="both"/>
        <w:rPr>
          <w:rFonts w:eastAsia="Calibri"/>
        </w:rPr>
      </w:pPr>
    </w:p>
    <w:p w14:paraId="54FE7441" w14:textId="54E48439" w:rsidR="00A30D6D" w:rsidRDefault="003C0817" w:rsidP="003C0817">
      <w:pPr>
        <w:spacing w:line="276" w:lineRule="auto"/>
        <w:ind w:firstLine="709"/>
        <w:jc w:val="both"/>
      </w:pPr>
      <w:r>
        <w:rPr>
          <w:rFonts w:eastAsia="Calibri"/>
        </w:rPr>
        <w:t xml:space="preserve">[7] </w:t>
      </w:r>
      <w:r>
        <w:t xml:space="preserve">Pirmās instances tiesa, atsaucoties uz konkrētiem lietā iegūtiem un tiesas sēdē pārbaudītiem pierādījumiem, ir konstatējusi apsūdzētā </w:t>
      </w:r>
      <w:r w:rsidR="003F7EDA">
        <w:t>[pers. A]</w:t>
      </w:r>
      <w:r>
        <w:t xml:space="preserve"> darbībās visas nepieciešamās un obligātās Krimināllikuma </w:t>
      </w:r>
      <w:proofErr w:type="gramStart"/>
      <w:r>
        <w:t>157.panta</w:t>
      </w:r>
      <w:proofErr w:type="gramEnd"/>
      <w:r>
        <w:t xml:space="preserve"> otrajā daļā paredzētā noziedzīgā nodarījuma sastāva pazīmes. </w:t>
      </w:r>
    </w:p>
    <w:p w14:paraId="738E3BC1" w14:textId="5C161A51" w:rsidR="00A30D6D" w:rsidRDefault="003C0817" w:rsidP="003C0817">
      <w:pPr>
        <w:spacing w:line="276" w:lineRule="auto"/>
        <w:ind w:firstLine="709"/>
        <w:jc w:val="both"/>
      </w:pPr>
      <w:r>
        <w:t xml:space="preserve">Pamatojoties uz lietā iegūtajiem, pārbaudītajiem un novērtētajiem pierādījumiem, pirmās instances tiesa atzinusi, ka apsūdzētā </w:t>
      </w:r>
      <w:r w:rsidR="003F7EDA">
        <w:t>[pers. A]</w:t>
      </w:r>
      <w:r>
        <w:t xml:space="preserve"> vainīgums viņam inkriminētajā noziedzīgajā nodarījumā ir pierādīts ārpus saprātīgām šaubām. </w:t>
      </w:r>
    </w:p>
    <w:p w14:paraId="36810526" w14:textId="0F24C29B" w:rsidR="008E7C6E" w:rsidRPr="00AE0B92" w:rsidRDefault="008E7C6E" w:rsidP="008E7C6E">
      <w:pPr>
        <w:spacing w:line="276" w:lineRule="auto"/>
        <w:ind w:firstLine="709"/>
        <w:jc w:val="both"/>
      </w:pPr>
      <w:r>
        <w:t xml:space="preserve">Apelācijas instances tiesa atzina pirmās instances tiesas spriedumu par tiesisku un pamatotu un atstāja to bez grozījumiem. </w:t>
      </w:r>
      <w:r w:rsidRPr="00AE0B92">
        <w:t xml:space="preserve">No apelācijas instances tiesas lēmuma satura redzams, ka tiesa ir pārbaudījusi un </w:t>
      </w:r>
      <w:proofErr w:type="gramStart"/>
      <w:r w:rsidRPr="00AE0B92">
        <w:t>vērtējusi pirmās instances tiesas spriedumā</w:t>
      </w:r>
      <w:proofErr w:type="gramEnd"/>
      <w:r w:rsidRPr="00AE0B92">
        <w:t xml:space="preserve"> minētos pierādījumus</w:t>
      </w:r>
      <w:r>
        <w:t>,</w:t>
      </w:r>
      <w:r w:rsidRPr="00AE0B92">
        <w:t xml:space="preserve"> tostarp saistībā ar apsūdzēt</w:t>
      </w:r>
      <w:r>
        <w:t xml:space="preserve">ā </w:t>
      </w:r>
      <w:r w:rsidR="003F7EDA">
        <w:t>[pers. A]</w:t>
      </w:r>
      <w:r w:rsidRPr="00AE0B92">
        <w:t xml:space="preserve"> apelācijas sūdzības motīviem.</w:t>
      </w:r>
    </w:p>
    <w:p w14:paraId="737B9939" w14:textId="77777777" w:rsidR="00AB206E" w:rsidRDefault="00AB206E" w:rsidP="0090057E">
      <w:pPr>
        <w:spacing w:line="276" w:lineRule="auto"/>
        <w:jc w:val="both"/>
      </w:pPr>
    </w:p>
    <w:p w14:paraId="68C5E963" w14:textId="748E2C60" w:rsidR="003520CA" w:rsidRDefault="003520CA" w:rsidP="0090057E">
      <w:pPr>
        <w:spacing w:line="276" w:lineRule="auto"/>
        <w:ind w:firstLine="720"/>
        <w:jc w:val="both"/>
      </w:pPr>
      <w:r>
        <w:t>[</w:t>
      </w:r>
      <w:r w:rsidR="003C0817">
        <w:t>8</w:t>
      </w:r>
      <w:r>
        <w:t xml:space="preserve">] Senāts atzīst par nepamatotu kasācijas sūdzībās ietverto norādi uz Kriminālprocesa likuma </w:t>
      </w:r>
      <w:proofErr w:type="gramStart"/>
      <w:r>
        <w:t>464.panta</w:t>
      </w:r>
      <w:proofErr w:type="gramEnd"/>
      <w:r>
        <w:t xml:space="preserve"> pirmās daļas pārkāpumu.</w:t>
      </w:r>
    </w:p>
    <w:p w14:paraId="0B977973" w14:textId="77777777" w:rsidR="003520CA" w:rsidRDefault="003520CA" w:rsidP="0090057E">
      <w:pPr>
        <w:spacing w:line="276" w:lineRule="auto"/>
        <w:ind w:firstLine="720"/>
        <w:jc w:val="both"/>
      </w:pPr>
      <w:r>
        <w:t xml:space="preserve">Kriminālprocesa likuma </w:t>
      </w:r>
      <w:proofErr w:type="gramStart"/>
      <w:r>
        <w:t>464.panta</w:t>
      </w:r>
      <w:proofErr w:type="gramEnd"/>
      <w:r>
        <w:t xml:space="preserve"> pirmā daļa noteic, ka krimināllietu par kriminālpārkāpumu, mazāk smagu noziegumu un smagu noziegumu, par kuru paredzēts brīvības atņemšanas sods līdz pieciem gadiem, tiesa var iztiesāt bez apsūdzētā piedalīšanās, ja apsūdzētais atkārtoti bez attaisnojoša iemesla neierodas uz tiesas sēdi vai ir iesniedzis tiesai lūgumu par krimināllietas iztiesāšanu bez viņa piedalīšanās.</w:t>
      </w:r>
    </w:p>
    <w:p w14:paraId="4D1AD544" w14:textId="73A08BCB" w:rsidR="003520CA" w:rsidRDefault="003520CA" w:rsidP="0090057E">
      <w:pPr>
        <w:spacing w:line="276" w:lineRule="auto"/>
        <w:ind w:firstLine="720"/>
        <w:jc w:val="both"/>
      </w:pPr>
      <w:r>
        <w:t xml:space="preserve">Senāts jau ir paudis atzinumu, ka Kriminālprocesa likuma </w:t>
      </w:r>
      <w:proofErr w:type="gramStart"/>
      <w:r>
        <w:t>464.panta</w:t>
      </w:r>
      <w:proofErr w:type="gramEnd"/>
      <w:r>
        <w:t xml:space="preserve"> nosacījumi par krimināllietas iztiesāšanu bez apsūdzētā piedalīšanās attiecas kā uz visu iztiesāšanu, tā arī uz iztiesāšanas daļu (</w:t>
      </w:r>
      <w:r w:rsidR="00A30D6D" w:rsidRPr="00A30D6D">
        <w:rPr>
          <w:i/>
          <w:iCs/>
        </w:rPr>
        <w:t xml:space="preserve">Augstākās tiesas </w:t>
      </w:r>
      <w:r w:rsidRPr="00A30D6D">
        <w:rPr>
          <w:i/>
          <w:iCs/>
        </w:rPr>
        <w:t xml:space="preserve">2020.gada 18.februāra lēmums lietā </w:t>
      </w:r>
      <w:r w:rsidR="00A30D6D" w:rsidRPr="00A30D6D">
        <w:rPr>
          <w:i/>
          <w:iCs/>
        </w:rPr>
        <w:t>Nr. </w:t>
      </w:r>
      <w:r w:rsidRPr="00A30D6D">
        <w:rPr>
          <w:i/>
          <w:iCs/>
        </w:rPr>
        <w:t xml:space="preserve">SKK-49/2020, </w:t>
      </w:r>
      <w:r w:rsidR="00A30D6D" w:rsidRPr="00A30D6D">
        <w:rPr>
          <w:i/>
          <w:iCs/>
        </w:rPr>
        <w:t>(</w:t>
      </w:r>
      <w:r w:rsidRPr="00A30D6D">
        <w:rPr>
          <w:i/>
          <w:iCs/>
        </w:rPr>
        <w:t>ECLI:LV:AT:2020:0218.11520027211.5.L)</w:t>
      </w:r>
      <w:r w:rsidR="00A30D6D">
        <w:t>)</w:t>
      </w:r>
      <w:r>
        <w:t>.</w:t>
      </w:r>
    </w:p>
    <w:p w14:paraId="19747D27" w14:textId="2D6EBE00" w:rsidR="003520CA" w:rsidRDefault="003F7EDA" w:rsidP="0090057E">
      <w:pPr>
        <w:spacing w:line="276" w:lineRule="auto"/>
        <w:ind w:firstLine="720"/>
        <w:jc w:val="both"/>
      </w:pPr>
      <w:r>
        <w:t>[Pers. A]</w:t>
      </w:r>
      <w:r w:rsidR="003520CA">
        <w:t xml:space="preserve"> ir celta apsūdzība p</w:t>
      </w:r>
      <w:r w:rsidR="00AC016C">
        <w:t>ar</w:t>
      </w:r>
      <w:r w:rsidR="003520CA">
        <w:t xml:space="preserve"> Krimināllikuma </w:t>
      </w:r>
      <w:proofErr w:type="gramStart"/>
      <w:r w:rsidR="003520CA">
        <w:t>157.panta</w:t>
      </w:r>
      <w:proofErr w:type="gramEnd"/>
      <w:r w:rsidR="003520CA">
        <w:t xml:space="preserve"> otr</w:t>
      </w:r>
      <w:r w:rsidR="00AC016C">
        <w:t>ajā</w:t>
      </w:r>
      <w:r w:rsidR="003520CA">
        <w:t xml:space="preserve"> daļ</w:t>
      </w:r>
      <w:r w:rsidR="00AC016C">
        <w:t>ā paredzēto noziedzīgo nodarījumu</w:t>
      </w:r>
      <w:r w:rsidR="003520CA">
        <w:t xml:space="preserve">, kas saskaņā ar Krimināllikuma 7.panta otro daļu ir kriminālpārkāpums. Apelācijas instances tiesa, izvērtējot tās rīcībā esošās ziņas par apsūdzētā prombūtnes iemesliem, konstatējusi, ka </w:t>
      </w:r>
      <w:r>
        <w:t>[pers. A]</w:t>
      </w:r>
      <w:r w:rsidR="003520CA">
        <w:t xml:space="preserve"> atkārtoti bez attaisnojoša iemesla nav ieradies uz tiesas sēdi. Tādējādi tiesa konstatējusi Kriminālprocesa likuma </w:t>
      </w:r>
      <w:proofErr w:type="gramStart"/>
      <w:r w:rsidR="003520CA">
        <w:t>464.panta</w:t>
      </w:r>
      <w:proofErr w:type="gramEnd"/>
      <w:r w:rsidR="003520CA">
        <w:t xml:space="preserve"> pirmajā daļā norādītos apstākļus, kuriem pastāvot</w:t>
      </w:r>
      <w:r w:rsidR="001E6F04">
        <w:t>,</w:t>
      </w:r>
      <w:r w:rsidR="003520CA">
        <w:t xml:space="preserve"> lieta var tikt iztiesāta </w:t>
      </w:r>
      <w:r w:rsidR="00AD519E">
        <w:t>bez apsūdzētā piedalīšanās</w:t>
      </w:r>
      <w:r w:rsidR="003520CA">
        <w:t>.</w:t>
      </w:r>
    </w:p>
    <w:p w14:paraId="24F206C7" w14:textId="77777777" w:rsidR="003520CA" w:rsidRDefault="003520CA" w:rsidP="0090057E">
      <w:pPr>
        <w:spacing w:line="276" w:lineRule="auto"/>
        <w:ind w:firstLine="720"/>
        <w:jc w:val="both"/>
      </w:pPr>
      <w:r>
        <w:t xml:space="preserve">Senāts konstatē, ka nepiekrišana tiesas konstatētajiem faktiskajiem apstākļiem kasācijas sūdzībā ir argumentēta ar pierādījumu atšķirīgu vērtējumu un nav pamatota ar Kriminālprocesa likuma būtisku pārkāpumu pierādījumu vērtēšanā. Saskaņā ar Kriminālprocesa likuma </w:t>
      </w:r>
      <w:proofErr w:type="gramStart"/>
      <w:r>
        <w:t>569.panta</w:t>
      </w:r>
      <w:proofErr w:type="gramEnd"/>
      <w:r>
        <w:t xml:space="preserve"> trešo daļu kasācijas instances tiesa pierādījumus lietā no jauna neizvērtē.</w:t>
      </w:r>
    </w:p>
    <w:p w14:paraId="73FAD050" w14:textId="04419B73" w:rsidR="003520CA" w:rsidRDefault="003520CA" w:rsidP="0090057E">
      <w:pPr>
        <w:spacing w:line="276" w:lineRule="auto"/>
        <w:ind w:firstLine="720"/>
        <w:jc w:val="both"/>
      </w:pPr>
      <w:r>
        <w:t xml:space="preserve">Ievērojot, ka Senāts nekonstatē Kriminālprocesa likuma </w:t>
      </w:r>
      <w:proofErr w:type="gramStart"/>
      <w:r>
        <w:t>464.panta</w:t>
      </w:r>
      <w:proofErr w:type="gramEnd"/>
      <w:r>
        <w:t xml:space="preserve"> pirmās daļas pārkāpumu, par nepamatotu tiek atzīta arī kasācijas sūdzībās ietvertā norāde uz Kriminālprocesa likuma 72.panta otrās daļas, 71.panta 11.punkta un 463.panta pirmās daļas pārkāpumiem, kas argumentēti ar lietas izskatīšanu </w:t>
      </w:r>
      <w:r w:rsidR="00AD519E">
        <w:t xml:space="preserve">bez </w:t>
      </w:r>
      <w:r>
        <w:t xml:space="preserve">apsūdzētā </w:t>
      </w:r>
      <w:r w:rsidR="00AD519E">
        <w:t>piedalīšanās</w:t>
      </w:r>
      <w:r>
        <w:t>.</w:t>
      </w:r>
    </w:p>
    <w:p w14:paraId="4445293E" w14:textId="77777777" w:rsidR="00A30D6D" w:rsidRDefault="00A30D6D" w:rsidP="0090057E">
      <w:pPr>
        <w:spacing w:line="276" w:lineRule="auto"/>
        <w:ind w:firstLine="720"/>
        <w:jc w:val="both"/>
      </w:pPr>
    </w:p>
    <w:p w14:paraId="78168CF6" w14:textId="3044576A" w:rsidR="003520CA" w:rsidRDefault="003520CA" w:rsidP="0090057E">
      <w:pPr>
        <w:spacing w:line="276" w:lineRule="auto"/>
        <w:ind w:firstLine="720"/>
        <w:jc w:val="both"/>
      </w:pPr>
      <w:r>
        <w:t>[</w:t>
      </w:r>
      <w:r w:rsidR="00A30D6D">
        <w:t>9</w:t>
      </w:r>
      <w:r>
        <w:t xml:space="preserve">] Apelācijas instances tiesa atstājusi bez grozījumiem pirmās instances tiesas spriedumu. Saskaņā ar Kriminālprocesa likuma </w:t>
      </w:r>
      <w:proofErr w:type="gramStart"/>
      <w:r>
        <w:t>564.panta</w:t>
      </w:r>
      <w:proofErr w:type="gramEnd"/>
      <w:r>
        <w:t xml:space="preserve"> sesto daļu šādos gadījumos tā var neatkārtot pirmās instances tiesas spriedumā minētos pierādījumus un atzinumus. Apsūdzētā </w:t>
      </w:r>
      <w:r w:rsidR="00F36376">
        <w:t>[pers. A]</w:t>
      </w:r>
      <w:r>
        <w:t xml:space="preserve"> kasācijas sūdzībā apgalvotais, ka pirmās instances tiesa nav izklāstījusi vērtētos pierādījumus, ir nekonkretizēts un pretrunā ar pirmās instances tiesas sprieduma saturu. No apelācijas instances tiesas lēmuma redzams, ka tiesa pierādījumus ir vērtējusi arī kontekstā ar apsūdzētā apelācijas sūdzības argumentiem par pierādījumu neesību vainīguma konstatēšanai un esošo pierādījumu nepareizu vērtējumu.</w:t>
      </w:r>
    </w:p>
    <w:p w14:paraId="25FFA73D" w14:textId="77777777" w:rsidR="0012701B" w:rsidRDefault="0012701B" w:rsidP="0090057E">
      <w:pPr>
        <w:spacing w:line="276" w:lineRule="auto"/>
        <w:ind w:firstLine="720"/>
        <w:jc w:val="both"/>
      </w:pPr>
    </w:p>
    <w:p w14:paraId="142ABBF8" w14:textId="3257027A" w:rsidR="003520CA" w:rsidRDefault="003520CA" w:rsidP="0090057E">
      <w:pPr>
        <w:spacing w:line="276" w:lineRule="auto"/>
        <w:ind w:firstLine="720"/>
        <w:jc w:val="both"/>
      </w:pPr>
      <w:r>
        <w:t>[</w:t>
      </w:r>
      <w:r w:rsidR="0012701B">
        <w:t>10</w:t>
      </w:r>
      <w:r>
        <w:t xml:space="preserve">] Kasācijas sūdzībās ietvertā norāde uz Kriminālprocesa likuma </w:t>
      </w:r>
      <w:proofErr w:type="gramStart"/>
      <w:r>
        <w:t>127.panta</w:t>
      </w:r>
      <w:proofErr w:type="gramEnd"/>
      <w:r>
        <w:t xml:space="preserve"> pārkāpumu argumentēta ar kasācijas sūdzību autoru viedokli, ka lietā nav iegūti un lēmumā nav norādīti pierādījumi tiesas konstatētajam faktam, ka interneta vietnē </w:t>
      </w:r>
      <w:r w:rsidR="0012701B">
        <w:t>www.</w:t>
      </w:r>
      <w:r w:rsidR="0012701B" w:rsidRPr="0012701B">
        <w:t>p</w:t>
      </w:r>
      <w:r w:rsidRPr="0012701B">
        <w:t>ietiek.com</w:t>
      </w:r>
      <w:r>
        <w:t xml:space="preserve"> ir publicēti apsūdzībā norādītie raksti, kuru autors ir apsūdzētais </w:t>
      </w:r>
      <w:r w:rsidR="003F7EDA">
        <w:t>[pers. A]</w:t>
      </w:r>
      <w:r>
        <w:t>, kurš tos</w:t>
      </w:r>
      <w:r w:rsidR="001E6F04">
        <w:t xml:space="preserve"> </w:t>
      </w:r>
      <w:r>
        <w:t>nodevis publicēšanai.</w:t>
      </w:r>
    </w:p>
    <w:p w14:paraId="4679E3A6" w14:textId="6D2A9DFB" w:rsidR="003520CA" w:rsidRDefault="003520CA" w:rsidP="0090057E">
      <w:pPr>
        <w:spacing w:line="276" w:lineRule="auto"/>
        <w:ind w:firstLine="720"/>
        <w:jc w:val="both"/>
      </w:pPr>
      <w:r>
        <w:t xml:space="preserve">Šādi argumenti tika norādīti arī </w:t>
      </w:r>
      <w:r w:rsidR="003F7EDA">
        <w:t>[pers. A]</w:t>
      </w:r>
      <w:r>
        <w:t xml:space="preserve"> apelācijas sūdzībā. No apelācijas instances tiesas lēmuma redzams, ka tiesa tos ir vērtējusi un atzinumu par minēto apstākļu pamatotu konstatēšanu argumentējusi ar konkrētiem pierādījumiem un to vērtējumu – cietušā </w:t>
      </w:r>
      <w:r w:rsidR="003F7EDA">
        <w:t>[pers. B]</w:t>
      </w:r>
      <w:r>
        <w:t xml:space="preserve"> iesniegumam par kriminālprocesa uzsākšanu pievienoto </w:t>
      </w:r>
      <w:proofErr w:type="gramStart"/>
      <w:r>
        <w:t>2018.gada</w:t>
      </w:r>
      <w:proofErr w:type="gramEnd"/>
      <w:r>
        <w:t xml:space="preserve"> 22.janvāra raksta ekrānuzņēmumu un 2018.gada 27.augustā papildus iesniegto 2018.gada 23.augusta raksta izdruku, no </w:t>
      </w:r>
      <w:r w:rsidR="003F7EDA">
        <w:t>[pers. A]</w:t>
      </w:r>
      <w:r>
        <w:t xml:space="preserve"> profila sociālajā tīklā </w:t>
      </w:r>
      <w:proofErr w:type="spellStart"/>
      <w:r w:rsidRPr="0012701B">
        <w:rPr>
          <w:i/>
          <w:iCs/>
        </w:rPr>
        <w:t>Facebook</w:t>
      </w:r>
      <w:proofErr w:type="spellEnd"/>
      <w:r>
        <w:t xml:space="preserve"> iegūtām ziņām par dalīšanos </w:t>
      </w:r>
      <w:r w:rsidR="00AD519E">
        <w:t xml:space="preserve">ar </w:t>
      </w:r>
      <w:r>
        <w:t xml:space="preserve">2018.gada </w:t>
      </w:r>
      <w:r w:rsidR="00510276">
        <w:t>[..]</w:t>
      </w:r>
      <w:r>
        <w:t xml:space="preserve"> ar vietnē </w:t>
      </w:r>
      <w:r w:rsidR="0012701B">
        <w:t>www.</w:t>
      </w:r>
      <w:r w:rsidR="0012701B" w:rsidRPr="0012701B">
        <w:t>p</w:t>
      </w:r>
      <w:r w:rsidRPr="0012701B">
        <w:t>ietiek.com</w:t>
      </w:r>
      <w:r>
        <w:rPr>
          <w:i/>
          <w:iCs/>
        </w:rPr>
        <w:t xml:space="preserve"> </w:t>
      </w:r>
      <w:r>
        <w:t xml:space="preserve">publicētu rakstu </w:t>
      </w:r>
      <w:r w:rsidR="0012701B">
        <w:t>„</w:t>
      </w:r>
      <w:r w:rsidR="003F7EDA">
        <w:t>[Raksta nosaukums]</w:t>
      </w:r>
      <w:r>
        <w:t>”, izdruk</w:t>
      </w:r>
      <w:r w:rsidR="001E6F04">
        <w:t>ām</w:t>
      </w:r>
      <w:r>
        <w:t xml:space="preserve"> no </w:t>
      </w:r>
      <w:proofErr w:type="spellStart"/>
      <w:r w:rsidR="0012701B">
        <w:t>www.g</w:t>
      </w:r>
      <w:r>
        <w:t>oogle.lv</w:t>
      </w:r>
      <w:proofErr w:type="spellEnd"/>
      <w:r>
        <w:t xml:space="preserve">, kas satur sīkdatnes ar norādi par šādu rakstu esību, izdruku no portāla </w:t>
      </w:r>
      <w:r w:rsidR="0012701B">
        <w:t>www.t</w:t>
      </w:r>
      <w:r>
        <w:t xml:space="preserve">witter.com konta, kurā tā dalībnieks dalījies ar minēto rakstu, izdruku no portāla </w:t>
      </w:r>
      <w:proofErr w:type="spellStart"/>
      <w:r w:rsidR="0012701B">
        <w:t>www.</w:t>
      </w:r>
      <w:r>
        <w:t>puaro.lv</w:t>
      </w:r>
      <w:proofErr w:type="spellEnd"/>
      <w:r>
        <w:t xml:space="preserve">, </w:t>
      </w:r>
      <w:r w:rsidR="003F7EDA">
        <w:t>[pers. A]</w:t>
      </w:r>
      <w:r>
        <w:t xml:space="preserve"> iesniegumu Satversmes aizsardzības birojam, eksperta atzinumu par </w:t>
      </w:r>
      <w:r w:rsidR="003F7EDA">
        <w:t>[pers. A]</w:t>
      </w:r>
      <w:r>
        <w:t xml:space="preserve"> iesnieguma Satversmes aizsardzības birojam un vietnē </w:t>
      </w:r>
      <w:r w:rsidR="0012701B">
        <w:t>www.</w:t>
      </w:r>
      <w:r w:rsidR="0012701B" w:rsidRPr="0012701B">
        <w:t>p</w:t>
      </w:r>
      <w:r w:rsidRPr="0012701B">
        <w:t>ietiek.com</w:t>
      </w:r>
      <w:r>
        <w:t xml:space="preserve"> publicēto rakstu saturu. </w:t>
      </w:r>
    </w:p>
    <w:p w14:paraId="4D1F26E1" w14:textId="30DD077B" w:rsidR="003520CA" w:rsidRDefault="003520CA" w:rsidP="0090057E">
      <w:pPr>
        <w:spacing w:line="276" w:lineRule="auto"/>
        <w:ind w:firstLine="720"/>
        <w:jc w:val="both"/>
      </w:pPr>
      <w:r>
        <w:t xml:space="preserve">Pierādījumu atšķirīgs vērtējums, ja vērtēšanas procesā nav pieļauti Kriminālprocesa likuma būtiski pārkāpumi, nav pamats apelācijas instances </w:t>
      </w:r>
      <w:r w:rsidR="0012701B">
        <w:t xml:space="preserve">tiesas </w:t>
      </w:r>
      <w:r>
        <w:t>nolēmuma atcelšana</w:t>
      </w:r>
      <w:r w:rsidR="0012701B">
        <w:t>i</w:t>
      </w:r>
      <w:r>
        <w:t>. Senāts nekonstatē Kriminālprocesa likuma pārkāpumus, kas būtu pieļauti pierādījumu vērtēšanā.</w:t>
      </w:r>
    </w:p>
    <w:p w14:paraId="5D1A98EA" w14:textId="77777777" w:rsidR="0012701B" w:rsidRDefault="0012701B" w:rsidP="0090057E">
      <w:pPr>
        <w:spacing w:line="276" w:lineRule="auto"/>
        <w:ind w:firstLine="720"/>
        <w:jc w:val="both"/>
      </w:pPr>
    </w:p>
    <w:p w14:paraId="3F235BD5" w14:textId="652E53AC" w:rsidR="003520CA" w:rsidRDefault="003520CA" w:rsidP="0090057E">
      <w:pPr>
        <w:spacing w:line="276" w:lineRule="auto"/>
        <w:ind w:firstLine="720"/>
        <w:jc w:val="both"/>
      </w:pPr>
      <w:r>
        <w:t>[</w:t>
      </w:r>
      <w:r w:rsidR="0012701B">
        <w:t>11</w:t>
      </w:r>
      <w:r>
        <w:t xml:space="preserve">] Senāts atzīst par nepamatotiem kasācijas sūdzības argumentus par Kriminālprocesa likuma </w:t>
      </w:r>
      <w:proofErr w:type="gramStart"/>
      <w:r>
        <w:t>512.panta</w:t>
      </w:r>
      <w:proofErr w:type="gramEnd"/>
      <w:r>
        <w:t xml:space="preserve"> otrās daļas 1. un 4.punkta pārkāpumu, pamatojot apelācijas instances tiesas nolēmumu ar pierādījumiem, kas nav pārbaudīti tiesas sēdē, un pierādījumiem, kuru izmantošanai apsūdzētais un viņa aizstāvis nav piekrituši.</w:t>
      </w:r>
    </w:p>
    <w:p w14:paraId="4A86C8E7" w14:textId="77777777" w:rsidR="003520CA" w:rsidRDefault="003520CA" w:rsidP="0090057E">
      <w:pPr>
        <w:spacing w:line="276" w:lineRule="auto"/>
        <w:ind w:firstLine="720"/>
        <w:jc w:val="both"/>
      </w:pPr>
      <w:r>
        <w:t xml:space="preserve">Kriminālprocesa likuma </w:t>
      </w:r>
      <w:proofErr w:type="gramStart"/>
      <w:r>
        <w:t>561.pantā</w:t>
      </w:r>
      <w:proofErr w:type="gramEnd"/>
      <w:r>
        <w:t xml:space="preserve"> reglamentēta lietas iztiesāšana apelācijas instances tiesas sēdē. Šā panta trešā daļa noteic, ka pirmās instances tiesas sēdes protokolu un protokolā norādītos rakstveida pierādījumus un dokumentus pārbauda tiesas sēdē tikai tad, ja persona, kura īsteno aizstāvību, prokurors un cietušais vai viņa pārstāvis, kā arī kriminālprocesā aizskartais mantas īpašnieks, kura mantai uzlikts arests, pieteicis šādu lūgumu. No izklāstītās tiesību normas izriet, ka tajā uzskaitītos pierādījumus apelācijas instances tiesa var izmantot sava nolēmuma argumentācijā arī tad, ja tie nav pārbaudīti tiesas sēdē, jo pārbaude tiesas sēdē apelācijas instances tiesā notiek tikai gadījumos, kad to lūdz kāds no minētajā tiesību normā norādīto personu loka.</w:t>
      </w:r>
    </w:p>
    <w:p w14:paraId="2FD62D8C" w14:textId="5B62D4C6" w:rsidR="003520CA" w:rsidRDefault="003520CA" w:rsidP="0090057E">
      <w:pPr>
        <w:spacing w:line="276" w:lineRule="auto"/>
        <w:ind w:firstLine="720"/>
        <w:jc w:val="both"/>
      </w:pPr>
      <w:r>
        <w:t xml:space="preserve">No pirmās instances tiesas sēdes protokola un sprieduma redzams, ka pirmās instances tiesa ir pārbaudījusi izdrukas no </w:t>
      </w:r>
      <w:r w:rsidR="003F7EDA">
        <w:t>[pers. A]</w:t>
      </w:r>
      <w:r>
        <w:t xml:space="preserve"> profila sociālajā tiklā </w:t>
      </w:r>
      <w:proofErr w:type="spellStart"/>
      <w:r w:rsidRPr="00171ECE">
        <w:rPr>
          <w:i/>
          <w:iCs/>
        </w:rPr>
        <w:t>Facebook</w:t>
      </w:r>
      <w:proofErr w:type="spellEnd"/>
      <w:r>
        <w:t xml:space="preserve">, turklāt apsūdzētais par tām izteicis savu viedokli un šīs izdrukas ir vērtētas pirmās instances tiesas spriedumā. Apelācijas sūdzībā apsūdzētais ir atkārtoti paudis savu vērtējumu sociālajā tīklā </w:t>
      </w:r>
      <w:proofErr w:type="spellStart"/>
      <w:r w:rsidRPr="00171ECE">
        <w:rPr>
          <w:i/>
          <w:iCs/>
        </w:rPr>
        <w:t>Facebook</w:t>
      </w:r>
      <w:proofErr w:type="spellEnd"/>
      <w:r>
        <w:t xml:space="preserve"> fiksētajām ziņām, oponējot to vērtējumam pirmās instances tiesas spriedumā.</w:t>
      </w:r>
    </w:p>
    <w:p w14:paraId="469E0F5A" w14:textId="44B38073" w:rsidR="003520CA" w:rsidRDefault="003520CA" w:rsidP="0090057E">
      <w:pPr>
        <w:spacing w:line="276" w:lineRule="auto"/>
        <w:ind w:firstLine="720"/>
        <w:jc w:val="both"/>
      </w:pPr>
      <w:r>
        <w:t xml:space="preserve">No pirmās instances tiesas sēdes protokola un pirmās instances tiesas sprieduma </w:t>
      </w:r>
      <w:r w:rsidR="00AD519E">
        <w:t>konstatējams</w:t>
      </w:r>
      <w:r>
        <w:t xml:space="preserve">, ka gan apsūdzētais </w:t>
      </w:r>
      <w:r w:rsidR="003F7EDA">
        <w:t>[pers. A]</w:t>
      </w:r>
      <w:r>
        <w:t xml:space="preserve">, gan cietušais </w:t>
      </w:r>
      <w:r w:rsidR="003F7EDA">
        <w:t>[pers. B]</w:t>
      </w:r>
      <w:r>
        <w:t xml:space="preserve"> ir snieguši liecības pirmās instances tiesā un tiesas spriedumā tās ir vērtētas. Savukārt </w:t>
      </w:r>
      <w:r w:rsidR="003F7EDA">
        <w:t>[pers. A]</w:t>
      </w:r>
      <w:r>
        <w:t xml:space="preserve"> kasācijas sūdzības arguments, ka tiesa nolēmumu pamatojusi ar pirmstiesas izmeklēšanā sniegt</w:t>
      </w:r>
      <w:r w:rsidR="00AD519E">
        <w:t>ajām</w:t>
      </w:r>
      <w:r>
        <w:t xml:space="preserve"> apsūdzētā liecībām, ir pretrunā ar tiesas nolēmuma saturu.</w:t>
      </w:r>
    </w:p>
    <w:p w14:paraId="522C8A45" w14:textId="77777777" w:rsidR="007C07A5" w:rsidRDefault="007C07A5" w:rsidP="0090057E">
      <w:pPr>
        <w:spacing w:line="276" w:lineRule="auto"/>
        <w:ind w:firstLine="720"/>
        <w:jc w:val="both"/>
      </w:pPr>
    </w:p>
    <w:p w14:paraId="38BFD214" w14:textId="58870101" w:rsidR="003520CA" w:rsidRDefault="003520CA" w:rsidP="0090057E">
      <w:pPr>
        <w:spacing w:line="276" w:lineRule="auto"/>
        <w:ind w:firstLine="720"/>
        <w:jc w:val="both"/>
      </w:pPr>
      <w:r>
        <w:t>[</w:t>
      </w:r>
      <w:r w:rsidR="007C07A5">
        <w:t>12</w:t>
      </w:r>
      <w:r>
        <w:t xml:space="preserve">] Senāts atzīst, ka norāde uz Kriminālprocesa likuma </w:t>
      </w:r>
      <w:proofErr w:type="gramStart"/>
      <w:r>
        <w:t>194.panta</w:t>
      </w:r>
      <w:proofErr w:type="gramEnd"/>
      <w:r>
        <w:t xml:space="preserve"> pirmās daļas pārkāpumu apsūdzētā kasācijas sūdzībā ir nepamatota.</w:t>
      </w:r>
    </w:p>
    <w:p w14:paraId="31EB0FB3" w14:textId="77777777" w:rsidR="003520CA" w:rsidRDefault="003520CA" w:rsidP="0090057E">
      <w:pPr>
        <w:spacing w:line="276" w:lineRule="auto"/>
        <w:ind w:firstLine="720"/>
        <w:jc w:val="both"/>
      </w:pPr>
      <w:r>
        <w:t>Minētā tiesību norma noteic, ka ekspertīzi nosaka gadījumos, kad kriminālprocesam nozīmīgu jautājumu noskaidrošanai nepieciešams veikt pētījumu, kurā izmantojamas speciālās zināšanas kādā zinātnes, tehnikas, mākslas vai amatniecības nozarē. Tiesību norma neierobežo nozares, uz kurām attiecināmie jautājumi var tikt nodoti ekspertu izpētei.</w:t>
      </w:r>
    </w:p>
    <w:p w14:paraId="21C615FA" w14:textId="23EC0720" w:rsidR="003520CA" w:rsidRDefault="003520CA" w:rsidP="0090057E">
      <w:pPr>
        <w:spacing w:line="276" w:lineRule="auto"/>
        <w:ind w:firstLine="720"/>
        <w:jc w:val="both"/>
      </w:pPr>
      <w:r>
        <w:t>Pirmstiesas izmeklēšanā atzīts par nepieciešamu izpētīt rakstveida tekstu saturu un konstatēts, ka izpētei ir nepieciešamas speciālās zināšanas lingvi</w:t>
      </w:r>
      <w:r w:rsidR="007C07A5">
        <w:t>stikā</w:t>
      </w:r>
      <w:r>
        <w:t>. Apsūdzētā kasācijas sūdzībā ietvertais viedoklis, ka rakstītu tekstu satura izpēti no lingvistikas aspekta nevar veikt, ir neargumentēts apgalvojums.</w:t>
      </w:r>
    </w:p>
    <w:p w14:paraId="0E6B81A3" w14:textId="77777777" w:rsidR="00171ECE" w:rsidRDefault="00171ECE" w:rsidP="0090057E">
      <w:pPr>
        <w:spacing w:line="276" w:lineRule="auto"/>
        <w:ind w:firstLine="720"/>
        <w:jc w:val="both"/>
      </w:pPr>
    </w:p>
    <w:p w14:paraId="4745EA64" w14:textId="4DEE5E76" w:rsidR="003520CA" w:rsidRDefault="003520CA" w:rsidP="0090057E">
      <w:pPr>
        <w:spacing w:line="276" w:lineRule="auto"/>
        <w:ind w:firstLine="720"/>
        <w:jc w:val="both"/>
      </w:pPr>
      <w:r>
        <w:t>[</w:t>
      </w:r>
      <w:r w:rsidR="00171ECE">
        <w:t>1</w:t>
      </w:r>
      <w:r w:rsidR="007C07A5">
        <w:t>3</w:t>
      </w:r>
      <w:r>
        <w:t xml:space="preserve">] Apsūdzētā viedoklis, ka tiesa, noraidot viņa lūgumu par atkārtotas ekspertīzes noteikšanu, ir pārkāpusi Kriminālprocesa likuma </w:t>
      </w:r>
      <w:proofErr w:type="gramStart"/>
      <w:r>
        <w:t>473.panta</w:t>
      </w:r>
      <w:proofErr w:type="gramEnd"/>
      <w:r>
        <w:t xml:space="preserve"> otrās daļas 4.punktu un šā panta trešo daļu, ir nepamatots.</w:t>
      </w:r>
    </w:p>
    <w:p w14:paraId="603DDE9C" w14:textId="75CAFADD" w:rsidR="003520CA" w:rsidRDefault="003520CA" w:rsidP="0090057E">
      <w:pPr>
        <w:spacing w:line="276" w:lineRule="auto"/>
        <w:ind w:firstLine="720"/>
        <w:jc w:val="both"/>
      </w:pPr>
      <w:r>
        <w:t xml:space="preserve">Saskaņā ar Kriminālprocesa likuma </w:t>
      </w:r>
      <w:proofErr w:type="gramStart"/>
      <w:r>
        <w:t>473.panta</w:t>
      </w:r>
      <w:proofErr w:type="gramEnd"/>
      <w:r>
        <w:t xml:space="preserve"> otrās daļas 4.punktu lēmumu par ekspertīzes noteikšanu pieņem apspriežu istabā un atbilstoši šā panta trešajā daļā noteiktajam, sagatavo atsevišķa dokumenta veidā, kuru paraksta viss tiesas sastāvs.</w:t>
      </w:r>
    </w:p>
    <w:p w14:paraId="0706E51A" w14:textId="3EFE8E81" w:rsidR="00D65E93" w:rsidRPr="00D65E93" w:rsidRDefault="00D65E93" w:rsidP="0090057E">
      <w:pPr>
        <w:spacing w:line="276" w:lineRule="auto"/>
        <w:ind w:firstLine="720"/>
        <w:jc w:val="both"/>
      </w:pPr>
      <w:r w:rsidRPr="00D65E93">
        <w:t xml:space="preserve">Senāts norāda, ka tikai Kriminālprocesa likuma </w:t>
      </w:r>
      <w:proofErr w:type="gramStart"/>
      <w:r w:rsidRPr="00D65E93">
        <w:t>473.panta</w:t>
      </w:r>
      <w:proofErr w:type="gramEnd"/>
      <w:r w:rsidRPr="00D65E93">
        <w:t xml:space="preserve"> otrajā daļā minētie lēmumi, kas pieņemti apspriežu istabā, sagatavojami atsevišķa dokumenta veidā. Saskaņā ar minēto tiesību normu pārējos lēmumus pēc tiesas ieskata var pieņemt uz vietas tiesas sēžu zālē, ierakstot tos sēdes protokolā.</w:t>
      </w:r>
    </w:p>
    <w:p w14:paraId="4091F02C" w14:textId="3A066CFE" w:rsidR="003520CA" w:rsidRPr="00764D85" w:rsidRDefault="003520CA" w:rsidP="0090057E">
      <w:pPr>
        <w:spacing w:line="276" w:lineRule="auto"/>
        <w:ind w:firstLine="720"/>
        <w:jc w:val="both"/>
      </w:pPr>
      <w:r>
        <w:t xml:space="preserve">No tiesas sēdes protokola redzams, ka apelācijas instances tiesa </w:t>
      </w:r>
      <w:r w:rsidR="003F7EDA">
        <w:t>[pers. A]</w:t>
      </w:r>
      <w:r>
        <w:t xml:space="preserve"> lūgumu par atkārtotas ekspertīzes noteikšanu ir argumentēti noraidījusi, turklāt konstatējusi, ka pieteiktā lūguma pamatojums neatbilst Kriminālprocesa likuma </w:t>
      </w:r>
      <w:proofErr w:type="gramStart"/>
      <w:r>
        <w:t>194.panta</w:t>
      </w:r>
      <w:proofErr w:type="gramEnd"/>
      <w:r>
        <w:t xml:space="preserve"> nosacījumiem par ekspertīzes no</w:t>
      </w:r>
      <w:r w:rsidR="00A56B08">
        <w:t>teikšanu</w:t>
      </w:r>
      <w:r>
        <w:t>. Tādējādi tiesa nav lēmusi par ekspertīzes no</w:t>
      </w:r>
      <w:r w:rsidR="00A56B08">
        <w:t>teikšanu</w:t>
      </w:r>
      <w:r>
        <w:t xml:space="preserve"> un uz šiem faktiskajiem apstākļiem nav attiecināmi Kriminālprocesa likuma </w:t>
      </w:r>
      <w:proofErr w:type="gramStart"/>
      <w:r>
        <w:t>473.panta</w:t>
      </w:r>
      <w:proofErr w:type="gramEnd"/>
      <w:r>
        <w:t xml:space="preserve"> otrās daļas 4.punkta un trešās daļas nosacījumi lēmuma par ekspertīzes noteikšanu kārtībai. </w:t>
      </w:r>
    </w:p>
    <w:p w14:paraId="39B7983C" w14:textId="0A749146" w:rsidR="003520CA" w:rsidRDefault="003520CA" w:rsidP="0090057E">
      <w:pPr>
        <w:spacing w:line="276" w:lineRule="auto"/>
        <w:ind w:firstLine="720"/>
        <w:jc w:val="both"/>
      </w:pPr>
      <w:r w:rsidRPr="00764D85">
        <w:t xml:space="preserve">Senāts jau iepriekš vairākkārt norādījis, ka apsūdzēto personu vai viņu aizstāvju pieteikto lūgumu motivēta noraidīšana lietas iztiesāšanas laikā nav vērtējama kā apsūdzētā tiesību ierobežošana, jo atbilstoši Kriminālprocesa likuma </w:t>
      </w:r>
      <w:proofErr w:type="gramStart"/>
      <w:r w:rsidRPr="00764D85">
        <w:t>496.panta</w:t>
      </w:r>
      <w:proofErr w:type="gramEnd"/>
      <w:r w:rsidRPr="00764D85">
        <w:t xml:space="preserve"> otrās daļas nosacījumiem tiesai prokurora, cietušā, apsūdzētā un viņa aizstāvja lūgumi ir jāizvērtē un jāizlemj, bet tai nav obligāta pienākuma šos lūgumus apmierināt (</w:t>
      </w:r>
      <w:r w:rsidR="00171ECE">
        <w:rPr>
          <w:i/>
        </w:rPr>
        <w:t>Augstākās tiesas</w:t>
      </w:r>
      <w:r w:rsidRPr="00764D85">
        <w:rPr>
          <w:i/>
        </w:rPr>
        <w:t xml:space="preserve"> 2013.gada 28.marta lēmums lietā</w:t>
      </w:r>
      <w:r w:rsidR="00171ECE">
        <w:rPr>
          <w:i/>
        </w:rPr>
        <w:t xml:space="preserve"> </w:t>
      </w:r>
      <w:r w:rsidRPr="00764D85">
        <w:rPr>
          <w:i/>
        </w:rPr>
        <w:t>Nr. </w:t>
      </w:r>
      <w:r>
        <w:rPr>
          <w:i/>
        </w:rPr>
        <w:t xml:space="preserve">SKK-23/2013 (11518019407); </w:t>
      </w:r>
      <w:r w:rsidR="00171ECE">
        <w:rPr>
          <w:i/>
        </w:rPr>
        <w:t xml:space="preserve">Augstākās tiesas </w:t>
      </w:r>
      <w:r>
        <w:rPr>
          <w:i/>
        </w:rPr>
        <w:t>2013.gada 24.septembra lēmums lietā</w:t>
      </w:r>
      <w:r w:rsidR="00171ECE">
        <w:rPr>
          <w:i/>
        </w:rPr>
        <w:t xml:space="preserve"> </w:t>
      </w:r>
      <w:r>
        <w:rPr>
          <w:i/>
        </w:rPr>
        <w:t xml:space="preserve">Nr. SKK-283/2013 (11270001411); </w:t>
      </w:r>
      <w:r w:rsidR="00171ECE">
        <w:rPr>
          <w:i/>
        </w:rPr>
        <w:t>Augstākās tiesas</w:t>
      </w:r>
      <w:r>
        <w:rPr>
          <w:i/>
        </w:rPr>
        <w:t xml:space="preserve"> 2015.gada 17.septembra lēmums lietā Nr. SKK-473/2015 (11096124414); </w:t>
      </w:r>
      <w:r w:rsidR="00171ECE">
        <w:rPr>
          <w:i/>
        </w:rPr>
        <w:t>Augstākās tiesas</w:t>
      </w:r>
      <w:r>
        <w:rPr>
          <w:i/>
        </w:rPr>
        <w:t xml:space="preserve"> 2015.gada 15.oktobra lēmums lietā</w:t>
      </w:r>
      <w:r w:rsidR="00171ECE">
        <w:rPr>
          <w:i/>
        </w:rPr>
        <w:t xml:space="preserve"> </w:t>
      </w:r>
      <w:r>
        <w:rPr>
          <w:i/>
        </w:rPr>
        <w:t xml:space="preserve">Nr. SKK-242/2015 (11092037309); </w:t>
      </w:r>
      <w:r w:rsidR="00171ECE">
        <w:rPr>
          <w:i/>
        </w:rPr>
        <w:t>Augstākās tiesas</w:t>
      </w:r>
      <w:r>
        <w:rPr>
          <w:i/>
        </w:rPr>
        <w:t xml:space="preserve"> 2018.gada 12.septembra lēmums lietā Nr.</w:t>
      </w:r>
      <w:r w:rsidR="00171ECE">
        <w:rPr>
          <w:i/>
        </w:rPr>
        <w:t> </w:t>
      </w:r>
      <w:r>
        <w:rPr>
          <w:i/>
        </w:rPr>
        <w:t xml:space="preserve">SKK-448/2018 </w:t>
      </w:r>
      <w:r w:rsidRPr="002043BE">
        <w:rPr>
          <w:i/>
        </w:rPr>
        <w:t>(ECLI:LV:AT:2018:0912.11120090614.3.L)</w:t>
      </w:r>
      <w:r>
        <w:t xml:space="preserve">). </w:t>
      </w:r>
    </w:p>
    <w:p w14:paraId="6527FE52" w14:textId="77777777" w:rsidR="00171ECE" w:rsidRDefault="00171ECE" w:rsidP="0090057E">
      <w:pPr>
        <w:spacing w:line="276" w:lineRule="auto"/>
        <w:ind w:firstLine="720"/>
        <w:jc w:val="both"/>
      </w:pPr>
    </w:p>
    <w:p w14:paraId="5357FDE1" w14:textId="257776FD" w:rsidR="003520CA" w:rsidRDefault="003520CA" w:rsidP="0090057E">
      <w:pPr>
        <w:spacing w:line="276" w:lineRule="auto"/>
        <w:ind w:firstLine="720"/>
        <w:jc w:val="both"/>
      </w:pPr>
      <w:r>
        <w:t>[</w:t>
      </w:r>
      <w:r w:rsidR="00171ECE">
        <w:t>1</w:t>
      </w:r>
      <w:r w:rsidR="007C07A5">
        <w:t>4</w:t>
      </w:r>
      <w:r>
        <w:t xml:space="preserve">] Apsūdzētā </w:t>
      </w:r>
      <w:r w:rsidR="003F7EDA">
        <w:t>[pers. A]</w:t>
      </w:r>
      <w:r>
        <w:t xml:space="preserve"> viedoklis, ka </w:t>
      </w:r>
      <w:r w:rsidR="003F7EDA">
        <w:t>[pers. B]</w:t>
      </w:r>
      <w:r>
        <w:t xml:space="preserve"> </w:t>
      </w:r>
      <w:proofErr w:type="gramStart"/>
      <w:r>
        <w:t>prettiesiski atzīts par cietušo</w:t>
      </w:r>
      <w:proofErr w:type="gramEnd"/>
      <w:r>
        <w:t xml:space="preserve"> kriminālprocesā, jo viņam nav nodarīts kaitējums un viņš nav pieteicis kaitējuma kompensāciju, ir nepamatots.</w:t>
      </w:r>
    </w:p>
    <w:p w14:paraId="71B37089" w14:textId="77777777" w:rsidR="003520CA" w:rsidRDefault="003520CA" w:rsidP="0090057E">
      <w:pPr>
        <w:spacing w:line="276" w:lineRule="auto"/>
        <w:ind w:firstLine="720"/>
        <w:jc w:val="both"/>
      </w:pPr>
      <w:r>
        <w:t xml:space="preserve">Saskaņā ar Kriminālprocesa likuma </w:t>
      </w:r>
      <w:proofErr w:type="gramStart"/>
      <w:r>
        <w:t>95.panta</w:t>
      </w:r>
      <w:proofErr w:type="gramEnd"/>
      <w:r>
        <w:t xml:space="preserve"> pirmo daļu cietušais kriminālprocesā var būt fiziska vai juridiska persona, kurai ar noziedzīgu nodarījumu radīts kaitējums, proti, morāls aizskārums, fiziskas ciešanas vai mantisks zaudējums.</w:t>
      </w:r>
    </w:p>
    <w:p w14:paraId="0BF122C5" w14:textId="6CBDAE76" w:rsidR="003520CA" w:rsidRDefault="003520CA" w:rsidP="0090057E">
      <w:pPr>
        <w:spacing w:line="276" w:lineRule="auto"/>
        <w:ind w:firstLine="720"/>
        <w:jc w:val="both"/>
      </w:pPr>
      <w:r>
        <w:t xml:space="preserve">Krimināllikuma </w:t>
      </w:r>
      <w:proofErr w:type="gramStart"/>
      <w:r>
        <w:t>157.pantā</w:t>
      </w:r>
      <w:proofErr w:type="gramEnd"/>
      <w:r>
        <w:t xml:space="preserve"> paredzētais kriminālpā</w:t>
      </w:r>
      <w:r w:rsidR="001E6F04">
        <w:t>r</w:t>
      </w:r>
      <w:r>
        <w:t xml:space="preserve">kāpums apdraud personas godu un cieņu. Atbilstoši lēmumā norādītajam </w:t>
      </w:r>
      <w:r w:rsidR="003F7EDA">
        <w:t>[pers. B]</w:t>
      </w:r>
      <w:r>
        <w:t xml:space="preserve"> par cietušo atzīts</w:t>
      </w:r>
      <w:r w:rsidR="001E6F04">
        <w:t>,</w:t>
      </w:r>
      <w:r>
        <w:t xml:space="preserve"> ņemot vērā, ka ar noziedzīgo nodarījumu viņam radīts morāls kaitējums.</w:t>
      </w:r>
    </w:p>
    <w:p w14:paraId="3CCFA1BB" w14:textId="77777777" w:rsidR="003520CA" w:rsidRDefault="003520CA" w:rsidP="0090057E">
      <w:pPr>
        <w:spacing w:line="276" w:lineRule="auto"/>
        <w:ind w:firstLine="720"/>
        <w:jc w:val="both"/>
      </w:pPr>
      <w:r>
        <w:t xml:space="preserve">Atbilstoši Kriminālprocesa likuma </w:t>
      </w:r>
      <w:proofErr w:type="gramStart"/>
      <w:r>
        <w:t>97.panta</w:t>
      </w:r>
      <w:proofErr w:type="gramEnd"/>
      <w:r>
        <w:t xml:space="preserve"> pirmajā daļā noteiktajam cietušais, ņemot vērā viņam nodarīto morālo kaitējumu, ir tiesīgs pieteikt kaitējuma apmēru un izmantot savas procesuālās tiesības morālās kompensācijas gūšanai. Savukārt saskaņā ar šā panta trešo daļu cietušais savas tiesības īsteno brīvprātīgi un paša izraudzītā apjomā. No izklāstītā izriet, ka personas nevēlēšanās pieteikt kaitējuma kompensāciju, neliedz tai tiesības saglabāt cietušā statusu kriminālprocesā. </w:t>
      </w:r>
    </w:p>
    <w:p w14:paraId="6E6BFF5D" w14:textId="77777777" w:rsidR="009D51EB" w:rsidRDefault="009D51EB" w:rsidP="0090057E">
      <w:pPr>
        <w:spacing w:line="276" w:lineRule="auto"/>
        <w:ind w:firstLine="720"/>
        <w:jc w:val="both"/>
      </w:pPr>
    </w:p>
    <w:p w14:paraId="047C4553" w14:textId="7745FACC" w:rsidR="003520CA" w:rsidRDefault="003520CA" w:rsidP="009D51EB">
      <w:pPr>
        <w:spacing w:line="276" w:lineRule="auto"/>
        <w:ind w:firstLine="720"/>
        <w:jc w:val="both"/>
      </w:pPr>
      <w:r>
        <w:t>[</w:t>
      </w:r>
      <w:r w:rsidR="009D51EB">
        <w:t>1</w:t>
      </w:r>
      <w:r w:rsidR="007C07A5">
        <w:t>5</w:t>
      </w:r>
      <w:r>
        <w:t xml:space="preserve">] Kasācijas sūdzībās pausto viedokli, ka abas zemāku instanču tiesas paplašināti tulkojušas Krimināllikuma </w:t>
      </w:r>
      <w:proofErr w:type="gramStart"/>
      <w:r>
        <w:t>157.panta</w:t>
      </w:r>
      <w:proofErr w:type="gramEnd"/>
      <w:r>
        <w:t xml:space="preserve"> otrās daļas dispozīcijā ietverto jēdzienu </w:t>
      </w:r>
      <w:r w:rsidR="001E6F04">
        <w:t>„</w:t>
      </w:r>
      <w:r>
        <w:t>masu saziņas līdzeklis</w:t>
      </w:r>
      <w:r w:rsidR="001E6F04">
        <w:t xml:space="preserve">” </w:t>
      </w:r>
      <w:r>
        <w:t>Senāts atzīst par nepamatotu.</w:t>
      </w:r>
    </w:p>
    <w:p w14:paraId="2E7C3215" w14:textId="337A9874" w:rsidR="003520CA" w:rsidRPr="009D51EB" w:rsidRDefault="003520CA" w:rsidP="0090057E">
      <w:pPr>
        <w:spacing w:line="276" w:lineRule="auto"/>
        <w:ind w:firstLine="720"/>
        <w:jc w:val="both"/>
      </w:pPr>
      <w:r>
        <w:t>Senāts pievienojas krimināltiesību teorijā paustam konsekventam viedoklim, ka ar goda aizskaršanu un neslavas celšanu masu saziņas līdzeklī jāsaprot otru personu pazemojošas informācijas vai apzināti nepatiesu apkaunojošu izdomājumu izplatīšanu, izmantojot presi, radio, televīziju, interneta vietni un citus masu saziņas līdzekļus, tādējādi ievērojami</w:t>
      </w:r>
      <w:proofErr w:type="gramStart"/>
      <w:r>
        <w:t xml:space="preserve"> paplašinot to</w:t>
      </w:r>
      <w:proofErr w:type="gramEnd"/>
      <w:r>
        <w:t xml:space="preserve"> personu loku, kuras var iepazīties ar sniegto informāciju </w:t>
      </w:r>
      <w:r w:rsidRPr="009D51EB">
        <w:rPr>
          <w:i/>
          <w:iCs/>
        </w:rPr>
        <w:t>(Krastiņš</w:t>
      </w:r>
      <w:r w:rsidR="009D51EB" w:rsidRPr="009D51EB">
        <w:rPr>
          <w:i/>
          <w:iCs/>
        </w:rPr>
        <w:t xml:space="preserve"> U.</w:t>
      </w:r>
      <w:r w:rsidRPr="009D51EB">
        <w:rPr>
          <w:i/>
          <w:iCs/>
        </w:rPr>
        <w:t xml:space="preserve">, </w:t>
      </w:r>
      <w:proofErr w:type="spellStart"/>
      <w:r w:rsidRPr="009D51EB">
        <w:rPr>
          <w:i/>
          <w:iCs/>
        </w:rPr>
        <w:t>Liholaja</w:t>
      </w:r>
      <w:proofErr w:type="spellEnd"/>
      <w:r w:rsidR="009D51EB" w:rsidRPr="009D51EB">
        <w:rPr>
          <w:i/>
          <w:iCs/>
        </w:rPr>
        <w:t xml:space="preserve"> V.</w:t>
      </w:r>
      <w:r w:rsidRPr="009D51EB">
        <w:rPr>
          <w:i/>
          <w:iCs/>
        </w:rPr>
        <w:t xml:space="preserve"> Krimināllikuma komentāri, </w:t>
      </w:r>
      <w:r w:rsidR="009D51EB" w:rsidRPr="009D51EB">
        <w:rPr>
          <w:i/>
          <w:iCs/>
        </w:rPr>
        <w:t>O</w:t>
      </w:r>
      <w:r w:rsidRPr="009D51EB">
        <w:rPr>
          <w:i/>
          <w:iCs/>
        </w:rPr>
        <w:t>trā daļa (IX-XVII nodaļa), trešais papildinātais izdevums, Tiesu namu aģentūra, 2022</w:t>
      </w:r>
      <w:r w:rsidR="009D51EB" w:rsidRPr="009D51EB">
        <w:rPr>
          <w:i/>
          <w:iCs/>
        </w:rPr>
        <w:t>,</w:t>
      </w:r>
      <w:r w:rsidRPr="009D51EB">
        <w:rPr>
          <w:i/>
          <w:iCs/>
        </w:rPr>
        <w:t xml:space="preserve"> 481.lpp.)</w:t>
      </w:r>
      <w:r w:rsidRPr="009D51EB">
        <w:t xml:space="preserve">. </w:t>
      </w:r>
    </w:p>
    <w:p w14:paraId="6D9A1A8E" w14:textId="77777777" w:rsidR="003520CA" w:rsidRDefault="003520CA" w:rsidP="0090057E">
      <w:pPr>
        <w:spacing w:line="276" w:lineRule="auto"/>
        <w:ind w:firstLine="720"/>
        <w:jc w:val="both"/>
      </w:pPr>
      <w:r>
        <w:t xml:space="preserve">Krimināllikuma </w:t>
      </w:r>
      <w:proofErr w:type="gramStart"/>
      <w:r>
        <w:t>157.panta</w:t>
      </w:r>
      <w:proofErr w:type="gramEnd"/>
      <w:r>
        <w:t xml:space="preserve"> otrajā daļā pastiprināta atbildība par veidu, kādā tiek aizskarts gods vai celta neslava, proti, tas tiek darīts masu saziņas līdzeklī, tādējādi ievērojami paplašinot to personu loku, kuras var iepazīties ar sniegto informāciju. No minētā izriet, ka atbildības pastiprināšanas pamats ir saziņas līdzekļa, ar kuru izplatīta informācija, atbilstība tādiem kritērijiem kā: </w:t>
      </w:r>
      <w:r w:rsidRPr="009D51EB">
        <w:t xml:space="preserve">1) tas ir publiski pieejams informācijas avots; </w:t>
      </w:r>
      <w:r w:rsidRPr="00C111E3">
        <w:t>2) ar tajā sniegto informāciju var iepazīties plašs personu loks.</w:t>
      </w:r>
    </w:p>
    <w:p w14:paraId="4BF9AC00" w14:textId="4A4845D9" w:rsidR="003520CA" w:rsidRDefault="003520CA" w:rsidP="0090057E">
      <w:pPr>
        <w:spacing w:line="276" w:lineRule="auto"/>
        <w:ind w:firstLine="720"/>
        <w:jc w:val="both"/>
      </w:pPr>
      <w:r>
        <w:t xml:space="preserve">Lai arī interneta vietnes neietilpst likuma </w:t>
      </w:r>
      <w:r w:rsidR="009D51EB">
        <w:t>„</w:t>
      </w:r>
      <w:r>
        <w:t xml:space="preserve">Par presi un citiem masu informācijas līdzekļiem” </w:t>
      </w:r>
      <w:proofErr w:type="gramStart"/>
      <w:r>
        <w:t>2.panta</w:t>
      </w:r>
      <w:proofErr w:type="gramEnd"/>
      <w:r>
        <w:t xml:space="preserve"> pirmajā daļā sniegtajā masu informācijas līdzekļu uzskaitījumā, šī panta pirmās daļas otrajā teikumā noteikts, ka i</w:t>
      </w:r>
      <w:r w:rsidRPr="002A7F81">
        <w:t>nterneta vietni var reģistrēt kā masu informācijas līdzekli.</w:t>
      </w:r>
      <w:r>
        <w:t xml:space="preserve"> Vārds </w:t>
      </w:r>
      <w:r w:rsidR="009D51EB">
        <w:t>„</w:t>
      </w:r>
      <w:r>
        <w:t xml:space="preserve">var” norāda, ka interneta vietne var darboties kā masu informācijas līdzeklis, bet tai nav obligāta pienākuma reģistrēties </w:t>
      </w:r>
      <w:r w:rsidRPr="002A7F81">
        <w:t>Latvijas Republi</w:t>
      </w:r>
      <w:r>
        <w:t>kas Uzņēmumu reģistrā un attiecīgi būt iekļautai</w:t>
      </w:r>
      <w:r w:rsidRPr="002A7F81">
        <w:t xml:space="preserve"> masu informācijas līdzekļu reģistrā</w:t>
      </w:r>
      <w:r>
        <w:t>.</w:t>
      </w:r>
    </w:p>
    <w:p w14:paraId="64866329" w14:textId="083E6F42" w:rsidR="00092208" w:rsidRPr="00C64231" w:rsidRDefault="003520CA" w:rsidP="0090057E">
      <w:pPr>
        <w:spacing w:line="276" w:lineRule="auto"/>
        <w:ind w:firstLine="720"/>
        <w:jc w:val="both"/>
      </w:pPr>
      <w:r>
        <w:t xml:space="preserve">Izskatot tiesisko situāciju, kurā </w:t>
      </w:r>
      <w:r w:rsidRPr="00477A21">
        <w:t>interneta vietnes, kas</w:t>
      </w:r>
      <w:r>
        <w:t xml:space="preserve"> ir izvēlējušās nereģistrēties,</w:t>
      </w:r>
      <w:r w:rsidRPr="00477A21">
        <w:t xml:space="preserve"> faktiski darboja</w:t>
      </w:r>
      <w:r>
        <w:t>s kā masu informācijas līdzekļi, Senāts ir atzinis, ka</w:t>
      </w:r>
      <w:r w:rsidRPr="00477A21">
        <w:t xml:space="preserve"> reģistrācijas fakts nav uzs</w:t>
      </w:r>
      <w:r>
        <w:t xml:space="preserve">katāms par plašsaziņas līdzekļa </w:t>
      </w:r>
      <w:r w:rsidRPr="00477A21">
        <w:t>obligātu pazīmi</w:t>
      </w:r>
      <w:r>
        <w:t xml:space="preserve"> </w:t>
      </w:r>
      <w:r w:rsidRPr="00C64231">
        <w:t>(</w:t>
      </w:r>
      <w:r w:rsidR="00C64231" w:rsidRPr="00C64231">
        <w:rPr>
          <w:i/>
          <w:iCs/>
        </w:rPr>
        <w:t>Augstākās tiesas</w:t>
      </w:r>
      <w:r w:rsidRPr="00C64231">
        <w:rPr>
          <w:i/>
          <w:iCs/>
        </w:rPr>
        <w:t xml:space="preserve"> </w:t>
      </w:r>
      <w:proofErr w:type="gramStart"/>
      <w:r w:rsidRPr="00C64231">
        <w:rPr>
          <w:i/>
          <w:iCs/>
        </w:rPr>
        <w:t>2012.gada</w:t>
      </w:r>
      <w:proofErr w:type="gramEnd"/>
      <w:r w:rsidRPr="00C64231">
        <w:rPr>
          <w:i/>
          <w:iCs/>
        </w:rPr>
        <w:t xml:space="preserve"> 17.oktobra spriedum</w:t>
      </w:r>
      <w:r w:rsidR="00C64231" w:rsidRPr="00C64231">
        <w:rPr>
          <w:i/>
          <w:iCs/>
        </w:rPr>
        <w:t>a</w:t>
      </w:r>
      <w:r w:rsidRPr="00C64231">
        <w:rPr>
          <w:i/>
          <w:iCs/>
        </w:rPr>
        <w:t xml:space="preserve"> lietā Nr.</w:t>
      </w:r>
      <w:r w:rsidR="00C64231" w:rsidRPr="00C64231">
        <w:rPr>
          <w:i/>
          <w:iCs/>
        </w:rPr>
        <w:t> </w:t>
      </w:r>
      <w:r w:rsidRPr="00C64231">
        <w:rPr>
          <w:i/>
          <w:iCs/>
        </w:rPr>
        <w:t>SKC–637/2012 [11] punkts</w:t>
      </w:r>
      <w:r w:rsidRPr="00C64231">
        <w:t xml:space="preserve">). </w:t>
      </w:r>
    </w:p>
    <w:p w14:paraId="3429927C" w14:textId="7AA1DDCA" w:rsidR="00092208" w:rsidRDefault="003520CA" w:rsidP="0090057E">
      <w:pPr>
        <w:spacing w:line="276" w:lineRule="auto"/>
        <w:ind w:firstLine="720"/>
        <w:jc w:val="both"/>
      </w:pPr>
      <w:r>
        <w:t>Ievērojot izklāstīto, Senāts atzīst par nepamat</w:t>
      </w:r>
      <w:r w:rsidR="00C64231">
        <w:t>otu</w:t>
      </w:r>
      <w:r>
        <w:t xml:space="preserve"> kasācijas sūdzībās ietverto norādi uz Krimināllikuma </w:t>
      </w:r>
      <w:proofErr w:type="gramStart"/>
      <w:r>
        <w:t>157.panta</w:t>
      </w:r>
      <w:proofErr w:type="gramEnd"/>
      <w:r>
        <w:t xml:space="preserve"> otrās daļas nepareizu piemērošanu, kvalificējot </w:t>
      </w:r>
      <w:r w:rsidR="003F7EDA">
        <w:t>[pers. A]</w:t>
      </w:r>
      <w:r>
        <w:t xml:space="preserve"> noziedzīgo nodarījumu.</w:t>
      </w:r>
    </w:p>
    <w:p w14:paraId="7EB76839" w14:textId="5D264E0A" w:rsidR="008678B2" w:rsidRDefault="008678B2" w:rsidP="0090057E">
      <w:pPr>
        <w:spacing w:line="276" w:lineRule="auto"/>
        <w:ind w:firstLine="720"/>
        <w:jc w:val="both"/>
      </w:pPr>
    </w:p>
    <w:p w14:paraId="218CAEE0" w14:textId="71E0DCF8" w:rsidR="008678B2" w:rsidRPr="00FC24E3" w:rsidRDefault="008678B2" w:rsidP="0090057E">
      <w:pPr>
        <w:spacing w:line="276" w:lineRule="auto"/>
        <w:ind w:firstLine="720"/>
        <w:jc w:val="both"/>
      </w:pPr>
      <w:r w:rsidRPr="00FC24E3">
        <w:t>[16] Senāts atzīst par nepamatotu apgalvojumu, ka tiesneses I.</w:t>
      </w:r>
      <w:r w:rsidR="00230838" w:rsidRPr="00FC24E3">
        <w:t> </w:t>
      </w:r>
      <w:r w:rsidRPr="00FC24E3">
        <w:t>Vīgante un S.</w:t>
      </w:r>
      <w:r w:rsidR="00230838" w:rsidRPr="00FC24E3">
        <w:t> </w:t>
      </w:r>
      <w:proofErr w:type="spellStart"/>
      <w:r w:rsidRPr="00FC24E3">
        <w:t>Amola</w:t>
      </w:r>
      <w:proofErr w:type="spellEnd"/>
      <w:r w:rsidRPr="00FC24E3">
        <w:t>, iztiesājot lietu, ir atradušās interešu konflikta apstākļos.</w:t>
      </w:r>
    </w:p>
    <w:p w14:paraId="501812A2" w14:textId="12187F8C" w:rsidR="008678B2" w:rsidRPr="008678B2" w:rsidRDefault="008678B2" w:rsidP="008678B2">
      <w:pPr>
        <w:spacing w:line="276" w:lineRule="auto"/>
        <w:ind w:firstLine="720"/>
        <w:jc w:val="both"/>
        <w:rPr>
          <w:rFonts w:eastAsiaTheme="minorHAnsi" w:cstheme="minorBidi"/>
          <w:szCs w:val="22"/>
          <w:lang w:eastAsia="en-US"/>
        </w:rPr>
      </w:pPr>
      <w:r w:rsidRPr="00FC24E3">
        <w:t>Kasācijas sūdzībā norādīts, ka interešu konflikts saskatāms apstāklī, ka</w:t>
      </w:r>
      <w:r w:rsidR="0095264C" w:rsidRPr="00FC24E3">
        <w:t xml:space="preserve"> gan cietušais </w:t>
      </w:r>
      <w:r w:rsidR="003F7EDA">
        <w:t>[pers. B]</w:t>
      </w:r>
      <w:r w:rsidR="0095264C" w:rsidRPr="00FC24E3">
        <w:t>, gan</w:t>
      </w:r>
      <w:r w:rsidRPr="00FC24E3">
        <w:t xml:space="preserve"> minētās tiesneses, ir bijušas </w:t>
      </w:r>
      <w:r w:rsidR="0095264C" w:rsidRPr="00FC24E3">
        <w:t>nodarbinātas un saņēmušas atalgojumu</w:t>
      </w:r>
      <w:r w:rsidRPr="00FC24E3">
        <w:rPr>
          <w:rFonts w:eastAsiaTheme="minorHAnsi" w:cstheme="minorBidi"/>
          <w:szCs w:val="22"/>
          <w:lang w:eastAsia="en-US"/>
        </w:rPr>
        <w:t xml:space="preserve"> nodibinājumā „Tiesnešu mācību centrs”,</w:t>
      </w:r>
      <w:r w:rsidR="0095264C" w:rsidRPr="00FC24E3">
        <w:rPr>
          <w:rFonts w:eastAsiaTheme="minorHAnsi" w:cstheme="minorBidi"/>
          <w:szCs w:val="22"/>
          <w:lang w:eastAsia="en-US"/>
        </w:rPr>
        <w:t xml:space="preserve"> kas apsūdzētā ieskatā ir prettiesisks nodibinājums.</w:t>
      </w:r>
    </w:p>
    <w:p w14:paraId="75148B14" w14:textId="77777777" w:rsidR="0095264C" w:rsidRPr="0095264C" w:rsidRDefault="0095264C" w:rsidP="0095264C">
      <w:pPr>
        <w:spacing w:line="276" w:lineRule="auto"/>
        <w:ind w:firstLine="720"/>
        <w:jc w:val="both"/>
        <w:rPr>
          <w:rFonts w:eastAsiaTheme="minorHAnsi" w:cstheme="minorBidi"/>
          <w:szCs w:val="22"/>
          <w:lang w:eastAsia="en-US"/>
        </w:rPr>
      </w:pPr>
      <w:r w:rsidRPr="0095264C">
        <w:rPr>
          <w:rFonts w:eastAsiaTheme="minorHAnsi" w:cstheme="minorBidi"/>
          <w:szCs w:val="22"/>
          <w:lang w:eastAsia="en-US"/>
        </w:rPr>
        <w:t xml:space="preserve">Kriminālprocesa likuma </w:t>
      </w:r>
      <w:proofErr w:type="gramStart"/>
      <w:r w:rsidRPr="0095264C">
        <w:rPr>
          <w:rFonts w:eastAsiaTheme="minorHAnsi" w:cstheme="minorBidi"/>
          <w:szCs w:val="22"/>
          <w:lang w:eastAsia="en-US"/>
        </w:rPr>
        <w:t>50.panta</w:t>
      </w:r>
      <w:proofErr w:type="gramEnd"/>
      <w:r w:rsidRPr="0095264C">
        <w:rPr>
          <w:rFonts w:eastAsiaTheme="minorHAnsi" w:cstheme="minorBidi"/>
          <w:szCs w:val="22"/>
          <w:lang w:eastAsia="en-US"/>
        </w:rPr>
        <w:t xml:space="preserve"> pirmā daļa noteic, ka amatpersona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w:t>
      </w:r>
    </w:p>
    <w:p w14:paraId="30287CE5" w14:textId="77777777" w:rsidR="0095264C" w:rsidRPr="0095264C" w:rsidRDefault="0095264C" w:rsidP="0095264C">
      <w:pPr>
        <w:spacing w:line="276" w:lineRule="auto"/>
        <w:ind w:firstLine="720"/>
        <w:jc w:val="both"/>
        <w:rPr>
          <w:rFonts w:eastAsiaTheme="minorHAnsi" w:cstheme="minorBidi"/>
          <w:szCs w:val="22"/>
          <w:lang w:eastAsia="en-US"/>
        </w:rPr>
      </w:pPr>
      <w:r w:rsidRPr="0095264C">
        <w:rPr>
          <w:rFonts w:eastAsiaTheme="minorHAnsi" w:cstheme="minorBidi"/>
          <w:szCs w:val="22"/>
          <w:lang w:eastAsia="en-US"/>
        </w:rPr>
        <w:t xml:space="preserve">Kriminālprocesa likuma </w:t>
      </w:r>
      <w:proofErr w:type="gramStart"/>
      <w:r w:rsidRPr="0095264C">
        <w:rPr>
          <w:rFonts w:eastAsiaTheme="minorHAnsi" w:cstheme="minorBidi"/>
          <w:szCs w:val="22"/>
          <w:lang w:eastAsia="en-US"/>
        </w:rPr>
        <w:t>51.pantā</w:t>
      </w:r>
      <w:proofErr w:type="gramEnd"/>
      <w:r w:rsidRPr="0095264C">
        <w:rPr>
          <w:rFonts w:eastAsiaTheme="minorHAnsi" w:cstheme="minorBidi"/>
          <w:szCs w:val="22"/>
          <w:lang w:eastAsia="en-US"/>
        </w:rPr>
        <w:t xml:space="preserve"> reglamentēti neapstrīdamie interešu konflikta apstākļi, proti, bez jebkādas papildu apstākļu noskaidrošanas tiek atzīta interešu konflikta pastāvēšana, ja amatpersona, kura veic kriminālprocesu: 1) ir radniecības attiecībās līdz trešajai pakāpei, svainībā līdz otrajai pakāpei vai sastāv laulībā ar personu, kura īsteno aizstāvību, vai ar cietušo vai viņa pārstāvi; 2) pati, tās laulātais, bērni vai vecāki saņem ienākumus no personas, kura īsteno aizstāvību, vai no cietušā vai viņa pārstāvja; 3) ir saistīta ar kopīgu saimniecību ar personu, kura īsteno aizstāvību, vai ar cietušo vai viņa pārstāvi; 4) atrodas nepārprotamā personiskā konfliktā ar personu, kura īsteno aizstāvību, vai ar cietušo vai viņa pārstāvi; 5) šajā procesā ir liecinieks, cietušais vai viņa pārstāvis vai persona, kura īsteno aizstāvību vai ir veikusi aizstāvību vai cietušā pārstāvību. </w:t>
      </w:r>
    </w:p>
    <w:p w14:paraId="1C4C3622" w14:textId="77777777" w:rsidR="0095264C" w:rsidRPr="0095264C" w:rsidRDefault="0095264C" w:rsidP="0095264C">
      <w:pPr>
        <w:spacing w:line="276" w:lineRule="auto"/>
        <w:ind w:firstLine="720"/>
        <w:jc w:val="both"/>
        <w:rPr>
          <w:rFonts w:eastAsiaTheme="minorHAnsi" w:cstheme="minorBidi"/>
          <w:szCs w:val="22"/>
          <w:lang w:eastAsia="en-US"/>
        </w:rPr>
      </w:pPr>
      <w:r w:rsidRPr="0095264C">
        <w:rPr>
          <w:rFonts w:eastAsiaTheme="minorHAnsi" w:cstheme="minorBidi"/>
          <w:szCs w:val="22"/>
          <w:lang w:eastAsia="en-US"/>
        </w:rPr>
        <w:t xml:space="preserve">Kriminālprocesa likuma </w:t>
      </w:r>
      <w:proofErr w:type="gramStart"/>
      <w:r w:rsidRPr="0095264C">
        <w:rPr>
          <w:rFonts w:eastAsiaTheme="minorHAnsi" w:cstheme="minorBidi"/>
          <w:szCs w:val="22"/>
          <w:lang w:eastAsia="en-US"/>
        </w:rPr>
        <w:t>52.pantā</w:t>
      </w:r>
      <w:proofErr w:type="gramEnd"/>
      <w:r w:rsidRPr="0095264C">
        <w:rPr>
          <w:rFonts w:eastAsiaTheme="minorHAnsi" w:cstheme="minorBidi"/>
          <w:szCs w:val="22"/>
          <w:lang w:eastAsia="en-US"/>
        </w:rPr>
        <w:t xml:space="preserve"> noteikti interešu konflikta apstākļi atsevišķām kriminālprocesā iesaistītajām personām. Minētā panta ceturtā daļa noteic, ka lietas izskatīšanā tiesā nedrīkst piedalīties tiesnesis, kurš ir: 1) piedalījies pirmstiesas kriminālprocesā vai pirmās instances vai apelācijas instances tiesā jebkādā statusā; 2) radniecībā līdz trešajai pakāpei, svainībā līdz otrajai pakāpei, laulībā ar citu iztiesāšanā iesaistītu tiesnesi, apsūdzības uzturētāju vai prokuroru, kas krimināllietu nodevis iztiesāšanai, vai kuru ar minēto tiesnesi, apsūdzības uzturētāju vai prokuroru saista kopīga saimniecība.</w:t>
      </w:r>
    </w:p>
    <w:p w14:paraId="38CA7193" w14:textId="070FD6E7" w:rsidR="008678B2" w:rsidRPr="00FC24E3" w:rsidRDefault="0095264C" w:rsidP="0090057E">
      <w:pPr>
        <w:spacing w:line="276" w:lineRule="auto"/>
        <w:ind w:firstLine="720"/>
        <w:jc w:val="both"/>
        <w:rPr>
          <w:rFonts w:eastAsiaTheme="minorHAnsi" w:cstheme="minorBidi"/>
          <w:szCs w:val="22"/>
          <w:lang w:eastAsia="en-US"/>
        </w:rPr>
      </w:pPr>
      <w:r w:rsidRPr="00FC24E3">
        <w:t>Senāt</w:t>
      </w:r>
      <w:r w:rsidR="000B2452" w:rsidRPr="00FC24E3">
        <w:t xml:space="preserve">s konstatē, ka </w:t>
      </w:r>
      <w:r w:rsidR="003F7EDA">
        <w:t>[pers. A]</w:t>
      </w:r>
      <w:r w:rsidR="000B2452" w:rsidRPr="00FC24E3">
        <w:t xml:space="preserve"> kasācijas sūdzībā norādītie interešu konflikta apstākļi neietilps to apstākļu lokā, kas saskaņā ar Krimināllikuma 50., 51. un </w:t>
      </w:r>
      <w:proofErr w:type="gramStart"/>
      <w:r w:rsidR="000B2452" w:rsidRPr="00FC24E3">
        <w:t>52.pantu</w:t>
      </w:r>
      <w:proofErr w:type="gramEnd"/>
      <w:r w:rsidR="000B2452" w:rsidRPr="00FC24E3">
        <w:t xml:space="preserve"> varētu būt absolūts vai vērtējams pamats interešu konflikta esībai, jo viedoklis par interešu konflikta esību argumentēts ar nemotivētu apgalvojumu, ka </w:t>
      </w:r>
      <w:r w:rsidR="000B2452" w:rsidRPr="00FC24E3">
        <w:rPr>
          <w:rFonts w:eastAsiaTheme="minorHAnsi" w:cstheme="minorBidi"/>
          <w:szCs w:val="22"/>
          <w:lang w:eastAsia="en-US"/>
        </w:rPr>
        <w:t xml:space="preserve">nodibinājums </w:t>
      </w:r>
      <w:r w:rsidR="00FC24E3" w:rsidRPr="00FC24E3">
        <w:rPr>
          <w:rFonts w:eastAsiaTheme="minorHAnsi" w:cstheme="minorBidi"/>
          <w:szCs w:val="22"/>
          <w:lang w:eastAsia="en-US"/>
        </w:rPr>
        <w:t>„</w:t>
      </w:r>
      <w:r w:rsidR="001C13B5" w:rsidRPr="00FC24E3">
        <w:rPr>
          <w:rFonts w:eastAsiaTheme="minorHAnsi" w:cstheme="minorBidi"/>
          <w:szCs w:val="22"/>
          <w:lang w:eastAsia="en-US"/>
        </w:rPr>
        <w:t xml:space="preserve">Latvijas </w:t>
      </w:r>
      <w:r w:rsidR="000B2452" w:rsidRPr="00FC24E3">
        <w:rPr>
          <w:rFonts w:eastAsiaTheme="minorHAnsi" w:cstheme="minorBidi"/>
          <w:szCs w:val="22"/>
          <w:lang w:eastAsia="en-US"/>
        </w:rPr>
        <w:t>Tiesnešu mācību centrs</w:t>
      </w:r>
      <w:r w:rsidR="001C13B5" w:rsidRPr="00FC24E3">
        <w:rPr>
          <w:rFonts w:eastAsiaTheme="minorHAnsi" w:cstheme="minorBidi"/>
          <w:szCs w:val="22"/>
          <w:lang w:eastAsia="en-US"/>
        </w:rPr>
        <w:t>”</w:t>
      </w:r>
      <w:r w:rsidR="00B72A19" w:rsidRPr="00FC24E3">
        <w:rPr>
          <w:rFonts w:eastAsiaTheme="minorHAnsi" w:cstheme="minorBidi"/>
          <w:szCs w:val="22"/>
          <w:lang w:eastAsia="en-US"/>
        </w:rPr>
        <w:t xml:space="preserve"> ir</w:t>
      </w:r>
      <w:r w:rsidR="000B2452" w:rsidRPr="00FC24E3">
        <w:rPr>
          <w:rFonts w:eastAsiaTheme="minorHAnsi" w:cstheme="minorBidi"/>
          <w:szCs w:val="22"/>
          <w:lang w:eastAsia="en-US"/>
        </w:rPr>
        <w:t xml:space="preserve"> neli</w:t>
      </w:r>
      <w:r w:rsidR="00B11127" w:rsidRPr="00FC24E3">
        <w:rPr>
          <w:rFonts w:eastAsiaTheme="minorHAnsi" w:cstheme="minorBidi"/>
          <w:szCs w:val="22"/>
          <w:lang w:eastAsia="en-US"/>
        </w:rPr>
        <w:t>cenzēta</w:t>
      </w:r>
      <w:r w:rsidR="000B2452" w:rsidRPr="00FC24E3">
        <w:rPr>
          <w:rFonts w:eastAsiaTheme="minorHAnsi" w:cstheme="minorBidi"/>
          <w:szCs w:val="22"/>
          <w:lang w:eastAsia="en-US"/>
        </w:rPr>
        <w:t xml:space="preserve"> mācību iestāde,</w:t>
      </w:r>
      <w:r w:rsidR="001C6F12" w:rsidRPr="00FC24E3">
        <w:rPr>
          <w:rFonts w:eastAsiaTheme="minorHAnsi" w:cstheme="minorBidi"/>
          <w:szCs w:val="22"/>
          <w:lang w:eastAsia="en-US"/>
        </w:rPr>
        <w:t xml:space="preserve"> proti, privātstruktūra bez attiecīgas atļaujas īstenot pieaugušo tālākizglītību,</w:t>
      </w:r>
      <w:r w:rsidR="00B11127" w:rsidRPr="00FC24E3">
        <w:rPr>
          <w:rFonts w:eastAsiaTheme="minorHAnsi" w:cstheme="minorBidi"/>
          <w:szCs w:val="22"/>
          <w:lang w:eastAsia="en-US"/>
        </w:rPr>
        <w:t xml:space="preserve"> </w:t>
      </w:r>
      <w:r w:rsidR="000B2452" w:rsidRPr="00FC24E3">
        <w:rPr>
          <w:rFonts w:eastAsiaTheme="minorHAnsi" w:cstheme="minorBidi"/>
          <w:szCs w:val="22"/>
          <w:lang w:eastAsia="en-US"/>
        </w:rPr>
        <w:t xml:space="preserve">kurā tiesneši un </w:t>
      </w:r>
      <w:r w:rsidR="00F40114" w:rsidRPr="00FC24E3">
        <w:rPr>
          <w:rFonts w:eastAsiaTheme="minorHAnsi" w:cstheme="minorBidi"/>
          <w:szCs w:val="22"/>
          <w:lang w:eastAsia="en-US"/>
        </w:rPr>
        <w:t>cietušais prettiesisk</w:t>
      </w:r>
      <w:r w:rsidR="00B72A19" w:rsidRPr="00FC24E3">
        <w:rPr>
          <w:rFonts w:eastAsiaTheme="minorHAnsi" w:cstheme="minorBidi"/>
          <w:szCs w:val="22"/>
          <w:lang w:eastAsia="en-US"/>
        </w:rPr>
        <w:t>i</w:t>
      </w:r>
      <w:r w:rsidR="00F40114" w:rsidRPr="00FC24E3">
        <w:rPr>
          <w:rFonts w:eastAsiaTheme="minorHAnsi" w:cstheme="minorBidi"/>
          <w:szCs w:val="22"/>
          <w:lang w:eastAsia="en-US"/>
        </w:rPr>
        <w:t xml:space="preserve"> saņēmuši atalgojumu.</w:t>
      </w:r>
    </w:p>
    <w:p w14:paraId="7E3C86AB" w14:textId="2586984C" w:rsidR="001C6F12" w:rsidRPr="00FC24E3" w:rsidRDefault="001C6F12" w:rsidP="0090057E">
      <w:pPr>
        <w:spacing w:line="276" w:lineRule="auto"/>
        <w:ind w:firstLine="720"/>
        <w:jc w:val="both"/>
        <w:rPr>
          <w:rFonts w:eastAsiaTheme="minorHAnsi" w:cstheme="minorBidi"/>
          <w:szCs w:val="22"/>
          <w:lang w:eastAsia="en-US"/>
        </w:rPr>
      </w:pPr>
      <w:r w:rsidRPr="00FC24E3">
        <w:rPr>
          <w:rFonts w:eastAsiaTheme="minorHAnsi" w:cstheme="minorBidi"/>
          <w:szCs w:val="22"/>
          <w:lang w:eastAsia="en-US"/>
        </w:rPr>
        <w:t>Latvijas Tiesnešu mācību centrs</w:t>
      </w:r>
      <w:r w:rsidR="001C13B5" w:rsidRPr="00FC24E3">
        <w:rPr>
          <w:rFonts w:eastAsiaTheme="minorHAnsi" w:cstheme="minorBidi"/>
          <w:szCs w:val="22"/>
          <w:lang w:eastAsia="en-US"/>
        </w:rPr>
        <w:t xml:space="preserve"> ir nodibinājums, kas nodrošina tiesnešu un tiesu darbinieku tālākizglītību.</w:t>
      </w:r>
    </w:p>
    <w:p w14:paraId="3B8B888B" w14:textId="3E3F8F45" w:rsidR="00F40114" w:rsidRPr="00FC24E3" w:rsidRDefault="00F40114" w:rsidP="00F40114">
      <w:pPr>
        <w:spacing w:line="276" w:lineRule="auto"/>
        <w:ind w:firstLine="720"/>
        <w:jc w:val="both"/>
        <w:rPr>
          <w:rFonts w:eastAsiaTheme="minorHAnsi" w:cstheme="minorBidi"/>
          <w:b/>
          <w:szCs w:val="22"/>
          <w:lang w:eastAsia="en-US"/>
        </w:rPr>
      </w:pPr>
      <w:r w:rsidRPr="00FC24E3">
        <w:rPr>
          <w:rFonts w:eastAsiaTheme="minorHAnsi" w:cstheme="minorBidi"/>
          <w:szCs w:val="22"/>
          <w:lang w:eastAsia="en-US"/>
        </w:rPr>
        <w:t>Savukārt apstāklis, ka tiesneses nodibinājumā „Latvijas Tiesnešu mācību centrs” bija nodarbinātas kā lektores,</w:t>
      </w:r>
      <w:r w:rsidR="00E60AE8" w:rsidRPr="00FC24E3">
        <w:rPr>
          <w:rFonts w:eastAsiaTheme="minorHAnsi" w:cstheme="minorBidi"/>
          <w:szCs w:val="22"/>
          <w:lang w:eastAsia="en-US"/>
        </w:rPr>
        <w:t xml:space="preserve"> un,</w:t>
      </w:r>
      <w:r w:rsidRPr="00FC24E3">
        <w:rPr>
          <w:rFonts w:eastAsiaTheme="minorHAnsi" w:cstheme="minorBidi"/>
          <w:szCs w:val="22"/>
          <w:lang w:eastAsia="en-US"/>
        </w:rPr>
        <w:t xml:space="preserve"> neatrodoties savstarpējā pakļautībā ar cietušo </w:t>
      </w:r>
      <w:r w:rsidR="003F7EDA">
        <w:rPr>
          <w:rFonts w:eastAsiaTheme="minorHAnsi" w:cstheme="minorBidi"/>
          <w:szCs w:val="22"/>
          <w:lang w:eastAsia="en-US"/>
        </w:rPr>
        <w:t>[pers. B]</w:t>
      </w:r>
      <w:r w:rsidR="00E60AE8" w:rsidRPr="00FC24E3">
        <w:rPr>
          <w:rFonts w:eastAsiaTheme="minorHAnsi" w:cstheme="minorBidi"/>
          <w:szCs w:val="22"/>
          <w:lang w:eastAsia="en-US"/>
        </w:rPr>
        <w:t>, ir</w:t>
      </w:r>
      <w:r w:rsidRPr="00FC24E3">
        <w:rPr>
          <w:rFonts w:eastAsiaTheme="minorHAnsi" w:cstheme="minorBidi"/>
          <w:szCs w:val="22"/>
          <w:lang w:eastAsia="en-US"/>
        </w:rPr>
        <w:t xml:space="preserve"> sniegušas atsevišķas lekcijas, pats par sevi nav uzskatāms par pamatu, lai apšaubītu tiesnešu I. Vīgantes un S. </w:t>
      </w:r>
      <w:proofErr w:type="spellStart"/>
      <w:r w:rsidRPr="00FC24E3">
        <w:rPr>
          <w:rFonts w:eastAsiaTheme="minorHAnsi" w:cstheme="minorBidi"/>
          <w:szCs w:val="22"/>
          <w:lang w:eastAsia="en-US"/>
        </w:rPr>
        <w:t>Amolas</w:t>
      </w:r>
      <w:proofErr w:type="spellEnd"/>
      <w:r w:rsidRPr="00FC24E3">
        <w:rPr>
          <w:rFonts w:eastAsiaTheme="minorHAnsi" w:cstheme="minorBidi"/>
          <w:szCs w:val="22"/>
          <w:lang w:eastAsia="en-US"/>
        </w:rPr>
        <w:t xml:space="preserve"> objektivitāti lietas izskatīšanā.</w:t>
      </w:r>
    </w:p>
    <w:p w14:paraId="495107F9" w14:textId="6AE86D15" w:rsidR="00F40114" w:rsidRDefault="00F40114" w:rsidP="0090057E">
      <w:pPr>
        <w:spacing w:line="276" w:lineRule="auto"/>
        <w:ind w:firstLine="720"/>
        <w:jc w:val="both"/>
      </w:pPr>
      <w:r w:rsidRPr="00FC24E3">
        <w:t xml:space="preserve">Turklāt no apelācijas instances tiesas </w:t>
      </w:r>
      <w:proofErr w:type="gramStart"/>
      <w:r w:rsidR="00230838" w:rsidRPr="00FC24E3">
        <w:t>2021.gada</w:t>
      </w:r>
      <w:proofErr w:type="gramEnd"/>
      <w:r w:rsidR="00230838" w:rsidRPr="00FC24E3">
        <w:t xml:space="preserve"> 16.februāra tiesas sēdes protokola redzams, ka tiesas sēdē apsūdzētajam </w:t>
      </w:r>
      <w:r w:rsidR="003F7EDA">
        <w:t>[pers. A]</w:t>
      </w:r>
      <w:r w:rsidR="00230838" w:rsidRPr="00FC24E3">
        <w:t xml:space="preserve"> tika izskaidrotas noraidījuma tiesības, ne apsūdzētais, ne viņa aizstāvis noraidījumu nevienai no tiesnesēm nav pieteikuši.</w:t>
      </w:r>
    </w:p>
    <w:p w14:paraId="776E9FAB" w14:textId="77777777" w:rsidR="00C64231" w:rsidRDefault="00C64231" w:rsidP="0090057E">
      <w:pPr>
        <w:spacing w:line="276" w:lineRule="auto"/>
        <w:ind w:firstLine="720"/>
        <w:jc w:val="both"/>
      </w:pPr>
    </w:p>
    <w:p w14:paraId="141E7121" w14:textId="3531C89F" w:rsidR="003520CA" w:rsidRPr="00716B7F" w:rsidRDefault="003520CA" w:rsidP="0090057E">
      <w:pPr>
        <w:spacing w:line="276" w:lineRule="auto"/>
        <w:ind w:firstLine="720"/>
        <w:jc w:val="both"/>
      </w:pPr>
      <w:r>
        <w:t>[</w:t>
      </w:r>
      <w:r w:rsidR="00C64231">
        <w:t>1</w:t>
      </w:r>
      <w:r w:rsidR="00B742CC">
        <w:t>7</w:t>
      </w:r>
      <w:r>
        <w:t xml:space="preserve">] Pamatojoties uz augstāk izklāstīto apsvērumu kopumu, Senāts atzīst, ka </w:t>
      </w:r>
      <w:r w:rsidR="003F7EDA">
        <w:t>[pers. A]</w:t>
      </w:r>
      <w:r>
        <w:t xml:space="preserve"> un viņa aizstāvja iesniegtās kasācijas sūdzības ir nepamatotas un noraidāmas.</w:t>
      </w:r>
    </w:p>
    <w:p w14:paraId="55680081" w14:textId="77777777" w:rsidR="001F557E" w:rsidRPr="00B66569" w:rsidRDefault="001F557E" w:rsidP="001F557E">
      <w:pPr>
        <w:spacing w:line="276" w:lineRule="auto"/>
        <w:jc w:val="both"/>
        <w:rPr>
          <w:bCs/>
        </w:rPr>
      </w:pPr>
    </w:p>
    <w:p w14:paraId="11E8256A" w14:textId="77777777" w:rsidR="001F557E" w:rsidRPr="007309D0" w:rsidRDefault="001F557E" w:rsidP="001F557E">
      <w:pPr>
        <w:spacing w:line="276" w:lineRule="auto"/>
        <w:jc w:val="center"/>
        <w:rPr>
          <w:b/>
        </w:rPr>
      </w:pPr>
      <w:r w:rsidRPr="007309D0">
        <w:rPr>
          <w:b/>
        </w:rPr>
        <w:t>Rezolutīvā daļa</w:t>
      </w:r>
    </w:p>
    <w:p w14:paraId="11F0111A" w14:textId="77777777" w:rsidR="001F557E" w:rsidRPr="007309D0" w:rsidRDefault="001F557E" w:rsidP="001F557E">
      <w:pPr>
        <w:spacing w:line="276" w:lineRule="auto"/>
        <w:jc w:val="both"/>
        <w:rPr>
          <w:b/>
        </w:rPr>
      </w:pPr>
    </w:p>
    <w:p w14:paraId="41CCD1C3" w14:textId="77777777" w:rsidR="001F557E" w:rsidRPr="007309D0" w:rsidRDefault="001F557E" w:rsidP="001F557E">
      <w:pPr>
        <w:spacing w:line="276" w:lineRule="auto"/>
        <w:ind w:firstLine="720"/>
        <w:jc w:val="both"/>
      </w:pPr>
      <w:r w:rsidRPr="007309D0">
        <w:t xml:space="preserve">Pamatojoties uz Kriminālprocesa likuma 585., </w:t>
      </w:r>
      <w:proofErr w:type="gramStart"/>
      <w:r w:rsidRPr="007309D0">
        <w:t>587.pantu</w:t>
      </w:r>
      <w:proofErr w:type="gramEnd"/>
      <w:r w:rsidRPr="007309D0">
        <w:t>, tiesa</w:t>
      </w:r>
    </w:p>
    <w:p w14:paraId="540CB4B2" w14:textId="77777777" w:rsidR="001F557E" w:rsidRDefault="001F557E" w:rsidP="001F557E">
      <w:pPr>
        <w:tabs>
          <w:tab w:val="left" w:pos="3969"/>
        </w:tabs>
        <w:spacing w:line="276" w:lineRule="auto"/>
        <w:jc w:val="center"/>
        <w:rPr>
          <w:b/>
        </w:rPr>
      </w:pPr>
    </w:p>
    <w:p w14:paraId="067CF79F" w14:textId="77777777" w:rsidR="001F557E" w:rsidRPr="007309D0" w:rsidRDefault="001F557E" w:rsidP="001F557E">
      <w:pPr>
        <w:tabs>
          <w:tab w:val="left" w:pos="3969"/>
        </w:tabs>
        <w:spacing w:line="276" w:lineRule="auto"/>
        <w:jc w:val="center"/>
        <w:rPr>
          <w:b/>
        </w:rPr>
      </w:pPr>
      <w:r w:rsidRPr="007309D0">
        <w:rPr>
          <w:b/>
        </w:rPr>
        <w:t>nolēma:</w:t>
      </w:r>
    </w:p>
    <w:p w14:paraId="033431E8" w14:textId="77777777" w:rsidR="001F557E" w:rsidRDefault="001F557E" w:rsidP="001F557E">
      <w:pPr>
        <w:spacing w:line="276" w:lineRule="auto"/>
        <w:rPr>
          <w:rFonts w:eastAsia="Calibri"/>
        </w:rPr>
      </w:pPr>
    </w:p>
    <w:p w14:paraId="046B4C07" w14:textId="4CFF0055" w:rsidR="001F557E" w:rsidRPr="007309D0" w:rsidRDefault="001F557E" w:rsidP="00942EA5">
      <w:pPr>
        <w:spacing w:line="276" w:lineRule="auto"/>
        <w:ind w:firstLine="720"/>
        <w:jc w:val="both"/>
        <w:rPr>
          <w:b/>
        </w:rPr>
      </w:pPr>
      <w:r>
        <w:rPr>
          <w:rFonts w:eastAsia="Calibri"/>
        </w:rPr>
        <w:t xml:space="preserve">atstāt negrozītu </w:t>
      </w:r>
      <w:r w:rsidR="00942EA5">
        <w:rPr>
          <w:rFonts w:eastAsia="Calibri"/>
        </w:rPr>
        <w:t>Rīgas</w:t>
      </w:r>
      <w:r w:rsidRPr="00E12FF5">
        <w:rPr>
          <w:rFonts w:eastAsia="Calibri"/>
        </w:rPr>
        <w:t xml:space="preserve"> apgabaltiesas </w:t>
      </w:r>
      <w:proofErr w:type="gramStart"/>
      <w:r w:rsidRPr="00E12FF5">
        <w:rPr>
          <w:rFonts w:eastAsia="Calibri"/>
        </w:rPr>
        <w:t>20</w:t>
      </w:r>
      <w:r>
        <w:rPr>
          <w:rFonts w:eastAsia="Calibri"/>
        </w:rPr>
        <w:t>21.gada</w:t>
      </w:r>
      <w:proofErr w:type="gramEnd"/>
      <w:r>
        <w:rPr>
          <w:rFonts w:eastAsia="Calibri"/>
        </w:rPr>
        <w:t xml:space="preserve"> </w:t>
      </w:r>
      <w:r w:rsidR="00942EA5">
        <w:rPr>
          <w:rFonts w:eastAsia="Calibri"/>
        </w:rPr>
        <w:t>4.oktobra</w:t>
      </w:r>
      <w:r>
        <w:rPr>
          <w:rFonts w:eastAsia="Calibri"/>
        </w:rPr>
        <w:t xml:space="preserve"> lēmumu</w:t>
      </w:r>
      <w:r w:rsidRPr="00E12FF5">
        <w:rPr>
          <w:rFonts w:eastAsia="Calibri"/>
        </w:rPr>
        <w:t xml:space="preserve">, bet </w:t>
      </w:r>
      <w:r w:rsidR="00942EA5">
        <w:rPr>
          <w:rFonts w:eastAsia="Calibri"/>
        </w:rPr>
        <w:t xml:space="preserve">apsūdzētā </w:t>
      </w:r>
      <w:r w:rsidR="003F7EDA">
        <w:rPr>
          <w:rFonts w:eastAsia="Calibri"/>
        </w:rPr>
        <w:t>[pers. A]</w:t>
      </w:r>
      <w:r w:rsidR="00942EA5">
        <w:rPr>
          <w:rFonts w:eastAsia="Calibri"/>
        </w:rPr>
        <w:t xml:space="preserve"> un viņa aizstāvja Gata Gaiļa</w:t>
      </w:r>
      <w:r w:rsidRPr="00E12FF5">
        <w:rPr>
          <w:rFonts w:eastAsia="Calibri"/>
        </w:rPr>
        <w:t xml:space="preserve"> kasācijas </w:t>
      </w:r>
      <w:r w:rsidR="00942EA5">
        <w:rPr>
          <w:rFonts w:eastAsia="Calibri"/>
        </w:rPr>
        <w:t>sūdzības</w:t>
      </w:r>
      <w:r w:rsidRPr="00E12FF5">
        <w:rPr>
          <w:rFonts w:eastAsia="Calibri"/>
        </w:rPr>
        <w:t xml:space="preserve"> noraid</w:t>
      </w:r>
      <w:r>
        <w:rPr>
          <w:rFonts w:eastAsia="Calibri"/>
        </w:rPr>
        <w:t>īt.</w:t>
      </w:r>
    </w:p>
    <w:p w14:paraId="141F4614" w14:textId="774DBE3F" w:rsidR="009A500A" w:rsidRDefault="001F557E" w:rsidP="003F7EDA">
      <w:pPr>
        <w:spacing w:line="276" w:lineRule="auto"/>
        <w:ind w:firstLine="720"/>
      </w:pPr>
      <w:r w:rsidRPr="007309D0">
        <w:t>Lēmums nav pārsūdzams.</w:t>
      </w:r>
    </w:p>
    <w:sectPr w:rsidR="009A500A" w:rsidSect="00A80318">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EE7C" w14:textId="77777777" w:rsidR="00AE74C0" w:rsidRDefault="00AE74C0">
      <w:r>
        <w:separator/>
      </w:r>
    </w:p>
  </w:endnote>
  <w:endnote w:type="continuationSeparator" w:id="0">
    <w:p w14:paraId="74531B22" w14:textId="77777777" w:rsidR="00AE74C0" w:rsidRDefault="00AE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78CF0689" w14:textId="77777777" w:rsidR="00A87FD3" w:rsidRDefault="00B742CC">
            <w:pPr>
              <w:pStyle w:val="Footer"/>
              <w:jc w:val="center"/>
            </w:pPr>
            <w:r w:rsidRPr="00A87FD3">
              <w:rPr>
                <w:bCs/>
              </w:rPr>
              <w:fldChar w:fldCharType="begin"/>
            </w:r>
            <w:r w:rsidRPr="00A87FD3">
              <w:rPr>
                <w:bCs/>
              </w:rPr>
              <w:instrText xml:space="preserve"> PAGE </w:instrText>
            </w:r>
            <w:r w:rsidRPr="00A87FD3">
              <w:rPr>
                <w:bCs/>
              </w:rPr>
              <w:fldChar w:fldCharType="separate"/>
            </w:r>
            <w:r w:rsidRPr="00A87FD3">
              <w:rPr>
                <w:bCs/>
                <w:noProof/>
              </w:rPr>
              <w:t>2</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Pr="00A87FD3">
              <w:rPr>
                <w:bCs/>
                <w:noProof/>
              </w:rPr>
              <w:t>2</w:t>
            </w:r>
            <w:r w:rsidRPr="00A87FD3">
              <w:rPr>
                <w:bCs/>
              </w:rPr>
              <w:fldChar w:fldCharType="end"/>
            </w:r>
          </w:p>
        </w:sdtContent>
      </w:sdt>
    </w:sdtContent>
  </w:sdt>
  <w:p w14:paraId="393AA5CA" w14:textId="77777777" w:rsidR="00A87FD3" w:rsidRDefault="00231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A1B5" w14:textId="77777777" w:rsidR="00AE74C0" w:rsidRDefault="00AE74C0">
      <w:r>
        <w:separator/>
      </w:r>
    </w:p>
  </w:footnote>
  <w:footnote w:type="continuationSeparator" w:id="0">
    <w:p w14:paraId="5F27B2E5" w14:textId="77777777" w:rsidR="00AE74C0" w:rsidRDefault="00AE7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7E"/>
    <w:rsid w:val="00023130"/>
    <w:rsid w:val="0007754B"/>
    <w:rsid w:val="000847CB"/>
    <w:rsid w:val="00092208"/>
    <w:rsid w:val="000B2452"/>
    <w:rsid w:val="00105B10"/>
    <w:rsid w:val="0012701B"/>
    <w:rsid w:val="00171ECE"/>
    <w:rsid w:val="00181D5F"/>
    <w:rsid w:val="001C13B5"/>
    <w:rsid w:val="001C6F12"/>
    <w:rsid w:val="001E6F04"/>
    <w:rsid w:val="001F557E"/>
    <w:rsid w:val="00230838"/>
    <w:rsid w:val="002311CE"/>
    <w:rsid w:val="00267F87"/>
    <w:rsid w:val="00282B04"/>
    <w:rsid w:val="002E051A"/>
    <w:rsid w:val="003520CA"/>
    <w:rsid w:val="003C0817"/>
    <w:rsid w:val="003F7EDA"/>
    <w:rsid w:val="0043543C"/>
    <w:rsid w:val="0044474F"/>
    <w:rsid w:val="00510276"/>
    <w:rsid w:val="00513999"/>
    <w:rsid w:val="005474D6"/>
    <w:rsid w:val="005A48E2"/>
    <w:rsid w:val="005D74AA"/>
    <w:rsid w:val="00641271"/>
    <w:rsid w:val="006A1303"/>
    <w:rsid w:val="006E367A"/>
    <w:rsid w:val="006F2E24"/>
    <w:rsid w:val="006F558A"/>
    <w:rsid w:val="007071D9"/>
    <w:rsid w:val="00781251"/>
    <w:rsid w:val="007C07A5"/>
    <w:rsid w:val="007C7BBA"/>
    <w:rsid w:val="008678B2"/>
    <w:rsid w:val="008A1456"/>
    <w:rsid w:val="008E7C6E"/>
    <w:rsid w:val="008F31BB"/>
    <w:rsid w:val="0090057E"/>
    <w:rsid w:val="00942EA5"/>
    <w:rsid w:val="0095264C"/>
    <w:rsid w:val="00970EA3"/>
    <w:rsid w:val="009A500A"/>
    <w:rsid w:val="009D51EB"/>
    <w:rsid w:val="009F0464"/>
    <w:rsid w:val="00A27A20"/>
    <w:rsid w:val="00A30D6D"/>
    <w:rsid w:val="00A56B08"/>
    <w:rsid w:val="00AB206E"/>
    <w:rsid w:val="00AC016C"/>
    <w:rsid w:val="00AD519E"/>
    <w:rsid w:val="00AE74C0"/>
    <w:rsid w:val="00B11127"/>
    <w:rsid w:val="00B463A3"/>
    <w:rsid w:val="00B72A19"/>
    <w:rsid w:val="00B742CC"/>
    <w:rsid w:val="00BC383E"/>
    <w:rsid w:val="00C64231"/>
    <w:rsid w:val="00D65E93"/>
    <w:rsid w:val="00DA0335"/>
    <w:rsid w:val="00E512A6"/>
    <w:rsid w:val="00E60AE8"/>
    <w:rsid w:val="00EB619A"/>
    <w:rsid w:val="00F36376"/>
    <w:rsid w:val="00F40114"/>
    <w:rsid w:val="00F81F71"/>
    <w:rsid w:val="00FC24E3"/>
    <w:rsid w:val="00FD1617"/>
    <w:rsid w:val="00FE2B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AF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7E"/>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1F557E"/>
    <w:pPr>
      <w:spacing w:after="120" w:line="480" w:lineRule="auto"/>
    </w:pPr>
    <w:rPr>
      <w:lang w:val="x-none"/>
    </w:rPr>
  </w:style>
  <w:style w:type="character" w:customStyle="1" w:styleId="BodyText2Char">
    <w:name w:val="Body Text 2 Char"/>
    <w:basedOn w:val="DefaultParagraphFont"/>
    <w:link w:val="BodyText2"/>
    <w:semiHidden/>
    <w:rsid w:val="001F557E"/>
    <w:rPr>
      <w:rFonts w:eastAsia="Times New Roman" w:cs="Times New Roman"/>
      <w:szCs w:val="24"/>
      <w:lang w:val="x-none" w:eastAsia="ru-RU"/>
    </w:rPr>
  </w:style>
  <w:style w:type="paragraph" w:styleId="Footer">
    <w:name w:val="footer"/>
    <w:basedOn w:val="Normal"/>
    <w:link w:val="FooterChar"/>
    <w:uiPriority w:val="99"/>
    <w:unhideWhenUsed/>
    <w:rsid w:val="001F557E"/>
    <w:pPr>
      <w:tabs>
        <w:tab w:val="center" w:pos="4153"/>
        <w:tab w:val="right" w:pos="8306"/>
      </w:tabs>
    </w:pPr>
  </w:style>
  <w:style w:type="character" w:customStyle="1" w:styleId="FooterChar">
    <w:name w:val="Footer Char"/>
    <w:basedOn w:val="DefaultParagraphFont"/>
    <w:link w:val="Footer"/>
    <w:uiPriority w:val="99"/>
    <w:rsid w:val="001F557E"/>
    <w:rPr>
      <w:rFonts w:eastAsia="Times New Roman" w:cs="Times New Roman"/>
      <w:szCs w:val="24"/>
      <w:lang w:eastAsia="ru-RU"/>
    </w:rPr>
  </w:style>
  <w:style w:type="table" w:styleId="TableGrid">
    <w:name w:val="Table Grid"/>
    <w:basedOn w:val="TableNormal"/>
    <w:uiPriority w:val="39"/>
    <w:rsid w:val="001F557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57E"/>
    <w:pPr>
      <w:tabs>
        <w:tab w:val="center" w:pos="4153"/>
        <w:tab w:val="right" w:pos="8306"/>
      </w:tabs>
    </w:pPr>
  </w:style>
  <w:style w:type="character" w:customStyle="1" w:styleId="HeaderChar">
    <w:name w:val="Header Char"/>
    <w:basedOn w:val="DefaultParagraphFont"/>
    <w:link w:val="Header"/>
    <w:uiPriority w:val="99"/>
    <w:rsid w:val="001F557E"/>
    <w:rPr>
      <w:rFonts w:eastAsia="Times New Roman" w:cs="Times New Roman"/>
      <w:szCs w:val="24"/>
      <w:lang w:eastAsia="ru-RU"/>
    </w:rPr>
  </w:style>
  <w:style w:type="character" w:styleId="Hyperlink">
    <w:name w:val="Hyperlink"/>
    <w:basedOn w:val="DefaultParagraphFont"/>
    <w:uiPriority w:val="99"/>
    <w:unhideWhenUsed/>
    <w:rsid w:val="003F7EDA"/>
    <w:rPr>
      <w:color w:val="0563C1" w:themeColor="hyperlink"/>
      <w:u w:val="single"/>
    </w:rPr>
  </w:style>
  <w:style w:type="character" w:styleId="UnresolvedMention">
    <w:name w:val="Unresolved Mention"/>
    <w:basedOn w:val="DefaultParagraphFont"/>
    <w:uiPriority w:val="99"/>
    <w:semiHidden/>
    <w:unhideWhenUsed/>
    <w:rsid w:val="003F7EDA"/>
    <w:rPr>
      <w:color w:val="605E5C"/>
      <w:shd w:val="clear" w:color="auto" w:fill="E1DFDD"/>
    </w:rPr>
  </w:style>
  <w:style w:type="character" w:styleId="FollowedHyperlink">
    <w:name w:val="FollowedHyperlink"/>
    <w:basedOn w:val="DefaultParagraphFont"/>
    <w:uiPriority w:val="99"/>
    <w:semiHidden/>
    <w:unhideWhenUsed/>
    <w:rsid w:val="005102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8451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15952</Words>
  <Characters>9093</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2022-10-21T10:56:00Z</dcterms:created>
  <dcterms:modified xsi:type="dcterms:W3CDTF">2022-10-21T10:56:00Z</dcterms:modified>
</cp:coreProperties>
</file>