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592C9" w14:textId="77777777" w:rsidR="00794753" w:rsidRDefault="00794753" w:rsidP="00794753">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Pamatojums pierādījumu neatzīšanai vai nepieņemšanai</w:t>
      </w:r>
    </w:p>
    <w:p w14:paraId="731D0EA8" w14:textId="77777777" w:rsidR="00794753" w:rsidRDefault="00794753" w:rsidP="00794753">
      <w:pPr>
        <w:autoSpaceDE w:val="0"/>
        <w:autoSpaceDN w:val="0"/>
        <w:spacing w:line="276" w:lineRule="auto"/>
        <w:jc w:val="both"/>
        <w:rPr>
          <w:rFonts w:ascii="TimesNewRomanPSMT" w:hAnsi="TimesNewRomanPSMT"/>
        </w:rPr>
      </w:pPr>
      <w:r>
        <w:rPr>
          <w:rFonts w:ascii="TimesNewRomanPSMT" w:hAnsi="TimesNewRomanPSMT"/>
        </w:rPr>
        <w:t xml:space="preserve">Administratīvā procesa likuma </w:t>
      </w:r>
      <w:proofErr w:type="gramStart"/>
      <w:r>
        <w:rPr>
          <w:rFonts w:ascii="TimesNewRomanPSMT" w:hAnsi="TimesNewRomanPSMT"/>
        </w:rPr>
        <w:t>154.pants</w:t>
      </w:r>
      <w:proofErr w:type="gramEnd"/>
      <w:r>
        <w:rPr>
          <w:rFonts w:ascii="TimesNewRomanPSMT" w:hAnsi="TimesNewRomanPSMT"/>
        </w:rPr>
        <w:t xml:space="preserve"> noteic tiesai pienākumu pierādījumus pārbaudīt un vērtēt vispusīgi un pilnīgi. Tas nozīmē, ka tiesai ir jānovērtē arī tādi pierādījumi, kas neapstiprina tiesas izdarītos secinājumus, bet gluži otrādi – no tiem izriet pretējs secinājums. Šādā gadījumā tiesai jāpamato, kāpēc tās ieskatā konkrētais pierādījums neapstiprina attiecīgo faktu un kāpēc tam nav piešķirama priekšroka. </w:t>
      </w:r>
    </w:p>
    <w:p w14:paraId="692FCD78" w14:textId="43D2B8D0" w:rsidR="00794753" w:rsidRPr="00794753" w:rsidRDefault="00794753" w:rsidP="00794753">
      <w:pPr>
        <w:autoSpaceDE w:val="0"/>
        <w:autoSpaceDN w:val="0"/>
        <w:spacing w:line="276" w:lineRule="auto"/>
        <w:jc w:val="both"/>
        <w:rPr>
          <w:rFonts w:ascii="TimesNewRomanPSMT" w:hAnsi="TimesNewRomanPSMT"/>
        </w:rPr>
      </w:pPr>
      <w:r>
        <w:rPr>
          <w:rFonts w:ascii="TimesNewRomanPSMT" w:hAnsi="TimesNewRomanPSMT"/>
        </w:rPr>
        <w:t>Ja tiesa kādam pierādījumam nepiešķir ticamību, arī tas ir jāpamato, norādot, kādi apstākļi vai pierādījumi liek apšaubīt konkrētā pierādījuma ticamību. Tā kā atbilstoši Administratīvā procesa likumam tiesa pieņem tikai tos pierādījumus, kuriem ir nozīme lietā, tad tiesai, ja tā kādam pierādījumam nepiešķir nozīmi un uzskata, ka tas nevar ietekmēt lietas izspriešanu, arī tas ir jāpamato. Turklāt šāds pamatojums nevar aprobežoties ar vispārīgām frāzēm, jābūt norādītam</w:t>
      </w:r>
      <w:r>
        <w:rPr>
          <w:rFonts w:ascii="TimesNewRomanPSMT" w:hAnsi="TimesNewRomanPSMT"/>
        </w:rPr>
        <w:t xml:space="preserve"> </w:t>
      </w:r>
      <w:r>
        <w:rPr>
          <w:rFonts w:ascii="TimesNewRomanPSMT" w:hAnsi="TimesNewRomanPSMT"/>
        </w:rPr>
        <w:t>skaidram un saprotamam iemeslam.</w:t>
      </w:r>
    </w:p>
    <w:p w14:paraId="62D1A4CE" w14:textId="77777777" w:rsidR="00794753" w:rsidRDefault="00794753" w:rsidP="00794753">
      <w:pPr>
        <w:autoSpaceDE w:val="0"/>
        <w:autoSpaceDN w:val="0"/>
        <w:spacing w:line="276" w:lineRule="auto"/>
        <w:rPr>
          <w:rFonts w:ascii="TimesNewRomanPSMT" w:hAnsi="TimesNewRomanPSMT"/>
          <w:lang w:val="en-US"/>
        </w:rPr>
      </w:pPr>
    </w:p>
    <w:p w14:paraId="1FAC6089" w14:textId="77777777" w:rsidR="00794753" w:rsidRDefault="00794753" w:rsidP="00794753">
      <w:pPr>
        <w:autoSpaceDE w:val="0"/>
        <w:autoSpaceDN w:val="0"/>
        <w:spacing w:line="276" w:lineRule="auto"/>
        <w:rPr>
          <w:rFonts w:ascii="TimesNewRomanPSMT" w:hAnsi="TimesNewRomanPSMT"/>
          <w:b/>
          <w:bCs/>
        </w:rPr>
      </w:pPr>
      <w:r>
        <w:rPr>
          <w:rFonts w:ascii="TimesNewRomanPSMT" w:hAnsi="TimesNewRomanPSMT"/>
          <w:b/>
          <w:bCs/>
        </w:rPr>
        <w:t>Pievienotās vērtības nodokļa piemērošana darījuma tirgus vērtībai</w:t>
      </w:r>
    </w:p>
    <w:p w14:paraId="33001840" w14:textId="4F7773B8" w:rsidR="00794753" w:rsidRDefault="00794753" w:rsidP="00794753">
      <w:pPr>
        <w:autoSpaceDE w:val="0"/>
        <w:autoSpaceDN w:val="0"/>
        <w:spacing w:line="276" w:lineRule="auto"/>
        <w:jc w:val="both"/>
        <w:rPr>
          <w:rFonts w:ascii="TimesNewRomanPSMT" w:hAnsi="TimesNewRomanPSMT"/>
        </w:rPr>
      </w:pPr>
      <w:r>
        <w:rPr>
          <w:rFonts w:ascii="TimesNewRomanPSMT" w:hAnsi="TimesNewRomanPSMT"/>
        </w:rPr>
        <w:t xml:space="preserve">Pievienotās vērtības nodokļa likuma </w:t>
      </w:r>
      <w:proofErr w:type="gramStart"/>
      <w:r>
        <w:rPr>
          <w:rFonts w:ascii="TimesNewRomanPSMT" w:hAnsi="TimesNewRomanPSMT"/>
        </w:rPr>
        <w:t>34.panta</w:t>
      </w:r>
      <w:proofErr w:type="gramEnd"/>
      <w:r>
        <w:rPr>
          <w:rFonts w:ascii="TimesNewRomanPSMT" w:hAnsi="TimesNewRomanPSMT"/>
        </w:rPr>
        <w:t xml:space="preserve"> devītās daļas 3.punktā preču piegādes un pakalpojumu sniegšanas darījumā starp sa</w:t>
      </w:r>
      <w:r>
        <w:rPr>
          <w:rFonts w:ascii="TimesNewRomanPSMT" w:hAnsi="TimesNewRomanPSMT"/>
        </w:rPr>
        <w:t>i</w:t>
      </w:r>
      <w:r>
        <w:rPr>
          <w:rFonts w:ascii="TimesNewRomanPSMT" w:hAnsi="TimesNewRomanPSMT"/>
        </w:rPr>
        <w:t>stītām personām</w:t>
      </w:r>
      <w:r>
        <w:rPr>
          <w:rFonts w:ascii="TimesNewRomanPSMT" w:hAnsi="TimesNewRomanPSMT"/>
        </w:rPr>
        <w:t xml:space="preserve"> </w:t>
      </w:r>
      <w:r>
        <w:rPr>
          <w:rFonts w:ascii="TimesNewRomanPSMT" w:hAnsi="TimesNewRomanPSMT"/>
        </w:rPr>
        <w:t xml:space="preserve">ir paredzēti divi priekšnoteikumi, kuriem iestājoties ar nodokli tiek aplikta nevis darījuma dokumentos norādītā atlīdzība, bet gan darījuma tirgus vērtība, proti, dokumentos norādītā darījuma vērtība ir lielāka par tirgus vērtību, </w:t>
      </w:r>
      <w:r>
        <w:rPr>
          <w:rFonts w:ascii="TimesNewRomanPS-ItalicMT" w:hAnsi="TimesNewRomanPS-ItalicMT"/>
          <w:i/>
          <w:iCs/>
        </w:rPr>
        <w:t xml:space="preserve">un </w:t>
      </w:r>
      <w:r>
        <w:rPr>
          <w:rFonts w:ascii="TimesNewRomanPSMT" w:hAnsi="TimesNewRomanPSMT"/>
        </w:rPr>
        <w:t xml:space="preserve">preču piegādātājam nav tiesību atskaitīt priekšnodokli pilnā apmērā. Šajā normā paredzētais izņēmums no vispārējās kārtības ir interpretējams šauri. </w:t>
      </w:r>
    </w:p>
    <w:bookmarkEnd w:id="0"/>
    <w:p w14:paraId="12235C97" w14:textId="73728CAD" w:rsidR="008B7CCD" w:rsidRPr="007D4A2B" w:rsidRDefault="008B7CCD" w:rsidP="00794753">
      <w:pPr>
        <w:pStyle w:val="BodyText2"/>
        <w:spacing w:after="0" w:line="276" w:lineRule="auto"/>
        <w:contextualSpacing/>
      </w:pPr>
    </w:p>
    <w:p w14:paraId="71A3CA25" w14:textId="5D75DB38" w:rsidR="008B7CCD" w:rsidRPr="00794753" w:rsidRDefault="00794753" w:rsidP="00794753">
      <w:pPr>
        <w:spacing w:line="276" w:lineRule="auto"/>
        <w:contextualSpacing/>
        <w:jc w:val="center"/>
        <w:rPr>
          <w:b/>
        </w:rPr>
      </w:pPr>
      <w:r w:rsidRPr="00794753">
        <w:rPr>
          <w:b/>
        </w:rPr>
        <w:t>Latvijas Republikas Senāta</w:t>
      </w:r>
    </w:p>
    <w:p w14:paraId="5C4EFE12" w14:textId="38CAE623" w:rsidR="00794753" w:rsidRPr="00794753" w:rsidRDefault="00794753" w:rsidP="00794753">
      <w:pPr>
        <w:spacing w:line="276" w:lineRule="auto"/>
        <w:contextualSpacing/>
        <w:jc w:val="center"/>
        <w:rPr>
          <w:b/>
        </w:rPr>
      </w:pPr>
      <w:r w:rsidRPr="00794753">
        <w:rPr>
          <w:b/>
        </w:rPr>
        <w:t>Administratīvo lietu departamenta</w:t>
      </w:r>
    </w:p>
    <w:p w14:paraId="2CF6176C" w14:textId="1E8C59CF" w:rsidR="00794753" w:rsidRPr="00794753" w:rsidRDefault="00794753" w:rsidP="00794753">
      <w:pPr>
        <w:spacing w:line="276" w:lineRule="auto"/>
        <w:contextualSpacing/>
        <w:jc w:val="center"/>
        <w:rPr>
          <w:b/>
        </w:rPr>
      </w:pPr>
      <w:proofErr w:type="gramStart"/>
      <w:r w:rsidRPr="00794753">
        <w:rPr>
          <w:b/>
        </w:rPr>
        <w:t>2022.gada</w:t>
      </w:r>
      <w:proofErr w:type="gramEnd"/>
      <w:r w:rsidRPr="00794753">
        <w:rPr>
          <w:b/>
        </w:rPr>
        <w:t xml:space="preserve"> 27.jūnija</w:t>
      </w:r>
    </w:p>
    <w:p w14:paraId="338EDD9C" w14:textId="77777777" w:rsidR="008B7CCD" w:rsidRPr="00794753" w:rsidRDefault="008B7CCD" w:rsidP="00794753">
      <w:pPr>
        <w:spacing w:line="276" w:lineRule="auto"/>
        <w:contextualSpacing/>
        <w:jc w:val="center"/>
        <w:rPr>
          <w:b/>
        </w:rPr>
      </w:pPr>
      <w:r w:rsidRPr="00794753">
        <w:rPr>
          <w:b/>
        </w:rPr>
        <w:t xml:space="preserve">SPRIEDUMS </w:t>
      </w:r>
    </w:p>
    <w:p w14:paraId="43E49CCF" w14:textId="77777777" w:rsidR="00794753" w:rsidRPr="00794753" w:rsidRDefault="00794753" w:rsidP="00794753">
      <w:pPr>
        <w:spacing w:line="276" w:lineRule="auto"/>
        <w:contextualSpacing/>
        <w:jc w:val="center"/>
        <w:rPr>
          <w:b/>
        </w:rPr>
      </w:pPr>
      <w:r w:rsidRPr="00794753">
        <w:rPr>
          <w:b/>
        </w:rPr>
        <w:t>Lieta Nr. A420181417, SKA-117/2022</w:t>
      </w:r>
    </w:p>
    <w:p w14:paraId="44D1E901" w14:textId="7D6D243C" w:rsidR="00794753" w:rsidRPr="007D4A2B" w:rsidRDefault="00794753" w:rsidP="00794753">
      <w:pPr>
        <w:spacing w:line="276" w:lineRule="auto"/>
        <w:contextualSpacing/>
        <w:jc w:val="center"/>
      </w:pPr>
      <w:hyperlink r:id="rId8" w:history="1">
        <w:r w:rsidRPr="009871F4">
          <w:rPr>
            <w:rStyle w:val="Hyperlink"/>
          </w:rPr>
          <w:t>ECLI:LV:AT:2022:0627.A420181417.13.S</w:t>
        </w:r>
      </w:hyperlink>
      <w:r>
        <w:t xml:space="preserve"> </w:t>
      </w:r>
    </w:p>
    <w:p w14:paraId="2EC14FB2" w14:textId="77777777" w:rsidR="008B7CCD" w:rsidRPr="007D4A2B" w:rsidRDefault="008B7CCD" w:rsidP="00794753">
      <w:pPr>
        <w:spacing w:line="276" w:lineRule="auto"/>
        <w:contextualSpacing/>
        <w:jc w:val="both"/>
      </w:pPr>
    </w:p>
    <w:p w14:paraId="491B2652" w14:textId="6DFD0B82" w:rsidR="008B7CCD" w:rsidRPr="007D4A2B" w:rsidRDefault="008B7CCD" w:rsidP="00794753">
      <w:pPr>
        <w:spacing w:line="276" w:lineRule="auto"/>
        <w:ind w:firstLine="567"/>
        <w:contextualSpacing/>
        <w:jc w:val="both"/>
      </w:pPr>
      <w:r w:rsidRPr="007D4A2B">
        <w:t>Tiesa šādā sastāvā: senator</w:t>
      </w:r>
      <w:r w:rsidR="00A5478F" w:rsidRPr="007D4A2B">
        <w:t>i</w:t>
      </w:r>
      <w:r w:rsidRPr="007D4A2B">
        <w:t xml:space="preserve"> </w:t>
      </w:r>
      <w:r w:rsidR="006F22A1" w:rsidRPr="007D4A2B">
        <w:t>Diāna Makarova, Valters Poķis, Līvija Slica</w:t>
      </w:r>
    </w:p>
    <w:p w14:paraId="3199FCA5" w14:textId="77777777" w:rsidR="008B7CCD" w:rsidRPr="007D4A2B" w:rsidRDefault="008B7CCD" w:rsidP="00794753">
      <w:pPr>
        <w:spacing w:line="276" w:lineRule="auto"/>
        <w:ind w:firstLine="567"/>
        <w:contextualSpacing/>
        <w:jc w:val="both"/>
      </w:pPr>
    </w:p>
    <w:p w14:paraId="2DA4EF37" w14:textId="417BA41D" w:rsidR="008B7CCD" w:rsidRPr="007D4A2B" w:rsidRDefault="00097AB4" w:rsidP="00794753">
      <w:pPr>
        <w:spacing w:line="276" w:lineRule="auto"/>
        <w:ind w:firstLine="567"/>
        <w:contextualSpacing/>
        <w:jc w:val="both"/>
      </w:pPr>
      <w:r w:rsidRPr="007D4A2B">
        <w:t xml:space="preserve">rakstveida procesā izskatīja administratīvo lietu, kas ierosināta, </w:t>
      </w:r>
      <w:r w:rsidR="00642BDC" w:rsidRPr="007D4A2B">
        <w:t xml:space="preserve">pamatojoties uz </w:t>
      </w:r>
      <w:bookmarkStart w:id="1" w:name="_Hlk105140648"/>
      <w:r w:rsidR="006F22A1" w:rsidRPr="007D4A2B">
        <w:t>SIA</w:t>
      </w:r>
      <w:r w:rsidR="00E969B4" w:rsidRPr="007D4A2B">
        <w:t> „</w:t>
      </w:r>
      <w:r w:rsidR="006F22A1" w:rsidRPr="007D4A2B">
        <w:t>BB 21</w:t>
      </w:r>
      <w:r w:rsidR="00E969B4" w:rsidRPr="007D4A2B">
        <w:t xml:space="preserve">” </w:t>
      </w:r>
      <w:bookmarkEnd w:id="1"/>
      <w:r w:rsidR="00642BDC" w:rsidRPr="007D4A2B">
        <w:t xml:space="preserve">pieteikumu par Valsts ieņēmumu dienesta </w:t>
      </w:r>
      <w:proofErr w:type="gramStart"/>
      <w:r w:rsidR="00642BDC" w:rsidRPr="007D4A2B">
        <w:t>2017.gada</w:t>
      </w:r>
      <w:proofErr w:type="gramEnd"/>
      <w:r w:rsidR="00642BDC" w:rsidRPr="007D4A2B">
        <w:t xml:space="preserve"> </w:t>
      </w:r>
      <w:r w:rsidR="006F22A1" w:rsidRPr="007D4A2B">
        <w:t xml:space="preserve">1.marta </w:t>
      </w:r>
      <w:r w:rsidR="00642BDC" w:rsidRPr="007D4A2B">
        <w:t>lēmuma Nr. 30.2-22.</w:t>
      </w:r>
      <w:r w:rsidR="006F22A1" w:rsidRPr="007D4A2B">
        <w:t>8</w:t>
      </w:r>
      <w:r w:rsidR="00642BDC" w:rsidRPr="007D4A2B">
        <w:t>/1</w:t>
      </w:r>
      <w:r w:rsidR="006F22A1" w:rsidRPr="007D4A2B">
        <w:t>269</w:t>
      </w:r>
      <w:r w:rsidR="00642BDC" w:rsidRPr="007D4A2B">
        <w:t xml:space="preserve"> atcelšanu</w:t>
      </w:r>
      <w:r w:rsidR="008D1405" w:rsidRPr="007D4A2B">
        <w:t xml:space="preserve">, </w:t>
      </w:r>
      <w:r w:rsidRPr="007D4A2B">
        <w:t xml:space="preserve">sakarā ar </w:t>
      </w:r>
      <w:r w:rsidR="006F22A1" w:rsidRPr="007D4A2B">
        <w:t xml:space="preserve">SIA „BB 21” </w:t>
      </w:r>
      <w:r w:rsidRPr="007D4A2B">
        <w:t xml:space="preserve">kasācijas sūdzību par Administratīvās </w:t>
      </w:r>
      <w:r w:rsidR="000E6D2E" w:rsidRPr="007D4A2B">
        <w:t xml:space="preserve">apgabaltiesas </w:t>
      </w:r>
      <w:r w:rsidR="00074C3B" w:rsidRPr="007D4A2B">
        <w:t>20</w:t>
      </w:r>
      <w:r w:rsidR="006F22A1" w:rsidRPr="007D4A2B">
        <w:t>19</w:t>
      </w:r>
      <w:r w:rsidR="002B1031" w:rsidRPr="007D4A2B">
        <w:t xml:space="preserve">.gada </w:t>
      </w:r>
      <w:r w:rsidR="006F22A1" w:rsidRPr="007D4A2B">
        <w:t>4.jūlija</w:t>
      </w:r>
      <w:r w:rsidRPr="007D4A2B">
        <w:t xml:space="preserve"> spriedumu.</w:t>
      </w:r>
    </w:p>
    <w:p w14:paraId="227E183D" w14:textId="77777777" w:rsidR="00097AB4" w:rsidRPr="007D4A2B" w:rsidRDefault="00097AB4" w:rsidP="00794753">
      <w:pPr>
        <w:spacing w:line="276" w:lineRule="auto"/>
        <w:ind w:firstLine="567"/>
        <w:contextualSpacing/>
        <w:jc w:val="both"/>
      </w:pPr>
    </w:p>
    <w:p w14:paraId="2B79C98E" w14:textId="77777777" w:rsidR="008B7CCD" w:rsidRPr="007D4A2B" w:rsidRDefault="008B7CCD" w:rsidP="00794753">
      <w:pPr>
        <w:pStyle w:val="ATvirsraksts"/>
        <w:contextualSpacing/>
      </w:pPr>
      <w:r w:rsidRPr="007D4A2B">
        <w:t>Aprakstošā daļa</w:t>
      </w:r>
    </w:p>
    <w:p w14:paraId="7A360561" w14:textId="77777777" w:rsidR="00F005AF" w:rsidRPr="007D4A2B" w:rsidRDefault="00F005AF" w:rsidP="00794753">
      <w:pPr>
        <w:spacing w:line="276" w:lineRule="auto"/>
        <w:ind w:firstLine="567"/>
        <w:contextualSpacing/>
        <w:jc w:val="both"/>
      </w:pPr>
    </w:p>
    <w:p w14:paraId="35D47505" w14:textId="2553A7F9" w:rsidR="00FB7084" w:rsidRPr="007D4A2B" w:rsidRDefault="008B7CCD" w:rsidP="00794753">
      <w:pPr>
        <w:spacing w:line="276" w:lineRule="auto"/>
        <w:ind w:firstLine="567"/>
        <w:contextualSpacing/>
        <w:jc w:val="both"/>
      </w:pPr>
      <w:r w:rsidRPr="007D4A2B">
        <w:t>[1]</w:t>
      </w:r>
      <w:r w:rsidR="00414A8D" w:rsidRPr="007D4A2B">
        <w:t> </w:t>
      </w:r>
      <w:r w:rsidR="00FB7084" w:rsidRPr="007D4A2B">
        <w:t xml:space="preserve">Pieteicēja SIA „BB 21” atskaitīja priekšnodokli, pamatojoties uz </w:t>
      </w:r>
      <w:bookmarkStart w:id="2" w:name="_Hlk105140780"/>
      <w:r w:rsidR="00FB7084" w:rsidRPr="007D4A2B">
        <w:t xml:space="preserve">SIA „TER </w:t>
      </w:r>
      <w:proofErr w:type="spellStart"/>
      <w:r w:rsidR="00FB7084" w:rsidRPr="007D4A2B">
        <w:t>Properties</w:t>
      </w:r>
      <w:proofErr w:type="spellEnd"/>
      <w:r w:rsidR="00FB7084" w:rsidRPr="007D4A2B">
        <w:t xml:space="preserve">” </w:t>
      </w:r>
      <w:bookmarkEnd w:id="2"/>
      <w:r w:rsidR="00FB7084" w:rsidRPr="007D4A2B">
        <w:t>izrakstītajiem rēķiniem par starpniecības pakalpojumu sniegšanu un projekta dokumentācijas piegādi.</w:t>
      </w:r>
      <w:r w:rsidR="009115AC" w:rsidRPr="007D4A2B">
        <w:t xml:space="preserve"> Minētie darījumi </w:t>
      </w:r>
      <w:r w:rsidR="00F145BF">
        <w:t xml:space="preserve">saistīti ar </w:t>
      </w:r>
      <w:r w:rsidR="009115AC" w:rsidRPr="007D4A2B">
        <w:t>nekustamo īpašumu</w:t>
      </w:r>
      <w:r w:rsidR="00794753">
        <w:t xml:space="preserve"> [adrese]</w:t>
      </w:r>
      <w:r w:rsidR="009115AC" w:rsidRPr="007D4A2B">
        <w:t>, Rīgā.</w:t>
      </w:r>
    </w:p>
    <w:p w14:paraId="10B3C530" w14:textId="023E0493" w:rsidR="00323A78" w:rsidRPr="007D4A2B" w:rsidRDefault="00FB7084" w:rsidP="00794753">
      <w:pPr>
        <w:spacing w:line="276" w:lineRule="auto"/>
        <w:ind w:firstLine="567"/>
        <w:contextualSpacing/>
        <w:jc w:val="both"/>
      </w:pPr>
      <w:r w:rsidRPr="007D4A2B">
        <w:lastRenderedPageBreak/>
        <w:t xml:space="preserve">Valsts ieņēmumu dienests veica pieteicējai pievienotās vērtības nodokļa auditu. Tā rezultātā dienests secināja, ka </w:t>
      </w:r>
      <w:bookmarkStart w:id="3" w:name="_Hlk105140833"/>
      <w:r w:rsidRPr="007D4A2B">
        <w:t xml:space="preserve">SIA „TER </w:t>
      </w:r>
      <w:proofErr w:type="spellStart"/>
      <w:r w:rsidRPr="007D4A2B">
        <w:t>Properties</w:t>
      </w:r>
      <w:proofErr w:type="spellEnd"/>
      <w:r w:rsidRPr="007D4A2B">
        <w:t xml:space="preserve">” </w:t>
      </w:r>
      <w:bookmarkEnd w:id="3"/>
      <w:r w:rsidRPr="007D4A2B">
        <w:t>starpniecības pakalpojumus</w:t>
      </w:r>
      <w:r w:rsidR="009115AC" w:rsidRPr="007D4A2B">
        <w:t xml:space="preserve"> </w:t>
      </w:r>
      <w:r w:rsidRPr="007D4A2B">
        <w:t xml:space="preserve">nav saņēmusi no SIA „VESTABALT”, </w:t>
      </w:r>
      <w:r w:rsidR="009115AC" w:rsidRPr="007D4A2B">
        <w:t>tātad nav tos arī sniegusi pieteicējai</w:t>
      </w:r>
      <w:r w:rsidRPr="007D4A2B">
        <w:t xml:space="preserve">, par ko pieteicēja nevarēja nezināt. Līdz ar to dienests </w:t>
      </w:r>
      <w:r w:rsidR="009115AC" w:rsidRPr="007D4A2B">
        <w:t xml:space="preserve">atzina, ka pieteicēja nebija tiesīga atskaitīt priekšnodokli par starpniecības pakalpojumiem. Savukārt, pārbaudot darījumu par nekustamā īpašuma projekta dokumentācijas iegādi, dienests konstatēja, ka </w:t>
      </w:r>
      <w:r w:rsidR="00551F0E" w:rsidRPr="007D4A2B">
        <w:t>SIA „TER </w:t>
      </w:r>
      <w:proofErr w:type="spellStart"/>
      <w:r w:rsidR="00551F0E" w:rsidRPr="007D4A2B">
        <w:t>Properties</w:t>
      </w:r>
      <w:proofErr w:type="spellEnd"/>
      <w:r w:rsidR="00551F0E" w:rsidRPr="007D4A2B">
        <w:t xml:space="preserve">” </w:t>
      </w:r>
      <w:r w:rsidR="009115AC" w:rsidRPr="007D4A2B">
        <w:t xml:space="preserve">šo dokumentāciju </w:t>
      </w:r>
      <w:r w:rsidR="00551F0E" w:rsidRPr="007D4A2B">
        <w:t>iegādājās no SIA „NEO 21”</w:t>
      </w:r>
      <w:r w:rsidR="009115AC" w:rsidRPr="007D4A2B">
        <w:t xml:space="preserve"> un pārdeva </w:t>
      </w:r>
      <w:r w:rsidR="00323A78" w:rsidRPr="007D4A2B">
        <w:t xml:space="preserve">to tālāk </w:t>
      </w:r>
      <w:r w:rsidR="009115AC" w:rsidRPr="007D4A2B">
        <w:t>pieteicējai par cenu, kas vairāk nekā 10 reiz</w:t>
      </w:r>
      <w:r w:rsidR="00323A78" w:rsidRPr="007D4A2B">
        <w:t>e</w:t>
      </w:r>
      <w:r w:rsidR="009115AC" w:rsidRPr="007D4A2B">
        <w:t xml:space="preserve">s pārsniedz sākotnējo cenu. Dienests atzina, ka šajā darījumā iesaistītie uzņēmumi ir savstarpēji saistītas personas, kas </w:t>
      </w:r>
      <w:r w:rsidR="00323A78" w:rsidRPr="007D4A2B">
        <w:t xml:space="preserve">saskaņoti rīkojušās tā, lai mākslīgi </w:t>
      </w:r>
      <w:r w:rsidR="002F03D3" w:rsidRPr="007D4A2B">
        <w:t xml:space="preserve">paaugstinātu </w:t>
      </w:r>
      <w:r w:rsidR="00323A78" w:rsidRPr="007D4A2B">
        <w:t xml:space="preserve">darījuma </w:t>
      </w:r>
      <w:r w:rsidR="002F03D3" w:rsidRPr="007D4A2B">
        <w:t>vērtību un lai tādējādi iegūtu papildu līdzekļus no valsts budžeta pārmaksātā nodokļa atmaksas veidā.</w:t>
      </w:r>
      <w:r w:rsidR="00323A78" w:rsidRPr="007D4A2B">
        <w:t xml:space="preserve"> Līdz ar to dienests samazināja strīdus darījuma vērtību un tā rezultātā – arī pieteicējas no budžeta atskaitāmo priekšnodokli.</w:t>
      </w:r>
    </w:p>
    <w:p w14:paraId="27D22E80" w14:textId="76BC002B" w:rsidR="00DF67D2" w:rsidRPr="007D4A2B" w:rsidRDefault="00FB7084" w:rsidP="00794753">
      <w:pPr>
        <w:spacing w:line="276" w:lineRule="auto"/>
        <w:ind w:firstLine="567"/>
        <w:contextualSpacing/>
        <w:jc w:val="both"/>
      </w:pPr>
      <w:r w:rsidRPr="007D4A2B">
        <w:t>Ņemot vērā minēto</w:t>
      </w:r>
      <w:r w:rsidR="00DF67D2" w:rsidRPr="007D4A2B">
        <w:t xml:space="preserve">, </w:t>
      </w:r>
      <w:r w:rsidR="00642BDC" w:rsidRPr="007D4A2B">
        <w:t xml:space="preserve">dienests ar </w:t>
      </w:r>
      <w:proofErr w:type="gramStart"/>
      <w:r w:rsidR="00642BDC" w:rsidRPr="007D4A2B">
        <w:t>201</w:t>
      </w:r>
      <w:r w:rsidR="00DF67D2" w:rsidRPr="007D4A2B">
        <w:t>7</w:t>
      </w:r>
      <w:r w:rsidR="00642BDC" w:rsidRPr="007D4A2B">
        <w:t>.gada</w:t>
      </w:r>
      <w:proofErr w:type="gramEnd"/>
      <w:r w:rsidR="00642BDC" w:rsidRPr="007D4A2B">
        <w:t xml:space="preserve"> </w:t>
      </w:r>
      <w:r w:rsidR="00DF67D2" w:rsidRPr="007D4A2B">
        <w:t>1.marta lēmumu kā galīgo administratīvo aktu aprēķināja pieteicējai papildu nomaksai budžetā pievienotās vērtības nodokli, soda naudu un nokavējuma naudu, kā arī noteica no budžeta atmaksā</w:t>
      </w:r>
      <w:r w:rsidR="00F145BF">
        <w:t>jamā</w:t>
      </w:r>
      <w:r w:rsidR="00DF67D2" w:rsidRPr="007D4A2B">
        <w:t xml:space="preserve"> pievienotās vērtības nodokļa samazinājumu un saistībā ar to aprēķināja soda naudu.</w:t>
      </w:r>
    </w:p>
    <w:p w14:paraId="72659406" w14:textId="77777777" w:rsidR="00A71DB7" w:rsidRPr="007D4A2B" w:rsidRDefault="00A71DB7" w:rsidP="00794753">
      <w:pPr>
        <w:spacing w:line="276" w:lineRule="auto"/>
        <w:ind w:firstLine="567"/>
        <w:contextualSpacing/>
        <w:jc w:val="both"/>
      </w:pPr>
    </w:p>
    <w:p w14:paraId="1BE330E7" w14:textId="6C850E55" w:rsidR="00A71DB7" w:rsidRPr="007D4A2B" w:rsidRDefault="00EE7F7D" w:rsidP="00794753">
      <w:pPr>
        <w:spacing w:line="276" w:lineRule="auto"/>
        <w:ind w:firstLine="567"/>
        <w:contextualSpacing/>
        <w:jc w:val="both"/>
      </w:pPr>
      <w:r w:rsidRPr="007D4A2B">
        <w:t>[</w:t>
      </w:r>
      <w:r w:rsidR="00D667E9" w:rsidRPr="007D4A2B">
        <w:t>2</w:t>
      </w:r>
      <w:r w:rsidRPr="007D4A2B">
        <w:t>] </w:t>
      </w:r>
      <w:r w:rsidR="00A71DB7" w:rsidRPr="007D4A2B">
        <w:t>SIA „</w:t>
      </w:r>
      <w:r w:rsidR="00DF67D2" w:rsidRPr="007D4A2B">
        <w:t>BB 21</w:t>
      </w:r>
      <w:r w:rsidR="00A71DB7" w:rsidRPr="007D4A2B">
        <w:t xml:space="preserve">” </w:t>
      </w:r>
      <w:r w:rsidR="00643A32" w:rsidRPr="007D4A2B">
        <w:t xml:space="preserve">Valsts </w:t>
      </w:r>
      <w:r w:rsidR="006A54D5" w:rsidRPr="007D4A2B">
        <w:t>ieņēmumu dienesta</w:t>
      </w:r>
      <w:r w:rsidR="00B57FEB" w:rsidRPr="007D4A2B">
        <w:t xml:space="preserve"> lēmumu pārsūdzēja </w:t>
      </w:r>
      <w:r w:rsidR="00EF6A07" w:rsidRPr="007D4A2B">
        <w:t>A</w:t>
      </w:r>
      <w:r w:rsidR="00B57FEB" w:rsidRPr="007D4A2B">
        <w:t>dministratīvajā</w:t>
      </w:r>
      <w:r w:rsidR="00EF6A07" w:rsidRPr="007D4A2B">
        <w:t xml:space="preserve"> rajona</w:t>
      </w:r>
      <w:r w:rsidR="00B57FEB" w:rsidRPr="007D4A2B">
        <w:t xml:space="preserve"> tiesā. </w:t>
      </w:r>
      <w:r w:rsidR="00A71DB7" w:rsidRPr="007D4A2B">
        <w:t>Pēc reorganizācijas pieteicējas tiesības pārņēmusi AS</w:t>
      </w:r>
      <w:r w:rsidR="00DF67D2" w:rsidRPr="007D4A2B">
        <w:t> </w:t>
      </w:r>
      <w:r w:rsidR="00A71DB7" w:rsidRPr="007D4A2B">
        <w:t>„</w:t>
      </w:r>
      <w:proofErr w:type="spellStart"/>
      <w:r w:rsidR="00A71DB7" w:rsidRPr="007D4A2B">
        <w:t>Baltic</w:t>
      </w:r>
      <w:proofErr w:type="spellEnd"/>
      <w:r w:rsidR="00A71DB7" w:rsidRPr="007D4A2B">
        <w:t xml:space="preserve"> RE </w:t>
      </w:r>
      <w:proofErr w:type="spellStart"/>
      <w:r w:rsidR="00A71DB7" w:rsidRPr="007D4A2B">
        <w:t>Group</w:t>
      </w:r>
      <w:proofErr w:type="spellEnd"/>
      <w:r w:rsidR="00A71DB7" w:rsidRPr="007D4A2B">
        <w:t xml:space="preserve">”. </w:t>
      </w:r>
    </w:p>
    <w:p w14:paraId="57510C7F" w14:textId="77777777" w:rsidR="00DF67D2" w:rsidRPr="007D4A2B" w:rsidRDefault="00DF67D2" w:rsidP="00794753">
      <w:pPr>
        <w:spacing w:line="276" w:lineRule="auto"/>
        <w:ind w:firstLine="567"/>
        <w:contextualSpacing/>
        <w:jc w:val="both"/>
      </w:pPr>
    </w:p>
    <w:p w14:paraId="243E65BE" w14:textId="37B0B0F9" w:rsidR="004A386F" w:rsidRPr="007D4A2B" w:rsidRDefault="00DF67D2" w:rsidP="00794753">
      <w:pPr>
        <w:spacing w:line="276" w:lineRule="auto"/>
        <w:ind w:firstLine="567"/>
        <w:contextualSpacing/>
        <w:jc w:val="both"/>
      </w:pPr>
      <w:r w:rsidRPr="007D4A2B">
        <w:t>[3] </w:t>
      </w:r>
      <w:r w:rsidR="004A386F" w:rsidRPr="007D4A2B">
        <w:t xml:space="preserve">Izskatījusi lietu apelācijas kārtībā, Administratīvā apgabaltiesa ar </w:t>
      </w:r>
      <w:proofErr w:type="gramStart"/>
      <w:r w:rsidR="00F76759" w:rsidRPr="007D4A2B">
        <w:t>20</w:t>
      </w:r>
      <w:r w:rsidRPr="007D4A2B">
        <w:t>19</w:t>
      </w:r>
      <w:r w:rsidR="004A386F" w:rsidRPr="007D4A2B">
        <w:t>.gada</w:t>
      </w:r>
      <w:proofErr w:type="gramEnd"/>
      <w:r w:rsidR="004A386F" w:rsidRPr="007D4A2B">
        <w:t xml:space="preserve"> </w:t>
      </w:r>
      <w:r w:rsidRPr="007D4A2B">
        <w:t xml:space="preserve">4.jūlija </w:t>
      </w:r>
      <w:r w:rsidR="004A386F" w:rsidRPr="007D4A2B">
        <w:t>spriedumu</w:t>
      </w:r>
      <w:r w:rsidR="00F76759" w:rsidRPr="007D4A2B">
        <w:t xml:space="preserve"> </w:t>
      </w:r>
      <w:r w:rsidR="004A386F" w:rsidRPr="007D4A2B">
        <w:t>pieteikumu</w:t>
      </w:r>
      <w:r w:rsidR="005931A5" w:rsidRPr="007D4A2B">
        <w:t xml:space="preserve"> </w:t>
      </w:r>
      <w:r w:rsidR="007273D2" w:rsidRPr="007D4A2B">
        <w:t>noraidīja</w:t>
      </w:r>
      <w:r w:rsidR="004A386F" w:rsidRPr="007D4A2B">
        <w:t>.</w:t>
      </w:r>
      <w:r w:rsidR="007F0CBB" w:rsidRPr="007D4A2B">
        <w:t xml:space="preserve"> Spriedumā norādīti turpmāk minētie argumenti. </w:t>
      </w:r>
    </w:p>
    <w:p w14:paraId="0E46241C" w14:textId="5134C7A2" w:rsidR="00AA58A3" w:rsidRPr="007D4A2B" w:rsidRDefault="004A386F" w:rsidP="00794753">
      <w:pPr>
        <w:pStyle w:val="NormalWeb"/>
        <w:tabs>
          <w:tab w:val="left" w:pos="1134"/>
        </w:tabs>
        <w:spacing w:line="276" w:lineRule="auto"/>
        <w:ind w:firstLine="567"/>
        <w:jc w:val="both"/>
      </w:pPr>
      <w:r w:rsidRPr="007D4A2B">
        <w:lastRenderedPageBreak/>
        <w:t>[</w:t>
      </w:r>
      <w:r w:rsidR="00DB1C54" w:rsidRPr="007D4A2B">
        <w:t>3</w:t>
      </w:r>
      <w:r w:rsidRPr="007D4A2B">
        <w:t>.1] </w:t>
      </w:r>
      <w:r w:rsidR="00115DED" w:rsidRPr="007D4A2B">
        <w:t xml:space="preserve">Lietā ir strīds par </w:t>
      </w:r>
      <w:r w:rsidR="00DF67D2" w:rsidRPr="007D4A2B">
        <w:t xml:space="preserve">pieteicējas priekšnodokļa atskaitījumiem saskaņā ar SIA „TER </w:t>
      </w:r>
      <w:proofErr w:type="spellStart"/>
      <w:r w:rsidR="00DF67D2" w:rsidRPr="007D4A2B">
        <w:t>Properties</w:t>
      </w:r>
      <w:proofErr w:type="spellEnd"/>
      <w:r w:rsidR="00DF67D2" w:rsidRPr="007D4A2B">
        <w:t xml:space="preserve">” rēķiniem par </w:t>
      </w:r>
      <w:bookmarkStart w:id="4" w:name="_Hlk105141604"/>
      <w:r w:rsidR="00DF67D2" w:rsidRPr="007D4A2B">
        <w:t xml:space="preserve">SIA „TER </w:t>
      </w:r>
      <w:proofErr w:type="spellStart"/>
      <w:r w:rsidR="00DF67D2" w:rsidRPr="007D4A2B">
        <w:t>Properties</w:t>
      </w:r>
      <w:proofErr w:type="spellEnd"/>
      <w:r w:rsidR="00DF67D2" w:rsidRPr="007D4A2B">
        <w:t>”</w:t>
      </w:r>
      <w:bookmarkEnd w:id="4"/>
      <w:r w:rsidR="00DF67D2" w:rsidRPr="007D4A2B">
        <w:t xml:space="preserve"> darījumiem ar </w:t>
      </w:r>
      <w:r w:rsidR="00115DED" w:rsidRPr="007D4A2B">
        <w:t>SIA „VESTABALT” par starpniecības pakalpojumu nekustamā īpašuma meklēšanā un ar SIA „NEO</w:t>
      </w:r>
      <w:r w:rsidR="003A6566">
        <w:t xml:space="preserve"> </w:t>
      </w:r>
      <w:r w:rsidR="00115DED" w:rsidRPr="007D4A2B">
        <w:t>21”</w:t>
      </w:r>
      <w:r w:rsidR="005E78C6" w:rsidRPr="007D4A2B">
        <w:t xml:space="preserve"> </w:t>
      </w:r>
      <w:r w:rsidR="00115DED" w:rsidRPr="007D4A2B">
        <w:t>par projekta dokumentācijas pārdošanu.</w:t>
      </w:r>
    </w:p>
    <w:p w14:paraId="6AA5BB94" w14:textId="5A505FF7" w:rsidR="005E78C6" w:rsidRPr="007D4A2B" w:rsidRDefault="005E78C6" w:rsidP="00794753">
      <w:pPr>
        <w:pStyle w:val="NormalWeb"/>
        <w:tabs>
          <w:tab w:val="left" w:pos="1134"/>
        </w:tabs>
        <w:spacing w:line="276" w:lineRule="auto"/>
        <w:ind w:firstLine="567"/>
        <w:jc w:val="both"/>
      </w:pPr>
      <w:r w:rsidRPr="007D4A2B">
        <w:t>[</w:t>
      </w:r>
      <w:r w:rsidR="00DB1C54" w:rsidRPr="007D4A2B">
        <w:t>3.2</w:t>
      </w:r>
      <w:r w:rsidRPr="007D4A2B">
        <w:t xml:space="preserve">] Lietā ir </w:t>
      </w:r>
      <w:proofErr w:type="gramStart"/>
      <w:r w:rsidR="00BB4C25" w:rsidRPr="007D4A2B">
        <w:t>2015.gada</w:t>
      </w:r>
      <w:proofErr w:type="gramEnd"/>
      <w:r w:rsidR="00BB4C25" w:rsidRPr="007D4A2B">
        <w:t xml:space="preserve"> 4.decembra starpniecības līgum</w:t>
      </w:r>
      <w:r w:rsidRPr="007D4A2B">
        <w:t xml:space="preserve">s nekustamā īpašuma pirkšanā, kas noslēgts starp </w:t>
      </w:r>
      <w:bookmarkStart w:id="5" w:name="_Hlk105141338"/>
      <w:r w:rsidR="00BB4C25" w:rsidRPr="007D4A2B">
        <w:t>SIA „VESTABALT”</w:t>
      </w:r>
      <w:r w:rsidRPr="007D4A2B">
        <w:t xml:space="preserve"> </w:t>
      </w:r>
      <w:bookmarkEnd w:id="5"/>
      <w:r w:rsidRPr="007D4A2B">
        <w:t xml:space="preserve">kā izpildītāju un SIA „TER </w:t>
      </w:r>
      <w:proofErr w:type="spellStart"/>
      <w:r w:rsidRPr="007D4A2B">
        <w:t>Properties</w:t>
      </w:r>
      <w:proofErr w:type="spellEnd"/>
      <w:r w:rsidRPr="007D4A2B">
        <w:t>” kā klientu par to, ka SIA „VESTABALT” apņemas atrast nekustamo īpašumu.</w:t>
      </w:r>
    </w:p>
    <w:p w14:paraId="63A75C8E" w14:textId="214D294D" w:rsidR="005E78C6" w:rsidRPr="007D4A2B" w:rsidRDefault="005E78C6" w:rsidP="00794753">
      <w:pPr>
        <w:pStyle w:val="NormalWeb"/>
        <w:tabs>
          <w:tab w:val="left" w:pos="1134"/>
        </w:tabs>
        <w:spacing w:line="276" w:lineRule="auto"/>
        <w:ind w:firstLine="567"/>
        <w:jc w:val="both"/>
      </w:pPr>
      <w:r w:rsidRPr="007D4A2B">
        <w:t xml:space="preserve">Pieteicēja apgalvo, ka SIA „VESTABALT” darbojusies pieteicējas interesēs jau kopš </w:t>
      </w:r>
      <w:proofErr w:type="gramStart"/>
      <w:r w:rsidRPr="007D4A2B">
        <w:t>2015.gada</w:t>
      </w:r>
      <w:proofErr w:type="gramEnd"/>
      <w:r w:rsidRPr="007D4A2B">
        <w:t xml:space="preserve"> jūlija sākuma. Tam nevar piekrist, jo lietā nav iesniegti tādi starpniecības darījumu apstiprinoši dokumenti, kādus bija nepieciešams sastādīt, ievērojot starpniecības līgumā paredzētās prasības. </w:t>
      </w:r>
      <w:r w:rsidR="0028071B" w:rsidRPr="007D4A2B">
        <w:t xml:space="preserve">Ja </w:t>
      </w:r>
      <w:bookmarkStart w:id="6" w:name="_Hlk105141683"/>
      <w:r w:rsidR="0028071B" w:rsidRPr="007D4A2B">
        <w:t xml:space="preserve">SIA „VESTABALT” </w:t>
      </w:r>
      <w:bookmarkEnd w:id="6"/>
      <w:r w:rsidR="0028071B" w:rsidRPr="007D4A2B">
        <w:t xml:space="preserve">patiešām būtu meklējusi nekustamo īpašumu </w:t>
      </w:r>
      <w:bookmarkStart w:id="7" w:name="_Hlk105141825"/>
      <w:r w:rsidR="0028071B" w:rsidRPr="007D4A2B">
        <w:t xml:space="preserve">SIA „TER </w:t>
      </w:r>
      <w:proofErr w:type="spellStart"/>
      <w:r w:rsidR="0028071B" w:rsidRPr="007D4A2B">
        <w:t>Properties</w:t>
      </w:r>
      <w:proofErr w:type="spellEnd"/>
      <w:r w:rsidR="0028071B" w:rsidRPr="007D4A2B">
        <w:t>”</w:t>
      </w:r>
      <w:bookmarkEnd w:id="7"/>
      <w:r w:rsidR="0028071B" w:rsidRPr="007D4A2B">
        <w:t>, kas ir pieteicējas mātes uzņēmums, interesēs un uzdevumā, tad SIA </w:t>
      </w:r>
      <w:bookmarkStart w:id="8" w:name="_Hlk105587142"/>
      <w:r w:rsidR="0028071B" w:rsidRPr="007D4A2B">
        <w:t>„</w:t>
      </w:r>
      <w:bookmarkEnd w:id="8"/>
      <w:r w:rsidR="0028071B" w:rsidRPr="007D4A2B">
        <w:t>VESTABALT” rīcībā būtu dokumentāri pierādījumi par īpašuma meklēšanas gaitu, turklāt dokumenti būtu noformēti atbilstoši līguma prasībām</w:t>
      </w:r>
      <w:r w:rsidR="007273D2" w:rsidRPr="007D4A2B">
        <w:t>,</w:t>
      </w:r>
      <w:r w:rsidR="0028071B" w:rsidRPr="007D4A2B">
        <w:t xml:space="preserve"> un tie savlaicīgi būtu uzrādīti nodokļu administrācijai un tiesai. </w:t>
      </w:r>
    </w:p>
    <w:p w14:paraId="3638FD84" w14:textId="167F9446" w:rsidR="0028071B" w:rsidRPr="007D4A2B" w:rsidRDefault="0028071B" w:rsidP="00794753">
      <w:pPr>
        <w:pStyle w:val="NormalWeb"/>
        <w:tabs>
          <w:tab w:val="left" w:pos="1134"/>
        </w:tabs>
        <w:spacing w:line="276" w:lineRule="auto"/>
        <w:ind w:firstLine="567"/>
        <w:jc w:val="both"/>
      </w:pPr>
      <w:r w:rsidRPr="007D4A2B">
        <w:t xml:space="preserve">To, ka </w:t>
      </w:r>
      <w:bookmarkStart w:id="9" w:name="_Hlk105142168"/>
      <w:bookmarkStart w:id="10" w:name="_Hlk105142358"/>
      <w:r w:rsidRPr="007D4A2B">
        <w:t>SIA „VESTABALT”</w:t>
      </w:r>
      <w:bookmarkEnd w:id="9"/>
      <w:r w:rsidRPr="007D4A2B">
        <w:t xml:space="preserve"> </w:t>
      </w:r>
      <w:bookmarkEnd w:id="10"/>
      <w:r w:rsidRPr="007D4A2B">
        <w:t xml:space="preserve">piedalījās nekustamā īpašuma meklēšanā, neapstiprina arī </w:t>
      </w:r>
      <w:r w:rsidR="007273D2" w:rsidRPr="007D4A2B">
        <w:t xml:space="preserve">darījuma dalībnieku amatpersonu apliecinājumi, kā arī </w:t>
      </w:r>
      <w:r w:rsidRPr="007D4A2B">
        <w:t xml:space="preserve">lietā esošās </w:t>
      </w:r>
      <w:r w:rsidR="007273D2" w:rsidRPr="007D4A2B">
        <w:t xml:space="preserve">SIA „VESTABALT” </w:t>
      </w:r>
      <w:r w:rsidRPr="007D4A2B">
        <w:t xml:space="preserve">amatpersonas nosūtītās divas elektroniskās vēstules, kas adresētas </w:t>
      </w:r>
      <w:bookmarkStart w:id="11" w:name="_Hlk105142193"/>
      <w:r w:rsidRPr="007D4A2B">
        <w:t xml:space="preserve">SIA „TER </w:t>
      </w:r>
      <w:proofErr w:type="spellStart"/>
      <w:r w:rsidRPr="007D4A2B">
        <w:t>Properties</w:t>
      </w:r>
      <w:proofErr w:type="spellEnd"/>
      <w:r w:rsidRPr="007D4A2B">
        <w:t>”</w:t>
      </w:r>
      <w:bookmarkEnd w:id="11"/>
      <w:r w:rsidRPr="007D4A2B">
        <w:t xml:space="preserve"> pārstāvim. No šīm vēstulēm nav identificējams </w:t>
      </w:r>
      <w:r w:rsidR="003E1CFD" w:rsidRPr="007D4A2B">
        <w:t>konkrēts uzņēmums, darījums un personas, šo personu funkcijas un lomas kādu konkrētu darījumu izpildē. Tāpat no šīm vēstulēm nav izsecināmi konkrēti dokumenti un to saturs. Šo vēstuļu saturs ir tik nekonkrēts, ka viennozīmīgus secinājumus no tām nav iespējams izdarīt un tās nav iespējams attiecināt uz šajā lietā pārbaudāmo starpniecības darījumu.</w:t>
      </w:r>
    </w:p>
    <w:p w14:paraId="79017C08" w14:textId="4DC3E163" w:rsidR="003E1CFD" w:rsidRPr="007D4A2B" w:rsidRDefault="003E1CFD" w:rsidP="00794753">
      <w:pPr>
        <w:pStyle w:val="NormalWeb"/>
        <w:tabs>
          <w:tab w:val="left" w:pos="1134"/>
        </w:tabs>
        <w:spacing w:line="276" w:lineRule="auto"/>
        <w:ind w:firstLine="567"/>
        <w:jc w:val="both"/>
      </w:pPr>
      <w:r w:rsidRPr="007D4A2B">
        <w:t>Ņem</w:t>
      </w:r>
      <w:r w:rsidR="002F03D3" w:rsidRPr="007D4A2B">
        <w:t>ot</w:t>
      </w:r>
      <w:r w:rsidRPr="007D4A2B">
        <w:t xml:space="preserve"> vērā minēto, atzīstams, ka lietā nav pierādījumu par SIA „VESTABALT” reālu iesaistīšanos nekustamā īpašuma meklēšanā un iegādē pēc </w:t>
      </w:r>
      <w:bookmarkStart w:id="12" w:name="_Hlk105414299"/>
      <w:r w:rsidRPr="007D4A2B">
        <w:t>SIA </w:t>
      </w:r>
      <w:bookmarkStart w:id="13" w:name="_Hlk105413714"/>
      <w:r w:rsidRPr="007D4A2B">
        <w:t>„</w:t>
      </w:r>
      <w:bookmarkEnd w:id="13"/>
      <w:r w:rsidRPr="007D4A2B">
        <w:t xml:space="preserve">TER </w:t>
      </w:r>
      <w:proofErr w:type="spellStart"/>
      <w:r w:rsidRPr="007D4A2B">
        <w:t>Properties</w:t>
      </w:r>
      <w:proofErr w:type="spellEnd"/>
      <w:r w:rsidRPr="007D4A2B">
        <w:t>”</w:t>
      </w:r>
      <w:r w:rsidR="007273D2" w:rsidRPr="007D4A2B">
        <w:t xml:space="preserve"> </w:t>
      </w:r>
      <w:bookmarkEnd w:id="12"/>
      <w:r w:rsidR="007273D2" w:rsidRPr="007D4A2B">
        <w:t>uzdevuma. Pārsūdzētajā dienesta lēmumā norādītie argumenti ir pareizi, tiesa tiem piekrīt un tos neatkārto. Pierādījumus, kas liktu apšaubīt dienesta secinājumus, pieteicēja nav iesniegusi.</w:t>
      </w:r>
    </w:p>
    <w:p w14:paraId="3A79683A" w14:textId="10239978" w:rsidR="00551F0E" w:rsidRPr="007D4A2B" w:rsidRDefault="00004643" w:rsidP="00794753">
      <w:pPr>
        <w:pStyle w:val="NormalWeb"/>
        <w:tabs>
          <w:tab w:val="left" w:pos="1134"/>
        </w:tabs>
        <w:spacing w:line="276" w:lineRule="auto"/>
        <w:ind w:firstLine="567"/>
        <w:jc w:val="both"/>
      </w:pPr>
      <w:r w:rsidRPr="007D4A2B">
        <w:lastRenderedPageBreak/>
        <w:t>[</w:t>
      </w:r>
      <w:r w:rsidR="00DB1C54" w:rsidRPr="007D4A2B">
        <w:t>3.3</w:t>
      </w:r>
      <w:r w:rsidRPr="007D4A2B">
        <w:t>]</w:t>
      </w:r>
      <w:r w:rsidR="002F03D3" w:rsidRPr="007D4A2B">
        <w:t xml:space="preserve"> No pārsūdzētā lēmuma neizriet, ka dienests būtu konstatējis, ka strīdus darījums ar </w:t>
      </w:r>
      <w:bookmarkStart w:id="14" w:name="_Hlk105413888"/>
      <w:r w:rsidR="002F03D3" w:rsidRPr="007D4A2B">
        <w:t>SIA „NEO</w:t>
      </w:r>
      <w:r w:rsidR="00551F0E" w:rsidRPr="007D4A2B">
        <w:t> 21”</w:t>
      </w:r>
      <w:r w:rsidR="00385379" w:rsidRPr="007D4A2B">
        <w:t xml:space="preserve"> nav noticis</w:t>
      </w:r>
      <w:r w:rsidR="00551F0E" w:rsidRPr="007D4A2B">
        <w:t xml:space="preserve">. </w:t>
      </w:r>
      <w:bookmarkEnd w:id="14"/>
      <w:r w:rsidR="00551F0E" w:rsidRPr="007D4A2B">
        <w:t xml:space="preserve">Dienests ir koriģējis darījuma summu, taču tas nenozīmē, ka būtu konstatēta darījuma neesība. Tieši pretēji – darījums ir noticis, taču dienests nepiekrīt strīdus darījuma dokumentos </w:t>
      </w:r>
      <w:r w:rsidR="00385379" w:rsidRPr="007D4A2B">
        <w:t>no</w:t>
      </w:r>
      <w:r w:rsidR="00551F0E" w:rsidRPr="007D4A2B">
        <w:t>rādītajai darījuma summai. Līdz ar to lietā</w:t>
      </w:r>
      <w:r w:rsidR="00385379" w:rsidRPr="007D4A2B">
        <w:t xml:space="preserve"> ir</w:t>
      </w:r>
      <w:r w:rsidR="00551F0E" w:rsidRPr="007D4A2B">
        <w:t xml:space="preserve"> pārbaudāms, vai dienests pamatoti koriģējis darījuma summu. </w:t>
      </w:r>
    </w:p>
    <w:p w14:paraId="7FCB82E8" w14:textId="6FC1E651" w:rsidR="00901D12" w:rsidRPr="007D4A2B" w:rsidRDefault="00551F0E" w:rsidP="00794753">
      <w:pPr>
        <w:pStyle w:val="NormalWeb"/>
        <w:tabs>
          <w:tab w:val="left" w:pos="1134"/>
        </w:tabs>
        <w:spacing w:line="276" w:lineRule="auto"/>
        <w:ind w:firstLine="567"/>
        <w:jc w:val="both"/>
      </w:pPr>
      <w:r w:rsidRPr="007D4A2B">
        <w:t>No lietā esošajiem pierādījumiem izriet, ka SIA „NEO 21” ir mākslīgi izveidots uzņēmums strīdus darījuma īstenošanai un tā vienīgais mērķis bija nepamatoti palielināt darījuma cenu. Tāpēc dienestam bija jākoriģē darījuma summa</w:t>
      </w:r>
      <w:r w:rsidR="00901D12" w:rsidRPr="007D4A2B">
        <w:t xml:space="preserve">. Pieteicēja noteiktu laika posmu bija galapatērētāja, kas nesamaksā budžetā pievienotās vērtības nodokli, tādējādi nodarot budžetam ievērojamu kaitējumu. Apstāklim, ka pieteicēja nodokli valsts budžetā ir samaksājusi pēc audita uzsākšanas, nav izšķirošas nozīmes, jo tas nepierāda, ka pieteicēja nodokli samaksātu arī tad, ja dienests neuzsāktu auditu. Turklāt no pieteicējas iesniegtajiem dokumentiem neizriet, ka budžetā būtu samaksātas visas nodokļa summas. Nav nozīmes arī apstāklim, ka pieteicējai nebija mērķa gūt kādas fiskālas priekšrocības. Pieteicējas iebildumi par dienesta apsvērumiem SIA „TER </w:t>
      </w:r>
      <w:proofErr w:type="spellStart"/>
      <w:r w:rsidR="00901D12" w:rsidRPr="007D4A2B">
        <w:t>Properties</w:t>
      </w:r>
      <w:proofErr w:type="spellEnd"/>
      <w:r w:rsidR="00901D12" w:rsidRPr="007D4A2B">
        <w:t>” nodokļu audita lietā izskatāmajā lietā nav ņemami vērā, jo tie attiecas uz citu administratīvo procesu.</w:t>
      </w:r>
    </w:p>
    <w:p w14:paraId="192C6B47" w14:textId="77777777" w:rsidR="00901D12" w:rsidRPr="007D4A2B" w:rsidRDefault="00901D12" w:rsidP="00794753">
      <w:pPr>
        <w:spacing w:line="276" w:lineRule="auto"/>
        <w:ind w:firstLine="567"/>
        <w:contextualSpacing/>
        <w:jc w:val="both"/>
      </w:pPr>
    </w:p>
    <w:p w14:paraId="26FE8ED2" w14:textId="7E94451D" w:rsidR="002D7CD4" w:rsidRPr="007D4A2B" w:rsidRDefault="00E40B02" w:rsidP="00794753">
      <w:pPr>
        <w:spacing w:line="276" w:lineRule="auto"/>
        <w:ind w:firstLine="567"/>
        <w:contextualSpacing/>
        <w:jc w:val="both"/>
      </w:pPr>
      <w:r w:rsidRPr="007D4A2B">
        <w:t>[</w:t>
      </w:r>
      <w:r w:rsidR="00004643" w:rsidRPr="007D4A2B">
        <w:t>4</w:t>
      </w:r>
      <w:r w:rsidRPr="007D4A2B">
        <w:t>] </w:t>
      </w:r>
      <w:r w:rsidR="00004643" w:rsidRPr="007D4A2B">
        <w:t>Pieteicēja</w:t>
      </w:r>
      <w:r w:rsidR="00203D70" w:rsidRPr="007D4A2B">
        <w:t xml:space="preserve"> par</w:t>
      </w:r>
      <w:r w:rsidRPr="007D4A2B">
        <w:t xml:space="preserve"> </w:t>
      </w:r>
      <w:r w:rsidR="00FE3846" w:rsidRPr="007D4A2B">
        <w:t>Administratīvās</w:t>
      </w:r>
      <w:r w:rsidR="00055EB5" w:rsidRPr="007D4A2B">
        <w:t xml:space="preserve"> </w:t>
      </w:r>
      <w:r w:rsidR="000E4FDD" w:rsidRPr="007D4A2B">
        <w:t>apgabal</w:t>
      </w:r>
      <w:r w:rsidR="00055EB5" w:rsidRPr="007D4A2B">
        <w:t>tiesas</w:t>
      </w:r>
      <w:r w:rsidR="006A54D5" w:rsidRPr="007D4A2B">
        <w:t xml:space="preserve"> </w:t>
      </w:r>
      <w:r w:rsidRPr="007D4A2B">
        <w:t>spriedumu iesniedza kasācijas sūdzību, norādot turpmāk minētos argumentus.</w:t>
      </w:r>
    </w:p>
    <w:p w14:paraId="61E074B4" w14:textId="37D2A280" w:rsidR="00692A4E" w:rsidRPr="007D4A2B" w:rsidRDefault="00004643" w:rsidP="00794753">
      <w:pPr>
        <w:spacing w:line="276" w:lineRule="auto"/>
        <w:ind w:firstLine="567"/>
        <w:contextualSpacing/>
        <w:jc w:val="both"/>
      </w:pPr>
      <w:r w:rsidRPr="007D4A2B">
        <w:t>[</w:t>
      </w:r>
      <w:r w:rsidR="00DB1C54" w:rsidRPr="007D4A2B">
        <w:t>4.1</w:t>
      </w:r>
      <w:r w:rsidRPr="007D4A2B">
        <w:t xml:space="preserve">] Izdarot secinājumu par starpniecības pakalpojuma neesību, tiesa ir pārkāpusi Administratīvā procesa likuma </w:t>
      </w:r>
      <w:proofErr w:type="gramStart"/>
      <w:r w:rsidRPr="007D4A2B">
        <w:t>154.panta</w:t>
      </w:r>
      <w:proofErr w:type="gramEnd"/>
      <w:r w:rsidRPr="007D4A2B">
        <w:t xml:space="preserve"> pirmo un trešo daļu</w:t>
      </w:r>
      <w:r w:rsidR="00692A4E" w:rsidRPr="007D4A2B">
        <w:t>.</w:t>
      </w:r>
    </w:p>
    <w:p w14:paraId="37C2962C" w14:textId="77777777" w:rsidR="00A34100" w:rsidRPr="007D4A2B" w:rsidRDefault="00692A4E" w:rsidP="00794753">
      <w:pPr>
        <w:spacing w:line="276" w:lineRule="auto"/>
        <w:ind w:firstLine="567"/>
        <w:contextualSpacing/>
        <w:jc w:val="both"/>
      </w:pPr>
      <w:r w:rsidRPr="007D4A2B">
        <w:t>Pieteicēja neapstrīd, ka starpniecības līguma saturs nav atbilstošs faktiskajam lietu stāvoklim tā parakstīšanas dienā. Pieteicēja šajā sakarā jau dienestam ir sniegusi izvērstu skaidrojumu par nepilnībām darījuma dokumentos</w:t>
      </w:r>
      <w:r w:rsidR="00C676F3" w:rsidRPr="007D4A2B">
        <w:t>, kā arī izskaidrojusi</w:t>
      </w:r>
      <w:r w:rsidRPr="007D4A2B">
        <w:t xml:space="preserve"> darījuma hronoloģisko secību. Tiesa to nav vērtējusi. </w:t>
      </w:r>
    </w:p>
    <w:p w14:paraId="793B47DC" w14:textId="6E6D6F5B" w:rsidR="00A34100" w:rsidRPr="007D4A2B" w:rsidRDefault="00A34100" w:rsidP="00794753">
      <w:pPr>
        <w:spacing w:line="276" w:lineRule="auto"/>
        <w:ind w:firstLine="567"/>
        <w:contextualSpacing/>
        <w:jc w:val="both"/>
      </w:pPr>
      <w:r w:rsidRPr="007D4A2B">
        <w:lastRenderedPageBreak/>
        <w:t xml:space="preserve">Tiesa nepamatoti norādījusi, ka </w:t>
      </w:r>
      <w:r w:rsidR="00692A4E" w:rsidRPr="007D4A2B">
        <w:t>lietā esošās elektroniskās vēstules, iespējams, attiecas uz citu darījumu. Šajā sakarā tiesa nav ņēmusi vērā virkni citu pierādījum</w:t>
      </w:r>
      <w:r w:rsidR="00BF1161">
        <w:t>u</w:t>
      </w:r>
      <w:r w:rsidR="00692A4E" w:rsidRPr="007D4A2B">
        <w:t>, kas kops</w:t>
      </w:r>
      <w:r w:rsidR="00C676F3" w:rsidRPr="007D4A2B">
        <w:t>ak</w:t>
      </w:r>
      <w:r w:rsidR="00692A4E" w:rsidRPr="007D4A2B">
        <w:t>arā ar elektronisk</w:t>
      </w:r>
      <w:r w:rsidR="00C676F3" w:rsidRPr="007D4A2B">
        <w:t>aj</w:t>
      </w:r>
      <w:r w:rsidR="00692A4E" w:rsidRPr="007D4A2B">
        <w:t xml:space="preserve">ām vēstulēm acīmredzami apstiprina šo dokumentu saistību ar strīdus darījumu. </w:t>
      </w:r>
      <w:r w:rsidRPr="007D4A2B">
        <w:t xml:space="preserve">Neņemot vērā lietā esošos pierādījumus, tiesa arī kļūdaini secinājusi, ka </w:t>
      </w:r>
      <w:r w:rsidR="008C0FB4" w:rsidRPr="007D4A2B">
        <w:t>nekustam</w:t>
      </w:r>
      <w:r w:rsidRPr="007D4A2B">
        <w:t>ais</w:t>
      </w:r>
      <w:r w:rsidR="008C0FB4" w:rsidRPr="007D4A2B">
        <w:t xml:space="preserve"> īpašum</w:t>
      </w:r>
      <w:r w:rsidRPr="007D4A2B">
        <w:t>s</w:t>
      </w:r>
      <w:r w:rsidR="008C0FB4" w:rsidRPr="007D4A2B">
        <w:t xml:space="preserve"> </w:t>
      </w:r>
      <w:r w:rsidRPr="007D4A2B">
        <w:t xml:space="preserve">tika tirgots </w:t>
      </w:r>
      <w:proofErr w:type="gramStart"/>
      <w:r w:rsidR="008C0FB4" w:rsidRPr="007D4A2B">
        <w:t>2015.gada</w:t>
      </w:r>
      <w:proofErr w:type="gramEnd"/>
      <w:r w:rsidR="008C0FB4" w:rsidRPr="007D4A2B">
        <w:t xml:space="preserve"> beigās</w:t>
      </w:r>
      <w:r w:rsidRPr="007D4A2B">
        <w:t>.</w:t>
      </w:r>
    </w:p>
    <w:p w14:paraId="398D706E" w14:textId="721FA729" w:rsidR="008C0FB4" w:rsidRPr="007D4A2B" w:rsidRDefault="008C0FB4" w:rsidP="00794753">
      <w:pPr>
        <w:spacing w:line="276" w:lineRule="auto"/>
        <w:ind w:firstLine="567"/>
        <w:contextualSpacing/>
        <w:jc w:val="both"/>
      </w:pPr>
      <w:r w:rsidRPr="007D4A2B">
        <w:t xml:space="preserve">Tiesa nav vērtējusi </w:t>
      </w:r>
      <w:bookmarkStart w:id="15" w:name="_Hlk105149741"/>
      <w:bookmarkStart w:id="16" w:name="_Hlk105144587"/>
      <w:r w:rsidRPr="007D4A2B">
        <w:t xml:space="preserve">SIA „TER </w:t>
      </w:r>
      <w:proofErr w:type="spellStart"/>
      <w:r w:rsidRPr="007D4A2B">
        <w:t>Properties</w:t>
      </w:r>
      <w:proofErr w:type="spellEnd"/>
      <w:r w:rsidRPr="007D4A2B">
        <w:t>”</w:t>
      </w:r>
      <w:bookmarkEnd w:id="15"/>
      <w:r w:rsidRPr="007D4A2B">
        <w:t xml:space="preserve"> </w:t>
      </w:r>
      <w:bookmarkEnd w:id="16"/>
      <w:r w:rsidRPr="007D4A2B">
        <w:t xml:space="preserve">apliecinājuma vēstuli, kas nosūtīta </w:t>
      </w:r>
      <w:bookmarkStart w:id="17" w:name="_Hlk105144621"/>
      <w:r w:rsidRPr="007D4A2B">
        <w:t>SIA „VESTABALT”</w:t>
      </w:r>
      <w:r w:rsidR="00C676F3" w:rsidRPr="007D4A2B">
        <w:t xml:space="preserve"> un</w:t>
      </w:r>
      <w:r w:rsidRPr="007D4A2B">
        <w:t xml:space="preserve"> </w:t>
      </w:r>
      <w:bookmarkEnd w:id="17"/>
      <w:r w:rsidRPr="007D4A2B">
        <w:t xml:space="preserve">kurā norādīts, ka starpniecības līgums tiks noslēgts un brokera maksa tiks </w:t>
      </w:r>
      <w:r w:rsidR="00A34100" w:rsidRPr="007D4A2B">
        <w:t>samaksāta</w:t>
      </w:r>
      <w:r w:rsidRPr="007D4A2B">
        <w:t>, tiklīdz īpašuma pirkuma darījums tiks pabeigts un tiks parakstīts pirkuma līgums. Tas pilnībā atbilst darījuma dalībnieku skaidrotajam par darījuma norisi.</w:t>
      </w:r>
      <w:r w:rsidR="00C676F3" w:rsidRPr="007D4A2B">
        <w:t xml:space="preserve"> Tāpat tiesa nav ņēmusi vērā vairākus lietā esošos pierādījumus, kas apstiprina, ka SIA </w:t>
      </w:r>
      <w:bookmarkStart w:id="18" w:name="_Hlk105414517"/>
      <w:r w:rsidR="00C676F3" w:rsidRPr="007D4A2B">
        <w:t>„</w:t>
      </w:r>
      <w:bookmarkEnd w:id="18"/>
      <w:r w:rsidR="00C676F3" w:rsidRPr="007D4A2B">
        <w:t xml:space="preserve">TER </w:t>
      </w:r>
      <w:proofErr w:type="spellStart"/>
      <w:r w:rsidR="00C676F3" w:rsidRPr="007D4A2B">
        <w:t>Properties</w:t>
      </w:r>
      <w:proofErr w:type="spellEnd"/>
      <w:r w:rsidR="00C676F3" w:rsidRPr="007D4A2B">
        <w:t xml:space="preserve">” pārstāvei jau kopš </w:t>
      </w:r>
      <w:proofErr w:type="gramStart"/>
      <w:r w:rsidR="00C676F3" w:rsidRPr="007D4A2B">
        <w:t>2015.gada</w:t>
      </w:r>
      <w:proofErr w:type="gramEnd"/>
      <w:r w:rsidR="00C676F3" w:rsidRPr="007D4A2B">
        <w:t xml:space="preserve"> jūlija bija zināms par nekustamā īpašuma pārdošanu, pateicoties </w:t>
      </w:r>
      <w:r w:rsidR="002B3204" w:rsidRPr="007D4A2B">
        <w:t xml:space="preserve">tieši </w:t>
      </w:r>
      <w:r w:rsidR="00C676F3" w:rsidRPr="007D4A2B">
        <w:t>SIA „VESTABALT”.</w:t>
      </w:r>
    </w:p>
    <w:p w14:paraId="18130EA4" w14:textId="4CD76C74" w:rsidR="00C676F3" w:rsidRPr="007D4A2B" w:rsidRDefault="00C676F3" w:rsidP="00794753">
      <w:pPr>
        <w:spacing w:line="276" w:lineRule="auto"/>
        <w:ind w:firstLine="567"/>
        <w:contextualSpacing/>
        <w:jc w:val="both"/>
      </w:pPr>
      <w:r w:rsidRPr="007D4A2B">
        <w:t>Ņemot vērā minēto, tiesas rīcība, nenovērtējot virkni lietā esošos būtiskos uz lietas strīdu attiecināmos apstākļus un pierādījumus, ir noved</w:t>
      </w:r>
      <w:r w:rsidR="00A34100" w:rsidRPr="007D4A2B">
        <w:t>usi</w:t>
      </w:r>
      <w:r w:rsidRPr="007D4A2B">
        <w:t xml:space="preserve"> pie </w:t>
      </w:r>
      <w:r w:rsidR="00A34100" w:rsidRPr="007D4A2B">
        <w:t xml:space="preserve">neatbilstošiem </w:t>
      </w:r>
      <w:r w:rsidRPr="007D4A2B">
        <w:t>secinājumiem un ir ietekmējusi lietas iznākumu.</w:t>
      </w:r>
    </w:p>
    <w:p w14:paraId="57BACC15" w14:textId="7EC39B49" w:rsidR="0018096D" w:rsidRPr="007D4A2B" w:rsidRDefault="00C676F3" w:rsidP="00794753">
      <w:pPr>
        <w:spacing w:line="276" w:lineRule="auto"/>
        <w:ind w:firstLine="567"/>
        <w:contextualSpacing/>
        <w:jc w:val="both"/>
      </w:pPr>
      <w:r w:rsidRPr="007D4A2B">
        <w:t>[</w:t>
      </w:r>
      <w:r w:rsidR="00DB1C54" w:rsidRPr="007D4A2B">
        <w:t>4.2</w:t>
      </w:r>
      <w:r w:rsidRPr="007D4A2B">
        <w:t>] </w:t>
      </w:r>
      <w:r w:rsidR="004F754C" w:rsidRPr="007D4A2B">
        <w:t xml:space="preserve">Ierobežojot pieteicējas tiesības atskaitīt priekšnodokli par </w:t>
      </w:r>
      <w:r w:rsidR="00A34100" w:rsidRPr="007D4A2B">
        <w:t xml:space="preserve">nekustamā īpašuma projekta </w:t>
      </w:r>
      <w:r w:rsidR="004F754C" w:rsidRPr="007D4A2B">
        <w:t xml:space="preserve">dokumentācijas iegādi, tiesa </w:t>
      </w:r>
      <w:r w:rsidR="00A049BF" w:rsidRPr="007D4A2B">
        <w:t xml:space="preserve">nepamatoti </w:t>
      </w:r>
      <w:r w:rsidR="004F754C" w:rsidRPr="007D4A2B">
        <w:t xml:space="preserve">piemērojusi likuma </w:t>
      </w:r>
      <w:bookmarkStart w:id="19" w:name="_Hlk105573225"/>
      <w:r w:rsidR="004F754C" w:rsidRPr="007D4A2B">
        <w:t>„</w:t>
      </w:r>
      <w:bookmarkEnd w:id="19"/>
      <w:r w:rsidR="004F754C" w:rsidRPr="007D4A2B">
        <w:t>Par nodokļiem un nodevām” 23.</w:t>
      </w:r>
      <w:proofErr w:type="gramStart"/>
      <w:r w:rsidR="004F754C" w:rsidRPr="007D4A2B">
        <w:rPr>
          <w:vertAlign w:val="superscript"/>
        </w:rPr>
        <w:t>2</w:t>
      </w:r>
      <w:r w:rsidR="004F754C" w:rsidRPr="007D4A2B">
        <w:t>panta</w:t>
      </w:r>
      <w:proofErr w:type="gramEnd"/>
      <w:r w:rsidR="004F754C" w:rsidRPr="007D4A2B">
        <w:t xml:space="preserve"> otrās daļas 1.punktu</w:t>
      </w:r>
      <w:r w:rsidR="00A049BF" w:rsidRPr="007D4A2B">
        <w:t>. Tiesai bija jā</w:t>
      </w:r>
      <w:r w:rsidR="002B3204" w:rsidRPr="007D4A2B">
        <w:t xml:space="preserve">pārbauda, vai lietā ir piemērojama </w:t>
      </w:r>
      <w:r w:rsidR="00A049BF" w:rsidRPr="007D4A2B">
        <w:t xml:space="preserve">Pievienotās vērtības nodokļa likuma </w:t>
      </w:r>
      <w:proofErr w:type="gramStart"/>
      <w:r w:rsidR="0018096D" w:rsidRPr="007D4A2B">
        <w:t>34.panta</w:t>
      </w:r>
      <w:proofErr w:type="gramEnd"/>
      <w:r w:rsidR="0018096D" w:rsidRPr="007D4A2B">
        <w:t xml:space="preserve"> devītā daļa. </w:t>
      </w:r>
      <w:r w:rsidR="002B3204" w:rsidRPr="007D4A2B">
        <w:t>Atsaucoties uz š</w:t>
      </w:r>
      <w:r w:rsidR="00A049BF" w:rsidRPr="007D4A2B">
        <w:t>o tiesību normu</w:t>
      </w:r>
      <w:r w:rsidR="002B3204" w:rsidRPr="007D4A2B">
        <w:t>,</w:t>
      </w:r>
      <w:r w:rsidR="00A049BF" w:rsidRPr="007D4A2B">
        <w:t xml:space="preserve"> tiesa nav ņēmusi vērā </w:t>
      </w:r>
      <w:r w:rsidR="0018096D" w:rsidRPr="007D4A2B">
        <w:t>Eiropas Savienības Tiesas judikatūr</w:t>
      </w:r>
      <w:r w:rsidR="00A049BF" w:rsidRPr="007D4A2B">
        <w:t>u</w:t>
      </w:r>
      <w:r w:rsidR="0018096D" w:rsidRPr="007D4A2B">
        <w:t xml:space="preserve">. </w:t>
      </w:r>
    </w:p>
    <w:p w14:paraId="4CB48F27" w14:textId="62C79210" w:rsidR="00C676F3" w:rsidRPr="007D4A2B" w:rsidRDefault="0018096D" w:rsidP="00794753">
      <w:pPr>
        <w:spacing w:line="276" w:lineRule="auto"/>
        <w:ind w:firstLine="567"/>
        <w:contextualSpacing/>
        <w:jc w:val="both"/>
      </w:pPr>
      <w:r w:rsidRPr="007D4A2B">
        <w:t>Atbilstoši tiesu praksei nodokļa samaksas faktam pašam par sevi nav nozīmes, tomēr tiesa, tam pievērošoties, nav identificējusi, kādā tieši veidā un kurā brīdī tika aizskartas valsts budžeta intereses strīdus darījuma rezultātā. Jāņem vērā, ka strīdus darījuma rezultātā ir notikusi ne tikai priekšnodokļa atskaitīšana, bet arī nodokļa samaksa, līdz ar to zaudējumi valsts budžetam nav nodarīti. Tiesas norāde, ka nodoklis strīdus darījuma rezultātā pilnībā valsts budžetā nav samaksāts, ir neizprotama, jo tā neizriet no lietā esošajiem pierādījumiem.</w:t>
      </w:r>
    </w:p>
    <w:p w14:paraId="6B89E132" w14:textId="2D74624A" w:rsidR="009C75D8" w:rsidRPr="007D4A2B" w:rsidRDefault="0018096D" w:rsidP="00794753">
      <w:pPr>
        <w:spacing w:line="276" w:lineRule="auto"/>
        <w:ind w:firstLine="567"/>
        <w:contextualSpacing/>
        <w:jc w:val="both"/>
      </w:pPr>
      <w:r w:rsidRPr="007D4A2B">
        <w:lastRenderedPageBreak/>
        <w:t xml:space="preserve">Tiesa kļūdaini nav ņēmusi vērā dienesta secinājumus SIA „TER </w:t>
      </w:r>
      <w:proofErr w:type="spellStart"/>
      <w:r w:rsidRPr="007D4A2B">
        <w:t>Properties</w:t>
      </w:r>
      <w:proofErr w:type="spellEnd"/>
      <w:r w:rsidRPr="007D4A2B">
        <w:t xml:space="preserve">” nodokļu auditā par šo pašu strīdus darījumu, </w:t>
      </w:r>
      <w:r w:rsidR="009C75D8" w:rsidRPr="007D4A2B">
        <w:t>tādējādi atstājot bez ievērības, ka dienests par vienu un to pašu darījumu ir izdarījis pretrunīgus secinājumus un pieņēmis pretrunīgus lēmumus. Pieteicēja šajā lietā nav lūgusi pārvērtēt citā administratīvajā</w:t>
      </w:r>
      <w:r w:rsidR="00A049BF" w:rsidRPr="007D4A2B">
        <w:t xml:space="preserve"> proces</w:t>
      </w:r>
      <w:r w:rsidR="009C75D8" w:rsidRPr="007D4A2B">
        <w:t>ā pieņemto lēmumu, bet gan nodrošināt, ka nodokļa aprēķināšana par vienu un to pašu darījumu ir saskanīga visos darījum</w:t>
      </w:r>
      <w:r w:rsidR="007E4F54" w:rsidRPr="007D4A2B">
        <w:t>a</w:t>
      </w:r>
      <w:r w:rsidR="009C75D8" w:rsidRPr="007D4A2B">
        <w:t xml:space="preserve"> posmos, lai tādējādi nodrošinātu </w:t>
      </w:r>
      <w:r w:rsidR="00A049BF" w:rsidRPr="007D4A2B">
        <w:t xml:space="preserve">pievienotās vērtības nodokļa </w:t>
      </w:r>
      <w:r w:rsidR="009C75D8" w:rsidRPr="007D4A2B">
        <w:t>neitralitātes principa ievērošanu.</w:t>
      </w:r>
    </w:p>
    <w:p w14:paraId="6B818F6D" w14:textId="77777777" w:rsidR="00004643" w:rsidRPr="007D4A2B" w:rsidRDefault="00004643" w:rsidP="00794753">
      <w:pPr>
        <w:spacing w:line="276" w:lineRule="auto"/>
        <w:ind w:firstLine="567"/>
        <w:contextualSpacing/>
        <w:jc w:val="both"/>
      </w:pPr>
    </w:p>
    <w:p w14:paraId="055E548B" w14:textId="7E35AA5E" w:rsidR="0006796A" w:rsidRPr="007D4A2B" w:rsidRDefault="0006796A" w:rsidP="00794753">
      <w:pPr>
        <w:spacing w:line="276" w:lineRule="auto"/>
        <w:ind w:firstLine="567"/>
        <w:jc w:val="both"/>
      </w:pPr>
      <w:r w:rsidRPr="007D4A2B">
        <w:t>[</w:t>
      </w:r>
      <w:r w:rsidR="00DB1C54" w:rsidRPr="007D4A2B">
        <w:t>5</w:t>
      </w:r>
      <w:r w:rsidRPr="007D4A2B">
        <w:t>]</w:t>
      </w:r>
      <w:r w:rsidR="008A7471" w:rsidRPr="007D4A2B">
        <w:t> </w:t>
      </w:r>
      <w:r w:rsidR="00004643" w:rsidRPr="007D4A2B">
        <w:t>Dienests pa</w:t>
      </w:r>
      <w:r w:rsidR="00B7423B" w:rsidRPr="007D4A2B">
        <w:t>r</w:t>
      </w:r>
      <w:r w:rsidR="00004643" w:rsidRPr="007D4A2B">
        <w:t xml:space="preserve"> pieteicējas</w:t>
      </w:r>
      <w:r w:rsidR="00B7423B" w:rsidRPr="007D4A2B">
        <w:t xml:space="preserve"> kasācijas sūdzību iesniedza paskaidrojumus, kuros norādīja, ka</w:t>
      </w:r>
      <w:r w:rsidR="0089514E" w:rsidRPr="007D4A2B">
        <w:t xml:space="preserve"> Administratīvās</w:t>
      </w:r>
      <w:r w:rsidR="00B7423B" w:rsidRPr="007D4A2B">
        <w:t xml:space="preserve"> </w:t>
      </w:r>
      <w:r w:rsidR="0089514E" w:rsidRPr="007D4A2B">
        <w:t>apgabaltiesas spriedums ir pamatots.</w:t>
      </w:r>
    </w:p>
    <w:p w14:paraId="478107A6" w14:textId="77777777" w:rsidR="007D4A2B" w:rsidRDefault="007D4A2B" w:rsidP="00794753">
      <w:pPr>
        <w:spacing w:line="276" w:lineRule="auto"/>
        <w:contextualSpacing/>
        <w:rPr>
          <w:b/>
        </w:rPr>
      </w:pPr>
    </w:p>
    <w:p w14:paraId="46BAEB97" w14:textId="6949990A" w:rsidR="008700D3" w:rsidRPr="007D4A2B" w:rsidRDefault="008700D3" w:rsidP="00794753">
      <w:pPr>
        <w:spacing w:line="276" w:lineRule="auto"/>
        <w:contextualSpacing/>
        <w:jc w:val="center"/>
        <w:rPr>
          <w:b/>
        </w:rPr>
      </w:pPr>
      <w:r w:rsidRPr="007D4A2B">
        <w:rPr>
          <w:b/>
        </w:rPr>
        <w:t>Motīvu daļa</w:t>
      </w:r>
    </w:p>
    <w:p w14:paraId="7B401E92" w14:textId="65E1C8D0" w:rsidR="002F74E5" w:rsidRPr="007D4A2B" w:rsidRDefault="002F74E5" w:rsidP="00794753">
      <w:pPr>
        <w:spacing w:line="276" w:lineRule="auto"/>
        <w:contextualSpacing/>
        <w:rPr>
          <w:b/>
        </w:rPr>
      </w:pPr>
    </w:p>
    <w:p w14:paraId="3FBB1748" w14:textId="307BFCE8" w:rsidR="005C7331" w:rsidRPr="007D4A2B" w:rsidRDefault="002F74E5" w:rsidP="00794753">
      <w:pPr>
        <w:spacing w:line="276" w:lineRule="auto"/>
        <w:ind w:firstLine="567"/>
        <w:contextualSpacing/>
        <w:jc w:val="both"/>
        <w:rPr>
          <w:bCs/>
        </w:rPr>
      </w:pPr>
      <w:r w:rsidRPr="007D4A2B">
        <w:rPr>
          <w:bCs/>
        </w:rPr>
        <w:t>[</w:t>
      </w:r>
      <w:r w:rsidR="00DB1C54" w:rsidRPr="007D4A2B">
        <w:rPr>
          <w:bCs/>
        </w:rPr>
        <w:t>6</w:t>
      </w:r>
      <w:r w:rsidRPr="007D4A2B">
        <w:rPr>
          <w:bCs/>
        </w:rPr>
        <w:t>]</w:t>
      </w:r>
      <w:r w:rsidR="0096717C" w:rsidRPr="007D4A2B">
        <w:rPr>
          <w:bCs/>
        </w:rPr>
        <w:t> </w:t>
      </w:r>
      <w:r w:rsidR="00854ED8" w:rsidRPr="007D4A2B">
        <w:rPr>
          <w:bCs/>
        </w:rPr>
        <w:t xml:space="preserve">Kasācijas </w:t>
      </w:r>
      <w:r w:rsidR="0096717C" w:rsidRPr="007D4A2B">
        <w:rPr>
          <w:bCs/>
        </w:rPr>
        <w:t xml:space="preserve">tiesvedībā noskaidrojams, vai apgabaltiesa, atzīstot, ka pieteicējai nav tiesību kā priekšnodokli atskaitīt </w:t>
      </w:r>
      <w:bookmarkStart w:id="20" w:name="_Hlk105151568"/>
      <w:r w:rsidR="00854ED8" w:rsidRPr="007D4A2B">
        <w:rPr>
          <w:bCs/>
        </w:rPr>
        <w:t>SIA</w:t>
      </w:r>
      <w:r w:rsidR="00AA3050" w:rsidRPr="007D4A2B">
        <w:rPr>
          <w:bCs/>
        </w:rPr>
        <w:t> </w:t>
      </w:r>
      <w:r w:rsidR="00854ED8" w:rsidRPr="007D4A2B">
        <w:rPr>
          <w:bCs/>
        </w:rPr>
        <w:t>„</w:t>
      </w:r>
      <w:r w:rsidR="0096717C" w:rsidRPr="007D4A2B">
        <w:rPr>
          <w:bCs/>
        </w:rPr>
        <w:t>TER </w:t>
      </w:r>
      <w:proofErr w:type="spellStart"/>
      <w:r w:rsidR="0096717C" w:rsidRPr="007D4A2B">
        <w:rPr>
          <w:bCs/>
        </w:rPr>
        <w:t>Properties</w:t>
      </w:r>
      <w:proofErr w:type="spellEnd"/>
      <w:r w:rsidR="0096717C" w:rsidRPr="007D4A2B">
        <w:rPr>
          <w:bCs/>
        </w:rPr>
        <w:t>”</w:t>
      </w:r>
      <w:bookmarkEnd w:id="20"/>
      <w:r w:rsidR="0096717C" w:rsidRPr="007D4A2B">
        <w:rPr>
          <w:bCs/>
        </w:rPr>
        <w:t xml:space="preserve"> rēķinos norādīto pievienotās vērtības nodokli, ir ievērojusi </w:t>
      </w:r>
      <w:r w:rsidR="00BA3302" w:rsidRPr="007D4A2B">
        <w:rPr>
          <w:bCs/>
        </w:rPr>
        <w:t xml:space="preserve">Administratīvā procesa likuma </w:t>
      </w:r>
      <w:proofErr w:type="gramStart"/>
      <w:r w:rsidR="00BA3302" w:rsidRPr="007D4A2B">
        <w:rPr>
          <w:bCs/>
        </w:rPr>
        <w:t>154.pant</w:t>
      </w:r>
      <w:r w:rsidR="005C7331" w:rsidRPr="007D4A2B">
        <w:rPr>
          <w:bCs/>
        </w:rPr>
        <w:t>a</w:t>
      </w:r>
      <w:proofErr w:type="gramEnd"/>
      <w:r w:rsidR="005C7331" w:rsidRPr="007D4A2B">
        <w:rPr>
          <w:bCs/>
        </w:rPr>
        <w:t xml:space="preserve"> prasības</w:t>
      </w:r>
      <w:r w:rsidR="00A049BF" w:rsidRPr="007D4A2B">
        <w:rPr>
          <w:bCs/>
        </w:rPr>
        <w:t xml:space="preserve"> un vai pareizi ir piemērojusi Pievienotās vērtības nodokļa likuma 34.panta devīto daļu</w:t>
      </w:r>
      <w:r w:rsidR="005C7331" w:rsidRPr="007D4A2B">
        <w:rPr>
          <w:bCs/>
        </w:rPr>
        <w:t>.</w:t>
      </w:r>
    </w:p>
    <w:p w14:paraId="48AD24DE" w14:textId="77777777" w:rsidR="005C7331" w:rsidRPr="007D4A2B" w:rsidRDefault="005C7331" w:rsidP="00794753">
      <w:pPr>
        <w:spacing w:line="276" w:lineRule="auto"/>
        <w:contextualSpacing/>
        <w:jc w:val="center"/>
        <w:rPr>
          <w:bCs/>
        </w:rPr>
      </w:pPr>
    </w:p>
    <w:p w14:paraId="63335CFB" w14:textId="07790478" w:rsidR="00AF18B0" w:rsidRPr="007D4A2B" w:rsidRDefault="00AF18B0" w:rsidP="00794753">
      <w:pPr>
        <w:spacing w:line="276" w:lineRule="auto"/>
        <w:contextualSpacing/>
        <w:jc w:val="center"/>
        <w:rPr>
          <w:bCs/>
        </w:rPr>
      </w:pPr>
      <w:r w:rsidRPr="007D4A2B">
        <w:rPr>
          <w:bCs/>
        </w:rPr>
        <w:t>I</w:t>
      </w:r>
    </w:p>
    <w:p w14:paraId="2EB00E5B" w14:textId="5D27D464" w:rsidR="00AF18B0" w:rsidRPr="007D4A2B" w:rsidRDefault="00AF18B0" w:rsidP="00794753">
      <w:pPr>
        <w:spacing w:line="276" w:lineRule="auto"/>
        <w:contextualSpacing/>
        <w:jc w:val="center"/>
        <w:rPr>
          <w:bCs/>
          <w:i/>
          <w:iCs/>
        </w:rPr>
      </w:pPr>
      <w:r w:rsidRPr="007D4A2B">
        <w:rPr>
          <w:bCs/>
          <w:i/>
          <w:iCs/>
        </w:rPr>
        <w:t>Par starpniecības darījumu</w:t>
      </w:r>
    </w:p>
    <w:p w14:paraId="6F5FCB6A" w14:textId="77777777" w:rsidR="00AF18B0" w:rsidRPr="007D4A2B" w:rsidRDefault="00AF18B0" w:rsidP="00794753">
      <w:pPr>
        <w:spacing w:line="276" w:lineRule="auto"/>
        <w:ind w:firstLine="567"/>
        <w:contextualSpacing/>
        <w:jc w:val="both"/>
        <w:rPr>
          <w:bCs/>
        </w:rPr>
      </w:pPr>
    </w:p>
    <w:p w14:paraId="3278D700" w14:textId="38950B24" w:rsidR="008F7B17" w:rsidRPr="007D4A2B" w:rsidRDefault="00AF18B0" w:rsidP="00794753">
      <w:pPr>
        <w:spacing w:line="276" w:lineRule="auto"/>
        <w:ind w:firstLine="567"/>
        <w:contextualSpacing/>
        <w:jc w:val="both"/>
      </w:pPr>
      <w:r w:rsidRPr="007D4A2B">
        <w:lastRenderedPageBreak/>
        <w:t>[</w:t>
      </w:r>
      <w:r w:rsidR="00DB1C54" w:rsidRPr="007D4A2B">
        <w:t>7</w:t>
      </w:r>
      <w:r w:rsidRPr="007D4A2B">
        <w:t>] </w:t>
      </w:r>
      <w:r w:rsidR="008F7B17" w:rsidRPr="007D4A2B">
        <w:t>Lietā konstatēts</w:t>
      </w:r>
      <w:r w:rsidRPr="007D4A2B">
        <w:t xml:space="preserve">, ka </w:t>
      </w:r>
      <w:proofErr w:type="gramStart"/>
      <w:r w:rsidR="00AA3050" w:rsidRPr="007D4A2B">
        <w:t>2015.gada</w:t>
      </w:r>
      <w:proofErr w:type="gramEnd"/>
      <w:r w:rsidR="00AA3050" w:rsidRPr="007D4A2B">
        <w:t xml:space="preserve"> 4.decembr</w:t>
      </w:r>
      <w:r w:rsidR="005C7331" w:rsidRPr="007D4A2B">
        <w:t>ī</w:t>
      </w:r>
      <w:r w:rsidR="00AA3050" w:rsidRPr="007D4A2B">
        <w:t xml:space="preserve"> starp </w:t>
      </w:r>
      <w:bookmarkStart w:id="21" w:name="_Hlk105151861"/>
      <w:r w:rsidR="00AA3050" w:rsidRPr="007D4A2B">
        <w:rPr>
          <w:bCs/>
        </w:rPr>
        <w:t xml:space="preserve">SIA „VESTABALT” un </w:t>
      </w:r>
      <w:r w:rsidR="00AA3050" w:rsidRPr="007D4A2B">
        <w:t xml:space="preserve">SIA „TER </w:t>
      </w:r>
      <w:proofErr w:type="spellStart"/>
      <w:r w:rsidR="00AA3050" w:rsidRPr="007D4A2B">
        <w:t>Properties</w:t>
      </w:r>
      <w:proofErr w:type="spellEnd"/>
      <w:r w:rsidR="00AA3050" w:rsidRPr="007D4A2B">
        <w:t xml:space="preserve">” </w:t>
      </w:r>
      <w:bookmarkEnd w:id="21"/>
      <w:r w:rsidR="00AA3050" w:rsidRPr="007D4A2B">
        <w:t>tika noslēgts starpniecības līgums nekustamā īpašuma pirkšanā</w:t>
      </w:r>
      <w:r w:rsidR="008F7B17" w:rsidRPr="007D4A2B">
        <w:t>. A</w:t>
      </w:r>
      <w:r w:rsidR="00AA3050" w:rsidRPr="007D4A2B">
        <w:t xml:space="preserve">tbilstoši </w:t>
      </w:r>
      <w:r w:rsidR="008F7B17" w:rsidRPr="007D4A2B">
        <w:t>šim līgumam S</w:t>
      </w:r>
      <w:r w:rsidR="00AA3050" w:rsidRPr="007D4A2B">
        <w:t>IA „VESTABALT” apņ</w:t>
      </w:r>
      <w:r w:rsidR="005C7331" w:rsidRPr="007D4A2B">
        <w:t>ē</w:t>
      </w:r>
      <w:r w:rsidR="00AA3050" w:rsidRPr="007D4A2B">
        <w:t>m</w:t>
      </w:r>
      <w:r w:rsidR="005C7331" w:rsidRPr="007D4A2B">
        <w:t>ā</w:t>
      </w:r>
      <w:r w:rsidR="00AA3050" w:rsidRPr="007D4A2B">
        <w:t>s atrast nekustamo īpašumu.</w:t>
      </w:r>
      <w:r w:rsidR="007E4F54" w:rsidRPr="007D4A2B">
        <w:t xml:space="preserve"> </w:t>
      </w:r>
      <w:r w:rsidR="008F7B17" w:rsidRPr="007D4A2B">
        <w:rPr>
          <w:bCs/>
        </w:rPr>
        <w:t xml:space="preserve">SIA „VESTABALT” </w:t>
      </w:r>
      <w:proofErr w:type="gramStart"/>
      <w:r w:rsidR="008F7B17" w:rsidRPr="007D4A2B">
        <w:rPr>
          <w:bCs/>
        </w:rPr>
        <w:t>2015.gada</w:t>
      </w:r>
      <w:proofErr w:type="gramEnd"/>
      <w:r w:rsidR="008F7B17" w:rsidRPr="007D4A2B">
        <w:rPr>
          <w:bCs/>
        </w:rPr>
        <w:t xml:space="preserve"> 4.decembrī izrakstīja rēķinu </w:t>
      </w:r>
      <w:r w:rsidR="008F7B17" w:rsidRPr="007D4A2B">
        <w:t xml:space="preserve">SIA „TER </w:t>
      </w:r>
      <w:proofErr w:type="spellStart"/>
      <w:r w:rsidR="008F7B17" w:rsidRPr="007D4A2B">
        <w:t>Properties</w:t>
      </w:r>
      <w:proofErr w:type="spellEnd"/>
      <w:r w:rsidR="008F7B17" w:rsidRPr="007D4A2B">
        <w:t xml:space="preserve">” par sniegtajiem starpniecības pakalpojumiem. Savukārt </w:t>
      </w:r>
      <w:bookmarkStart w:id="22" w:name="_Hlk105157000"/>
      <w:r w:rsidR="008F7B17" w:rsidRPr="007D4A2B">
        <w:t xml:space="preserve">SIA „TER </w:t>
      </w:r>
      <w:proofErr w:type="spellStart"/>
      <w:r w:rsidR="008F7B17" w:rsidRPr="007D4A2B">
        <w:t>Properties</w:t>
      </w:r>
      <w:proofErr w:type="spellEnd"/>
      <w:r w:rsidR="008F7B17" w:rsidRPr="007D4A2B">
        <w:t xml:space="preserve">” </w:t>
      </w:r>
      <w:bookmarkEnd w:id="22"/>
      <w:proofErr w:type="gramStart"/>
      <w:r w:rsidR="008F7B17" w:rsidRPr="007D4A2B">
        <w:t>2016.gada</w:t>
      </w:r>
      <w:proofErr w:type="gramEnd"/>
      <w:r w:rsidR="008F7B17" w:rsidRPr="007D4A2B">
        <w:t xml:space="preserve"> 26.februārī izrakstīja rēķinu pieteicējai. Šajā rēķinā </w:t>
      </w:r>
      <w:r w:rsidR="00BA3283" w:rsidRPr="007D4A2B">
        <w:t>norādīto pievienotās vērtības nodokli pieteicēja atskaitīja kā priekšnodokli.</w:t>
      </w:r>
    </w:p>
    <w:p w14:paraId="568DA056" w14:textId="57E7BD61" w:rsidR="00BA3283" w:rsidRPr="007D4A2B" w:rsidRDefault="00BA3283" w:rsidP="00794753">
      <w:pPr>
        <w:spacing w:line="276" w:lineRule="auto"/>
        <w:ind w:firstLine="567"/>
        <w:contextualSpacing/>
        <w:jc w:val="both"/>
      </w:pPr>
      <w:r w:rsidRPr="007D4A2B">
        <w:t>Apgabaltiesa atzin</w:t>
      </w:r>
      <w:r w:rsidR="00F40BFD" w:rsidRPr="007D4A2B">
        <w:t>usi</w:t>
      </w:r>
      <w:r w:rsidRPr="007D4A2B">
        <w:t xml:space="preserve">, ka pieteicējai šādu tiesību nebija, </w:t>
      </w:r>
      <w:r w:rsidR="00665879" w:rsidRPr="007D4A2B">
        <w:t>jo</w:t>
      </w:r>
      <w:r w:rsidRPr="007D4A2B">
        <w:t xml:space="preserve"> starpniecības darījums faktiski nav noticis</w:t>
      </w:r>
      <w:r w:rsidR="00665879" w:rsidRPr="007D4A2B">
        <w:t xml:space="preserve"> un </w:t>
      </w:r>
      <w:r w:rsidRPr="007D4A2B">
        <w:t>nemaz nebija nepieciešams.</w:t>
      </w:r>
    </w:p>
    <w:p w14:paraId="75235479" w14:textId="37515E12" w:rsidR="00BA3283" w:rsidRPr="007D4A2B" w:rsidRDefault="00BA3283" w:rsidP="00794753">
      <w:pPr>
        <w:spacing w:line="276" w:lineRule="auto"/>
        <w:ind w:firstLine="567"/>
        <w:contextualSpacing/>
        <w:jc w:val="both"/>
      </w:pPr>
      <w:r w:rsidRPr="007D4A2B">
        <w:t xml:space="preserve">Pieteicēja kasācijas sūdzībā norāda, ka </w:t>
      </w:r>
      <w:r w:rsidR="00F40BFD" w:rsidRPr="007D4A2B">
        <w:t>šādi apg</w:t>
      </w:r>
      <w:r w:rsidRPr="007D4A2B">
        <w:t xml:space="preserve">abaltiesas secinājumi ir kļūdaini, jo </w:t>
      </w:r>
      <w:r w:rsidR="00F40BFD" w:rsidRPr="007D4A2B">
        <w:t xml:space="preserve">apgabaltiesa nav </w:t>
      </w:r>
      <w:r w:rsidRPr="007D4A2B">
        <w:t>ņ</w:t>
      </w:r>
      <w:r w:rsidR="00F40BFD" w:rsidRPr="007D4A2B">
        <w:t xml:space="preserve">ēmusi </w:t>
      </w:r>
      <w:r w:rsidRPr="007D4A2B">
        <w:t>virkni lietā esošo pierādījumu, kā arī pierādījumus novērtēj</w:t>
      </w:r>
      <w:r w:rsidR="00F40BFD" w:rsidRPr="007D4A2B">
        <w:t>usi</w:t>
      </w:r>
      <w:r w:rsidRPr="007D4A2B">
        <w:t xml:space="preserve"> neatbilstoši Administratīvā procesa likuma </w:t>
      </w:r>
      <w:proofErr w:type="gramStart"/>
      <w:r w:rsidRPr="007D4A2B">
        <w:t>154.panta</w:t>
      </w:r>
      <w:proofErr w:type="gramEnd"/>
      <w:r w:rsidRPr="007D4A2B">
        <w:t xml:space="preserve"> pirmajai un trešajai daļai.</w:t>
      </w:r>
      <w:r w:rsidR="00EF40D7" w:rsidRPr="007D4A2B">
        <w:t xml:space="preserve"> </w:t>
      </w:r>
      <w:r w:rsidRPr="007D4A2B">
        <w:t>Senāts turpmāk norādīto apsvērumu dēļ šād</w:t>
      </w:r>
      <w:r w:rsidR="00EF40D7" w:rsidRPr="007D4A2B">
        <w:t>us</w:t>
      </w:r>
      <w:r w:rsidRPr="007D4A2B">
        <w:t xml:space="preserve"> argumentus atzīst par pamatotiem.</w:t>
      </w:r>
    </w:p>
    <w:p w14:paraId="09390660" w14:textId="4FF77BEF" w:rsidR="00BA3283" w:rsidRPr="007D4A2B" w:rsidRDefault="00BA3283" w:rsidP="00794753">
      <w:pPr>
        <w:spacing w:line="276" w:lineRule="auto"/>
        <w:ind w:firstLine="567"/>
        <w:contextualSpacing/>
        <w:jc w:val="both"/>
      </w:pPr>
    </w:p>
    <w:p w14:paraId="274750F2" w14:textId="7B582E5C" w:rsidR="004B6855" w:rsidRPr="00F80B37" w:rsidRDefault="004B6855" w:rsidP="00794753">
      <w:pPr>
        <w:spacing w:line="276" w:lineRule="auto"/>
        <w:ind w:firstLine="567"/>
        <w:contextualSpacing/>
        <w:jc w:val="both"/>
        <w:rPr>
          <w:rFonts w:eastAsiaTheme="minorEastAsia"/>
          <w:i/>
          <w:iCs/>
          <w:kern w:val="24"/>
        </w:rPr>
      </w:pPr>
      <w:r w:rsidRPr="007D4A2B">
        <w:rPr>
          <w:bCs/>
        </w:rPr>
        <w:t>[</w:t>
      </w:r>
      <w:r w:rsidR="00DB1C54" w:rsidRPr="007D4A2B">
        <w:rPr>
          <w:bCs/>
        </w:rPr>
        <w:t>8</w:t>
      </w:r>
      <w:r w:rsidRPr="007D4A2B">
        <w:rPr>
          <w:bCs/>
        </w:rPr>
        <w:t xml:space="preserve">] Administratīvā procesa likuma </w:t>
      </w:r>
      <w:proofErr w:type="gramStart"/>
      <w:r w:rsidRPr="007D4A2B">
        <w:rPr>
          <w:bCs/>
        </w:rPr>
        <w:t>154.pants</w:t>
      </w:r>
      <w:proofErr w:type="gramEnd"/>
      <w:r w:rsidRPr="007D4A2B">
        <w:rPr>
          <w:bCs/>
        </w:rPr>
        <w:t xml:space="preserve"> noteic tiesai pienākumu pierādījumus </w:t>
      </w:r>
      <w:r w:rsidR="00F40BFD" w:rsidRPr="007D4A2B">
        <w:rPr>
          <w:bCs/>
        </w:rPr>
        <w:t xml:space="preserve">pārbaudīt un </w:t>
      </w:r>
      <w:r w:rsidRPr="007D4A2B">
        <w:rPr>
          <w:bCs/>
        </w:rPr>
        <w:t>vērtēt vispusīgi un pilnīgi. V</w:t>
      </w:r>
      <w:r w:rsidRPr="007D4A2B">
        <w:rPr>
          <w:rFonts w:eastAsiaTheme="minorEastAsia"/>
          <w:kern w:val="24"/>
        </w:rPr>
        <w:t xml:space="preserve">ispusīga un pilnīga pierādījumu pārbaude un novērtēšana nozīmē to, ka tiesa novērtē visus lietā esošos pierādījumus (piemēram, </w:t>
      </w:r>
      <w:r w:rsidRPr="007D4A2B">
        <w:rPr>
          <w:rFonts w:eastAsiaTheme="minorEastAsia"/>
          <w:i/>
          <w:iCs/>
          <w:kern w:val="24"/>
        </w:rPr>
        <w:t xml:space="preserve">Senāta </w:t>
      </w:r>
      <w:proofErr w:type="gramStart"/>
      <w:r w:rsidRPr="007D4A2B">
        <w:rPr>
          <w:rFonts w:eastAsiaTheme="minorEastAsia"/>
          <w:i/>
          <w:iCs/>
          <w:kern w:val="24"/>
        </w:rPr>
        <w:t>2018.gada</w:t>
      </w:r>
      <w:proofErr w:type="gramEnd"/>
      <w:r w:rsidRPr="007D4A2B">
        <w:rPr>
          <w:rFonts w:eastAsiaTheme="minorEastAsia"/>
          <w:i/>
          <w:iCs/>
          <w:kern w:val="24"/>
        </w:rPr>
        <w:t xml:space="preserve"> 28.decembra sprieduma lietā Nr. SKA-655/2018 </w:t>
      </w:r>
      <w:r w:rsidRPr="00F80B37">
        <w:rPr>
          <w:rFonts w:eastAsiaTheme="minorEastAsia"/>
          <w:i/>
          <w:iCs/>
          <w:color w:val="000000" w:themeColor="text1"/>
          <w:kern w:val="24"/>
        </w:rPr>
        <w:t>(</w:t>
      </w:r>
      <w:hyperlink r:id="rId9" w:history="1">
        <w:r w:rsidR="00F80B37" w:rsidRPr="00F80B37">
          <w:rPr>
            <w:rStyle w:val="Hyperlink"/>
            <w:rFonts w:eastAsiaTheme="minorEastAsia"/>
            <w:i/>
            <w:iCs/>
            <w:color w:val="000000" w:themeColor="text1"/>
            <w:kern w:val="24"/>
            <w:u w:val="none"/>
          </w:rPr>
          <w:t>ECLI:LV:AT:2018:1228.A420495111.3.S</w:t>
        </w:r>
      </w:hyperlink>
      <w:r w:rsidRPr="007D4A2B">
        <w:rPr>
          <w:rFonts w:eastAsiaTheme="minorEastAsia"/>
          <w:i/>
          <w:iCs/>
          <w:kern w:val="24"/>
        </w:rPr>
        <w:t>) 8.punkts</w:t>
      </w:r>
      <w:r w:rsidRPr="007D4A2B">
        <w:rPr>
          <w:rFonts w:eastAsiaTheme="minorEastAsia"/>
          <w:kern w:val="24"/>
        </w:rPr>
        <w:t>). Arī juridiskajā literatūrā atzīts, ka tiesa nedrīkst atstāt bez ievērības nevienu pieņemto pierādījumu (</w:t>
      </w:r>
      <w:r w:rsidRPr="007D4A2B">
        <w:rPr>
          <w:rFonts w:eastAsiaTheme="minorEastAsia"/>
          <w:i/>
          <w:iCs/>
          <w:kern w:val="24"/>
        </w:rPr>
        <w:t xml:space="preserve">Līcis A. Prasības tiesvedībā un pierādījumi. Rīga: </w:t>
      </w:r>
      <w:r w:rsidRPr="007D4A2B">
        <w:rPr>
          <w:rFonts w:eastAsiaTheme="minorEastAsia"/>
          <w:i/>
          <w:kern w:val="24"/>
        </w:rPr>
        <w:t>Tiesu namu aģentūra, 2003, 77.lpp.</w:t>
      </w:r>
      <w:r w:rsidRPr="007D4A2B">
        <w:rPr>
          <w:rFonts w:eastAsiaTheme="minorEastAsia"/>
          <w:kern w:val="24"/>
        </w:rPr>
        <w:t>). Ja pierādījumi ir iesniegti, vērtējums jādod par visiem pierādījumiem (</w:t>
      </w:r>
      <w:r w:rsidRPr="007D4A2B">
        <w:rPr>
          <w:rFonts w:eastAsiaTheme="minorEastAsia"/>
          <w:i/>
          <w:iCs/>
          <w:kern w:val="24"/>
        </w:rPr>
        <w:t>turpat, 80.lpp</w:t>
      </w:r>
      <w:r w:rsidRPr="007D4A2B">
        <w:rPr>
          <w:rFonts w:eastAsiaTheme="minorEastAsia"/>
          <w:kern w:val="24"/>
        </w:rPr>
        <w:t xml:space="preserve">). Tas nozīmē, ka </w:t>
      </w:r>
      <w:r w:rsidRPr="007D4A2B">
        <w:t xml:space="preserve">tiesai ir jānovērtē arī tādi pierādījumi, kas neapstiprina tiesas izdarītos secinājumus, bet gluži otrādi – no tiem izriet pretējs secinājums. Šādā gadījumā tiesai jāpamato, kāpēc tās ieskatā konkrētais pierādījums neapstiprina attiecīgo faktu un kāpēc tam nav piešķirama priekšroka. Ja tiesa kādam pierādījumam nepiešķir </w:t>
      </w:r>
      <w:r w:rsidRPr="007D4A2B">
        <w:lastRenderedPageBreak/>
        <w:t>ticamību, arī tas ir jāpamato, norādot, kādi apstākļi vai pierādījumi liek apšaubīt konkrētā pierādījuma ticamību. Tā kā atbilstoši Administratīvā procesa likuma 151.pantam tiesa pieņem tikai tos pierādījumus, kuriem ir nozīme lietā, tad tiesai, ja tā kādam pierādījumam nepiešķir nozīmi un uzskata, ka tas nevar ietekmēt lietas izspriešanu, arī tas ir jāpamato. Turklāt šāds pamatojums nevar aprobežoties ar vispārīgām frāzēm, jābūt norādītam skaidram un saprotamam iemeslam.</w:t>
      </w:r>
    </w:p>
    <w:p w14:paraId="645A6786" w14:textId="77777777" w:rsidR="004B6855" w:rsidRPr="007D4A2B" w:rsidRDefault="004B6855" w:rsidP="00794753">
      <w:pPr>
        <w:spacing w:line="276" w:lineRule="auto"/>
        <w:ind w:firstLine="567"/>
        <w:contextualSpacing/>
        <w:jc w:val="both"/>
      </w:pPr>
    </w:p>
    <w:p w14:paraId="039FC206" w14:textId="76BCE52E" w:rsidR="00DF35F8" w:rsidRPr="007D4A2B" w:rsidRDefault="00BA3283" w:rsidP="00794753">
      <w:pPr>
        <w:spacing w:line="276" w:lineRule="auto"/>
        <w:ind w:firstLine="567"/>
        <w:contextualSpacing/>
        <w:jc w:val="both"/>
      </w:pPr>
      <w:r w:rsidRPr="007D4A2B">
        <w:t>[</w:t>
      </w:r>
      <w:r w:rsidR="00DB1C54" w:rsidRPr="007D4A2B">
        <w:t>9</w:t>
      </w:r>
      <w:r w:rsidRPr="007D4A2B">
        <w:t>]</w:t>
      </w:r>
      <w:r w:rsidR="00BD510C" w:rsidRPr="007D4A2B">
        <w:t xml:space="preserve"> Secinājumu, ka </w:t>
      </w:r>
      <w:bookmarkStart w:id="23" w:name="_Hlk105154574"/>
      <w:r w:rsidR="00BD510C" w:rsidRPr="007D4A2B">
        <w:rPr>
          <w:bCs/>
        </w:rPr>
        <w:t xml:space="preserve">SIA „VESTABALT” </w:t>
      </w:r>
      <w:bookmarkEnd w:id="23"/>
      <w:r w:rsidR="00BD510C" w:rsidRPr="007D4A2B">
        <w:rPr>
          <w:bCs/>
        </w:rPr>
        <w:t xml:space="preserve">faktiski nav meklējusi nekustamo īpašumu jeb nav sniegusi starpniecības pakalpojumus, apgabaltiesa </w:t>
      </w:r>
      <w:r w:rsidR="00BD510C" w:rsidRPr="007D4A2B">
        <w:t>pamatoj</w:t>
      </w:r>
      <w:r w:rsidR="00F40BFD" w:rsidRPr="007D4A2B">
        <w:t>usi</w:t>
      </w:r>
      <w:r w:rsidR="00BD510C" w:rsidRPr="007D4A2B">
        <w:t xml:space="preserve"> ar to, ka darījuma dalībnieku rīcībā esošie d</w:t>
      </w:r>
      <w:r w:rsidR="00DF35F8" w:rsidRPr="007D4A2B">
        <w:t>arījuma d</w:t>
      </w:r>
      <w:r w:rsidR="00BD510C" w:rsidRPr="007D4A2B">
        <w:t>okumenti ir noformēti neatbilstoši līguma prasībām</w:t>
      </w:r>
      <w:r w:rsidR="00DF35F8" w:rsidRPr="007D4A2B">
        <w:t>, proti, nekustamā īpašuma apskates protokolā nav norādīts ne apskates datums, ne īpašums, kas tiek apskatīts, ne klients</w:t>
      </w:r>
      <w:r w:rsidR="00BD510C" w:rsidRPr="007D4A2B">
        <w:t>.</w:t>
      </w:r>
    </w:p>
    <w:p w14:paraId="5C069993" w14:textId="0BBAD282" w:rsidR="00BD510C" w:rsidRPr="007D4A2B" w:rsidRDefault="00BD510C" w:rsidP="00794753">
      <w:pPr>
        <w:spacing w:line="276" w:lineRule="auto"/>
        <w:ind w:firstLine="567"/>
        <w:contextualSpacing/>
        <w:jc w:val="both"/>
      </w:pPr>
      <w:r w:rsidRPr="007D4A2B">
        <w:t>Tātad viens no apgabaltiesas argumentiem, ar ko pamatota strīdus darījuma faktiskā neesība, ir trūkumi darījuma dokum</w:t>
      </w:r>
      <w:r w:rsidR="00835C12" w:rsidRPr="007D4A2B">
        <w:t>entos</w:t>
      </w:r>
      <w:r w:rsidR="009355C5" w:rsidRPr="007D4A2B">
        <w:t>.</w:t>
      </w:r>
      <w:r w:rsidRPr="007D4A2B">
        <w:t xml:space="preserve"> </w:t>
      </w:r>
    </w:p>
    <w:p w14:paraId="11F8D2E7" w14:textId="3BC8E3EA" w:rsidR="005746D8" w:rsidRPr="007D4A2B" w:rsidRDefault="00DF35F8" w:rsidP="00794753">
      <w:pPr>
        <w:spacing w:line="276" w:lineRule="auto"/>
        <w:ind w:firstLine="567"/>
        <w:contextualSpacing/>
        <w:jc w:val="both"/>
      </w:pPr>
      <w:r w:rsidRPr="007D4A2B">
        <w:t>Šajā sakarā v</w:t>
      </w:r>
      <w:r w:rsidR="00AF18B0" w:rsidRPr="007D4A2B">
        <w:t xml:space="preserve">ispirms </w:t>
      </w:r>
      <w:r w:rsidRPr="007D4A2B">
        <w:t>jā</w:t>
      </w:r>
      <w:r w:rsidR="00AF18B0" w:rsidRPr="007D4A2B">
        <w:t>atgādin</w:t>
      </w:r>
      <w:r w:rsidRPr="007D4A2B">
        <w:t>a</w:t>
      </w:r>
      <w:r w:rsidR="00AF18B0" w:rsidRPr="007D4A2B">
        <w:t xml:space="preserve">, ka tiesības uz nodokļa atskaitīšanu ir neatņemama pievienotās vērtības nodokļa mehānisma sastāvdaļa un šīs tiesības nodokļu maksātājam ir jāpiešķir, ja ir ievērotas </w:t>
      </w:r>
      <w:proofErr w:type="spellStart"/>
      <w:r w:rsidR="00AF18B0" w:rsidRPr="007D4A2B">
        <w:t>materiāltiesiskās</w:t>
      </w:r>
      <w:proofErr w:type="spellEnd"/>
      <w:r w:rsidR="00AF18B0" w:rsidRPr="007D4A2B">
        <w:t xml:space="preserve"> prasības, pat ja nodokļa maksātājs nav ievērojis dažas formālās prasības</w:t>
      </w:r>
      <w:r w:rsidRPr="007D4A2B">
        <w:t>.</w:t>
      </w:r>
      <w:r w:rsidR="00AF18B0" w:rsidRPr="007D4A2B">
        <w:t xml:space="preserve"> </w:t>
      </w:r>
      <w:r w:rsidRPr="007D4A2B">
        <w:t xml:space="preserve">Tas varētu būt citādi, ja formālo prasību neievērošana ir izraisījusi traucējumu sniegt drošu pierādījumu, ka ir ievērotas </w:t>
      </w:r>
      <w:proofErr w:type="spellStart"/>
      <w:r w:rsidRPr="007D4A2B">
        <w:t>materiāltiesiskās</w:t>
      </w:r>
      <w:proofErr w:type="spellEnd"/>
      <w:r w:rsidRPr="007D4A2B">
        <w:t xml:space="preserve"> prasības </w:t>
      </w:r>
      <w:r w:rsidR="00AF18B0" w:rsidRPr="007D4A2B">
        <w:t xml:space="preserve">(piemēram, </w:t>
      </w:r>
      <w:r w:rsidR="00AF18B0" w:rsidRPr="007D4A2B">
        <w:rPr>
          <w:i/>
          <w:iCs/>
        </w:rPr>
        <w:t xml:space="preserve">Eiropas Savienības tiesas </w:t>
      </w:r>
      <w:proofErr w:type="gramStart"/>
      <w:r w:rsidR="00AF18B0" w:rsidRPr="007D4A2B">
        <w:rPr>
          <w:i/>
          <w:iCs/>
        </w:rPr>
        <w:t>2012.gada</w:t>
      </w:r>
      <w:proofErr w:type="gramEnd"/>
      <w:r w:rsidR="00AF18B0" w:rsidRPr="007D4A2B">
        <w:rPr>
          <w:i/>
          <w:iCs/>
        </w:rPr>
        <w:t xml:space="preserve"> 12.jūlija spriedums lietā </w:t>
      </w:r>
      <w:r w:rsidR="00FD00A6" w:rsidRPr="007D4A2B">
        <w:rPr>
          <w:i/>
          <w:iCs/>
        </w:rPr>
        <w:t>EMS</w:t>
      </w:r>
      <w:r w:rsidR="00FD00A6" w:rsidRPr="007D4A2B">
        <w:rPr>
          <w:i/>
          <w:iCs/>
        </w:rPr>
        <w:noBreakHyphen/>
      </w:r>
      <w:proofErr w:type="spellStart"/>
      <w:r w:rsidR="00FD00A6" w:rsidRPr="007D4A2B">
        <w:rPr>
          <w:i/>
          <w:iCs/>
        </w:rPr>
        <w:t>Bulgaria</w:t>
      </w:r>
      <w:proofErr w:type="spellEnd"/>
      <w:r w:rsidR="00FD00A6" w:rsidRPr="007D4A2B">
        <w:rPr>
          <w:i/>
          <w:iCs/>
        </w:rPr>
        <w:t xml:space="preserve"> Transport OOD,</w:t>
      </w:r>
      <w:r w:rsidR="00AF18B0" w:rsidRPr="007D4A2B">
        <w:rPr>
          <w:i/>
          <w:iCs/>
        </w:rPr>
        <w:t xml:space="preserve"> C-284/11</w:t>
      </w:r>
      <w:r w:rsidR="00FD00A6" w:rsidRPr="00F80B37">
        <w:rPr>
          <w:i/>
          <w:iCs/>
          <w:color w:val="000000" w:themeColor="text1"/>
        </w:rPr>
        <w:t xml:space="preserve">, </w:t>
      </w:r>
      <w:bookmarkStart w:id="24" w:name="_Hlk107166575"/>
      <w:r w:rsidR="00F80B37" w:rsidRPr="00F80B37">
        <w:rPr>
          <w:i/>
          <w:iCs/>
          <w:color w:val="000000" w:themeColor="text1"/>
        </w:rPr>
        <w:fldChar w:fldCharType="begin"/>
      </w:r>
      <w:r w:rsidR="00F80B37" w:rsidRPr="00F80B37">
        <w:rPr>
          <w:i/>
          <w:iCs/>
          <w:color w:val="000000" w:themeColor="text1"/>
        </w:rPr>
        <w:instrText xml:space="preserve"> HYPERLINK "https://manas.tiesas.lv/eTiesasMvc/eclinolemumi/ECLI:EU:C:2012:458" </w:instrText>
      </w:r>
      <w:r w:rsidR="00F80B37" w:rsidRPr="00F80B37">
        <w:rPr>
          <w:i/>
          <w:iCs/>
          <w:color w:val="000000" w:themeColor="text1"/>
        </w:rPr>
        <w:fldChar w:fldCharType="separate"/>
      </w:r>
      <w:r w:rsidR="00AF18B0" w:rsidRPr="00F80B37">
        <w:rPr>
          <w:rStyle w:val="Hyperlink"/>
          <w:i/>
          <w:iCs/>
          <w:color w:val="000000" w:themeColor="text1"/>
          <w:u w:val="none"/>
        </w:rPr>
        <w:t>E</w:t>
      </w:r>
      <w:r w:rsidR="00A201DE" w:rsidRPr="00F80B37">
        <w:rPr>
          <w:rStyle w:val="Hyperlink"/>
          <w:i/>
          <w:iCs/>
          <w:color w:val="000000" w:themeColor="text1"/>
          <w:u w:val="none"/>
        </w:rPr>
        <w:t>CLI:</w:t>
      </w:r>
      <w:r w:rsidR="00FD00A6" w:rsidRPr="00F80B37">
        <w:rPr>
          <w:rStyle w:val="Hyperlink"/>
          <w:i/>
          <w:iCs/>
          <w:color w:val="000000" w:themeColor="text1"/>
          <w:u w:val="none"/>
        </w:rPr>
        <w:t>E</w:t>
      </w:r>
      <w:r w:rsidR="00AF18B0" w:rsidRPr="00F80B37">
        <w:rPr>
          <w:rStyle w:val="Hyperlink"/>
          <w:i/>
          <w:iCs/>
          <w:color w:val="000000" w:themeColor="text1"/>
          <w:u w:val="none"/>
        </w:rPr>
        <w:t>U:C:2012:458</w:t>
      </w:r>
      <w:bookmarkEnd w:id="24"/>
      <w:r w:rsidR="00F80B37" w:rsidRPr="00F80B37">
        <w:rPr>
          <w:i/>
          <w:iCs/>
          <w:color w:val="000000" w:themeColor="text1"/>
        </w:rPr>
        <w:fldChar w:fldCharType="end"/>
      </w:r>
      <w:r w:rsidR="00FD00A6" w:rsidRPr="007D4A2B">
        <w:rPr>
          <w:i/>
          <w:iCs/>
        </w:rPr>
        <w:t>,</w:t>
      </w:r>
      <w:r w:rsidR="00AF18B0" w:rsidRPr="007D4A2B">
        <w:rPr>
          <w:i/>
          <w:iCs/>
        </w:rPr>
        <w:t xml:space="preserve"> 62.punkts un tajā minētā judikatūra</w:t>
      </w:r>
      <w:r w:rsidRPr="007D4A2B">
        <w:rPr>
          <w:i/>
          <w:iCs/>
        </w:rPr>
        <w:t>, 71.punkts</w:t>
      </w:r>
      <w:r w:rsidR="00AF18B0" w:rsidRPr="007D4A2B">
        <w:t xml:space="preserve">). </w:t>
      </w:r>
      <w:r w:rsidR="00ED4E21" w:rsidRPr="007D4A2B">
        <w:t>P</w:t>
      </w:r>
      <w:r w:rsidR="00AF18B0" w:rsidRPr="007D4A2B">
        <w:t xml:space="preserve">riekšnodokļa atskaitīšanas tiesību </w:t>
      </w:r>
      <w:proofErr w:type="spellStart"/>
      <w:r w:rsidR="00AF18B0" w:rsidRPr="007D4A2B">
        <w:t>materiāltiesiskās</w:t>
      </w:r>
      <w:proofErr w:type="spellEnd"/>
      <w:r w:rsidR="00AF18B0" w:rsidRPr="007D4A2B">
        <w:t xml:space="preserve"> prasības ir tās, ar kurām ir noteikts pats šo tiesību pamats un darbības joma. Savukārt formālās prasības ir tās, kas attiecas uz uzskaiti, rēķinu sagatavošanu un deklarāciju; ar tām ir regulēta atskaitīšanas tiesību īstenošanas un pārbaudes kārtība, kā arī pievienotās vērtības nodokļa sistēmas sekmīga </w:t>
      </w:r>
      <w:r w:rsidR="00AF18B0" w:rsidRPr="007D4A2B">
        <w:lastRenderedPageBreak/>
        <w:t xml:space="preserve">darbība (piemēram, </w:t>
      </w:r>
      <w:r w:rsidR="00AF18B0" w:rsidRPr="007D4A2B">
        <w:rPr>
          <w:i/>
          <w:iCs/>
        </w:rPr>
        <w:t xml:space="preserve">Eiropas Savienības Tiesas 2014.gada 11.decembra sprieduma lietā </w:t>
      </w:r>
      <w:proofErr w:type="spellStart"/>
      <w:r w:rsidR="00FD00A6" w:rsidRPr="007D4A2B">
        <w:rPr>
          <w:i/>
          <w:iCs/>
        </w:rPr>
        <w:t>Idexx</w:t>
      </w:r>
      <w:proofErr w:type="spellEnd"/>
      <w:r w:rsidR="00FD00A6" w:rsidRPr="007D4A2B">
        <w:rPr>
          <w:i/>
          <w:iCs/>
        </w:rPr>
        <w:t xml:space="preserve"> </w:t>
      </w:r>
      <w:proofErr w:type="spellStart"/>
      <w:r w:rsidR="00FD00A6" w:rsidRPr="007D4A2B">
        <w:rPr>
          <w:i/>
          <w:iCs/>
        </w:rPr>
        <w:t>Laboratories</w:t>
      </w:r>
      <w:proofErr w:type="spellEnd"/>
      <w:r w:rsidR="00FD00A6" w:rsidRPr="007D4A2B">
        <w:rPr>
          <w:i/>
          <w:iCs/>
        </w:rPr>
        <w:t xml:space="preserve"> </w:t>
      </w:r>
      <w:proofErr w:type="spellStart"/>
      <w:r w:rsidR="00FD00A6" w:rsidRPr="007D4A2B">
        <w:rPr>
          <w:i/>
          <w:iCs/>
        </w:rPr>
        <w:t>Italia</w:t>
      </w:r>
      <w:proofErr w:type="spellEnd"/>
      <w:r w:rsidR="00FD00A6" w:rsidRPr="007D4A2B">
        <w:rPr>
          <w:i/>
          <w:iCs/>
        </w:rPr>
        <w:t> </w:t>
      </w:r>
      <w:proofErr w:type="spellStart"/>
      <w:r w:rsidR="00FD00A6" w:rsidRPr="007D4A2B">
        <w:rPr>
          <w:i/>
          <w:iCs/>
        </w:rPr>
        <w:t>Srl</w:t>
      </w:r>
      <w:proofErr w:type="spellEnd"/>
      <w:r w:rsidR="00FD00A6" w:rsidRPr="007D4A2B">
        <w:rPr>
          <w:i/>
          <w:iCs/>
        </w:rPr>
        <w:t xml:space="preserve">, </w:t>
      </w:r>
      <w:r w:rsidR="00AF18B0" w:rsidRPr="007D4A2B">
        <w:rPr>
          <w:i/>
          <w:iCs/>
        </w:rPr>
        <w:t>C-590/13</w:t>
      </w:r>
      <w:r w:rsidR="00FD00A6" w:rsidRPr="00F80B37">
        <w:rPr>
          <w:i/>
          <w:iCs/>
          <w:color w:val="000000" w:themeColor="text1"/>
        </w:rPr>
        <w:t xml:space="preserve">, </w:t>
      </w:r>
      <w:bookmarkStart w:id="25" w:name="_Hlk107166642"/>
      <w:r w:rsidR="00F80B37" w:rsidRPr="00F80B37">
        <w:rPr>
          <w:i/>
          <w:iCs/>
          <w:color w:val="000000" w:themeColor="text1"/>
        </w:rPr>
        <w:fldChar w:fldCharType="begin"/>
      </w:r>
      <w:r w:rsidR="00F80B37" w:rsidRPr="00F80B37">
        <w:rPr>
          <w:i/>
          <w:iCs/>
          <w:color w:val="000000" w:themeColor="text1"/>
        </w:rPr>
        <w:instrText xml:space="preserve"> HYPERLINK "https://manas.tiesas.lv/eTiesasMvc/eclinolemumi/ECLI:EU:C:2014:2429" </w:instrText>
      </w:r>
      <w:r w:rsidR="00F80B37" w:rsidRPr="00F80B37">
        <w:rPr>
          <w:i/>
          <w:iCs/>
          <w:color w:val="000000" w:themeColor="text1"/>
        </w:rPr>
        <w:fldChar w:fldCharType="separate"/>
      </w:r>
      <w:r w:rsidR="00AF18B0" w:rsidRPr="00F80B37">
        <w:rPr>
          <w:rStyle w:val="Hyperlink"/>
          <w:i/>
          <w:iCs/>
          <w:color w:val="000000" w:themeColor="text1"/>
          <w:u w:val="none"/>
        </w:rPr>
        <w:t>E</w:t>
      </w:r>
      <w:r w:rsidR="00FD00A6" w:rsidRPr="00F80B37">
        <w:rPr>
          <w:rStyle w:val="Hyperlink"/>
          <w:i/>
          <w:iCs/>
          <w:color w:val="000000" w:themeColor="text1"/>
          <w:u w:val="none"/>
        </w:rPr>
        <w:t>CLI:E</w:t>
      </w:r>
      <w:r w:rsidR="00AF18B0" w:rsidRPr="00F80B37">
        <w:rPr>
          <w:rStyle w:val="Hyperlink"/>
          <w:i/>
          <w:iCs/>
          <w:color w:val="000000" w:themeColor="text1"/>
          <w:u w:val="none"/>
        </w:rPr>
        <w:t>U:C:2014:2429</w:t>
      </w:r>
      <w:bookmarkEnd w:id="25"/>
      <w:r w:rsidR="00F80B37" w:rsidRPr="00F80B37">
        <w:rPr>
          <w:i/>
          <w:iCs/>
          <w:color w:val="000000" w:themeColor="text1"/>
        </w:rPr>
        <w:fldChar w:fldCharType="end"/>
      </w:r>
      <w:r w:rsidR="00FD00A6" w:rsidRPr="007D4A2B">
        <w:rPr>
          <w:i/>
          <w:iCs/>
        </w:rPr>
        <w:t>,</w:t>
      </w:r>
      <w:r w:rsidR="00AF18B0" w:rsidRPr="007D4A2B">
        <w:rPr>
          <w:i/>
          <w:iCs/>
        </w:rPr>
        <w:t xml:space="preserve"> 41. un 42.punkts</w:t>
      </w:r>
      <w:r w:rsidR="00AF18B0" w:rsidRPr="007D4A2B">
        <w:t>).</w:t>
      </w:r>
    </w:p>
    <w:p w14:paraId="33987136" w14:textId="1076EAF0" w:rsidR="005746D8" w:rsidRPr="007D4A2B" w:rsidRDefault="00ED4E21" w:rsidP="00794753">
      <w:pPr>
        <w:spacing w:line="276" w:lineRule="auto"/>
        <w:ind w:firstLine="567"/>
        <w:contextualSpacing/>
        <w:jc w:val="both"/>
      </w:pPr>
      <w:r w:rsidRPr="007D4A2B">
        <w:t xml:space="preserve">Tātad </w:t>
      </w:r>
      <w:r w:rsidR="00AF18B0" w:rsidRPr="007D4A2B">
        <w:t>trūkumi darījum</w:t>
      </w:r>
      <w:r w:rsidRPr="007D4A2B">
        <w:t>a</w:t>
      </w:r>
      <w:r w:rsidR="00AF18B0" w:rsidRPr="007D4A2B">
        <w:t xml:space="preserve"> dokumentos jeb formālo prasību neievērošana var būt pamats priekšnodokļa atskaitīšanas tiesību ierobežošanai, ja tie objektīvi rada šķērsli noskaidrot, vai ir ievērotas priekšnodokļa atskaitīšanas </w:t>
      </w:r>
      <w:proofErr w:type="spellStart"/>
      <w:r w:rsidR="00AF18B0" w:rsidRPr="007D4A2B">
        <w:t>materiāltiesiskās</w:t>
      </w:r>
      <w:proofErr w:type="spellEnd"/>
      <w:r w:rsidR="00AF18B0" w:rsidRPr="007D4A2B">
        <w:t xml:space="preserve"> prasības, tostarp, vai </w:t>
      </w:r>
      <w:r w:rsidR="00AB38E4" w:rsidRPr="007D4A2B">
        <w:t>darījum</w:t>
      </w:r>
      <w:r w:rsidRPr="007D4A2B">
        <w:t>s</w:t>
      </w:r>
      <w:r w:rsidR="00AB38E4" w:rsidRPr="007D4A2B">
        <w:t xml:space="preserve"> ir faktiski noticis</w:t>
      </w:r>
      <w:r w:rsidRPr="007D4A2B">
        <w:t>.</w:t>
      </w:r>
    </w:p>
    <w:p w14:paraId="6062CF83" w14:textId="787EAE59" w:rsidR="005746D8" w:rsidRPr="00F80B37" w:rsidRDefault="00AF18B0" w:rsidP="00794753">
      <w:pPr>
        <w:spacing w:line="276" w:lineRule="auto"/>
        <w:ind w:firstLine="567"/>
        <w:contextualSpacing/>
        <w:jc w:val="both"/>
        <w:rPr>
          <w:i/>
          <w:iCs/>
        </w:rPr>
      </w:pPr>
      <w:r w:rsidRPr="007D4A2B">
        <w:t>Tas, vai nepilnības darījum</w:t>
      </w:r>
      <w:r w:rsidR="00ED4E21" w:rsidRPr="007D4A2B">
        <w:t>a</w:t>
      </w:r>
      <w:r w:rsidRPr="007D4A2B">
        <w:t xml:space="preserve"> dokumentos liecina, ka darījums nav noticis, vai arī šīm nepilnībām ir vienīgi formāls raksturs, lielā mērā atkarīgs arī no citu pierādījumu novērtējuma. </w:t>
      </w:r>
      <w:r w:rsidR="005746D8" w:rsidRPr="007D4A2B">
        <w:t>Kā Senāts atzinis jau iepriekš, t</w:t>
      </w:r>
      <w:r w:rsidRPr="007D4A2B">
        <w:t>rūkumu esība darījum</w:t>
      </w:r>
      <w:r w:rsidR="00ED4E21" w:rsidRPr="007D4A2B">
        <w:t>a</w:t>
      </w:r>
      <w:r w:rsidRPr="007D4A2B">
        <w:t xml:space="preserve"> dokumentos pati par sevi ir nepietiekama kategoriska secinājuma izdarīšanai par darījuma faktisko neesību vispār vai ar deklarēto darījumu partneri un par priekšnodokļa tiesību izmantotāja informētību par iesaistīšanos ļaunprātīgajos darījumos. Darījum</w:t>
      </w:r>
      <w:r w:rsidR="00ED4E21" w:rsidRPr="007D4A2B">
        <w:t>a</w:t>
      </w:r>
      <w:r w:rsidRPr="007D4A2B">
        <w:t xml:space="preserve"> dokumentu nepilnības un trūkumi, tāpat kā ikviens lietā noskaidrots apstāklis un iegūts pierādījums, atbilstoši Administratīvā procesa likuma </w:t>
      </w:r>
      <w:proofErr w:type="gramStart"/>
      <w:r w:rsidRPr="007D4A2B">
        <w:t>154.panta</w:t>
      </w:r>
      <w:proofErr w:type="gramEnd"/>
      <w:r w:rsidRPr="007D4A2B">
        <w:t xml:space="preserve"> prasībām ir novērtējams kopsakarā ar pārējiem apstākļiem un pierādījumiem. Turklāt, pārbaudot priekšnodokļa atskaitīšanas tiesību </w:t>
      </w:r>
      <w:proofErr w:type="spellStart"/>
      <w:r w:rsidRPr="007D4A2B">
        <w:t>materiāltiesisko</w:t>
      </w:r>
      <w:proofErr w:type="spellEnd"/>
      <w:r w:rsidRPr="007D4A2B">
        <w:t xml:space="preserve"> prasību ievērošanu, jāskata visu darījum</w:t>
      </w:r>
      <w:r w:rsidR="00ED4E21" w:rsidRPr="007D4A2B">
        <w:t>a</w:t>
      </w:r>
      <w:r w:rsidRPr="007D4A2B">
        <w:t xml:space="preserve"> dokumentu kopums, proti, līgumi, rēķini, pieņemšanas un nodošanas akti</w:t>
      </w:r>
      <w:r w:rsidR="00D23D3D" w:rsidRPr="007D4A2B">
        <w:t xml:space="preserve"> </w:t>
      </w:r>
      <w:r w:rsidRPr="007D4A2B">
        <w:t>u.</w:t>
      </w:r>
      <w:r w:rsidR="005746D8" w:rsidRPr="007D4A2B">
        <w:t> </w:t>
      </w:r>
      <w:r w:rsidRPr="007D4A2B">
        <w:t>tml., neaprobežojoties vienīgi ar trūkuma konstatēšanu vienā darījum</w:t>
      </w:r>
      <w:r w:rsidR="00ED4E21" w:rsidRPr="007D4A2B">
        <w:t>a</w:t>
      </w:r>
      <w:r w:rsidRPr="007D4A2B">
        <w:t xml:space="preserve"> dokumentā. Tikai visu darījum</w:t>
      </w:r>
      <w:r w:rsidR="00ED4E21" w:rsidRPr="007D4A2B">
        <w:t>a</w:t>
      </w:r>
      <w:r w:rsidRPr="007D4A2B">
        <w:t xml:space="preserve"> dokumentu novērtējums to savstarpējā kopsakarā pilnvērtīgi var atklāt darījuma būtību un ar darījuma norisi saistītos jautājumus</w:t>
      </w:r>
      <w:r w:rsidR="005746D8" w:rsidRPr="007D4A2B">
        <w:t xml:space="preserve"> (</w:t>
      </w:r>
      <w:r w:rsidR="005746D8" w:rsidRPr="007D4A2B">
        <w:rPr>
          <w:i/>
          <w:iCs/>
        </w:rPr>
        <w:t xml:space="preserve">Senāta </w:t>
      </w:r>
      <w:proofErr w:type="gramStart"/>
      <w:r w:rsidR="005746D8" w:rsidRPr="007D4A2B">
        <w:rPr>
          <w:i/>
          <w:iCs/>
        </w:rPr>
        <w:t>2021.gada</w:t>
      </w:r>
      <w:proofErr w:type="gramEnd"/>
      <w:r w:rsidR="005746D8" w:rsidRPr="007D4A2B">
        <w:rPr>
          <w:i/>
          <w:iCs/>
        </w:rPr>
        <w:t xml:space="preserve"> 27.janvāra sprieduma lietā Nr. SKA-60/2021 (</w:t>
      </w:r>
      <w:hyperlink r:id="rId10" w:history="1">
        <w:r w:rsidR="00F80B37" w:rsidRPr="00F80B37">
          <w:rPr>
            <w:rStyle w:val="Hyperlink"/>
            <w:i/>
            <w:iCs/>
            <w:color w:val="000000" w:themeColor="text1"/>
            <w:u w:val="none"/>
          </w:rPr>
          <w:t>ECLI:LV:AT:2021:0127.A420153217.10.S</w:t>
        </w:r>
      </w:hyperlink>
      <w:r w:rsidR="005746D8" w:rsidRPr="00F80B37">
        <w:rPr>
          <w:i/>
          <w:iCs/>
          <w:color w:val="000000" w:themeColor="text1"/>
        </w:rPr>
        <w:t>)</w:t>
      </w:r>
      <w:r w:rsidR="005746D8" w:rsidRPr="007D4A2B">
        <w:rPr>
          <w:i/>
          <w:iCs/>
        </w:rPr>
        <w:t xml:space="preserve"> 10.punkts</w:t>
      </w:r>
      <w:r w:rsidR="005746D8" w:rsidRPr="007D4A2B">
        <w:t>).</w:t>
      </w:r>
    </w:p>
    <w:p w14:paraId="51B21CD8" w14:textId="77777777" w:rsidR="00FF20B2" w:rsidRPr="007D4A2B" w:rsidRDefault="00FF20B2" w:rsidP="00794753">
      <w:pPr>
        <w:spacing w:line="276" w:lineRule="auto"/>
        <w:ind w:firstLine="567"/>
        <w:contextualSpacing/>
        <w:jc w:val="both"/>
      </w:pPr>
    </w:p>
    <w:p w14:paraId="5BE67859" w14:textId="356F2499" w:rsidR="00DA41DC" w:rsidRPr="007D4A2B" w:rsidRDefault="00FF20B2" w:rsidP="00794753">
      <w:pPr>
        <w:spacing w:line="276" w:lineRule="auto"/>
        <w:ind w:firstLine="567"/>
        <w:contextualSpacing/>
        <w:jc w:val="both"/>
        <w:rPr>
          <w:bCs/>
        </w:rPr>
      </w:pPr>
      <w:r w:rsidRPr="007D4A2B">
        <w:t>[</w:t>
      </w:r>
      <w:r w:rsidR="00DB1C54" w:rsidRPr="007D4A2B">
        <w:t>10</w:t>
      </w:r>
      <w:r w:rsidRPr="007D4A2B">
        <w:t>] </w:t>
      </w:r>
      <w:r w:rsidR="005746D8" w:rsidRPr="007D4A2B">
        <w:t>Pieteicēja norāda, ka lietā ir virkne ar strīdus darījumu saistīto dokumentu. Pārbaudot lietas materiālus, Senāts gūst apstiprinājumu šādai norādei. Arī ieskatoties pārsūdzētajā dienesta lēmumā, Senāts konstatē, ka tajā ir norādīta un analizēta virkne ar strīdus darījumu</w:t>
      </w:r>
      <w:r w:rsidRPr="007D4A2B">
        <w:t xml:space="preserve"> </w:t>
      </w:r>
      <w:r w:rsidR="005746D8" w:rsidRPr="007D4A2B">
        <w:t>saistīt</w:t>
      </w:r>
      <w:r w:rsidRPr="007D4A2B">
        <w:t>u</w:t>
      </w:r>
      <w:r w:rsidR="005746D8" w:rsidRPr="007D4A2B">
        <w:t xml:space="preserve"> dokumentu. </w:t>
      </w:r>
      <w:r w:rsidR="002A425E" w:rsidRPr="007D4A2B">
        <w:t xml:space="preserve">No pārsūdzētajā lēmumā norādītajiem un lietā esošajiem dokumentiem izriet, </w:t>
      </w:r>
      <w:r w:rsidR="002A425E" w:rsidRPr="007D4A2B">
        <w:lastRenderedPageBreak/>
        <w:t>ka nekustamā īpašuma iegādes darījumā bija iesaistīt</w:t>
      </w:r>
      <w:r w:rsidRPr="007D4A2B">
        <w:t xml:space="preserve">i vairāki </w:t>
      </w:r>
      <w:r w:rsidR="002A425E" w:rsidRPr="007D4A2B">
        <w:t>uzņēmum</w:t>
      </w:r>
      <w:r w:rsidRPr="007D4A2B">
        <w:t>i</w:t>
      </w:r>
      <w:r w:rsidR="002A425E" w:rsidRPr="007D4A2B">
        <w:t xml:space="preserve">, kuru starpā tika noslēgta virkne dažādu dokumentu. </w:t>
      </w:r>
      <w:r w:rsidR="00DA41DC" w:rsidRPr="007D4A2B">
        <w:t>Arī pirmās instances tiesas spriedumā ir norādīta virkne apstākļu un pierādījumu, kas attiecas uz strīdus darījumu. Savukārt apgabaltiesa</w:t>
      </w:r>
      <w:r w:rsidR="0052491C" w:rsidRPr="007D4A2B">
        <w:t>s</w:t>
      </w:r>
      <w:r w:rsidR="00DA41DC" w:rsidRPr="007D4A2B">
        <w:t xml:space="preserve"> spriedumā norādī</w:t>
      </w:r>
      <w:r w:rsidR="0052491C" w:rsidRPr="007D4A2B">
        <w:t>ts</w:t>
      </w:r>
      <w:r w:rsidR="00DA41DC" w:rsidRPr="007D4A2B">
        <w:t xml:space="preserve">, ka, </w:t>
      </w:r>
      <w:r w:rsidR="005C7331" w:rsidRPr="007D4A2B">
        <w:t>lai arī</w:t>
      </w:r>
      <w:r w:rsidR="00DA41DC" w:rsidRPr="007D4A2B">
        <w:t xml:space="preserve"> pirmās instances tiesa ir nonākusi pie pareiziem secinājumiem, apgabaltiesa nevar pilnībā piekrist pirmās instances tiesas spriedumā ietvertajai motivācijai, tādēļ sniedz savus apsvērumus par pārsūdzētā lēmuma tiesiskumu. Taču apgabaltiesas spriedum</w:t>
      </w:r>
      <w:r w:rsidR="0052491C" w:rsidRPr="007D4A2B">
        <w:t xml:space="preserve">ā </w:t>
      </w:r>
      <w:r w:rsidR="00DA41DC" w:rsidRPr="007D4A2B">
        <w:t xml:space="preserve">nav pieminēts neviens </w:t>
      </w:r>
      <w:r w:rsidR="0052491C" w:rsidRPr="007D4A2B">
        <w:t>no pārsūdzētajā dienesta lēmumā un pirmās instances tiesas spriedumā norādītajiem apstākļiem un pierādījumiem</w:t>
      </w:r>
      <w:r w:rsidR="00C25115" w:rsidRPr="007D4A2B">
        <w:t xml:space="preserve"> </w:t>
      </w:r>
      <w:proofErr w:type="gramStart"/>
      <w:r w:rsidR="00C25115" w:rsidRPr="007D4A2B">
        <w:t>(</w:t>
      </w:r>
      <w:proofErr w:type="gramEnd"/>
      <w:r w:rsidR="0052491C" w:rsidRPr="007D4A2B">
        <w:t xml:space="preserve">izņemot </w:t>
      </w:r>
      <w:r w:rsidR="0052491C" w:rsidRPr="007D4A2B">
        <w:rPr>
          <w:bCs/>
        </w:rPr>
        <w:t>SIA „VESTABALT” rakstveida apliecinājumu par saistību izpildi</w:t>
      </w:r>
      <w:r w:rsidR="005C7331" w:rsidRPr="007D4A2B">
        <w:rPr>
          <w:bCs/>
        </w:rPr>
        <w:t>, kam apgabaltiesa nav piešķīrusi ticamību,</w:t>
      </w:r>
      <w:r w:rsidR="0052491C" w:rsidRPr="007D4A2B">
        <w:rPr>
          <w:bCs/>
        </w:rPr>
        <w:t xml:space="preserve"> un šā uzņēmuma divas elektroniskās vēstules</w:t>
      </w:r>
      <w:r w:rsidR="005C7331" w:rsidRPr="007D4A2B">
        <w:rPr>
          <w:bCs/>
        </w:rPr>
        <w:t>, kuras apgabaltiesas ieskatā neapstiprina SIA „VESTABALT” iesaisti tieši strīdus nekustamā īpašuma iegādē</w:t>
      </w:r>
      <w:r w:rsidR="00C25115" w:rsidRPr="007D4A2B">
        <w:rPr>
          <w:bCs/>
        </w:rPr>
        <w:t>)</w:t>
      </w:r>
      <w:r w:rsidR="0052491C" w:rsidRPr="007D4A2B">
        <w:rPr>
          <w:bCs/>
        </w:rPr>
        <w:t>.</w:t>
      </w:r>
    </w:p>
    <w:p w14:paraId="293F6BD8" w14:textId="4AB72311" w:rsidR="003065C6" w:rsidRPr="007D4A2B" w:rsidRDefault="00210BDC" w:rsidP="00794753">
      <w:pPr>
        <w:spacing w:line="276" w:lineRule="auto"/>
        <w:ind w:firstLine="567"/>
        <w:contextualSpacing/>
        <w:jc w:val="both"/>
        <w:rPr>
          <w:bCs/>
        </w:rPr>
      </w:pPr>
      <w:r w:rsidRPr="007D4A2B">
        <w:t xml:space="preserve">Apgabaltiesas spriedumā </w:t>
      </w:r>
      <w:r w:rsidR="0052491C" w:rsidRPr="007D4A2B">
        <w:rPr>
          <w:bCs/>
        </w:rPr>
        <w:t>norādīts, ka</w:t>
      </w:r>
      <w:r w:rsidR="002C330E" w:rsidRPr="007D4A2B">
        <w:rPr>
          <w:bCs/>
        </w:rPr>
        <w:t>, pamatojoties uz procesuālās ekonomijas principu, apgabaltiesa nevērtēs apstākļus, pierādījumus un procesa dalībnieku argumentus, kam nav būtiskas nozīmes šīs lietas izspriešanā</w:t>
      </w:r>
      <w:r w:rsidR="006A2CEF" w:rsidRPr="007D4A2B">
        <w:rPr>
          <w:bCs/>
        </w:rPr>
        <w:t>. T</w:t>
      </w:r>
      <w:r w:rsidR="002C330E" w:rsidRPr="007D4A2B">
        <w:rPr>
          <w:bCs/>
        </w:rPr>
        <w:t xml:space="preserve">aču no apgabaltiesas sprieduma nav saprotams, kādus apstākļus, pierādījumus un argumentus apgabaltiesa uzskata par nebūtiskiem un tādiem, kas nevar ietekmēt lietas izspriešanu, un jo īpaši – kāpēc. </w:t>
      </w:r>
      <w:r w:rsidR="006A2CEF" w:rsidRPr="007D4A2B">
        <w:rPr>
          <w:bCs/>
        </w:rPr>
        <w:t xml:space="preserve">Šeit jāņem vērā, ka pieteicēja neapšauba trūkumu esību darījuma dokumentos un to, ka darījuma dokumenti pilnībā neatbilst darījuma norises apstākļiem. Pieteicēja apstrīdēšanas iesniegumā ir sniegusi izvērstus paskaidrojumus, saistītus gan ar nepilnībām darījuma dokumentos, gan ar darījuma norises apstākļiem. </w:t>
      </w:r>
      <w:r w:rsidR="00C25115" w:rsidRPr="007D4A2B">
        <w:rPr>
          <w:bCs/>
        </w:rPr>
        <w:t xml:space="preserve">Piemēram, pieteicēja konsekventi ir skaidrojusi, ka starpniecības līgums un ar to saistītie dokumenti tika noformēti pēc tam, kad nekustamā īpašuma pirkuma darījums tika noslēgts, tāpēc nebija vajadzības noformēt visus starpniecības līgumā paredzētos dokumentus, ietverot tajos līgumā paredzēto informāciju. Šajā sakarā pieteicēja arī atsaukusies uz pierādījumiem, kas to pamato. </w:t>
      </w:r>
      <w:r w:rsidR="003065C6" w:rsidRPr="007D4A2B">
        <w:rPr>
          <w:bCs/>
        </w:rPr>
        <w:t>Taču n</w:t>
      </w:r>
      <w:r w:rsidR="00B00567" w:rsidRPr="007D4A2B">
        <w:rPr>
          <w:bCs/>
        </w:rPr>
        <w:t>eviens no pieteicējas šajā sakarā norādītajiem apsvērumiem tiesas spriedumā nav</w:t>
      </w:r>
      <w:r w:rsidR="003065C6" w:rsidRPr="007D4A2B">
        <w:rPr>
          <w:bCs/>
        </w:rPr>
        <w:t xml:space="preserve"> pieminēts</w:t>
      </w:r>
      <w:r w:rsidR="00B00567" w:rsidRPr="007D4A2B">
        <w:rPr>
          <w:bCs/>
        </w:rPr>
        <w:t xml:space="preserve"> un attiecīgi nav analizēts. </w:t>
      </w:r>
      <w:r w:rsidR="000816F7" w:rsidRPr="007D4A2B">
        <w:rPr>
          <w:bCs/>
        </w:rPr>
        <w:t xml:space="preserve">Arī </w:t>
      </w:r>
      <w:r w:rsidR="00B00567" w:rsidRPr="007D4A2B">
        <w:rPr>
          <w:bCs/>
        </w:rPr>
        <w:t>no spriedumā norādītās vispārīgās frāzes</w:t>
      </w:r>
      <w:r w:rsidR="003406B6" w:rsidRPr="007D4A2B">
        <w:rPr>
          <w:bCs/>
        </w:rPr>
        <w:t xml:space="preserve">, ka </w:t>
      </w:r>
      <w:r w:rsidR="006A2CEF" w:rsidRPr="007D4A2B">
        <w:rPr>
          <w:bCs/>
        </w:rPr>
        <w:t xml:space="preserve">tiesa </w:t>
      </w:r>
      <w:r w:rsidR="00B00567" w:rsidRPr="007D4A2B">
        <w:rPr>
          <w:bCs/>
        </w:rPr>
        <w:t>dienesta secinājum</w:t>
      </w:r>
      <w:r w:rsidR="006A2CEF" w:rsidRPr="007D4A2B">
        <w:rPr>
          <w:bCs/>
        </w:rPr>
        <w:t>us atzīst par</w:t>
      </w:r>
      <w:r w:rsidR="003406B6" w:rsidRPr="007D4A2B">
        <w:rPr>
          <w:bCs/>
        </w:rPr>
        <w:t xml:space="preserve"> pareizi</w:t>
      </w:r>
      <w:r w:rsidR="006A2CEF" w:rsidRPr="007D4A2B">
        <w:rPr>
          <w:bCs/>
        </w:rPr>
        <w:t>em un tos neatkārto</w:t>
      </w:r>
      <w:r w:rsidR="003406B6" w:rsidRPr="007D4A2B">
        <w:rPr>
          <w:bCs/>
        </w:rPr>
        <w:t>,</w:t>
      </w:r>
      <w:r w:rsidR="00B00567" w:rsidRPr="007D4A2B">
        <w:rPr>
          <w:bCs/>
        </w:rPr>
        <w:t xml:space="preserve"> nav iespējams noskaidrot, vai tiesa</w:t>
      </w:r>
      <w:r w:rsidR="000816F7" w:rsidRPr="007D4A2B">
        <w:rPr>
          <w:bCs/>
        </w:rPr>
        <w:t xml:space="preserve"> vispār ir piešķīrusi nozīmi </w:t>
      </w:r>
      <w:r w:rsidR="00FF20B2" w:rsidRPr="007D4A2B">
        <w:rPr>
          <w:bCs/>
        </w:rPr>
        <w:t xml:space="preserve">un ticamību </w:t>
      </w:r>
      <w:r w:rsidR="000816F7" w:rsidRPr="007D4A2B">
        <w:rPr>
          <w:bCs/>
        </w:rPr>
        <w:t xml:space="preserve">pieteicējas </w:t>
      </w:r>
      <w:r w:rsidR="003406B6" w:rsidRPr="007D4A2B">
        <w:rPr>
          <w:bCs/>
        </w:rPr>
        <w:t>skaidrotajiem iemesliem</w:t>
      </w:r>
      <w:r w:rsidR="003065C6" w:rsidRPr="007D4A2B">
        <w:rPr>
          <w:bCs/>
        </w:rPr>
        <w:t xml:space="preserve">, kāpēc ir radušies konkrētie </w:t>
      </w:r>
      <w:r w:rsidR="000816F7" w:rsidRPr="007D4A2B">
        <w:rPr>
          <w:bCs/>
        </w:rPr>
        <w:t>trūkumi darījuma noformēšanā</w:t>
      </w:r>
      <w:r w:rsidR="003065C6" w:rsidRPr="007D4A2B">
        <w:rPr>
          <w:bCs/>
        </w:rPr>
        <w:t xml:space="preserve">. </w:t>
      </w:r>
      <w:r w:rsidR="00C25115" w:rsidRPr="007D4A2B">
        <w:rPr>
          <w:bCs/>
        </w:rPr>
        <w:t>No tiesas sprieduma arī nav</w:t>
      </w:r>
      <w:r w:rsidR="003065C6" w:rsidRPr="007D4A2B">
        <w:rPr>
          <w:bCs/>
        </w:rPr>
        <w:t xml:space="preserve"> saprotams, </w:t>
      </w:r>
      <w:r w:rsidR="00C25115" w:rsidRPr="007D4A2B">
        <w:rPr>
          <w:bCs/>
        </w:rPr>
        <w:t xml:space="preserve">vai </w:t>
      </w:r>
      <w:r w:rsidR="006A2CEF" w:rsidRPr="007D4A2B">
        <w:rPr>
          <w:bCs/>
        </w:rPr>
        <w:t>tiek atzīta par objektīvi iespējamu tāda darījuma norise, kādu to ir raksturojusi pieteicēja</w:t>
      </w:r>
      <w:r w:rsidR="000816F7" w:rsidRPr="007D4A2B">
        <w:rPr>
          <w:bCs/>
        </w:rPr>
        <w:t xml:space="preserve">. </w:t>
      </w:r>
      <w:r w:rsidR="00C25115" w:rsidRPr="007D4A2B">
        <w:rPr>
          <w:bCs/>
        </w:rPr>
        <w:t>Apgabaltiesa tikai vispārīgi norādījusi, ka lietā esošie pierādījumi neapliecina, ka darījuma noris</w:t>
      </w:r>
      <w:r w:rsidR="00974721" w:rsidRPr="007D4A2B">
        <w:rPr>
          <w:bCs/>
        </w:rPr>
        <w:t xml:space="preserve">e </w:t>
      </w:r>
      <w:r w:rsidR="00C25115" w:rsidRPr="007D4A2B">
        <w:rPr>
          <w:bCs/>
        </w:rPr>
        <w:t>bij</w:t>
      </w:r>
      <w:r w:rsidR="00974721" w:rsidRPr="007D4A2B">
        <w:rPr>
          <w:bCs/>
        </w:rPr>
        <w:t>a</w:t>
      </w:r>
      <w:r w:rsidR="00C25115" w:rsidRPr="007D4A2B">
        <w:rPr>
          <w:bCs/>
        </w:rPr>
        <w:t xml:space="preserve"> tāda, kādu to raksturojusi pieteicēja. </w:t>
      </w:r>
      <w:r w:rsidR="00677419" w:rsidRPr="007D4A2B">
        <w:rPr>
          <w:bCs/>
        </w:rPr>
        <w:t xml:space="preserve">Taču </w:t>
      </w:r>
      <w:r w:rsidR="00C25115" w:rsidRPr="007D4A2B">
        <w:rPr>
          <w:bCs/>
        </w:rPr>
        <w:t>spriedumā n</w:t>
      </w:r>
      <w:r w:rsidR="006A2CEF" w:rsidRPr="007D4A2B">
        <w:rPr>
          <w:bCs/>
        </w:rPr>
        <w:t xml:space="preserve">av </w:t>
      </w:r>
      <w:r w:rsidR="00C25115" w:rsidRPr="007D4A2B">
        <w:rPr>
          <w:bCs/>
        </w:rPr>
        <w:t xml:space="preserve">atrodams šāda </w:t>
      </w:r>
      <w:r w:rsidR="00677419" w:rsidRPr="007D4A2B">
        <w:rPr>
          <w:bCs/>
        </w:rPr>
        <w:t>s</w:t>
      </w:r>
      <w:r w:rsidR="00C25115" w:rsidRPr="007D4A2B">
        <w:rPr>
          <w:bCs/>
        </w:rPr>
        <w:t>e</w:t>
      </w:r>
      <w:r w:rsidR="00677419" w:rsidRPr="007D4A2B">
        <w:rPr>
          <w:bCs/>
        </w:rPr>
        <w:t>c</w:t>
      </w:r>
      <w:r w:rsidR="00C25115" w:rsidRPr="007D4A2B">
        <w:rPr>
          <w:bCs/>
        </w:rPr>
        <w:t xml:space="preserve">inājuma pamatojums. </w:t>
      </w:r>
      <w:r w:rsidR="003065C6" w:rsidRPr="007D4A2B">
        <w:rPr>
          <w:bCs/>
        </w:rPr>
        <w:t xml:space="preserve">Tāpat nav atrodama pieteicējas paskaidrojumu analīze un vērtēšana kopsakarā ar pārējiem </w:t>
      </w:r>
      <w:r w:rsidR="00D23D3D" w:rsidRPr="007D4A2B">
        <w:rPr>
          <w:bCs/>
        </w:rPr>
        <w:t>p</w:t>
      </w:r>
      <w:r w:rsidR="003065C6" w:rsidRPr="007D4A2B">
        <w:rPr>
          <w:bCs/>
        </w:rPr>
        <w:t>ierādījumiem</w:t>
      </w:r>
      <w:r w:rsidR="00663B2E" w:rsidRPr="007D4A2B">
        <w:rPr>
          <w:bCs/>
        </w:rPr>
        <w:t xml:space="preserve">, </w:t>
      </w:r>
      <w:proofErr w:type="spellStart"/>
      <w:r w:rsidR="00663B2E" w:rsidRPr="007D4A2B">
        <w:rPr>
          <w:bCs/>
        </w:rPr>
        <w:t>citstarp</w:t>
      </w:r>
      <w:proofErr w:type="spellEnd"/>
      <w:r w:rsidR="00663B2E" w:rsidRPr="007D4A2B">
        <w:rPr>
          <w:bCs/>
        </w:rPr>
        <w:t xml:space="preserve"> ar kasācijas sūdzībā </w:t>
      </w:r>
      <w:r w:rsidR="009355C5" w:rsidRPr="007D4A2B">
        <w:rPr>
          <w:bCs/>
        </w:rPr>
        <w:t xml:space="preserve">pieminēto </w:t>
      </w:r>
      <w:r w:rsidR="00DE631B" w:rsidRPr="007D4A2B">
        <w:rPr>
          <w:bCs/>
        </w:rPr>
        <w:t xml:space="preserve">SIA „TER </w:t>
      </w:r>
      <w:proofErr w:type="spellStart"/>
      <w:r w:rsidR="00DE631B" w:rsidRPr="007D4A2B">
        <w:rPr>
          <w:bCs/>
        </w:rPr>
        <w:t>Properties</w:t>
      </w:r>
      <w:proofErr w:type="spellEnd"/>
      <w:r w:rsidR="00DE631B" w:rsidRPr="007D4A2B">
        <w:rPr>
          <w:bCs/>
        </w:rPr>
        <w:t xml:space="preserve">” 2015.gada 23.septembra apstiprinājuma vēstuli un </w:t>
      </w:r>
      <w:r w:rsidR="009355C5" w:rsidRPr="007D4A2B">
        <w:rPr>
          <w:bCs/>
        </w:rPr>
        <w:t>2015.gada 4.decembra</w:t>
      </w:r>
      <w:r w:rsidR="00663B2E" w:rsidRPr="007D4A2B">
        <w:rPr>
          <w:bCs/>
        </w:rPr>
        <w:t xml:space="preserve"> nekustamā īpašuma pirkuma līgum</w:t>
      </w:r>
      <w:r w:rsidR="009355C5" w:rsidRPr="007D4A2B">
        <w:rPr>
          <w:bCs/>
        </w:rPr>
        <w:t>u</w:t>
      </w:r>
      <w:r w:rsidR="00663B2E" w:rsidRPr="007D4A2B">
        <w:rPr>
          <w:bCs/>
        </w:rPr>
        <w:t xml:space="preserve">, lai tādējādi </w:t>
      </w:r>
      <w:r w:rsidR="009355C5" w:rsidRPr="007D4A2B">
        <w:rPr>
          <w:bCs/>
        </w:rPr>
        <w:t>noskaidrotu</w:t>
      </w:r>
      <w:r w:rsidR="00663B2E" w:rsidRPr="007D4A2B">
        <w:rPr>
          <w:bCs/>
        </w:rPr>
        <w:t>, vai pieteicējas paskaidrojumus apstiprina lietā esošie pierādījumi.</w:t>
      </w:r>
    </w:p>
    <w:p w14:paraId="0D10F87F" w14:textId="5F19E931" w:rsidR="00677419" w:rsidRPr="007D4A2B" w:rsidRDefault="00677419" w:rsidP="00794753">
      <w:pPr>
        <w:spacing w:line="276" w:lineRule="auto"/>
        <w:ind w:firstLine="567"/>
        <w:contextualSpacing/>
        <w:jc w:val="both"/>
        <w:rPr>
          <w:bCs/>
        </w:rPr>
      </w:pPr>
    </w:p>
    <w:p w14:paraId="0013DA77" w14:textId="619402D3" w:rsidR="00677419" w:rsidRPr="007D4A2B" w:rsidRDefault="00677419" w:rsidP="00794753">
      <w:pPr>
        <w:spacing w:line="276" w:lineRule="auto"/>
        <w:ind w:firstLine="567"/>
        <w:contextualSpacing/>
        <w:jc w:val="both"/>
        <w:rPr>
          <w:bCs/>
        </w:rPr>
      </w:pPr>
      <w:r w:rsidRPr="007D4A2B">
        <w:rPr>
          <w:bCs/>
        </w:rPr>
        <w:t>[</w:t>
      </w:r>
      <w:r w:rsidR="00DB1C54" w:rsidRPr="007D4A2B">
        <w:rPr>
          <w:bCs/>
        </w:rPr>
        <w:t>11</w:t>
      </w:r>
      <w:r w:rsidRPr="007D4A2B">
        <w:rPr>
          <w:bCs/>
        </w:rPr>
        <w:t>] Ievērojot minēto, Senāts atzīst, ka apgabaltiesa,</w:t>
      </w:r>
      <w:r w:rsidRPr="007D4A2B">
        <w:t xml:space="preserve"> pamatojoties uz trūkumiem nekustamā īpašuma apskates protokolā un nevērtējot šo dokumentu un trūkumus kopsakarā ar pārējiem darījuma dokumentiem un pierādījumiem, </w:t>
      </w:r>
      <w:r w:rsidRPr="007D4A2B">
        <w:rPr>
          <w:bCs/>
        </w:rPr>
        <w:t xml:space="preserve">ir rīkojusies neatbilstoši Administratīvā procesa likuma </w:t>
      </w:r>
      <w:proofErr w:type="gramStart"/>
      <w:r w:rsidRPr="007D4A2B">
        <w:rPr>
          <w:bCs/>
        </w:rPr>
        <w:t>154.panta</w:t>
      </w:r>
      <w:proofErr w:type="gramEnd"/>
      <w:r w:rsidRPr="007D4A2B">
        <w:rPr>
          <w:bCs/>
        </w:rPr>
        <w:t xml:space="preserve"> pirmās un trešās daļas prasībām.</w:t>
      </w:r>
    </w:p>
    <w:p w14:paraId="07E7F782" w14:textId="77777777" w:rsidR="006A2CEF" w:rsidRPr="007D4A2B" w:rsidRDefault="006A2CEF" w:rsidP="00794753">
      <w:pPr>
        <w:spacing w:line="276" w:lineRule="auto"/>
        <w:ind w:firstLine="567"/>
        <w:contextualSpacing/>
        <w:jc w:val="both"/>
        <w:rPr>
          <w:bCs/>
        </w:rPr>
      </w:pPr>
    </w:p>
    <w:p w14:paraId="5FF1EB13" w14:textId="1E94F59D" w:rsidR="004B6855" w:rsidRPr="007D4A2B" w:rsidRDefault="006A2CEF" w:rsidP="00794753">
      <w:pPr>
        <w:spacing w:line="276" w:lineRule="auto"/>
        <w:ind w:firstLine="567"/>
        <w:contextualSpacing/>
        <w:jc w:val="both"/>
      </w:pPr>
      <w:r w:rsidRPr="007D4A2B">
        <w:rPr>
          <w:bCs/>
        </w:rPr>
        <w:t>[</w:t>
      </w:r>
      <w:r w:rsidR="00DB1C54" w:rsidRPr="007D4A2B">
        <w:rPr>
          <w:bCs/>
        </w:rPr>
        <w:t>12</w:t>
      </w:r>
      <w:r w:rsidRPr="007D4A2B">
        <w:rPr>
          <w:bCs/>
        </w:rPr>
        <w:t xml:space="preserve">] Papildus </w:t>
      </w:r>
      <w:r w:rsidR="003406B6" w:rsidRPr="007D4A2B">
        <w:rPr>
          <w:bCs/>
        </w:rPr>
        <w:t xml:space="preserve">jāņem vērā, ka </w:t>
      </w:r>
      <w:bookmarkStart w:id="26" w:name="_Hlk105157063"/>
      <w:r w:rsidR="003406B6" w:rsidRPr="007D4A2B">
        <w:t xml:space="preserve">SIA „TER </w:t>
      </w:r>
      <w:proofErr w:type="spellStart"/>
      <w:r w:rsidR="003406B6" w:rsidRPr="007D4A2B">
        <w:t>Properties</w:t>
      </w:r>
      <w:proofErr w:type="spellEnd"/>
      <w:r w:rsidR="003406B6" w:rsidRPr="007D4A2B">
        <w:t>”</w:t>
      </w:r>
      <w:bookmarkEnd w:id="26"/>
      <w:r w:rsidR="0093691A" w:rsidRPr="007D4A2B">
        <w:t xml:space="preserve"> ir pieteicējas mātes uzņēmums, nekustamā īpašuma iegādes darījums ir bijis komplicēts, tas ir bijis saistīts arī </w:t>
      </w:r>
      <w:r w:rsidR="00F72AFA" w:rsidRPr="007D4A2B">
        <w:t xml:space="preserve">ar </w:t>
      </w:r>
      <w:r w:rsidR="0093691A" w:rsidRPr="007D4A2B">
        <w:t xml:space="preserve">pieteicējas kapitāldaļu pirkšanas darījumu, vairākiem ar darījumu saistītajiem uzņēmumiem ir viens un tas pats pārstāvis, ir vairāku darījumā iesaistīto uzņēmumu paskaidrojumi gan par nepieciešamību iegādāties </w:t>
      </w:r>
      <w:r w:rsidR="00122902" w:rsidRPr="007D4A2B">
        <w:t>konkrēt</w:t>
      </w:r>
      <w:r w:rsidR="0093691A" w:rsidRPr="007D4A2B">
        <w:t xml:space="preserve">o nekustamo īpašumu, gan par izteiktiem </w:t>
      </w:r>
      <w:r w:rsidR="00F72AFA" w:rsidRPr="007D4A2B">
        <w:t>un pieņemtiem piedāvājumiem, gan par darījuma norisi.</w:t>
      </w:r>
      <w:r w:rsidR="004B6855" w:rsidRPr="007D4A2B">
        <w:t xml:space="preserve"> Di</w:t>
      </w:r>
      <w:r w:rsidR="00F72AFA" w:rsidRPr="007D4A2B">
        <w:t xml:space="preserve">enests pārsūdzētajā lēmumā </w:t>
      </w:r>
      <w:r w:rsidR="0086567D" w:rsidRPr="007D4A2B">
        <w:t xml:space="preserve">uz </w:t>
      </w:r>
      <w:r w:rsidR="004B6855" w:rsidRPr="007D4A2B">
        <w:t xml:space="preserve">strīdus </w:t>
      </w:r>
      <w:r w:rsidR="0086567D" w:rsidRPr="007D4A2B">
        <w:t>nekustamā īpašuma iegādes darījumu ir raudzījies kopumā</w:t>
      </w:r>
      <w:r w:rsidR="004B6855" w:rsidRPr="007D4A2B">
        <w:t xml:space="preserve">, proti, </w:t>
      </w:r>
      <w:r w:rsidR="00677419" w:rsidRPr="007D4A2B">
        <w:t xml:space="preserve">dienests </w:t>
      </w:r>
      <w:r w:rsidR="004B6855" w:rsidRPr="007D4A2B">
        <w:t>nav pie</w:t>
      </w:r>
      <w:r w:rsidR="00F72AFA" w:rsidRPr="007D4A2B">
        <w:t xml:space="preserve">vērsies </w:t>
      </w:r>
      <w:r w:rsidR="004B6855" w:rsidRPr="007D4A2B">
        <w:t xml:space="preserve">vienīgi </w:t>
      </w:r>
      <w:r w:rsidR="00F72AFA" w:rsidRPr="007D4A2B">
        <w:t xml:space="preserve">darījuma posmam, kas ir norisinājies starp pieteicēju un </w:t>
      </w:r>
      <w:bookmarkStart w:id="27" w:name="_Hlk105158048"/>
      <w:r w:rsidR="0093691A" w:rsidRPr="007D4A2B">
        <w:t xml:space="preserve">SIA „TER </w:t>
      </w:r>
      <w:proofErr w:type="spellStart"/>
      <w:r w:rsidR="0093691A" w:rsidRPr="007D4A2B">
        <w:t>Properties</w:t>
      </w:r>
      <w:proofErr w:type="spellEnd"/>
      <w:r w:rsidR="0093691A" w:rsidRPr="007D4A2B">
        <w:t>”</w:t>
      </w:r>
      <w:bookmarkEnd w:id="27"/>
      <w:r w:rsidR="00F72AFA" w:rsidRPr="007D4A2B">
        <w:t xml:space="preserve">, </w:t>
      </w:r>
      <w:r w:rsidR="004B6855" w:rsidRPr="007D4A2B">
        <w:t>kā to ir darījusi apgabaltiesa, selektīvi vērtējot atsevišķus darījuma dokumentus</w:t>
      </w:r>
      <w:r w:rsidR="00677419" w:rsidRPr="007D4A2B">
        <w:t>. Dienests ir</w:t>
      </w:r>
      <w:r w:rsidR="00F72AFA" w:rsidRPr="007D4A2B">
        <w:t xml:space="preserve"> </w:t>
      </w:r>
      <w:r w:rsidR="004B6855" w:rsidRPr="007D4A2B">
        <w:t xml:space="preserve">pievērsies </w:t>
      </w:r>
      <w:r w:rsidR="00F72AFA" w:rsidRPr="007D4A2B">
        <w:t xml:space="preserve">arī tiem </w:t>
      </w:r>
      <w:r w:rsidR="00677419" w:rsidRPr="007D4A2B">
        <w:t xml:space="preserve">darījuma </w:t>
      </w:r>
      <w:r w:rsidR="00F72AFA" w:rsidRPr="007D4A2B">
        <w:t xml:space="preserve">posmiem, kas ir norisinājušies pirms </w:t>
      </w:r>
      <w:r w:rsidR="00677419" w:rsidRPr="007D4A2B">
        <w:t xml:space="preserve">dokumentu noformēšanas starp pieteicēju un </w:t>
      </w:r>
      <w:r w:rsidR="0086567D" w:rsidRPr="007D4A2B">
        <w:t xml:space="preserve">SIA „TER </w:t>
      </w:r>
      <w:proofErr w:type="spellStart"/>
      <w:r w:rsidR="0086567D" w:rsidRPr="007D4A2B">
        <w:t>Properties</w:t>
      </w:r>
      <w:proofErr w:type="spellEnd"/>
      <w:r w:rsidR="0086567D" w:rsidRPr="007D4A2B">
        <w:t>”</w:t>
      </w:r>
      <w:r w:rsidR="00677419" w:rsidRPr="007D4A2B">
        <w:t>.</w:t>
      </w:r>
    </w:p>
    <w:p w14:paraId="243F6D70" w14:textId="0A2D77FB" w:rsidR="0086567D" w:rsidRPr="007D4A2B" w:rsidRDefault="00677419" w:rsidP="00794753">
      <w:pPr>
        <w:spacing w:line="276" w:lineRule="auto"/>
        <w:ind w:firstLine="567"/>
        <w:contextualSpacing/>
        <w:jc w:val="both"/>
      </w:pPr>
      <w:r w:rsidRPr="007D4A2B">
        <w:t xml:space="preserve">Šādos apstākļos </w:t>
      </w:r>
      <w:r w:rsidR="000B7D25" w:rsidRPr="007D4A2B">
        <w:t xml:space="preserve">Senāts atzīst, ka </w:t>
      </w:r>
      <w:r w:rsidR="0086567D" w:rsidRPr="007D4A2B">
        <w:t xml:space="preserve">apgabaltiesas rīcība, </w:t>
      </w:r>
      <w:r w:rsidRPr="007D4A2B">
        <w:t>selektīvi un atrauti no pārējo pierādījumu kopuma vērtējot tikai viena darījuma dokumenta trūkumus, i</w:t>
      </w:r>
      <w:r w:rsidR="0086567D" w:rsidRPr="007D4A2B">
        <w:t xml:space="preserve">r neatbilstoša ne vien Administratīvā procesa likuma </w:t>
      </w:r>
      <w:proofErr w:type="gramStart"/>
      <w:r w:rsidR="0086567D" w:rsidRPr="007D4A2B">
        <w:t>154.panta</w:t>
      </w:r>
      <w:proofErr w:type="gramEnd"/>
      <w:r w:rsidR="0086567D" w:rsidRPr="007D4A2B">
        <w:t xml:space="preserve"> prasībā</w:t>
      </w:r>
      <w:r w:rsidR="004B6855" w:rsidRPr="007D4A2B">
        <w:t>m</w:t>
      </w:r>
      <w:r w:rsidR="0086567D" w:rsidRPr="007D4A2B">
        <w:t>, bet arī 103.panta pirmajai daļai, k</w:t>
      </w:r>
      <w:r w:rsidR="000B7D25" w:rsidRPr="007D4A2B">
        <w:t>u</w:t>
      </w:r>
      <w:r w:rsidR="0086567D" w:rsidRPr="007D4A2B">
        <w:t>rā ir definēts administratīvās tiesas uzdevums.</w:t>
      </w:r>
    </w:p>
    <w:p w14:paraId="4BC7C8E7" w14:textId="77777777" w:rsidR="0086567D" w:rsidRPr="007D4A2B" w:rsidRDefault="0086567D" w:rsidP="00794753">
      <w:pPr>
        <w:spacing w:line="276" w:lineRule="auto"/>
        <w:ind w:firstLine="567"/>
        <w:contextualSpacing/>
        <w:jc w:val="both"/>
      </w:pPr>
    </w:p>
    <w:p w14:paraId="78C5D1A3" w14:textId="2BD1A2CD" w:rsidR="0052522E" w:rsidRPr="007D4A2B" w:rsidRDefault="000B7D25" w:rsidP="00794753">
      <w:pPr>
        <w:spacing w:line="276" w:lineRule="auto"/>
        <w:ind w:firstLine="567"/>
        <w:contextualSpacing/>
        <w:jc w:val="both"/>
        <w:rPr>
          <w:bCs/>
        </w:rPr>
      </w:pPr>
      <w:r w:rsidRPr="007D4A2B">
        <w:t>[</w:t>
      </w:r>
      <w:r w:rsidR="00DB1C54" w:rsidRPr="007D4A2B">
        <w:t>13</w:t>
      </w:r>
      <w:r w:rsidRPr="007D4A2B">
        <w:t xml:space="preserve">] Secinājumu, ka starpniecības pakalpojumi nav notikuši, apgabaltiesa pamatojusi arī </w:t>
      </w:r>
      <w:r w:rsidR="0052522E" w:rsidRPr="007D4A2B">
        <w:t xml:space="preserve">ar </w:t>
      </w:r>
      <w:bookmarkStart w:id="28" w:name="_Hlk105160639"/>
      <w:r w:rsidR="0052522E" w:rsidRPr="007D4A2B">
        <w:rPr>
          <w:bCs/>
        </w:rPr>
        <w:t xml:space="preserve">SIA „VESTABALT” </w:t>
      </w:r>
      <w:bookmarkEnd w:id="28"/>
      <w:r w:rsidR="0052522E" w:rsidRPr="007D4A2B">
        <w:rPr>
          <w:bCs/>
        </w:rPr>
        <w:t>divu elektronisko vēstuļu izdrukām. Šajā sakarā spriedumā norādīts, ka</w:t>
      </w:r>
      <w:r w:rsidR="00110B21" w:rsidRPr="007D4A2B">
        <w:rPr>
          <w:bCs/>
        </w:rPr>
        <w:t xml:space="preserve"> abas</w:t>
      </w:r>
      <w:r w:rsidR="0052522E" w:rsidRPr="007D4A2B">
        <w:rPr>
          <w:bCs/>
        </w:rPr>
        <w:t xml:space="preserve"> </w:t>
      </w:r>
      <w:proofErr w:type="gramStart"/>
      <w:r w:rsidR="0052522E" w:rsidRPr="007D4A2B">
        <w:rPr>
          <w:bCs/>
        </w:rPr>
        <w:t>2015.gada</w:t>
      </w:r>
      <w:proofErr w:type="gramEnd"/>
      <w:r w:rsidR="0052522E" w:rsidRPr="007D4A2B">
        <w:rPr>
          <w:bCs/>
        </w:rPr>
        <w:t xml:space="preserve"> jūlija vēstule</w:t>
      </w:r>
      <w:r w:rsidR="00110B21" w:rsidRPr="007D4A2B">
        <w:rPr>
          <w:bCs/>
        </w:rPr>
        <w:t>s</w:t>
      </w:r>
      <w:r w:rsidR="0052522E" w:rsidRPr="007D4A2B">
        <w:rPr>
          <w:bCs/>
        </w:rPr>
        <w:t xml:space="preserve"> </w:t>
      </w:r>
      <w:r w:rsidR="00DE631B" w:rsidRPr="007D4A2B">
        <w:rPr>
          <w:bCs/>
        </w:rPr>
        <w:t>varētu attiekties arī uz kāda cita darījuma plānošanas procesu</w:t>
      </w:r>
      <w:r w:rsidR="00110B21" w:rsidRPr="007D4A2B">
        <w:rPr>
          <w:bCs/>
        </w:rPr>
        <w:t>, nevis uz nekustamā īpašuma</w:t>
      </w:r>
      <w:r w:rsidR="00794753">
        <w:rPr>
          <w:bCs/>
        </w:rPr>
        <w:t xml:space="preserve"> [adrese]</w:t>
      </w:r>
      <w:r w:rsidR="00110B21" w:rsidRPr="007D4A2B">
        <w:rPr>
          <w:bCs/>
        </w:rPr>
        <w:t>, Rīgā</w:t>
      </w:r>
      <w:r w:rsidR="00974721" w:rsidRPr="007D4A2B">
        <w:rPr>
          <w:bCs/>
        </w:rPr>
        <w:t>,</w:t>
      </w:r>
      <w:r w:rsidR="00110B21" w:rsidRPr="007D4A2B">
        <w:rPr>
          <w:bCs/>
        </w:rPr>
        <w:t xml:space="preserve"> iegādi.</w:t>
      </w:r>
    </w:p>
    <w:p w14:paraId="5895EFA7" w14:textId="1064ED8F" w:rsidR="009C571D" w:rsidRPr="007D4A2B" w:rsidRDefault="00110B21" w:rsidP="00794753">
      <w:pPr>
        <w:spacing w:line="276" w:lineRule="auto"/>
        <w:ind w:firstLine="567"/>
        <w:contextualSpacing/>
        <w:jc w:val="both"/>
        <w:rPr>
          <w:bCs/>
        </w:rPr>
      </w:pPr>
      <w:r w:rsidRPr="007D4A2B">
        <w:rPr>
          <w:bCs/>
        </w:rPr>
        <w:t>Ieskatoties minētajās vēstulēs, Senāts piekrīt, ka tajās nav norādīta pietiekami konkretizēta informācija</w:t>
      </w:r>
      <w:r w:rsidR="00A44013">
        <w:rPr>
          <w:bCs/>
        </w:rPr>
        <w:t>, lai no tās varētu izdarīt secinājumu, ka tā ir saistīta ar konkrētā īpašuma iegādes darījumu</w:t>
      </w:r>
      <w:r w:rsidR="003576EA" w:rsidRPr="007D4A2B">
        <w:rPr>
          <w:bCs/>
        </w:rPr>
        <w:t xml:space="preserve">. Vienlaikus Senāts arī šeit atgādina par nepieciešamību ikvienu pierādījumu vērtēt nevis izolēti no pārējo pierādījumu kopuma, bet gan kopsakarā ar tiem. Šajā sakarā Senāts piekrīt kasācijas sūdzībā norādītajam, ka apgabaltiesa nav ņēmusi vērā, piemēram, </w:t>
      </w:r>
      <w:proofErr w:type="gramStart"/>
      <w:r w:rsidR="003576EA" w:rsidRPr="007D4A2B">
        <w:rPr>
          <w:bCs/>
        </w:rPr>
        <w:t>2015.gada</w:t>
      </w:r>
      <w:proofErr w:type="gramEnd"/>
      <w:r w:rsidR="003576EA" w:rsidRPr="007D4A2B">
        <w:rPr>
          <w:bCs/>
        </w:rPr>
        <w:t xml:space="preserve"> 7.jūlija </w:t>
      </w:r>
      <w:r w:rsidR="00665879" w:rsidRPr="007D4A2B">
        <w:rPr>
          <w:bCs/>
        </w:rPr>
        <w:t xml:space="preserve">elektroniskajai </w:t>
      </w:r>
      <w:r w:rsidR="003576EA" w:rsidRPr="007D4A2B">
        <w:rPr>
          <w:bCs/>
        </w:rPr>
        <w:t>vēstulei pievienotos dokumentus ar informāciju, kas attiecas tieši uz nekustamo īpašumu</w:t>
      </w:r>
      <w:r w:rsidR="00794753">
        <w:rPr>
          <w:bCs/>
        </w:rPr>
        <w:t xml:space="preserve"> [adrese]</w:t>
      </w:r>
      <w:r w:rsidR="003576EA" w:rsidRPr="007D4A2B">
        <w:rPr>
          <w:bCs/>
        </w:rPr>
        <w:t>, Rīgā (</w:t>
      </w:r>
      <w:r w:rsidR="003576EA" w:rsidRPr="007D4A2B">
        <w:rPr>
          <w:bCs/>
          <w:i/>
          <w:iCs/>
        </w:rPr>
        <w:t>lietas 2.sējuma 187.–188.lpp.</w:t>
      </w:r>
      <w:r w:rsidR="003576EA" w:rsidRPr="007D4A2B">
        <w:rPr>
          <w:bCs/>
        </w:rPr>
        <w:t xml:space="preserve">). Tā kā apgabaltiesa nepiekrita pieteicējai, ka minētās elektroniskās vēstules apstiprina </w:t>
      </w:r>
      <w:bookmarkStart w:id="29" w:name="_Hlk105161060"/>
      <w:r w:rsidR="003576EA" w:rsidRPr="007D4A2B">
        <w:rPr>
          <w:bCs/>
        </w:rPr>
        <w:t xml:space="preserve">SIA „VESTABALT” </w:t>
      </w:r>
      <w:bookmarkEnd w:id="29"/>
      <w:r w:rsidR="003576EA" w:rsidRPr="007D4A2B">
        <w:rPr>
          <w:bCs/>
        </w:rPr>
        <w:t xml:space="preserve">iesaisti </w:t>
      </w:r>
      <w:r w:rsidR="00511D88" w:rsidRPr="007D4A2B">
        <w:rPr>
          <w:bCs/>
        </w:rPr>
        <w:t xml:space="preserve">tieši </w:t>
      </w:r>
      <w:r w:rsidR="003576EA" w:rsidRPr="007D4A2B">
        <w:rPr>
          <w:bCs/>
        </w:rPr>
        <w:t xml:space="preserve">strīdus nekustamā īpašuma iegādes procesā, ir pamatots kasācijas sūdzības arguments, ka apgabaltiesai atbilstoši Administratīvā procesa likuma 154.panta pirmajai un trešajai daļai bija jānovērtē arī </w:t>
      </w:r>
      <w:r w:rsidR="009C571D" w:rsidRPr="007D4A2B">
        <w:rPr>
          <w:bCs/>
        </w:rPr>
        <w:t>elektroniskajai vēstulei pievienotie dokumenti</w:t>
      </w:r>
      <w:r w:rsidR="003576EA" w:rsidRPr="007D4A2B">
        <w:rPr>
          <w:bCs/>
        </w:rPr>
        <w:t xml:space="preserve"> un jā</w:t>
      </w:r>
      <w:r w:rsidR="009C571D" w:rsidRPr="007D4A2B">
        <w:rPr>
          <w:bCs/>
        </w:rPr>
        <w:t xml:space="preserve">pamato, kāpēc šie dokumenti nav attiecināmi uz strīdus nekustamo īpašumu, kāpēc tiem nav </w:t>
      </w:r>
      <w:r w:rsidR="003576EA" w:rsidRPr="007D4A2B">
        <w:rPr>
          <w:bCs/>
        </w:rPr>
        <w:t>piešķir</w:t>
      </w:r>
      <w:r w:rsidR="009C571D" w:rsidRPr="007D4A2B">
        <w:rPr>
          <w:bCs/>
        </w:rPr>
        <w:t>ama</w:t>
      </w:r>
      <w:r w:rsidR="003576EA" w:rsidRPr="007D4A2B">
        <w:rPr>
          <w:bCs/>
        </w:rPr>
        <w:t xml:space="preserve"> </w:t>
      </w:r>
      <w:r w:rsidR="009C571D" w:rsidRPr="007D4A2B">
        <w:rPr>
          <w:bCs/>
        </w:rPr>
        <w:t xml:space="preserve">ticamību un kāpēc citiem pierādījumiem ir piešķirama </w:t>
      </w:r>
      <w:r w:rsidR="003576EA" w:rsidRPr="007D4A2B">
        <w:rPr>
          <w:bCs/>
        </w:rPr>
        <w:t>priekšrok</w:t>
      </w:r>
      <w:r w:rsidR="009C571D" w:rsidRPr="007D4A2B">
        <w:rPr>
          <w:bCs/>
        </w:rPr>
        <w:t>a.</w:t>
      </w:r>
    </w:p>
    <w:p w14:paraId="06331032" w14:textId="70010888" w:rsidR="00665879" w:rsidRPr="007D4A2B" w:rsidRDefault="00665879" w:rsidP="00794753">
      <w:pPr>
        <w:spacing w:line="276" w:lineRule="auto"/>
        <w:ind w:firstLine="567"/>
        <w:contextualSpacing/>
        <w:jc w:val="both"/>
        <w:rPr>
          <w:bCs/>
        </w:rPr>
      </w:pPr>
    </w:p>
    <w:p w14:paraId="4773E608" w14:textId="2CB77D25" w:rsidR="009C571D" w:rsidRPr="007D4A2B" w:rsidRDefault="009C571D" w:rsidP="00794753">
      <w:pPr>
        <w:spacing w:line="276" w:lineRule="auto"/>
        <w:ind w:firstLine="567"/>
        <w:contextualSpacing/>
        <w:jc w:val="both"/>
        <w:rPr>
          <w:bCs/>
        </w:rPr>
      </w:pPr>
      <w:r w:rsidRPr="007D4A2B">
        <w:rPr>
          <w:bCs/>
        </w:rPr>
        <w:t>[</w:t>
      </w:r>
      <w:r w:rsidR="00DB1C54" w:rsidRPr="007D4A2B">
        <w:rPr>
          <w:bCs/>
        </w:rPr>
        <w:t>14</w:t>
      </w:r>
      <w:r w:rsidRPr="007D4A2B">
        <w:rPr>
          <w:bCs/>
        </w:rPr>
        <w:t>] Apgabaltiesas spriedumā norādīts</w:t>
      </w:r>
      <w:r w:rsidR="005A71E2" w:rsidRPr="007D4A2B">
        <w:rPr>
          <w:bCs/>
        </w:rPr>
        <w:t xml:space="preserve"> uz nodokļu maksātāja pienākumu pierādīt strīdus darījum</w:t>
      </w:r>
      <w:r w:rsidR="00511D88" w:rsidRPr="007D4A2B">
        <w:rPr>
          <w:bCs/>
        </w:rPr>
        <w:t>a</w:t>
      </w:r>
      <w:r w:rsidR="005A71E2" w:rsidRPr="007D4A2B">
        <w:rPr>
          <w:bCs/>
        </w:rPr>
        <w:t xml:space="preserve"> faktisko esību un iesniegt pierādījumus, kas ļauj apšaubīt dienesta secinājumus. T</w:t>
      </w:r>
      <w:r w:rsidR="00122902" w:rsidRPr="007D4A2B">
        <w:rPr>
          <w:bCs/>
        </w:rPr>
        <w:t>o ievērojot,</w:t>
      </w:r>
      <w:r w:rsidR="005A71E2" w:rsidRPr="007D4A2B">
        <w:rPr>
          <w:bCs/>
        </w:rPr>
        <w:t xml:space="preserve"> spriedumā </w:t>
      </w:r>
      <w:r w:rsidR="00122902" w:rsidRPr="007D4A2B">
        <w:rPr>
          <w:bCs/>
        </w:rPr>
        <w:t>secināts</w:t>
      </w:r>
      <w:r w:rsidR="005A71E2" w:rsidRPr="007D4A2B">
        <w:rPr>
          <w:bCs/>
        </w:rPr>
        <w:t xml:space="preserve">, ka gadījumā, </w:t>
      </w:r>
      <w:r w:rsidRPr="007D4A2B">
        <w:rPr>
          <w:bCs/>
        </w:rPr>
        <w:t>ja SIA „VESTABALT”</w:t>
      </w:r>
      <w:r w:rsidR="005A71E2" w:rsidRPr="007D4A2B">
        <w:rPr>
          <w:bCs/>
        </w:rPr>
        <w:t xml:space="preserve"> patiešām</w:t>
      </w:r>
      <w:r w:rsidRPr="007D4A2B">
        <w:rPr>
          <w:bCs/>
        </w:rPr>
        <w:t xml:space="preserve"> bija iesaistījusies strīdus ne</w:t>
      </w:r>
      <w:r w:rsidR="005A71E2" w:rsidRPr="007D4A2B">
        <w:rPr>
          <w:bCs/>
        </w:rPr>
        <w:t>k</w:t>
      </w:r>
      <w:r w:rsidRPr="007D4A2B">
        <w:rPr>
          <w:bCs/>
        </w:rPr>
        <w:t xml:space="preserve">ustamā īpašuma iegādes darījumā, </w:t>
      </w:r>
      <w:r w:rsidR="005A71E2" w:rsidRPr="007D4A2B">
        <w:rPr>
          <w:bCs/>
        </w:rPr>
        <w:t>tad ar strīdus darījumu saistītie dokumenti būtu savlaicīgi uzrādīti nodokļu administrācijai un iesniegti tiesā.</w:t>
      </w:r>
    </w:p>
    <w:p w14:paraId="6BA930B2" w14:textId="1300282B" w:rsidR="0096717C" w:rsidRPr="007D4A2B" w:rsidRDefault="005A71E2" w:rsidP="00794753">
      <w:pPr>
        <w:spacing w:line="276" w:lineRule="auto"/>
        <w:ind w:firstLine="567"/>
        <w:contextualSpacing/>
        <w:jc w:val="both"/>
        <w:rPr>
          <w:bCs/>
        </w:rPr>
      </w:pPr>
      <w:r w:rsidRPr="007D4A2B">
        <w:rPr>
          <w:bCs/>
        </w:rPr>
        <w:t xml:space="preserve">Senāts apgabaltiesas </w:t>
      </w:r>
      <w:r w:rsidR="00511D88" w:rsidRPr="007D4A2B">
        <w:rPr>
          <w:bCs/>
        </w:rPr>
        <w:t>apsvērumus par</w:t>
      </w:r>
      <w:r w:rsidRPr="007D4A2B">
        <w:rPr>
          <w:bCs/>
        </w:rPr>
        <w:t xml:space="preserve"> nodokļ</w:t>
      </w:r>
      <w:r w:rsidR="00122902" w:rsidRPr="007D4A2B">
        <w:rPr>
          <w:bCs/>
        </w:rPr>
        <w:t>u</w:t>
      </w:r>
      <w:r w:rsidRPr="007D4A2B">
        <w:rPr>
          <w:bCs/>
        </w:rPr>
        <w:t xml:space="preserve"> maksātāja pierādīšanas pienākumu </w:t>
      </w:r>
      <w:r w:rsidR="00F27814" w:rsidRPr="007D4A2B">
        <w:rPr>
          <w:bCs/>
        </w:rPr>
        <w:t xml:space="preserve">vispārīgi </w:t>
      </w:r>
      <w:r w:rsidRPr="007D4A2B">
        <w:rPr>
          <w:bCs/>
        </w:rPr>
        <w:t>atzīst par pareiz</w:t>
      </w:r>
      <w:r w:rsidR="00511D88" w:rsidRPr="007D4A2B">
        <w:rPr>
          <w:bCs/>
        </w:rPr>
        <w:t>iem</w:t>
      </w:r>
      <w:r w:rsidRPr="007D4A2B">
        <w:rPr>
          <w:bCs/>
        </w:rPr>
        <w:t xml:space="preserve"> un atbilstoš</w:t>
      </w:r>
      <w:r w:rsidR="00511D88" w:rsidRPr="007D4A2B">
        <w:rPr>
          <w:bCs/>
        </w:rPr>
        <w:t>iem</w:t>
      </w:r>
      <w:r w:rsidRPr="007D4A2B">
        <w:rPr>
          <w:bCs/>
        </w:rPr>
        <w:t xml:space="preserve"> gan tiesību normām, gan judikatūras atziņām. Vienlaikus </w:t>
      </w:r>
      <w:r w:rsidR="00122902" w:rsidRPr="007D4A2B">
        <w:rPr>
          <w:bCs/>
        </w:rPr>
        <w:t xml:space="preserve">Senāts piekrīt arī kasācijas sūdzībā norādītajam, ka </w:t>
      </w:r>
      <w:r w:rsidRPr="007D4A2B">
        <w:rPr>
          <w:bCs/>
        </w:rPr>
        <w:t>ir neizprotams apgabaltiesas pārmetums</w:t>
      </w:r>
      <w:r w:rsidR="00511D88" w:rsidRPr="007D4A2B">
        <w:rPr>
          <w:bCs/>
        </w:rPr>
        <w:t xml:space="preserve"> pieteicējai</w:t>
      </w:r>
      <w:r w:rsidRPr="007D4A2B">
        <w:rPr>
          <w:bCs/>
        </w:rPr>
        <w:t xml:space="preserve"> par dokumentu un pierādījumu savlaicīgu neiesniegšanu, jo apgabaltiesa nav konkretizējusi, kādus ar strīdus darījumu saistītos dokumentus pieteicēja nav iesniegusi dienestam un tiesai vai ir iesniegusi novēloti.</w:t>
      </w:r>
      <w:r w:rsidR="000255B6" w:rsidRPr="007D4A2B">
        <w:rPr>
          <w:bCs/>
        </w:rPr>
        <w:t xml:space="preserve"> Pārbaudot lietas materiālus, Senāts nekonstatē, ka tajos nebūtu atrodams kāds no pierādījumiem, ar ko pieteicēja pamato savus apsvērumus. Tāpat no lietas neizriet, ka kāds no būtiskajiem pieteicējas norādītajiem pierādījumiem nebija iesniegts dienestam. Arī no pārsūdzētā dienesta lēmuma neizriet, ka dienests </w:t>
      </w:r>
      <w:r w:rsidR="00F27814" w:rsidRPr="007D4A2B">
        <w:rPr>
          <w:bCs/>
        </w:rPr>
        <w:t xml:space="preserve">būtu konstatējis </w:t>
      </w:r>
      <w:r w:rsidR="000255B6" w:rsidRPr="007D4A2B">
        <w:rPr>
          <w:bCs/>
        </w:rPr>
        <w:t xml:space="preserve">pārbaudei nepieciešamo pierādījumu </w:t>
      </w:r>
      <w:r w:rsidR="00E561FE" w:rsidRPr="007D4A2B">
        <w:rPr>
          <w:bCs/>
        </w:rPr>
        <w:t xml:space="preserve">savlaicīgu </w:t>
      </w:r>
      <w:r w:rsidR="000255B6" w:rsidRPr="007D4A2B">
        <w:rPr>
          <w:bCs/>
        </w:rPr>
        <w:t>neiesniegšanu. Līdz ar to, pārmetot nodokļu maksātājam</w:t>
      </w:r>
      <w:r w:rsidR="0096717C" w:rsidRPr="007D4A2B">
        <w:rPr>
          <w:bCs/>
        </w:rPr>
        <w:t xml:space="preserve"> ar pierādījumu iesniegšan</w:t>
      </w:r>
      <w:r w:rsidR="00511D88" w:rsidRPr="007D4A2B">
        <w:rPr>
          <w:bCs/>
        </w:rPr>
        <w:t>u</w:t>
      </w:r>
      <w:r w:rsidR="0096717C" w:rsidRPr="007D4A2B">
        <w:rPr>
          <w:bCs/>
        </w:rPr>
        <w:t xml:space="preserve"> saistīta</w:t>
      </w:r>
      <w:r w:rsidR="000255B6" w:rsidRPr="007D4A2B">
        <w:rPr>
          <w:bCs/>
        </w:rPr>
        <w:t xml:space="preserve"> pienākuma neizpildi, tiesai būtu skaidri jā</w:t>
      </w:r>
      <w:r w:rsidR="0096717C" w:rsidRPr="007D4A2B">
        <w:rPr>
          <w:bCs/>
        </w:rPr>
        <w:t>norāda, kādus tieši pierādījumus nodokļu maksātājs nav iesniedzis. Pretējā gadījumā nav iespējams pārbaudīt, vai ir pareizs tiesas secinājums par nodokļ</w:t>
      </w:r>
      <w:r w:rsidR="00E561FE" w:rsidRPr="007D4A2B">
        <w:rPr>
          <w:bCs/>
        </w:rPr>
        <w:t>u</w:t>
      </w:r>
      <w:r w:rsidR="0096717C" w:rsidRPr="007D4A2B">
        <w:rPr>
          <w:bCs/>
        </w:rPr>
        <w:t xml:space="preserve"> maksātāja rīcības neatbilstību likuma </w:t>
      </w:r>
      <w:r w:rsidR="00511D88" w:rsidRPr="007D4A2B">
        <w:t>„</w:t>
      </w:r>
      <w:r w:rsidR="0096717C" w:rsidRPr="007D4A2B">
        <w:rPr>
          <w:bCs/>
        </w:rPr>
        <w:t xml:space="preserve">Par nodokļiem un nodevām” </w:t>
      </w:r>
      <w:proofErr w:type="gramStart"/>
      <w:r w:rsidR="0096717C" w:rsidRPr="007D4A2B">
        <w:rPr>
          <w:bCs/>
        </w:rPr>
        <w:t>38.panta</w:t>
      </w:r>
      <w:proofErr w:type="gramEnd"/>
      <w:r w:rsidR="0096717C" w:rsidRPr="007D4A2B">
        <w:rPr>
          <w:bCs/>
        </w:rPr>
        <w:t xml:space="preserve"> prasībām.</w:t>
      </w:r>
    </w:p>
    <w:p w14:paraId="040BAE5B" w14:textId="77777777" w:rsidR="00EB3103" w:rsidRDefault="00EB3103" w:rsidP="00794753">
      <w:pPr>
        <w:spacing w:line="276" w:lineRule="auto"/>
        <w:contextualSpacing/>
        <w:rPr>
          <w:bCs/>
        </w:rPr>
      </w:pPr>
    </w:p>
    <w:p w14:paraId="1C3EFBFA" w14:textId="5CA3694E" w:rsidR="0096717C" w:rsidRPr="007D4A2B" w:rsidRDefault="0096717C" w:rsidP="00794753">
      <w:pPr>
        <w:spacing w:line="276" w:lineRule="auto"/>
        <w:contextualSpacing/>
        <w:jc w:val="center"/>
        <w:rPr>
          <w:bCs/>
        </w:rPr>
      </w:pPr>
      <w:r w:rsidRPr="007D4A2B">
        <w:rPr>
          <w:bCs/>
        </w:rPr>
        <w:t>II</w:t>
      </w:r>
    </w:p>
    <w:p w14:paraId="34F1165E" w14:textId="76158863" w:rsidR="0096717C" w:rsidRPr="007D4A2B" w:rsidRDefault="0096717C" w:rsidP="00794753">
      <w:pPr>
        <w:spacing w:line="276" w:lineRule="auto"/>
        <w:contextualSpacing/>
        <w:jc w:val="center"/>
        <w:rPr>
          <w:bCs/>
          <w:i/>
          <w:iCs/>
        </w:rPr>
      </w:pPr>
      <w:r w:rsidRPr="007D4A2B">
        <w:rPr>
          <w:bCs/>
          <w:i/>
          <w:iCs/>
        </w:rPr>
        <w:t xml:space="preserve">Par </w:t>
      </w:r>
      <w:r w:rsidR="00E561FE" w:rsidRPr="007D4A2B">
        <w:rPr>
          <w:bCs/>
          <w:i/>
          <w:iCs/>
        </w:rPr>
        <w:t xml:space="preserve">nekustamā īpašuma projekta </w:t>
      </w:r>
      <w:r w:rsidRPr="007D4A2B">
        <w:rPr>
          <w:bCs/>
          <w:i/>
          <w:iCs/>
        </w:rPr>
        <w:t>dokument</w:t>
      </w:r>
      <w:r w:rsidR="00E561FE" w:rsidRPr="007D4A2B">
        <w:rPr>
          <w:bCs/>
          <w:i/>
          <w:iCs/>
        </w:rPr>
        <w:t>ācijas</w:t>
      </w:r>
      <w:r w:rsidRPr="007D4A2B">
        <w:rPr>
          <w:bCs/>
          <w:i/>
          <w:iCs/>
        </w:rPr>
        <w:t xml:space="preserve"> iegādes darījumu</w:t>
      </w:r>
    </w:p>
    <w:p w14:paraId="6B73DACA" w14:textId="77777777" w:rsidR="0096717C" w:rsidRPr="007D4A2B" w:rsidRDefault="0096717C" w:rsidP="00794753">
      <w:pPr>
        <w:spacing w:line="276" w:lineRule="auto"/>
        <w:ind w:firstLine="567"/>
        <w:contextualSpacing/>
        <w:jc w:val="both"/>
        <w:rPr>
          <w:bCs/>
        </w:rPr>
      </w:pPr>
    </w:p>
    <w:p w14:paraId="0D8428CC" w14:textId="4E597601" w:rsidR="00D4472F" w:rsidRPr="007D4A2B" w:rsidRDefault="0096717C" w:rsidP="00794753">
      <w:pPr>
        <w:spacing w:line="276" w:lineRule="auto"/>
        <w:ind w:firstLine="567"/>
        <w:contextualSpacing/>
        <w:jc w:val="both"/>
        <w:rPr>
          <w:bCs/>
        </w:rPr>
      </w:pPr>
      <w:r w:rsidRPr="007D4A2B">
        <w:rPr>
          <w:bCs/>
        </w:rPr>
        <w:t>[</w:t>
      </w:r>
      <w:r w:rsidR="00DB1C54" w:rsidRPr="007D4A2B">
        <w:rPr>
          <w:bCs/>
        </w:rPr>
        <w:t>1</w:t>
      </w:r>
      <w:r w:rsidR="00A201DE" w:rsidRPr="007D4A2B">
        <w:rPr>
          <w:bCs/>
        </w:rPr>
        <w:t>5</w:t>
      </w:r>
      <w:r w:rsidRPr="007D4A2B">
        <w:rPr>
          <w:bCs/>
        </w:rPr>
        <w:t>]</w:t>
      </w:r>
      <w:r w:rsidR="009C75D8" w:rsidRPr="007D4A2B">
        <w:rPr>
          <w:bCs/>
        </w:rPr>
        <w:t> </w:t>
      </w:r>
      <w:r w:rsidR="00856065" w:rsidRPr="007D4A2B">
        <w:rPr>
          <w:bCs/>
        </w:rPr>
        <w:t xml:space="preserve">Apgabaltiesa konstatējusi, ka </w:t>
      </w:r>
      <w:proofErr w:type="gramStart"/>
      <w:r w:rsidR="007A1BB8" w:rsidRPr="007D4A2B">
        <w:rPr>
          <w:bCs/>
        </w:rPr>
        <w:t>2015.gada</w:t>
      </w:r>
      <w:proofErr w:type="gramEnd"/>
      <w:r w:rsidR="007A1BB8" w:rsidRPr="007D4A2B">
        <w:rPr>
          <w:bCs/>
        </w:rPr>
        <w:t xml:space="preserve"> 4.decembrī starp SIA </w:t>
      </w:r>
      <w:r w:rsidR="00511D88" w:rsidRPr="007D4A2B">
        <w:t>„</w:t>
      </w:r>
      <w:r w:rsidR="007A1BB8" w:rsidRPr="007D4A2B">
        <w:rPr>
          <w:bCs/>
        </w:rPr>
        <w:t>NEOBALTS” un SIA </w:t>
      </w:r>
      <w:r w:rsidR="00511D88" w:rsidRPr="007D4A2B">
        <w:t>„</w:t>
      </w:r>
      <w:r w:rsidR="007A1BB8" w:rsidRPr="007D4A2B">
        <w:rPr>
          <w:bCs/>
        </w:rPr>
        <w:t xml:space="preserve">NEO 21” tika noslēgts līgums, </w:t>
      </w:r>
      <w:r w:rsidR="00D4472F" w:rsidRPr="007D4A2B">
        <w:rPr>
          <w:bCs/>
        </w:rPr>
        <w:t xml:space="preserve">saskaņā ar kuru </w:t>
      </w:r>
      <w:r w:rsidR="007A1BB8" w:rsidRPr="007D4A2B">
        <w:rPr>
          <w:bCs/>
        </w:rPr>
        <w:t>SIA </w:t>
      </w:r>
      <w:r w:rsidR="00511D88" w:rsidRPr="007D4A2B">
        <w:t>„</w:t>
      </w:r>
      <w:r w:rsidR="007A1BB8" w:rsidRPr="007D4A2B">
        <w:rPr>
          <w:bCs/>
        </w:rPr>
        <w:t xml:space="preserve">NEO 21” iegādājās nekustamā īpašuma </w:t>
      </w:r>
      <w:r w:rsidR="00D4472F" w:rsidRPr="007D4A2B">
        <w:rPr>
          <w:bCs/>
        </w:rPr>
        <w:t xml:space="preserve">projekta </w:t>
      </w:r>
      <w:r w:rsidR="007A1BB8" w:rsidRPr="007D4A2B">
        <w:rPr>
          <w:bCs/>
        </w:rPr>
        <w:t>dokumentāciju</w:t>
      </w:r>
      <w:r w:rsidR="00DB1C54" w:rsidRPr="007D4A2B">
        <w:rPr>
          <w:bCs/>
        </w:rPr>
        <w:t>. Šo dokume</w:t>
      </w:r>
      <w:r w:rsidR="00511D88" w:rsidRPr="007D4A2B">
        <w:rPr>
          <w:bCs/>
        </w:rPr>
        <w:t>n</w:t>
      </w:r>
      <w:r w:rsidR="00DB1C54" w:rsidRPr="007D4A2B">
        <w:rPr>
          <w:bCs/>
        </w:rPr>
        <w:t>tāciju SIA </w:t>
      </w:r>
      <w:r w:rsidR="00511D88" w:rsidRPr="007D4A2B">
        <w:t>„</w:t>
      </w:r>
      <w:r w:rsidR="00DB1C54" w:rsidRPr="007D4A2B">
        <w:rPr>
          <w:bCs/>
        </w:rPr>
        <w:t>NEO 21” pārdeva</w:t>
      </w:r>
      <w:r w:rsidR="007A1BB8" w:rsidRPr="007D4A2B">
        <w:rPr>
          <w:bCs/>
        </w:rPr>
        <w:t xml:space="preserve"> SIA </w:t>
      </w:r>
      <w:r w:rsidR="00511D88" w:rsidRPr="007D4A2B">
        <w:t>„</w:t>
      </w:r>
      <w:r w:rsidR="007A1BB8" w:rsidRPr="007D4A2B">
        <w:rPr>
          <w:bCs/>
        </w:rPr>
        <w:t>TER </w:t>
      </w:r>
      <w:proofErr w:type="spellStart"/>
      <w:r w:rsidR="007A1BB8" w:rsidRPr="007D4A2B">
        <w:rPr>
          <w:bCs/>
        </w:rPr>
        <w:t>Properties</w:t>
      </w:r>
      <w:proofErr w:type="spellEnd"/>
      <w:r w:rsidR="007A1BB8" w:rsidRPr="007D4A2B">
        <w:rPr>
          <w:bCs/>
        </w:rPr>
        <w:t xml:space="preserve">”, </w:t>
      </w:r>
      <w:r w:rsidR="00DB1C54" w:rsidRPr="007D4A2B">
        <w:rPr>
          <w:bCs/>
        </w:rPr>
        <w:t xml:space="preserve">savukārt </w:t>
      </w:r>
      <w:r w:rsidR="00285DF1" w:rsidRPr="007D4A2B">
        <w:rPr>
          <w:bCs/>
        </w:rPr>
        <w:t>SIA </w:t>
      </w:r>
      <w:r w:rsidR="00511D88" w:rsidRPr="007D4A2B">
        <w:t>„</w:t>
      </w:r>
      <w:r w:rsidR="00285DF1" w:rsidRPr="007D4A2B">
        <w:rPr>
          <w:bCs/>
        </w:rPr>
        <w:t>TER </w:t>
      </w:r>
      <w:proofErr w:type="spellStart"/>
      <w:r w:rsidR="00285DF1" w:rsidRPr="007D4A2B">
        <w:rPr>
          <w:bCs/>
        </w:rPr>
        <w:t>Properties</w:t>
      </w:r>
      <w:proofErr w:type="spellEnd"/>
      <w:r w:rsidR="00285DF1" w:rsidRPr="007D4A2B">
        <w:rPr>
          <w:bCs/>
        </w:rPr>
        <w:t xml:space="preserve">” </w:t>
      </w:r>
      <w:r w:rsidR="00DB1C54" w:rsidRPr="007D4A2B">
        <w:rPr>
          <w:bCs/>
        </w:rPr>
        <w:t>to pārdeva pieteicējai</w:t>
      </w:r>
      <w:r w:rsidR="00285DF1" w:rsidRPr="007D4A2B">
        <w:rPr>
          <w:bCs/>
        </w:rPr>
        <w:t>. Starp pieteicēju un SIA </w:t>
      </w:r>
      <w:r w:rsidR="00BD0917" w:rsidRPr="007D4A2B">
        <w:t>„</w:t>
      </w:r>
      <w:r w:rsidR="00285DF1" w:rsidRPr="007D4A2B">
        <w:rPr>
          <w:bCs/>
        </w:rPr>
        <w:t>TER </w:t>
      </w:r>
      <w:proofErr w:type="spellStart"/>
      <w:r w:rsidR="00285DF1" w:rsidRPr="007D4A2B">
        <w:rPr>
          <w:bCs/>
        </w:rPr>
        <w:t>Properties</w:t>
      </w:r>
      <w:proofErr w:type="spellEnd"/>
      <w:r w:rsidR="00285DF1" w:rsidRPr="007D4A2B">
        <w:rPr>
          <w:bCs/>
        </w:rPr>
        <w:t>” noslēgtā darījuma vērtība</w:t>
      </w:r>
      <w:r w:rsidR="00856065" w:rsidRPr="007D4A2B">
        <w:rPr>
          <w:bCs/>
        </w:rPr>
        <w:t xml:space="preserve"> vairāk nekā 10 reizes pārsniedz </w:t>
      </w:r>
      <w:r w:rsidR="00D4472F" w:rsidRPr="007D4A2B">
        <w:rPr>
          <w:bCs/>
        </w:rPr>
        <w:t xml:space="preserve">sākotnējo </w:t>
      </w:r>
      <w:r w:rsidR="00856065" w:rsidRPr="007D4A2B">
        <w:rPr>
          <w:bCs/>
        </w:rPr>
        <w:t xml:space="preserve">darījuma </w:t>
      </w:r>
      <w:r w:rsidR="00D4472F" w:rsidRPr="007D4A2B">
        <w:rPr>
          <w:bCs/>
        </w:rPr>
        <w:t>vērtību</w:t>
      </w:r>
      <w:r w:rsidR="00856065" w:rsidRPr="007D4A2B">
        <w:rPr>
          <w:bCs/>
        </w:rPr>
        <w:t>.</w:t>
      </w:r>
      <w:r w:rsidR="00D4472F" w:rsidRPr="007D4A2B">
        <w:rPr>
          <w:bCs/>
        </w:rPr>
        <w:t xml:space="preserve"> </w:t>
      </w:r>
      <w:r w:rsidR="00856065" w:rsidRPr="007D4A2B">
        <w:rPr>
          <w:bCs/>
        </w:rPr>
        <w:t xml:space="preserve">Dienests </w:t>
      </w:r>
      <w:r w:rsidR="00D4472F" w:rsidRPr="007D4A2B">
        <w:rPr>
          <w:bCs/>
        </w:rPr>
        <w:t xml:space="preserve">ir samazinājis </w:t>
      </w:r>
      <w:r w:rsidR="00285DF1" w:rsidRPr="007D4A2B">
        <w:rPr>
          <w:bCs/>
        </w:rPr>
        <w:t>pieteicējas un SIA </w:t>
      </w:r>
      <w:r w:rsidR="00BD0917" w:rsidRPr="007D4A2B">
        <w:t>„</w:t>
      </w:r>
      <w:r w:rsidR="00285DF1" w:rsidRPr="007D4A2B">
        <w:rPr>
          <w:bCs/>
        </w:rPr>
        <w:t>TER </w:t>
      </w:r>
      <w:proofErr w:type="spellStart"/>
      <w:r w:rsidR="00285DF1" w:rsidRPr="007D4A2B">
        <w:rPr>
          <w:bCs/>
        </w:rPr>
        <w:t>Properties</w:t>
      </w:r>
      <w:proofErr w:type="spellEnd"/>
      <w:r w:rsidR="00285DF1" w:rsidRPr="007D4A2B">
        <w:rPr>
          <w:bCs/>
        </w:rPr>
        <w:t xml:space="preserve">” darījuma </w:t>
      </w:r>
      <w:r w:rsidR="00D4472F" w:rsidRPr="007D4A2B">
        <w:rPr>
          <w:bCs/>
        </w:rPr>
        <w:t>vērtību un tādējādi samazinājis arī pieteicējas atskaitāmo priekšnodokli</w:t>
      </w:r>
      <w:r w:rsidR="00BD0917" w:rsidRPr="007D4A2B">
        <w:rPr>
          <w:bCs/>
        </w:rPr>
        <w:t>.</w:t>
      </w:r>
    </w:p>
    <w:p w14:paraId="5C6DC02B" w14:textId="5694D321" w:rsidR="004F7B59" w:rsidRPr="007D4A2B" w:rsidRDefault="00D4472F" w:rsidP="00794753">
      <w:pPr>
        <w:spacing w:line="276" w:lineRule="auto"/>
        <w:ind w:firstLine="567"/>
        <w:contextualSpacing/>
        <w:jc w:val="both"/>
        <w:rPr>
          <w:bCs/>
        </w:rPr>
      </w:pPr>
      <w:r w:rsidRPr="007D4A2B">
        <w:rPr>
          <w:bCs/>
        </w:rPr>
        <w:t>Apgabaltiesa</w:t>
      </w:r>
      <w:r w:rsidR="00443D41" w:rsidRPr="007D4A2B">
        <w:rPr>
          <w:bCs/>
        </w:rPr>
        <w:t xml:space="preserve"> ir</w:t>
      </w:r>
      <w:r w:rsidRPr="007D4A2B">
        <w:rPr>
          <w:bCs/>
        </w:rPr>
        <w:t xml:space="preserve"> </w:t>
      </w:r>
      <w:r w:rsidR="00443D41" w:rsidRPr="007D4A2B">
        <w:rPr>
          <w:bCs/>
        </w:rPr>
        <w:t>piekritusi dienes</w:t>
      </w:r>
      <w:r w:rsidR="00C2003B" w:rsidRPr="007D4A2B">
        <w:rPr>
          <w:bCs/>
        </w:rPr>
        <w:t>tam</w:t>
      </w:r>
      <w:r w:rsidR="00443D41" w:rsidRPr="007D4A2B">
        <w:rPr>
          <w:bCs/>
        </w:rPr>
        <w:t>, ka strīdus darījuma vērtīb</w:t>
      </w:r>
      <w:r w:rsidR="00BD0917" w:rsidRPr="007D4A2B">
        <w:rPr>
          <w:bCs/>
        </w:rPr>
        <w:t xml:space="preserve">u nepieciešams </w:t>
      </w:r>
      <w:r w:rsidR="00C2003B" w:rsidRPr="007D4A2B">
        <w:rPr>
          <w:bCs/>
        </w:rPr>
        <w:t>koriģē</w:t>
      </w:r>
      <w:r w:rsidR="00BD0917" w:rsidRPr="007D4A2B">
        <w:rPr>
          <w:bCs/>
        </w:rPr>
        <w:t>t. Apgabaltiesa ir</w:t>
      </w:r>
      <w:r w:rsidR="00443D41" w:rsidRPr="007D4A2B">
        <w:rPr>
          <w:bCs/>
        </w:rPr>
        <w:t xml:space="preserve"> </w:t>
      </w:r>
      <w:r w:rsidR="00285DF1" w:rsidRPr="007D4A2B">
        <w:rPr>
          <w:bCs/>
        </w:rPr>
        <w:t>atsaukusies uz</w:t>
      </w:r>
      <w:r w:rsidR="00443D41" w:rsidRPr="007D4A2B">
        <w:rPr>
          <w:bCs/>
        </w:rPr>
        <w:t xml:space="preserve"> </w:t>
      </w:r>
      <w:r w:rsidR="00CB7E0C" w:rsidRPr="007D4A2B">
        <w:rPr>
          <w:bCs/>
        </w:rPr>
        <w:t xml:space="preserve">likuma </w:t>
      </w:r>
      <w:r w:rsidR="00E561FE" w:rsidRPr="007D4A2B">
        <w:t>„</w:t>
      </w:r>
      <w:r w:rsidR="00CB7E0C" w:rsidRPr="007D4A2B">
        <w:rPr>
          <w:bCs/>
        </w:rPr>
        <w:t>Par nodokļiem un nodevām 23.</w:t>
      </w:r>
      <w:proofErr w:type="gramStart"/>
      <w:r w:rsidR="00CB7E0C" w:rsidRPr="007D4A2B">
        <w:rPr>
          <w:bCs/>
          <w:vertAlign w:val="superscript"/>
        </w:rPr>
        <w:t>2</w:t>
      </w:r>
      <w:r w:rsidR="00CB7E0C" w:rsidRPr="007D4A2B">
        <w:rPr>
          <w:bCs/>
        </w:rPr>
        <w:t>panta</w:t>
      </w:r>
      <w:proofErr w:type="gramEnd"/>
      <w:r w:rsidR="00CB7E0C" w:rsidRPr="007D4A2B">
        <w:rPr>
          <w:bCs/>
        </w:rPr>
        <w:t xml:space="preserve"> otrās daļas 1.punkt</w:t>
      </w:r>
      <w:r w:rsidR="00443D41" w:rsidRPr="007D4A2B">
        <w:rPr>
          <w:bCs/>
        </w:rPr>
        <w:t>u,</w:t>
      </w:r>
      <w:r w:rsidR="00CB7E0C" w:rsidRPr="007D4A2B">
        <w:rPr>
          <w:bCs/>
        </w:rPr>
        <w:t xml:space="preserve"> ceturtās daļas 2.punkt</w:t>
      </w:r>
      <w:r w:rsidR="004F7B59" w:rsidRPr="007D4A2B">
        <w:rPr>
          <w:bCs/>
        </w:rPr>
        <w:t>u</w:t>
      </w:r>
      <w:r w:rsidR="00443D41" w:rsidRPr="007D4A2B">
        <w:rPr>
          <w:bCs/>
        </w:rPr>
        <w:t xml:space="preserve"> un</w:t>
      </w:r>
      <w:r w:rsidR="00CB7E0C" w:rsidRPr="007D4A2B">
        <w:rPr>
          <w:bCs/>
        </w:rPr>
        <w:t xml:space="preserve"> Pievienotās vērtības nodokļa likuma 34.panta devīt</w:t>
      </w:r>
      <w:r w:rsidR="004F7B59" w:rsidRPr="007D4A2B">
        <w:rPr>
          <w:bCs/>
        </w:rPr>
        <w:t>o</w:t>
      </w:r>
      <w:r w:rsidR="00CB7E0C" w:rsidRPr="007D4A2B">
        <w:rPr>
          <w:bCs/>
        </w:rPr>
        <w:t xml:space="preserve"> da</w:t>
      </w:r>
      <w:r w:rsidR="00443D41" w:rsidRPr="007D4A2B">
        <w:rPr>
          <w:bCs/>
        </w:rPr>
        <w:t>ļ</w:t>
      </w:r>
      <w:r w:rsidR="004F7B59" w:rsidRPr="007D4A2B">
        <w:rPr>
          <w:bCs/>
        </w:rPr>
        <w:t>u</w:t>
      </w:r>
      <w:r w:rsidR="00CB7E0C" w:rsidRPr="007D4A2B">
        <w:rPr>
          <w:bCs/>
        </w:rPr>
        <w:t>.</w:t>
      </w:r>
      <w:r w:rsidR="004F7B59" w:rsidRPr="007D4A2B">
        <w:rPr>
          <w:bCs/>
        </w:rPr>
        <w:t xml:space="preserve"> </w:t>
      </w:r>
    </w:p>
    <w:p w14:paraId="35375548" w14:textId="021D7184" w:rsidR="005B5D23" w:rsidRPr="007D4A2B" w:rsidRDefault="00285DF1" w:rsidP="00794753">
      <w:pPr>
        <w:spacing w:line="276" w:lineRule="auto"/>
        <w:ind w:firstLine="567"/>
        <w:contextualSpacing/>
        <w:jc w:val="both"/>
        <w:rPr>
          <w:bCs/>
        </w:rPr>
      </w:pPr>
      <w:r w:rsidRPr="007D4A2B">
        <w:rPr>
          <w:bCs/>
        </w:rPr>
        <w:t>P</w:t>
      </w:r>
      <w:r w:rsidR="004F7B59" w:rsidRPr="007D4A2B">
        <w:rPr>
          <w:bCs/>
        </w:rPr>
        <w:t>ieteicēja</w:t>
      </w:r>
      <w:r w:rsidRPr="007D4A2B">
        <w:rPr>
          <w:bCs/>
        </w:rPr>
        <w:t xml:space="preserve"> uzskata</w:t>
      </w:r>
      <w:r w:rsidR="004F7B59" w:rsidRPr="007D4A2B">
        <w:rPr>
          <w:bCs/>
        </w:rPr>
        <w:t>, ka tiesa ir pieļāvusi minēto tiesību normu pārkāpumu</w:t>
      </w:r>
      <w:r w:rsidRPr="007D4A2B">
        <w:rPr>
          <w:bCs/>
        </w:rPr>
        <w:t>. Senāts t</w:t>
      </w:r>
      <w:r w:rsidR="005B5D23" w:rsidRPr="007D4A2B">
        <w:rPr>
          <w:bCs/>
        </w:rPr>
        <w:t>am piekrīt.</w:t>
      </w:r>
    </w:p>
    <w:p w14:paraId="209BF67D" w14:textId="77777777" w:rsidR="004F7B59" w:rsidRPr="007D4A2B" w:rsidRDefault="004F7B59" w:rsidP="00794753">
      <w:pPr>
        <w:spacing w:line="276" w:lineRule="auto"/>
        <w:ind w:firstLine="567"/>
        <w:contextualSpacing/>
        <w:jc w:val="both"/>
        <w:rPr>
          <w:bCs/>
        </w:rPr>
      </w:pPr>
    </w:p>
    <w:p w14:paraId="5F5D6F41" w14:textId="7779BEF0" w:rsidR="008F7FC9" w:rsidRPr="007D4A2B" w:rsidRDefault="005E7643" w:rsidP="00794753">
      <w:pPr>
        <w:spacing w:line="276" w:lineRule="auto"/>
        <w:ind w:firstLine="567"/>
        <w:contextualSpacing/>
        <w:jc w:val="both"/>
        <w:rPr>
          <w:bCs/>
          <w:shd w:val="clear" w:color="auto" w:fill="FFFFFF"/>
        </w:rPr>
      </w:pPr>
      <w:r w:rsidRPr="007D4A2B">
        <w:rPr>
          <w:bCs/>
        </w:rPr>
        <w:t>[</w:t>
      </w:r>
      <w:r w:rsidR="00A201DE" w:rsidRPr="007D4A2B">
        <w:rPr>
          <w:bCs/>
        </w:rPr>
        <w:t>16</w:t>
      </w:r>
      <w:r w:rsidRPr="007D4A2B">
        <w:rPr>
          <w:bCs/>
        </w:rPr>
        <w:t>] </w:t>
      </w:r>
      <w:r w:rsidRPr="007D4A2B">
        <w:rPr>
          <w:bCs/>
          <w:shd w:val="clear" w:color="auto" w:fill="FFFFFF"/>
        </w:rPr>
        <w:t>Saskaņā ar</w:t>
      </w:r>
      <w:r w:rsidR="00846896" w:rsidRPr="007D4A2B">
        <w:rPr>
          <w:bCs/>
          <w:shd w:val="clear" w:color="auto" w:fill="FFFFFF"/>
        </w:rPr>
        <w:t xml:space="preserve"> likuma</w:t>
      </w:r>
      <w:r w:rsidRPr="007D4A2B">
        <w:rPr>
          <w:bCs/>
          <w:shd w:val="clear" w:color="auto" w:fill="FFFFFF"/>
        </w:rPr>
        <w:t xml:space="preserve"> </w:t>
      </w:r>
      <w:r w:rsidR="00BD0917" w:rsidRPr="007D4A2B">
        <w:t>„</w:t>
      </w:r>
      <w:r w:rsidR="00846896" w:rsidRPr="007D4A2B">
        <w:rPr>
          <w:bCs/>
        </w:rPr>
        <w:t>Par nodokļiem un nodevām” 23.</w:t>
      </w:r>
      <w:proofErr w:type="gramStart"/>
      <w:r w:rsidR="00846896" w:rsidRPr="007D4A2B">
        <w:rPr>
          <w:bCs/>
          <w:vertAlign w:val="superscript"/>
        </w:rPr>
        <w:t>2</w:t>
      </w:r>
      <w:r w:rsidR="00846896" w:rsidRPr="007D4A2B">
        <w:rPr>
          <w:bCs/>
        </w:rPr>
        <w:t>panta</w:t>
      </w:r>
      <w:proofErr w:type="gramEnd"/>
      <w:r w:rsidR="00846896" w:rsidRPr="007D4A2B">
        <w:rPr>
          <w:bCs/>
        </w:rPr>
        <w:t xml:space="preserve"> p</w:t>
      </w:r>
      <w:r w:rsidR="00B210A9" w:rsidRPr="007D4A2B">
        <w:rPr>
          <w:bCs/>
          <w:shd w:val="clear" w:color="auto" w:fill="FFFFFF"/>
        </w:rPr>
        <w:t xml:space="preserve">irmo daļu, ja konkrēto nodokļu likumos un šajā pantā nav noteikts citādi, nodokļu aprēķināšanā par preces, darba vai pakalpojuma cenu uzskata attiecīgās lietas (darbības) cenu (vērtību) darījumā. Atbilstoši panta </w:t>
      </w:r>
      <w:r w:rsidRPr="007D4A2B">
        <w:rPr>
          <w:bCs/>
          <w:shd w:val="clear" w:color="auto" w:fill="FFFFFF"/>
        </w:rPr>
        <w:t>otrās daļas 1.punkt</w:t>
      </w:r>
      <w:r w:rsidR="00B210A9" w:rsidRPr="007D4A2B">
        <w:rPr>
          <w:bCs/>
          <w:shd w:val="clear" w:color="auto" w:fill="FFFFFF"/>
        </w:rPr>
        <w:t>am</w:t>
      </w:r>
      <w:r w:rsidRPr="007D4A2B">
        <w:rPr>
          <w:bCs/>
          <w:shd w:val="clear" w:color="auto" w:fill="FFFFFF"/>
        </w:rPr>
        <w:t xml:space="preserve">, ja </w:t>
      </w:r>
      <w:r w:rsidRPr="007D4A2B">
        <w:rPr>
          <w:bCs/>
        </w:rPr>
        <w:t>tas nav pretrunā ar konkrētā nodokļa likumu, nodokļu administrācija, veicot nodokļu revīziju (auditu), ir tiesīga pārbaudīt darījumu cenas (vērtības) noteikšanas pareizību un precizēt darījuma cenu (vērtību) darījumos starp saistītām personām.</w:t>
      </w:r>
    </w:p>
    <w:p w14:paraId="349CFF0B" w14:textId="3A76ABAA" w:rsidR="00E87998" w:rsidRPr="007D4A2B" w:rsidRDefault="005E7643" w:rsidP="00794753">
      <w:pPr>
        <w:spacing w:line="276" w:lineRule="auto"/>
        <w:ind w:firstLine="567"/>
        <w:contextualSpacing/>
        <w:jc w:val="both"/>
        <w:rPr>
          <w:bCs/>
        </w:rPr>
      </w:pPr>
      <w:r w:rsidRPr="007D4A2B">
        <w:rPr>
          <w:bCs/>
        </w:rPr>
        <w:t xml:space="preserve">Tātad </w:t>
      </w:r>
      <w:r w:rsidR="008F7FC9" w:rsidRPr="007D4A2B">
        <w:rPr>
          <w:bCs/>
        </w:rPr>
        <w:t xml:space="preserve">minētajās tiesību normās ir noteiktas </w:t>
      </w:r>
      <w:r w:rsidR="00B16EF6" w:rsidRPr="007D4A2B">
        <w:rPr>
          <w:bCs/>
        </w:rPr>
        <w:t>d</w:t>
      </w:r>
      <w:r w:rsidR="00B210A9" w:rsidRPr="007D4A2B">
        <w:rPr>
          <w:bCs/>
        </w:rPr>
        <w:t xml:space="preserve">ienesta tiesības </w:t>
      </w:r>
      <w:r w:rsidR="00BD0917" w:rsidRPr="007D4A2B">
        <w:rPr>
          <w:bCs/>
        </w:rPr>
        <w:t xml:space="preserve">koriģēt darījuma vērtību un noteikt, kāda darījuma vērtība ir apliekama ar nodokli, ņemot vērā </w:t>
      </w:r>
      <w:r w:rsidRPr="007D4A2B">
        <w:rPr>
          <w:bCs/>
        </w:rPr>
        <w:t>konkrētā nodokļa likum</w:t>
      </w:r>
      <w:r w:rsidR="00B16EF6" w:rsidRPr="007D4A2B">
        <w:rPr>
          <w:bCs/>
        </w:rPr>
        <w:t>ā paredzēto</w:t>
      </w:r>
      <w:r w:rsidRPr="007D4A2B">
        <w:rPr>
          <w:bCs/>
        </w:rPr>
        <w:t>.</w:t>
      </w:r>
    </w:p>
    <w:p w14:paraId="377FB42E" w14:textId="69DC721A" w:rsidR="00B16EF6" w:rsidRPr="007D4A2B" w:rsidRDefault="00F125BC" w:rsidP="00794753">
      <w:pPr>
        <w:spacing w:line="276" w:lineRule="auto"/>
        <w:ind w:firstLine="567"/>
        <w:contextualSpacing/>
        <w:jc w:val="both"/>
        <w:rPr>
          <w:bCs/>
        </w:rPr>
      </w:pPr>
      <w:r w:rsidRPr="007D4A2B">
        <w:rPr>
          <w:bCs/>
        </w:rPr>
        <w:t xml:space="preserve">Darījuma vērtība, kas tiek aplikta ar pievienotās vērtības nodokli, ir noteikta Pievienotās vērtības nodokļa likuma </w:t>
      </w:r>
      <w:proofErr w:type="gramStart"/>
      <w:r w:rsidRPr="007D4A2B">
        <w:rPr>
          <w:bCs/>
        </w:rPr>
        <w:t>34.pantā</w:t>
      </w:r>
      <w:proofErr w:type="gramEnd"/>
      <w:r w:rsidRPr="007D4A2B">
        <w:rPr>
          <w:bCs/>
        </w:rPr>
        <w:t>. Atbilstoši šā panta pirmajai daļai vispārīgi p</w:t>
      </w:r>
      <w:r w:rsidRPr="007D4A2B">
        <w:rPr>
          <w:bCs/>
          <w:shd w:val="clear" w:color="auto" w:fill="FFFFFF"/>
        </w:rPr>
        <w:t>reču piegādes un pakalpojumu sniegšanas darījumā ar nodokli apliekamā vērtība ir atlīdzība par piegādātajām precēm vai sniegtajiem pakalpojumiem. Vienlaikus šajā pantā ir paredzēti arī gadījumi, kad ar nodokli apliek nevis atlīdzību par piegādātajām precēm un sniegtajiem pakalpojumiem, bet gan darījuma tirgus vērtību</w:t>
      </w:r>
      <w:r w:rsidR="002D5951" w:rsidRPr="007D4A2B">
        <w:rPr>
          <w:bCs/>
          <w:shd w:val="clear" w:color="auto" w:fill="FFFFFF"/>
        </w:rPr>
        <w:t>. Darījuma tirgus vērtība</w:t>
      </w:r>
      <w:r w:rsidR="00757758" w:rsidRPr="007D4A2B">
        <w:rPr>
          <w:bCs/>
          <w:shd w:val="clear" w:color="auto" w:fill="FFFFFF"/>
        </w:rPr>
        <w:t xml:space="preserve"> saskaņā ar </w:t>
      </w:r>
      <w:r w:rsidRPr="007D4A2B">
        <w:rPr>
          <w:bCs/>
          <w:shd w:val="clear" w:color="auto" w:fill="FFFFFF"/>
        </w:rPr>
        <w:t xml:space="preserve">Pievienotās vērtības nodokļa likuma </w:t>
      </w:r>
      <w:proofErr w:type="gramStart"/>
      <w:r w:rsidRPr="007D4A2B">
        <w:rPr>
          <w:bCs/>
          <w:shd w:val="clear" w:color="auto" w:fill="FFFFFF"/>
        </w:rPr>
        <w:t>1.panta</w:t>
      </w:r>
      <w:proofErr w:type="gramEnd"/>
      <w:r w:rsidRPr="007D4A2B">
        <w:rPr>
          <w:bCs/>
          <w:shd w:val="clear" w:color="auto" w:fill="FFFFFF"/>
        </w:rPr>
        <w:t xml:space="preserve"> </w:t>
      </w:r>
      <w:r w:rsidRPr="007D4A2B">
        <w:rPr>
          <w:bCs/>
          <w:lang w:eastAsia="lv-LV"/>
        </w:rPr>
        <w:t xml:space="preserve">27.punkta </w:t>
      </w:r>
      <w:r w:rsidR="002D5951" w:rsidRPr="007D4A2B">
        <w:t>„</w:t>
      </w:r>
      <w:r w:rsidRPr="007D4A2B">
        <w:rPr>
          <w:bCs/>
          <w:lang w:eastAsia="lv-LV"/>
        </w:rPr>
        <w:t>a” apakšpunkt</w:t>
      </w:r>
      <w:r w:rsidR="00757758" w:rsidRPr="007D4A2B">
        <w:rPr>
          <w:bCs/>
          <w:lang w:eastAsia="lv-LV"/>
        </w:rPr>
        <w:t>u</w:t>
      </w:r>
      <w:r w:rsidRPr="007D4A2B">
        <w:rPr>
          <w:bCs/>
          <w:lang w:eastAsia="lv-LV"/>
        </w:rPr>
        <w:t xml:space="preserve"> ir atlīdzība par precēm vai pakalpojumiem, kas attiecīgo preču vai pakalpojumu saņēmējam piegādes brīdī godīgas konkurences apstākļos būtu jāmaksā citam piegādātājam, kurš nav uzskatāms par saistītu personu likuma </w:t>
      </w:r>
      <w:r w:rsidR="002D5951" w:rsidRPr="007D4A2B">
        <w:t>„</w:t>
      </w:r>
      <w:r w:rsidRPr="007D4A2B">
        <w:rPr>
          <w:bCs/>
          <w:lang w:eastAsia="lv-LV"/>
        </w:rPr>
        <w:t>Par nodokļiem un nodevām”</w:t>
      </w:r>
      <w:r w:rsidR="002D5951" w:rsidRPr="007D4A2B">
        <w:rPr>
          <w:bCs/>
          <w:lang w:eastAsia="lv-LV"/>
        </w:rPr>
        <w:t xml:space="preserve"> izpratnē</w:t>
      </w:r>
      <w:r w:rsidRPr="007D4A2B">
        <w:rPr>
          <w:bCs/>
          <w:lang w:eastAsia="lv-LV"/>
        </w:rPr>
        <w:t xml:space="preserve">. </w:t>
      </w:r>
      <w:r w:rsidRPr="007D4A2B">
        <w:rPr>
          <w:bCs/>
          <w:shd w:val="clear" w:color="auto" w:fill="FFFFFF"/>
        </w:rPr>
        <w:t xml:space="preserve">Viens no šādiem gadījumiem ir paredzēts </w:t>
      </w:r>
      <w:r w:rsidR="002D5951" w:rsidRPr="007D4A2B">
        <w:rPr>
          <w:bCs/>
          <w:shd w:val="clear" w:color="auto" w:fill="FFFFFF"/>
        </w:rPr>
        <w:t xml:space="preserve">Pievienotās vērtības nodokļa likuma </w:t>
      </w:r>
      <w:r w:rsidRPr="007D4A2B">
        <w:rPr>
          <w:bCs/>
          <w:shd w:val="clear" w:color="auto" w:fill="FFFFFF"/>
        </w:rPr>
        <w:t xml:space="preserve">34.panta </w:t>
      </w:r>
      <w:r w:rsidR="005E7643" w:rsidRPr="007D4A2B">
        <w:rPr>
          <w:bCs/>
        </w:rPr>
        <w:t>devītā</w:t>
      </w:r>
      <w:r w:rsidR="00976470" w:rsidRPr="007D4A2B">
        <w:rPr>
          <w:bCs/>
        </w:rPr>
        <w:t>s</w:t>
      </w:r>
      <w:r w:rsidR="005E7643" w:rsidRPr="007D4A2B">
        <w:rPr>
          <w:bCs/>
        </w:rPr>
        <w:t xml:space="preserve"> daļa</w:t>
      </w:r>
      <w:r w:rsidR="00976470" w:rsidRPr="007D4A2B">
        <w:rPr>
          <w:bCs/>
        </w:rPr>
        <w:t>s 3.punkt</w:t>
      </w:r>
      <w:r w:rsidR="00B16EF6" w:rsidRPr="007D4A2B">
        <w:rPr>
          <w:bCs/>
        </w:rPr>
        <w:t>ā</w:t>
      </w:r>
      <w:r w:rsidRPr="007D4A2B">
        <w:rPr>
          <w:bCs/>
        </w:rPr>
        <w:t xml:space="preserve">, atbilstoši kuram </w:t>
      </w:r>
      <w:r w:rsidR="005E7643" w:rsidRPr="007D4A2B">
        <w:rPr>
          <w:bCs/>
        </w:rPr>
        <w:t>p</w:t>
      </w:r>
      <w:r w:rsidR="005E7643" w:rsidRPr="007D4A2B">
        <w:rPr>
          <w:bCs/>
          <w:lang w:eastAsia="lv-LV"/>
        </w:rPr>
        <w:t>reču piegādes un pakalpojumu sniegšanas darījumā starp saistītām personām likuma</w:t>
      </w:r>
      <w:r w:rsidR="00BD69E1" w:rsidRPr="007D4A2B">
        <w:rPr>
          <w:bCs/>
          <w:lang w:eastAsia="lv-LV"/>
        </w:rPr>
        <w:t xml:space="preserve"> </w:t>
      </w:r>
      <w:r w:rsidR="002D5951" w:rsidRPr="007D4A2B">
        <w:t>„</w:t>
      </w:r>
      <w:r w:rsidR="00BD69E1" w:rsidRPr="007D4A2B">
        <w:rPr>
          <w:bCs/>
          <w:lang w:eastAsia="lv-LV"/>
        </w:rPr>
        <w:t>Par nodokļiem un nodevām”</w:t>
      </w:r>
      <w:r w:rsidR="005E7643" w:rsidRPr="007D4A2B">
        <w:rPr>
          <w:bCs/>
          <w:lang w:eastAsia="lv-LV"/>
        </w:rPr>
        <w:t xml:space="preserve"> izpratnē ar nodokli apliekamā vērtība ir preču piegādes un pakalpojumu sniegšanas tirgus vērtība, ja darījuma vērtība ir</w:t>
      </w:r>
      <w:r w:rsidR="00976470" w:rsidRPr="007D4A2B">
        <w:rPr>
          <w:bCs/>
          <w:lang w:eastAsia="lv-LV"/>
        </w:rPr>
        <w:t xml:space="preserve"> </w:t>
      </w:r>
      <w:r w:rsidR="005E7643" w:rsidRPr="007D4A2B">
        <w:rPr>
          <w:bCs/>
          <w:lang w:eastAsia="lv-LV"/>
        </w:rPr>
        <w:t>lielāka par tirgus vērtību un preču piegādātājam vai pakalpojumu sniedzējam nav tiesību atskaitīt priekšnodokli pilnā apmērā.</w:t>
      </w:r>
    </w:p>
    <w:p w14:paraId="4BAADD3D" w14:textId="491240BD" w:rsidR="005E7643" w:rsidRPr="007D4A2B" w:rsidRDefault="00B16EF6" w:rsidP="00794753">
      <w:pPr>
        <w:spacing w:line="276" w:lineRule="auto"/>
        <w:ind w:firstLine="567"/>
        <w:contextualSpacing/>
        <w:jc w:val="both"/>
        <w:rPr>
          <w:bCs/>
          <w:lang w:eastAsia="lv-LV"/>
        </w:rPr>
      </w:pPr>
      <w:r w:rsidRPr="007D4A2B">
        <w:rPr>
          <w:bCs/>
        </w:rPr>
        <w:t xml:space="preserve">Tātad </w:t>
      </w:r>
      <w:r w:rsidR="00F125BC" w:rsidRPr="007D4A2B">
        <w:rPr>
          <w:bCs/>
        </w:rPr>
        <w:t xml:space="preserve">šajā tiesību normā ir paredzēti divi priekšnoteikumi, </w:t>
      </w:r>
      <w:r w:rsidR="008F7FC9" w:rsidRPr="007D4A2B">
        <w:rPr>
          <w:bCs/>
        </w:rPr>
        <w:t>kuriem iestājotie</w:t>
      </w:r>
      <w:r w:rsidR="00452844" w:rsidRPr="007D4A2B">
        <w:rPr>
          <w:bCs/>
        </w:rPr>
        <w:t>s</w:t>
      </w:r>
      <w:r w:rsidR="008F7FC9" w:rsidRPr="007D4A2B">
        <w:rPr>
          <w:bCs/>
        </w:rPr>
        <w:t xml:space="preserve"> ar nodokli tiek aplikta</w:t>
      </w:r>
      <w:r w:rsidR="00452844" w:rsidRPr="007D4A2B">
        <w:rPr>
          <w:bCs/>
        </w:rPr>
        <w:t xml:space="preserve"> </w:t>
      </w:r>
      <w:r w:rsidR="002D5951" w:rsidRPr="007D4A2B">
        <w:rPr>
          <w:bCs/>
        </w:rPr>
        <w:t xml:space="preserve">nevis darījuma dokumentos norādītā atlīdzība, bet gan </w:t>
      </w:r>
      <w:r w:rsidR="008F7FC9" w:rsidRPr="007D4A2B">
        <w:rPr>
          <w:bCs/>
        </w:rPr>
        <w:t>darījuma tirgus vērtība</w:t>
      </w:r>
      <w:r w:rsidR="00E03BBB" w:rsidRPr="007D4A2B">
        <w:rPr>
          <w:bCs/>
        </w:rPr>
        <w:t xml:space="preserve">, proti, dokumentos norādītā </w:t>
      </w:r>
      <w:r w:rsidR="00650CE0" w:rsidRPr="007D4A2B">
        <w:rPr>
          <w:bCs/>
          <w:lang w:eastAsia="lv-LV"/>
        </w:rPr>
        <w:t>darījuma vērtība ir lielāka par tirgus vērtību</w:t>
      </w:r>
      <w:r w:rsidR="00757758" w:rsidRPr="007D4A2B">
        <w:rPr>
          <w:bCs/>
          <w:lang w:eastAsia="lv-LV"/>
        </w:rPr>
        <w:t>,</w:t>
      </w:r>
      <w:r w:rsidR="00650CE0" w:rsidRPr="007D4A2B">
        <w:rPr>
          <w:bCs/>
          <w:lang w:eastAsia="lv-LV"/>
        </w:rPr>
        <w:t xml:space="preserve"> </w:t>
      </w:r>
      <w:r w:rsidR="00650CE0" w:rsidRPr="007D4A2B">
        <w:rPr>
          <w:bCs/>
          <w:i/>
          <w:iCs/>
          <w:lang w:eastAsia="lv-LV"/>
        </w:rPr>
        <w:t>un</w:t>
      </w:r>
      <w:r w:rsidR="00650CE0" w:rsidRPr="007D4A2B">
        <w:rPr>
          <w:bCs/>
          <w:lang w:eastAsia="lv-LV"/>
        </w:rPr>
        <w:t xml:space="preserve"> preču piegādātājam nav tiesību atskaitīt priekšnodokli pilnā apmērā.</w:t>
      </w:r>
    </w:p>
    <w:p w14:paraId="1C159E10" w14:textId="77777777" w:rsidR="00E561FE" w:rsidRPr="007D4A2B" w:rsidRDefault="00E561FE" w:rsidP="00794753">
      <w:pPr>
        <w:spacing w:line="276" w:lineRule="auto"/>
        <w:ind w:firstLine="567"/>
        <w:contextualSpacing/>
        <w:jc w:val="both"/>
        <w:rPr>
          <w:bCs/>
          <w:lang w:eastAsia="lv-LV"/>
        </w:rPr>
      </w:pPr>
    </w:p>
    <w:p w14:paraId="63D0CD8A" w14:textId="3530AF52" w:rsidR="00BD3EFB" w:rsidRPr="007D4A2B" w:rsidRDefault="00E561FE" w:rsidP="00794753">
      <w:pPr>
        <w:spacing w:line="276" w:lineRule="auto"/>
        <w:ind w:firstLine="567"/>
        <w:contextualSpacing/>
        <w:jc w:val="both"/>
        <w:rPr>
          <w:bCs/>
          <w:lang w:eastAsia="lv-LV"/>
        </w:rPr>
      </w:pPr>
      <w:r w:rsidRPr="007D4A2B">
        <w:rPr>
          <w:bCs/>
          <w:lang w:eastAsia="lv-LV"/>
        </w:rPr>
        <w:t>[</w:t>
      </w:r>
      <w:r w:rsidR="00A201DE" w:rsidRPr="007D4A2B">
        <w:rPr>
          <w:bCs/>
          <w:lang w:eastAsia="lv-LV"/>
        </w:rPr>
        <w:t>17</w:t>
      </w:r>
      <w:r w:rsidRPr="007D4A2B">
        <w:rPr>
          <w:bCs/>
          <w:lang w:eastAsia="lv-LV"/>
        </w:rPr>
        <w:t>] </w:t>
      </w:r>
      <w:r w:rsidR="007F2B34" w:rsidRPr="007D4A2B">
        <w:rPr>
          <w:bCs/>
          <w:lang w:eastAsia="lv-LV"/>
        </w:rPr>
        <w:t xml:space="preserve">Pievienotās vērtības nodokļa likuma </w:t>
      </w:r>
      <w:proofErr w:type="gramStart"/>
      <w:r w:rsidR="007F2B34" w:rsidRPr="007D4A2B">
        <w:rPr>
          <w:bCs/>
          <w:lang w:eastAsia="lv-LV"/>
        </w:rPr>
        <w:t>34.panta</w:t>
      </w:r>
      <w:proofErr w:type="gramEnd"/>
      <w:r w:rsidR="007F2B34" w:rsidRPr="007D4A2B">
        <w:rPr>
          <w:bCs/>
          <w:lang w:eastAsia="lv-LV"/>
        </w:rPr>
        <w:t xml:space="preserve"> devītās daļas 3.punktā ir transponēt</w:t>
      </w:r>
      <w:r w:rsidR="00757758" w:rsidRPr="007D4A2B">
        <w:rPr>
          <w:bCs/>
          <w:lang w:eastAsia="lv-LV"/>
        </w:rPr>
        <w:t>a</w:t>
      </w:r>
      <w:r w:rsidR="007F2B34" w:rsidRPr="007D4A2B">
        <w:rPr>
          <w:bCs/>
          <w:lang w:eastAsia="lv-LV"/>
        </w:rPr>
        <w:t xml:space="preserve"> </w:t>
      </w:r>
      <w:r w:rsidR="00F73E72" w:rsidRPr="007D4A2B">
        <w:rPr>
          <w:bCs/>
          <w:lang w:eastAsia="lv-LV"/>
        </w:rPr>
        <w:t>Padomes 2006.gada 28.novembra direktīvas 2006/112/E</w:t>
      </w:r>
      <w:r w:rsidR="002F679F" w:rsidRPr="007D4A2B">
        <w:rPr>
          <w:bCs/>
          <w:lang w:eastAsia="lv-LV"/>
        </w:rPr>
        <w:t xml:space="preserve">K par kopējo pievienotās vērtības nodokļa sistēmu (turpmāk – Pievienotās vērtības nodokļa direktīva) </w:t>
      </w:r>
      <w:r w:rsidR="007F2B34" w:rsidRPr="007D4A2B">
        <w:rPr>
          <w:bCs/>
          <w:lang w:eastAsia="lv-LV"/>
        </w:rPr>
        <w:t>80.panta 1.punkta</w:t>
      </w:r>
      <w:r w:rsidR="002D5951" w:rsidRPr="007D4A2B">
        <w:rPr>
          <w:bCs/>
          <w:lang w:eastAsia="lv-LV"/>
        </w:rPr>
        <w:t xml:space="preserve"> </w:t>
      </w:r>
      <w:r w:rsidR="002D5951" w:rsidRPr="007D4A2B">
        <w:t>„</w:t>
      </w:r>
      <w:r w:rsidR="007F2B34" w:rsidRPr="007D4A2B">
        <w:rPr>
          <w:bCs/>
          <w:lang w:eastAsia="lv-LV"/>
        </w:rPr>
        <w:t>a” apakšpunkt</w:t>
      </w:r>
      <w:r w:rsidR="00757758" w:rsidRPr="007D4A2B">
        <w:rPr>
          <w:bCs/>
          <w:lang w:eastAsia="lv-LV"/>
        </w:rPr>
        <w:t>a norma</w:t>
      </w:r>
      <w:r w:rsidR="00BD3EFB" w:rsidRPr="007D4A2B">
        <w:rPr>
          <w:bCs/>
          <w:lang w:eastAsia="lv-LV"/>
        </w:rPr>
        <w:t>, kas noteic: l</w:t>
      </w:r>
      <w:r w:rsidR="00BD3EFB" w:rsidRPr="007D4A2B">
        <w:t>ai novērstu nodokļu nemaksāšanu vai izvairīšanos no nodokļu maksāšanas, dalībvalstis var veikt pasākumus, lai nodrošinātu, ka summa, kurai uzliek nodokli, attiecībā uz preču piegādēm un pakalpojumu sniegšanu pircējiem vai saņēmējiem, ar ko pastāv ģimenes saites vai citas ciešas personiskas saites, vadības, īpašuma, dalības, finanšu vai juridiskas saites, kā tās definējusi attiecīgā dalībvalsts, ir atvērta tirgus vērtība, ja atlīdzība ir lielāka par atvērtā tirgus vērtību un ja preču piegādātājam vai pakalpojumu sniedzējam nav tiesību pilnībā atskaitīt pievienotās vērtības nodokli saskaņā ar 167. līdz 171.pantu un 173. līdz 177.pantu.</w:t>
      </w:r>
    </w:p>
    <w:p w14:paraId="54E1643D" w14:textId="279F4AED" w:rsidR="00BD3EFB" w:rsidRPr="007D4A2B" w:rsidRDefault="00BD3EFB" w:rsidP="00794753">
      <w:pPr>
        <w:spacing w:line="276" w:lineRule="auto"/>
        <w:ind w:firstLine="567"/>
        <w:contextualSpacing/>
        <w:jc w:val="both"/>
      </w:pPr>
      <w:r w:rsidRPr="007D4A2B">
        <w:rPr>
          <w:bCs/>
          <w:lang w:eastAsia="lv-LV"/>
        </w:rPr>
        <w:t xml:space="preserve">Eiropas Savienības Tiesa, interpretējot </w:t>
      </w:r>
      <w:r w:rsidR="00E561FE" w:rsidRPr="007D4A2B">
        <w:rPr>
          <w:bCs/>
          <w:lang w:eastAsia="lv-LV"/>
        </w:rPr>
        <w:t xml:space="preserve">Pievienotās vērtības nodokļa direktīvas </w:t>
      </w:r>
      <w:proofErr w:type="gramStart"/>
      <w:r w:rsidR="00E561FE" w:rsidRPr="007D4A2B">
        <w:t>80.panta</w:t>
      </w:r>
      <w:proofErr w:type="gramEnd"/>
      <w:r w:rsidR="00E561FE" w:rsidRPr="007D4A2B">
        <w:t xml:space="preserve"> 1.punktu,</w:t>
      </w:r>
      <w:r w:rsidRPr="007D4A2B">
        <w:rPr>
          <w:bCs/>
          <w:lang w:eastAsia="lv-LV"/>
        </w:rPr>
        <w:t xml:space="preserve"> atzinusi, ka </w:t>
      </w:r>
      <w:r w:rsidR="00E561FE" w:rsidRPr="007D4A2B">
        <w:rPr>
          <w:bCs/>
          <w:lang w:eastAsia="lv-LV"/>
        </w:rPr>
        <w:t xml:space="preserve">minētajā tiesību normā </w:t>
      </w:r>
      <w:r w:rsidRPr="007D4A2B">
        <w:t>paredzētie piemērošanas nosacījumi ir izsmeļoši un līdz ar to valsts tiesību aktos, pamatojoties uz šo tiesību normu, nevar tikt paredzēts, ka nodokļa bāze ir darījuma atvērtā tirgus vērtība citos gadījumos nekā tie, kuri uzskaitīti minētajā tiesību normā, it īpaši, ja piegādātājam vai pircējam ir tiesības pilnībā atskaitīt pievienotās vērtības nodokli (</w:t>
      </w:r>
      <w:r w:rsidR="002F679F" w:rsidRPr="007D4A2B">
        <w:rPr>
          <w:i/>
          <w:iCs/>
        </w:rPr>
        <w:t xml:space="preserve">Eiropas Savienības Tiesas 2012.gada 26.aprīļa sprieduma apvienotajās lietās </w:t>
      </w:r>
      <w:proofErr w:type="spellStart"/>
      <w:r w:rsidR="002F679F" w:rsidRPr="007D4A2B">
        <w:rPr>
          <w:i/>
          <w:iCs/>
        </w:rPr>
        <w:t>Balkan</w:t>
      </w:r>
      <w:proofErr w:type="spellEnd"/>
      <w:r w:rsidR="002F679F" w:rsidRPr="007D4A2B">
        <w:rPr>
          <w:i/>
          <w:iCs/>
        </w:rPr>
        <w:t xml:space="preserve"> </w:t>
      </w:r>
      <w:proofErr w:type="spellStart"/>
      <w:r w:rsidR="002F679F" w:rsidRPr="007D4A2B">
        <w:rPr>
          <w:i/>
          <w:iCs/>
        </w:rPr>
        <w:t>and</w:t>
      </w:r>
      <w:proofErr w:type="spellEnd"/>
      <w:r w:rsidR="002F679F" w:rsidRPr="007D4A2B">
        <w:rPr>
          <w:i/>
          <w:iCs/>
        </w:rPr>
        <w:t xml:space="preserve"> </w:t>
      </w:r>
      <w:proofErr w:type="spellStart"/>
      <w:r w:rsidR="002F679F" w:rsidRPr="007D4A2B">
        <w:rPr>
          <w:i/>
          <w:iCs/>
        </w:rPr>
        <w:t>Sea</w:t>
      </w:r>
      <w:proofErr w:type="spellEnd"/>
      <w:r w:rsidR="002F679F" w:rsidRPr="007D4A2B">
        <w:rPr>
          <w:i/>
          <w:iCs/>
        </w:rPr>
        <w:t xml:space="preserve"> </w:t>
      </w:r>
      <w:proofErr w:type="spellStart"/>
      <w:r w:rsidR="002F679F" w:rsidRPr="007D4A2B">
        <w:rPr>
          <w:i/>
          <w:iCs/>
        </w:rPr>
        <w:t>Properties</w:t>
      </w:r>
      <w:proofErr w:type="spellEnd"/>
      <w:r w:rsidR="002F679F" w:rsidRPr="007D4A2B">
        <w:rPr>
          <w:i/>
          <w:iCs/>
        </w:rPr>
        <w:t xml:space="preserve"> ADSITS un </w:t>
      </w:r>
      <w:proofErr w:type="spellStart"/>
      <w:r w:rsidR="002F679F" w:rsidRPr="007D4A2B">
        <w:rPr>
          <w:i/>
          <w:iCs/>
        </w:rPr>
        <w:t>Provadinvest</w:t>
      </w:r>
      <w:proofErr w:type="spellEnd"/>
      <w:r w:rsidR="002F679F" w:rsidRPr="007D4A2B">
        <w:rPr>
          <w:i/>
          <w:iCs/>
        </w:rPr>
        <w:t> OOD, C</w:t>
      </w:r>
      <w:r w:rsidR="002F679F" w:rsidRPr="007D4A2B">
        <w:rPr>
          <w:i/>
          <w:iCs/>
        </w:rPr>
        <w:noBreakHyphen/>
        <w:t>621/10 un C</w:t>
      </w:r>
      <w:r w:rsidR="002F679F" w:rsidRPr="007D4A2B">
        <w:rPr>
          <w:i/>
          <w:iCs/>
        </w:rPr>
        <w:noBreakHyphen/>
        <w:t xml:space="preserve">129/11, </w:t>
      </w:r>
      <w:bookmarkStart w:id="30" w:name="_Hlk107167792"/>
      <w:r w:rsidR="009624B0" w:rsidRPr="009624B0">
        <w:rPr>
          <w:i/>
          <w:iCs/>
          <w:color w:val="000000" w:themeColor="text1"/>
        </w:rPr>
        <w:fldChar w:fldCharType="begin"/>
      </w:r>
      <w:r w:rsidR="009624B0" w:rsidRPr="009624B0">
        <w:rPr>
          <w:i/>
          <w:iCs/>
          <w:color w:val="000000" w:themeColor="text1"/>
        </w:rPr>
        <w:instrText xml:space="preserve"> HYPERLINK "https://manas.tiesas.lv/eTiesasMvc/eclinolemumi/ECLI:EU:C:2012:248" </w:instrText>
      </w:r>
      <w:r w:rsidR="009624B0" w:rsidRPr="009624B0">
        <w:rPr>
          <w:i/>
          <w:iCs/>
          <w:color w:val="000000" w:themeColor="text1"/>
        </w:rPr>
        <w:fldChar w:fldCharType="separate"/>
      </w:r>
      <w:r w:rsidR="002F679F" w:rsidRPr="009624B0">
        <w:rPr>
          <w:rStyle w:val="Hyperlink"/>
          <w:i/>
          <w:iCs/>
          <w:color w:val="000000" w:themeColor="text1"/>
          <w:u w:val="none"/>
        </w:rPr>
        <w:t>ECLI:EU:C:2012:248</w:t>
      </w:r>
      <w:bookmarkEnd w:id="30"/>
      <w:r w:rsidR="009624B0" w:rsidRPr="009624B0">
        <w:rPr>
          <w:i/>
          <w:iCs/>
          <w:color w:val="000000" w:themeColor="text1"/>
        </w:rPr>
        <w:fldChar w:fldCharType="end"/>
      </w:r>
      <w:r w:rsidR="002F679F" w:rsidRPr="007D4A2B">
        <w:rPr>
          <w:i/>
          <w:iCs/>
        </w:rPr>
        <w:t xml:space="preserve">, </w:t>
      </w:r>
      <w:r w:rsidRPr="007D4A2B">
        <w:rPr>
          <w:i/>
          <w:iCs/>
        </w:rPr>
        <w:t>51.punkts</w:t>
      </w:r>
      <w:r w:rsidRPr="007D4A2B">
        <w:t>).</w:t>
      </w:r>
    </w:p>
    <w:p w14:paraId="2B2581A4" w14:textId="72D8C234" w:rsidR="000658E3" w:rsidRPr="007D4A2B" w:rsidRDefault="00BD3EFB" w:rsidP="00794753">
      <w:pPr>
        <w:spacing w:line="276" w:lineRule="auto"/>
        <w:ind w:firstLine="567"/>
        <w:contextualSpacing/>
        <w:jc w:val="both"/>
      </w:pPr>
      <w:r w:rsidRPr="007D4A2B">
        <w:t xml:space="preserve">Tātad tikai tad, ja iestājas Pievienotās vērtības nodokļa direktīvas </w:t>
      </w:r>
      <w:proofErr w:type="gramStart"/>
      <w:r w:rsidRPr="007D4A2B">
        <w:t>80.panta</w:t>
      </w:r>
      <w:proofErr w:type="gramEnd"/>
      <w:r w:rsidRPr="007D4A2B">
        <w:t xml:space="preserve"> 1.punkta „a” apakšpunktā (attiecīgi Pievienotās vērtības nodokļa likuma 34.panta devītās daļas 3.punktā) paredzētie priekšnoteikumi, ir pamats noteikt un ar nodokli aplikt darījuma tirgus vērtību</w:t>
      </w:r>
      <w:r w:rsidR="000658E3" w:rsidRPr="007D4A2B">
        <w:t>.</w:t>
      </w:r>
      <w:r w:rsidR="002C314B" w:rsidRPr="007D4A2B">
        <w:t xml:space="preserve"> Turklāt minētajā normā paredzēt</w:t>
      </w:r>
      <w:r w:rsidR="004D5698">
        <w:t>ais</w:t>
      </w:r>
      <w:r w:rsidR="002C314B" w:rsidRPr="007D4A2B">
        <w:t xml:space="preserve"> izņēmum</w:t>
      </w:r>
      <w:r w:rsidR="004D5698">
        <w:t>s</w:t>
      </w:r>
      <w:r w:rsidR="002C314B" w:rsidRPr="007D4A2B">
        <w:t xml:space="preserve"> no vispārējās kārtības ir jāinterpretē šauri (</w:t>
      </w:r>
      <w:r w:rsidR="002F679F" w:rsidRPr="007D4A2B">
        <w:rPr>
          <w:i/>
          <w:iCs/>
        </w:rPr>
        <w:t xml:space="preserve">iepriekš minētā sprieduma </w:t>
      </w:r>
      <w:r w:rsidR="002C314B" w:rsidRPr="007D4A2B">
        <w:rPr>
          <w:i/>
          <w:iCs/>
        </w:rPr>
        <w:t>45.punkts</w:t>
      </w:r>
      <w:r w:rsidR="002C314B" w:rsidRPr="007D4A2B">
        <w:t>).</w:t>
      </w:r>
    </w:p>
    <w:p w14:paraId="1DCEBF26" w14:textId="77777777" w:rsidR="0078434A" w:rsidRPr="007D4A2B" w:rsidRDefault="0078434A" w:rsidP="00794753">
      <w:pPr>
        <w:spacing w:line="276" w:lineRule="auto"/>
        <w:ind w:firstLine="567"/>
        <w:contextualSpacing/>
        <w:jc w:val="both"/>
        <w:rPr>
          <w:bCs/>
        </w:rPr>
      </w:pPr>
    </w:p>
    <w:p w14:paraId="3470639F" w14:textId="49F5966A" w:rsidR="00FC11C9" w:rsidRPr="007D4A2B" w:rsidRDefault="0078434A" w:rsidP="00794753">
      <w:pPr>
        <w:spacing w:line="276" w:lineRule="auto"/>
        <w:ind w:firstLine="567"/>
        <w:contextualSpacing/>
        <w:jc w:val="both"/>
        <w:rPr>
          <w:bCs/>
        </w:rPr>
      </w:pPr>
      <w:r w:rsidRPr="007D4A2B">
        <w:rPr>
          <w:bCs/>
        </w:rPr>
        <w:t>[</w:t>
      </w:r>
      <w:r w:rsidR="00A201DE" w:rsidRPr="007D4A2B">
        <w:rPr>
          <w:bCs/>
        </w:rPr>
        <w:t>18</w:t>
      </w:r>
      <w:r w:rsidRPr="007D4A2B">
        <w:rPr>
          <w:bCs/>
        </w:rPr>
        <w:t xml:space="preserve">] Senāts konstatē, ka apgabaltiesas spriedumā ir pieminēti atsevišķi </w:t>
      </w:r>
      <w:r w:rsidR="007E5BC8" w:rsidRPr="007D4A2B">
        <w:rPr>
          <w:bCs/>
        </w:rPr>
        <w:t xml:space="preserve">ar projekta dokumentācijas iegādi saistītie </w:t>
      </w:r>
      <w:r w:rsidRPr="007D4A2B">
        <w:rPr>
          <w:bCs/>
        </w:rPr>
        <w:t>darījuma dokumenti un SIA </w:t>
      </w:r>
      <w:r w:rsidR="007E5BC8" w:rsidRPr="007D4A2B">
        <w:t>„</w:t>
      </w:r>
      <w:r w:rsidRPr="007D4A2B">
        <w:rPr>
          <w:bCs/>
        </w:rPr>
        <w:t>NEO 21” amatpersonas liecība, kā rezultātā secināts, ka SIA </w:t>
      </w:r>
      <w:r w:rsidR="007E5BC8" w:rsidRPr="007D4A2B">
        <w:t>„</w:t>
      </w:r>
      <w:r w:rsidRPr="007D4A2B">
        <w:rPr>
          <w:bCs/>
        </w:rPr>
        <w:t>NEO 21” un SIA </w:t>
      </w:r>
      <w:r w:rsidR="007E5BC8" w:rsidRPr="007D4A2B">
        <w:t>„</w:t>
      </w:r>
      <w:r w:rsidRPr="007D4A2B">
        <w:rPr>
          <w:bCs/>
        </w:rPr>
        <w:t>TER </w:t>
      </w:r>
      <w:proofErr w:type="spellStart"/>
      <w:r w:rsidRPr="007D4A2B">
        <w:rPr>
          <w:bCs/>
        </w:rPr>
        <w:t>Properties</w:t>
      </w:r>
      <w:proofErr w:type="spellEnd"/>
      <w:r w:rsidRPr="007D4A2B">
        <w:rPr>
          <w:bCs/>
        </w:rPr>
        <w:t>” noslēgt</w:t>
      </w:r>
      <w:r w:rsidR="007E5BC8" w:rsidRPr="007D4A2B">
        <w:rPr>
          <w:bCs/>
        </w:rPr>
        <w:t>ā</w:t>
      </w:r>
      <w:r w:rsidRPr="007D4A2B">
        <w:rPr>
          <w:bCs/>
        </w:rPr>
        <w:t xml:space="preserve"> darījuma summa nav balstīta nekādos racionālos apsvērumos, jo SIA </w:t>
      </w:r>
      <w:r w:rsidR="007E5BC8" w:rsidRPr="007D4A2B">
        <w:t>„</w:t>
      </w:r>
      <w:r w:rsidRPr="007D4A2B">
        <w:rPr>
          <w:bCs/>
        </w:rPr>
        <w:t>TER </w:t>
      </w:r>
      <w:proofErr w:type="spellStart"/>
      <w:r w:rsidRPr="007D4A2B">
        <w:rPr>
          <w:bCs/>
        </w:rPr>
        <w:t>Properties</w:t>
      </w:r>
      <w:proofErr w:type="spellEnd"/>
      <w:r w:rsidRPr="007D4A2B">
        <w:rPr>
          <w:bCs/>
        </w:rPr>
        <w:t>” nebija šķēršļu nopirkt projekta dokumentāciju no SIA </w:t>
      </w:r>
      <w:r w:rsidR="007E5BC8" w:rsidRPr="007D4A2B">
        <w:t>„</w:t>
      </w:r>
      <w:r w:rsidRPr="007D4A2B">
        <w:rPr>
          <w:bCs/>
        </w:rPr>
        <w:t xml:space="preserve">NEOBALTS” par sākotnējo cenu. </w:t>
      </w:r>
      <w:r w:rsidR="00235ADF" w:rsidRPr="007D4A2B">
        <w:rPr>
          <w:bCs/>
        </w:rPr>
        <w:t xml:space="preserve">Tālāk tiesas spriedumā ir citētas likuma </w:t>
      </w:r>
      <w:r w:rsidR="007E5BC8" w:rsidRPr="007D4A2B">
        <w:t>„</w:t>
      </w:r>
      <w:r w:rsidR="00235ADF" w:rsidRPr="007D4A2B">
        <w:rPr>
          <w:bCs/>
        </w:rPr>
        <w:t>Par nodokļiem un nodevām 23.</w:t>
      </w:r>
      <w:r w:rsidR="00235ADF" w:rsidRPr="007D4A2B">
        <w:rPr>
          <w:bCs/>
          <w:vertAlign w:val="superscript"/>
        </w:rPr>
        <w:t>2</w:t>
      </w:r>
      <w:r w:rsidR="00235ADF" w:rsidRPr="007D4A2B">
        <w:rPr>
          <w:bCs/>
        </w:rPr>
        <w:t xml:space="preserve">panta otrās daļas 1.punkta, ceturtās daļas 2.punkta un Pievienotās vērtības nodokļa likuma 34.panta devītās daļas normas. Taču tiesas spriedumā </w:t>
      </w:r>
      <w:r w:rsidR="00FC11C9" w:rsidRPr="007D4A2B">
        <w:rPr>
          <w:bCs/>
        </w:rPr>
        <w:t xml:space="preserve">šīs tiesību normas nav analizētas un nav </w:t>
      </w:r>
      <w:r w:rsidR="00235ADF" w:rsidRPr="007D4A2B">
        <w:rPr>
          <w:bCs/>
        </w:rPr>
        <w:t xml:space="preserve">veikta </w:t>
      </w:r>
      <w:r w:rsidR="00FC11C9" w:rsidRPr="007D4A2B">
        <w:rPr>
          <w:bCs/>
        </w:rPr>
        <w:t xml:space="preserve">to </w:t>
      </w:r>
      <w:proofErr w:type="spellStart"/>
      <w:r w:rsidR="00235ADF" w:rsidRPr="007D4A2B">
        <w:rPr>
          <w:bCs/>
        </w:rPr>
        <w:t>subsumpcija</w:t>
      </w:r>
      <w:proofErr w:type="spellEnd"/>
      <w:r w:rsidR="00235ADF" w:rsidRPr="007D4A2B">
        <w:rPr>
          <w:bCs/>
        </w:rPr>
        <w:t xml:space="preserve"> ar izskatāmās lietas faktiskajiem apstākļiem, </w:t>
      </w:r>
      <w:r w:rsidR="00030572" w:rsidRPr="007D4A2B">
        <w:rPr>
          <w:bCs/>
        </w:rPr>
        <w:t xml:space="preserve">kā arī </w:t>
      </w:r>
      <w:r w:rsidR="00235ADF" w:rsidRPr="007D4A2B">
        <w:rPr>
          <w:bCs/>
        </w:rPr>
        <w:t>nav norādīts, vai šīs tiesību normas ir piemērojamas izskatāmajā gadījumā</w:t>
      </w:r>
      <w:r w:rsidR="00FC11C9" w:rsidRPr="007D4A2B">
        <w:rPr>
          <w:bCs/>
        </w:rPr>
        <w:t xml:space="preserve"> un vai tās pamato dienesta veiktos nodokļa aprēķinus. Rezultātā spriedumā </w:t>
      </w:r>
      <w:r w:rsidR="00030572" w:rsidRPr="007D4A2B">
        <w:rPr>
          <w:bCs/>
        </w:rPr>
        <w:t xml:space="preserve">nav </w:t>
      </w:r>
      <w:r w:rsidR="00235ADF" w:rsidRPr="007D4A2B">
        <w:rPr>
          <w:bCs/>
        </w:rPr>
        <w:t xml:space="preserve">arī </w:t>
      </w:r>
      <w:r w:rsidRPr="007D4A2B">
        <w:rPr>
          <w:bCs/>
        </w:rPr>
        <w:t>norādīts, vai izskatāmajā gadījumā ir iestājušies</w:t>
      </w:r>
      <w:r w:rsidR="00030572" w:rsidRPr="007D4A2B">
        <w:rPr>
          <w:bCs/>
        </w:rPr>
        <w:t xml:space="preserve"> likumdevēja paredzētie kritēriji</w:t>
      </w:r>
      <w:r w:rsidR="00FC11C9" w:rsidRPr="007D4A2B">
        <w:rPr>
          <w:bCs/>
        </w:rPr>
        <w:t xml:space="preserve">, kas dod pamatu </w:t>
      </w:r>
      <w:r w:rsidR="002C314B" w:rsidRPr="007D4A2B">
        <w:rPr>
          <w:bCs/>
        </w:rPr>
        <w:t xml:space="preserve">pievienotās vērtības </w:t>
      </w:r>
      <w:r w:rsidR="00FC11C9" w:rsidRPr="007D4A2B">
        <w:rPr>
          <w:bCs/>
        </w:rPr>
        <w:t>nodok</w:t>
      </w:r>
      <w:r w:rsidR="000658E3" w:rsidRPr="007D4A2B">
        <w:rPr>
          <w:bCs/>
        </w:rPr>
        <w:t xml:space="preserve">ļa aprēķināšanai izmantot </w:t>
      </w:r>
      <w:r w:rsidR="00030572" w:rsidRPr="007D4A2B">
        <w:rPr>
          <w:bCs/>
        </w:rPr>
        <w:t>darījuma tirgus</w:t>
      </w:r>
      <w:r w:rsidR="007E5BC8" w:rsidRPr="007D4A2B">
        <w:rPr>
          <w:bCs/>
        </w:rPr>
        <w:t xml:space="preserve"> vērtīb</w:t>
      </w:r>
      <w:r w:rsidR="00386B03" w:rsidRPr="007D4A2B">
        <w:rPr>
          <w:bCs/>
        </w:rPr>
        <w:t>u</w:t>
      </w:r>
      <w:r w:rsidR="00030572" w:rsidRPr="007D4A2B">
        <w:rPr>
          <w:bCs/>
        </w:rPr>
        <w:t xml:space="preserve">. </w:t>
      </w:r>
      <w:r w:rsidR="00FC11C9" w:rsidRPr="007D4A2B">
        <w:rPr>
          <w:bCs/>
        </w:rPr>
        <w:t>T</w:t>
      </w:r>
      <w:r w:rsidR="00817638" w:rsidRPr="007D4A2B">
        <w:rPr>
          <w:bCs/>
        </w:rPr>
        <w:t xml:space="preserve">āpat tiesas spriedumā </w:t>
      </w:r>
      <w:r w:rsidR="00FC11C9" w:rsidRPr="007D4A2B">
        <w:rPr>
          <w:bCs/>
        </w:rPr>
        <w:t>nav skaidrots, vai dienests ir pareizi noteicis darījuma tirgus vērtību. Šajā sakarā nav sniegts nekāds vērtējums</w:t>
      </w:r>
      <w:r w:rsidR="00817638" w:rsidRPr="007D4A2B">
        <w:rPr>
          <w:bCs/>
        </w:rPr>
        <w:t xml:space="preserve"> arī</w:t>
      </w:r>
      <w:r w:rsidR="00FC11C9" w:rsidRPr="007D4A2B">
        <w:rPr>
          <w:bCs/>
        </w:rPr>
        <w:t xml:space="preserve"> tam, ka dienests </w:t>
      </w:r>
      <w:r w:rsidR="001A76DE" w:rsidRPr="007D4A2B">
        <w:rPr>
          <w:bCs/>
        </w:rPr>
        <w:t>ir pamatojies uz darījuma vērtību vienā no strīdus darījuma posmiem</w:t>
      </w:r>
      <w:r w:rsidR="00FC11C9" w:rsidRPr="007D4A2B">
        <w:rPr>
          <w:bCs/>
        </w:rPr>
        <w:t xml:space="preserve"> un </w:t>
      </w:r>
      <w:r w:rsidR="001A76DE" w:rsidRPr="007D4A2B">
        <w:rPr>
          <w:bCs/>
        </w:rPr>
        <w:t xml:space="preserve">vienlaikus </w:t>
      </w:r>
      <w:r w:rsidR="00FC11C9" w:rsidRPr="007D4A2B">
        <w:rPr>
          <w:bCs/>
        </w:rPr>
        <w:t xml:space="preserve">ir </w:t>
      </w:r>
      <w:r w:rsidR="001A76DE" w:rsidRPr="007D4A2B">
        <w:rPr>
          <w:bCs/>
        </w:rPr>
        <w:t>atz</w:t>
      </w:r>
      <w:r w:rsidR="00FC11C9" w:rsidRPr="007D4A2B">
        <w:rPr>
          <w:bCs/>
        </w:rPr>
        <w:t>inis</w:t>
      </w:r>
      <w:r w:rsidR="001A76DE" w:rsidRPr="007D4A2B">
        <w:rPr>
          <w:bCs/>
        </w:rPr>
        <w:t xml:space="preserve">, ka strīdus darījuma ķēdes dalībnieki ir saistītās personas, </w:t>
      </w:r>
      <w:r w:rsidR="007E5BC8" w:rsidRPr="007D4A2B">
        <w:rPr>
          <w:bCs/>
        </w:rPr>
        <w:t>taču</w:t>
      </w:r>
      <w:r w:rsidR="001A76DE" w:rsidRPr="007D4A2B">
        <w:rPr>
          <w:bCs/>
        </w:rPr>
        <w:t xml:space="preserve"> </w:t>
      </w:r>
      <w:r w:rsidR="00030572" w:rsidRPr="007D4A2B">
        <w:rPr>
          <w:bCs/>
        </w:rPr>
        <w:t xml:space="preserve">atbilstoši iepriekš minētajām tiesību normām darījuma tirgus vērtība ir atlīdzība, kas preču saņēmējam būtu jāmaksā </w:t>
      </w:r>
      <w:r w:rsidR="001A76DE" w:rsidRPr="007D4A2B">
        <w:rPr>
          <w:bCs/>
        </w:rPr>
        <w:t>piegādātājam, kurš nav uzskatāms par saistīto personu.</w:t>
      </w:r>
    </w:p>
    <w:p w14:paraId="64D3E527" w14:textId="1E4D598F" w:rsidR="00817638" w:rsidRPr="007D4A2B" w:rsidRDefault="00817638" w:rsidP="00794753">
      <w:pPr>
        <w:spacing w:line="276" w:lineRule="auto"/>
        <w:ind w:firstLine="567"/>
        <w:contextualSpacing/>
        <w:jc w:val="both"/>
        <w:rPr>
          <w:bCs/>
        </w:rPr>
      </w:pPr>
    </w:p>
    <w:p w14:paraId="043A940D" w14:textId="7F05E032" w:rsidR="0071320F" w:rsidRPr="007D4A2B" w:rsidRDefault="003B4DD7" w:rsidP="00794753">
      <w:pPr>
        <w:spacing w:line="276" w:lineRule="auto"/>
        <w:ind w:firstLine="567"/>
        <w:contextualSpacing/>
        <w:jc w:val="both"/>
      </w:pPr>
      <w:r w:rsidRPr="007D4A2B">
        <w:t>[</w:t>
      </w:r>
      <w:r w:rsidR="00A201DE" w:rsidRPr="007D4A2B">
        <w:t>19</w:t>
      </w:r>
      <w:r w:rsidRPr="007D4A2B">
        <w:t>] Apgabaltiesa spriedumā</w:t>
      </w:r>
      <w:r w:rsidR="002F679F" w:rsidRPr="007D4A2B">
        <w:t xml:space="preserve"> norādījusi, ka atbilstoši </w:t>
      </w:r>
      <w:r w:rsidRPr="007D4A2B">
        <w:t xml:space="preserve">Eiropas Savienības Tiesas </w:t>
      </w:r>
      <w:r w:rsidR="002F679F" w:rsidRPr="007D4A2B">
        <w:t>atzītajam,</w:t>
      </w:r>
      <w:r w:rsidRPr="007D4A2B">
        <w:t xml:space="preserve"> ja preču vai pakalpojumu piegāde par mākslīgi zemu vai augstu cenu notiek starp darījuma dalībniekiem, kuriem abiem ir tiesības pilnībā atskaitīt pievienotās vērtības nodokli saistībā ar darījumu, tad šajā posmā nav nodokļu nemaksāšana vai izvairīšanās no nodokļu maksāšanas, taču tā var būt galapatērētāja posmā (</w:t>
      </w:r>
      <w:r w:rsidR="007D4A2B" w:rsidRPr="007D4A2B">
        <w:rPr>
          <w:i/>
          <w:iCs/>
        </w:rPr>
        <w:t xml:space="preserve">Eiropas Savienības Tiesas sprieduma lietā </w:t>
      </w:r>
      <w:proofErr w:type="spellStart"/>
      <w:r w:rsidR="007D4A2B" w:rsidRPr="007D4A2B">
        <w:rPr>
          <w:i/>
          <w:iCs/>
        </w:rPr>
        <w:t>Balkan</w:t>
      </w:r>
      <w:proofErr w:type="spellEnd"/>
      <w:r w:rsidR="007D4A2B" w:rsidRPr="007D4A2B">
        <w:rPr>
          <w:i/>
          <w:iCs/>
        </w:rPr>
        <w:t xml:space="preserve"> </w:t>
      </w:r>
      <w:proofErr w:type="spellStart"/>
      <w:r w:rsidR="007D4A2B" w:rsidRPr="007D4A2B">
        <w:rPr>
          <w:i/>
          <w:iCs/>
        </w:rPr>
        <w:t>and</w:t>
      </w:r>
      <w:proofErr w:type="spellEnd"/>
      <w:r w:rsidR="007D4A2B" w:rsidRPr="007D4A2B">
        <w:rPr>
          <w:i/>
          <w:iCs/>
        </w:rPr>
        <w:t xml:space="preserve"> </w:t>
      </w:r>
      <w:proofErr w:type="spellStart"/>
      <w:r w:rsidR="007D4A2B" w:rsidRPr="007D4A2B">
        <w:rPr>
          <w:i/>
          <w:iCs/>
        </w:rPr>
        <w:t>Sea</w:t>
      </w:r>
      <w:proofErr w:type="spellEnd"/>
      <w:r w:rsidR="007D4A2B" w:rsidRPr="007D4A2B">
        <w:rPr>
          <w:i/>
          <w:iCs/>
        </w:rPr>
        <w:t xml:space="preserve"> </w:t>
      </w:r>
      <w:proofErr w:type="spellStart"/>
      <w:r w:rsidR="007D4A2B" w:rsidRPr="007D4A2B">
        <w:rPr>
          <w:i/>
          <w:iCs/>
        </w:rPr>
        <w:t>Properties</w:t>
      </w:r>
      <w:proofErr w:type="spellEnd"/>
      <w:r w:rsidR="007D4A2B" w:rsidRPr="007D4A2B">
        <w:rPr>
          <w:i/>
          <w:iCs/>
        </w:rPr>
        <w:t xml:space="preserve"> ADSITS un </w:t>
      </w:r>
      <w:proofErr w:type="spellStart"/>
      <w:r w:rsidR="007D4A2B" w:rsidRPr="007D4A2B">
        <w:rPr>
          <w:i/>
          <w:iCs/>
        </w:rPr>
        <w:t>Provadinvest</w:t>
      </w:r>
      <w:proofErr w:type="spellEnd"/>
      <w:r w:rsidR="007D4A2B" w:rsidRPr="007D4A2B">
        <w:rPr>
          <w:i/>
          <w:iCs/>
        </w:rPr>
        <w:t> OOD</w:t>
      </w:r>
      <w:r w:rsidR="009624B0">
        <w:rPr>
          <w:i/>
          <w:iCs/>
        </w:rPr>
        <w:t xml:space="preserve">, </w:t>
      </w:r>
      <w:r w:rsidR="009624B0" w:rsidRPr="007D4A2B">
        <w:rPr>
          <w:i/>
          <w:iCs/>
        </w:rPr>
        <w:t>C</w:t>
      </w:r>
      <w:r w:rsidR="009624B0" w:rsidRPr="007D4A2B">
        <w:rPr>
          <w:i/>
          <w:iCs/>
        </w:rPr>
        <w:noBreakHyphen/>
        <w:t>621/10 un C</w:t>
      </w:r>
      <w:r w:rsidR="009624B0" w:rsidRPr="007D4A2B">
        <w:rPr>
          <w:i/>
          <w:iCs/>
        </w:rPr>
        <w:noBreakHyphen/>
        <w:t xml:space="preserve">129/11, </w:t>
      </w:r>
      <w:hyperlink r:id="rId11" w:history="1">
        <w:r w:rsidR="009624B0" w:rsidRPr="009624B0">
          <w:rPr>
            <w:rStyle w:val="Hyperlink"/>
            <w:i/>
            <w:iCs/>
            <w:color w:val="000000" w:themeColor="text1"/>
            <w:u w:val="none"/>
          </w:rPr>
          <w:t>ECLI:EU:C:2012:248</w:t>
        </w:r>
      </w:hyperlink>
      <w:r w:rsidR="009624B0">
        <w:rPr>
          <w:i/>
          <w:iCs/>
          <w:color w:val="000000" w:themeColor="text1"/>
        </w:rPr>
        <w:t>,</w:t>
      </w:r>
      <w:r w:rsidR="007D4A2B" w:rsidRPr="007D4A2B">
        <w:rPr>
          <w:i/>
          <w:iCs/>
        </w:rPr>
        <w:t xml:space="preserve"> </w:t>
      </w:r>
      <w:r w:rsidRPr="007D4A2B">
        <w:rPr>
          <w:i/>
          <w:iCs/>
        </w:rPr>
        <w:t>47.punkts</w:t>
      </w:r>
      <w:r w:rsidRPr="007D4A2B">
        <w:t>). T</w:t>
      </w:r>
      <w:r w:rsidR="006977C4" w:rsidRPr="007D4A2B">
        <w:t>o ievērojot, a</w:t>
      </w:r>
      <w:r w:rsidRPr="007D4A2B">
        <w:t xml:space="preserve">pgabaltiesa </w:t>
      </w:r>
      <w:r w:rsidR="007D5A0B" w:rsidRPr="007D4A2B">
        <w:t>atzinusi</w:t>
      </w:r>
      <w:r w:rsidRPr="007D4A2B">
        <w:t>, ka ir nepieciešams vērtēt visu darījum</w:t>
      </w:r>
      <w:r w:rsidR="002C314B" w:rsidRPr="007D4A2B">
        <w:t>a</w:t>
      </w:r>
      <w:r w:rsidRPr="007D4A2B">
        <w:t xml:space="preserve"> ķēd</w:t>
      </w:r>
      <w:r w:rsidR="007D5A0B" w:rsidRPr="007D4A2B">
        <w:t>i</w:t>
      </w:r>
      <w:r w:rsidRPr="007D4A2B">
        <w:t xml:space="preserve"> kopumā, jo </w:t>
      </w:r>
      <w:r w:rsidR="007D5A0B" w:rsidRPr="007D4A2B">
        <w:t xml:space="preserve">nodokļa nemaksāšana var tikt konstatēta </w:t>
      </w:r>
      <w:r w:rsidRPr="007D4A2B">
        <w:t>galapatērētāja posmā</w:t>
      </w:r>
      <w:r w:rsidR="007D5A0B" w:rsidRPr="007D4A2B">
        <w:t>. Tālāk tiesa ir</w:t>
      </w:r>
      <w:r w:rsidR="00386B03" w:rsidRPr="007D4A2B">
        <w:t xml:space="preserve"> secinājusi</w:t>
      </w:r>
      <w:r w:rsidR="007D5A0B" w:rsidRPr="007D4A2B">
        <w:t xml:space="preserve">, ka pieteicēja </w:t>
      </w:r>
      <w:r w:rsidRPr="007D4A2B">
        <w:t>noteiktu laika posmu</w:t>
      </w:r>
      <w:r w:rsidR="007D5A0B" w:rsidRPr="007D4A2B">
        <w:t xml:space="preserve"> ir bijusi galapatērētājs, kas nesamaksā valsts budžetā pievienotās vērtības nodokli, tādējādi radot valsts budžetam ievērojamu kaitējumu.</w:t>
      </w:r>
    </w:p>
    <w:p w14:paraId="7FDCC61B" w14:textId="60410095" w:rsidR="001977A6" w:rsidRPr="007D4A2B" w:rsidRDefault="007D5A0B" w:rsidP="00794753">
      <w:pPr>
        <w:spacing w:line="276" w:lineRule="auto"/>
        <w:ind w:firstLine="567"/>
        <w:contextualSpacing/>
        <w:jc w:val="both"/>
      </w:pPr>
      <w:r w:rsidRPr="007D4A2B">
        <w:t xml:space="preserve">Pirmkārt, minētais tiesas secinājums </w:t>
      </w:r>
      <w:r w:rsidR="00A44013">
        <w:t>nav pamatot</w:t>
      </w:r>
      <w:r w:rsidR="009624B0">
        <w:t>s</w:t>
      </w:r>
      <w:r w:rsidR="00A44013">
        <w:t>, jo,</w:t>
      </w:r>
      <w:r w:rsidRPr="007D4A2B">
        <w:t xml:space="preserve"> tam sekojot, būtu jāatzīst, ka ikviens nodokļu maksātājs, kas iegādājas konkrētu preci vai saņem pakalpojumu</w:t>
      </w:r>
      <w:r w:rsidR="000302C0" w:rsidRPr="007D4A2B">
        <w:t xml:space="preserve"> tā tālākai izmantošanai ar nodokli apliekamo darījumu nodrošināšanai, ir galapatērētājs. Taču tas pēc būtības neatbilst pievienotās vērtības nodokļa sistēmai. Otrkārt, pats par sevi apstāklis, ka nodokļu maksātāja deklarētā no budžeta atmaksājamā pievienotās vērtības nodokļa summa ir lielāka par budžetā maksājamo nodokļa summu, nenozīmē, ka tādējādi nodokļu maksātājs valsts budžetam ir radījis zaudējumus. Š</w:t>
      </w:r>
      <w:r w:rsidR="00864F5F" w:rsidRPr="007D4A2B">
        <w:t xml:space="preserve">ajā sakarā </w:t>
      </w:r>
      <w:r w:rsidR="002C314B" w:rsidRPr="007D4A2B">
        <w:t xml:space="preserve">vēlreiz </w:t>
      </w:r>
      <w:r w:rsidR="000302C0" w:rsidRPr="007D4A2B">
        <w:t xml:space="preserve">jāatgādina, ka priekšnodokļa atskaitīšana ir pievienotās vērtības nodokļa sistēmas </w:t>
      </w:r>
      <w:r w:rsidR="002C314B" w:rsidRPr="007D4A2B">
        <w:t xml:space="preserve">neatņemama </w:t>
      </w:r>
      <w:r w:rsidR="000302C0" w:rsidRPr="007D4A2B">
        <w:t xml:space="preserve">sastāvdaļa un pamats runāt par valsts budžeta aizskārumu ir vienīgi tad, ja priekšnodoklis tiek atskaitīts, neievērojot </w:t>
      </w:r>
      <w:proofErr w:type="spellStart"/>
      <w:r w:rsidR="000302C0" w:rsidRPr="007D4A2B">
        <w:t>materiāltiesiskās</w:t>
      </w:r>
      <w:proofErr w:type="spellEnd"/>
      <w:r w:rsidR="000302C0" w:rsidRPr="007D4A2B">
        <w:t xml:space="preserve"> prasības. Treškārt, apgabaltiesa, atsaucoties uz minēto Eiropas Savienības Tiesas spriedumu, nav ņēmusi vērā tajā skaidri norādīto, ka krāpšanas vai izvairīšanās no nodokļu maksāšanas risks, kuru dalībvalstīm saskaņā ar Pievienotās vērtības nodokļa direktīvas 80.panta 1.punktu ir atļauts novērst, </w:t>
      </w:r>
      <w:r w:rsidR="0071320F" w:rsidRPr="007D4A2B">
        <w:t>pastāv vienīgi gadījumā, ja attiecīgajai personai, kas iesaistīta darījumā, nav tiesību pilnībā atskaitīt nodokli (</w:t>
      </w:r>
      <w:r w:rsidR="007D4A2B" w:rsidRPr="007D4A2B">
        <w:rPr>
          <w:i/>
          <w:iCs/>
        </w:rPr>
        <w:t>Eiropas Savienības</w:t>
      </w:r>
      <w:r w:rsidR="009624B0">
        <w:rPr>
          <w:i/>
          <w:iCs/>
        </w:rPr>
        <w:t xml:space="preserve"> Tiesas</w:t>
      </w:r>
      <w:r w:rsidR="007D4A2B" w:rsidRPr="007D4A2B">
        <w:rPr>
          <w:i/>
          <w:iCs/>
        </w:rPr>
        <w:t xml:space="preserve"> sprieduma lietā </w:t>
      </w:r>
      <w:proofErr w:type="spellStart"/>
      <w:r w:rsidR="007D4A2B" w:rsidRPr="007D4A2B">
        <w:rPr>
          <w:i/>
          <w:iCs/>
        </w:rPr>
        <w:t>Balkan</w:t>
      </w:r>
      <w:proofErr w:type="spellEnd"/>
      <w:r w:rsidR="007D4A2B" w:rsidRPr="007D4A2B">
        <w:rPr>
          <w:i/>
          <w:iCs/>
        </w:rPr>
        <w:t xml:space="preserve"> </w:t>
      </w:r>
      <w:proofErr w:type="spellStart"/>
      <w:r w:rsidR="007D4A2B" w:rsidRPr="007D4A2B">
        <w:rPr>
          <w:i/>
          <w:iCs/>
        </w:rPr>
        <w:t>and</w:t>
      </w:r>
      <w:proofErr w:type="spellEnd"/>
      <w:r w:rsidR="007D4A2B" w:rsidRPr="007D4A2B">
        <w:rPr>
          <w:i/>
          <w:iCs/>
        </w:rPr>
        <w:t xml:space="preserve"> </w:t>
      </w:r>
      <w:proofErr w:type="spellStart"/>
      <w:r w:rsidR="007D4A2B" w:rsidRPr="007D4A2B">
        <w:rPr>
          <w:i/>
          <w:iCs/>
        </w:rPr>
        <w:t>Sea</w:t>
      </w:r>
      <w:proofErr w:type="spellEnd"/>
      <w:r w:rsidR="007D4A2B" w:rsidRPr="007D4A2B">
        <w:rPr>
          <w:i/>
          <w:iCs/>
        </w:rPr>
        <w:t xml:space="preserve"> </w:t>
      </w:r>
      <w:proofErr w:type="spellStart"/>
      <w:r w:rsidR="007D4A2B" w:rsidRPr="007D4A2B">
        <w:rPr>
          <w:i/>
          <w:iCs/>
        </w:rPr>
        <w:t>Properties</w:t>
      </w:r>
      <w:proofErr w:type="spellEnd"/>
      <w:r w:rsidR="007D4A2B" w:rsidRPr="007D4A2B">
        <w:rPr>
          <w:i/>
          <w:iCs/>
        </w:rPr>
        <w:t xml:space="preserve"> ADSITS un </w:t>
      </w:r>
      <w:proofErr w:type="spellStart"/>
      <w:r w:rsidR="007D4A2B" w:rsidRPr="007D4A2B">
        <w:rPr>
          <w:i/>
          <w:iCs/>
        </w:rPr>
        <w:t>Provadinvest</w:t>
      </w:r>
      <w:proofErr w:type="spellEnd"/>
      <w:r w:rsidR="007D4A2B" w:rsidRPr="007D4A2B">
        <w:rPr>
          <w:i/>
          <w:iCs/>
        </w:rPr>
        <w:t> OOD</w:t>
      </w:r>
      <w:r w:rsidR="009624B0">
        <w:rPr>
          <w:i/>
          <w:iCs/>
        </w:rPr>
        <w:t xml:space="preserve">, </w:t>
      </w:r>
      <w:r w:rsidR="009624B0" w:rsidRPr="007D4A2B">
        <w:rPr>
          <w:i/>
          <w:iCs/>
        </w:rPr>
        <w:t>C</w:t>
      </w:r>
      <w:r w:rsidR="009624B0" w:rsidRPr="007D4A2B">
        <w:rPr>
          <w:i/>
          <w:iCs/>
        </w:rPr>
        <w:noBreakHyphen/>
        <w:t>621/10 un C</w:t>
      </w:r>
      <w:r w:rsidR="009624B0" w:rsidRPr="007D4A2B">
        <w:rPr>
          <w:i/>
          <w:iCs/>
        </w:rPr>
        <w:noBreakHyphen/>
        <w:t xml:space="preserve">129/11, </w:t>
      </w:r>
      <w:hyperlink r:id="rId12" w:history="1">
        <w:r w:rsidR="009624B0" w:rsidRPr="009624B0">
          <w:rPr>
            <w:rStyle w:val="Hyperlink"/>
            <w:i/>
            <w:iCs/>
            <w:color w:val="000000" w:themeColor="text1"/>
            <w:u w:val="none"/>
          </w:rPr>
          <w:t>ECLI:EU:C:2012:248</w:t>
        </w:r>
      </w:hyperlink>
      <w:r w:rsidR="009624B0">
        <w:rPr>
          <w:i/>
          <w:iCs/>
          <w:color w:val="000000" w:themeColor="text1"/>
        </w:rPr>
        <w:t>,</w:t>
      </w:r>
      <w:r w:rsidR="007D4A2B" w:rsidRPr="007D4A2B">
        <w:rPr>
          <w:i/>
          <w:iCs/>
        </w:rPr>
        <w:t xml:space="preserve"> </w:t>
      </w:r>
      <w:r w:rsidR="0071320F" w:rsidRPr="007D4A2B">
        <w:rPr>
          <w:i/>
          <w:iCs/>
        </w:rPr>
        <w:t>48.punkts</w:t>
      </w:r>
      <w:r w:rsidR="0071320F" w:rsidRPr="007D4A2B">
        <w:t>). Kā minēts jau iepriekš, apgabaltiesa nav pārbaudījusi, vai ir izpildījies šis Pievienotās vērtības nodokļa direktīvas 80.panta 1.punkt</w:t>
      </w:r>
      <w:r w:rsidR="00864F5F" w:rsidRPr="007D4A2B">
        <w:t>a „a” apakšpunkt</w:t>
      </w:r>
      <w:r w:rsidR="0071320F" w:rsidRPr="007D4A2B">
        <w:t xml:space="preserve">ā un attiecīgi Pievienotās vērtības nodokļa likuma 34.panta devītās daļas 3.punktā paredzētais kritērijs. </w:t>
      </w:r>
    </w:p>
    <w:p w14:paraId="11E5B55C" w14:textId="77777777" w:rsidR="001977A6" w:rsidRPr="007D4A2B" w:rsidRDefault="001977A6" w:rsidP="00794753">
      <w:pPr>
        <w:spacing w:line="276" w:lineRule="auto"/>
        <w:ind w:firstLine="567"/>
        <w:contextualSpacing/>
        <w:jc w:val="both"/>
      </w:pPr>
    </w:p>
    <w:p w14:paraId="541F72FE" w14:textId="533F8DBB" w:rsidR="0071320F" w:rsidRPr="007D4A2B" w:rsidRDefault="001977A6" w:rsidP="00794753">
      <w:pPr>
        <w:spacing w:line="276" w:lineRule="auto"/>
        <w:ind w:firstLine="567"/>
        <w:contextualSpacing/>
        <w:jc w:val="both"/>
        <w:rPr>
          <w:lang w:eastAsia="lv-LV"/>
        </w:rPr>
      </w:pPr>
      <w:r w:rsidRPr="007D4A2B">
        <w:t>[</w:t>
      </w:r>
      <w:r w:rsidR="00A201DE" w:rsidRPr="007D4A2B">
        <w:t>20</w:t>
      </w:r>
      <w:r w:rsidRPr="007D4A2B">
        <w:t>] </w:t>
      </w:r>
      <w:r w:rsidR="0071320F" w:rsidRPr="007D4A2B">
        <w:t xml:space="preserve">Vienlaikus apgabaltiesa pamatoti norādījusi, ka </w:t>
      </w:r>
      <w:bookmarkStart w:id="31" w:name="point49"/>
      <w:r w:rsidR="0071320F" w:rsidRPr="007D4A2B">
        <w:t>atbilstoši Eiropas Savienības Tiesas atzītajam</w:t>
      </w:r>
      <w:bookmarkEnd w:id="31"/>
      <w:r w:rsidR="0071320F" w:rsidRPr="007D4A2B">
        <w:t xml:space="preserve"> </w:t>
      </w:r>
      <w:r w:rsidR="0071320F" w:rsidRPr="007D4A2B">
        <w:rPr>
          <w:lang w:eastAsia="lv-LV"/>
        </w:rPr>
        <w:t>dalībvalstīm ir tiesības paredzēt citus pienākumus, lai novērstu krāpšanu</w:t>
      </w:r>
      <w:r w:rsidR="00A44013">
        <w:rPr>
          <w:lang w:eastAsia="lv-LV"/>
        </w:rPr>
        <w:t>, ievērojot nosac</w:t>
      </w:r>
      <w:r w:rsidR="0071320F" w:rsidRPr="007D4A2B">
        <w:rPr>
          <w:lang w:eastAsia="lv-LV"/>
        </w:rPr>
        <w:t xml:space="preserve">ījumus, kas paredzēti Pievienotās vērtības nodokļa direktīvas </w:t>
      </w:r>
      <w:proofErr w:type="gramStart"/>
      <w:r w:rsidR="0071320F" w:rsidRPr="007D4A2B">
        <w:rPr>
          <w:lang w:eastAsia="lv-LV"/>
        </w:rPr>
        <w:t>273.pantā</w:t>
      </w:r>
      <w:proofErr w:type="gramEnd"/>
      <w:r w:rsidR="0071320F" w:rsidRPr="007D4A2B">
        <w:rPr>
          <w:lang w:eastAsia="lv-LV"/>
        </w:rPr>
        <w:t xml:space="preserve"> (</w:t>
      </w:r>
      <w:r w:rsidR="007D4A2B" w:rsidRPr="007D4A2B">
        <w:rPr>
          <w:i/>
          <w:iCs/>
        </w:rPr>
        <w:t xml:space="preserve">Eiropas Savienības Tiesas sprieduma lietā </w:t>
      </w:r>
      <w:proofErr w:type="spellStart"/>
      <w:r w:rsidR="007D4A2B" w:rsidRPr="007D4A2B">
        <w:rPr>
          <w:i/>
          <w:iCs/>
        </w:rPr>
        <w:t>Balkan</w:t>
      </w:r>
      <w:proofErr w:type="spellEnd"/>
      <w:r w:rsidR="007D4A2B" w:rsidRPr="007D4A2B">
        <w:rPr>
          <w:i/>
          <w:iCs/>
        </w:rPr>
        <w:t xml:space="preserve"> </w:t>
      </w:r>
      <w:proofErr w:type="spellStart"/>
      <w:r w:rsidR="007D4A2B" w:rsidRPr="007D4A2B">
        <w:rPr>
          <w:i/>
          <w:iCs/>
        </w:rPr>
        <w:t>and</w:t>
      </w:r>
      <w:proofErr w:type="spellEnd"/>
      <w:r w:rsidR="007D4A2B" w:rsidRPr="007D4A2B">
        <w:rPr>
          <w:i/>
          <w:iCs/>
        </w:rPr>
        <w:t xml:space="preserve"> </w:t>
      </w:r>
      <w:proofErr w:type="spellStart"/>
      <w:r w:rsidR="007D4A2B" w:rsidRPr="007D4A2B">
        <w:rPr>
          <w:i/>
          <w:iCs/>
        </w:rPr>
        <w:t>Sea</w:t>
      </w:r>
      <w:proofErr w:type="spellEnd"/>
      <w:r w:rsidR="007D4A2B" w:rsidRPr="007D4A2B">
        <w:rPr>
          <w:i/>
          <w:iCs/>
        </w:rPr>
        <w:t xml:space="preserve"> </w:t>
      </w:r>
      <w:proofErr w:type="spellStart"/>
      <w:r w:rsidR="007D4A2B" w:rsidRPr="007D4A2B">
        <w:rPr>
          <w:i/>
          <w:iCs/>
        </w:rPr>
        <w:t>Properties</w:t>
      </w:r>
      <w:proofErr w:type="spellEnd"/>
      <w:r w:rsidR="007D4A2B" w:rsidRPr="007D4A2B">
        <w:rPr>
          <w:i/>
          <w:iCs/>
        </w:rPr>
        <w:t xml:space="preserve"> ADSITS un </w:t>
      </w:r>
      <w:proofErr w:type="spellStart"/>
      <w:r w:rsidR="007D4A2B" w:rsidRPr="007D4A2B">
        <w:rPr>
          <w:i/>
          <w:iCs/>
        </w:rPr>
        <w:t>Provadinvest</w:t>
      </w:r>
      <w:proofErr w:type="spellEnd"/>
      <w:r w:rsidR="007D4A2B" w:rsidRPr="007D4A2B">
        <w:rPr>
          <w:i/>
          <w:iCs/>
        </w:rPr>
        <w:t> OOD</w:t>
      </w:r>
      <w:r w:rsidR="009624B0">
        <w:rPr>
          <w:i/>
          <w:iCs/>
        </w:rPr>
        <w:t xml:space="preserve">, </w:t>
      </w:r>
      <w:r w:rsidR="009624B0" w:rsidRPr="007D4A2B">
        <w:rPr>
          <w:i/>
          <w:iCs/>
        </w:rPr>
        <w:t>C</w:t>
      </w:r>
      <w:r w:rsidR="009624B0" w:rsidRPr="007D4A2B">
        <w:rPr>
          <w:i/>
          <w:iCs/>
        </w:rPr>
        <w:noBreakHyphen/>
        <w:t>621/10 un C</w:t>
      </w:r>
      <w:r w:rsidR="009624B0" w:rsidRPr="007D4A2B">
        <w:rPr>
          <w:i/>
          <w:iCs/>
        </w:rPr>
        <w:noBreakHyphen/>
        <w:t xml:space="preserve">129/11, </w:t>
      </w:r>
      <w:hyperlink r:id="rId13" w:history="1">
        <w:r w:rsidR="009624B0" w:rsidRPr="009624B0">
          <w:rPr>
            <w:rStyle w:val="Hyperlink"/>
            <w:i/>
            <w:iCs/>
            <w:color w:val="000000" w:themeColor="text1"/>
            <w:u w:val="none"/>
          </w:rPr>
          <w:t>ECLI:EU:C:2012:248</w:t>
        </w:r>
      </w:hyperlink>
      <w:r w:rsidR="009624B0">
        <w:rPr>
          <w:i/>
          <w:iCs/>
          <w:color w:val="000000" w:themeColor="text1"/>
        </w:rPr>
        <w:t>,</w:t>
      </w:r>
      <w:r w:rsidR="007D4A2B" w:rsidRPr="007D4A2B">
        <w:rPr>
          <w:i/>
          <w:iCs/>
        </w:rPr>
        <w:t xml:space="preserve"> 49.punkts</w:t>
      </w:r>
      <w:r w:rsidR="0071320F" w:rsidRPr="007D4A2B">
        <w:rPr>
          <w:lang w:eastAsia="lv-LV"/>
        </w:rPr>
        <w:t>).</w:t>
      </w:r>
      <w:r w:rsidRPr="007D4A2B">
        <w:rPr>
          <w:lang w:eastAsia="lv-LV"/>
        </w:rPr>
        <w:t xml:space="preserve"> </w:t>
      </w:r>
    </w:p>
    <w:p w14:paraId="2259D1DC" w14:textId="35586A37" w:rsidR="00817638" w:rsidRPr="007D4A2B" w:rsidRDefault="001977A6" w:rsidP="00794753">
      <w:pPr>
        <w:spacing w:line="276" w:lineRule="auto"/>
        <w:ind w:firstLine="567"/>
        <w:contextualSpacing/>
        <w:jc w:val="both"/>
        <w:rPr>
          <w:bCs/>
        </w:rPr>
      </w:pPr>
      <w:r w:rsidRPr="007D4A2B">
        <w:rPr>
          <w:lang w:eastAsia="lv-LV"/>
        </w:rPr>
        <w:t>Apgabaltiesas spriedumā n</w:t>
      </w:r>
      <w:r w:rsidR="00817638" w:rsidRPr="007D4A2B">
        <w:rPr>
          <w:bCs/>
        </w:rPr>
        <w:t>orādīts, ka no pārsūdzētā lēmuma pamatojuma neizriet, ka dienests būtu konstatējis, ka strīdus darījums ar SIA </w:t>
      </w:r>
      <w:bookmarkStart w:id="32" w:name="_Hlk105653225"/>
      <w:r w:rsidR="00B0618B" w:rsidRPr="007D4A2B">
        <w:t>„</w:t>
      </w:r>
      <w:bookmarkEnd w:id="32"/>
      <w:r w:rsidR="00817638" w:rsidRPr="007D4A2B">
        <w:rPr>
          <w:bCs/>
        </w:rPr>
        <w:t xml:space="preserve">NEO 21” faktiski nav noticis, dienests ir apšaubījis vienīgi strīdus darījuma vērtību. </w:t>
      </w:r>
    </w:p>
    <w:p w14:paraId="320FF658" w14:textId="7490412A" w:rsidR="00D2594F" w:rsidRDefault="00864F5F" w:rsidP="00794753">
      <w:pPr>
        <w:spacing w:line="276" w:lineRule="auto"/>
        <w:ind w:firstLine="567"/>
        <w:contextualSpacing/>
        <w:jc w:val="both"/>
        <w:rPr>
          <w:bCs/>
        </w:rPr>
      </w:pPr>
      <w:r w:rsidRPr="007D4A2B">
        <w:rPr>
          <w:bCs/>
        </w:rPr>
        <w:t>I</w:t>
      </w:r>
      <w:r w:rsidR="00817638" w:rsidRPr="007D4A2B">
        <w:rPr>
          <w:bCs/>
        </w:rPr>
        <w:t>eskatoties pārsūdzētajā dienesta lēmumā, Senāts konstatē, ka šāds viennozīmīgs secinājums no lēmumā norādītās argumentācijas neizriet</w:t>
      </w:r>
      <w:r w:rsidRPr="007D4A2B">
        <w:rPr>
          <w:bCs/>
        </w:rPr>
        <w:t xml:space="preserve"> un dienesta argumentācija </w:t>
      </w:r>
      <w:proofErr w:type="spellStart"/>
      <w:r w:rsidRPr="007D4A2B">
        <w:rPr>
          <w:bCs/>
        </w:rPr>
        <w:t>pirmšķietami</w:t>
      </w:r>
      <w:proofErr w:type="spellEnd"/>
      <w:r w:rsidRPr="007D4A2B">
        <w:rPr>
          <w:bCs/>
        </w:rPr>
        <w:t xml:space="preserve"> ir pretrunīga</w:t>
      </w:r>
      <w:r w:rsidR="00817638" w:rsidRPr="007D4A2B">
        <w:rPr>
          <w:bCs/>
        </w:rPr>
        <w:t>. Proti, pārsūdzētajā lēmumā dienests ir analizējis visu darījumu ķēdē iesaistīto uzņēmumu lomu, paskaidrojumus, šo uzņēmumu starpā noslēgtos dokumentus, to saturu u. c. lietā noskaidrotos apstākļus un iegūtos pierādījumus, kā rezultātā secinājis, ka darījumu ķēdē iesaistītie uzņēmumi ir saistītās personas, kas ir rīkojušās saskaņoti dokumentu noformēšanā par faktiski nenotikušiem darījumiem, darījumam ar SIA </w:t>
      </w:r>
      <w:r w:rsidR="00B0618B" w:rsidRPr="007D4A2B">
        <w:t>„</w:t>
      </w:r>
      <w:r w:rsidR="00817638" w:rsidRPr="007D4A2B">
        <w:rPr>
          <w:bCs/>
        </w:rPr>
        <w:t>NEO 21” ir krāpniecisks raksturs un šā uzņēmuma rekvizītu izmantošana liecina par negodprātīgu rīcību. Rezultātā norādīts, ka projekta dokumentācijas piegāde starp SIA </w:t>
      </w:r>
      <w:r w:rsidR="00B0618B" w:rsidRPr="007D4A2B">
        <w:t>„</w:t>
      </w:r>
      <w:r w:rsidR="00817638" w:rsidRPr="007D4A2B">
        <w:rPr>
          <w:bCs/>
        </w:rPr>
        <w:t>NEO 21” un SIA </w:t>
      </w:r>
      <w:r w:rsidR="00B0618B" w:rsidRPr="007D4A2B">
        <w:t>„</w:t>
      </w:r>
      <w:r w:rsidR="00817638" w:rsidRPr="007D4A2B">
        <w:rPr>
          <w:bCs/>
        </w:rPr>
        <w:t xml:space="preserve">TER </w:t>
      </w:r>
      <w:proofErr w:type="spellStart"/>
      <w:r w:rsidR="00817638" w:rsidRPr="007D4A2B">
        <w:rPr>
          <w:bCs/>
        </w:rPr>
        <w:t>Properties</w:t>
      </w:r>
      <w:proofErr w:type="spellEnd"/>
      <w:r w:rsidR="00817638" w:rsidRPr="007D4A2B">
        <w:rPr>
          <w:bCs/>
        </w:rPr>
        <w:t>” nav notikusi un SIA </w:t>
      </w:r>
      <w:r w:rsidR="00B0618B" w:rsidRPr="007D4A2B">
        <w:t>„</w:t>
      </w:r>
      <w:r w:rsidR="00817638" w:rsidRPr="007D4A2B">
        <w:rPr>
          <w:bCs/>
        </w:rPr>
        <w:t xml:space="preserve">TER </w:t>
      </w:r>
      <w:proofErr w:type="spellStart"/>
      <w:r w:rsidR="00817638" w:rsidRPr="007D4A2B">
        <w:rPr>
          <w:bCs/>
        </w:rPr>
        <w:t>Properties</w:t>
      </w:r>
      <w:proofErr w:type="spellEnd"/>
      <w:r w:rsidR="00817638" w:rsidRPr="007D4A2B">
        <w:rPr>
          <w:bCs/>
        </w:rPr>
        <w:t>” ir iesaistījusies nodokļu sistēmas ļaunprātīgā izmantošanā. Dienesta lēmumā norādīt</w:t>
      </w:r>
      <w:r w:rsidR="00B0618B" w:rsidRPr="007D4A2B">
        <w:rPr>
          <w:bCs/>
        </w:rPr>
        <w:t>s,</w:t>
      </w:r>
      <w:r w:rsidR="00817638" w:rsidRPr="007D4A2B">
        <w:rPr>
          <w:bCs/>
        </w:rPr>
        <w:t xml:space="preserve"> ka pieteicēj</w:t>
      </w:r>
      <w:r w:rsidR="00D2594F">
        <w:rPr>
          <w:bCs/>
        </w:rPr>
        <w:t>a to zināja. Taču, veicot nodokļu aprēķinus</w:t>
      </w:r>
      <w:r w:rsidR="00CA2EEF">
        <w:rPr>
          <w:bCs/>
        </w:rPr>
        <w:t>, dienests, kā jau minēts,</w:t>
      </w:r>
      <w:r w:rsidR="00D2594F">
        <w:rPr>
          <w:bCs/>
        </w:rPr>
        <w:t xml:space="preserve"> tomēr ir ņēmis vērā daļu no šī dienesta ieskatā krāpnieciskā darījum</w:t>
      </w:r>
      <w:r w:rsidR="00CA2EEF">
        <w:rPr>
          <w:bCs/>
        </w:rPr>
        <w:t>a vērtības</w:t>
      </w:r>
      <w:r w:rsidR="00D2594F">
        <w:rPr>
          <w:bCs/>
        </w:rPr>
        <w:t xml:space="preserve">. No dienests lēmuma </w:t>
      </w:r>
      <w:proofErr w:type="spellStart"/>
      <w:r w:rsidR="00D2594F">
        <w:rPr>
          <w:bCs/>
        </w:rPr>
        <w:t>pirmšķietami</w:t>
      </w:r>
      <w:proofErr w:type="spellEnd"/>
      <w:r w:rsidR="00D2594F">
        <w:rPr>
          <w:bCs/>
        </w:rPr>
        <w:t xml:space="preserve"> nav skaidrs, vai dienesta ieskatā </w:t>
      </w:r>
      <w:proofErr w:type="spellStart"/>
      <w:r w:rsidR="00D2594F">
        <w:rPr>
          <w:bCs/>
        </w:rPr>
        <w:t>krāpnieciskums</w:t>
      </w:r>
      <w:proofErr w:type="spellEnd"/>
      <w:r w:rsidR="00D2594F">
        <w:rPr>
          <w:bCs/>
        </w:rPr>
        <w:t xml:space="preserve"> izskatāmajā gadījumā ir saprotams tādējādi, ka ir notikusi darījuma vērtības mākslīga sadārdzināšana, vai tādējādi, ka darījums vispār nav noticis.</w:t>
      </w:r>
    </w:p>
    <w:p w14:paraId="78DEB31D" w14:textId="127C458A" w:rsidR="00817638" w:rsidRPr="007D4A2B" w:rsidRDefault="00D2594F" w:rsidP="00794753">
      <w:pPr>
        <w:spacing w:line="276" w:lineRule="auto"/>
        <w:ind w:firstLine="567"/>
        <w:contextualSpacing/>
        <w:jc w:val="both"/>
        <w:rPr>
          <w:bCs/>
        </w:rPr>
      </w:pPr>
      <w:r>
        <w:rPr>
          <w:bCs/>
        </w:rPr>
        <w:t>Šeit arī jāņem vērā dienesta lēmumā norādītais</w:t>
      </w:r>
      <w:r w:rsidR="00817638" w:rsidRPr="007D4A2B">
        <w:rPr>
          <w:bCs/>
        </w:rPr>
        <w:t>, ka, tā kā pieteicējai un SIA </w:t>
      </w:r>
      <w:r w:rsidR="00B0618B" w:rsidRPr="007D4A2B">
        <w:t>„</w:t>
      </w:r>
      <w:r w:rsidR="00817638" w:rsidRPr="007D4A2B">
        <w:rPr>
          <w:bCs/>
        </w:rPr>
        <w:t>TER </w:t>
      </w:r>
      <w:proofErr w:type="spellStart"/>
      <w:r w:rsidR="00817638" w:rsidRPr="007D4A2B">
        <w:rPr>
          <w:bCs/>
        </w:rPr>
        <w:t>Properties</w:t>
      </w:r>
      <w:proofErr w:type="spellEnd"/>
      <w:r w:rsidR="00817638" w:rsidRPr="007D4A2B">
        <w:rPr>
          <w:bCs/>
        </w:rPr>
        <w:t>” pievienotās vērtības nodokļa uzrēķins audita rezultātā veikts par vieniem un tiem pašiem darījumiem, tad izskatāmajā lietā ir ņemami vērā arī SIA </w:t>
      </w:r>
      <w:r w:rsidR="00B0618B" w:rsidRPr="007D4A2B">
        <w:t>„</w:t>
      </w:r>
      <w:r w:rsidR="00817638" w:rsidRPr="007D4A2B">
        <w:rPr>
          <w:bCs/>
        </w:rPr>
        <w:t>TER </w:t>
      </w:r>
      <w:proofErr w:type="spellStart"/>
      <w:r w:rsidR="00817638" w:rsidRPr="007D4A2B">
        <w:rPr>
          <w:bCs/>
        </w:rPr>
        <w:t>Properties</w:t>
      </w:r>
      <w:proofErr w:type="spellEnd"/>
      <w:r w:rsidR="00817638" w:rsidRPr="007D4A2B">
        <w:rPr>
          <w:bCs/>
        </w:rPr>
        <w:t>” nodokļu auditā konstatētie apstākļi. Kā izriet no tiesu spriedumiem, kas taisīti administratīvajā lietā Nr. A420179917, kurā tiek vērtēts dienesta lēmums, kas pieņemts SIA </w:t>
      </w:r>
      <w:r w:rsidR="00B0618B" w:rsidRPr="007D4A2B">
        <w:t>„</w:t>
      </w:r>
      <w:r w:rsidR="00817638" w:rsidRPr="007D4A2B">
        <w:rPr>
          <w:bCs/>
        </w:rPr>
        <w:t>TER </w:t>
      </w:r>
      <w:proofErr w:type="spellStart"/>
      <w:r w:rsidR="00817638" w:rsidRPr="007D4A2B">
        <w:rPr>
          <w:bCs/>
        </w:rPr>
        <w:t>Properties</w:t>
      </w:r>
      <w:proofErr w:type="spellEnd"/>
      <w:r w:rsidR="00817638" w:rsidRPr="007D4A2B">
        <w:rPr>
          <w:bCs/>
        </w:rPr>
        <w:t>” audita rezultātā, dienests ir liedzis (nevis samazinājis) SIA </w:t>
      </w:r>
      <w:r w:rsidR="00B0618B" w:rsidRPr="007D4A2B">
        <w:t>„</w:t>
      </w:r>
      <w:r w:rsidR="00817638" w:rsidRPr="007D4A2B">
        <w:rPr>
          <w:bCs/>
        </w:rPr>
        <w:t>TER </w:t>
      </w:r>
      <w:proofErr w:type="spellStart"/>
      <w:r w:rsidR="00817638" w:rsidRPr="007D4A2B">
        <w:rPr>
          <w:bCs/>
        </w:rPr>
        <w:t>Properties</w:t>
      </w:r>
      <w:proofErr w:type="spellEnd"/>
      <w:r w:rsidR="00817638" w:rsidRPr="007D4A2B">
        <w:rPr>
          <w:bCs/>
        </w:rPr>
        <w:t>” atskaitīt priekšnodokli, pamatojoties uz SIA </w:t>
      </w:r>
      <w:r w:rsidR="00B0618B" w:rsidRPr="007D4A2B">
        <w:t>„</w:t>
      </w:r>
      <w:r w:rsidR="00817638" w:rsidRPr="007D4A2B">
        <w:rPr>
          <w:bCs/>
        </w:rPr>
        <w:t>NEO 21” izrakstīto rēķinu par nekustamā īpašuma projekta dokumentācijas iegādi, jo uzskatījis, ka darījums nav noticis.</w:t>
      </w:r>
    </w:p>
    <w:p w14:paraId="22670E13" w14:textId="40EA9E7D" w:rsidR="008138CA" w:rsidRPr="007D4A2B" w:rsidRDefault="00817638" w:rsidP="00794753">
      <w:pPr>
        <w:spacing w:line="276" w:lineRule="auto"/>
        <w:ind w:firstLine="567"/>
        <w:contextualSpacing/>
        <w:jc w:val="both"/>
        <w:rPr>
          <w:bCs/>
        </w:rPr>
      </w:pPr>
      <w:r w:rsidRPr="007D4A2B">
        <w:rPr>
          <w:bCs/>
        </w:rPr>
        <w:t>Vispārīgi atbilstoši Senāta praksē atzītajam</w:t>
      </w:r>
      <w:r w:rsidR="003A7EB2" w:rsidRPr="007D4A2B">
        <w:rPr>
          <w:bCs/>
        </w:rPr>
        <w:t xml:space="preserve"> katrā lietā ir vērtējami tieši izskatāmā gadījuma faktiskie apstākļi.</w:t>
      </w:r>
      <w:r w:rsidRPr="007D4A2B">
        <w:rPr>
          <w:bCs/>
        </w:rPr>
        <w:t xml:space="preserve"> Taču</w:t>
      </w:r>
      <w:r w:rsidR="003A7EB2" w:rsidRPr="007D4A2B">
        <w:rPr>
          <w:bCs/>
        </w:rPr>
        <w:t xml:space="preserve"> šajā lietā jāņem vērā</w:t>
      </w:r>
      <w:r w:rsidR="00B0618B" w:rsidRPr="007D4A2B">
        <w:rPr>
          <w:bCs/>
        </w:rPr>
        <w:t xml:space="preserve"> jau minētais</w:t>
      </w:r>
      <w:r w:rsidR="008138CA" w:rsidRPr="007D4A2B">
        <w:rPr>
          <w:bCs/>
        </w:rPr>
        <w:t xml:space="preserve">, ka pats dienests pārsūdzētajā lēmumā ir norādījis, ka pieteicējas pārbaudes lietā ir ņemams vērā arī </w:t>
      </w:r>
      <w:r w:rsidRPr="007D4A2B">
        <w:rPr>
          <w:bCs/>
        </w:rPr>
        <w:t xml:space="preserve">pieteicējas mātes uzņēmuma </w:t>
      </w:r>
      <w:r w:rsidR="008138CA" w:rsidRPr="007D4A2B">
        <w:rPr>
          <w:bCs/>
        </w:rPr>
        <w:t xml:space="preserve">pārbaudes lietā </w:t>
      </w:r>
      <w:r w:rsidRPr="007D4A2B">
        <w:rPr>
          <w:bCs/>
        </w:rPr>
        <w:t>konstatēt</w:t>
      </w:r>
      <w:r w:rsidR="008138CA" w:rsidRPr="007D4A2B">
        <w:rPr>
          <w:bCs/>
        </w:rPr>
        <w:t>ais, jo abās lietās ir pārbaudīts viens un tas pats darījums. Dienests pārsūdzētajā lietā ir norādījis virkni apstākļu un pierādījumu, kas attiecas tieši uz darījumu starp SIA </w:t>
      </w:r>
      <w:r w:rsidR="0061371A" w:rsidRPr="007D4A2B">
        <w:t>„</w:t>
      </w:r>
      <w:r w:rsidR="008138CA" w:rsidRPr="007D4A2B">
        <w:rPr>
          <w:bCs/>
        </w:rPr>
        <w:t>TER </w:t>
      </w:r>
      <w:proofErr w:type="spellStart"/>
      <w:r w:rsidR="008138CA" w:rsidRPr="007D4A2B">
        <w:rPr>
          <w:bCs/>
        </w:rPr>
        <w:t>Properties</w:t>
      </w:r>
      <w:proofErr w:type="spellEnd"/>
      <w:r w:rsidR="008138CA" w:rsidRPr="007D4A2B">
        <w:rPr>
          <w:bCs/>
        </w:rPr>
        <w:t>” un SIA </w:t>
      </w:r>
      <w:r w:rsidR="0061371A" w:rsidRPr="007D4A2B">
        <w:t>„</w:t>
      </w:r>
      <w:r w:rsidR="008138CA" w:rsidRPr="007D4A2B">
        <w:rPr>
          <w:bCs/>
        </w:rPr>
        <w:t>NEO 21”, kā arī uz darījumu starp SIA </w:t>
      </w:r>
      <w:r w:rsidR="0061371A" w:rsidRPr="007D4A2B">
        <w:t>„</w:t>
      </w:r>
      <w:r w:rsidR="008138CA" w:rsidRPr="007D4A2B">
        <w:rPr>
          <w:bCs/>
        </w:rPr>
        <w:t>NEO 21” un SIA </w:t>
      </w:r>
      <w:r w:rsidR="0061371A" w:rsidRPr="007D4A2B">
        <w:t>„</w:t>
      </w:r>
      <w:r w:rsidR="008138CA" w:rsidRPr="007D4A2B">
        <w:rPr>
          <w:bCs/>
        </w:rPr>
        <w:t>NEOBALTS”. Turklāt, veicot pieteicējas budžetā maksājamā nodokļa korekcijas, dienests ir pamatojies tieši uz dokumentiem, kas ir noformēti starp tālākajiem darījumu ķ</w:t>
      </w:r>
      <w:r w:rsidR="00B27618" w:rsidRPr="007D4A2B">
        <w:rPr>
          <w:bCs/>
        </w:rPr>
        <w:t>ē</w:t>
      </w:r>
      <w:r w:rsidR="008138CA" w:rsidRPr="007D4A2B">
        <w:rPr>
          <w:bCs/>
        </w:rPr>
        <w:t xml:space="preserve">des dalībniekiem un </w:t>
      </w:r>
      <w:r w:rsidR="0061371A" w:rsidRPr="007D4A2B">
        <w:rPr>
          <w:bCs/>
        </w:rPr>
        <w:t xml:space="preserve">uz kuru pamata dienests </w:t>
      </w:r>
      <w:r w:rsidR="008138CA" w:rsidRPr="007D4A2B">
        <w:rPr>
          <w:bCs/>
        </w:rPr>
        <w:t>darījumu par nekustamā īpašuma projekta dokumentācijas iegādi</w:t>
      </w:r>
      <w:r w:rsidR="0061371A" w:rsidRPr="007D4A2B">
        <w:rPr>
          <w:bCs/>
        </w:rPr>
        <w:t xml:space="preserve"> SIA </w:t>
      </w:r>
      <w:r w:rsidR="0061371A" w:rsidRPr="007D4A2B">
        <w:t>„</w:t>
      </w:r>
      <w:r w:rsidR="0061371A" w:rsidRPr="007D4A2B">
        <w:rPr>
          <w:bCs/>
        </w:rPr>
        <w:t>TER </w:t>
      </w:r>
      <w:proofErr w:type="spellStart"/>
      <w:r w:rsidR="0061371A" w:rsidRPr="007D4A2B">
        <w:rPr>
          <w:bCs/>
        </w:rPr>
        <w:t>Properties</w:t>
      </w:r>
      <w:proofErr w:type="spellEnd"/>
      <w:r w:rsidR="0061371A" w:rsidRPr="007D4A2B">
        <w:rPr>
          <w:bCs/>
        </w:rPr>
        <w:t>” auditā atzinis</w:t>
      </w:r>
      <w:r w:rsidR="008138CA" w:rsidRPr="007D4A2B">
        <w:rPr>
          <w:bCs/>
        </w:rPr>
        <w:t xml:space="preserve"> par faktiski neesošu.</w:t>
      </w:r>
    </w:p>
    <w:p w14:paraId="7EAF37C5" w14:textId="534544D3" w:rsidR="00B27618" w:rsidRPr="007D4A2B" w:rsidRDefault="008138CA" w:rsidP="00794753">
      <w:pPr>
        <w:spacing w:line="276" w:lineRule="auto"/>
        <w:ind w:firstLine="567"/>
        <w:contextualSpacing/>
        <w:jc w:val="both"/>
        <w:rPr>
          <w:bCs/>
        </w:rPr>
      </w:pPr>
      <w:r w:rsidRPr="007D4A2B">
        <w:rPr>
          <w:bCs/>
        </w:rPr>
        <w:t xml:space="preserve">Ievērojot minēto, </w:t>
      </w:r>
      <w:r w:rsidR="00817638" w:rsidRPr="007D4A2B">
        <w:rPr>
          <w:bCs/>
        </w:rPr>
        <w:t xml:space="preserve">ir pamatots pieteicējas viedoklis, ka pievienotās vērtības nodokļa neitralitātes principa </w:t>
      </w:r>
      <w:r w:rsidR="001977A6" w:rsidRPr="007D4A2B">
        <w:rPr>
          <w:bCs/>
        </w:rPr>
        <w:t xml:space="preserve">nodrošināšanas nolūkos, </w:t>
      </w:r>
      <w:r w:rsidRPr="007D4A2B">
        <w:rPr>
          <w:bCs/>
        </w:rPr>
        <w:t xml:space="preserve">tiesa </w:t>
      </w:r>
      <w:r w:rsidR="00EB3103">
        <w:rPr>
          <w:bCs/>
        </w:rPr>
        <w:t xml:space="preserve">izskatāmajā gadījumā </w:t>
      </w:r>
      <w:r w:rsidRPr="007D4A2B">
        <w:rPr>
          <w:bCs/>
        </w:rPr>
        <w:t xml:space="preserve">nepamatoti </w:t>
      </w:r>
      <w:r w:rsidR="001977A6" w:rsidRPr="007D4A2B">
        <w:rPr>
          <w:bCs/>
        </w:rPr>
        <w:t>aprobežo</w:t>
      </w:r>
      <w:r w:rsidRPr="007D4A2B">
        <w:rPr>
          <w:bCs/>
        </w:rPr>
        <w:t>jusi</w:t>
      </w:r>
      <w:r w:rsidR="001977A6" w:rsidRPr="007D4A2B">
        <w:rPr>
          <w:bCs/>
        </w:rPr>
        <w:t>es ar darījuma novērtēšanu</w:t>
      </w:r>
      <w:r w:rsidR="00B27618" w:rsidRPr="007D4A2B">
        <w:rPr>
          <w:bCs/>
        </w:rPr>
        <w:t xml:space="preserve"> tikai vienā </w:t>
      </w:r>
      <w:r w:rsidR="001977A6" w:rsidRPr="007D4A2B">
        <w:rPr>
          <w:bCs/>
        </w:rPr>
        <w:t>tā posmā, nenoskaidrojot iemeslus, kāpēc dienests vienu un to pašu darījumu ir vērtējis atšķirīgi</w:t>
      </w:r>
      <w:r w:rsidR="003A7EB2" w:rsidRPr="007D4A2B">
        <w:rPr>
          <w:bCs/>
        </w:rPr>
        <w:t>, kā rezultātā ir veicis arī atšķirīgas nodokļa korekcijas.</w:t>
      </w:r>
      <w:r w:rsidR="00B27618" w:rsidRPr="007D4A2B">
        <w:rPr>
          <w:bCs/>
        </w:rPr>
        <w:t xml:space="preserve"> Vienlaikus ir jā</w:t>
      </w:r>
      <w:r w:rsidR="0061371A" w:rsidRPr="007D4A2B">
        <w:rPr>
          <w:bCs/>
        </w:rPr>
        <w:t>patur prātā</w:t>
      </w:r>
      <w:r w:rsidR="00B27618" w:rsidRPr="007D4A2B">
        <w:rPr>
          <w:bCs/>
        </w:rPr>
        <w:t xml:space="preserve">, ka, pārbaudot pārsūdzētā administratīvā akta tiesiskumu, tiesa </w:t>
      </w:r>
      <w:r w:rsidR="0061371A" w:rsidRPr="007D4A2B">
        <w:rPr>
          <w:bCs/>
        </w:rPr>
        <w:t xml:space="preserve">var </w:t>
      </w:r>
      <w:r w:rsidR="00B27618" w:rsidRPr="007D4A2B">
        <w:rPr>
          <w:bCs/>
        </w:rPr>
        <w:t>ņem</w:t>
      </w:r>
      <w:r w:rsidR="0061371A" w:rsidRPr="007D4A2B">
        <w:rPr>
          <w:bCs/>
        </w:rPr>
        <w:t>t</w:t>
      </w:r>
      <w:r w:rsidR="00B27618" w:rsidRPr="007D4A2B">
        <w:rPr>
          <w:bCs/>
        </w:rPr>
        <w:t xml:space="preserve"> vērā </w:t>
      </w:r>
      <w:r w:rsidR="0061371A" w:rsidRPr="007D4A2B">
        <w:rPr>
          <w:bCs/>
        </w:rPr>
        <w:t xml:space="preserve">tikai </w:t>
      </w:r>
      <w:r w:rsidR="00B27618" w:rsidRPr="007D4A2B">
        <w:rPr>
          <w:bCs/>
        </w:rPr>
        <w:t>administratīvajā aktā norādīto pamatojumu.</w:t>
      </w:r>
    </w:p>
    <w:p w14:paraId="22463CD2" w14:textId="77777777" w:rsidR="00B27618" w:rsidRPr="007D4A2B" w:rsidRDefault="00B27618" w:rsidP="00794753">
      <w:pPr>
        <w:spacing w:line="276" w:lineRule="auto"/>
        <w:ind w:firstLine="567"/>
        <w:contextualSpacing/>
        <w:jc w:val="both"/>
        <w:rPr>
          <w:bCs/>
        </w:rPr>
      </w:pPr>
    </w:p>
    <w:p w14:paraId="37E7DBCC" w14:textId="0D92A7C1" w:rsidR="00B27618" w:rsidRPr="007D4A2B" w:rsidRDefault="00B27618" w:rsidP="00794753">
      <w:pPr>
        <w:spacing w:line="276" w:lineRule="auto"/>
        <w:ind w:firstLine="567"/>
        <w:contextualSpacing/>
        <w:jc w:val="both"/>
        <w:rPr>
          <w:bCs/>
        </w:rPr>
      </w:pPr>
      <w:r w:rsidRPr="007D4A2B">
        <w:rPr>
          <w:bCs/>
        </w:rPr>
        <w:t>[</w:t>
      </w:r>
      <w:r w:rsidR="00A201DE" w:rsidRPr="007D4A2B">
        <w:rPr>
          <w:bCs/>
        </w:rPr>
        <w:t>21</w:t>
      </w:r>
      <w:r w:rsidRPr="007D4A2B">
        <w:rPr>
          <w:bCs/>
        </w:rPr>
        <w:t>] Ņemot vērā minēto, Senāts atzīst, ka apgabaltiesa</w:t>
      </w:r>
      <w:r w:rsidR="0061371A" w:rsidRPr="007D4A2B">
        <w:rPr>
          <w:bCs/>
        </w:rPr>
        <w:t xml:space="preserve"> ir pieļāvusi </w:t>
      </w:r>
      <w:r w:rsidRPr="007D4A2B">
        <w:rPr>
          <w:bCs/>
        </w:rPr>
        <w:t>materiālo un procesuālo tiesību normu pārkāpum</w:t>
      </w:r>
      <w:r w:rsidR="0061371A" w:rsidRPr="007D4A2B">
        <w:rPr>
          <w:bCs/>
        </w:rPr>
        <w:t>us, kas</w:t>
      </w:r>
      <w:r w:rsidRPr="007D4A2B">
        <w:rPr>
          <w:bCs/>
        </w:rPr>
        <w:t xml:space="preserve"> ir ietekmējuši lietas izspriešanu, tāpēc apgabaltiesas spriedums ir atceļams un lieta nododama jaunai izskatīšanai Administratīvajai apgabaltiesai.</w:t>
      </w:r>
    </w:p>
    <w:p w14:paraId="7CB67672" w14:textId="35A20CE4" w:rsidR="0061371A" w:rsidRPr="007D4A2B" w:rsidRDefault="0061371A" w:rsidP="00794753">
      <w:pPr>
        <w:spacing w:line="276" w:lineRule="auto"/>
        <w:ind w:firstLine="567"/>
        <w:contextualSpacing/>
        <w:jc w:val="both"/>
        <w:rPr>
          <w:bCs/>
        </w:rPr>
      </w:pPr>
    </w:p>
    <w:p w14:paraId="46830BC2" w14:textId="77777777" w:rsidR="00974E53" w:rsidRPr="007D4A2B" w:rsidRDefault="00974E53" w:rsidP="00794753">
      <w:pPr>
        <w:spacing w:line="276" w:lineRule="auto"/>
        <w:contextualSpacing/>
        <w:jc w:val="center"/>
        <w:rPr>
          <w:b/>
        </w:rPr>
      </w:pPr>
      <w:r w:rsidRPr="007D4A2B">
        <w:rPr>
          <w:b/>
        </w:rPr>
        <w:t>Rezolutīvā daļa</w:t>
      </w:r>
    </w:p>
    <w:p w14:paraId="2C66F3DC" w14:textId="77777777" w:rsidR="00974E53" w:rsidRPr="007D4A2B" w:rsidRDefault="00974E53" w:rsidP="00794753">
      <w:pPr>
        <w:spacing w:line="276" w:lineRule="auto"/>
        <w:ind w:firstLine="567"/>
        <w:contextualSpacing/>
        <w:jc w:val="both"/>
        <w:rPr>
          <w:bCs/>
          <w:spacing w:val="70"/>
        </w:rPr>
      </w:pPr>
    </w:p>
    <w:p w14:paraId="775443C0" w14:textId="461F0A56" w:rsidR="00542004" w:rsidRPr="007D4A2B" w:rsidRDefault="00542004" w:rsidP="00794753">
      <w:pPr>
        <w:spacing w:line="276" w:lineRule="auto"/>
        <w:ind w:firstLine="567"/>
        <w:jc w:val="both"/>
        <w:rPr>
          <w:rFonts w:asciiTheme="majorBidi" w:hAnsiTheme="majorBidi" w:cstheme="majorBidi"/>
        </w:rPr>
      </w:pPr>
      <w:r w:rsidRPr="007D4A2B">
        <w:rPr>
          <w:rFonts w:asciiTheme="majorBidi" w:hAnsiTheme="majorBidi" w:cstheme="majorBidi"/>
        </w:rPr>
        <w:t xml:space="preserve">Pamatojoties uz Administratīvā procesa likuma </w:t>
      </w:r>
      <w:r w:rsidR="00ED2E90" w:rsidRPr="007D4A2B">
        <w:rPr>
          <w:rFonts w:asciiTheme="majorBidi" w:hAnsiTheme="majorBidi" w:cstheme="majorBidi"/>
        </w:rPr>
        <w:t>129.</w:t>
      </w:r>
      <w:proofErr w:type="gramStart"/>
      <w:r w:rsidR="00ED2E90" w:rsidRPr="007D4A2B">
        <w:rPr>
          <w:rFonts w:asciiTheme="majorBidi" w:hAnsiTheme="majorBidi" w:cstheme="majorBidi"/>
          <w:vertAlign w:val="superscript"/>
        </w:rPr>
        <w:t>1</w:t>
      </w:r>
      <w:r w:rsidR="00ED2E90" w:rsidRPr="007D4A2B">
        <w:rPr>
          <w:rFonts w:asciiTheme="majorBidi" w:hAnsiTheme="majorBidi" w:cstheme="majorBidi"/>
        </w:rPr>
        <w:t>panta</w:t>
      </w:r>
      <w:proofErr w:type="gramEnd"/>
      <w:r w:rsidR="00ED2E90" w:rsidRPr="007D4A2B">
        <w:rPr>
          <w:rFonts w:asciiTheme="majorBidi" w:hAnsiTheme="majorBidi" w:cstheme="majorBidi"/>
        </w:rPr>
        <w:t xml:space="preserve"> p</w:t>
      </w:r>
      <w:r w:rsidR="00A71DB7" w:rsidRPr="007D4A2B">
        <w:rPr>
          <w:rFonts w:asciiTheme="majorBidi" w:hAnsiTheme="majorBidi" w:cstheme="majorBidi"/>
        </w:rPr>
        <w:t xml:space="preserve">irmās daļas 1.punktu, </w:t>
      </w:r>
      <w:r w:rsidRPr="007D4A2B">
        <w:rPr>
          <w:rFonts w:asciiTheme="majorBidi" w:hAnsiTheme="majorBidi" w:cstheme="majorBidi"/>
        </w:rPr>
        <w:t xml:space="preserve">348.panta pirmās daļas </w:t>
      </w:r>
      <w:r w:rsidR="00ED2E90" w:rsidRPr="007D4A2B">
        <w:rPr>
          <w:rFonts w:asciiTheme="majorBidi" w:hAnsiTheme="majorBidi" w:cstheme="majorBidi"/>
        </w:rPr>
        <w:t>2</w:t>
      </w:r>
      <w:r w:rsidRPr="007D4A2B">
        <w:rPr>
          <w:rFonts w:asciiTheme="majorBidi" w:hAnsiTheme="majorBidi" w:cstheme="majorBidi"/>
        </w:rPr>
        <w:t>.punktu un 351.pantu, Senāts</w:t>
      </w:r>
    </w:p>
    <w:p w14:paraId="2FDC6860" w14:textId="77777777" w:rsidR="00A71DB7" w:rsidRPr="007D4A2B" w:rsidRDefault="00A71DB7" w:rsidP="00794753">
      <w:pPr>
        <w:spacing w:line="276" w:lineRule="auto"/>
        <w:ind w:firstLine="567"/>
        <w:jc w:val="both"/>
        <w:rPr>
          <w:rFonts w:asciiTheme="majorBidi" w:hAnsiTheme="majorBidi" w:cstheme="majorBidi"/>
        </w:rPr>
      </w:pPr>
    </w:p>
    <w:p w14:paraId="76B81A2D" w14:textId="77777777" w:rsidR="00542004" w:rsidRPr="007D4A2B" w:rsidRDefault="00542004" w:rsidP="00794753">
      <w:pPr>
        <w:tabs>
          <w:tab w:val="left" w:pos="2700"/>
          <w:tab w:val="left" w:pos="6660"/>
        </w:tabs>
        <w:spacing w:line="276" w:lineRule="auto"/>
        <w:jc w:val="center"/>
        <w:rPr>
          <w:rFonts w:asciiTheme="majorBidi" w:hAnsiTheme="majorBidi" w:cstheme="majorBidi"/>
          <w:b/>
        </w:rPr>
      </w:pPr>
      <w:r w:rsidRPr="007D4A2B">
        <w:rPr>
          <w:rFonts w:asciiTheme="majorBidi" w:hAnsiTheme="majorBidi" w:cstheme="majorBidi"/>
          <w:b/>
        </w:rPr>
        <w:t>nosprieda</w:t>
      </w:r>
    </w:p>
    <w:p w14:paraId="0FD13340" w14:textId="77777777" w:rsidR="00542004" w:rsidRPr="007D4A2B" w:rsidRDefault="00542004" w:rsidP="00794753">
      <w:pPr>
        <w:tabs>
          <w:tab w:val="left" w:pos="2700"/>
          <w:tab w:val="left" w:pos="6660"/>
        </w:tabs>
        <w:spacing w:line="276" w:lineRule="auto"/>
        <w:ind w:firstLine="567"/>
        <w:jc w:val="center"/>
        <w:rPr>
          <w:rFonts w:asciiTheme="majorBidi" w:hAnsiTheme="majorBidi" w:cstheme="majorBidi"/>
          <w:b/>
          <w:bCs/>
          <w:spacing w:val="70"/>
        </w:rPr>
      </w:pPr>
    </w:p>
    <w:p w14:paraId="3ED1EB89" w14:textId="766423FD" w:rsidR="00592010" w:rsidRPr="007D4A2B" w:rsidRDefault="00047EFE" w:rsidP="00794753">
      <w:pPr>
        <w:spacing w:line="276" w:lineRule="auto"/>
        <w:ind w:firstLine="567"/>
        <w:jc w:val="both"/>
        <w:rPr>
          <w:rFonts w:asciiTheme="majorBidi" w:hAnsiTheme="majorBidi" w:cstheme="majorBidi"/>
        </w:rPr>
      </w:pPr>
      <w:r w:rsidRPr="007D4A2B">
        <w:rPr>
          <w:rFonts w:asciiTheme="majorBidi" w:hAnsiTheme="majorBidi" w:cstheme="majorBidi"/>
        </w:rPr>
        <w:t>A</w:t>
      </w:r>
      <w:r w:rsidR="00A71DB7" w:rsidRPr="007D4A2B">
        <w:rPr>
          <w:rFonts w:asciiTheme="majorBidi" w:hAnsiTheme="majorBidi" w:cstheme="majorBidi"/>
        </w:rPr>
        <w:t>tcelt</w:t>
      </w:r>
      <w:r w:rsidR="00542004" w:rsidRPr="007D4A2B">
        <w:rPr>
          <w:rFonts w:asciiTheme="majorBidi" w:hAnsiTheme="majorBidi" w:cstheme="majorBidi"/>
        </w:rPr>
        <w:t xml:space="preserve"> Administratīvās apgabaltiesas </w:t>
      </w:r>
      <w:proofErr w:type="gramStart"/>
      <w:r w:rsidR="00542004" w:rsidRPr="007D4A2B">
        <w:rPr>
          <w:rFonts w:asciiTheme="majorBidi" w:hAnsiTheme="majorBidi" w:cstheme="majorBidi"/>
        </w:rPr>
        <w:t>20</w:t>
      </w:r>
      <w:r w:rsidRPr="007D4A2B">
        <w:rPr>
          <w:rFonts w:asciiTheme="majorBidi" w:hAnsiTheme="majorBidi" w:cstheme="majorBidi"/>
        </w:rPr>
        <w:t>19</w:t>
      </w:r>
      <w:r w:rsidR="00542004" w:rsidRPr="007D4A2B">
        <w:rPr>
          <w:rFonts w:asciiTheme="majorBidi" w:hAnsiTheme="majorBidi" w:cstheme="majorBidi"/>
        </w:rPr>
        <w:t>.gada</w:t>
      </w:r>
      <w:proofErr w:type="gramEnd"/>
      <w:r w:rsidR="00542004" w:rsidRPr="007D4A2B">
        <w:rPr>
          <w:rFonts w:asciiTheme="majorBidi" w:hAnsiTheme="majorBidi" w:cstheme="majorBidi"/>
        </w:rPr>
        <w:t xml:space="preserve"> </w:t>
      </w:r>
      <w:r w:rsidRPr="007D4A2B">
        <w:rPr>
          <w:rFonts w:asciiTheme="majorBidi" w:hAnsiTheme="majorBidi" w:cstheme="majorBidi"/>
        </w:rPr>
        <w:t>4.jūlija</w:t>
      </w:r>
      <w:r w:rsidR="00542004" w:rsidRPr="007D4A2B">
        <w:rPr>
          <w:rFonts w:asciiTheme="majorBidi" w:hAnsiTheme="majorBidi" w:cstheme="majorBidi"/>
        </w:rPr>
        <w:t xml:space="preserve"> spriedumu</w:t>
      </w:r>
      <w:r w:rsidRPr="007D4A2B">
        <w:rPr>
          <w:rFonts w:asciiTheme="majorBidi" w:hAnsiTheme="majorBidi" w:cstheme="majorBidi"/>
        </w:rPr>
        <w:t xml:space="preserve"> </w:t>
      </w:r>
      <w:r w:rsidR="00592010" w:rsidRPr="007D4A2B">
        <w:rPr>
          <w:rFonts w:asciiTheme="majorBidi" w:hAnsiTheme="majorBidi" w:cstheme="majorBidi"/>
        </w:rPr>
        <w:t>un nosūtīt lietu jaunai izskatīšanai Administratīvajai apgabaltiesai;</w:t>
      </w:r>
    </w:p>
    <w:p w14:paraId="104EFA72" w14:textId="0AFA30B0" w:rsidR="003F2F8A" w:rsidRPr="00794753" w:rsidRDefault="00047EFE" w:rsidP="00794753">
      <w:pPr>
        <w:spacing w:line="276" w:lineRule="auto"/>
        <w:ind w:firstLine="567"/>
        <w:jc w:val="both"/>
        <w:rPr>
          <w:rFonts w:asciiTheme="majorBidi" w:hAnsiTheme="majorBidi" w:cstheme="majorBidi"/>
        </w:rPr>
      </w:pPr>
      <w:r w:rsidRPr="007D4A2B">
        <w:rPr>
          <w:rFonts w:asciiTheme="majorBidi" w:hAnsiTheme="majorBidi" w:cstheme="majorBidi"/>
        </w:rPr>
        <w:t>A</w:t>
      </w:r>
      <w:r w:rsidR="00592010" w:rsidRPr="007D4A2B">
        <w:rPr>
          <w:rFonts w:asciiTheme="majorBidi" w:hAnsiTheme="majorBidi" w:cstheme="majorBidi"/>
        </w:rPr>
        <w:t xml:space="preserve">tmaksāt </w:t>
      </w:r>
      <w:r w:rsidRPr="007D4A2B">
        <w:rPr>
          <w:rFonts w:asciiTheme="majorBidi" w:hAnsiTheme="majorBidi" w:cstheme="majorBidi"/>
        </w:rPr>
        <w:t>SIA </w:t>
      </w:r>
      <w:r w:rsidR="00057763" w:rsidRPr="007D4A2B">
        <w:t>„</w:t>
      </w:r>
      <w:proofErr w:type="spellStart"/>
      <w:r w:rsidRPr="007D4A2B">
        <w:rPr>
          <w:rFonts w:asciiTheme="majorBidi" w:hAnsiTheme="majorBidi" w:cstheme="majorBidi"/>
        </w:rPr>
        <w:t>Baltic</w:t>
      </w:r>
      <w:proofErr w:type="spellEnd"/>
      <w:r w:rsidRPr="007D4A2B">
        <w:rPr>
          <w:rFonts w:asciiTheme="majorBidi" w:hAnsiTheme="majorBidi" w:cstheme="majorBidi"/>
        </w:rPr>
        <w:t> RE </w:t>
      </w:r>
      <w:proofErr w:type="spellStart"/>
      <w:r w:rsidRPr="007D4A2B">
        <w:rPr>
          <w:rFonts w:asciiTheme="majorBidi" w:hAnsiTheme="majorBidi" w:cstheme="majorBidi"/>
        </w:rPr>
        <w:t>Group</w:t>
      </w:r>
      <w:proofErr w:type="spellEnd"/>
      <w:r w:rsidRPr="007D4A2B">
        <w:rPr>
          <w:rFonts w:asciiTheme="majorBidi" w:hAnsiTheme="majorBidi" w:cstheme="majorBidi"/>
        </w:rPr>
        <w:t>”</w:t>
      </w:r>
      <w:r w:rsidR="00592010" w:rsidRPr="007D4A2B">
        <w:t xml:space="preserve"> drošības naudu 70</w:t>
      </w:r>
      <w:r w:rsidR="00EF40D7" w:rsidRPr="007D4A2B">
        <w:t> </w:t>
      </w:r>
      <w:proofErr w:type="spellStart"/>
      <w:r w:rsidR="00592010" w:rsidRPr="007D4A2B">
        <w:rPr>
          <w:i/>
          <w:iCs/>
        </w:rPr>
        <w:t>euro</w:t>
      </w:r>
      <w:proofErr w:type="spellEnd"/>
      <w:r w:rsidR="00592010" w:rsidRPr="007D4A2B">
        <w:t>.</w:t>
      </w:r>
    </w:p>
    <w:p w14:paraId="2E088884" w14:textId="7480E7F1" w:rsidR="00542004" w:rsidRPr="007D4A2B" w:rsidRDefault="00542004" w:rsidP="00794753">
      <w:pPr>
        <w:spacing w:line="276" w:lineRule="auto"/>
        <w:ind w:firstLine="567"/>
        <w:jc w:val="both"/>
        <w:rPr>
          <w:rFonts w:asciiTheme="majorBidi" w:hAnsiTheme="majorBidi" w:cstheme="majorBidi"/>
          <w:bCs/>
          <w:lang w:eastAsia="lv-LV"/>
        </w:rPr>
      </w:pPr>
      <w:r w:rsidRPr="007D4A2B">
        <w:rPr>
          <w:rFonts w:asciiTheme="majorBidi" w:hAnsiTheme="majorBidi" w:cstheme="majorBidi"/>
          <w:bCs/>
          <w:lang w:eastAsia="lv-LV"/>
        </w:rPr>
        <w:t>Spriedums nav pārsūdzams.</w:t>
      </w:r>
    </w:p>
    <w:p w14:paraId="4DBF7ACE" w14:textId="29716BB7" w:rsidR="00EB5D6B" w:rsidRPr="007D4A2B" w:rsidRDefault="00EB5D6B" w:rsidP="00EB5D6B">
      <w:pPr>
        <w:tabs>
          <w:tab w:val="center" w:pos="1701"/>
          <w:tab w:val="center" w:pos="4536"/>
          <w:tab w:val="center" w:pos="7371"/>
        </w:tabs>
        <w:spacing w:line="276" w:lineRule="auto"/>
        <w:ind w:firstLine="720"/>
        <w:contextualSpacing/>
        <w:jc w:val="both"/>
      </w:pPr>
    </w:p>
    <w:p w14:paraId="7F7D23DB" w14:textId="76A19EE1" w:rsidR="00E34077" w:rsidRPr="007D4A2B" w:rsidRDefault="00E34077" w:rsidP="00EB5D6B">
      <w:pPr>
        <w:tabs>
          <w:tab w:val="center" w:pos="1701"/>
          <w:tab w:val="center" w:pos="4536"/>
          <w:tab w:val="center" w:pos="7371"/>
        </w:tabs>
        <w:spacing w:line="276" w:lineRule="auto"/>
        <w:ind w:firstLine="720"/>
        <w:contextualSpacing/>
        <w:jc w:val="both"/>
      </w:pPr>
    </w:p>
    <w:p w14:paraId="31590B96" w14:textId="77777777" w:rsidR="00BA24DD" w:rsidRPr="007D4A2B" w:rsidRDefault="00BA24DD" w:rsidP="00EB5D6B">
      <w:pPr>
        <w:tabs>
          <w:tab w:val="center" w:pos="1701"/>
          <w:tab w:val="center" w:pos="4536"/>
          <w:tab w:val="center" w:pos="7371"/>
        </w:tabs>
        <w:spacing w:line="276" w:lineRule="auto"/>
        <w:ind w:firstLine="720"/>
        <w:contextualSpacing/>
        <w:jc w:val="both"/>
      </w:pPr>
    </w:p>
    <w:p w14:paraId="5EDE6A2D" w14:textId="77777777" w:rsidR="00E34077" w:rsidRPr="007D4A2B" w:rsidRDefault="00E34077" w:rsidP="00BA24DD">
      <w:pPr>
        <w:tabs>
          <w:tab w:val="center" w:pos="1701"/>
          <w:tab w:val="center" w:pos="4536"/>
          <w:tab w:val="center" w:pos="7371"/>
        </w:tabs>
        <w:spacing w:line="276" w:lineRule="auto"/>
        <w:contextualSpacing/>
        <w:jc w:val="both"/>
      </w:pPr>
    </w:p>
    <w:sectPr w:rsidR="00E34077" w:rsidRPr="007D4A2B" w:rsidSect="007D4A2B">
      <w:footerReference w:type="default" r:id="rId14"/>
      <w:pgSz w:w="11906" w:h="16838"/>
      <w:pgMar w:top="1134" w:right="1134"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1C303" w14:textId="77777777" w:rsidR="00492D6D" w:rsidRDefault="00492D6D" w:rsidP="00F005AF">
      <w:r>
        <w:separator/>
      </w:r>
    </w:p>
  </w:endnote>
  <w:endnote w:type="continuationSeparator" w:id="0">
    <w:p w14:paraId="42A6D09F" w14:textId="77777777" w:rsidR="00492D6D" w:rsidRDefault="00492D6D"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CE165F">
              <w:rPr>
                <w:bCs/>
                <w:noProof/>
              </w:rPr>
              <w:t>12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CE165F">
              <w:rPr>
                <w:bCs/>
                <w:noProof/>
              </w:rPr>
              <w:t>12</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9C8AD" w14:textId="77777777" w:rsidR="00492D6D" w:rsidRDefault="00492D6D" w:rsidP="00F005AF">
      <w:r>
        <w:separator/>
      </w:r>
    </w:p>
  </w:footnote>
  <w:footnote w:type="continuationSeparator" w:id="0">
    <w:p w14:paraId="193A68E8" w14:textId="77777777" w:rsidR="00492D6D" w:rsidRDefault="00492D6D"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DD4"/>
    <w:rsid w:val="00002F27"/>
    <w:rsid w:val="00003C97"/>
    <w:rsid w:val="00004643"/>
    <w:rsid w:val="0000468D"/>
    <w:rsid w:val="00005AA6"/>
    <w:rsid w:val="00010158"/>
    <w:rsid w:val="00010892"/>
    <w:rsid w:val="000139D8"/>
    <w:rsid w:val="0001547F"/>
    <w:rsid w:val="0002182C"/>
    <w:rsid w:val="000255B6"/>
    <w:rsid w:val="00025FD1"/>
    <w:rsid w:val="0002689C"/>
    <w:rsid w:val="00027B8C"/>
    <w:rsid w:val="000302C0"/>
    <w:rsid w:val="00030572"/>
    <w:rsid w:val="00032089"/>
    <w:rsid w:val="000325CD"/>
    <w:rsid w:val="0004076B"/>
    <w:rsid w:val="00041347"/>
    <w:rsid w:val="00041D11"/>
    <w:rsid w:val="00046976"/>
    <w:rsid w:val="000469E8"/>
    <w:rsid w:val="00046A78"/>
    <w:rsid w:val="00047EFE"/>
    <w:rsid w:val="00053C30"/>
    <w:rsid w:val="00054BCD"/>
    <w:rsid w:val="000555EE"/>
    <w:rsid w:val="00055EB5"/>
    <w:rsid w:val="00057763"/>
    <w:rsid w:val="0006000F"/>
    <w:rsid w:val="000658E3"/>
    <w:rsid w:val="00065B78"/>
    <w:rsid w:val="00065FAA"/>
    <w:rsid w:val="0006796A"/>
    <w:rsid w:val="000710E1"/>
    <w:rsid w:val="0007243B"/>
    <w:rsid w:val="00072BDC"/>
    <w:rsid w:val="00074C3B"/>
    <w:rsid w:val="00075846"/>
    <w:rsid w:val="00075EA1"/>
    <w:rsid w:val="000816F7"/>
    <w:rsid w:val="00082553"/>
    <w:rsid w:val="00083CB7"/>
    <w:rsid w:val="00083FFD"/>
    <w:rsid w:val="0008753F"/>
    <w:rsid w:val="00087BA9"/>
    <w:rsid w:val="00090F4A"/>
    <w:rsid w:val="00090F93"/>
    <w:rsid w:val="00094700"/>
    <w:rsid w:val="000947BA"/>
    <w:rsid w:val="00097AB4"/>
    <w:rsid w:val="00097B59"/>
    <w:rsid w:val="00097C5C"/>
    <w:rsid w:val="000A7515"/>
    <w:rsid w:val="000B0F8B"/>
    <w:rsid w:val="000B3785"/>
    <w:rsid w:val="000B7D25"/>
    <w:rsid w:val="000C2BA2"/>
    <w:rsid w:val="000C2D3A"/>
    <w:rsid w:val="000C4544"/>
    <w:rsid w:val="000C45B9"/>
    <w:rsid w:val="000C5859"/>
    <w:rsid w:val="000C6087"/>
    <w:rsid w:val="000C60CC"/>
    <w:rsid w:val="000D2BE5"/>
    <w:rsid w:val="000D5F0C"/>
    <w:rsid w:val="000D6D04"/>
    <w:rsid w:val="000E1551"/>
    <w:rsid w:val="000E3EFD"/>
    <w:rsid w:val="000E4FDD"/>
    <w:rsid w:val="000E6D2E"/>
    <w:rsid w:val="000F3682"/>
    <w:rsid w:val="00100D6A"/>
    <w:rsid w:val="001023F3"/>
    <w:rsid w:val="00105030"/>
    <w:rsid w:val="00110B21"/>
    <w:rsid w:val="00111B55"/>
    <w:rsid w:val="00112C11"/>
    <w:rsid w:val="00114141"/>
    <w:rsid w:val="00114B3A"/>
    <w:rsid w:val="00114F35"/>
    <w:rsid w:val="00114F37"/>
    <w:rsid w:val="00115DED"/>
    <w:rsid w:val="001173BE"/>
    <w:rsid w:val="00117BA2"/>
    <w:rsid w:val="00120AEB"/>
    <w:rsid w:val="00121496"/>
    <w:rsid w:val="00121DA4"/>
    <w:rsid w:val="00122902"/>
    <w:rsid w:val="00130158"/>
    <w:rsid w:val="00132C4F"/>
    <w:rsid w:val="0013465D"/>
    <w:rsid w:val="00134D67"/>
    <w:rsid w:val="00135DF9"/>
    <w:rsid w:val="001360A2"/>
    <w:rsid w:val="00137324"/>
    <w:rsid w:val="0013752C"/>
    <w:rsid w:val="00140D89"/>
    <w:rsid w:val="00141B34"/>
    <w:rsid w:val="00144BE1"/>
    <w:rsid w:val="00146624"/>
    <w:rsid w:val="001569D4"/>
    <w:rsid w:val="00156D44"/>
    <w:rsid w:val="00166312"/>
    <w:rsid w:val="00173D37"/>
    <w:rsid w:val="00174DF5"/>
    <w:rsid w:val="00174EE1"/>
    <w:rsid w:val="0018078D"/>
    <w:rsid w:val="0018096D"/>
    <w:rsid w:val="00182DD6"/>
    <w:rsid w:val="00184C46"/>
    <w:rsid w:val="00185298"/>
    <w:rsid w:val="00185CE5"/>
    <w:rsid w:val="001866B1"/>
    <w:rsid w:val="00186D74"/>
    <w:rsid w:val="001913D0"/>
    <w:rsid w:val="00197126"/>
    <w:rsid w:val="001977A6"/>
    <w:rsid w:val="001A28C8"/>
    <w:rsid w:val="001A385A"/>
    <w:rsid w:val="001A49D8"/>
    <w:rsid w:val="001A587C"/>
    <w:rsid w:val="001A76DE"/>
    <w:rsid w:val="001B2335"/>
    <w:rsid w:val="001B7298"/>
    <w:rsid w:val="001B7A9B"/>
    <w:rsid w:val="001B7FDB"/>
    <w:rsid w:val="001C1647"/>
    <w:rsid w:val="001C1DD7"/>
    <w:rsid w:val="001C4D1A"/>
    <w:rsid w:val="001C5562"/>
    <w:rsid w:val="001D1194"/>
    <w:rsid w:val="001D1AC7"/>
    <w:rsid w:val="001D2707"/>
    <w:rsid w:val="001D420F"/>
    <w:rsid w:val="001D43F0"/>
    <w:rsid w:val="001D4757"/>
    <w:rsid w:val="001D553D"/>
    <w:rsid w:val="001D58B0"/>
    <w:rsid w:val="001D68F1"/>
    <w:rsid w:val="001D7016"/>
    <w:rsid w:val="001D7F2B"/>
    <w:rsid w:val="001E2769"/>
    <w:rsid w:val="001E2A98"/>
    <w:rsid w:val="001E6D85"/>
    <w:rsid w:val="001F1472"/>
    <w:rsid w:val="001F22A8"/>
    <w:rsid w:val="001F292E"/>
    <w:rsid w:val="001F333B"/>
    <w:rsid w:val="001F3C17"/>
    <w:rsid w:val="001F4E54"/>
    <w:rsid w:val="001F5B04"/>
    <w:rsid w:val="001F768C"/>
    <w:rsid w:val="001F7983"/>
    <w:rsid w:val="00200F2E"/>
    <w:rsid w:val="00201227"/>
    <w:rsid w:val="00202B4F"/>
    <w:rsid w:val="00203D70"/>
    <w:rsid w:val="00203EB3"/>
    <w:rsid w:val="0020601B"/>
    <w:rsid w:val="00210BCA"/>
    <w:rsid w:val="00210BDC"/>
    <w:rsid w:val="0021107A"/>
    <w:rsid w:val="00211E48"/>
    <w:rsid w:val="00214D8F"/>
    <w:rsid w:val="0021560F"/>
    <w:rsid w:val="0022214C"/>
    <w:rsid w:val="00231310"/>
    <w:rsid w:val="00231C5A"/>
    <w:rsid w:val="00233753"/>
    <w:rsid w:val="002355E7"/>
    <w:rsid w:val="00235ADF"/>
    <w:rsid w:val="0024218E"/>
    <w:rsid w:val="00245F4A"/>
    <w:rsid w:val="0024664F"/>
    <w:rsid w:val="00255E35"/>
    <w:rsid w:val="00260D2A"/>
    <w:rsid w:val="00261F16"/>
    <w:rsid w:val="0026375E"/>
    <w:rsid w:val="002638FC"/>
    <w:rsid w:val="00264420"/>
    <w:rsid w:val="00265750"/>
    <w:rsid w:val="002657A6"/>
    <w:rsid w:val="002669FC"/>
    <w:rsid w:val="00267CE2"/>
    <w:rsid w:val="00270C44"/>
    <w:rsid w:val="00272A27"/>
    <w:rsid w:val="00277ED4"/>
    <w:rsid w:val="0028071B"/>
    <w:rsid w:val="00280848"/>
    <w:rsid w:val="00281C46"/>
    <w:rsid w:val="00282339"/>
    <w:rsid w:val="00285129"/>
    <w:rsid w:val="00285DF1"/>
    <w:rsid w:val="00286638"/>
    <w:rsid w:val="00286993"/>
    <w:rsid w:val="00287096"/>
    <w:rsid w:val="0028788C"/>
    <w:rsid w:val="00294959"/>
    <w:rsid w:val="00295746"/>
    <w:rsid w:val="00297328"/>
    <w:rsid w:val="002A1B2F"/>
    <w:rsid w:val="002A2369"/>
    <w:rsid w:val="002A425E"/>
    <w:rsid w:val="002A7A91"/>
    <w:rsid w:val="002B051C"/>
    <w:rsid w:val="002B0ABE"/>
    <w:rsid w:val="002B1031"/>
    <w:rsid w:val="002B1F49"/>
    <w:rsid w:val="002B3204"/>
    <w:rsid w:val="002B69A0"/>
    <w:rsid w:val="002C2AE3"/>
    <w:rsid w:val="002C3088"/>
    <w:rsid w:val="002C314B"/>
    <w:rsid w:val="002C330E"/>
    <w:rsid w:val="002C3BBB"/>
    <w:rsid w:val="002C5828"/>
    <w:rsid w:val="002C6157"/>
    <w:rsid w:val="002C6F0B"/>
    <w:rsid w:val="002D0E86"/>
    <w:rsid w:val="002D276F"/>
    <w:rsid w:val="002D3593"/>
    <w:rsid w:val="002D3D30"/>
    <w:rsid w:val="002D4893"/>
    <w:rsid w:val="002D5308"/>
    <w:rsid w:val="002D5951"/>
    <w:rsid w:val="002D5A60"/>
    <w:rsid w:val="002D7CD4"/>
    <w:rsid w:val="002E0C7B"/>
    <w:rsid w:val="002E21D9"/>
    <w:rsid w:val="002E4CC2"/>
    <w:rsid w:val="002E67A0"/>
    <w:rsid w:val="002F03D3"/>
    <w:rsid w:val="002F679F"/>
    <w:rsid w:val="002F74E5"/>
    <w:rsid w:val="002F75AD"/>
    <w:rsid w:val="002F7739"/>
    <w:rsid w:val="0030391B"/>
    <w:rsid w:val="00305275"/>
    <w:rsid w:val="003065C6"/>
    <w:rsid w:val="0030731D"/>
    <w:rsid w:val="0031019D"/>
    <w:rsid w:val="00312326"/>
    <w:rsid w:val="00316E37"/>
    <w:rsid w:val="00320E9C"/>
    <w:rsid w:val="00321F9E"/>
    <w:rsid w:val="00323A78"/>
    <w:rsid w:val="003265C5"/>
    <w:rsid w:val="00326B9F"/>
    <w:rsid w:val="00332133"/>
    <w:rsid w:val="00332EDB"/>
    <w:rsid w:val="00336EA6"/>
    <w:rsid w:val="00337308"/>
    <w:rsid w:val="00337F22"/>
    <w:rsid w:val="003406B6"/>
    <w:rsid w:val="00341CAC"/>
    <w:rsid w:val="003424EC"/>
    <w:rsid w:val="003445F8"/>
    <w:rsid w:val="00345F82"/>
    <w:rsid w:val="0034615E"/>
    <w:rsid w:val="00347158"/>
    <w:rsid w:val="00350295"/>
    <w:rsid w:val="003554CF"/>
    <w:rsid w:val="00356F71"/>
    <w:rsid w:val="003576EA"/>
    <w:rsid w:val="0035785C"/>
    <w:rsid w:val="00363760"/>
    <w:rsid w:val="0036413D"/>
    <w:rsid w:val="00365388"/>
    <w:rsid w:val="003669B6"/>
    <w:rsid w:val="0037051F"/>
    <w:rsid w:val="00376506"/>
    <w:rsid w:val="00381E26"/>
    <w:rsid w:val="003839DD"/>
    <w:rsid w:val="00385379"/>
    <w:rsid w:val="00385B65"/>
    <w:rsid w:val="00386B03"/>
    <w:rsid w:val="003877BE"/>
    <w:rsid w:val="00387B40"/>
    <w:rsid w:val="0039086A"/>
    <w:rsid w:val="00391041"/>
    <w:rsid w:val="00391966"/>
    <w:rsid w:val="0039346A"/>
    <w:rsid w:val="00394121"/>
    <w:rsid w:val="003965B4"/>
    <w:rsid w:val="00397FEB"/>
    <w:rsid w:val="003A0157"/>
    <w:rsid w:val="003A0489"/>
    <w:rsid w:val="003A2D2D"/>
    <w:rsid w:val="003A6566"/>
    <w:rsid w:val="003A7E1D"/>
    <w:rsid w:val="003A7EB2"/>
    <w:rsid w:val="003B4DD7"/>
    <w:rsid w:val="003B66FA"/>
    <w:rsid w:val="003C3173"/>
    <w:rsid w:val="003C3EDD"/>
    <w:rsid w:val="003C42C4"/>
    <w:rsid w:val="003C63BB"/>
    <w:rsid w:val="003C6C18"/>
    <w:rsid w:val="003D1A13"/>
    <w:rsid w:val="003D1CFD"/>
    <w:rsid w:val="003D321D"/>
    <w:rsid w:val="003D7273"/>
    <w:rsid w:val="003E1CFD"/>
    <w:rsid w:val="003E2DE7"/>
    <w:rsid w:val="003E42B5"/>
    <w:rsid w:val="003E4AA4"/>
    <w:rsid w:val="003F11D7"/>
    <w:rsid w:val="003F2F8A"/>
    <w:rsid w:val="003F3598"/>
    <w:rsid w:val="003F690A"/>
    <w:rsid w:val="003F7356"/>
    <w:rsid w:val="004038CE"/>
    <w:rsid w:val="00404B95"/>
    <w:rsid w:val="00405E39"/>
    <w:rsid w:val="00406010"/>
    <w:rsid w:val="00412975"/>
    <w:rsid w:val="00412CE4"/>
    <w:rsid w:val="00414066"/>
    <w:rsid w:val="00414A8D"/>
    <w:rsid w:val="00415101"/>
    <w:rsid w:val="00415877"/>
    <w:rsid w:val="00416D4B"/>
    <w:rsid w:val="0041733C"/>
    <w:rsid w:val="0042173E"/>
    <w:rsid w:val="004261E6"/>
    <w:rsid w:val="00427A9A"/>
    <w:rsid w:val="00432DF1"/>
    <w:rsid w:val="00433BD7"/>
    <w:rsid w:val="00436BA3"/>
    <w:rsid w:val="004429E8"/>
    <w:rsid w:val="00442B0D"/>
    <w:rsid w:val="00443D41"/>
    <w:rsid w:val="00451131"/>
    <w:rsid w:val="00452844"/>
    <w:rsid w:val="00452BC6"/>
    <w:rsid w:val="0045337D"/>
    <w:rsid w:val="0045491A"/>
    <w:rsid w:val="004569A4"/>
    <w:rsid w:val="00457611"/>
    <w:rsid w:val="00463094"/>
    <w:rsid w:val="004650F8"/>
    <w:rsid w:val="00467980"/>
    <w:rsid w:val="004710EB"/>
    <w:rsid w:val="00472B70"/>
    <w:rsid w:val="004748E9"/>
    <w:rsid w:val="0048193F"/>
    <w:rsid w:val="00482ABC"/>
    <w:rsid w:val="00484733"/>
    <w:rsid w:val="00484DD8"/>
    <w:rsid w:val="00485448"/>
    <w:rsid w:val="00492D6D"/>
    <w:rsid w:val="00493C78"/>
    <w:rsid w:val="00493CE3"/>
    <w:rsid w:val="004960EB"/>
    <w:rsid w:val="00497E33"/>
    <w:rsid w:val="004A06F4"/>
    <w:rsid w:val="004A386F"/>
    <w:rsid w:val="004A3912"/>
    <w:rsid w:val="004A69FD"/>
    <w:rsid w:val="004B0950"/>
    <w:rsid w:val="004B3AB3"/>
    <w:rsid w:val="004B6855"/>
    <w:rsid w:val="004C37F6"/>
    <w:rsid w:val="004C4AE6"/>
    <w:rsid w:val="004D126E"/>
    <w:rsid w:val="004D37E2"/>
    <w:rsid w:val="004D39CA"/>
    <w:rsid w:val="004D532A"/>
    <w:rsid w:val="004D5698"/>
    <w:rsid w:val="004E6BD9"/>
    <w:rsid w:val="004E788C"/>
    <w:rsid w:val="004E7998"/>
    <w:rsid w:val="004E7B9D"/>
    <w:rsid w:val="004F199A"/>
    <w:rsid w:val="004F315A"/>
    <w:rsid w:val="004F31C8"/>
    <w:rsid w:val="004F3A80"/>
    <w:rsid w:val="004F3D0B"/>
    <w:rsid w:val="004F754C"/>
    <w:rsid w:val="004F7B59"/>
    <w:rsid w:val="00500B51"/>
    <w:rsid w:val="005025DB"/>
    <w:rsid w:val="005057F4"/>
    <w:rsid w:val="00505947"/>
    <w:rsid w:val="00507AA2"/>
    <w:rsid w:val="00511843"/>
    <w:rsid w:val="00511D88"/>
    <w:rsid w:val="00515836"/>
    <w:rsid w:val="00515E02"/>
    <w:rsid w:val="00516A72"/>
    <w:rsid w:val="00516C04"/>
    <w:rsid w:val="00520EF5"/>
    <w:rsid w:val="005233B6"/>
    <w:rsid w:val="0052491C"/>
    <w:rsid w:val="005249BF"/>
    <w:rsid w:val="0052522E"/>
    <w:rsid w:val="005254D3"/>
    <w:rsid w:val="00530282"/>
    <w:rsid w:val="00532CEE"/>
    <w:rsid w:val="0054177F"/>
    <w:rsid w:val="00542004"/>
    <w:rsid w:val="00543D8B"/>
    <w:rsid w:val="00544DFC"/>
    <w:rsid w:val="00545B88"/>
    <w:rsid w:val="0054611C"/>
    <w:rsid w:val="0054662C"/>
    <w:rsid w:val="00551F0E"/>
    <w:rsid w:val="0055288D"/>
    <w:rsid w:val="00552E08"/>
    <w:rsid w:val="00554EA2"/>
    <w:rsid w:val="00554EC6"/>
    <w:rsid w:val="00561FBE"/>
    <w:rsid w:val="00564179"/>
    <w:rsid w:val="00564EC7"/>
    <w:rsid w:val="00564F53"/>
    <w:rsid w:val="00566898"/>
    <w:rsid w:val="00567810"/>
    <w:rsid w:val="00572121"/>
    <w:rsid w:val="005722FF"/>
    <w:rsid w:val="005728B2"/>
    <w:rsid w:val="005728D2"/>
    <w:rsid w:val="005746D8"/>
    <w:rsid w:val="0057473C"/>
    <w:rsid w:val="00581441"/>
    <w:rsid w:val="00583777"/>
    <w:rsid w:val="005843CD"/>
    <w:rsid w:val="00592010"/>
    <w:rsid w:val="005931A5"/>
    <w:rsid w:val="005933D9"/>
    <w:rsid w:val="00593A7A"/>
    <w:rsid w:val="005946A5"/>
    <w:rsid w:val="00596A6E"/>
    <w:rsid w:val="005A1BB3"/>
    <w:rsid w:val="005A1E86"/>
    <w:rsid w:val="005A31AA"/>
    <w:rsid w:val="005A4220"/>
    <w:rsid w:val="005A71E2"/>
    <w:rsid w:val="005B313C"/>
    <w:rsid w:val="005B421E"/>
    <w:rsid w:val="005B5437"/>
    <w:rsid w:val="005B5D23"/>
    <w:rsid w:val="005B67F8"/>
    <w:rsid w:val="005C1984"/>
    <w:rsid w:val="005C2CE8"/>
    <w:rsid w:val="005C30FA"/>
    <w:rsid w:val="005C3F92"/>
    <w:rsid w:val="005C4B98"/>
    <w:rsid w:val="005C5CDC"/>
    <w:rsid w:val="005C70DE"/>
    <w:rsid w:val="005C7331"/>
    <w:rsid w:val="005C7A9C"/>
    <w:rsid w:val="005D1810"/>
    <w:rsid w:val="005D1946"/>
    <w:rsid w:val="005D1AD6"/>
    <w:rsid w:val="005E7643"/>
    <w:rsid w:val="005E78C6"/>
    <w:rsid w:val="005E798B"/>
    <w:rsid w:val="005F2654"/>
    <w:rsid w:val="005F41BF"/>
    <w:rsid w:val="005F6678"/>
    <w:rsid w:val="005F757B"/>
    <w:rsid w:val="00603D1A"/>
    <w:rsid w:val="00603DBD"/>
    <w:rsid w:val="00605846"/>
    <w:rsid w:val="00606DB6"/>
    <w:rsid w:val="00610A8B"/>
    <w:rsid w:val="00612700"/>
    <w:rsid w:val="0061371A"/>
    <w:rsid w:val="00613C36"/>
    <w:rsid w:val="00620207"/>
    <w:rsid w:val="00623D8A"/>
    <w:rsid w:val="00625200"/>
    <w:rsid w:val="00625D56"/>
    <w:rsid w:val="00626452"/>
    <w:rsid w:val="00627AB3"/>
    <w:rsid w:val="0063497E"/>
    <w:rsid w:val="00634B63"/>
    <w:rsid w:val="0063635C"/>
    <w:rsid w:val="00642B71"/>
    <w:rsid w:val="00642BDC"/>
    <w:rsid w:val="0064315A"/>
    <w:rsid w:val="00643A32"/>
    <w:rsid w:val="00646BF4"/>
    <w:rsid w:val="00650CE0"/>
    <w:rsid w:val="00652BE2"/>
    <w:rsid w:val="00652D65"/>
    <w:rsid w:val="006547D5"/>
    <w:rsid w:val="00654846"/>
    <w:rsid w:val="00657721"/>
    <w:rsid w:val="006600E7"/>
    <w:rsid w:val="0066091D"/>
    <w:rsid w:val="006635D3"/>
    <w:rsid w:val="00663B2E"/>
    <w:rsid w:val="00665879"/>
    <w:rsid w:val="00665916"/>
    <w:rsid w:val="00666379"/>
    <w:rsid w:val="0067013F"/>
    <w:rsid w:val="00671599"/>
    <w:rsid w:val="006751E9"/>
    <w:rsid w:val="006766B5"/>
    <w:rsid w:val="00677419"/>
    <w:rsid w:val="00677F6F"/>
    <w:rsid w:val="0068323B"/>
    <w:rsid w:val="006860FF"/>
    <w:rsid w:val="0068691A"/>
    <w:rsid w:val="006877C1"/>
    <w:rsid w:val="00687DFC"/>
    <w:rsid w:val="00692186"/>
    <w:rsid w:val="00692A03"/>
    <w:rsid w:val="00692A4E"/>
    <w:rsid w:val="00694BC5"/>
    <w:rsid w:val="00695400"/>
    <w:rsid w:val="006977C4"/>
    <w:rsid w:val="006A19B2"/>
    <w:rsid w:val="006A19BC"/>
    <w:rsid w:val="006A2492"/>
    <w:rsid w:val="006A2CEF"/>
    <w:rsid w:val="006A54D5"/>
    <w:rsid w:val="006B15E6"/>
    <w:rsid w:val="006B1D33"/>
    <w:rsid w:val="006B2C53"/>
    <w:rsid w:val="006B5F55"/>
    <w:rsid w:val="006B66C3"/>
    <w:rsid w:val="006B7D48"/>
    <w:rsid w:val="006C049D"/>
    <w:rsid w:val="006C0BBB"/>
    <w:rsid w:val="006D04F8"/>
    <w:rsid w:val="006D09EE"/>
    <w:rsid w:val="006D14CC"/>
    <w:rsid w:val="006D39AB"/>
    <w:rsid w:val="006D6D29"/>
    <w:rsid w:val="006E6019"/>
    <w:rsid w:val="006E68A7"/>
    <w:rsid w:val="006F22A1"/>
    <w:rsid w:val="006F3A8D"/>
    <w:rsid w:val="00711626"/>
    <w:rsid w:val="0071320F"/>
    <w:rsid w:val="007140B7"/>
    <w:rsid w:val="00716B92"/>
    <w:rsid w:val="00721129"/>
    <w:rsid w:val="007273D2"/>
    <w:rsid w:val="007274D2"/>
    <w:rsid w:val="00730081"/>
    <w:rsid w:val="00732DA5"/>
    <w:rsid w:val="0074032A"/>
    <w:rsid w:val="00741280"/>
    <w:rsid w:val="007443BD"/>
    <w:rsid w:val="00744402"/>
    <w:rsid w:val="007445A3"/>
    <w:rsid w:val="00744D66"/>
    <w:rsid w:val="00745E68"/>
    <w:rsid w:val="00745F19"/>
    <w:rsid w:val="00751E25"/>
    <w:rsid w:val="007557E8"/>
    <w:rsid w:val="00757758"/>
    <w:rsid w:val="007631D3"/>
    <w:rsid w:val="00771590"/>
    <w:rsid w:val="0077161D"/>
    <w:rsid w:val="00776771"/>
    <w:rsid w:val="00781FDD"/>
    <w:rsid w:val="007829EE"/>
    <w:rsid w:val="0078434A"/>
    <w:rsid w:val="00784B8C"/>
    <w:rsid w:val="00785C54"/>
    <w:rsid w:val="00791738"/>
    <w:rsid w:val="00794753"/>
    <w:rsid w:val="007A04B8"/>
    <w:rsid w:val="007A1BB8"/>
    <w:rsid w:val="007A5606"/>
    <w:rsid w:val="007A7593"/>
    <w:rsid w:val="007A7FE6"/>
    <w:rsid w:val="007B044B"/>
    <w:rsid w:val="007B04F7"/>
    <w:rsid w:val="007B072F"/>
    <w:rsid w:val="007B0E66"/>
    <w:rsid w:val="007B371E"/>
    <w:rsid w:val="007B5748"/>
    <w:rsid w:val="007B5C35"/>
    <w:rsid w:val="007B66F8"/>
    <w:rsid w:val="007B6A13"/>
    <w:rsid w:val="007C003E"/>
    <w:rsid w:val="007C11E1"/>
    <w:rsid w:val="007D0BEB"/>
    <w:rsid w:val="007D3B71"/>
    <w:rsid w:val="007D4A2B"/>
    <w:rsid w:val="007D5A0B"/>
    <w:rsid w:val="007E00DE"/>
    <w:rsid w:val="007E10E3"/>
    <w:rsid w:val="007E4F54"/>
    <w:rsid w:val="007E5BC8"/>
    <w:rsid w:val="007E6772"/>
    <w:rsid w:val="007E73A9"/>
    <w:rsid w:val="007F0247"/>
    <w:rsid w:val="007F09B9"/>
    <w:rsid w:val="007F0CBB"/>
    <w:rsid w:val="007F107E"/>
    <w:rsid w:val="007F2805"/>
    <w:rsid w:val="007F2B34"/>
    <w:rsid w:val="007F4825"/>
    <w:rsid w:val="007F5570"/>
    <w:rsid w:val="007F660B"/>
    <w:rsid w:val="007F666B"/>
    <w:rsid w:val="007F70DB"/>
    <w:rsid w:val="007F74CE"/>
    <w:rsid w:val="007F7E09"/>
    <w:rsid w:val="00802064"/>
    <w:rsid w:val="008047C3"/>
    <w:rsid w:val="00806D17"/>
    <w:rsid w:val="00810FC0"/>
    <w:rsid w:val="008111D1"/>
    <w:rsid w:val="00813474"/>
    <w:rsid w:val="008138AB"/>
    <w:rsid w:val="008138CA"/>
    <w:rsid w:val="0081628F"/>
    <w:rsid w:val="008171EA"/>
    <w:rsid w:val="00817638"/>
    <w:rsid w:val="00817BAB"/>
    <w:rsid w:val="00817D32"/>
    <w:rsid w:val="00817E44"/>
    <w:rsid w:val="0082132F"/>
    <w:rsid w:val="00823423"/>
    <w:rsid w:val="00824F46"/>
    <w:rsid w:val="00830824"/>
    <w:rsid w:val="00830904"/>
    <w:rsid w:val="00835583"/>
    <w:rsid w:val="008356A0"/>
    <w:rsid w:val="00835C12"/>
    <w:rsid w:val="00836B86"/>
    <w:rsid w:val="00844A09"/>
    <w:rsid w:val="00846896"/>
    <w:rsid w:val="00846AF9"/>
    <w:rsid w:val="008477B2"/>
    <w:rsid w:val="00851AC7"/>
    <w:rsid w:val="00851EEC"/>
    <w:rsid w:val="00854C11"/>
    <w:rsid w:val="00854ED8"/>
    <w:rsid w:val="0085519B"/>
    <w:rsid w:val="00856065"/>
    <w:rsid w:val="00857AA3"/>
    <w:rsid w:val="00857E5D"/>
    <w:rsid w:val="00860356"/>
    <w:rsid w:val="00861A2B"/>
    <w:rsid w:val="00861B76"/>
    <w:rsid w:val="0086319F"/>
    <w:rsid w:val="0086406A"/>
    <w:rsid w:val="00864116"/>
    <w:rsid w:val="0086457E"/>
    <w:rsid w:val="00864743"/>
    <w:rsid w:val="00864B8F"/>
    <w:rsid w:val="00864F5F"/>
    <w:rsid w:val="0086567D"/>
    <w:rsid w:val="00865E37"/>
    <w:rsid w:val="00866B9E"/>
    <w:rsid w:val="008700D3"/>
    <w:rsid w:val="0088178B"/>
    <w:rsid w:val="008817AC"/>
    <w:rsid w:val="00883A67"/>
    <w:rsid w:val="0088419A"/>
    <w:rsid w:val="0088477C"/>
    <w:rsid w:val="00885464"/>
    <w:rsid w:val="00885616"/>
    <w:rsid w:val="00887D51"/>
    <w:rsid w:val="00887F3E"/>
    <w:rsid w:val="00893BEE"/>
    <w:rsid w:val="008946B0"/>
    <w:rsid w:val="0089514E"/>
    <w:rsid w:val="0089706D"/>
    <w:rsid w:val="008971F8"/>
    <w:rsid w:val="008A1246"/>
    <w:rsid w:val="008A22CE"/>
    <w:rsid w:val="008A3783"/>
    <w:rsid w:val="008A5377"/>
    <w:rsid w:val="008A5600"/>
    <w:rsid w:val="008A629D"/>
    <w:rsid w:val="008A7471"/>
    <w:rsid w:val="008A7B0A"/>
    <w:rsid w:val="008B1C2E"/>
    <w:rsid w:val="008B4583"/>
    <w:rsid w:val="008B63D6"/>
    <w:rsid w:val="008B7CCD"/>
    <w:rsid w:val="008C0FB4"/>
    <w:rsid w:val="008C2893"/>
    <w:rsid w:val="008C3EC6"/>
    <w:rsid w:val="008C627F"/>
    <w:rsid w:val="008D0762"/>
    <w:rsid w:val="008D1405"/>
    <w:rsid w:val="008D1EDF"/>
    <w:rsid w:val="008D3901"/>
    <w:rsid w:val="008E057D"/>
    <w:rsid w:val="008E36B5"/>
    <w:rsid w:val="008E494F"/>
    <w:rsid w:val="008F0D43"/>
    <w:rsid w:val="008F5735"/>
    <w:rsid w:val="008F6175"/>
    <w:rsid w:val="008F7B17"/>
    <w:rsid w:val="008F7FC9"/>
    <w:rsid w:val="00901D12"/>
    <w:rsid w:val="00902391"/>
    <w:rsid w:val="00902611"/>
    <w:rsid w:val="00904500"/>
    <w:rsid w:val="00910590"/>
    <w:rsid w:val="009115AC"/>
    <w:rsid w:val="009154F6"/>
    <w:rsid w:val="0091781C"/>
    <w:rsid w:val="00917A12"/>
    <w:rsid w:val="00921676"/>
    <w:rsid w:val="00921DF1"/>
    <w:rsid w:val="009234C8"/>
    <w:rsid w:val="00924819"/>
    <w:rsid w:val="00926BB7"/>
    <w:rsid w:val="0093106B"/>
    <w:rsid w:val="009355C5"/>
    <w:rsid w:val="0093691A"/>
    <w:rsid w:val="00940451"/>
    <w:rsid w:val="00941BA3"/>
    <w:rsid w:val="00943B88"/>
    <w:rsid w:val="00945138"/>
    <w:rsid w:val="00947576"/>
    <w:rsid w:val="00950840"/>
    <w:rsid w:val="00951DBD"/>
    <w:rsid w:val="0095218C"/>
    <w:rsid w:val="009528CE"/>
    <w:rsid w:val="00952FD5"/>
    <w:rsid w:val="00955B14"/>
    <w:rsid w:val="009565DB"/>
    <w:rsid w:val="00956C88"/>
    <w:rsid w:val="00957678"/>
    <w:rsid w:val="009624B0"/>
    <w:rsid w:val="0096388A"/>
    <w:rsid w:val="00965641"/>
    <w:rsid w:val="0096717C"/>
    <w:rsid w:val="00974198"/>
    <w:rsid w:val="00974721"/>
    <w:rsid w:val="009748D9"/>
    <w:rsid w:val="00974E53"/>
    <w:rsid w:val="0097516D"/>
    <w:rsid w:val="00976470"/>
    <w:rsid w:val="00980DBE"/>
    <w:rsid w:val="009858AE"/>
    <w:rsid w:val="0098614B"/>
    <w:rsid w:val="00986BAC"/>
    <w:rsid w:val="00987E8B"/>
    <w:rsid w:val="009903DC"/>
    <w:rsid w:val="009A1366"/>
    <w:rsid w:val="009A5045"/>
    <w:rsid w:val="009A550C"/>
    <w:rsid w:val="009B6981"/>
    <w:rsid w:val="009B7ADA"/>
    <w:rsid w:val="009B7B18"/>
    <w:rsid w:val="009C4538"/>
    <w:rsid w:val="009C571D"/>
    <w:rsid w:val="009C5FEC"/>
    <w:rsid w:val="009C75D8"/>
    <w:rsid w:val="009D2AD3"/>
    <w:rsid w:val="009D2FCC"/>
    <w:rsid w:val="009D48E7"/>
    <w:rsid w:val="009D663A"/>
    <w:rsid w:val="009E4AE4"/>
    <w:rsid w:val="009E73A7"/>
    <w:rsid w:val="009F090B"/>
    <w:rsid w:val="009F0FE2"/>
    <w:rsid w:val="009F18B0"/>
    <w:rsid w:val="009F32A1"/>
    <w:rsid w:val="009F3A3D"/>
    <w:rsid w:val="009F4F97"/>
    <w:rsid w:val="009F5C16"/>
    <w:rsid w:val="009F7221"/>
    <w:rsid w:val="00A049BF"/>
    <w:rsid w:val="00A05E47"/>
    <w:rsid w:val="00A05F4F"/>
    <w:rsid w:val="00A062A6"/>
    <w:rsid w:val="00A123A8"/>
    <w:rsid w:val="00A162D4"/>
    <w:rsid w:val="00A16FD1"/>
    <w:rsid w:val="00A201DE"/>
    <w:rsid w:val="00A2229B"/>
    <w:rsid w:val="00A30E38"/>
    <w:rsid w:val="00A322AD"/>
    <w:rsid w:val="00A34100"/>
    <w:rsid w:val="00A34712"/>
    <w:rsid w:val="00A35502"/>
    <w:rsid w:val="00A424B4"/>
    <w:rsid w:val="00A43580"/>
    <w:rsid w:val="00A44013"/>
    <w:rsid w:val="00A44DF1"/>
    <w:rsid w:val="00A4549D"/>
    <w:rsid w:val="00A50D2D"/>
    <w:rsid w:val="00A544B7"/>
    <w:rsid w:val="00A5478F"/>
    <w:rsid w:val="00A55E07"/>
    <w:rsid w:val="00A563D9"/>
    <w:rsid w:val="00A60207"/>
    <w:rsid w:val="00A61C1D"/>
    <w:rsid w:val="00A6575F"/>
    <w:rsid w:val="00A66CF8"/>
    <w:rsid w:val="00A71DB7"/>
    <w:rsid w:val="00A779F5"/>
    <w:rsid w:val="00A83642"/>
    <w:rsid w:val="00A94CB0"/>
    <w:rsid w:val="00A9664A"/>
    <w:rsid w:val="00A97ED7"/>
    <w:rsid w:val="00AA3050"/>
    <w:rsid w:val="00AA58A3"/>
    <w:rsid w:val="00AA694A"/>
    <w:rsid w:val="00AB2A59"/>
    <w:rsid w:val="00AB38E4"/>
    <w:rsid w:val="00AB70B5"/>
    <w:rsid w:val="00AB75FC"/>
    <w:rsid w:val="00AC0F68"/>
    <w:rsid w:val="00AC47A0"/>
    <w:rsid w:val="00AD10B7"/>
    <w:rsid w:val="00AD1275"/>
    <w:rsid w:val="00AD3752"/>
    <w:rsid w:val="00AD3A77"/>
    <w:rsid w:val="00AD4B5F"/>
    <w:rsid w:val="00AD5F62"/>
    <w:rsid w:val="00AD6581"/>
    <w:rsid w:val="00AD721C"/>
    <w:rsid w:val="00AE3520"/>
    <w:rsid w:val="00AE49D1"/>
    <w:rsid w:val="00AE4AB4"/>
    <w:rsid w:val="00AF0712"/>
    <w:rsid w:val="00AF18B0"/>
    <w:rsid w:val="00AF1CD5"/>
    <w:rsid w:val="00AF5F64"/>
    <w:rsid w:val="00AF6AF6"/>
    <w:rsid w:val="00B00567"/>
    <w:rsid w:val="00B00692"/>
    <w:rsid w:val="00B01D5E"/>
    <w:rsid w:val="00B036BD"/>
    <w:rsid w:val="00B04ED8"/>
    <w:rsid w:val="00B0618B"/>
    <w:rsid w:val="00B07039"/>
    <w:rsid w:val="00B114DB"/>
    <w:rsid w:val="00B14AAA"/>
    <w:rsid w:val="00B16AD6"/>
    <w:rsid w:val="00B16EF6"/>
    <w:rsid w:val="00B17E27"/>
    <w:rsid w:val="00B210A9"/>
    <w:rsid w:val="00B239D0"/>
    <w:rsid w:val="00B23D55"/>
    <w:rsid w:val="00B23E12"/>
    <w:rsid w:val="00B247BF"/>
    <w:rsid w:val="00B27093"/>
    <w:rsid w:val="00B27618"/>
    <w:rsid w:val="00B3052D"/>
    <w:rsid w:val="00B30C7D"/>
    <w:rsid w:val="00B30F72"/>
    <w:rsid w:val="00B40973"/>
    <w:rsid w:val="00B432E0"/>
    <w:rsid w:val="00B516CA"/>
    <w:rsid w:val="00B52079"/>
    <w:rsid w:val="00B528EB"/>
    <w:rsid w:val="00B5388D"/>
    <w:rsid w:val="00B54F84"/>
    <w:rsid w:val="00B5603F"/>
    <w:rsid w:val="00B576FF"/>
    <w:rsid w:val="00B57ACB"/>
    <w:rsid w:val="00B57FEB"/>
    <w:rsid w:val="00B60544"/>
    <w:rsid w:val="00B60B6A"/>
    <w:rsid w:val="00B614E9"/>
    <w:rsid w:val="00B64B34"/>
    <w:rsid w:val="00B70698"/>
    <w:rsid w:val="00B7423B"/>
    <w:rsid w:val="00B74FA6"/>
    <w:rsid w:val="00B75FD5"/>
    <w:rsid w:val="00B81CCA"/>
    <w:rsid w:val="00B828FD"/>
    <w:rsid w:val="00B874AF"/>
    <w:rsid w:val="00B8756D"/>
    <w:rsid w:val="00B914E2"/>
    <w:rsid w:val="00B93A28"/>
    <w:rsid w:val="00B9420A"/>
    <w:rsid w:val="00B9522B"/>
    <w:rsid w:val="00B95BE3"/>
    <w:rsid w:val="00BA00E0"/>
    <w:rsid w:val="00BA0441"/>
    <w:rsid w:val="00BA1132"/>
    <w:rsid w:val="00BA12F5"/>
    <w:rsid w:val="00BA14BF"/>
    <w:rsid w:val="00BA24DD"/>
    <w:rsid w:val="00BA27BE"/>
    <w:rsid w:val="00BA3283"/>
    <w:rsid w:val="00BA3302"/>
    <w:rsid w:val="00BB309D"/>
    <w:rsid w:val="00BB4C25"/>
    <w:rsid w:val="00BB53F5"/>
    <w:rsid w:val="00BB6035"/>
    <w:rsid w:val="00BB6061"/>
    <w:rsid w:val="00BB6512"/>
    <w:rsid w:val="00BB7E55"/>
    <w:rsid w:val="00BC2047"/>
    <w:rsid w:val="00BC3293"/>
    <w:rsid w:val="00BC5649"/>
    <w:rsid w:val="00BD0917"/>
    <w:rsid w:val="00BD19A8"/>
    <w:rsid w:val="00BD3EFB"/>
    <w:rsid w:val="00BD510C"/>
    <w:rsid w:val="00BD5E8B"/>
    <w:rsid w:val="00BD5F1B"/>
    <w:rsid w:val="00BD69E1"/>
    <w:rsid w:val="00BE1DF2"/>
    <w:rsid w:val="00BE397E"/>
    <w:rsid w:val="00BE4FE8"/>
    <w:rsid w:val="00BF1161"/>
    <w:rsid w:val="00BF1822"/>
    <w:rsid w:val="00BF3D8E"/>
    <w:rsid w:val="00BF484F"/>
    <w:rsid w:val="00BF49AA"/>
    <w:rsid w:val="00BF4B04"/>
    <w:rsid w:val="00BF7FC1"/>
    <w:rsid w:val="00C01776"/>
    <w:rsid w:val="00C04B2E"/>
    <w:rsid w:val="00C058CD"/>
    <w:rsid w:val="00C05942"/>
    <w:rsid w:val="00C06C65"/>
    <w:rsid w:val="00C10382"/>
    <w:rsid w:val="00C104A1"/>
    <w:rsid w:val="00C16781"/>
    <w:rsid w:val="00C2003B"/>
    <w:rsid w:val="00C22685"/>
    <w:rsid w:val="00C227A6"/>
    <w:rsid w:val="00C25115"/>
    <w:rsid w:val="00C2749D"/>
    <w:rsid w:val="00C27DA1"/>
    <w:rsid w:val="00C30749"/>
    <w:rsid w:val="00C310AA"/>
    <w:rsid w:val="00C31628"/>
    <w:rsid w:val="00C33DE0"/>
    <w:rsid w:val="00C35562"/>
    <w:rsid w:val="00C40FF5"/>
    <w:rsid w:val="00C41AE4"/>
    <w:rsid w:val="00C4203C"/>
    <w:rsid w:val="00C420E1"/>
    <w:rsid w:val="00C42293"/>
    <w:rsid w:val="00C42E99"/>
    <w:rsid w:val="00C43E35"/>
    <w:rsid w:val="00C45CBD"/>
    <w:rsid w:val="00C46FEC"/>
    <w:rsid w:val="00C47918"/>
    <w:rsid w:val="00C50447"/>
    <w:rsid w:val="00C50D7D"/>
    <w:rsid w:val="00C55B52"/>
    <w:rsid w:val="00C60446"/>
    <w:rsid w:val="00C669C5"/>
    <w:rsid w:val="00C676F3"/>
    <w:rsid w:val="00C70835"/>
    <w:rsid w:val="00C719DB"/>
    <w:rsid w:val="00C744C8"/>
    <w:rsid w:val="00C74559"/>
    <w:rsid w:val="00C74AD0"/>
    <w:rsid w:val="00C76EC8"/>
    <w:rsid w:val="00C77C77"/>
    <w:rsid w:val="00C82414"/>
    <w:rsid w:val="00C827A3"/>
    <w:rsid w:val="00C86D96"/>
    <w:rsid w:val="00C90911"/>
    <w:rsid w:val="00CA0D2E"/>
    <w:rsid w:val="00CA0D94"/>
    <w:rsid w:val="00CA19DB"/>
    <w:rsid w:val="00CA2891"/>
    <w:rsid w:val="00CA2EEF"/>
    <w:rsid w:val="00CA4B68"/>
    <w:rsid w:val="00CA4F59"/>
    <w:rsid w:val="00CB1933"/>
    <w:rsid w:val="00CB1F3F"/>
    <w:rsid w:val="00CB2E84"/>
    <w:rsid w:val="00CB7E0C"/>
    <w:rsid w:val="00CC0837"/>
    <w:rsid w:val="00CC3727"/>
    <w:rsid w:val="00CC4834"/>
    <w:rsid w:val="00CC4ECE"/>
    <w:rsid w:val="00CC529F"/>
    <w:rsid w:val="00CD011F"/>
    <w:rsid w:val="00CD018E"/>
    <w:rsid w:val="00CD7186"/>
    <w:rsid w:val="00CE0590"/>
    <w:rsid w:val="00CE165F"/>
    <w:rsid w:val="00CE4C77"/>
    <w:rsid w:val="00CE5C37"/>
    <w:rsid w:val="00CE6AE7"/>
    <w:rsid w:val="00CF1E9F"/>
    <w:rsid w:val="00CF21F9"/>
    <w:rsid w:val="00CF340C"/>
    <w:rsid w:val="00CF4224"/>
    <w:rsid w:val="00CF49A3"/>
    <w:rsid w:val="00CF50FC"/>
    <w:rsid w:val="00CF6537"/>
    <w:rsid w:val="00D02147"/>
    <w:rsid w:val="00D04724"/>
    <w:rsid w:val="00D158BF"/>
    <w:rsid w:val="00D20FC1"/>
    <w:rsid w:val="00D22031"/>
    <w:rsid w:val="00D22896"/>
    <w:rsid w:val="00D23702"/>
    <w:rsid w:val="00D23D3D"/>
    <w:rsid w:val="00D2594F"/>
    <w:rsid w:val="00D25B6E"/>
    <w:rsid w:val="00D274D1"/>
    <w:rsid w:val="00D27D53"/>
    <w:rsid w:val="00D338BC"/>
    <w:rsid w:val="00D33FCC"/>
    <w:rsid w:val="00D34395"/>
    <w:rsid w:val="00D3638C"/>
    <w:rsid w:val="00D4310E"/>
    <w:rsid w:val="00D43D76"/>
    <w:rsid w:val="00D43FBB"/>
    <w:rsid w:val="00D4472F"/>
    <w:rsid w:val="00D4698B"/>
    <w:rsid w:val="00D46D86"/>
    <w:rsid w:val="00D506F0"/>
    <w:rsid w:val="00D547C1"/>
    <w:rsid w:val="00D548A6"/>
    <w:rsid w:val="00D554F2"/>
    <w:rsid w:val="00D574C8"/>
    <w:rsid w:val="00D57F08"/>
    <w:rsid w:val="00D62270"/>
    <w:rsid w:val="00D62F85"/>
    <w:rsid w:val="00D63234"/>
    <w:rsid w:val="00D64F50"/>
    <w:rsid w:val="00D65728"/>
    <w:rsid w:val="00D667E9"/>
    <w:rsid w:val="00D675D8"/>
    <w:rsid w:val="00D6792B"/>
    <w:rsid w:val="00D715AD"/>
    <w:rsid w:val="00D72570"/>
    <w:rsid w:val="00D74652"/>
    <w:rsid w:val="00D81343"/>
    <w:rsid w:val="00D82A08"/>
    <w:rsid w:val="00D93109"/>
    <w:rsid w:val="00D964DB"/>
    <w:rsid w:val="00D96A07"/>
    <w:rsid w:val="00DA1E2F"/>
    <w:rsid w:val="00DA2685"/>
    <w:rsid w:val="00DA409A"/>
    <w:rsid w:val="00DA41DC"/>
    <w:rsid w:val="00DA524A"/>
    <w:rsid w:val="00DA6095"/>
    <w:rsid w:val="00DA70A6"/>
    <w:rsid w:val="00DA70FA"/>
    <w:rsid w:val="00DB1C54"/>
    <w:rsid w:val="00DB4094"/>
    <w:rsid w:val="00DB4F0A"/>
    <w:rsid w:val="00DB6018"/>
    <w:rsid w:val="00DB7B86"/>
    <w:rsid w:val="00DC24F6"/>
    <w:rsid w:val="00DC2B05"/>
    <w:rsid w:val="00DC2E17"/>
    <w:rsid w:val="00DC3392"/>
    <w:rsid w:val="00DC54BF"/>
    <w:rsid w:val="00DC7908"/>
    <w:rsid w:val="00DD3533"/>
    <w:rsid w:val="00DD3A21"/>
    <w:rsid w:val="00DD3B7E"/>
    <w:rsid w:val="00DD3E2F"/>
    <w:rsid w:val="00DD4BE2"/>
    <w:rsid w:val="00DD74DD"/>
    <w:rsid w:val="00DE3845"/>
    <w:rsid w:val="00DE457B"/>
    <w:rsid w:val="00DE631B"/>
    <w:rsid w:val="00DF0803"/>
    <w:rsid w:val="00DF1AF7"/>
    <w:rsid w:val="00DF35F8"/>
    <w:rsid w:val="00DF67D2"/>
    <w:rsid w:val="00DF6931"/>
    <w:rsid w:val="00E01457"/>
    <w:rsid w:val="00E02A7A"/>
    <w:rsid w:val="00E03BBB"/>
    <w:rsid w:val="00E05D38"/>
    <w:rsid w:val="00E06DAE"/>
    <w:rsid w:val="00E06EED"/>
    <w:rsid w:val="00E165AF"/>
    <w:rsid w:val="00E17589"/>
    <w:rsid w:val="00E20442"/>
    <w:rsid w:val="00E24A3D"/>
    <w:rsid w:val="00E256F0"/>
    <w:rsid w:val="00E26D7C"/>
    <w:rsid w:val="00E30879"/>
    <w:rsid w:val="00E31B69"/>
    <w:rsid w:val="00E34077"/>
    <w:rsid w:val="00E34523"/>
    <w:rsid w:val="00E35157"/>
    <w:rsid w:val="00E35526"/>
    <w:rsid w:val="00E37F42"/>
    <w:rsid w:val="00E40B02"/>
    <w:rsid w:val="00E41F63"/>
    <w:rsid w:val="00E435D9"/>
    <w:rsid w:val="00E45022"/>
    <w:rsid w:val="00E4733C"/>
    <w:rsid w:val="00E47638"/>
    <w:rsid w:val="00E47DB7"/>
    <w:rsid w:val="00E50C77"/>
    <w:rsid w:val="00E53660"/>
    <w:rsid w:val="00E561FE"/>
    <w:rsid w:val="00E56EE2"/>
    <w:rsid w:val="00E57522"/>
    <w:rsid w:val="00E644AE"/>
    <w:rsid w:val="00E675A3"/>
    <w:rsid w:val="00E67D09"/>
    <w:rsid w:val="00E70DF3"/>
    <w:rsid w:val="00E7230D"/>
    <w:rsid w:val="00E75AEF"/>
    <w:rsid w:val="00E80571"/>
    <w:rsid w:val="00E81772"/>
    <w:rsid w:val="00E81775"/>
    <w:rsid w:val="00E81963"/>
    <w:rsid w:val="00E84A78"/>
    <w:rsid w:val="00E84B0C"/>
    <w:rsid w:val="00E85D18"/>
    <w:rsid w:val="00E85D7A"/>
    <w:rsid w:val="00E87998"/>
    <w:rsid w:val="00E92D0C"/>
    <w:rsid w:val="00E9442D"/>
    <w:rsid w:val="00E9495C"/>
    <w:rsid w:val="00E95A54"/>
    <w:rsid w:val="00E969B4"/>
    <w:rsid w:val="00EA001C"/>
    <w:rsid w:val="00EA0D45"/>
    <w:rsid w:val="00EA4AEF"/>
    <w:rsid w:val="00EA4EDA"/>
    <w:rsid w:val="00EA5599"/>
    <w:rsid w:val="00EB10D6"/>
    <w:rsid w:val="00EB1820"/>
    <w:rsid w:val="00EB3103"/>
    <w:rsid w:val="00EB5D6B"/>
    <w:rsid w:val="00EC1FDD"/>
    <w:rsid w:val="00EC3A08"/>
    <w:rsid w:val="00EC44B0"/>
    <w:rsid w:val="00EC5075"/>
    <w:rsid w:val="00EC6C4D"/>
    <w:rsid w:val="00ED2E90"/>
    <w:rsid w:val="00ED3866"/>
    <w:rsid w:val="00ED390A"/>
    <w:rsid w:val="00ED39D6"/>
    <w:rsid w:val="00ED4E21"/>
    <w:rsid w:val="00ED704B"/>
    <w:rsid w:val="00EE10DA"/>
    <w:rsid w:val="00EE17D6"/>
    <w:rsid w:val="00EE45A3"/>
    <w:rsid w:val="00EE6147"/>
    <w:rsid w:val="00EE7F7D"/>
    <w:rsid w:val="00EF0043"/>
    <w:rsid w:val="00EF02D4"/>
    <w:rsid w:val="00EF40D7"/>
    <w:rsid w:val="00EF6A07"/>
    <w:rsid w:val="00EF6DA3"/>
    <w:rsid w:val="00EF78C0"/>
    <w:rsid w:val="00F005AF"/>
    <w:rsid w:val="00F02089"/>
    <w:rsid w:val="00F1185B"/>
    <w:rsid w:val="00F125BC"/>
    <w:rsid w:val="00F145BF"/>
    <w:rsid w:val="00F17ECA"/>
    <w:rsid w:val="00F23593"/>
    <w:rsid w:val="00F27372"/>
    <w:rsid w:val="00F27814"/>
    <w:rsid w:val="00F31549"/>
    <w:rsid w:val="00F34C74"/>
    <w:rsid w:val="00F36A64"/>
    <w:rsid w:val="00F37C92"/>
    <w:rsid w:val="00F40BFD"/>
    <w:rsid w:val="00F42142"/>
    <w:rsid w:val="00F42E80"/>
    <w:rsid w:val="00F433E6"/>
    <w:rsid w:val="00F438E3"/>
    <w:rsid w:val="00F43BD1"/>
    <w:rsid w:val="00F44C09"/>
    <w:rsid w:val="00F46EEF"/>
    <w:rsid w:val="00F532CC"/>
    <w:rsid w:val="00F54EAB"/>
    <w:rsid w:val="00F57C3B"/>
    <w:rsid w:val="00F63046"/>
    <w:rsid w:val="00F70858"/>
    <w:rsid w:val="00F72AFA"/>
    <w:rsid w:val="00F73E72"/>
    <w:rsid w:val="00F76759"/>
    <w:rsid w:val="00F80B37"/>
    <w:rsid w:val="00F82125"/>
    <w:rsid w:val="00F87409"/>
    <w:rsid w:val="00F9138F"/>
    <w:rsid w:val="00F91AC9"/>
    <w:rsid w:val="00F92DCA"/>
    <w:rsid w:val="00F95294"/>
    <w:rsid w:val="00F9576F"/>
    <w:rsid w:val="00F9649C"/>
    <w:rsid w:val="00FA3D93"/>
    <w:rsid w:val="00FA6CE4"/>
    <w:rsid w:val="00FA6FF4"/>
    <w:rsid w:val="00FB23D5"/>
    <w:rsid w:val="00FB5243"/>
    <w:rsid w:val="00FB7084"/>
    <w:rsid w:val="00FC11C9"/>
    <w:rsid w:val="00FC352D"/>
    <w:rsid w:val="00FC4B9F"/>
    <w:rsid w:val="00FD00A6"/>
    <w:rsid w:val="00FD0468"/>
    <w:rsid w:val="00FD2675"/>
    <w:rsid w:val="00FD3203"/>
    <w:rsid w:val="00FD3E54"/>
    <w:rsid w:val="00FD4E49"/>
    <w:rsid w:val="00FE2004"/>
    <w:rsid w:val="00FE3846"/>
    <w:rsid w:val="00FE53D5"/>
    <w:rsid w:val="00FE6469"/>
    <w:rsid w:val="00FF20B2"/>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59634948">
      <w:bodyDiv w:val="1"/>
      <w:marLeft w:val="0"/>
      <w:marRight w:val="0"/>
      <w:marTop w:val="0"/>
      <w:marBottom w:val="0"/>
      <w:divBdr>
        <w:top w:val="none" w:sz="0" w:space="0" w:color="auto"/>
        <w:left w:val="none" w:sz="0" w:space="0" w:color="auto"/>
        <w:bottom w:val="none" w:sz="0" w:space="0" w:color="auto"/>
        <w:right w:val="none" w:sz="0" w:space="0" w:color="auto"/>
      </w:divBdr>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27.A420181417.13.S" TargetMode="External"/><Relationship Id="rId13" Type="http://schemas.openxmlformats.org/officeDocument/2006/relationships/hyperlink" Target="https://manas.tiesas.lv/eTiesasMvc/eclinolemumi/ECLI:EU:C:2012:2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EU:C:2012:2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12:2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1:0127.A420153217.10.S" TargetMode="External"/><Relationship Id="rId4" Type="http://schemas.openxmlformats.org/officeDocument/2006/relationships/settings" Target="settings.xml"/><Relationship Id="rId9" Type="http://schemas.openxmlformats.org/officeDocument/2006/relationships/hyperlink" Target="https://manas.tiesas.lv/eTiesasMvc/eclinolemumi/ECLI:LV:AT:2018:1228.A420495111.3.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F717-5AEE-4B57-A6FB-C734831C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6015</Words>
  <Characters>34288</Characters>
  <Application>Microsoft Office Word</Application>
  <DocSecurity>0</DocSecurity>
  <Lines>285</Lines>
  <Paragraphs>80</Paragraphs>
  <ScaleCrop>false</ScaleCrop>
  <Company/>
  <LinksUpToDate>false</LinksUpToDate>
  <CharactersWithSpaces>40223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2022-11-01T06:47:00Z</dcterms:created>
  <dcterms:modified xsi:type="dcterms:W3CDTF">2022-11-01T06:47:00Z</dcterms:modified>
</cp:coreProperties>
</file>