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E3BE" w14:textId="7BA90582" w:rsidR="00ED57A6" w:rsidRPr="00ED57A6" w:rsidRDefault="00ED57A6" w:rsidP="00ED57A6">
      <w:pPr>
        <w:spacing w:after="0" w:line="276" w:lineRule="auto"/>
        <w:jc w:val="both"/>
        <w:rPr>
          <w:rFonts w:cs="Times New Roman"/>
          <w:b/>
          <w:bCs/>
          <w:szCs w:val="24"/>
        </w:rPr>
      </w:pPr>
      <w:r w:rsidRPr="00ED57A6">
        <w:rPr>
          <w:rFonts w:cs="Times New Roman"/>
          <w:b/>
          <w:bCs/>
          <w:szCs w:val="24"/>
        </w:rPr>
        <w:t>Procesuālā piespiedu līdzekļa – ievietošanas ārstniecības iestādē ekspertīzes izdarīšanai – piemērošana</w:t>
      </w:r>
    </w:p>
    <w:p w14:paraId="03FBB0D3" w14:textId="17665EE3" w:rsidR="00ED57A6" w:rsidRDefault="00ED57A6" w:rsidP="00ED57A6">
      <w:pPr>
        <w:spacing w:after="0" w:line="276" w:lineRule="auto"/>
        <w:jc w:val="both"/>
        <w:rPr>
          <w:rFonts w:cs="Times New Roman"/>
          <w:szCs w:val="24"/>
        </w:rPr>
      </w:pPr>
      <w:bookmarkStart w:id="0" w:name="_Hlk118702326"/>
      <w:r w:rsidRPr="00ED57A6">
        <w:rPr>
          <w:rFonts w:cs="Times New Roman"/>
          <w:szCs w:val="24"/>
        </w:rPr>
        <w:t xml:space="preserve">Ievietošana ārstniecības iestādē ekspertīzes izdarīšanai ir ar brīvības atņemšanu saistīts piespiedu līdzeklis, kura piemērošanas pamats noteikts Kriminālprocesa likuma </w:t>
      </w:r>
      <w:proofErr w:type="gramStart"/>
      <w:r w:rsidRPr="00ED57A6">
        <w:rPr>
          <w:rFonts w:cs="Times New Roman"/>
          <w:szCs w:val="24"/>
        </w:rPr>
        <w:t>283.pantā</w:t>
      </w:r>
      <w:proofErr w:type="gramEnd"/>
      <w:r w:rsidRPr="00ED57A6">
        <w:rPr>
          <w:rFonts w:cs="Times New Roman"/>
          <w:szCs w:val="24"/>
        </w:rPr>
        <w:t>. Tas paredz divus nosacījumus, lai personu piespiedu kārtā varētu ievietot ārstniecības iestādē. Pirmkārt, tā ir nepieciešamība izdarīt tiesmedicīnisko vai tiesu psihiatrisko ekspertīzi. Otrkārt, attiecīgo pētījumu veikšana iespējama tikai ārstnieciskā stacionāra apstākļos. Abi šie nosacījumi izvērtējami, un attiecīgais pamatojums norādāms tiesas lēmumā.</w:t>
      </w:r>
      <w:bookmarkEnd w:id="0"/>
    </w:p>
    <w:p w14:paraId="4D52DDF1" w14:textId="77777777" w:rsidR="00ED57A6" w:rsidRDefault="00ED57A6" w:rsidP="00ED57A6">
      <w:pPr>
        <w:spacing w:after="0" w:line="276" w:lineRule="auto"/>
        <w:jc w:val="both"/>
        <w:rPr>
          <w:rFonts w:eastAsia="Times New Roman" w:cs="Times New Roman"/>
          <w:szCs w:val="24"/>
        </w:rPr>
      </w:pPr>
    </w:p>
    <w:p w14:paraId="1E5CC32B" w14:textId="0CAB4E6A" w:rsidR="00ED57A6" w:rsidRPr="00ED57A6" w:rsidRDefault="00ED57A6" w:rsidP="00ED57A6">
      <w:pPr>
        <w:spacing w:after="0" w:line="276" w:lineRule="auto"/>
        <w:jc w:val="center"/>
        <w:rPr>
          <w:rFonts w:cs="Times New Roman"/>
          <w:b/>
          <w:szCs w:val="24"/>
        </w:rPr>
      </w:pPr>
      <w:r w:rsidRPr="00ED57A6">
        <w:rPr>
          <w:rFonts w:cs="Times New Roman"/>
          <w:b/>
          <w:szCs w:val="24"/>
        </w:rPr>
        <w:t xml:space="preserve">Latvijas Republikas Senāta </w:t>
      </w:r>
    </w:p>
    <w:p w14:paraId="0DDB15E6" w14:textId="4635C097" w:rsidR="00ED57A6" w:rsidRPr="00ED57A6" w:rsidRDefault="00ED57A6" w:rsidP="00E079B4">
      <w:pPr>
        <w:spacing w:after="0" w:line="276" w:lineRule="auto"/>
        <w:jc w:val="center"/>
        <w:rPr>
          <w:rFonts w:cs="Times New Roman"/>
          <w:b/>
          <w:szCs w:val="24"/>
        </w:rPr>
      </w:pPr>
      <w:r w:rsidRPr="00ED57A6">
        <w:rPr>
          <w:rFonts w:cs="Times New Roman"/>
          <w:b/>
          <w:szCs w:val="24"/>
        </w:rPr>
        <w:t>Krimināllietu departamenta</w:t>
      </w:r>
      <w:r w:rsidR="00E079B4" w:rsidRPr="00E079B4">
        <w:rPr>
          <w:rFonts w:cs="Times New Roman"/>
          <w:b/>
          <w:szCs w:val="24"/>
        </w:rPr>
        <w:t xml:space="preserve"> </w:t>
      </w:r>
      <w:r w:rsidR="00E079B4">
        <w:rPr>
          <w:rFonts w:cs="Times New Roman"/>
          <w:b/>
          <w:szCs w:val="24"/>
        </w:rPr>
        <w:t>s</w:t>
      </w:r>
      <w:r w:rsidR="00E079B4" w:rsidRPr="00ED57A6">
        <w:rPr>
          <w:rFonts w:cs="Times New Roman"/>
          <w:b/>
          <w:szCs w:val="24"/>
        </w:rPr>
        <w:t>enatora</w:t>
      </w:r>
    </w:p>
    <w:p w14:paraId="50A75384" w14:textId="48ECC24A" w:rsidR="008F060C" w:rsidRPr="00ED57A6" w:rsidRDefault="00ED57A6" w:rsidP="00ED57A6">
      <w:pPr>
        <w:spacing w:after="0" w:line="276" w:lineRule="auto"/>
        <w:jc w:val="center"/>
        <w:rPr>
          <w:rFonts w:cs="Times New Roman"/>
          <w:b/>
          <w:szCs w:val="24"/>
        </w:rPr>
      </w:pPr>
      <w:proofErr w:type="gramStart"/>
      <w:r w:rsidRPr="00ED57A6">
        <w:rPr>
          <w:rFonts w:eastAsia="Times New Roman" w:cs="Times New Roman"/>
          <w:b/>
          <w:szCs w:val="24"/>
        </w:rPr>
        <w:t>2021.gada</w:t>
      </w:r>
      <w:proofErr w:type="gramEnd"/>
      <w:r w:rsidRPr="00ED57A6">
        <w:rPr>
          <w:rFonts w:eastAsia="Times New Roman" w:cs="Times New Roman"/>
          <w:b/>
          <w:szCs w:val="24"/>
        </w:rPr>
        <w:t xml:space="preserve"> </w:t>
      </w:r>
      <w:r>
        <w:rPr>
          <w:rFonts w:eastAsia="Times New Roman" w:cs="Times New Roman"/>
          <w:b/>
          <w:szCs w:val="24"/>
        </w:rPr>
        <w:t>[..]</w:t>
      </w:r>
    </w:p>
    <w:p w14:paraId="3E3BC532" w14:textId="30DADA4A" w:rsidR="008F060C" w:rsidRDefault="008F060C" w:rsidP="00ED57A6">
      <w:pPr>
        <w:spacing w:after="0" w:line="276" w:lineRule="auto"/>
        <w:jc w:val="center"/>
        <w:rPr>
          <w:rFonts w:eastAsia="Times New Roman" w:cs="Times New Roman"/>
          <w:b/>
          <w:szCs w:val="24"/>
        </w:rPr>
      </w:pPr>
      <w:r w:rsidRPr="00ED57A6">
        <w:rPr>
          <w:rFonts w:eastAsia="Times New Roman" w:cs="Times New Roman"/>
          <w:b/>
          <w:szCs w:val="24"/>
        </w:rPr>
        <w:t>LĒMUMS</w:t>
      </w:r>
      <w:r w:rsidR="00ED57A6" w:rsidRPr="00ED57A6">
        <w:rPr>
          <w:rStyle w:val="FootnoteReference"/>
          <w:rFonts w:eastAsia="Times New Roman" w:cs="Times New Roman"/>
          <w:b/>
          <w:szCs w:val="24"/>
        </w:rPr>
        <w:footnoteReference w:id="1"/>
      </w:r>
    </w:p>
    <w:p w14:paraId="56F50E44" w14:textId="2DE693A1" w:rsidR="00C3126F" w:rsidRPr="00ED57A6" w:rsidRDefault="00C3126F" w:rsidP="00ED57A6">
      <w:pPr>
        <w:spacing w:after="0" w:line="276" w:lineRule="auto"/>
        <w:jc w:val="center"/>
        <w:rPr>
          <w:rFonts w:eastAsia="Times New Roman" w:cs="Times New Roman"/>
          <w:b/>
          <w:szCs w:val="24"/>
        </w:rPr>
      </w:pPr>
      <w:r w:rsidRPr="00FA5E16">
        <w:rPr>
          <w:rFonts w:eastAsia="Times New Roman"/>
          <w:b/>
          <w:bCs/>
          <w:szCs w:val="24"/>
        </w:rPr>
        <w:t>Lieta Nr. [..], SKK</w:t>
      </w:r>
      <w:r w:rsidRPr="00FA5E16">
        <w:rPr>
          <w:rFonts w:eastAsia="Times New Roman"/>
          <w:b/>
          <w:bCs/>
          <w:szCs w:val="24"/>
        </w:rPr>
        <w:noBreakHyphen/>
        <w:t>[</w:t>
      </w:r>
      <w:r>
        <w:rPr>
          <w:rFonts w:eastAsia="Times New Roman"/>
          <w:b/>
          <w:bCs/>
          <w:szCs w:val="24"/>
        </w:rPr>
        <w:t>R</w:t>
      </w:r>
      <w:r w:rsidRPr="00FA5E16">
        <w:rPr>
          <w:rFonts w:eastAsia="Times New Roman"/>
          <w:b/>
          <w:bCs/>
          <w:szCs w:val="24"/>
        </w:rPr>
        <w:t>]/202</w:t>
      </w:r>
      <w:r>
        <w:rPr>
          <w:rFonts w:eastAsia="Times New Roman"/>
          <w:b/>
          <w:bCs/>
          <w:szCs w:val="24"/>
        </w:rPr>
        <w:t>1</w:t>
      </w:r>
    </w:p>
    <w:p w14:paraId="1608EBA1" w14:textId="0AD93D33" w:rsidR="008F060C" w:rsidRPr="00ED57A6" w:rsidRDefault="00ED57A6" w:rsidP="00ED57A6">
      <w:pPr>
        <w:spacing w:after="0" w:line="276" w:lineRule="auto"/>
        <w:jc w:val="center"/>
        <w:rPr>
          <w:rFonts w:eastAsia="Times New Roman" w:cs="Times New Roman"/>
          <w:szCs w:val="24"/>
        </w:rPr>
      </w:pPr>
      <w:r w:rsidRPr="00ED57A6">
        <w:rPr>
          <w:rFonts w:cs="Times New Roman"/>
          <w:color w:val="000000"/>
          <w:szCs w:val="24"/>
          <w:shd w:val="clear" w:color="auto" w:fill="FFFFFF"/>
        </w:rPr>
        <w:t>ECLI:LV:AT:2021:</w:t>
      </w:r>
      <w:r>
        <w:rPr>
          <w:rFonts w:cs="Times New Roman"/>
          <w:color w:val="000000"/>
          <w:szCs w:val="24"/>
          <w:shd w:val="clear" w:color="auto" w:fill="FFFFFF"/>
        </w:rPr>
        <w:t>[..]</w:t>
      </w:r>
    </w:p>
    <w:p w14:paraId="6F443882" w14:textId="044E0811" w:rsidR="008F060C" w:rsidRDefault="008F060C" w:rsidP="008F060C">
      <w:pPr>
        <w:autoSpaceDE w:val="0"/>
        <w:autoSpaceDN w:val="0"/>
        <w:adjustRightInd w:val="0"/>
        <w:spacing w:before="240" w:after="240" w:line="276" w:lineRule="auto"/>
        <w:ind w:firstLine="709"/>
        <w:jc w:val="both"/>
        <w:rPr>
          <w:rFonts w:eastAsia="Times New Roman" w:cs="Times New Roman"/>
          <w:szCs w:val="24"/>
        </w:rPr>
      </w:pPr>
      <w:r>
        <w:rPr>
          <w:rFonts w:eastAsia="Times New Roman" w:cs="Times New Roman"/>
          <w:szCs w:val="24"/>
        </w:rPr>
        <w:t>Latvijas Repu</w:t>
      </w:r>
      <w:r w:rsidR="002F7BCD">
        <w:rPr>
          <w:rFonts w:eastAsia="Times New Roman" w:cs="Times New Roman"/>
          <w:szCs w:val="24"/>
        </w:rPr>
        <w:t>blikas Augstākās tiesas senatore</w:t>
      </w:r>
      <w:r>
        <w:rPr>
          <w:rFonts w:eastAsia="Times New Roman" w:cs="Times New Roman"/>
          <w:szCs w:val="24"/>
        </w:rPr>
        <w:t xml:space="preserve"> </w:t>
      </w:r>
      <w:r w:rsidR="002F7BCD">
        <w:rPr>
          <w:rFonts w:eastAsia="Times New Roman" w:cs="Times New Roman"/>
          <w:szCs w:val="24"/>
        </w:rPr>
        <w:t xml:space="preserve">Sandra Kaija </w:t>
      </w:r>
      <w:r>
        <w:rPr>
          <w:rFonts w:eastAsia="Times New Roman" w:cs="Times New Roman"/>
          <w:szCs w:val="24"/>
        </w:rPr>
        <w:t>izskatīja slēgtā tiesas sēdē apsūdzētā</w:t>
      </w:r>
      <w:r w:rsidR="00A11C64">
        <w:rPr>
          <w:rFonts w:eastAsia="Times New Roman" w:cs="Times New Roman"/>
          <w:szCs w:val="24"/>
        </w:rPr>
        <w:t xml:space="preserve"> </w:t>
      </w:r>
      <w:r w:rsidR="00ED57A6">
        <w:rPr>
          <w:rFonts w:eastAsia="Times New Roman" w:cs="Times New Roman"/>
          <w:szCs w:val="24"/>
        </w:rPr>
        <w:t>[pers. </w:t>
      </w:r>
      <w:r w:rsidR="00ED57A6">
        <w:t>A]</w:t>
      </w:r>
      <w:r w:rsidR="00B70ABC">
        <w:rPr>
          <w:rFonts w:eastAsia="Times New Roman" w:cs="Times New Roman"/>
          <w:szCs w:val="24"/>
        </w:rPr>
        <w:t xml:space="preserve"> aizstāves Ivetas Vietnieces </w:t>
      </w:r>
      <w:r w:rsidR="002F7BCD">
        <w:rPr>
          <w:rFonts w:eastAsia="Times New Roman" w:cs="Times New Roman"/>
          <w:szCs w:val="24"/>
        </w:rPr>
        <w:t>sūdzību</w:t>
      </w:r>
      <w:r w:rsidR="0037106A">
        <w:rPr>
          <w:rFonts w:eastAsia="Times New Roman" w:cs="Times New Roman"/>
          <w:szCs w:val="24"/>
        </w:rPr>
        <w:t xml:space="preserve"> par </w:t>
      </w:r>
      <w:r w:rsidR="00ED57A6">
        <w:rPr>
          <w:rFonts w:eastAsia="Times New Roman" w:cs="Times New Roman"/>
          <w:szCs w:val="24"/>
        </w:rPr>
        <w:t xml:space="preserve">[..] </w:t>
      </w:r>
      <w:r w:rsidR="0037106A">
        <w:rPr>
          <w:rFonts w:eastAsia="Times New Roman" w:cs="Times New Roman"/>
          <w:szCs w:val="24"/>
        </w:rPr>
        <w:t xml:space="preserve">apgabaltiesas </w:t>
      </w:r>
      <w:proofErr w:type="gramStart"/>
      <w:r w:rsidR="0037106A">
        <w:rPr>
          <w:rFonts w:eastAsia="Times New Roman" w:cs="Times New Roman"/>
          <w:szCs w:val="24"/>
        </w:rPr>
        <w:t>202</w:t>
      </w:r>
      <w:r w:rsidR="00C66738">
        <w:rPr>
          <w:rFonts w:eastAsia="Times New Roman" w:cs="Times New Roman"/>
          <w:szCs w:val="24"/>
        </w:rPr>
        <w:t>1</w:t>
      </w:r>
      <w:r w:rsidR="0037106A">
        <w:rPr>
          <w:rFonts w:eastAsia="Times New Roman" w:cs="Times New Roman"/>
          <w:szCs w:val="24"/>
        </w:rPr>
        <w:t>.gada</w:t>
      </w:r>
      <w:proofErr w:type="gramEnd"/>
      <w:r w:rsidR="0037106A">
        <w:rPr>
          <w:rFonts w:eastAsia="Times New Roman" w:cs="Times New Roman"/>
          <w:szCs w:val="24"/>
        </w:rPr>
        <w:t xml:space="preserve"> </w:t>
      </w:r>
      <w:r w:rsidR="00ED57A6">
        <w:rPr>
          <w:rFonts w:eastAsia="Times New Roman" w:cs="Times New Roman"/>
          <w:szCs w:val="24"/>
        </w:rPr>
        <w:t>[..]</w:t>
      </w:r>
      <w:r>
        <w:rPr>
          <w:rFonts w:eastAsia="Times New Roman" w:cs="Times New Roman"/>
          <w:szCs w:val="24"/>
        </w:rPr>
        <w:t xml:space="preserve"> lēmumu.</w:t>
      </w:r>
    </w:p>
    <w:p w14:paraId="2738B5D6" w14:textId="77777777" w:rsidR="008F060C" w:rsidRDefault="008F060C" w:rsidP="008F060C">
      <w:pPr>
        <w:autoSpaceDE w:val="0"/>
        <w:autoSpaceDN w:val="0"/>
        <w:adjustRightInd w:val="0"/>
        <w:spacing w:before="240" w:after="240" w:line="276" w:lineRule="auto"/>
        <w:jc w:val="center"/>
        <w:rPr>
          <w:rFonts w:eastAsia="Times New Roman" w:cs="Times New Roman"/>
          <w:b/>
          <w:bCs/>
          <w:szCs w:val="24"/>
        </w:rPr>
      </w:pPr>
      <w:r>
        <w:rPr>
          <w:rFonts w:eastAsia="Times New Roman" w:cs="Times New Roman"/>
          <w:b/>
          <w:bCs/>
          <w:szCs w:val="24"/>
        </w:rPr>
        <w:t>Aprakstošā daļa</w:t>
      </w:r>
    </w:p>
    <w:p w14:paraId="501202C3" w14:textId="0E36C4F9" w:rsidR="005C63E3" w:rsidRDefault="005C63E3" w:rsidP="0084637E">
      <w:pPr>
        <w:spacing w:after="0" w:line="276" w:lineRule="auto"/>
        <w:ind w:firstLine="709"/>
        <w:jc w:val="both"/>
        <w:rPr>
          <w:b/>
        </w:rPr>
      </w:pPr>
      <w:r>
        <w:t xml:space="preserve">[1] Ar </w:t>
      </w:r>
      <w:r w:rsidR="00ED57A6">
        <w:t>[rajona (pilsētas)]</w:t>
      </w:r>
      <w:r>
        <w:t xml:space="preserve"> tiesas </w:t>
      </w:r>
      <w:proofErr w:type="gramStart"/>
      <w:r>
        <w:t>2014.gada</w:t>
      </w:r>
      <w:proofErr w:type="gramEnd"/>
      <w:r>
        <w:t xml:space="preserve"> </w:t>
      </w:r>
      <w:r w:rsidR="00ED57A6">
        <w:t>[..]</w:t>
      </w:r>
      <w:r>
        <w:t xml:space="preserve"> spriedumu</w:t>
      </w:r>
      <w:r>
        <w:rPr>
          <w:b/>
        </w:rPr>
        <w:t xml:space="preserve"> </w:t>
      </w:r>
    </w:p>
    <w:p w14:paraId="578CFBBB" w14:textId="140748F4" w:rsidR="005C63E3" w:rsidRDefault="00ED57A6" w:rsidP="0084637E">
      <w:pPr>
        <w:spacing w:after="0" w:line="276" w:lineRule="auto"/>
        <w:ind w:firstLine="709"/>
        <w:jc w:val="both"/>
      </w:pPr>
      <w:r>
        <w:t>[pers. A]</w:t>
      </w:r>
      <w:r w:rsidR="005C63E3">
        <w:t xml:space="preserve">, personas kods </w:t>
      </w:r>
      <w:r>
        <w:t>[..]</w:t>
      </w:r>
      <w:r w:rsidR="005C63E3">
        <w:t>,</w:t>
      </w:r>
      <w:r w:rsidR="005C63E3">
        <w:rPr>
          <w:b/>
        </w:rPr>
        <w:t xml:space="preserve"> </w:t>
      </w:r>
    </w:p>
    <w:p w14:paraId="6384952B" w14:textId="647AD6BD" w:rsidR="005C63E3" w:rsidRDefault="005C63E3" w:rsidP="005C63E3">
      <w:pPr>
        <w:spacing w:after="0" w:line="276" w:lineRule="auto"/>
        <w:ind w:firstLine="709"/>
        <w:jc w:val="both"/>
      </w:pPr>
      <w:r>
        <w:t xml:space="preserve">atzīts par nevainīgu pret viņu celtajā apsūdzībā pēc Krimināllikuma </w:t>
      </w:r>
      <w:proofErr w:type="gramStart"/>
      <w:r>
        <w:t>20.panta</w:t>
      </w:r>
      <w:proofErr w:type="gramEnd"/>
      <w:r>
        <w:t xml:space="preserve"> otrās daļas, 15.panta trešās daļas un 118.panta 2.punkta un attaisnots;</w:t>
      </w:r>
    </w:p>
    <w:p w14:paraId="02450F8A" w14:textId="55E729FC" w:rsidR="005C63E3" w:rsidRPr="005C63E3" w:rsidRDefault="005C63E3" w:rsidP="005C63E3">
      <w:pPr>
        <w:spacing w:line="276" w:lineRule="auto"/>
        <w:ind w:firstLine="709"/>
        <w:jc w:val="both"/>
        <w:rPr>
          <w:bCs/>
        </w:rPr>
      </w:pPr>
      <w:r>
        <w:t xml:space="preserve">atzīts par nevainīgu pret viņu celtajā apsūdzībā pēc Krimināllikuma </w:t>
      </w:r>
      <w:proofErr w:type="gramStart"/>
      <w:r>
        <w:t>233.panta</w:t>
      </w:r>
      <w:proofErr w:type="gramEnd"/>
      <w:r>
        <w:t xml:space="preserve"> otrās daļas un attaisnots.</w:t>
      </w:r>
    </w:p>
    <w:p w14:paraId="2E71C5A0" w14:textId="04882246" w:rsidR="005C63E3" w:rsidRDefault="005C63E3" w:rsidP="005C63E3">
      <w:pPr>
        <w:spacing w:after="0" w:line="276" w:lineRule="auto"/>
        <w:ind w:firstLine="709"/>
        <w:jc w:val="both"/>
      </w:pPr>
      <w:r>
        <w:t xml:space="preserve"> [2] </w:t>
      </w:r>
      <w:r w:rsidRPr="00CC4344">
        <w:t>Ar</w:t>
      </w:r>
      <w:r>
        <w:t xml:space="preserve"> </w:t>
      </w:r>
      <w:r w:rsidR="00ED57A6">
        <w:t>[..]</w:t>
      </w:r>
      <w:r>
        <w:t xml:space="preserve"> apgabaltiesas </w:t>
      </w:r>
      <w:proofErr w:type="gramStart"/>
      <w:r>
        <w:t>2016.gada</w:t>
      </w:r>
      <w:proofErr w:type="gramEnd"/>
      <w:r>
        <w:t xml:space="preserve"> </w:t>
      </w:r>
      <w:r w:rsidR="00ED57A6">
        <w:t>[..]</w:t>
      </w:r>
      <w:r>
        <w:t xml:space="preserve"> spriedumu, </w:t>
      </w:r>
      <w:r w:rsidRPr="004A7FE1">
        <w:t>iztiesājot</w:t>
      </w:r>
      <w:r>
        <w:t xml:space="preserve"> </w:t>
      </w:r>
      <w:r w:rsidRPr="004A7FE1">
        <w:t xml:space="preserve">lietu apelācijas kārtībā sakarā ar </w:t>
      </w:r>
      <w:r w:rsidR="00ED57A6">
        <w:t>[..]</w:t>
      </w:r>
      <w:r>
        <w:t xml:space="preserve"> prokuratūras prokurores Ieviņas </w:t>
      </w:r>
      <w:proofErr w:type="spellStart"/>
      <w:r w:rsidRPr="004A7FE1">
        <w:t>Pickaines</w:t>
      </w:r>
      <w:proofErr w:type="spellEnd"/>
      <w:r>
        <w:t xml:space="preserve"> apelācijas protestu un cietušās </w:t>
      </w:r>
      <w:r w:rsidR="00186F9A">
        <w:t>[pers. B]</w:t>
      </w:r>
      <w:r w:rsidRPr="004A7FE1">
        <w:t xml:space="preserve"> apelācijas sūdzī</w:t>
      </w:r>
      <w:r>
        <w:t xml:space="preserve">bu, </w:t>
      </w:r>
      <w:r w:rsidR="00186F9A">
        <w:t>[rajona (pilsētas)]</w:t>
      </w:r>
      <w:r w:rsidRPr="004A7FE1">
        <w:t xml:space="preserve"> tiesas </w:t>
      </w:r>
      <w:r>
        <w:t xml:space="preserve">2014.gada </w:t>
      </w:r>
      <w:r w:rsidR="00186F9A">
        <w:t>[..]</w:t>
      </w:r>
      <w:r>
        <w:t xml:space="preserve"> spriedums atcelts pilnībā. </w:t>
      </w:r>
    </w:p>
    <w:p w14:paraId="5DB75036" w14:textId="65947EBB" w:rsidR="005C63E3" w:rsidRDefault="00186F9A" w:rsidP="005C63E3">
      <w:pPr>
        <w:spacing w:after="0" w:line="276" w:lineRule="auto"/>
        <w:ind w:firstLine="709"/>
        <w:jc w:val="both"/>
      </w:pPr>
      <w:r>
        <w:t>[Pers. A]</w:t>
      </w:r>
      <w:r w:rsidR="005C63E3" w:rsidRPr="004A7FE1">
        <w:t xml:space="preserve"> atzīts par vainīgu Krimināllikuma </w:t>
      </w:r>
      <w:proofErr w:type="gramStart"/>
      <w:r w:rsidR="005C63E3" w:rsidRPr="004A7FE1">
        <w:t>20.panta</w:t>
      </w:r>
      <w:proofErr w:type="gramEnd"/>
      <w:r w:rsidR="005C63E3" w:rsidRPr="004A7FE1">
        <w:t xml:space="preserve"> otrajā daļā, 15.panta trešajā daļā un</w:t>
      </w:r>
      <w:r w:rsidR="005C63E3">
        <w:t xml:space="preserve"> </w:t>
      </w:r>
      <w:r w:rsidR="005C63E3" w:rsidRPr="004A7FE1">
        <w:t>116.pantā paredzētajā noziedzīgajā nodarījumā un sodīts ar brīvības atņemšanu uz 6 gadiem un</w:t>
      </w:r>
      <w:r w:rsidR="005C63E3">
        <w:t xml:space="preserve"> </w:t>
      </w:r>
      <w:r w:rsidR="005C63E3" w:rsidRPr="004A7FE1">
        <w:t>policijas kontroli uz 2 gadiem.</w:t>
      </w:r>
      <w:r w:rsidR="005C63E3">
        <w:t xml:space="preserve"> </w:t>
      </w:r>
    </w:p>
    <w:p w14:paraId="28E81264" w14:textId="40F3B281" w:rsidR="005C63E3" w:rsidRDefault="00186F9A" w:rsidP="00C81427">
      <w:pPr>
        <w:spacing w:line="276" w:lineRule="auto"/>
        <w:ind w:firstLine="709"/>
        <w:jc w:val="both"/>
      </w:pPr>
      <w:r>
        <w:t>[Pers. A]</w:t>
      </w:r>
      <w:r w:rsidR="005C63E3" w:rsidRPr="004A7FE1">
        <w:t xml:space="preserve"> atzīts par nevainīgu </w:t>
      </w:r>
      <w:r w:rsidR="005C63E3">
        <w:t xml:space="preserve">pret viņu celtajā </w:t>
      </w:r>
      <w:r w:rsidR="005C63E3" w:rsidRPr="004A7FE1">
        <w:t xml:space="preserve">apsūdzībā pēc Krimināllikuma </w:t>
      </w:r>
      <w:proofErr w:type="gramStart"/>
      <w:r w:rsidR="005C63E3" w:rsidRPr="004A7FE1">
        <w:t>233.panta</w:t>
      </w:r>
      <w:proofErr w:type="gramEnd"/>
      <w:r w:rsidR="005C63E3" w:rsidRPr="004A7FE1">
        <w:t xml:space="preserve"> otrās daļas un</w:t>
      </w:r>
      <w:r w:rsidR="005C63E3">
        <w:t xml:space="preserve"> </w:t>
      </w:r>
      <w:r w:rsidR="005C63E3" w:rsidRPr="004A7FE1">
        <w:t>attaisnots.</w:t>
      </w:r>
      <w:r w:rsidR="005C63E3">
        <w:t xml:space="preserve"> </w:t>
      </w:r>
    </w:p>
    <w:p w14:paraId="77884262" w14:textId="00F99782" w:rsidR="005C63E3" w:rsidRDefault="005C63E3" w:rsidP="0057600D">
      <w:pPr>
        <w:spacing w:line="276" w:lineRule="auto"/>
        <w:ind w:firstLine="709"/>
        <w:jc w:val="both"/>
      </w:pPr>
      <w:r>
        <w:t xml:space="preserve">[3] Ar Augstākās tiesas </w:t>
      </w:r>
      <w:proofErr w:type="gramStart"/>
      <w:r>
        <w:t>2016.gada</w:t>
      </w:r>
      <w:proofErr w:type="gramEnd"/>
      <w:r>
        <w:t xml:space="preserve"> </w:t>
      </w:r>
      <w:r w:rsidR="00186F9A">
        <w:t>[..]</w:t>
      </w:r>
      <w:r>
        <w:t xml:space="preserve"> lēmumu </w:t>
      </w:r>
      <w:r w:rsidR="00186F9A">
        <w:t>[..]</w:t>
      </w:r>
      <w:r>
        <w:t xml:space="preserve"> apgabaltiesas 2016.gada </w:t>
      </w:r>
      <w:r w:rsidR="00186F9A">
        <w:t>[..]</w:t>
      </w:r>
      <w:r>
        <w:t xml:space="preserve"> spriedums atcelts daļā par </w:t>
      </w:r>
      <w:r w:rsidR="00186F9A">
        <w:t>[pers. A]</w:t>
      </w:r>
      <w:r>
        <w:t xml:space="preserve"> atzīšanu par vainīgu un sodīšanu pēc Krimināllikuma 20.panta otrās daļas, 15.panta trešās daļas un 116.panta, apcietinājuma ieskaitīšanu soda termiņā un rīcību ar lietiskajiem pierādījumiem. Atceltajā daļā lieta nosūtīta jaunai izskatīšanai apelācijas instances tiesā, bet pārējā daļā apelācijas instances tiesas spriedums atstāts negrozīts.</w:t>
      </w:r>
    </w:p>
    <w:p w14:paraId="4167B2DF" w14:textId="5F1538A6" w:rsidR="005C63E3" w:rsidRDefault="005C63E3" w:rsidP="005C63E3">
      <w:pPr>
        <w:spacing w:line="276" w:lineRule="auto"/>
        <w:ind w:firstLine="709"/>
        <w:jc w:val="both"/>
      </w:pPr>
      <w:r>
        <w:lastRenderedPageBreak/>
        <w:t xml:space="preserve">[4] Ar </w:t>
      </w:r>
      <w:r w:rsidR="00186F9A">
        <w:t>[..]</w:t>
      </w:r>
      <w:r>
        <w:t xml:space="preserve"> apgabaltiesas </w:t>
      </w:r>
      <w:proofErr w:type="gramStart"/>
      <w:r>
        <w:t>2020.gada</w:t>
      </w:r>
      <w:proofErr w:type="gramEnd"/>
      <w:r>
        <w:t xml:space="preserve"> </w:t>
      </w:r>
      <w:r w:rsidR="00186F9A">
        <w:t>[..]</w:t>
      </w:r>
      <w:r>
        <w:t xml:space="preserve"> spriedumu, iztiesājot lietu no jauna apelācijas kārtībā sakarā ar </w:t>
      </w:r>
      <w:r w:rsidR="00186F9A">
        <w:t>[..]</w:t>
      </w:r>
      <w:r>
        <w:t xml:space="preserve"> prokuratūras prokurores I</w:t>
      </w:r>
      <w:r w:rsidR="0084637E">
        <w:t>.</w:t>
      </w:r>
      <w:r>
        <w:t> </w:t>
      </w:r>
      <w:proofErr w:type="spellStart"/>
      <w:r w:rsidRPr="004A7FE1">
        <w:t>Pickaines</w:t>
      </w:r>
      <w:proofErr w:type="spellEnd"/>
      <w:r>
        <w:t xml:space="preserve"> apelācijas protestu un cietušās </w:t>
      </w:r>
      <w:r w:rsidR="00186F9A">
        <w:t>[pers. B]</w:t>
      </w:r>
      <w:r w:rsidRPr="004A7FE1">
        <w:t xml:space="preserve"> apelācijas sūdzī</w:t>
      </w:r>
      <w:r>
        <w:t xml:space="preserve">bu, </w:t>
      </w:r>
      <w:r w:rsidR="00186F9A">
        <w:t>[rajona (pilsētas)]</w:t>
      </w:r>
      <w:r>
        <w:t xml:space="preserve"> tiesas 2014.gada </w:t>
      </w:r>
      <w:r w:rsidR="00186F9A">
        <w:t>[..]</w:t>
      </w:r>
      <w:r>
        <w:t xml:space="preserve"> spriedums atcelts daļā par </w:t>
      </w:r>
      <w:r w:rsidR="00186F9A">
        <w:t>[pers. </w:t>
      </w:r>
      <w:r w:rsidR="00CF1506">
        <w:t>A</w:t>
      </w:r>
      <w:r w:rsidR="00186F9A">
        <w:t>]</w:t>
      </w:r>
      <w:r>
        <w:t xml:space="preserve"> atzīšanu par nevainīgu un attaisnošanu apsūdzībā pēc Krimināllikuma 20.panta otrās daļas, 15.panta trešās daļas un 118.panta 2.punkta un rīcību ar lietiskajiem pierādījumiem.</w:t>
      </w:r>
    </w:p>
    <w:p w14:paraId="4245E5DC" w14:textId="27ADAC9E" w:rsidR="005C63E3" w:rsidRDefault="005C63E3" w:rsidP="0057600D">
      <w:pPr>
        <w:spacing w:after="0" w:line="276" w:lineRule="auto"/>
        <w:ind w:firstLine="709"/>
        <w:jc w:val="both"/>
      </w:pPr>
      <w:r>
        <w:t>[4.1] </w:t>
      </w:r>
      <w:r w:rsidR="00186F9A">
        <w:t>[Pers. A]</w:t>
      </w:r>
      <w:r>
        <w:t xml:space="preserve"> atzīts par vainīgu Krimināllikuma </w:t>
      </w:r>
      <w:proofErr w:type="gramStart"/>
      <w:r>
        <w:t>20.panta</w:t>
      </w:r>
      <w:proofErr w:type="gramEnd"/>
      <w:r>
        <w:t xml:space="preserve"> otrajā daļā, 15.panta trešajā daļā un 116.pantā paredzētajā noziedzīgajā nodarījumā un sodīts ar brīvības atņemšanu uz 5 gadiem 6 mēnešiem un policijas kontroli uz 2 gadiem.</w:t>
      </w:r>
    </w:p>
    <w:p w14:paraId="0E900264" w14:textId="3B83BCDB" w:rsidR="005C63E3" w:rsidRDefault="005C63E3" w:rsidP="0057600D">
      <w:pPr>
        <w:spacing w:after="0" w:line="276" w:lineRule="auto"/>
        <w:ind w:firstLine="709"/>
        <w:jc w:val="both"/>
      </w:pPr>
      <w:r>
        <w:t xml:space="preserve">[4.2] Saskaņā ar Krimināllikuma </w:t>
      </w:r>
      <w:proofErr w:type="gramStart"/>
      <w:r>
        <w:t>68.pantu</w:t>
      </w:r>
      <w:proofErr w:type="gramEnd"/>
      <w:r>
        <w:t xml:space="preserve"> </w:t>
      </w:r>
      <w:r w:rsidR="00186F9A">
        <w:t>[pers. A]</w:t>
      </w:r>
      <w:r>
        <w:t xml:space="preserve"> piemērots medicīniska rakstura piespiedu līdzeklis </w:t>
      </w:r>
      <w:r w:rsidRPr="00B82A64">
        <w:t>–</w:t>
      </w:r>
      <w:r>
        <w:t xml:space="preserve"> ārstēšana vispārēja tipa psihiatriskajā slimnīcā (nodaļā) – un noteikta ārstēšana brīvības atņemšanas vietā.</w:t>
      </w:r>
    </w:p>
    <w:p w14:paraId="45B86529" w14:textId="60DC210D" w:rsidR="005C63E3" w:rsidRDefault="005C63E3" w:rsidP="0057600D">
      <w:pPr>
        <w:spacing w:after="0" w:line="276" w:lineRule="auto"/>
        <w:ind w:firstLine="709"/>
        <w:jc w:val="both"/>
      </w:pPr>
      <w:r>
        <w:t>[4.3] </w:t>
      </w:r>
      <w:r w:rsidR="00186F9A">
        <w:t>[</w:t>
      </w:r>
      <w:r w:rsidR="000B756B">
        <w:t>P</w:t>
      </w:r>
      <w:r w:rsidR="00186F9A">
        <w:t>ers. A]</w:t>
      </w:r>
      <w:r>
        <w:t xml:space="preserve"> soda termiņā ieskaitīts apcietinājuma laiks no </w:t>
      </w:r>
      <w:proofErr w:type="gramStart"/>
      <w:r>
        <w:t>2012.gada</w:t>
      </w:r>
      <w:proofErr w:type="gramEnd"/>
      <w:r>
        <w:t xml:space="preserve"> </w:t>
      </w:r>
      <w:r w:rsidR="00186F9A">
        <w:t>[..]</w:t>
      </w:r>
      <w:r>
        <w:t xml:space="preserve"> līdz 2014.gada </w:t>
      </w:r>
      <w:r w:rsidR="00186F9A">
        <w:t>[..]</w:t>
      </w:r>
      <w:r>
        <w:t xml:space="preserve"> un no 2016.gada </w:t>
      </w:r>
      <w:r w:rsidR="00186F9A">
        <w:t>[..]</w:t>
      </w:r>
      <w:r>
        <w:t xml:space="preserve"> līdz </w:t>
      </w:r>
      <w:r w:rsidR="00186F9A">
        <w:t>[..]</w:t>
      </w:r>
      <w:r>
        <w:t xml:space="preserve">. </w:t>
      </w:r>
    </w:p>
    <w:p w14:paraId="7B611064" w14:textId="44CEE912" w:rsidR="005C63E3" w:rsidRDefault="005C63E3" w:rsidP="0057600D">
      <w:pPr>
        <w:spacing w:after="0" w:line="276" w:lineRule="auto"/>
        <w:ind w:firstLine="709"/>
        <w:jc w:val="both"/>
      </w:pPr>
      <w:r>
        <w:t>[4.4] </w:t>
      </w:r>
      <w:r w:rsidR="00186F9A">
        <w:t>[Pers. A]</w:t>
      </w:r>
      <w:r>
        <w:t xml:space="preserve"> piemērotie drošības līdzekļi </w:t>
      </w:r>
      <w:r w:rsidRPr="00DE783E">
        <w:t>–</w:t>
      </w:r>
      <w:r>
        <w:t xml:space="preserve"> aizliegums izbraukt no valsts un uzturēšanās noteiktā vietā </w:t>
      </w:r>
      <w:r w:rsidRPr="00DE783E">
        <w:t>–</w:t>
      </w:r>
      <w:r>
        <w:t xml:space="preserve"> atstāti negrozīti. </w:t>
      </w:r>
    </w:p>
    <w:p w14:paraId="3A3252D5" w14:textId="77777777" w:rsidR="0057600D" w:rsidRDefault="0057600D" w:rsidP="0057600D">
      <w:pPr>
        <w:spacing w:after="0" w:line="276" w:lineRule="auto"/>
        <w:ind w:firstLine="709"/>
        <w:jc w:val="both"/>
      </w:pPr>
    </w:p>
    <w:p w14:paraId="55BED00D" w14:textId="4A58D5E5" w:rsidR="005C63E3" w:rsidRDefault="005C63E3" w:rsidP="0057600D">
      <w:pPr>
        <w:spacing w:after="0" w:line="276" w:lineRule="auto"/>
        <w:ind w:firstLine="709"/>
        <w:jc w:val="both"/>
      </w:pPr>
      <w:r>
        <w:t xml:space="preserve">[5] Ar </w:t>
      </w:r>
      <w:r w:rsidR="00186F9A">
        <w:t>[..]</w:t>
      </w:r>
      <w:r>
        <w:t xml:space="preserve"> apgabaltiesas </w:t>
      </w:r>
      <w:proofErr w:type="gramStart"/>
      <w:r>
        <w:t>2020.gada</w:t>
      </w:r>
      <w:proofErr w:type="gramEnd"/>
      <w:r>
        <w:t xml:space="preserve"> </w:t>
      </w:r>
      <w:r w:rsidR="00186F9A">
        <w:t>[..]</w:t>
      </w:r>
      <w:r>
        <w:t xml:space="preserve"> spriedumu </w:t>
      </w:r>
      <w:r w:rsidR="00186F9A">
        <w:t>[pers. A]</w:t>
      </w:r>
      <w:r>
        <w:t xml:space="preserve"> atzīts par vainīgu un sodīts pēc Krimināllikuma 20.panta otrās daļas, 15.panta trešās daļas un 116.panta par to, ka viņš organizēja citas personas tīšas prettiesiskas nonāvēšanas (slepkavības) sagatavošanu. </w:t>
      </w:r>
    </w:p>
    <w:p w14:paraId="7A71C0D6" w14:textId="77777777" w:rsidR="009C21B3" w:rsidRDefault="009C21B3" w:rsidP="0057600D">
      <w:pPr>
        <w:spacing w:after="0" w:line="276" w:lineRule="auto"/>
        <w:ind w:firstLine="709"/>
        <w:jc w:val="both"/>
      </w:pPr>
    </w:p>
    <w:p w14:paraId="456D453A" w14:textId="4E1EC207" w:rsidR="00495E84" w:rsidRDefault="00495E84" w:rsidP="00495E84">
      <w:pPr>
        <w:pStyle w:val="tv213"/>
        <w:spacing w:before="0" w:beforeAutospacing="0" w:after="0" w:afterAutospacing="0" w:line="276" w:lineRule="auto"/>
        <w:ind w:firstLine="709"/>
        <w:jc w:val="both"/>
      </w:pPr>
      <w:r>
        <w:t xml:space="preserve">[6] Ar Augstākās tiesas </w:t>
      </w:r>
      <w:proofErr w:type="gramStart"/>
      <w:r>
        <w:t>2021.gada</w:t>
      </w:r>
      <w:proofErr w:type="gramEnd"/>
      <w:r>
        <w:t xml:space="preserve"> lēmumu</w:t>
      </w:r>
      <w:r w:rsidR="000B756B">
        <w:rPr>
          <w:rStyle w:val="FootnoteReference"/>
        </w:rPr>
        <w:footnoteReference w:id="2"/>
      </w:r>
      <w:r w:rsidR="00186F9A">
        <w:t xml:space="preserve"> [..]</w:t>
      </w:r>
      <w:r w:rsidRPr="00507DEA">
        <w:t xml:space="preserve"> apgabaltiesas 2020.gada </w:t>
      </w:r>
      <w:r w:rsidR="00186F9A">
        <w:t>[..]</w:t>
      </w:r>
      <w:r w:rsidRPr="00507DEA">
        <w:t xml:space="preserve"> spriedum</w:t>
      </w:r>
      <w:r>
        <w:t>s atcelts</w:t>
      </w:r>
      <w:r w:rsidRPr="00507DEA">
        <w:t xml:space="preserve"> daļā par apsūdzētajam </w:t>
      </w:r>
      <w:r w:rsidR="00186F9A">
        <w:t>[pers. A]</w:t>
      </w:r>
      <w:r>
        <w:t xml:space="preserve"> noteikto sodu,</w:t>
      </w:r>
      <w:r w:rsidRPr="00507DEA">
        <w:t xml:space="preserve"> daļā par </w:t>
      </w:r>
      <w:r w:rsidR="00186F9A">
        <w:t>[pers. A]</w:t>
      </w:r>
      <w:r w:rsidRPr="00507DEA">
        <w:t xml:space="preserve"> saskaņā ar Krimināllikuma 68.pantu noteikto ārstēšanu brīvības atņemšanas vietā un piemēroto medicīniska rakstura piespiedu līdzekli – ārstēšanu vispārēja tipa psihiatriskajā slimnīcā (nodaļā) – un daļā par </w:t>
      </w:r>
      <w:r w:rsidR="00186F9A">
        <w:t>[pers. A]</w:t>
      </w:r>
      <w:r w:rsidRPr="00507DEA">
        <w:t xml:space="preserve"> soda izciešanas termiņā ieskaitīto atrašanos apcietinājumā. </w:t>
      </w:r>
      <w:r>
        <w:t xml:space="preserve"> </w:t>
      </w:r>
    </w:p>
    <w:p w14:paraId="0C059924" w14:textId="610CBD92" w:rsidR="00495E84" w:rsidRDefault="00495E84" w:rsidP="00495E84">
      <w:pPr>
        <w:pStyle w:val="tv213"/>
        <w:spacing w:before="0" w:beforeAutospacing="0" w:after="0" w:afterAutospacing="0" w:line="276" w:lineRule="auto"/>
        <w:ind w:firstLine="709"/>
        <w:jc w:val="both"/>
      </w:pPr>
      <w:r>
        <w:t xml:space="preserve">Pārējā daļā </w:t>
      </w:r>
      <w:r w:rsidR="00186F9A">
        <w:t>[..]</w:t>
      </w:r>
      <w:r w:rsidRPr="00507DEA">
        <w:t xml:space="preserve"> apgabaltiesas </w:t>
      </w:r>
      <w:proofErr w:type="gramStart"/>
      <w:r w:rsidRPr="00507DEA">
        <w:t>2020.gada</w:t>
      </w:r>
      <w:proofErr w:type="gramEnd"/>
      <w:r w:rsidRPr="00507DEA">
        <w:t xml:space="preserve"> </w:t>
      </w:r>
      <w:r w:rsidR="00186F9A">
        <w:t>[..]</w:t>
      </w:r>
      <w:r>
        <w:t xml:space="preserve"> spriedums atstāts negrozīts.</w:t>
      </w:r>
    </w:p>
    <w:p w14:paraId="06B4905A" w14:textId="56437B92" w:rsidR="00495E84" w:rsidRDefault="00495E84" w:rsidP="00B067BA">
      <w:pPr>
        <w:pStyle w:val="tv213"/>
        <w:spacing w:before="0" w:beforeAutospacing="0" w:after="0" w:afterAutospacing="0" w:line="276" w:lineRule="auto"/>
        <w:ind w:firstLine="709"/>
        <w:jc w:val="both"/>
      </w:pPr>
      <w:r>
        <w:t xml:space="preserve">Apsūdzētajam </w:t>
      </w:r>
      <w:r w:rsidR="00186F9A">
        <w:t>[pers. A]</w:t>
      </w:r>
      <w:r>
        <w:t xml:space="preserve"> </w:t>
      </w:r>
      <w:r w:rsidR="00B2702A">
        <w:t xml:space="preserve">nolemts </w:t>
      </w:r>
      <w:r>
        <w:t xml:space="preserve">turpināt piemērot drošības līdzekļus – </w:t>
      </w:r>
      <w:r w:rsidRPr="00507DEA">
        <w:rPr>
          <w:iCs/>
        </w:rPr>
        <w:t>aizliegums izbraukt no valsts un uzturēšanās noteiktā vietā</w:t>
      </w:r>
      <w:r>
        <w:t xml:space="preserve">. </w:t>
      </w:r>
    </w:p>
    <w:p w14:paraId="2A1E9C48" w14:textId="77777777" w:rsidR="00B067BA" w:rsidRDefault="00B067BA" w:rsidP="00B067BA">
      <w:pPr>
        <w:pStyle w:val="tv213"/>
        <w:spacing w:before="0" w:beforeAutospacing="0" w:after="0" w:afterAutospacing="0" w:line="276" w:lineRule="auto"/>
        <w:ind w:firstLine="709"/>
        <w:jc w:val="both"/>
      </w:pPr>
    </w:p>
    <w:p w14:paraId="6629BD0A" w14:textId="5C1EFA18" w:rsidR="00DB4ECF" w:rsidRPr="00B2702A" w:rsidRDefault="00495E84" w:rsidP="00762725">
      <w:pPr>
        <w:spacing w:after="0" w:line="276" w:lineRule="auto"/>
        <w:ind w:firstLine="709"/>
        <w:jc w:val="both"/>
        <w:rPr>
          <w:strike/>
        </w:rPr>
      </w:pPr>
      <w:r>
        <w:t xml:space="preserve">[7] Ar </w:t>
      </w:r>
      <w:r w:rsidR="00186F9A">
        <w:t>[..]</w:t>
      </w:r>
      <w:r w:rsidR="00B2702A">
        <w:t xml:space="preserve"> </w:t>
      </w:r>
      <w:r>
        <w:t xml:space="preserve">apgabaltiesas </w:t>
      </w:r>
      <w:proofErr w:type="gramStart"/>
      <w:r>
        <w:t>202</w:t>
      </w:r>
      <w:r w:rsidR="00B2702A">
        <w:t>1</w:t>
      </w:r>
      <w:r>
        <w:t>.gada</w:t>
      </w:r>
      <w:proofErr w:type="gramEnd"/>
      <w:r>
        <w:t xml:space="preserve"> </w:t>
      </w:r>
      <w:r w:rsidR="00186F9A">
        <w:t>[..]</w:t>
      </w:r>
      <w:r>
        <w:t xml:space="preserve"> </w:t>
      </w:r>
      <w:r w:rsidR="00B2702A">
        <w:t>lēmumu</w:t>
      </w:r>
      <w:r>
        <w:t xml:space="preserve"> </w:t>
      </w:r>
      <w:r w:rsidR="00186F9A">
        <w:t>[pers. A]</w:t>
      </w:r>
      <w:r>
        <w:t xml:space="preserve"> nolemts noteikt papildu komisijas stacionāro </w:t>
      </w:r>
      <w:r w:rsidR="00DB4ECF">
        <w:t>komplekso tiesu psihiatrisko</w:t>
      </w:r>
      <w:r w:rsidR="00D01446">
        <w:t xml:space="preserve"> -</w:t>
      </w:r>
      <w:r w:rsidR="00FE3926">
        <w:t xml:space="preserve"> </w:t>
      </w:r>
      <w:r w:rsidR="00DB4ECF">
        <w:t>tiesu psiholoģisko</w:t>
      </w:r>
      <w:r w:rsidR="00D01446">
        <w:t xml:space="preserve"> -</w:t>
      </w:r>
      <w:r w:rsidR="00FE3926">
        <w:t xml:space="preserve"> </w:t>
      </w:r>
      <w:r w:rsidR="00DB4ECF">
        <w:t>tiesu medicīnisko ekspertīzi</w:t>
      </w:r>
      <w:r w:rsidR="00F6524C">
        <w:t>.</w:t>
      </w:r>
      <w:r w:rsidR="00762725">
        <w:t xml:space="preserve"> </w:t>
      </w:r>
    </w:p>
    <w:p w14:paraId="3C854D81" w14:textId="3D76AE81" w:rsidR="00CF67BA" w:rsidRDefault="00186F9A" w:rsidP="00841C56">
      <w:pPr>
        <w:spacing w:after="0" w:line="276" w:lineRule="auto"/>
        <w:ind w:firstLine="709"/>
        <w:jc w:val="both"/>
      </w:pPr>
      <w:r>
        <w:t>[..]</w:t>
      </w:r>
      <w:r w:rsidR="00CF67BA">
        <w:t xml:space="preserve"> apgabaltiesa uz ekspertī</w:t>
      </w:r>
      <w:r w:rsidR="00762725">
        <w:t>z</w:t>
      </w:r>
      <w:r w:rsidR="00F6524C">
        <w:t>es</w:t>
      </w:r>
      <w:r w:rsidR="00CF67BA">
        <w:t xml:space="preserve"> izdarīšanas laiku apsūdzētajam </w:t>
      </w:r>
      <w:r>
        <w:t>[pers. A]</w:t>
      </w:r>
      <w:r w:rsidR="00CF67BA">
        <w:t xml:space="preserve"> piemēro</w:t>
      </w:r>
      <w:r w:rsidR="00841C56">
        <w:t>jusi</w:t>
      </w:r>
      <w:r w:rsidR="00CF67BA">
        <w:t xml:space="preserve"> Kriminālprocesa likuma </w:t>
      </w:r>
      <w:proofErr w:type="gramStart"/>
      <w:r w:rsidR="00CF67BA">
        <w:t>283.pantā</w:t>
      </w:r>
      <w:proofErr w:type="gramEnd"/>
      <w:r w:rsidR="00CF67BA">
        <w:t xml:space="preserve"> paredzēt</w:t>
      </w:r>
      <w:r w:rsidR="00841C56">
        <w:t>o</w:t>
      </w:r>
      <w:r w:rsidR="00CF67BA">
        <w:t xml:space="preserve"> piespiedu līdzekli – </w:t>
      </w:r>
      <w:r w:rsidR="00841C56">
        <w:t>ievietošan</w:t>
      </w:r>
      <w:r w:rsidR="00FE44AA">
        <w:t>u</w:t>
      </w:r>
      <w:r w:rsidR="00841C56">
        <w:t xml:space="preserve"> ārstniecības iestādē ekspertīzes izdarīšanai.</w:t>
      </w:r>
    </w:p>
    <w:p w14:paraId="57DEE5F6" w14:textId="77777777" w:rsidR="00331B27" w:rsidRDefault="00331B27" w:rsidP="00B067BA">
      <w:pPr>
        <w:spacing w:after="0" w:line="276" w:lineRule="auto"/>
        <w:jc w:val="both"/>
        <w:rPr>
          <w:rFonts w:eastAsia="Times New Roman" w:cs="Times New Roman"/>
          <w:szCs w:val="24"/>
        </w:rPr>
      </w:pPr>
    </w:p>
    <w:p w14:paraId="1D290222" w14:textId="1675466D" w:rsidR="002E6F10" w:rsidRPr="009C21B3" w:rsidRDefault="00331B27" w:rsidP="009C21B3">
      <w:pPr>
        <w:spacing w:after="0" w:line="276" w:lineRule="auto"/>
        <w:ind w:firstLine="709"/>
        <w:jc w:val="both"/>
      </w:pPr>
      <w:r>
        <w:rPr>
          <w:rFonts w:eastAsia="Times New Roman" w:cs="Times New Roman"/>
          <w:szCs w:val="24"/>
        </w:rPr>
        <w:t>[</w:t>
      </w:r>
      <w:r w:rsidR="00B067BA">
        <w:rPr>
          <w:rFonts w:eastAsia="Times New Roman" w:cs="Times New Roman"/>
          <w:szCs w:val="24"/>
        </w:rPr>
        <w:t>8</w:t>
      </w:r>
      <w:r>
        <w:rPr>
          <w:rFonts w:eastAsia="Times New Roman" w:cs="Times New Roman"/>
          <w:szCs w:val="24"/>
        </w:rPr>
        <w:t>] </w:t>
      </w:r>
      <w:r w:rsidR="002F63EE">
        <w:rPr>
          <w:rFonts w:eastAsia="Times New Roman" w:cs="Times New Roman"/>
          <w:szCs w:val="24"/>
        </w:rPr>
        <w:t xml:space="preserve"> </w:t>
      </w:r>
      <w:bookmarkStart w:id="2" w:name="_Hlk91002664"/>
      <w:r>
        <w:rPr>
          <w:rFonts w:eastAsia="Times New Roman" w:cs="Times New Roman"/>
          <w:szCs w:val="24"/>
        </w:rPr>
        <w:t xml:space="preserve">Par </w:t>
      </w:r>
      <w:r w:rsidR="00186F9A">
        <w:t>[..]</w:t>
      </w:r>
      <w:r w:rsidR="00B2702A">
        <w:t xml:space="preserve"> apgabaltiesas </w:t>
      </w:r>
      <w:proofErr w:type="gramStart"/>
      <w:r w:rsidR="00B2702A">
        <w:t>2021.gada</w:t>
      </w:r>
      <w:proofErr w:type="gramEnd"/>
      <w:r w:rsidR="00B2702A">
        <w:t xml:space="preserve"> </w:t>
      </w:r>
      <w:r w:rsidR="00186F9A">
        <w:t>[..]</w:t>
      </w:r>
      <w:r w:rsidR="00B2702A">
        <w:t xml:space="preserve"> lēmumu </w:t>
      </w:r>
      <w:r w:rsidR="0037106A">
        <w:rPr>
          <w:rFonts w:eastAsia="Times New Roman" w:cs="Times New Roman"/>
          <w:szCs w:val="24"/>
        </w:rPr>
        <w:t>apsūdzēt</w:t>
      </w:r>
      <w:r w:rsidR="000E573C">
        <w:rPr>
          <w:rFonts w:eastAsia="Times New Roman" w:cs="Times New Roman"/>
          <w:szCs w:val="24"/>
        </w:rPr>
        <w:t xml:space="preserve">ā </w:t>
      </w:r>
      <w:r w:rsidR="00186F9A">
        <w:rPr>
          <w:rFonts w:eastAsia="Times New Roman" w:cs="Times New Roman"/>
          <w:szCs w:val="24"/>
        </w:rPr>
        <w:t>[pers. A]</w:t>
      </w:r>
      <w:r>
        <w:rPr>
          <w:rFonts w:eastAsia="Times New Roman" w:cs="Times New Roman"/>
          <w:szCs w:val="24"/>
        </w:rPr>
        <w:t xml:space="preserve"> </w:t>
      </w:r>
      <w:r w:rsidR="005C6584">
        <w:rPr>
          <w:rFonts w:eastAsia="Times New Roman" w:cs="Times New Roman"/>
          <w:szCs w:val="24"/>
        </w:rPr>
        <w:t>aizstāve I. Vietniece</w:t>
      </w:r>
      <w:r w:rsidR="0037106A">
        <w:rPr>
          <w:rFonts w:eastAsia="Times New Roman" w:cs="Times New Roman"/>
          <w:szCs w:val="24"/>
        </w:rPr>
        <w:t xml:space="preserve"> </w:t>
      </w:r>
      <w:r>
        <w:rPr>
          <w:rFonts w:eastAsia="Times New Roman" w:cs="Times New Roman"/>
          <w:szCs w:val="24"/>
        </w:rPr>
        <w:t>iesnie</w:t>
      </w:r>
      <w:r w:rsidR="005C6584">
        <w:rPr>
          <w:rFonts w:eastAsia="Times New Roman" w:cs="Times New Roman"/>
          <w:szCs w:val="24"/>
        </w:rPr>
        <w:t>gusi</w:t>
      </w:r>
      <w:r>
        <w:rPr>
          <w:rFonts w:eastAsia="Times New Roman" w:cs="Times New Roman"/>
          <w:szCs w:val="24"/>
        </w:rPr>
        <w:t xml:space="preserve"> sūdzību, kurā lūdz </w:t>
      </w:r>
      <w:r w:rsidR="00B45640">
        <w:rPr>
          <w:rFonts w:eastAsia="Times New Roman" w:cs="Times New Roman"/>
          <w:szCs w:val="24"/>
        </w:rPr>
        <w:t xml:space="preserve">atcelt </w:t>
      </w:r>
      <w:r w:rsidR="00B2702A">
        <w:t xml:space="preserve">apelācijas instances tiesas lēmumu </w:t>
      </w:r>
      <w:r w:rsidR="005C6584">
        <w:t>daļā par apsūdzētā ievietošanu piespiedu kārtā ārstniecības iestādē V</w:t>
      </w:r>
      <w:r w:rsidR="00762725">
        <w:t>alsts sabiedrība</w:t>
      </w:r>
      <w:r w:rsidR="009C21B3">
        <w:t>s</w:t>
      </w:r>
      <w:r w:rsidR="00762725">
        <w:t xml:space="preserve"> ar ierobežotu atbildību</w:t>
      </w:r>
      <w:proofErr w:type="gramStart"/>
      <w:r w:rsidR="005C6584">
        <w:t xml:space="preserve"> </w:t>
      </w:r>
      <w:r w:rsidR="00762725">
        <w:t xml:space="preserve"> </w:t>
      </w:r>
      <w:proofErr w:type="gramEnd"/>
      <w:r w:rsidR="00762725">
        <w:t>(turpmāk</w:t>
      </w:r>
      <w:r w:rsidR="009C21B3">
        <w:t xml:space="preserve"> – </w:t>
      </w:r>
      <w:r w:rsidR="00762725">
        <w:t>VSIA)</w:t>
      </w:r>
      <w:r w:rsidR="00F83931">
        <w:t xml:space="preserve"> </w:t>
      </w:r>
      <w:r w:rsidR="005C6584">
        <w:t>,,</w:t>
      </w:r>
      <w:r w:rsidR="00186F9A">
        <w:t>[Nosaukums A]</w:t>
      </w:r>
      <w:r w:rsidR="005C6584">
        <w:t>” papildu komisijas stacionārās kompleksās tiesu psihiatriskās</w:t>
      </w:r>
      <w:r w:rsidR="00D01446">
        <w:t xml:space="preserve"> -</w:t>
      </w:r>
      <w:r w:rsidR="005C6584">
        <w:t xml:space="preserve"> tiesu psiholoģiskās</w:t>
      </w:r>
      <w:r w:rsidR="00D01446">
        <w:t xml:space="preserve"> -</w:t>
      </w:r>
      <w:r w:rsidR="005C6584">
        <w:t xml:space="preserve"> tiesu medicīniskās ekspertīzes izdarīšanai</w:t>
      </w:r>
      <w:r w:rsidR="00716079">
        <w:rPr>
          <w:rFonts w:eastAsia="Times New Roman" w:cs="Times New Roman"/>
          <w:szCs w:val="24"/>
        </w:rPr>
        <w:t>.</w:t>
      </w:r>
    </w:p>
    <w:p w14:paraId="2F7C2157" w14:textId="4B7C4595" w:rsidR="00441CE1" w:rsidRPr="00441CE1" w:rsidRDefault="00B2702A" w:rsidP="005C6584">
      <w:pPr>
        <w:spacing w:after="0" w:line="276" w:lineRule="auto"/>
        <w:ind w:firstLine="709"/>
        <w:jc w:val="both"/>
        <w:rPr>
          <w:rFonts w:asciiTheme="majorBidi" w:eastAsia="Times New Roman" w:hAnsiTheme="majorBidi" w:cstheme="majorBidi"/>
          <w:color w:val="000000" w:themeColor="text1"/>
          <w:szCs w:val="24"/>
        </w:rPr>
      </w:pPr>
      <w:r>
        <w:rPr>
          <w:rFonts w:eastAsia="Times New Roman" w:cs="Times New Roman"/>
          <w:szCs w:val="24"/>
        </w:rPr>
        <w:lastRenderedPageBreak/>
        <w:t>Apelācijas instances t</w:t>
      </w:r>
      <w:r w:rsidR="00441CE1">
        <w:rPr>
          <w:rFonts w:eastAsia="Times New Roman" w:cs="Times New Roman"/>
          <w:szCs w:val="24"/>
        </w:rPr>
        <w:t xml:space="preserve">iesa nav ievērojusi Kriminālprocesa likuma </w:t>
      </w:r>
      <w:proofErr w:type="gramStart"/>
      <w:r w:rsidR="00441CE1">
        <w:rPr>
          <w:rFonts w:eastAsia="Times New Roman" w:cs="Times New Roman"/>
          <w:szCs w:val="24"/>
        </w:rPr>
        <w:t>283.panta</w:t>
      </w:r>
      <w:proofErr w:type="gramEnd"/>
      <w:r w:rsidR="00441CE1">
        <w:rPr>
          <w:rFonts w:eastAsia="Times New Roman" w:cs="Times New Roman"/>
          <w:szCs w:val="24"/>
        </w:rPr>
        <w:t xml:space="preserve"> pirmo daļu, kas noteic, </w:t>
      </w:r>
      <w:r w:rsidR="00441CE1" w:rsidRPr="00441CE1">
        <w:rPr>
          <w:rFonts w:asciiTheme="majorBidi" w:eastAsia="Times New Roman" w:hAnsiTheme="majorBidi" w:cstheme="majorBidi"/>
          <w:color w:val="000000" w:themeColor="text1"/>
          <w:szCs w:val="24"/>
        </w:rPr>
        <w:t xml:space="preserve">ka </w:t>
      </w:r>
      <w:r w:rsidR="00441CE1">
        <w:rPr>
          <w:rFonts w:asciiTheme="majorBidi" w:hAnsiTheme="majorBidi" w:cstheme="majorBidi"/>
          <w:color w:val="000000" w:themeColor="text1"/>
          <w:szCs w:val="24"/>
          <w:shd w:val="clear" w:color="auto" w:fill="FFFFFF"/>
        </w:rPr>
        <w:t>a</w:t>
      </w:r>
      <w:r w:rsidR="00441CE1" w:rsidRPr="00441CE1">
        <w:rPr>
          <w:rFonts w:asciiTheme="majorBidi" w:hAnsiTheme="majorBidi" w:cstheme="majorBidi"/>
          <w:color w:val="000000" w:themeColor="text1"/>
          <w:szCs w:val="24"/>
          <w:shd w:val="clear" w:color="auto" w:fill="FFFFFF"/>
        </w:rPr>
        <w:t>izdomās turēto vai apsūdzēto, kā arī personu, attiecībā uz kuru uzsākts process medicīniska rakstura piespiedu līdzekļu noteikšanai, var piespiedu kārtā ievietot ārstniecības iestādē ekspertīzes izdarīšanai, ja lietai nozīmīgu jautājumu atrisināšanai tiesmedicīniskajā vai tiesu psihiatriskajā ekspertīzē nepieciešamie pētījumi izdarāmi tikai ārstnieciskā stacionāra apstākļos.</w:t>
      </w:r>
    </w:p>
    <w:p w14:paraId="3925A681" w14:textId="7284CB90" w:rsidR="00C1695D" w:rsidRPr="000A0084" w:rsidRDefault="002E198F" w:rsidP="002E198F">
      <w:pPr>
        <w:spacing w:after="0" w:line="276" w:lineRule="auto"/>
        <w:ind w:firstLine="709"/>
        <w:jc w:val="both"/>
        <w:rPr>
          <w:rFonts w:eastAsia="Times New Roman" w:cs="Times New Roman"/>
          <w:b/>
          <w:bCs/>
          <w:szCs w:val="24"/>
        </w:rPr>
      </w:pPr>
      <w:r>
        <w:rPr>
          <w:rFonts w:eastAsia="Times New Roman" w:cs="Times New Roman"/>
          <w:szCs w:val="24"/>
        </w:rPr>
        <w:t>T</w:t>
      </w:r>
      <w:r w:rsidR="00C1695D">
        <w:rPr>
          <w:rFonts w:eastAsia="Times New Roman" w:cs="Times New Roman"/>
          <w:szCs w:val="24"/>
        </w:rPr>
        <w:t>iesa</w:t>
      </w:r>
      <w:r w:rsidR="00B6768D">
        <w:rPr>
          <w:rFonts w:eastAsia="Times New Roman" w:cs="Times New Roman"/>
          <w:szCs w:val="24"/>
        </w:rPr>
        <w:t>s</w:t>
      </w:r>
      <w:r w:rsidR="00C1695D">
        <w:rPr>
          <w:rFonts w:eastAsia="Times New Roman" w:cs="Times New Roman"/>
          <w:szCs w:val="24"/>
        </w:rPr>
        <w:t xml:space="preserve"> lēmums daļā par </w:t>
      </w:r>
      <w:r w:rsidR="00186F9A">
        <w:rPr>
          <w:rFonts w:eastAsia="Times New Roman" w:cs="Times New Roman"/>
          <w:szCs w:val="24"/>
        </w:rPr>
        <w:t>[pers. </w:t>
      </w:r>
      <w:r w:rsidR="00186F9A">
        <w:t>A]</w:t>
      </w:r>
      <w:r w:rsidR="00C1695D">
        <w:rPr>
          <w:rFonts w:eastAsia="Times New Roman" w:cs="Times New Roman"/>
          <w:szCs w:val="24"/>
        </w:rPr>
        <w:t xml:space="preserve"> </w:t>
      </w:r>
      <w:r w:rsidR="00B6768D">
        <w:rPr>
          <w:rFonts w:eastAsia="Times New Roman" w:cs="Times New Roman"/>
          <w:szCs w:val="24"/>
        </w:rPr>
        <w:t>ievietošanu ārstniecības iestādē ekspertīzes izdarīšanai nav pamatots un ir nelikumīgs</w:t>
      </w:r>
      <w:r w:rsidR="00917E74">
        <w:rPr>
          <w:rFonts w:eastAsia="Times New Roman" w:cs="Times New Roman"/>
          <w:szCs w:val="24"/>
        </w:rPr>
        <w:t>. T</w:t>
      </w:r>
      <w:r w:rsidR="00B6768D">
        <w:rPr>
          <w:rFonts w:eastAsia="Times New Roman" w:cs="Times New Roman"/>
          <w:szCs w:val="24"/>
        </w:rPr>
        <w:t xml:space="preserve">iesa nav ņēmusi vērā, ka uz </w:t>
      </w:r>
      <w:proofErr w:type="gramStart"/>
      <w:r>
        <w:t>2021.gada</w:t>
      </w:r>
      <w:proofErr w:type="gramEnd"/>
      <w:r>
        <w:t xml:space="preserve"> </w:t>
      </w:r>
      <w:r w:rsidR="00186F9A">
        <w:t>[..]</w:t>
      </w:r>
      <w:r>
        <w:t xml:space="preserve"> </w:t>
      </w:r>
      <w:r w:rsidR="00B6768D">
        <w:rPr>
          <w:rFonts w:eastAsia="Times New Roman" w:cs="Times New Roman"/>
          <w:szCs w:val="24"/>
        </w:rPr>
        <w:t xml:space="preserve">lēmuma pieņemšanas brīdi </w:t>
      </w:r>
      <w:r w:rsidR="00186F9A">
        <w:rPr>
          <w:rFonts w:eastAsia="Times New Roman" w:cs="Times New Roman"/>
          <w:szCs w:val="24"/>
        </w:rPr>
        <w:t>[pers. A]</w:t>
      </w:r>
      <w:r w:rsidR="00B6768D">
        <w:rPr>
          <w:rFonts w:eastAsia="Times New Roman" w:cs="Times New Roman"/>
          <w:szCs w:val="24"/>
        </w:rPr>
        <w:t xml:space="preserve"> sakarā ar psihiskā veselības stāvokļa pasliktināšanos</w:t>
      </w:r>
      <w:r w:rsidR="00917E74">
        <w:rPr>
          <w:rFonts w:eastAsia="Times New Roman" w:cs="Times New Roman"/>
          <w:szCs w:val="24"/>
        </w:rPr>
        <w:t xml:space="preserve"> </w:t>
      </w:r>
      <w:r w:rsidR="00B6768D">
        <w:rPr>
          <w:rFonts w:eastAsia="Times New Roman" w:cs="Times New Roman"/>
          <w:szCs w:val="24"/>
        </w:rPr>
        <w:t>ārstējās stacionārā VSI</w:t>
      </w:r>
      <w:r w:rsidR="00762725">
        <w:rPr>
          <w:rFonts w:eastAsia="Times New Roman" w:cs="Times New Roman"/>
          <w:szCs w:val="24"/>
        </w:rPr>
        <w:t>A</w:t>
      </w:r>
      <w:r w:rsidR="00D01446">
        <w:rPr>
          <w:rFonts w:eastAsia="Times New Roman" w:cs="Times New Roman"/>
          <w:szCs w:val="24"/>
        </w:rPr>
        <w:t xml:space="preserve"> </w:t>
      </w:r>
      <w:r w:rsidR="00B6768D">
        <w:rPr>
          <w:rFonts w:eastAsia="Times New Roman" w:cs="Times New Roman"/>
          <w:szCs w:val="24"/>
        </w:rPr>
        <w:t>,,</w:t>
      </w:r>
      <w:r w:rsidR="00186F9A">
        <w:rPr>
          <w:rFonts w:eastAsia="Times New Roman" w:cs="Times New Roman"/>
          <w:szCs w:val="24"/>
        </w:rPr>
        <w:t>[Nosaukums B]</w:t>
      </w:r>
      <w:r w:rsidR="00B6768D">
        <w:rPr>
          <w:rFonts w:eastAsia="Times New Roman" w:cs="Times New Roman"/>
          <w:szCs w:val="24"/>
        </w:rPr>
        <w:t>”</w:t>
      </w:r>
      <w:r w:rsidR="00917E74">
        <w:rPr>
          <w:rFonts w:eastAsia="Times New Roman" w:cs="Times New Roman"/>
          <w:szCs w:val="24"/>
        </w:rPr>
        <w:t xml:space="preserve">, </w:t>
      </w:r>
      <w:r w:rsidR="001924EE">
        <w:rPr>
          <w:rFonts w:eastAsia="Times New Roman" w:cs="Times New Roman"/>
          <w:szCs w:val="24"/>
        </w:rPr>
        <w:t>viņam ir noteikta II invaliditātes grupa</w:t>
      </w:r>
      <w:r w:rsidR="008A0B48">
        <w:rPr>
          <w:rFonts w:eastAsia="Times New Roman" w:cs="Times New Roman"/>
          <w:szCs w:val="24"/>
        </w:rPr>
        <w:t xml:space="preserve">. Tiesa nav ievērojusi Latvijas Republikas Satversmes </w:t>
      </w:r>
      <w:proofErr w:type="gramStart"/>
      <w:r w:rsidR="008A0B48">
        <w:rPr>
          <w:rFonts w:eastAsia="Times New Roman" w:cs="Times New Roman"/>
          <w:szCs w:val="24"/>
        </w:rPr>
        <w:t>11</w:t>
      </w:r>
      <w:r w:rsidR="000A0084">
        <w:rPr>
          <w:rFonts w:eastAsia="Times New Roman" w:cs="Times New Roman"/>
          <w:szCs w:val="24"/>
        </w:rPr>
        <w:t>1</w:t>
      </w:r>
      <w:r w:rsidR="008A0B48">
        <w:rPr>
          <w:rFonts w:eastAsia="Times New Roman" w:cs="Times New Roman"/>
          <w:szCs w:val="24"/>
        </w:rPr>
        <w:t>.pantu</w:t>
      </w:r>
      <w:proofErr w:type="gramEnd"/>
      <w:r w:rsidR="008A0B48">
        <w:rPr>
          <w:rFonts w:eastAsia="Times New Roman" w:cs="Times New Roman"/>
          <w:szCs w:val="24"/>
        </w:rPr>
        <w:t xml:space="preserve">, jo </w:t>
      </w:r>
      <w:r>
        <w:rPr>
          <w:rFonts w:eastAsia="Times New Roman" w:cs="Times New Roman"/>
          <w:szCs w:val="24"/>
        </w:rPr>
        <w:t xml:space="preserve">piespiedu kārtā </w:t>
      </w:r>
      <w:r w:rsidR="008A0B48">
        <w:rPr>
          <w:rFonts w:eastAsia="Times New Roman" w:cs="Times New Roman"/>
          <w:szCs w:val="24"/>
        </w:rPr>
        <w:t>pārtraucot viņa ārstēšanu VSIA ,,</w:t>
      </w:r>
      <w:r w:rsidR="00186F9A">
        <w:rPr>
          <w:rFonts w:eastAsia="Times New Roman" w:cs="Times New Roman"/>
          <w:szCs w:val="24"/>
        </w:rPr>
        <w:t>[Nosaukums B]</w:t>
      </w:r>
      <w:r w:rsidR="008A0B48">
        <w:rPr>
          <w:rFonts w:eastAsia="Times New Roman" w:cs="Times New Roman"/>
          <w:szCs w:val="24"/>
        </w:rPr>
        <w:t xml:space="preserve">”, </w:t>
      </w:r>
      <w:r w:rsidR="00917E74">
        <w:rPr>
          <w:rFonts w:eastAsia="Times New Roman" w:cs="Times New Roman"/>
          <w:szCs w:val="24"/>
        </w:rPr>
        <w:t>viņa veselības stāvoklis krasi pasliktināsies</w:t>
      </w:r>
      <w:r w:rsidR="008A0B48">
        <w:rPr>
          <w:rFonts w:eastAsia="Times New Roman" w:cs="Times New Roman"/>
          <w:szCs w:val="24"/>
        </w:rPr>
        <w:t>.</w:t>
      </w:r>
      <w:r w:rsidR="00917E74">
        <w:rPr>
          <w:rFonts w:eastAsia="Times New Roman" w:cs="Times New Roman"/>
          <w:szCs w:val="24"/>
        </w:rPr>
        <w:t xml:space="preserve"> Pretēji Eiropas Cilvēktiesību un pamatbrīvību aizsardzības konvencijas </w:t>
      </w:r>
      <w:proofErr w:type="gramStart"/>
      <w:r w:rsidR="00917E74">
        <w:rPr>
          <w:rFonts w:eastAsia="Times New Roman" w:cs="Times New Roman"/>
          <w:szCs w:val="24"/>
        </w:rPr>
        <w:t>3.pantam</w:t>
      </w:r>
      <w:proofErr w:type="gramEnd"/>
      <w:r w:rsidR="00917E74">
        <w:rPr>
          <w:rFonts w:eastAsia="Times New Roman" w:cs="Times New Roman"/>
          <w:szCs w:val="24"/>
        </w:rPr>
        <w:t xml:space="preserve"> apsūdzētajam tiks radītas papildu ciešanas, kas </w:t>
      </w:r>
      <w:r w:rsidR="008D578D">
        <w:rPr>
          <w:rFonts w:eastAsia="Times New Roman" w:cs="Times New Roman"/>
          <w:szCs w:val="24"/>
        </w:rPr>
        <w:t xml:space="preserve">var tik atzītas par </w:t>
      </w:r>
      <w:r w:rsidR="00917E74">
        <w:rPr>
          <w:rFonts w:eastAsia="Times New Roman" w:cs="Times New Roman"/>
          <w:szCs w:val="24"/>
        </w:rPr>
        <w:t>spīdzināšan</w:t>
      </w:r>
      <w:r w:rsidR="008D578D">
        <w:rPr>
          <w:rFonts w:eastAsia="Times New Roman" w:cs="Times New Roman"/>
          <w:szCs w:val="24"/>
        </w:rPr>
        <w:t>u</w:t>
      </w:r>
      <w:r w:rsidR="00917E74">
        <w:rPr>
          <w:rFonts w:eastAsia="Times New Roman" w:cs="Times New Roman"/>
          <w:szCs w:val="24"/>
        </w:rPr>
        <w:t xml:space="preserve"> </w:t>
      </w:r>
      <w:r w:rsidR="001924EE">
        <w:rPr>
          <w:rFonts w:eastAsia="Times New Roman" w:cs="Times New Roman"/>
          <w:szCs w:val="24"/>
        </w:rPr>
        <w:t>un cietsirdīg</w:t>
      </w:r>
      <w:r w:rsidR="008D578D">
        <w:rPr>
          <w:rFonts w:eastAsia="Times New Roman" w:cs="Times New Roman"/>
          <w:szCs w:val="24"/>
        </w:rPr>
        <w:t>u</w:t>
      </w:r>
      <w:r w:rsidR="001924EE">
        <w:rPr>
          <w:rFonts w:eastAsia="Times New Roman" w:cs="Times New Roman"/>
          <w:szCs w:val="24"/>
        </w:rPr>
        <w:t xml:space="preserve"> </w:t>
      </w:r>
      <w:r w:rsidR="001924EE" w:rsidRPr="008D578D">
        <w:rPr>
          <w:rFonts w:eastAsia="Times New Roman" w:cs="Times New Roman"/>
          <w:szCs w:val="24"/>
        </w:rPr>
        <w:t>apiešan</w:t>
      </w:r>
      <w:r w:rsidR="008D578D" w:rsidRPr="008D578D">
        <w:rPr>
          <w:rFonts w:eastAsia="Times New Roman" w:cs="Times New Roman"/>
          <w:szCs w:val="24"/>
        </w:rPr>
        <w:t>os</w:t>
      </w:r>
      <w:r w:rsidR="001924EE" w:rsidRPr="006114F1">
        <w:rPr>
          <w:rFonts w:eastAsia="Times New Roman" w:cs="Times New Roman"/>
          <w:szCs w:val="24"/>
        </w:rPr>
        <w:t>.</w:t>
      </w:r>
    </w:p>
    <w:p w14:paraId="5EDD33D0" w14:textId="36419526" w:rsidR="00D01446" w:rsidRDefault="00D01446" w:rsidP="00C1695D">
      <w:pPr>
        <w:spacing w:after="0" w:line="276" w:lineRule="auto"/>
        <w:ind w:firstLine="709"/>
        <w:jc w:val="both"/>
        <w:rPr>
          <w:rFonts w:eastAsia="Times New Roman" w:cs="Times New Roman"/>
          <w:szCs w:val="24"/>
        </w:rPr>
      </w:pPr>
      <w:r>
        <w:rPr>
          <w:rFonts w:asciiTheme="majorBidi" w:hAnsiTheme="majorBidi" w:cstheme="majorBidi"/>
          <w:szCs w:val="24"/>
          <w:shd w:val="clear" w:color="auto" w:fill="FFFFFF"/>
        </w:rPr>
        <w:t xml:space="preserve">Tiesai bija jāņem vērā </w:t>
      </w:r>
      <w:proofErr w:type="gramStart"/>
      <w:r w:rsidRPr="00B70ABC">
        <w:rPr>
          <w:rFonts w:asciiTheme="majorBidi" w:eastAsia="Calibri" w:hAnsiTheme="majorBidi" w:cstheme="majorBidi"/>
          <w:lang w:eastAsia="lv-LV"/>
        </w:rPr>
        <w:t>2019.gada</w:t>
      </w:r>
      <w:proofErr w:type="gramEnd"/>
      <w:r w:rsidRPr="00B70ABC">
        <w:rPr>
          <w:rFonts w:asciiTheme="majorBidi" w:eastAsia="Calibri" w:hAnsiTheme="majorBidi" w:cstheme="majorBidi"/>
          <w:lang w:eastAsia="lv-LV"/>
        </w:rPr>
        <w:t xml:space="preserve"> </w:t>
      </w:r>
      <w:r w:rsidR="00186F9A">
        <w:rPr>
          <w:rFonts w:asciiTheme="majorBidi" w:eastAsia="Calibri" w:hAnsiTheme="majorBidi" w:cstheme="majorBidi"/>
          <w:lang w:eastAsia="lv-LV"/>
        </w:rPr>
        <w:t>[..]</w:t>
      </w:r>
      <w:r w:rsidRPr="00B70ABC">
        <w:rPr>
          <w:rFonts w:asciiTheme="majorBidi" w:eastAsia="Calibri" w:hAnsiTheme="majorBidi" w:cstheme="majorBidi"/>
          <w:lang w:eastAsia="lv-LV"/>
        </w:rPr>
        <w:t xml:space="preserve"> papildu komisijas stacionārās kompleksās tiesu psihiatriskās</w:t>
      </w:r>
      <w:r>
        <w:rPr>
          <w:rFonts w:asciiTheme="majorBidi" w:eastAsia="Calibri" w:hAnsiTheme="majorBidi" w:cstheme="majorBidi"/>
          <w:lang w:eastAsia="lv-LV"/>
        </w:rPr>
        <w:t xml:space="preserve"> - </w:t>
      </w:r>
      <w:r w:rsidRPr="00B70ABC">
        <w:rPr>
          <w:rFonts w:asciiTheme="majorBidi" w:eastAsia="Calibri" w:hAnsiTheme="majorBidi" w:cstheme="majorBidi"/>
          <w:lang w:eastAsia="lv-LV"/>
        </w:rPr>
        <w:t>tiesu psiholoģiskās</w:t>
      </w:r>
      <w:r>
        <w:rPr>
          <w:rFonts w:asciiTheme="majorBidi" w:eastAsia="Calibri" w:hAnsiTheme="majorBidi" w:cstheme="majorBidi"/>
          <w:lang w:eastAsia="lv-LV"/>
        </w:rPr>
        <w:t xml:space="preserve"> - </w:t>
      </w:r>
      <w:r w:rsidRPr="00B70ABC">
        <w:rPr>
          <w:rFonts w:asciiTheme="majorBidi" w:eastAsia="Calibri" w:hAnsiTheme="majorBidi" w:cstheme="majorBidi"/>
          <w:lang w:eastAsia="lv-LV"/>
        </w:rPr>
        <w:t>tiesu medicīniskās ekspertīzes atzinuma Nr. </w:t>
      </w:r>
      <w:r w:rsidR="00186F9A">
        <w:rPr>
          <w:rFonts w:asciiTheme="majorBidi" w:eastAsia="Calibri" w:hAnsiTheme="majorBidi" w:cstheme="majorBidi"/>
          <w:lang w:eastAsia="lv-LV"/>
        </w:rPr>
        <w:t>[..]</w:t>
      </w:r>
      <w:r>
        <w:rPr>
          <w:rFonts w:asciiTheme="majorBidi" w:eastAsia="Calibri" w:hAnsiTheme="majorBidi" w:cstheme="majorBidi"/>
          <w:lang w:eastAsia="lv-LV"/>
        </w:rPr>
        <w:t xml:space="preserve"> </w:t>
      </w:r>
      <w:r w:rsidR="008D578D" w:rsidRPr="008D578D">
        <w:rPr>
          <w:rFonts w:asciiTheme="majorBidi" w:eastAsia="Calibri" w:hAnsiTheme="majorBidi" w:cstheme="majorBidi"/>
          <w:lang w:eastAsia="lv-LV"/>
        </w:rPr>
        <w:t>rezultāti</w:t>
      </w:r>
      <w:r w:rsidR="008A0B48">
        <w:rPr>
          <w:rFonts w:asciiTheme="majorBidi" w:eastAsia="Calibri" w:hAnsiTheme="majorBidi" w:cstheme="majorBidi"/>
          <w:lang w:eastAsia="lv-LV"/>
        </w:rPr>
        <w:t>.</w:t>
      </w:r>
    </w:p>
    <w:bookmarkEnd w:id="2"/>
    <w:p w14:paraId="72AA4AA3" w14:textId="77777777" w:rsidR="00C15B53" w:rsidRDefault="00C15B53" w:rsidP="000D3B5B">
      <w:pPr>
        <w:spacing w:after="0" w:line="276" w:lineRule="auto"/>
        <w:jc w:val="both"/>
        <w:rPr>
          <w:rFonts w:eastAsia="Times New Roman" w:cs="Times New Roman"/>
          <w:szCs w:val="24"/>
        </w:rPr>
      </w:pPr>
    </w:p>
    <w:p w14:paraId="09FE47B4" w14:textId="18E022C9" w:rsidR="00013877" w:rsidRPr="004516F5" w:rsidRDefault="007B5CB8" w:rsidP="001924EE">
      <w:pPr>
        <w:spacing w:after="0" w:line="276" w:lineRule="auto"/>
        <w:ind w:firstLine="709"/>
        <w:jc w:val="both"/>
        <w:rPr>
          <w:rFonts w:asciiTheme="majorBidi" w:eastAsia="Times New Roman" w:hAnsiTheme="majorBidi" w:cstheme="majorBidi"/>
          <w:color w:val="000000" w:themeColor="text1"/>
          <w:szCs w:val="24"/>
        </w:rPr>
      </w:pPr>
      <w:r w:rsidRPr="00415444">
        <w:rPr>
          <w:rFonts w:eastAsia="Times New Roman" w:cs="Times New Roman"/>
          <w:szCs w:val="24"/>
        </w:rPr>
        <w:t xml:space="preserve"> </w:t>
      </w:r>
      <w:r w:rsidR="005D7BBC" w:rsidRPr="00415444">
        <w:rPr>
          <w:rFonts w:eastAsia="Times New Roman" w:cs="Times New Roman"/>
          <w:szCs w:val="24"/>
        </w:rPr>
        <w:t>[</w:t>
      </w:r>
      <w:r w:rsidR="00F6524C">
        <w:rPr>
          <w:rFonts w:eastAsia="Times New Roman" w:cs="Times New Roman"/>
          <w:color w:val="000000" w:themeColor="text1"/>
          <w:szCs w:val="24"/>
        </w:rPr>
        <w:t>9</w:t>
      </w:r>
      <w:r w:rsidR="005D7BBC" w:rsidRPr="00415444">
        <w:rPr>
          <w:rFonts w:eastAsia="Times New Roman" w:cs="Times New Roman"/>
          <w:szCs w:val="24"/>
        </w:rPr>
        <w:t>] Tiesas sēdē apsūdzēt</w:t>
      </w:r>
      <w:r w:rsidR="001924EE">
        <w:rPr>
          <w:rFonts w:eastAsia="Times New Roman" w:cs="Times New Roman"/>
          <w:szCs w:val="24"/>
        </w:rPr>
        <w:t>ā aizstāve I.</w:t>
      </w:r>
      <w:r w:rsidR="004516F5">
        <w:rPr>
          <w:rFonts w:eastAsia="Times New Roman" w:cs="Times New Roman"/>
          <w:szCs w:val="24"/>
        </w:rPr>
        <w:t> </w:t>
      </w:r>
      <w:r w:rsidR="001924EE">
        <w:rPr>
          <w:rFonts w:eastAsia="Times New Roman" w:cs="Times New Roman"/>
          <w:szCs w:val="24"/>
        </w:rPr>
        <w:t>Vietniece</w:t>
      </w:r>
      <w:r w:rsidRPr="00415444">
        <w:rPr>
          <w:rFonts w:eastAsia="Times New Roman" w:cs="Times New Roman"/>
          <w:szCs w:val="24"/>
        </w:rPr>
        <w:t xml:space="preserve"> </w:t>
      </w:r>
      <w:r w:rsidR="005D7BBC" w:rsidRPr="00415444">
        <w:rPr>
          <w:rFonts w:eastAsia="Times New Roman" w:cs="Times New Roman"/>
          <w:szCs w:val="24"/>
        </w:rPr>
        <w:t xml:space="preserve">uzturēja iesniegto </w:t>
      </w:r>
      <w:r w:rsidR="00D53E5B" w:rsidRPr="00415444">
        <w:rPr>
          <w:rFonts w:eastAsia="Times New Roman" w:cs="Times New Roman"/>
          <w:szCs w:val="24"/>
        </w:rPr>
        <w:t>sūdzību</w:t>
      </w:r>
      <w:r w:rsidR="007E02A3" w:rsidRPr="00415444">
        <w:rPr>
          <w:rFonts w:eastAsia="Times New Roman" w:cs="Times New Roman"/>
          <w:szCs w:val="24"/>
        </w:rPr>
        <w:t xml:space="preserve"> </w:t>
      </w:r>
      <w:r w:rsidR="00C15B53">
        <w:rPr>
          <w:rFonts w:eastAsia="Times New Roman" w:cs="Times New Roman"/>
          <w:szCs w:val="24"/>
        </w:rPr>
        <w:t>un</w:t>
      </w:r>
      <w:r w:rsidR="007E02A3" w:rsidRPr="00415444">
        <w:rPr>
          <w:rFonts w:eastAsia="Times New Roman" w:cs="Times New Roman"/>
          <w:szCs w:val="24"/>
        </w:rPr>
        <w:t xml:space="preserve"> tajā</w:t>
      </w:r>
      <w:r w:rsidR="00C15B53">
        <w:rPr>
          <w:rFonts w:eastAsia="Times New Roman" w:cs="Times New Roman"/>
          <w:szCs w:val="24"/>
        </w:rPr>
        <w:t xml:space="preserve"> norādītos motīvus</w:t>
      </w:r>
      <w:r w:rsidR="00C0245E" w:rsidRPr="00057A46">
        <w:rPr>
          <w:rFonts w:eastAsia="Times New Roman" w:cs="Times New Roman"/>
          <w:szCs w:val="24"/>
        </w:rPr>
        <w:t>.</w:t>
      </w:r>
      <w:r w:rsidR="00415444" w:rsidRPr="00057A46">
        <w:rPr>
          <w:rFonts w:eastAsia="Times New Roman" w:cs="Times New Roman"/>
          <w:szCs w:val="24"/>
        </w:rPr>
        <w:t xml:space="preserve"> </w:t>
      </w:r>
      <w:r w:rsidR="00CC4FF2" w:rsidRPr="00057A46">
        <w:rPr>
          <w:rFonts w:eastAsia="Times New Roman" w:cs="Times New Roman"/>
          <w:szCs w:val="24"/>
        </w:rPr>
        <w:t xml:space="preserve"> Papildus norādīja, </w:t>
      </w:r>
      <w:r w:rsidR="00013877" w:rsidRPr="00057A46">
        <w:rPr>
          <w:rFonts w:eastAsia="Times New Roman" w:cs="Times New Roman"/>
          <w:szCs w:val="24"/>
        </w:rPr>
        <w:t>ka</w:t>
      </w:r>
      <w:r w:rsidR="00057A46">
        <w:rPr>
          <w:rFonts w:eastAsia="Times New Roman" w:cs="Times New Roman"/>
          <w:szCs w:val="24"/>
        </w:rPr>
        <w:t xml:space="preserve"> </w:t>
      </w:r>
      <w:r w:rsidR="00057A46" w:rsidRPr="004516F5">
        <w:rPr>
          <w:rFonts w:asciiTheme="majorBidi" w:hAnsiTheme="majorBidi" w:cstheme="majorBidi"/>
          <w:color w:val="000000" w:themeColor="text1"/>
          <w:szCs w:val="24"/>
        </w:rPr>
        <w:t xml:space="preserve">Kriminālprocesa likuma </w:t>
      </w:r>
      <w:proofErr w:type="gramStart"/>
      <w:r w:rsidR="00057A46" w:rsidRPr="004516F5">
        <w:rPr>
          <w:rFonts w:asciiTheme="majorBidi" w:hAnsiTheme="majorBidi" w:cstheme="majorBidi"/>
          <w:color w:val="000000" w:themeColor="text1"/>
          <w:szCs w:val="24"/>
        </w:rPr>
        <w:t>283.panta</w:t>
      </w:r>
      <w:proofErr w:type="gramEnd"/>
      <w:r w:rsidR="00057A46" w:rsidRPr="004516F5">
        <w:rPr>
          <w:rFonts w:asciiTheme="majorBidi" w:hAnsiTheme="majorBidi" w:cstheme="majorBidi"/>
          <w:color w:val="000000" w:themeColor="text1"/>
          <w:szCs w:val="24"/>
        </w:rPr>
        <w:t xml:space="preserve"> pirmā daļa noteic, ka personu</w:t>
      </w:r>
      <w:r w:rsidR="00057A46" w:rsidRPr="004516F5">
        <w:rPr>
          <w:rFonts w:asciiTheme="majorBidi" w:hAnsiTheme="majorBidi" w:cstheme="majorBidi"/>
          <w:color w:val="000000" w:themeColor="text1"/>
          <w:szCs w:val="24"/>
          <w:shd w:val="clear" w:color="auto" w:fill="FFFFFF"/>
        </w:rPr>
        <w:t xml:space="preserve"> var piespiedu kārtā ievietot ārstniecības iestādē ekspertīzes izdarīšanai, bet tiesai nav šāda pienākuma. Tiesa nav apsvērusi, kādēļ persona pati nevarētu ierasties uz ekspertīzi</w:t>
      </w:r>
      <w:r w:rsidR="009766B5" w:rsidRPr="004516F5">
        <w:rPr>
          <w:rFonts w:asciiTheme="majorBidi" w:hAnsiTheme="majorBidi" w:cstheme="majorBidi"/>
          <w:color w:val="000000" w:themeColor="text1"/>
          <w:szCs w:val="24"/>
        </w:rPr>
        <w:t xml:space="preserve">, lēmumā nav arī norādīts, ka persona izvairīsies no ierašanās uz ekspertīzi. Lietā ir noteiktas jau piecas ekspertīzes, četras no tām ambulatorās. </w:t>
      </w:r>
      <w:r w:rsidR="00186F9A">
        <w:rPr>
          <w:rFonts w:eastAsia="Times New Roman" w:cs="Times New Roman"/>
          <w:color w:val="000000" w:themeColor="text1"/>
          <w:szCs w:val="24"/>
        </w:rPr>
        <w:t>[Pers. A]</w:t>
      </w:r>
      <w:r w:rsidR="009766B5" w:rsidRPr="004516F5">
        <w:rPr>
          <w:rFonts w:asciiTheme="majorBidi" w:hAnsiTheme="majorBidi" w:cstheme="majorBidi"/>
          <w:color w:val="000000" w:themeColor="text1"/>
          <w:szCs w:val="24"/>
        </w:rPr>
        <w:t xml:space="preserve"> uz visām ir ieradies labprātīgi.</w:t>
      </w:r>
    </w:p>
    <w:p w14:paraId="1B164ACA" w14:textId="77777777" w:rsidR="00332154" w:rsidRDefault="00332154" w:rsidP="00013877">
      <w:pPr>
        <w:spacing w:after="0" w:line="276" w:lineRule="auto"/>
        <w:jc w:val="both"/>
        <w:rPr>
          <w:rFonts w:eastAsia="Times New Roman" w:cs="Times New Roman"/>
          <w:szCs w:val="24"/>
        </w:rPr>
      </w:pPr>
    </w:p>
    <w:p w14:paraId="413FF77B" w14:textId="77777777" w:rsidR="005B509E" w:rsidRDefault="005B509E" w:rsidP="005B509E">
      <w:pPr>
        <w:spacing w:after="0" w:line="276" w:lineRule="auto"/>
        <w:jc w:val="center"/>
        <w:rPr>
          <w:rFonts w:eastAsia="Times New Roman" w:cs="Times New Roman"/>
          <w:b/>
          <w:szCs w:val="24"/>
        </w:rPr>
      </w:pPr>
      <w:r>
        <w:rPr>
          <w:rFonts w:eastAsia="Times New Roman" w:cs="Times New Roman"/>
          <w:b/>
          <w:szCs w:val="24"/>
        </w:rPr>
        <w:t>Motīvu daļa</w:t>
      </w:r>
    </w:p>
    <w:p w14:paraId="4E060A31" w14:textId="77777777" w:rsidR="005B509E" w:rsidRDefault="005B509E" w:rsidP="005B509E">
      <w:pPr>
        <w:spacing w:after="0" w:line="276" w:lineRule="auto"/>
        <w:jc w:val="center"/>
        <w:rPr>
          <w:rFonts w:eastAsia="Times New Roman" w:cs="Times New Roman"/>
          <w:szCs w:val="24"/>
        </w:rPr>
      </w:pPr>
    </w:p>
    <w:p w14:paraId="10958211" w14:textId="2229E7DC" w:rsidR="00B70ABC" w:rsidRPr="00B70ABC" w:rsidRDefault="001924EE" w:rsidP="00B70ABC">
      <w:pPr>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rPr>
        <w:t>[</w:t>
      </w:r>
      <w:r w:rsidR="00F6524C">
        <w:rPr>
          <w:rFonts w:asciiTheme="majorBidi" w:hAnsiTheme="majorBidi" w:cstheme="majorBidi"/>
          <w:szCs w:val="24"/>
        </w:rPr>
        <w:t>10</w:t>
      </w:r>
      <w:r w:rsidR="00B70ABC">
        <w:rPr>
          <w:rFonts w:asciiTheme="majorBidi" w:hAnsiTheme="majorBidi" w:cstheme="majorBidi"/>
          <w:szCs w:val="24"/>
        </w:rPr>
        <w:t xml:space="preserve">] </w:t>
      </w:r>
      <w:r w:rsidR="00B70ABC" w:rsidRPr="00B70ABC">
        <w:rPr>
          <w:rFonts w:asciiTheme="majorBidi" w:hAnsiTheme="majorBidi" w:cstheme="majorBidi"/>
          <w:szCs w:val="24"/>
        </w:rPr>
        <w:t xml:space="preserve">Saskaņā ar Kriminālprocesa likuma </w:t>
      </w:r>
      <w:proofErr w:type="gramStart"/>
      <w:r w:rsidR="00B70ABC" w:rsidRPr="00B70ABC">
        <w:rPr>
          <w:rFonts w:asciiTheme="majorBidi" w:hAnsiTheme="majorBidi" w:cstheme="majorBidi"/>
          <w:szCs w:val="24"/>
        </w:rPr>
        <w:t>283.panta</w:t>
      </w:r>
      <w:proofErr w:type="gramEnd"/>
      <w:r w:rsidR="00B70ABC" w:rsidRPr="00B70ABC">
        <w:rPr>
          <w:rFonts w:asciiTheme="majorBidi" w:hAnsiTheme="majorBidi" w:cstheme="majorBidi"/>
          <w:szCs w:val="24"/>
        </w:rPr>
        <w:t xml:space="preserve"> trešo daļu p</w:t>
      </w:r>
      <w:r w:rsidR="00B70ABC" w:rsidRPr="00B70ABC">
        <w:rPr>
          <w:rFonts w:asciiTheme="majorBidi" w:hAnsiTheme="majorBidi" w:cstheme="majorBidi"/>
          <w:szCs w:val="24"/>
          <w:shd w:val="clear" w:color="auto" w:fill="FFFFFF"/>
        </w:rPr>
        <w:t>ersonas piedalīšanās ar procesuālo piespiedu līdzekli saistīto jautājumu izlemšanā ir obligāta, izņemot gadījumu, kad saskaņā ar ārsta (eksperta) atzinumu tas nav pieļaujams vai nav ieteicams personas veselības stāvokļa dēļ un attiecīgajā procesuālajā darbībā piedalās personas aizstāvis.</w:t>
      </w:r>
    </w:p>
    <w:p w14:paraId="52AB79BA" w14:textId="08A7F1CA" w:rsidR="00B70ABC" w:rsidRPr="00B70ABC" w:rsidRDefault="00B70ABC" w:rsidP="00B70ABC">
      <w:pPr>
        <w:spacing w:after="0" w:line="276" w:lineRule="auto"/>
        <w:ind w:firstLine="720"/>
        <w:jc w:val="both"/>
        <w:rPr>
          <w:rFonts w:asciiTheme="majorBidi" w:hAnsiTheme="majorBidi" w:cstheme="majorBidi"/>
          <w:szCs w:val="24"/>
        </w:rPr>
      </w:pPr>
      <w:bookmarkStart w:id="3" w:name="_Hlk90984569"/>
      <w:r w:rsidRPr="00B70ABC">
        <w:rPr>
          <w:rFonts w:asciiTheme="majorBidi" w:hAnsiTheme="majorBidi" w:cstheme="majorBidi"/>
          <w:szCs w:val="24"/>
          <w:shd w:val="clear" w:color="auto" w:fill="FFFFFF"/>
        </w:rPr>
        <w:t xml:space="preserve">Senatore konstatē, ka no </w:t>
      </w:r>
      <w:proofErr w:type="gramStart"/>
      <w:r w:rsidRPr="00B70ABC">
        <w:rPr>
          <w:rFonts w:asciiTheme="majorBidi" w:eastAsia="Calibri" w:hAnsiTheme="majorBidi" w:cstheme="majorBidi"/>
          <w:lang w:eastAsia="lv-LV"/>
        </w:rPr>
        <w:t>2019.gada</w:t>
      </w:r>
      <w:proofErr w:type="gramEnd"/>
      <w:r w:rsidRPr="00B70ABC">
        <w:rPr>
          <w:rFonts w:asciiTheme="majorBidi" w:eastAsia="Calibri" w:hAnsiTheme="majorBidi" w:cstheme="majorBidi"/>
          <w:lang w:eastAsia="lv-LV"/>
        </w:rPr>
        <w:t xml:space="preserve"> </w:t>
      </w:r>
      <w:r w:rsidR="00186F9A">
        <w:rPr>
          <w:rFonts w:asciiTheme="majorBidi" w:eastAsia="Calibri" w:hAnsiTheme="majorBidi" w:cstheme="majorBidi"/>
          <w:lang w:eastAsia="lv-LV"/>
        </w:rPr>
        <w:t>[..]</w:t>
      </w:r>
      <w:r w:rsidRPr="00B70ABC">
        <w:rPr>
          <w:rFonts w:asciiTheme="majorBidi" w:eastAsia="Calibri" w:hAnsiTheme="majorBidi" w:cstheme="majorBidi"/>
          <w:lang w:eastAsia="lv-LV"/>
        </w:rPr>
        <w:t xml:space="preserve"> papildu komisijas stacionārās kompleksās tiesu psihiatriskās</w:t>
      </w:r>
      <w:r w:rsidR="006B3595">
        <w:rPr>
          <w:rFonts w:asciiTheme="majorBidi" w:eastAsia="Calibri" w:hAnsiTheme="majorBidi" w:cstheme="majorBidi"/>
          <w:lang w:eastAsia="lv-LV"/>
        </w:rPr>
        <w:t xml:space="preserve"> - </w:t>
      </w:r>
      <w:r w:rsidRPr="00B70ABC">
        <w:rPr>
          <w:rFonts w:asciiTheme="majorBidi" w:eastAsia="Calibri" w:hAnsiTheme="majorBidi" w:cstheme="majorBidi"/>
          <w:lang w:eastAsia="lv-LV"/>
        </w:rPr>
        <w:t>tiesu psiholoģiskās</w:t>
      </w:r>
      <w:r w:rsidR="006B3595">
        <w:rPr>
          <w:rFonts w:asciiTheme="majorBidi" w:eastAsia="Calibri" w:hAnsiTheme="majorBidi" w:cstheme="majorBidi"/>
          <w:lang w:eastAsia="lv-LV"/>
        </w:rPr>
        <w:t xml:space="preserve"> - </w:t>
      </w:r>
      <w:r w:rsidRPr="00B70ABC">
        <w:rPr>
          <w:rFonts w:asciiTheme="majorBidi" w:eastAsia="Calibri" w:hAnsiTheme="majorBidi" w:cstheme="majorBidi"/>
          <w:lang w:eastAsia="lv-LV"/>
        </w:rPr>
        <w:t>tiesu medicīniskās ekspertīzes atzinuma Nr. </w:t>
      </w:r>
      <w:bookmarkEnd w:id="3"/>
      <w:r w:rsidR="00186F9A">
        <w:rPr>
          <w:rFonts w:asciiTheme="majorBidi" w:eastAsia="Calibri" w:hAnsiTheme="majorBidi" w:cstheme="majorBidi"/>
          <w:lang w:eastAsia="lv-LV"/>
        </w:rPr>
        <w:t>[..]</w:t>
      </w:r>
      <w:r w:rsidRPr="00B70ABC">
        <w:rPr>
          <w:rFonts w:asciiTheme="majorBidi" w:eastAsia="Calibri" w:hAnsiTheme="majorBidi" w:cstheme="majorBidi"/>
          <w:lang w:eastAsia="lv-LV"/>
        </w:rPr>
        <w:t xml:space="preserve"> </w:t>
      </w:r>
      <w:r w:rsidRPr="001924EE">
        <w:rPr>
          <w:rFonts w:asciiTheme="majorBidi" w:hAnsiTheme="majorBidi" w:cstheme="majorBidi"/>
          <w:color w:val="000000" w:themeColor="text1"/>
          <w:szCs w:val="24"/>
          <w:shd w:val="clear" w:color="auto" w:fill="FFFFFF"/>
        </w:rPr>
        <w:t>(</w:t>
      </w:r>
      <w:r w:rsidR="001924EE" w:rsidRPr="001924EE">
        <w:rPr>
          <w:rFonts w:asciiTheme="majorBidi" w:hAnsiTheme="majorBidi" w:cstheme="majorBidi"/>
          <w:i/>
          <w:iCs/>
          <w:color w:val="000000" w:themeColor="text1"/>
          <w:szCs w:val="24"/>
          <w:shd w:val="clear" w:color="auto" w:fill="FFFFFF"/>
        </w:rPr>
        <w:t>8.sējuma 101.-115.lapa</w:t>
      </w:r>
      <w:r w:rsidRPr="001924EE">
        <w:rPr>
          <w:rFonts w:asciiTheme="majorBidi" w:hAnsiTheme="majorBidi" w:cstheme="majorBidi"/>
          <w:color w:val="000000" w:themeColor="text1"/>
          <w:szCs w:val="24"/>
          <w:shd w:val="clear" w:color="auto" w:fill="FFFFFF"/>
        </w:rPr>
        <w:t xml:space="preserve">) </w:t>
      </w:r>
      <w:r w:rsidRPr="00B70ABC">
        <w:rPr>
          <w:rFonts w:asciiTheme="majorBidi" w:eastAsia="Calibri" w:hAnsiTheme="majorBidi" w:cstheme="majorBidi"/>
          <w:lang w:eastAsia="lv-LV"/>
        </w:rPr>
        <w:t xml:space="preserve"> izriet, ka </w:t>
      </w:r>
      <w:r w:rsidR="00186F9A">
        <w:rPr>
          <w:rFonts w:asciiTheme="majorBidi" w:eastAsia="Calibri" w:hAnsiTheme="majorBidi" w:cstheme="majorBidi"/>
          <w:lang w:eastAsia="lv-LV"/>
        </w:rPr>
        <w:t>[pers. </w:t>
      </w:r>
      <w:r w:rsidR="00186F9A">
        <w:t>A]</w:t>
      </w:r>
      <w:r w:rsidRPr="00B70ABC">
        <w:rPr>
          <w:rFonts w:asciiTheme="majorBidi" w:eastAsia="Calibri" w:hAnsiTheme="majorBidi" w:cstheme="majorBidi"/>
          <w:lang w:eastAsia="lv-LV"/>
        </w:rPr>
        <w:t xml:space="preserve"> </w:t>
      </w:r>
      <w:r w:rsidRPr="00B70ABC">
        <w:rPr>
          <w:rFonts w:asciiTheme="majorBidi" w:hAnsiTheme="majorBidi" w:cstheme="majorBidi"/>
          <w:szCs w:val="24"/>
        </w:rPr>
        <w:t>nav ieteicams piedalīties</w:t>
      </w:r>
      <w:r w:rsidRPr="004A7F4C">
        <w:rPr>
          <w:rFonts w:asciiTheme="majorBidi" w:hAnsiTheme="majorBidi" w:cstheme="majorBidi"/>
          <w:szCs w:val="24"/>
        </w:rPr>
        <w:t xml:space="preserve"> </w:t>
      </w:r>
      <w:r w:rsidRPr="00057A46">
        <w:rPr>
          <w:rFonts w:asciiTheme="majorBidi" w:hAnsiTheme="majorBidi" w:cstheme="majorBidi"/>
          <w:szCs w:val="24"/>
        </w:rPr>
        <w:t>ties</w:t>
      </w:r>
      <w:r w:rsidR="002E198F" w:rsidRPr="00057A46">
        <w:rPr>
          <w:rFonts w:asciiTheme="majorBidi" w:hAnsiTheme="majorBidi" w:cstheme="majorBidi"/>
          <w:szCs w:val="24"/>
        </w:rPr>
        <w:t>a</w:t>
      </w:r>
      <w:r w:rsidRPr="00057A46">
        <w:rPr>
          <w:rFonts w:asciiTheme="majorBidi" w:hAnsiTheme="majorBidi" w:cstheme="majorBidi"/>
          <w:szCs w:val="24"/>
        </w:rPr>
        <w:t>s</w:t>
      </w:r>
      <w:r w:rsidRPr="004A7F4C">
        <w:rPr>
          <w:rFonts w:asciiTheme="majorBidi" w:hAnsiTheme="majorBidi" w:cstheme="majorBidi"/>
          <w:szCs w:val="24"/>
        </w:rPr>
        <w:t xml:space="preserve"> </w:t>
      </w:r>
      <w:r w:rsidRPr="00B70ABC">
        <w:rPr>
          <w:rFonts w:asciiTheme="majorBidi" w:hAnsiTheme="majorBidi" w:cstheme="majorBidi"/>
          <w:szCs w:val="24"/>
        </w:rPr>
        <w:t>sēdēs, jo</w:t>
      </w:r>
      <w:r w:rsidRPr="00B70ABC">
        <w:rPr>
          <w:rFonts w:asciiTheme="majorBidi" w:eastAsia="Calibri" w:hAnsiTheme="majorBidi" w:cstheme="majorBidi"/>
          <w:lang w:eastAsia="lv-LV"/>
        </w:rPr>
        <w:t xml:space="preserve"> atrašanās spriedzes situācijās pasliktinās viņa psihiskās veselības stāvokli. </w:t>
      </w:r>
      <w:r w:rsidRPr="00B70ABC">
        <w:rPr>
          <w:rFonts w:asciiTheme="majorBidi" w:hAnsiTheme="majorBidi" w:cstheme="majorBidi"/>
          <w:szCs w:val="24"/>
        </w:rPr>
        <w:t>Tiesas sēdē piedalās apsūdzētā aizstāve I. Vietniece.</w:t>
      </w:r>
    </w:p>
    <w:p w14:paraId="1769AD37" w14:textId="0075AD6C" w:rsidR="00B70ABC" w:rsidRPr="00B70ABC" w:rsidRDefault="00B70ABC" w:rsidP="00B70ABC">
      <w:pPr>
        <w:spacing w:after="0" w:line="276" w:lineRule="auto"/>
        <w:ind w:firstLine="720"/>
        <w:jc w:val="both"/>
        <w:rPr>
          <w:rFonts w:asciiTheme="majorBidi" w:hAnsiTheme="majorBidi" w:cstheme="majorBidi"/>
          <w:szCs w:val="24"/>
        </w:rPr>
      </w:pPr>
      <w:r w:rsidRPr="00B70ABC">
        <w:rPr>
          <w:rFonts w:asciiTheme="majorBidi" w:hAnsiTheme="majorBidi" w:cstheme="majorBidi"/>
          <w:szCs w:val="24"/>
        </w:rPr>
        <w:t xml:space="preserve">Ņemot vērā iepriekš minēto, aizstāves I. Vietnieces sūdzība par </w:t>
      </w:r>
      <w:r w:rsidR="00186F9A">
        <w:rPr>
          <w:rFonts w:asciiTheme="majorBidi" w:hAnsiTheme="majorBidi" w:cstheme="majorBidi"/>
          <w:szCs w:val="24"/>
        </w:rPr>
        <w:t>[..]</w:t>
      </w:r>
      <w:r w:rsidRPr="00B70ABC">
        <w:rPr>
          <w:rFonts w:asciiTheme="majorBidi" w:hAnsiTheme="majorBidi" w:cstheme="majorBidi"/>
          <w:szCs w:val="24"/>
        </w:rPr>
        <w:t xml:space="preserve"> apgabaltiesas </w:t>
      </w:r>
      <w:proofErr w:type="gramStart"/>
      <w:r w:rsidRPr="00B70ABC">
        <w:rPr>
          <w:rFonts w:asciiTheme="majorBidi" w:hAnsiTheme="majorBidi" w:cstheme="majorBidi"/>
          <w:szCs w:val="24"/>
        </w:rPr>
        <w:t>2021.gada</w:t>
      </w:r>
      <w:proofErr w:type="gramEnd"/>
      <w:r w:rsidRPr="00B70ABC">
        <w:rPr>
          <w:rFonts w:asciiTheme="majorBidi" w:hAnsiTheme="majorBidi" w:cstheme="majorBidi"/>
          <w:szCs w:val="24"/>
        </w:rPr>
        <w:t xml:space="preserve"> </w:t>
      </w:r>
      <w:r w:rsidR="00186F9A">
        <w:rPr>
          <w:rFonts w:asciiTheme="majorBidi" w:hAnsiTheme="majorBidi" w:cstheme="majorBidi"/>
          <w:szCs w:val="24"/>
        </w:rPr>
        <w:t>[..]</w:t>
      </w:r>
      <w:r w:rsidRPr="00B70ABC">
        <w:rPr>
          <w:rFonts w:asciiTheme="majorBidi" w:hAnsiTheme="majorBidi" w:cstheme="majorBidi"/>
          <w:szCs w:val="24"/>
        </w:rPr>
        <w:t xml:space="preserve"> lēmumu daļā par </w:t>
      </w:r>
      <w:r w:rsidR="00186F9A">
        <w:rPr>
          <w:rFonts w:asciiTheme="majorBidi" w:hAnsiTheme="majorBidi" w:cstheme="majorBidi"/>
          <w:szCs w:val="24"/>
        </w:rPr>
        <w:t>[pers. </w:t>
      </w:r>
      <w:r w:rsidR="00186F9A">
        <w:t>A]</w:t>
      </w:r>
      <w:r w:rsidRPr="00B70ABC">
        <w:rPr>
          <w:rFonts w:asciiTheme="majorBidi" w:hAnsiTheme="majorBidi" w:cstheme="majorBidi"/>
          <w:szCs w:val="24"/>
        </w:rPr>
        <w:t xml:space="preserve"> ievietošanu </w:t>
      </w:r>
      <w:r w:rsidRPr="00B70ABC">
        <w:rPr>
          <w:rFonts w:asciiTheme="majorBidi" w:hAnsiTheme="majorBidi" w:cstheme="majorBidi"/>
          <w:szCs w:val="24"/>
          <w:shd w:val="clear" w:color="auto" w:fill="FFFFFF"/>
        </w:rPr>
        <w:t xml:space="preserve">ārstniecības iestādē ekspertīzes izdarīšanai izskatāma bez </w:t>
      </w:r>
      <w:r w:rsidR="00186F9A">
        <w:rPr>
          <w:rFonts w:asciiTheme="majorBidi" w:hAnsiTheme="majorBidi" w:cstheme="majorBidi"/>
          <w:szCs w:val="24"/>
        </w:rPr>
        <w:t>[pers. </w:t>
      </w:r>
      <w:r w:rsidR="00186F9A">
        <w:t>A]</w:t>
      </w:r>
      <w:r w:rsidRPr="00B70ABC">
        <w:rPr>
          <w:rFonts w:asciiTheme="majorBidi" w:hAnsiTheme="majorBidi" w:cstheme="majorBidi"/>
          <w:szCs w:val="24"/>
        </w:rPr>
        <w:t xml:space="preserve"> piedalīšanās. </w:t>
      </w:r>
    </w:p>
    <w:p w14:paraId="4C26C5E3" w14:textId="77777777" w:rsidR="00B70ABC" w:rsidRPr="00B70ABC" w:rsidRDefault="00B70ABC" w:rsidP="00B70ABC">
      <w:pPr>
        <w:tabs>
          <w:tab w:val="left" w:pos="0"/>
          <w:tab w:val="left" w:pos="6660"/>
        </w:tabs>
        <w:spacing w:after="0" w:line="276" w:lineRule="auto"/>
        <w:ind w:firstLine="709"/>
        <w:jc w:val="both"/>
        <w:rPr>
          <w:rFonts w:asciiTheme="majorBidi" w:hAnsiTheme="majorBidi" w:cstheme="majorBidi"/>
          <w:szCs w:val="24"/>
        </w:rPr>
      </w:pPr>
    </w:p>
    <w:p w14:paraId="06826412" w14:textId="48B89038" w:rsidR="00B70ABC" w:rsidRPr="00B70ABC" w:rsidRDefault="00B70ABC" w:rsidP="00B70ABC">
      <w:pPr>
        <w:tabs>
          <w:tab w:val="left" w:pos="0"/>
          <w:tab w:val="left" w:pos="6660"/>
        </w:tabs>
        <w:spacing w:after="0" w:line="276" w:lineRule="auto"/>
        <w:ind w:firstLine="709"/>
        <w:jc w:val="both"/>
        <w:rPr>
          <w:rFonts w:asciiTheme="majorBidi" w:eastAsia="Calibri" w:hAnsiTheme="majorBidi" w:cstheme="majorBidi"/>
          <w:szCs w:val="24"/>
        </w:rPr>
      </w:pPr>
      <w:r w:rsidRPr="00B70ABC">
        <w:rPr>
          <w:rFonts w:asciiTheme="majorBidi" w:eastAsia="Times New Roman" w:hAnsiTheme="majorBidi" w:cstheme="majorBidi"/>
          <w:szCs w:val="24"/>
        </w:rPr>
        <w:t>[</w:t>
      </w:r>
      <w:r w:rsidR="0051384D">
        <w:rPr>
          <w:rFonts w:asciiTheme="majorBidi" w:eastAsia="Times New Roman" w:hAnsiTheme="majorBidi" w:cstheme="majorBidi"/>
          <w:szCs w:val="24"/>
        </w:rPr>
        <w:t>11</w:t>
      </w:r>
      <w:r w:rsidRPr="00B70ABC">
        <w:rPr>
          <w:rFonts w:asciiTheme="majorBidi" w:eastAsia="Times New Roman" w:hAnsiTheme="majorBidi" w:cstheme="majorBidi"/>
          <w:szCs w:val="24"/>
        </w:rPr>
        <w:t xml:space="preserve">] Senatore atzīst, ka apsūdzētā </w:t>
      </w:r>
      <w:r w:rsidR="00186F9A">
        <w:rPr>
          <w:rFonts w:asciiTheme="majorBidi" w:hAnsiTheme="majorBidi" w:cstheme="majorBidi"/>
          <w:szCs w:val="24"/>
        </w:rPr>
        <w:t>[pers. A]</w:t>
      </w:r>
      <w:r w:rsidRPr="00B70ABC">
        <w:rPr>
          <w:rFonts w:asciiTheme="majorBidi" w:hAnsiTheme="majorBidi" w:cstheme="majorBidi"/>
          <w:szCs w:val="24"/>
        </w:rPr>
        <w:t xml:space="preserve"> aizstāves I.</w:t>
      </w:r>
      <w:r w:rsidR="006B3595">
        <w:rPr>
          <w:rFonts w:asciiTheme="majorBidi" w:hAnsiTheme="majorBidi" w:cstheme="majorBidi"/>
          <w:szCs w:val="24"/>
        </w:rPr>
        <w:t> </w:t>
      </w:r>
      <w:r w:rsidRPr="00B70ABC">
        <w:rPr>
          <w:rFonts w:asciiTheme="majorBidi" w:hAnsiTheme="majorBidi" w:cstheme="majorBidi"/>
          <w:szCs w:val="24"/>
        </w:rPr>
        <w:t xml:space="preserve">Vietnieces </w:t>
      </w:r>
      <w:r w:rsidRPr="00B70ABC">
        <w:rPr>
          <w:rFonts w:asciiTheme="majorBidi" w:eastAsia="Times New Roman" w:hAnsiTheme="majorBidi" w:cstheme="majorBidi"/>
          <w:szCs w:val="24"/>
        </w:rPr>
        <w:t xml:space="preserve">sūdzība ir apmierināma un </w:t>
      </w:r>
      <w:r w:rsidR="00186F9A">
        <w:rPr>
          <w:rFonts w:asciiTheme="majorBidi" w:eastAsia="Calibri" w:hAnsiTheme="majorBidi" w:cstheme="majorBidi"/>
          <w:color w:val="000000" w:themeColor="text1"/>
          <w:szCs w:val="24"/>
        </w:rPr>
        <w:t xml:space="preserve">[..] </w:t>
      </w:r>
      <w:r w:rsidRPr="00B70ABC">
        <w:rPr>
          <w:rFonts w:asciiTheme="majorBidi" w:eastAsia="Calibri" w:hAnsiTheme="majorBidi" w:cstheme="majorBidi"/>
          <w:color w:val="000000" w:themeColor="text1"/>
          <w:szCs w:val="24"/>
        </w:rPr>
        <w:t xml:space="preserve">apgabaltiesas </w:t>
      </w:r>
      <w:proofErr w:type="gramStart"/>
      <w:r w:rsidRPr="00B70ABC">
        <w:rPr>
          <w:rFonts w:asciiTheme="majorBidi" w:hAnsiTheme="majorBidi" w:cstheme="majorBidi"/>
          <w:szCs w:val="24"/>
        </w:rPr>
        <w:t>2021.gada</w:t>
      </w:r>
      <w:proofErr w:type="gramEnd"/>
      <w:r w:rsidRPr="00B70ABC">
        <w:rPr>
          <w:rFonts w:asciiTheme="majorBidi" w:hAnsiTheme="majorBidi" w:cstheme="majorBidi"/>
          <w:szCs w:val="24"/>
        </w:rPr>
        <w:t xml:space="preserve"> </w:t>
      </w:r>
      <w:r w:rsidR="00186F9A">
        <w:rPr>
          <w:rFonts w:asciiTheme="majorBidi" w:hAnsiTheme="majorBidi" w:cstheme="majorBidi"/>
          <w:szCs w:val="24"/>
        </w:rPr>
        <w:t>[..]</w:t>
      </w:r>
      <w:r w:rsidRPr="00B70ABC">
        <w:rPr>
          <w:rFonts w:asciiTheme="majorBidi" w:hAnsiTheme="majorBidi" w:cstheme="majorBidi"/>
          <w:szCs w:val="24"/>
        </w:rPr>
        <w:t xml:space="preserve"> </w:t>
      </w:r>
      <w:r w:rsidRPr="00B70ABC">
        <w:rPr>
          <w:rFonts w:asciiTheme="majorBidi" w:eastAsia="Calibri" w:hAnsiTheme="majorBidi" w:cstheme="majorBidi"/>
          <w:color w:val="000000" w:themeColor="text1"/>
          <w:szCs w:val="24"/>
        </w:rPr>
        <w:t>lēmums atceļams</w:t>
      </w:r>
      <w:r w:rsidRPr="00B70ABC">
        <w:rPr>
          <w:rFonts w:asciiTheme="majorBidi" w:eastAsia="Calibri" w:hAnsiTheme="majorBidi" w:cstheme="majorBidi"/>
          <w:szCs w:val="24"/>
        </w:rPr>
        <w:t>.</w:t>
      </w:r>
    </w:p>
    <w:p w14:paraId="5345A868" w14:textId="77777777" w:rsidR="00B70ABC" w:rsidRPr="00B70ABC" w:rsidRDefault="00B70ABC" w:rsidP="00B70ABC">
      <w:pPr>
        <w:tabs>
          <w:tab w:val="left" w:pos="0"/>
          <w:tab w:val="left" w:pos="6660"/>
        </w:tabs>
        <w:spacing w:after="0" w:line="276" w:lineRule="auto"/>
        <w:ind w:firstLine="709"/>
        <w:jc w:val="both"/>
        <w:rPr>
          <w:rFonts w:asciiTheme="majorBidi" w:eastAsia="Calibri" w:hAnsiTheme="majorBidi" w:cstheme="majorBidi"/>
          <w:szCs w:val="24"/>
        </w:rPr>
      </w:pPr>
    </w:p>
    <w:p w14:paraId="325A7B85" w14:textId="65E53FEE" w:rsidR="00B70ABC" w:rsidRPr="00B70ABC" w:rsidRDefault="00B70ABC" w:rsidP="00B70ABC">
      <w:pPr>
        <w:spacing w:after="0" w:line="276" w:lineRule="auto"/>
        <w:ind w:firstLine="709"/>
        <w:jc w:val="both"/>
        <w:rPr>
          <w:rFonts w:asciiTheme="majorBidi" w:hAnsiTheme="majorBidi" w:cstheme="majorBidi"/>
          <w:szCs w:val="24"/>
          <w:shd w:val="clear" w:color="auto" w:fill="FFFFFF"/>
        </w:rPr>
      </w:pPr>
      <w:r w:rsidRPr="00B70ABC">
        <w:rPr>
          <w:rFonts w:asciiTheme="majorBidi" w:hAnsiTheme="majorBidi" w:cstheme="majorBidi"/>
        </w:rPr>
        <w:t>[</w:t>
      </w:r>
      <w:r w:rsidR="0051384D">
        <w:rPr>
          <w:rFonts w:asciiTheme="majorBidi" w:hAnsiTheme="majorBidi" w:cstheme="majorBidi"/>
        </w:rPr>
        <w:t>12</w:t>
      </w:r>
      <w:r w:rsidRPr="00B70ABC">
        <w:rPr>
          <w:rFonts w:asciiTheme="majorBidi" w:hAnsiTheme="majorBidi" w:cstheme="majorBidi"/>
        </w:rPr>
        <w:t xml:space="preserve">] </w:t>
      </w:r>
      <w:r w:rsidRPr="00B70ABC">
        <w:rPr>
          <w:rFonts w:asciiTheme="majorBidi" w:hAnsiTheme="majorBidi" w:cstheme="majorBidi"/>
          <w:szCs w:val="24"/>
        </w:rPr>
        <w:t xml:space="preserve">Senatore norāda, ka ievietošana </w:t>
      </w:r>
      <w:r w:rsidRPr="00B70ABC">
        <w:rPr>
          <w:rFonts w:asciiTheme="majorBidi" w:hAnsiTheme="majorBidi" w:cstheme="majorBidi"/>
          <w:szCs w:val="24"/>
          <w:shd w:val="clear" w:color="auto" w:fill="FFFFFF"/>
        </w:rPr>
        <w:t>ārstniecības iestādē ekspertīzes izdarīšanai ir ar brīvības atņemšanu saistīts piespiedu līdzeklis, kas var tik piemērots likumā noteiktā kārtībā.</w:t>
      </w:r>
    </w:p>
    <w:p w14:paraId="544159B5" w14:textId="77777777" w:rsidR="00B70ABC" w:rsidRPr="00B70ABC" w:rsidRDefault="00B70ABC" w:rsidP="00B70ABC">
      <w:pPr>
        <w:spacing w:after="0" w:line="276" w:lineRule="auto"/>
        <w:ind w:firstLine="709"/>
        <w:jc w:val="both"/>
        <w:rPr>
          <w:rFonts w:asciiTheme="majorBidi" w:hAnsiTheme="majorBidi" w:cstheme="majorBidi"/>
          <w:szCs w:val="24"/>
        </w:rPr>
      </w:pPr>
      <w:r w:rsidRPr="00B70ABC">
        <w:rPr>
          <w:rFonts w:asciiTheme="majorBidi" w:eastAsia="Times New Roman" w:hAnsiTheme="majorBidi" w:cstheme="majorBidi"/>
          <w:szCs w:val="24"/>
        </w:rPr>
        <w:t xml:space="preserve">Atbilstoši Kriminālprocesa likuma </w:t>
      </w:r>
      <w:proofErr w:type="gramStart"/>
      <w:r w:rsidRPr="00B70ABC">
        <w:rPr>
          <w:rFonts w:asciiTheme="majorBidi" w:eastAsia="Times New Roman" w:hAnsiTheme="majorBidi" w:cstheme="majorBidi"/>
          <w:szCs w:val="24"/>
        </w:rPr>
        <w:t>244.panta</w:t>
      </w:r>
      <w:proofErr w:type="gramEnd"/>
      <w:r w:rsidRPr="00B70ABC">
        <w:rPr>
          <w:rFonts w:asciiTheme="majorBidi" w:eastAsia="Times New Roman" w:hAnsiTheme="majorBidi" w:cstheme="majorBidi"/>
          <w:szCs w:val="24"/>
        </w:rPr>
        <w:t xml:space="preserve"> pirmajai daļai procesa virzītājam ir jāizvēlas tāds procesuālais piespiedu līdzeklis, kas pēc iespējas mazāk aizskar personas pamattiesības un ir samērīgs.</w:t>
      </w:r>
    </w:p>
    <w:p w14:paraId="36F31440" w14:textId="1810F711" w:rsidR="00B70ABC" w:rsidRPr="006B3595" w:rsidRDefault="00B70ABC" w:rsidP="006B3595">
      <w:pPr>
        <w:spacing w:line="276" w:lineRule="auto"/>
        <w:ind w:firstLine="567"/>
        <w:jc w:val="both"/>
        <w:rPr>
          <w:rFonts w:asciiTheme="majorBidi" w:hAnsiTheme="majorBidi" w:cstheme="majorBidi"/>
        </w:rPr>
      </w:pPr>
      <w:r w:rsidRPr="00B70ABC">
        <w:rPr>
          <w:rFonts w:asciiTheme="majorBidi" w:hAnsiTheme="majorBidi" w:cstheme="majorBidi"/>
        </w:rPr>
        <w:t xml:space="preserve">Arī Eiropas Cilvēktiesību tiesa vairākos spriedumos norādījusi, ka Eiropas Cilvēka tiesību un pamatbrīvību aizsardzības konvencijas </w:t>
      </w:r>
      <w:proofErr w:type="gramStart"/>
      <w:r w:rsidRPr="00B70ABC">
        <w:rPr>
          <w:rFonts w:asciiTheme="majorBidi" w:hAnsiTheme="majorBidi" w:cstheme="majorBidi"/>
        </w:rPr>
        <w:t>5.panta</w:t>
      </w:r>
      <w:proofErr w:type="gramEnd"/>
      <w:r w:rsidRPr="00B70ABC">
        <w:rPr>
          <w:rFonts w:asciiTheme="majorBidi" w:hAnsiTheme="majorBidi" w:cstheme="majorBidi"/>
        </w:rPr>
        <w:t xml:space="preserve"> pirmajā daļā noteiktais garantē personas aizsardzību pret patvaļīgu un nelikumīgu brīvības atņemšanu (</w:t>
      </w:r>
      <w:r w:rsidRPr="00B70ABC">
        <w:rPr>
          <w:rFonts w:asciiTheme="majorBidi" w:hAnsiTheme="majorBidi" w:cstheme="majorBidi"/>
          <w:i/>
        </w:rPr>
        <w:t xml:space="preserve">piemēram, </w:t>
      </w:r>
      <w:bookmarkStart w:id="4" w:name="_Hlk119406165"/>
      <w:r w:rsidRPr="00B70ABC">
        <w:rPr>
          <w:rFonts w:asciiTheme="majorBidi" w:hAnsiTheme="majorBidi" w:cstheme="majorBidi"/>
          <w:i/>
        </w:rPr>
        <w:t>Eiropas Cilvēktiesību tiesas 1996.gada 10.jūnija sprieduma lietā ⹂</w:t>
      </w:r>
      <w:proofErr w:type="spellStart"/>
      <w:r w:rsidRPr="00B70ABC">
        <w:rPr>
          <w:rFonts w:asciiTheme="majorBidi" w:hAnsiTheme="majorBidi" w:cstheme="majorBidi"/>
          <w:i/>
        </w:rPr>
        <w:t>Benham</w:t>
      </w:r>
      <w:proofErr w:type="spellEnd"/>
      <w:r w:rsidRPr="00B70ABC">
        <w:rPr>
          <w:rFonts w:asciiTheme="majorBidi" w:hAnsiTheme="majorBidi" w:cstheme="majorBidi"/>
          <w:i/>
        </w:rPr>
        <w:t xml:space="preserve"> v. </w:t>
      </w:r>
      <w:proofErr w:type="spellStart"/>
      <w:r w:rsidRPr="00B70ABC">
        <w:rPr>
          <w:rFonts w:asciiTheme="majorBidi" w:hAnsiTheme="majorBidi" w:cstheme="majorBidi"/>
          <w:i/>
        </w:rPr>
        <w:t>The</w:t>
      </w:r>
      <w:proofErr w:type="spellEnd"/>
      <w:r w:rsidRPr="00B70ABC">
        <w:rPr>
          <w:rFonts w:asciiTheme="majorBidi" w:hAnsiTheme="majorBidi" w:cstheme="majorBidi"/>
          <w:i/>
        </w:rPr>
        <w:t xml:space="preserve"> </w:t>
      </w:r>
      <w:proofErr w:type="spellStart"/>
      <w:r w:rsidRPr="00B70ABC">
        <w:rPr>
          <w:rFonts w:asciiTheme="majorBidi" w:hAnsiTheme="majorBidi" w:cstheme="majorBidi"/>
          <w:i/>
        </w:rPr>
        <w:t>United</w:t>
      </w:r>
      <w:proofErr w:type="spellEnd"/>
      <w:r w:rsidRPr="00B70ABC">
        <w:rPr>
          <w:rFonts w:asciiTheme="majorBidi" w:hAnsiTheme="majorBidi" w:cstheme="majorBidi"/>
          <w:i/>
        </w:rPr>
        <w:t xml:space="preserve"> </w:t>
      </w:r>
      <w:proofErr w:type="spellStart"/>
      <w:r w:rsidRPr="00B70ABC">
        <w:rPr>
          <w:rFonts w:asciiTheme="majorBidi" w:hAnsiTheme="majorBidi" w:cstheme="majorBidi"/>
          <w:i/>
        </w:rPr>
        <w:t>Kingdom</w:t>
      </w:r>
      <w:proofErr w:type="spellEnd"/>
      <w:r w:rsidRPr="00B70ABC">
        <w:rPr>
          <w:rFonts w:asciiTheme="majorBidi" w:hAnsiTheme="majorBidi" w:cstheme="majorBidi"/>
          <w:i/>
        </w:rPr>
        <w:t xml:space="preserve">”, iesnieguma Nr.19380/92, 40.-41.punkts, </w:t>
      </w:r>
      <w:proofErr w:type="gramStart"/>
      <w:r w:rsidRPr="00B70ABC">
        <w:rPr>
          <w:rFonts w:asciiTheme="majorBidi" w:hAnsiTheme="majorBidi" w:cstheme="majorBidi"/>
          <w:i/>
        </w:rPr>
        <w:t>2006.gada</w:t>
      </w:r>
      <w:proofErr w:type="gramEnd"/>
      <w:r w:rsidRPr="00B70ABC">
        <w:rPr>
          <w:rFonts w:asciiTheme="majorBidi" w:hAnsiTheme="majorBidi" w:cstheme="majorBidi"/>
          <w:i/>
        </w:rPr>
        <w:t xml:space="preserve"> 11.jūlija spriedum</w:t>
      </w:r>
      <w:r w:rsidR="00EA271E">
        <w:rPr>
          <w:rFonts w:asciiTheme="majorBidi" w:hAnsiTheme="majorBidi" w:cstheme="majorBidi"/>
          <w:i/>
        </w:rPr>
        <w:t>a</w:t>
      </w:r>
      <w:r w:rsidRPr="00B70ABC">
        <w:rPr>
          <w:rFonts w:asciiTheme="majorBidi" w:hAnsiTheme="majorBidi" w:cstheme="majorBidi"/>
          <w:i/>
        </w:rPr>
        <w:t xml:space="preserve"> lietā ⹂</w:t>
      </w:r>
      <w:proofErr w:type="spellStart"/>
      <w:r w:rsidRPr="00B70ABC">
        <w:rPr>
          <w:rFonts w:asciiTheme="majorBidi" w:hAnsiTheme="majorBidi" w:cstheme="majorBidi"/>
          <w:i/>
        </w:rPr>
        <w:t>Harkmann</w:t>
      </w:r>
      <w:proofErr w:type="spellEnd"/>
      <w:r w:rsidRPr="00B70ABC">
        <w:rPr>
          <w:rFonts w:asciiTheme="majorBidi" w:hAnsiTheme="majorBidi" w:cstheme="majorBidi"/>
          <w:i/>
        </w:rPr>
        <w:t xml:space="preserve"> v. </w:t>
      </w:r>
      <w:proofErr w:type="spellStart"/>
      <w:r w:rsidRPr="00B70ABC">
        <w:rPr>
          <w:rFonts w:asciiTheme="majorBidi" w:hAnsiTheme="majorBidi" w:cstheme="majorBidi"/>
          <w:i/>
        </w:rPr>
        <w:t>Estonia</w:t>
      </w:r>
      <w:proofErr w:type="spellEnd"/>
      <w:r w:rsidRPr="00B70ABC">
        <w:rPr>
          <w:rFonts w:asciiTheme="majorBidi" w:hAnsiTheme="majorBidi" w:cstheme="majorBidi"/>
          <w:i/>
        </w:rPr>
        <w:t>”, pieteikuma Nr.2192/03, 36.punkts</w:t>
      </w:r>
      <w:bookmarkEnd w:id="4"/>
      <w:r w:rsidRPr="00B70ABC">
        <w:rPr>
          <w:rFonts w:asciiTheme="majorBidi" w:hAnsiTheme="majorBidi" w:cstheme="majorBidi"/>
        </w:rPr>
        <w:t>).</w:t>
      </w:r>
    </w:p>
    <w:p w14:paraId="265CAFB2" w14:textId="4DD1E57B" w:rsidR="00B70ABC" w:rsidRPr="00B70ABC" w:rsidRDefault="00B70ABC" w:rsidP="00B70ABC">
      <w:pPr>
        <w:spacing w:after="0" w:line="276" w:lineRule="auto"/>
        <w:ind w:firstLine="709"/>
        <w:jc w:val="both"/>
        <w:rPr>
          <w:rFonts w:asciiTheme="majorBidi" w:eastAsia="Times New Roman" w:hAnsiTheme="majorBidi" w:cstheme="majorBidi"/>
          <w:szCs w:val="24"/>
        </w:rPr>
      </w:pPr>
      <w:r w:rsidRPr="00B70ABC">
        <w:rPr>
          <w:rFonts w:asciiTheme="majorBidi" w:eastAsia="Times New Roman" w:hAnsiTheme="majorBidi" w:cstheme="majorBidi"/>
          <w:szCs w:val="24"/>
        </w:rPr>
        <w:t>[</w:t>
      </w:r>
      <w:r w:rsidR="0051384D">
        <w:rPr>
          <w:rFonts w:asciiTheme="majorBidi" w:eastAsia="Times New Roman" w:hAnsiTheme="majorBidi" w:cstheme="majorBidi"/>
          <w:szCs w:val="24"/>
        </w:rPr>
        <w:t>13</w:t>
      </w:r>
      <w:r w:rsidRPr="00B70ABC">
        <w:rPr>
          <w:rFonts w:asciiTheme="majorBidi" w:eastAsia="Times New Roman" w:hAnsiTheme="majorBidi" w:cstheme="majorBidi"/>
          <w:szCs w:val="24"/>
        </w:rPr>
        <w:t xml:space="preserve">] Kriminālprocesa likuma </w:t>
      </w:r>
      <w:proofErr w:type="gramStart"/>
      <w:r w:rsidRPr="00B70ABC">
        <w:rPr>
          <w:rFonts w:asciiTheme="majorBidi" w:eastAsia="Times New Roman" w:hAnsiTheme="majorBidi" w:cstheme="majorBidi"/>
          <w:szCs w:val="24"/>
        </w:rPr>
        <w:t>245.pants</w:t>
      </w:r>
      <w:proofErr w:type="gramEnd"/>
      <w:r w:rsidRPr="00B70ABC">
        <w:rPr>
          <w:rFonts w:asciiTheme="majorBidi" w:eastAsia="Times New Roman" w:hAnsiTheme="majorBidi" w:cstheme="majorBidi"/>
          <w:szCs w:val="24"/>
        </w:rPr>
        <w:t xml:space="preserve"> nosaka lēmuma par procesuālā piespiedu līdzekļa piemērošanu satura prasības. Minētā panta pirmās daļas 2.punkts noteic, ka motivēta rakstveida lēmumā par procesuālā piespiedu līdzekļa piemērošanu jānorāda piespiedu līdzekļa piemērošanas pamats.</w:t>
      </w:r>
    </w:p>
    <w:p w14:paraId="4CCD0E57" w14:textId="77777777" w:rsidR="00B70ABC" w:rsidRPr="00B70ABC" w:rsidRDefault="00B70ABC" w:rsidP="00B70ABC">
      <w:pPr>
        <w:tabs>
          <w:tab w:val="left" w:pos="0"/>
          <w:tab w:val="left" w:pos="2366"/>
          <w:tab w:val="left" w:pos="6660"/>
        </w:tabs>
        <w:spacing w:after="0" w:line="276" w:lineRule="auto"/>
        <w:ind w:firstLine="709"/>
        <w:jc w:val="both"/>
        <w:rPr>
          <w:rFonts w:asciiTheme="majorBidi" w:eastAsia="Calibri" w:hAnsiTheme="majorBidi" w:cstheme="majorBidi"/>
          <w:szCs w:val="24"/>
        </w:rPr>
      </w:pPr>
      <w:r w:rsidRPr="00B70ABC">
        <w:rPr>
          <w:rFonts w:asciiTheme="majorBidi" w:hAnsiTheme="majorBidi" w:cstheme="majorBidi"/>
        </w:rPr>
        <w:t xml:space="preserve">Kriminālprocesa likuma </w:t>
      </w:r>
      <w:proofErr w:type="gramStart"/>
      <w:r w:rsidRPr="00B70ABC">
        <w:rPr>
          <w:rFonts w:asciiTheme="majorBidi" w:hAnsiTheme="majorBidi" w:cstheme="majorBidi"/>
        </w:rPr>
        <w:t>241.panta</w:t>
      </w:r>
      <w:proofErr w:type="gramEnd"/>
      <w:r w:rsidRPr="00B70ABC">
        <w:rPr>
          <w:rFonts w:asciiTheme="majorBidi" w:hAnsiTheme="majorBidi" w:cstheme="majorBidi"/>
        </w:rPr>
        <w:t xml:space="preserve"> pirmā daļa noteic, ka procesuālā piespiedu līdzekļa piemērošanas pamats ir personas pretdarbība kriminālprocesa mērķa sasniegšanai konkrētajā kriminālprocesā vai atsevišķas procesuālās darbības veikšanai, savu procesuālo pienākumu nepildīšana vai nepienācīga pildīšana. </w:t>
      </w:r>
    </w:p>
    <w:p w14:paraId="71ABEECD" w14:textId="77777777" w:rsidR="00B70ABC" w:rsidRPr="00B70ABC" w:rsidRDefault="00B70ABC" w:rsidP="00B70ABC">
      <w:pPr>
        <w:spacing w:after="0" w:line="276" w:lineRule="auto"/>
        <w:ind w:firstLine="709"/>
        <w:jc w:val="both"/>
        <w:rPr>
          <w:rFonts w:asciiTheme="majorBidi" w:hAnsiTheme="majorBidi" w:cstheme="majorBidi"/>
          <w:szCs w:val="24"/>
          <w:shd w:val="clear" w:color="auto" w:fill="FFFFFF"/>
        </w:rPr>
      </w:pPr>
      <w:r w:rsidRPr="00B70ABC">
        <w:rPr>
          <w:rFonts w:asciiTheme="majorBidi" w:hAnsiTheme="majorBidi" w:cstheme="majorBidi"/>
        </w:rPr>
        <w:t xml:space="preserve">Piespiedu līdzekļa – </w:t>
      </w:r>
      <w:r w:rsidRPr="00B70ABC">
        <w:rPr>
          <w:rFonts w:asciiTheme="majorBidi" w:hAnsiTheme="majorBidi" w:cstheme="majorBidi"/>
          <w:szCs w:val="24"/>
        </w:rPr>
        <w:t xml:space="preserve">ievietošanas </w:t>
      </w:r>
      <w:r w:rsidRPr="00B70ABC">
        <w:rPr>
          <w:rFonts w:asciiTheme="majorBidi" w:hAnsiTheme="majorBidi" w:cstheme="majorBidi"/>
          <w:szCs w:val="24"/>
          <w:shd w:val="clear" w:color="auto" w:fill="FFFFFF"/>
        </w:rPr>
        <w:t>ārstniecības iestādē ekspertīzes izdarīšanai</w:t>
      </w:r>
      <w:r w:rsidRPr="00B70ABC">
        <w:rPr>
          <w:rFonts w:asciiTheme="majorBidi" w:hAnsiTheme="majorBidi" w:cstheme="majorBidi"/>
        </w:rPr>
        <w:t xml:space="preserve"> – piemērošanas pamats noteikts Kriminālprocesa likuma </w:t>
      </w:r>
      <w:proofErr w:type="gramStart"/>
      <w:r w:rsidRPr="00B70ABC">
        <w:rPr>
          <w:rFonts w:asciiTheme="majorBidi" w:hAnsiTheme="majorBidi" w:cstheme="majorBidi"/>
          <w:szCs w:val="24"/>
        </w:rPr>
        <w:t>283.</w:t>
      </w:r>
      <w:r w:rsidRPr="00B70ABC">
        <w:rPr>
          <w:rFonts w:asciiTheme="majorBidi" w:hAnsiTheme="majorBidi" w:cstheme="majorBidi"/>
        </w:rPr>
        <w:t>pantā</w:t>
      </w:r>
      <w:proofErr w:type="gramEnd"/>
      <w:r w:rsidRPr="00B70ABC">
        <w:rPr>
          <w:rFonts w:asciiTheme="majorBidi" w:hAnsiTheme="majorBidi" w:cstheme="majorBidi"/>
        </w:rPr>
        <w:t xml:space="preserve">. Atbilstoši minētā panta pirmajai daļai apsūdzēto </w:t>
      </w:r>
      <w:r w:rsidRPr="00B70ABC">
        <w:rPr>
          <w:rFonts w:asciiTheme="majorBidi" w:hAnsiTheme="majorBidi" w:cstheme="majorBidi"/>
          <w:szCs w:val="24"/>
          <w:shd w:val="clear" w:color="auto" w:fill="FFFFFF"/>
        </w:rPr>
        <w:t>piespiedu kārtā ievietot ārstniecības iestādē ekspertīzes izdarīšanai</w:t>
      </w:r>
      <w:r w:rsidRPr="00B70ABC">
        <w:rPr>
          <w:rFonts w:asciiTheme="majorBidi" w:hAnsiTheme="majorBidi" w:cstheme="majorBidi"/>
        </w:rPr>
        <w:t xml:space="preserve"> var tikai tad, ja </w:t>
      </w:r>
      <w:r w:rsidRPr="00B70ABC">
        <w:rPr>
          <w:rFonts w:asciiTheme="majorBidi" w:hAnsiTheme="majorBidi" w:cstheme="majorBidi"/>
          <w:szCs w:val="24"/>
          <w:shd w:val="clear" w:color="auto" w:fill="FFFFFF"/>
        </w:rPr>
        <w:t>lietai nozīmīgu jautājumu atrisināšanai tiesmedicīniskajā vai tiesu psihiatriskajā ekspertīzē nepieciešamie pētījumi izdarāmi tikai ārstnieciskā stacionāra apstākļos.</w:t>
      </w:r>
    </w:p>
    <w:p w14:paraId="3803D4E9" w14:textId="4B9E9A70" w:rsidR="00B70ABC" w:rsidRDefault="00B70ABC" w:rsidP="007B12C7">
      <w:pPr>
        <w:spacing w:after="0" w:line="276" w:lineRule="auto"/>
        <w:ind w:firstLine="709"/>
        <w:jc w:val="both"/>
        <w:rPr>
          <w:rFonts w:asciiTheme="majorBidi" w:hAnsiTheme="majorBidi" w:cstheme="majorBidi"/>
          <w:szCs w:val="24"/>
          <w:shd w:val="clear" w:color="auto" w:fill="FFFFFF"/>
        </w:rPr>
      </w:pPr>
      <w:r w:rsidRPr="00B70ABC">
        <w:rPr>
          <w:rFonts w:asciiTheme="majorBidi" w:hAnsiTheme="majorBidi" w:cstheme="majorBidi"/>
          <w:szCs w:val="24"/>
          <w:shd w:val="clear" w:color="auto" w:fill="FFFFFF"/>
        </w:rPr>
        <w:t xml:space="preserve">Senatore norāda, ka </w:t>
      </w:r>
      <w:r w:rsidRPr="00B70ABC">
        <w:rPr>
          <w:rFonts w:asciiTheme="majorBidi" w:hAnsiTheme="majorBidi" w:cstheme="majorBidi"/>
        </w:rPr>
        <w:t xml:space="preserve">Kriminālprocesa likuma </w:t>
      </w:r>
      <w:proofErr w:type="gramStart"/>
      <w:r w:rsidRPr="00B70ABC">
        <w:rPr>
          <w:rFonts w:asciiTheme="majorBidi" w:hAnsiTheme="majorBidi" w:cstheme="majorBidi"/>
          <w:szCs w:val="24"/>
        </w:rPr>
        <w:t>283.</w:t>
      </w:r>
      <w:r w:rsidRPr="00B70ABC">
        <w:rPr>
          <w:rFonts w:asciiTheme="majorBidi" w:hAnsiTheme="majorBidi" w:cstheme="majorBidi"/>
        </w:rPr>
        <w:t>panta</w:t>
      </w:r>
      <w:proofErr w:type="gramEnd"/>
      <w:r w:rsidRPr="00B70ABC">
        <w:rPr>
          <w:rFonts w:asciiTheme="majorBidi" w:hAnsiTheme="majorBidi" w:cstheme="majorBidi"/>
        </w:rPr>
        <w:t xml:space="preserve"> pirmā daļa paredz divus nosacījumus, lai personu </w:t>
      </w:r>
      <w:r w:rsidRPr="00B70ABC">
        <w:rPr>
          <w:rFonts w:asciiTheme="majorBidi" w:hAnsiTheme="majorBidi" w:cstheme="majorBidi"/>
          <w:szCs w:val="24"/>
          <w:shd w:val="clear" w:color="auto" w:fill="FFFFFF"/>
        </w:rPr>
        <w:t>piespiedu kārtā</w:t>
      </w:r>
      <w:r w:rsidRPr="00B70ABC">
        <w:rPr>
          <w:rFonts w:asciiTheme="majorBidi" w:hAnsiTheme="majorBidi" w:cstheme="majorBidi"/>
        </w:rPr>
        <w:t xml:space="preserve"> varētu</w:t>
      </w:r>
      <w:r w:rsidRPr="00B70ABC">
        <w:rPr>
          <w:rFonts w:asciiTheme="majorBidi" w:hAnsiTheme="majorBidi" w:cstheme="majorBidi"/>
          <w:szCs w:val="24"/>
          <w:shd w:val="clear" w:color="auto" w:fill="FFFFFF"/>
        </w:rPr>
        <w:t xml:space="preserve"> ievietot ārstniecības iestādē. Pirmkārt, tā ir nepieciešamība izdarīt tiesmedicīnisko vai tiesu psihiatrisko ekspertīzi. Otrkārt,</w:t>
      </w:r>
      <w:r w:rsidR="00F83931">
        <w:rPr>
          <w:rFonts w:asciiTheme="majorBidi" w:hAnsiTheme="majorBidi" w:cstheme="majorBidi"/>
          <w:szCs w:val="24"/>
          <w:shd w:val="clear" w:color="auto" w:fill="FFFFFF"/>
        </w:rPr>
        <w:t xml:space="preserve"> </w:t>
      </w:r>
      <w:r w:rsidRPr="00B70ABC">
        <w:rPr>
          <w:rFonts w:asciiTheme="majorBidi" w:hAnsiTheme="majorBidi" w:cstheme="majorBidi"/>
          <w:szCs w:val="24"/>
          <w:shd w:val="clear" w:color="auto" w:fill="FFFFFF"/>
        </w:rPr>
        <w:t>attiecīgo pētījumu veikšana iespējama tikai ārstnieciskā stacionāra apstākļos.</w:t>
      </w:r>
    </w:p>
    <w:p w14:paraId="307020F7" w14:textId="77777777" w:rsidR="007B12C7" w:rsidRPr="00B70ABC" w:rsidRDefault="007B12C7" w:rsidP="007B12C7">
      <w:pPr>
        <w:spacing w:after="0" w:line="276" w:lineRule="auto"/>
        <w:ind w:firstLine="709"/>
        <w:jc w:val="both"/>
        <w:rPr>
          <w:rFonts w:asciiTheme="majorBidi" w:hAnsiTheme="majorBidi" w:cstheme="majorBidi"/>
          <w:szCs w:val="24"/>
          <w:shd w:val="clear" w:color="auto" w:fill="FFFFFF"/>
        </w:rPr>
      </w:pPr>
    </w:p>
    <w:p w14:paraId="060BAE1D" w14:textId="7D953188" w:rsidR="00B70ABC" w:rsidRPr="00B70ABC" w:rsidRDefault="00B70ABC" w:rsidP="00B70ABC">
      <w:pPr>
        <w:spacing w:after="0" w:line="276" w:lineRule="auto"/>
        <w:ind w:firstLine="709"/>
        <w:jc w:val="both"/>
        <w:rPr>
          <w:rFonts w:asciiTheme="majorBidi" w:hAnsiTheme="majorBidi" w:cstheme="majorBidi"/>
        </w:rPr>
      </w:pPr>
      <w:r w:rsidRPr="00B70ABC">
        <w:rPr>
          <w:rFonts w:asciiTheme="majorBidi" w:hAnsiTheme="majorBidi" w:cstheme="majorBidi"/>
        </w:rPr>
        <w:t>[</w:t>
      </w:r>
      <w:r w:rsidR="0051384D">
        <w:rPr>
          <w:rFonts w:asciiTheme="majorBidi" w:hAnsiTheme="majorBidi" w:cstheme="majorBidi"/>
        </w:rPr>
        <w:t>14</w:t>
      </w:r>
      <w:r w:rsidRPr="00B70ABC">
        <w:rPr>
          <w:rFonts w:asciiTheme="majorBidi" w:hAnsiTheme="majorBidi" w:cstheme="majorBidi"/>
        </w:rPr>
        <w:t xml:space="preserve">] </w:t>
      </w:r>
      <w:r w:rsidRPr="00B70ABC">
        <w:rPr>
          <w:rFonts w:asciiTheme="majorBidi" w:eastAsia="Times New Roman" w:hAnsiTheme="majorBidi" w:cstheme="majorBidi"/>
          <w:szCs w:val="24"/>
        </w:rPr>
        <w:t xml:space="preserve">No </w:t>
      </w:r>
      <w:r w:rsidR="00186F9A">
        <w:rPr>
          <w:rFonts w:asciiTheme="majorBidi" w:hAnsiTheme="majorBidi" w:cstheme="majorBidi"/>
          <w:szCs w:val="24"/>
        </w:rPr>
        <w:t>[..]</w:t>
      </w:r>
      <w:r w:rsidRPr="00B70ABC">
        <w:rPr>
          <w:rFonts w:asciiTheme="majorBidi" w:hAnsiTheme="majorBidi" w:cstheme="majorBidi"/>
          <w:szCs w:val="24"/>
        </w:rPr>
        <w:t xml:space="preserve"> apgabaltiesas </w:t>
      </w:r>
      <w:proofErr w:type="gramStart"/>
      <w:r w:rsidRPr="00B70ABC">
        <w:rPr>
          <w:rFonts w:asciiTheme="majorBidi" w:hAnsiTheme="majorBidi" w:cstheme="majorBidi"/>
          <w:szCs w:val="24"/>
        </w:rPr>
        <w:t>2021.gada</w:t>
      </w:r>
      <w:proofErr w:type="gramEnd"/>
      <w:r w:rsidRPr="00B70ABC">
        <w:rPr>
          <w:rFonts w:asciiTheme="majorBidi" w:hAnsiTheme="majorBidi" w:cstheme="majorBidi"/>
          <w:szCs w:val="24"/>
        </w:rPr>
        <w:t xml:space="preserve"> </w:t>
      </w:r>
      <w:r w:rsidR="00186F9A">
        <w:rPr>
          <w:rFonts w:asciiTheme="majorBidi" w:hAnsiTheme="majorBidi" w:cstheme="majorBidi"/>
          <w:szCs w:val="24"/>
        </w:rPr>
        <w:t>[..]</w:t>
      </w:r>
      <w:r w:rsidRPr="00B70ABC">
        <w:rPr>
          <w:rFonts w:asciiTheme="majorBidi" w:hAnsiTheme="majorBidi" w:cstheme="majorBidi"/>
          <w:szCs w:val="24"/>
        </w:rPr>
        <w:t xml:space="preserve"> </w:t>
      </w:r>
      <w:r w:rsidRPr="00B70ABC">
        <w:rPr>
          <w:rFonts w:asciiTheme="majorBidi" w:eastAsia="Times New Roman" w:hAnsiTheme="majorBidi" w:cstheme="majorBidi"/>
          <w:szCs w:val="24"/>
        </w:rPr>
        <w:t>lēmuma konstatējams, ka tiesa piespiedu līdzekļa –</w:t>
      </w:r>
      <w:r w:rsidRPr="00B70ABC">
        <w:rPr>
          <w:rFonts w:asciiTheme="majorBidi" w:hAnsiTheme="majorBidi" w:cstheme="majorBidi"/>
        </w:rPr>
        <w:t xml:space="preserve"> </w:t>
      </w:r>
      <w:r w:rsidRPr="00B70ABC">
        <w:rPr>
          <w:rFonts w:asciiTheme="majorBidi" w:hAnsiTheme="majorBidi" w:cstheme="majorBidi"/>
          <w:szCs w:val="24"/>
        </w:rPr>
        <w:t xml:space="preserve">ievietošana </w:t>
      </w:r>
      <w:r w:rsidRPr="00B70ABC">
        <w:rPr>
          <w:rFonts w:asciiTheme="majorBidi" w:hAnsiTheme="majorBidi" w:cstheme="majorBidi"/>
          <w:szCs w:val="24"/>
          <w:shd w:val="clear" w:color="auto" w:fill="FFFFFF"/>
        </w:rPr>
        <w:t>ārstniecības iestādē ekspertīzes izdarīšanai</w:t>
      </w:r>
      <w:r w:rsidRPr="00B70ABC">
        <w:rPr>
          <w:rFonts w:asciiTheme="majorBidi" w:eastAsia="Times New Roman" w:hAnsiTheme="majorBidi" w:cstheme="majorBidi"/>
          <w:szCs w:val="24"/>
        </w:rPr>
        <w:t xml:space="preserve"> – piemērošanu  apsūdzētajam </w:t>
      </w:r>
      <w:r w:rsidR="00186F9A">
        <w:rPr>
          <w:rFonts w:asciiTheme="majorBidi" w:hAnsiTheme="majorBidi" w:cstheme="majorBidi"/>
          <w:szCs w:val="24"/>
        </w:rPr>
        <w:t>[pers. A]</w:t>
      </w:r>
      <w:r w:rsidRPr="00B70ABC">
        <w:rPr>
          <w:rFonts w:asciiTheme="majorBidi" w:hAnsiTheme="majorBidi" w:cstheme="majorBidi"/>
          <w:szCs w:val="24"/>
        </w:rPr>
        <w:t xml:space="preserve"> </w:t>
      </w:r>
      <w:r w:rsidRPr="00B70ABC">
        <w:rPr>
          <w:rFonts w:asciiTheme="majorBidi" w:eastAsia="Times New Roman" w:hAnsiTheme="majorBidi" w:cstheme="majorBidi"/>
          <w:szCs w:val="24"/>
        </w:rPr>
        <w:t xml:space="preserve">motivējusi tikai ar </w:t>
      </w:r>
      <w:r w:rsidRPr="00B70ABC">
        <w:rPr>
          <w:rFonts w:asciiTheme="majorBidi" w:hAnsiTheme="majorBidi" w:cstheme="majorBidi"/>
          <w:szCs w:val="24"/>
          <w:shd w:val="clear" w:color="auto" w:fill="FFFFFF"/>
        </w:rPr>
        <w:t>nepieciešamību izdarīt papildu komisijas stacionāro komplekso tiesmedicīnisko, tiesu psiholoģisko un tiesu psihiatrisko ekspertīzi</w:t>
      </w:r>
      <w:r w:rsidRPr="00B70ABC">
        <w:rPr>
          <w:rFonts w:asciiTheme="majorBidi" w:eastAsia="Times New Roman" w:hAnsiTheme="majorBidi" w:cstheme="majorBidi"/>
          <w:szCs w:val="24"/>
        </w:rPr>
        <w:t xml:space="preserve">. </w:t>
      </w:r>
    </w:p>
    <w:p w14:paraId="09233C3F" w14:textId="0A71E36A" w:rsidR="00B70ABC" w:rsidRPr="00B70ABC" w:rsidRDefault="00B70ABC" w:rsidP="00B70ABC">
      <w:pPr>
        <w:spacing w:after="0" w:line="276" w:lineRule="auto"/>
        <w:ind w:firstLine="709"/>
        <w:jc w:val="both"/>
        <w:rPr>
          <w:rFonts w:asciiTheme="majorBidi" w:hAnsiTheme="majorBidi" w:cstheme="majorBidi"/>
          <w:szCs w:val="24"/>
        </w:rPr>
      </w:pPr>
      <w:r w:rsidRPr="00B70ABC">
        <w:rPr>
          <w:rFonts w:asciiTheme="majorBidi" w:hAnsiTheme="majorBidi" w:cstheme="majorBidi"/>
          <w:szCs w:val="24"/>
        </w:rPr>
        <w:t xml:space="preserve">Taču </w:t>
      </w:r>
      <w:r w:rsidR="00186F9A">
        <w:rPr>
          <w:rFonts w:asciiTheme="majorBidi" w:hAnsiTheme="majorBidi" w:cstheme="majorBidi"/>
          <w:szCs w:val="24"/>
        </w:rPr>
        <w:t>[..]</w:t>
      </w:r>
      <w:r w:rsidRPr="00B70ABC">
        <w:rPr>
          <w:rFonts w:asciiTheme="majorBidi" w:hAnsiTheme="majorBidi" w:cstheme="majorBidi"/>
          <w:szCs w:val="24"/>
        </w:rPr>
        <w:t xml:space="preserve"> apgabaltiesas </w:t>
      </w:r>
      <w:proofErr w:type="gramStart"/>
      <w:r w:rsidRPr="00B70ABC">
        <w:rPr>
          <w:rFonts w:asciiTheme="majorBidi" w:hAnsiTheme="majorBidi" w:cstheme="majorBidi"/>
          <w:szCs w:val="24"/>
        </w:rPr>
        <w:t>2021.gada</w:t>
      </w:r>
      <w:proofErr w:type="gramEnd"/>
      <w:r w:rsidRPr="00B70ABC">
        <w:rPr>
          <w:rFonts w:asciiTheme="majorBidi" w:hAnsiTheme="majorBidi" w:cstheme="majorBidi"/>
          <w:szCs w:val="24"/>
        </w:rPr>
        <w:t xml:space="preserve"> </w:t>
      </w:r>
      <w:r w:rsidR="00186F9A">
        <w:rPr>
          <w:rFonts w:asciiTheme="majorBidi" w:hAnsiTheme="majorBidi" w:cstheme="majorBidi"/>
          <w:szCs w:val="24"/>
        </w:rPr>
        <w:t>[..]</w:t>
      </w:r>
      <w:r w:rsidRPr="00B70ABC">
        <w:rPr>
          <w:rFonts w:asciiTheme="majorBidi" w:hAnsiTheme="majorBidi" w:cstheme="majorBidi"/>
          <w:szCs w:val="24"/>
        </w:rPr>
        <w:t xml:space="preserve"> </w:t>
      </w:r>
      <w:r w:rsidRPr="00B70ABC">
        <w:rPr>
          <w:rFonts w:asciiTheme="majorBidi" w:eastAsia="Times New Roman" w:hAnsiTheme="majorBidi" w:cstheme="majorBidi"/>
          <w:szCs w:val="24"/>
        </w:rPr>
        <w:t xml:space="preserve">lēmumā nav norādīts pamatojums, kādēļ </w:t>
      </w:r>
      <w:r w:rsidRPr="00B70ABC">
        <w:rPr>
          <w:rFonts w:asciiTheme="majorBidi" w:hAnsiTheme="majorBidi" w:cstheme="majorBidi"/>
          <w:szCs w:val="24"/>
          <w:shd w:val="clear" w:color="auto" w:fill="FFFFFF"/>
        </w:rPr>
        <w:t>attiecīgo pētījumu veikšana iespējama tikai ārstnieciskā stacionāra apstākļos.</w:t>
      </w:r>
      <w:r w:rsidRPr="00B70ABC">
        <w:rPr>
          <w:rFonts w:asciiTheme="majorBidi" w:hAnsiTheme="majorBidi" w:cstheme="majorBidi"/>
          <w:szCs w:val="24"/>
        </w:rPr>
        <w:t xml:space="preserve"> </w:t>
      </w:r>
    </w:p>
    <w:p w14:paraId="27CAE8B9" w14:textId="737FC253" w:rsidR="00B70ABC" w:rsidRPr="00B70ABC" w:rsidRDefault="00B70ABC" w:rsidP="00B70ABC">
      <w:pPr>
        <w:spacing w:after="0" w:line="276" w:lineRule="auto"/>
        <w:ind w:firstLine="709"/>
        <w:jc w:val="both"/>
        <w:rPr>
          <w:rFonts w:asciiTheme="majorBidi" w:hAnsiTheme="majorBidi" w:cstheme="majorBidi"/>
        </w:rPr>
      </w:pPr>
      <w:r w:rsidRPr="00B70ABC">
        <w:rPr>
          <w:rFonts w:asciiTheme="majorBidi" w:hAnsiTheme="majorBidi" w:cstheme="majorBidi"/>
        </w:rPr>
        <w:t xml:space="preserve">Senatore atzīst, ka procesuālo piespiedu līdzekļu piemērošana ir saistīta ar noteiktu tiesisko priekšrakstu ievērošanu, kurus </w:t>
      </w:r>
      <w:r w:rsidR="00CF1506">
        <w:rPr>
          <w:rFonts w:asciiTheme="majorBidi" w:eastAsia="Times New Roman" w:hAnsiTheme="majorBidi" w:cstheme="majorBidi"/>
          <w:szCs w:val="24"/>
        </w:rPr>
        <w:t>[..]</w:t>
      </w:r>
      <w:r w:rsidRPr="00B70ABC">
        <w:rPr>
          <w:rFonts w:asciiTheme="majorBidi" w:eastAsia="Times New Roman" w:hAnsiTheme="majorBidi" w:cstheme="majorBidi"/>
          <w:szCs w:val="24"/>
        </w:rPr>
        <w:t xml:space="preserve"> apgabaltiesa </w:t>
      </w:r>
      <w:r w:rsidRPr="00B70ABC">
        <w:rPr>
          <w:rFonts w:asciiTheme="majorBidi" w:hAnsiTheme="majorBidi" w:cstheme="majorBidi"/>
        </w:rPr>
        <w:t xml:space="preserve">nav ievērojusi. Tiesa nav norādījusi apstākļus, kas atbilstoši Eiropas Cilvēktiesību un pamatbrīvību aizsardzības konvencijas un Kriminālprocesa likuma prasībām varētu būt pietiekams pamats tam, lai apsūdzētajam </w:t>
      </w:r>
      <w:r w:rsidR="00186F9A">
        <w:rPr>
          <w:rFonts w:asciiTheme="majorBidi" w:hAnsiTheme="majorBidi" w:cstheme="majorBidi"/>
          <w:szCs w:val="24"/>
        </w:rPr>
        <w:t>[pers. </w:t>
      </w:r>
      <w:r w:rsidR="00186F9A">
        <w:t>A]</w:t>
      </w:r>
      <w:r w:rsidRPr="00B70ABC">
        <w:rPr>
          <w:rFonts w:asciiTheme="majorBidi" w:hAnsiTheme="majorBidi" w:cstheme="majorBidi"/>
          <w:szCs w:val="24"/>
        </w:rPr>
        <w:t xml:space="preserve"> </w:t>
      </w:r>
      <w:r w:rsidRPr="00B70ABC">
        <w:rPr>
          <w:rFonts w:asciiTheme="majorBidi" w:eastAsia="Times New Roman" w:hAnsiTheme="majorBidi" w:cstheme="majorBidi"/>
          <w:szCs w:val="24"/>
        </w:rPr>
        <w:t xml:space="preserve">piemērotu ar </w:t>
      </w:r>
      <w:r w:rsidRPr="00B70ABC">
        <w:rPr>
          <w:rFonts w:asciiTheme="majorBidi" w:hAnsiTheme="majorBidi" w:cstheme="majorBidi"/>
          <w:szCs w:val="24"/>
          <w:shd w:val="clear" w:color="auto" w:fill="FFFFFF"/>
        </w:rPr>
        <w:t xml:space="preserve">brīvības atņemšanu saistītu piespiedu </w:t>
      </w:r>
      <w:r w:rsidRPr="00B70ABC">
        <w:rPr>
          <w:rFonts w:asciiTheme="majorBidi" w:hAnsiTheme="majorBidi" w:cstheme="majorBidi"/>
        </w:rPr>
        <w:t xml:space="preserve">līdzekli – </w:t>
      </w:r>
      <w:r w:rsidRPr="00B70ABC">
        <w:rPr>
          <w:rFonts w:asciiTheme="majorBidi" w:hAnsiTheme="majorBidi" w:cstheme="majorBidi"/>
          <w:szCs w:val="24"/>
        </w:rPr>
        <w:t xml:space="preserve">ievietošanu </w:t>
      </w:r>
      <w:r w:rsidRPr="00B70ABC">
        <w:rPr>
          <w:rFonts w:asciiTheme="majorBidi" w:hAnsiTheme="majorBidi" w:cstheme="majorBidi"/>
          <w:szCs w:val="24"/>
          <w:shd w:val="clear" w:color="auto" w:fill="FFFFFF"/>
        </w:rPr>
        <w:t>ārstniecības iestādē ekspertīzes izdarīšanai</w:t>
      </w:r>
      <w:r w:rsidRPr="00B70ABC">
        <w:rPr>
          <w:rFonts w:asciiTheme="majorBidi" w:hAnsiTheme="majorBidi" w:cstheme="majorBidi"/>
        </w:rPr>
        <w:t xml:space="preserve">. </w:t>
      </w:r>
    </w:p>
    <w:p w14:paraId="2E4EBEA6" w14:textId="77777777" w:rsidR="00B70ABC" w:rsidRPr="00B70ABC" w:rsidRDefault="00B70ABC" w:rsidP="00B70ABC">
      <w:pPr>
        <w:spacing w:after="0" w:line="276" w:lineRule="auto"/>
        <w:ind w:firstLine="709"/>
        <w:jc w:val="both"/>
        <w:rPr>
          <w:rFonts w:asciiTheme="majorBidi" w:eastAsia="Times New Roman" w:hAnsiTheme="majorBidi" w:cstheme="majorBidi"/>
          <w:szCs w:val="24"/>
        </w:rPr>
      </w:pPr>
      <w:r w:rsidRPr="00B70ABC">
        <w:rPr>
          <w:rFonts w:asciiTheme="majorBidi" w:hAnsiTheme="majorBidi" w:cstheme="majorBidi"/>
          <w:szCs w:val="24"/>
          <w:shd w:val="clear" w:color="auto" w:fill="FFFFFF"/>
        </w:rPr>
        <w:t xml:space="preserve">Senatore atzīst, ka </w:t>
      </w:r>
      <w:r w:rsidRPr="00B70ABC">
        <w:rPr>
          <w:rFonts w:asciiTheme="majorBidi" w:eastAsia="Times New Roman" w:hAnsiTheme="majorBidi" w:cstheme="majorBidi"/>
          <w:szCs w:val="24"/>
        </w:rPr>
        <w:t>tiesa</w:t>
      </w:r>
      <w:r w:rsidRPr="00B70ABC">
        <w:rPr>
          <w:rFonts w:asciiTheme="majorBidi" w:hAnsiTheme="majorBidi" w:cstheme="majorBidi"/>
          <w:szCs w:val="24"/>
          <w:shd w:val="clear" w:color="auto" w:fill="FFFFFF"/>
        </w:rPr>
        <w:t xml:space="preserve"> t</w:t>
      </w:r>
      <w:r w:rsidRPr="00B70ABC">
        <w:rPr>
          <w:rFonts w:asciiTheme="majorBidi" w:eastAsia="Times New Roman" w:hAnsiTheme="majorBidi" w:cstheme="majorBidi"/>
          <w:szCs w:val="24"/>
        </w:rPr>
        <w:t>ādējādi pieļāvusi</w:t>
      </w:r>
      <w:r w:rsidRPr="00B70ABC">
        <w:rPr>
          <w:rFonts w:asciiTheme="majorBidi" w:hAnsiTheme="majorBidi" w:cstheme="majorBidi"/>
        </w:rPr>
        <w:t xml:space="preserve"> Kriminālprocesa likuma </w:t>
      </w:r>
      <w:proofErr w:type="gramStart"/>
      <w:r w:rsidRPr="00B70ABC">
        <w:rPr>
          <w:rFonts w:asciiTheme="majorBidi" w:hAnsiTheme="majorBidi" w:cstheme="majorBidi"/>
        </w:rPr>
        <w:t>241.panta</w:t>
      </w:r>
      <w:proofErr w:type="gramEnd"/>
      <w:r w:rsidRPr="00B70ABC">
        <w:rPr>
          <w:rFonts w:asciiTheme="majorBidi" w:hAnsiTheme="majorBidi" w:cstheme="majorBidi"/>
        </w:rPr>
        <w:t xml:space="preserve"> pirmās daļas un </w:t>
      </w:r>
      <w:r w:rsidRPr="00B70ABC">
        <w:rPr>
          <w:rFonts w:asciiTheme="majorBidi" w:hAnsiTheme="majorBidi" w:cstheme="majorBidi"/>
          <w:szCs w:val="24"/>
        </w:rPr>
        <w:t>283.</w:t>
      </w:r>
      <w:r w:rsidRPr="00B70ABC">
        <w:rPr>
          <w:rFonts w:asciiTheme="majorBidi" w:hAnsiTheme="majorBidi" w:cstheme="majorBidi"/>
        </w:rPr>
        <w:t xml:space="preserve">panta pirmās daļas </w:t>
      </w:r>
      <w:r w:rsidRPr="00B70ABC">
        <w:rPr>
          <w:rFonts w:asciiTheme="majorBidi" w:eastAsia="Times New Roman" w:hAnsiTheme="majorBidi" w:cstheme="majorBidi"/>
          <w:szCs w:val="24"/>
        </w:rPr>
        <w:t>pārkāpumu.</w:t>
      </w:r>
    </w:p>
    <w:p w14:paraId="512BA0BC" w14:textId="77777777" w:rsidR="00B70ABC" w:rsidRPr="00B70ABC" w:rsidRDefault="00B70ABC" w:rsidP="00B70ABC">
      <w:pPr>
        <w:spacing w:line="276" w:lineRule="auto"/>
        <w:ind w:firstLine="720"/>
        <w:contextualSpacing/>
        <w:jc w:val="both"/>
        <w:rPr>
          <w:rFonts w:asciiTheme="majorBidi" w:eastAsia="Times New Roman" w:hAnsiTheme="majorBidi" w:cstheme="majorBidi"/>
          <w:szCs w:val="24"/>
        </w:rPr>
      </w:pPr>
    </w:p>
    <w:p w14:paraId="11C225FD" w14:textId="77777777" w:rsidR="00B70ABC" w:rsidRPr="00B70ABC" w:rsidRDefault="00B70ABC" w:rsidP="00B70ABC">
      <w:pPr>
        <w:spacing w:after="0" w:line="276" w:lineRule="auto"/>
        <w:jc w:val="center"/>
        <w:rPr>
          <w:rFonts w:asciiTheme="majorBidi" w:eastAsia="Times New Roman" w:hAnsiTheme="majorBidi" w:cstheme="majorBidi"/>
          <w:b/>
          <w:szCs w:val="24"/>
        </w:rPr>
      </w:pPr>
      <w:r w:rsidRPr="00B70ABC">
        <w:rPr>
          <w:rFonts w:asciiTheme="majorBidi" w:eastAsia="Times New Roman" w:hAnsiTheme="majorBidi" w:cstheme="majorBidi"/>
          <w:b/>
          <w:szCs w:val="24"/>
        </w:rPr>
        <w:t>Rezolutīvā daļa</w:t>
      </w:r>
    </w:p>
    <w:p w14:paraId="60381EA5" w14:textId="77777777" w:rsidR="00B70ABC" w:rsidRPr="00B70ABC" w:rsidRDefault="00B70ABC" w:rsidP="00B70ABC">
      <w:pPr>
        <w:spacing w:after="0" w:line="276" w:lineRule="auto"/>
        <w:ind w:firstLine="709"/>
        <w:jc w:val="both"/>
        <w:rPr>
          <w:rFonts w:asciiTheme="majorBidi" w:eastAsia="Times New Roman" w:hAnsiTheme="majorBidi" w:cstheme="majorBidi"/>
          <w:szCs w:val="24"/>
        </w:rPr>
      </w:pPr>
    </w:p>
    <w:p w14:paraId="63FC8192" w14:textId="77777777" w:rsidR="00B70ABC" w:rsidRPr="00B70ABC" w:rsidRDefault="00B70ABC" w:rsidP="00B70ABC">
      <w:pPr>
        <w:tabs>
          <w:tab w:val="left" w:pos="0"/>
          <w:tab w:val="left" w:pos="709"/>
        </w:tabs>
        <w:spacing w:after="0" w:line="276" w:lineRule="auto"/>
        <w:ind w:firstLine="709"/>
        <w:jc w:val="both"/>
        <w:rPr>
          <w:rFonts w:asciiTheme="majorBidi" w:eastAsia="Calibri" w:hAnsiTheme="majorBidi" w:cstheme="majorBidi"/>
          <w:szCs w:val="24"/>
        </w:rPr>
      </w:pPr>
      <w:r w:rsidRPr="00B70ABC">
        <w:rPr>
          <w:rFonts w:asciiTheme="majorBidi" w:eastAsia="Calibri" w:hAnsiTheme="majorBidi" w:cstheme="majorBidi"/>
          <w:szCs w:val="24"/>
        </w:rPr>
        <w:t xml:space="preserve">Pamatojoties uz Kriminālprocesa likuma </w:t>
      </w:r>
      <w:proofErr w:type="gramStart"/>
      <w:r w:rsidRPr="00B70ABC">
        <w:rPr>
          <w:rFonts w:asciiTheme="majorBidi" w:eastAsia="Calibri" w:hAnsiTheme="majorBidi" w:cstheme="majorBidi"/>
          <w:szCs w:val="24"/>
        </w:rPr>
        <w:t>287.panta</w:t>
      </w:r>
      <w:proofErr w:type="gramEnd"/>
      <w:r w:rsidRPr="00B70ABC">
        <w:rPr>
          <w:rFonts w:asciiTheme="majorBidi" w:eastAsia="Calibri" w:hAnsiTheme="majorBidi" w:cstheme="majorBidi"/>
          <w:szCs w:val="24"/>
        </w:rPr>
        <w:t xml:space="preserve"> trešās daļas 2.punktu, senatore</w:t>
      </w:r>
      <w:r w:rsidRPr="00B70ABC">
        <w:rPr>
          <w:rFonts w:asciiTheme="majorBidi" w:eastAsia="Calibri" w:hAnsiTheme="majorBidi" w:cstheme="majorBidi"/>
          <w:szCs w:val="24"/>
        </w:rPr>
        <w:tab/>
      </w:r>
    </w:p>
    <w:p w14:paraId="6903B1E0" w14:textId="77777777" w:rsidR="00B70ABC" w:rsidRPr="00B70ABC" w:rsidRDefault="00B70ABC" w:rsidP="00B70ABC">
      <w:pPr>
        <w:tabs>
          <w:tab w:val="left" w:pos="0"/>
          <w:tab w:val="left" w:pos="709"/>
        </w:tabs>
        <w:spacing w:after="0" w:line="276" w:lineRule="auto"/>
        <w:ind w:firstLine="709"/>
        <w:jc w:val="both"/>
        <w:rPr>
          <w:rFonts w:asciiTheme="majorBidi" w:eastAsia="Calibri" w:hAnsiTheme="majorBidi" w:cstheme="majorBidi"/>
          <w:szCs w:val="24"/>
        </w:rPr>
      </w:pPr>
    </w:p>
    <w:p w14:paraId="073B9E1D" w14:textId="1CE55664" w:rsidR="000B521F" w:rsidRDefault="000B521F" w:rsidP="004516F5">
      <w:pPr>
        <w:tabs>
          <w:tab w:val="left" w:pos="0"/>
          <w:tab w:val="left" w:pos="6660"/>
        </w:tabs>
        <w:spacing w:after="0" w:line="276" w:lineRule="auto"/>
        <w:rPr>
          <w:rFonts w:asciiTheme="majorBidi" w:eastAsia="Calibri" w:hAnsiTheme="majorBidi" w:cstheme="majorBidi"/>
          <w:b/>
          <w:szCs w:val="24"/>
        </w:rPr>
      </w:pPr>
    </w:p>
    <w:p w14:paraId="25300063" w14:textId="77777777" w:rsidR="004516F5" w:rsidRDefault="004516F5" w:rsidP="004516F5">
      <w:pPr>
        <w:tabs>
          <w:tab w:val="left" w:pos="0"/>
          <w:tab w:val="left" w:pos="6660"/>
        </w:tabs>
        <w:spacing w:after="0" w:line="276" w:lineRule="auto"/>
        <w:rPr>
          <w:rFonts w:asciiTheme="majorBidi" w:eastAsia="Calibri" w:hAnsiTheme="majorBidi" w:cstheme="majorBidi"/>
          <w:b/>
          <w:szCs w:val="24"/>
        </w:rPr>
      </w:pPr>
    </w:p>
    <w:p w14:paraId="1C421B90" w14:textId="77777777" w:rsidR="000D3B5B" w:rsidRDefault="000D3B5B" w:rsidP="004516F5">
      <w:pPr>
        <w:tabs>
          <w:tab w:val="left" w:pos="0"/>
          <w:tab w:val="left" w:pos="6660"/>
        </w:tabs>
        <w:spacing w:after="0" w:line="276" w:lineRule="auto"/>
        <w:rPr>
          <w:rFonts w:asciiTheme="majorBidi" w:eastAsia="Calibri" w:hAnsiTheme="majorBidi" w:cstheme="majorBidi"/>
          <w:b/>
          <w:szCs w:val="24"/>
        </w:rPr>
      </w:pPr>
    </w:p>
    <w:p w14:paraId="4DCBD789" w14:textId="6FC2B90D" w:rsidR="00B70ABC" w:rsidRPr="00B70ABC" w:rsidRDefault="00B70ABC" w:rsidP="00B70ABC">
      <w:pPr>
        <w:tabs>
          <w:tab w:val="left" w:pos="0"/>
          <w:tab w:val="left" w:pos="6660"/>
        </w:tabs>
        <w:spacing w:after="0" w:line="276" w:lineRule="auto"/>
        <w:jc w:val="center"/>
        <w:rPr>
          <w:rFonts w:asciiTheme="majorBidi" w:eastAsia="Calibri" w:hAnsiTheme="majorBidi" w:cstheme="majorBidi"/>
          <w:b/>
          <w:szCs w:val="24"/>
        </w:rPr>
      </w:pPr>
      <w:r w:rsidRPr="00B70ABC">
        <w:rPr>
          <w:rFonts w:asciiTheme="majorBidi" w:eastAsia="Calibri" w:hAnsiTheme="majorBidi" w:cstheme="majorBidi"/>
          <w:b/>
          <w:szCs w:val="24"/>
        </w:rPr>
        <w:t>nolēma:</w:t>
      </w:r>
    </w:p>
    <w:p w14:paraId="20187199" w14:textId="77777777" w:rsidR="00B70ABC" w:rsidRPr="00B70ABC" w:rsidRDefault="00B70ABC" w:rsidP="00B70ABC">
      <w:pPr>
        <w:tabs>
          <w:tab w:val="left" w:pos="0"/>
          <w:tab w:val="left" w:pos="6660"/>
        </w:tabs>
        <w:spacing w:after="0" w:line="276" w:lineRule="auto"/>
        <w:jc w:val="both"/>
        <w:rPr>
          <w:rFonts w:asciiTheme="majorBidi" w:eastAsia="Calibri" w:hAnsiTheme="majorBidi" w:cstheme="majorBidi"/>
          <w:b/>
          <w:szCs w:val="24"/>
        </w:rPr>
      </w:pPr>
    </w:p>
    <w:p w14:paraId="64CAB15A" w14:textId="09EBDF18" w:rsidR="00B70ABC" w:rsidRPr="00B70ABC" w:rsidRDefault="006B3595" w:rsidP="00B70ABC">
      <w:pPr>
        <w:tabs>
          <w:tab w:val="left" w:pos="0"/>
          <w:tab w:val="left" w:pos="6660"/>
        </w:tabs>
        <w:spacing w:after="0" w:line="276" w:lineRule="auto"/>
        <w:ind w:firstLine="709"/>
        <w:jc w:val="both"/>
        <w:rPr>
          <w:rFonts w:asciiTheme="majorBidi" w:eastAsia="Calibri" w:hAnsiTheme="majorBidi" w:cstheme="majorBidi"/>
          <w:szCs w:val="24"/>
        </w:rPr>
      </w:pPr>
      <w:r>
        <w:rPr>
          <w:rFonts w:asciiTheme="majorBidi" w:eastAsia="Times New Roman" w:hAnsiTheme="majorBidi" w:cstheme="majorBidi"/>
          <w:szCs w:val="24"/>
        </w:rPr>
        <w:t xml:space="preserve">apmierināt </w:t>
      </w:r>
      <w:r w:rsidR="00B70ABC" w:rsidRPr="00B70ABC">
        <w:rPr>
          <w:rFonts w:asciiTheme="majorBidi" w:eastAsia="Times New Roman" w:hAnsiTheme="majorBidi" w:cstheme="majorBidi"/>
          <w:szCs w:val="24"/>
        </w:rPr>
        <w:t xml:space="preserve">apsūdzētā </w:t>
      </w:r>
      <w:r w:rsidR="00186F9A">
        <w:rPr>
          <w:rFonts w:asciiTheme="majorBidi" w:hAnsiTheme="majorBidi" w:cstheme="majorBidi"/>
          <w:szCs w:val="24"/>
        </w:rPr>
        <w:t>[pers. A]</w:t>
      </w:r>
      <w:r w:rsidR="00B70ABC" w:rsidRPr="00B70ABC">
        <w:rPr>
          <w:rFonts w:asciiTheme="majorBidi" w:hAnsiTheme="majorBidi" w:cstheme="majorBidi"/>
          <w:szCs w:val="24"/>
        </w:rPr>
        <w:t xml:space="preserve"> aizstāves Ivetas Vietnieces </w:t>
      </w:r>
      <w:r w:rsidR="00B70ABC" w:rsidRPr="00B70ABC">
        <w:rPr>
          <w:rFonts w:asciiTheme="majorBidi" w:eastAsia="Times New Roman" w:hAnsiTheme="majorBidi" w:cstheme="majorBidi"/>
          <w:szCs w:val="24"/>
        </w:rPr>
        <w:t>sūdzību un</w:t>
      </w:r>
      <w:r w:rsidR="00B70ABC" w:rsidRPr="00B70ABC">
        <w:rPr>
          <w:rFonts w:asciiTheme="majorBidi" w:eastAsia="Calibri" w:hAnsiTheme="majorBidi" w:cstheme="majorBidi"/>
          <w:color w:val="000000" w:themeColor="text1"/>
          <w:szCs w:val="24"/>
        </w:rPr>
        <w:t xml:space="preserve"> </w:t>
      </w:r>
      <w:r w:rsidR="00186F9A">
        <w:rPr>
          <w:rFonts w:asciiTheme="majorBidi" w:hAnsiTheme="majorBidi" w:cstheme="majorBidi"/>
          <w:szCs w:val="24"/>
        </w:rPr>
        <w:t>[..]</w:t>
      </w:r>
      <w:r w:rsidR="00B70ABC" w:rsidRPr="00B70ABC">
        <w:rPr>
          <w:rFonts w:asciiTheme="majorBidi" w:hAnsiTheme="majorBidi" w:cstheme="majorBidi"/>
          <w:szCs w:val="24"/>
        </w:rPr>
        <w:t xml:space="preserve"> apgabaltiesas </w:t>
      </w:r>
      <w:proofErr w:type="gramStart"/>
      <w:r w:rsidR="00B70ABC" w:rsidRPr="00B70ABC">
        <w:rPr>
          <w:rFonts w:asciiTheme="majorBidi" w:hAnsiTheme="majorBidi" w:cstheme="majorBidi"/>
          <w:szCs w:val="24"/>
        </w:rPr>
        <w:t>2021.gada</w:t>
      </w:r>
      <w:proofErr w:type="gramEnd"/>
      <w:r w:rsidR="00B70ABC" w:rsidRPr="00B70ABC">
        <w:rPr>
          <w:rFonts w:asciiTheme="majorBidi" w:hAnsiTheme="majorBidi" w:cstheme="majorBidi"/>
          <w:szCs w:val="24"/>
        </w:rPr>
        <w:t xml:space="preserve"> </w:t>
      </w:r>
      <w:r w:rsidR="00186F9A">
        <w:rPr>
          <w:rFonts w:asciiTheme="majorBidi" w:hAnsiTheme="majorBidi" w:cstheme="majorBidi"/>
          <w:szCs w:val="24"/>
        </w:rPr>
        <w:t>[..]</w:t>
      </w:r>
      <w:r w:rsidR="00B70ABC" w:rsidRPr="00B70ABC">
        <w:rPr>
          <w:rFonts w:asciiTheme="majorBidi" w:hAnsiTheme="majorBidi" w:cstheme="majorBidi"/>
          <w:szCs w:val="24"/>
        </w:rPr>
        <w:t xml:space="preserve"> </w:t>
      </w:r>
      <w:r w:rsidR="00B70ABC" w:rsidRPr="00B70ABC">
        <w:rPr>
          <w:rFonts w:asciiTheme="majorBidi" w:eastAsia="Calibri" w:hAnsiTheme="majorBidi" w:cstheme="majorBidi"/>
          <w:color w:val="000000" w:themeColor="text1"/>
          <w:szCs w:val="24"/>
        </w:rPr>
        <w:t xml:space="preserve">lēmumu atcelt daļā par </w:t>
      </w:r>
      <w:r w:rsidR="00B70ABC" w:rsidRPr="00B70ABC">
        <w:rPr>
          <w:rFonts w:asciiTheme="majorBidi" w:eastAsia="Times New Roman" w:hAnsiTheme="majorBidi" w:cstheme="majorBidi"/>
          <w:szCs w:val="24"/>
        </w:rPr>
        <w:t xml:space="preserve">apsūdzētā </w:t>
      </w:r>
      <w:r w:rsidR="00896322">
        <w:rPr>
          <w:rFonts w:asciiTheme="majorBidi" w:hAnsiTheme="majorBidi" w:cstheme="majorBidi"/>
          <w:szCs w:val="24"/>
        </w:rPr>
        <w:t>[pers. </w:t>
      </w:r>
      <w:r w:rsidR="00896322">
        <w:t>A]</w:t>
      </w:r>
      <w:r w:rsidR="00B70ABC" w:rsidRPr="00B70ABC">
        <w:rPr>
          <w:rFonts w:asciiTheme="majorBidi" w:hAnsiTheme="majorBidi" w:cstheme="majorBidi"/>
          <w:szCs w:val="24"/>
        </w:rPr>
        <w:t xml:space="preserve"> ievietošanu </w:t>
      </w:r>
      <w:r w:rsidR="00B70ABC" w:rsidRPr="00B70ABC">
        <w:rPr>
          <w:rFonts w:asciiTheme="majorBidi" w:hAnsiTheme="majorBidi" w:cstheme="majorBidi"/>
          <w:szCs w:val="24"/>
          <w:shd w:val="clear" w:color="auto" w:fill="FFFFFF"/>
        </w:rPr>
        <w:t>ārstniecības iestādē ekspertīzes izdarīšanai</w:t>
      </w:r>
      <w:r w:rsidR="00B70ABC" w:rsidRPr="00B70ABC">
        <w:rPr>
          <w:rFonts w:asciiTheme="majorBidi" w:eastAsia="Calibri" w:hAnsiTheme="majorBidi" w:cstheme="majorBidi"/>
          <w:szCs w:val="24"/>
        </w:rPr>
        <w:t>.</w:t>
      </w:r>
    </w:p>
    <w:p w14:paraId="74A31672" w14:textId="234CDA8B" w:rsidR="00E33F3C" w:rsidRDefault="00B70ABC" w:rsidP="006B3595">
      <w:pPr>
        <w:tabs>
          <w:tab w:val="left" w:pos="0"/>
          <w:tab w:val="left" w:pos="6660"/>
        </w:tabs>
        <w:spacing w:after="0" w:line="276" w:lineRule="auto"/>
        <w:ind w:firstLine="709"/>
        <w:jc w:val="both"/>
        <w:rPr>
          <w:rFonts w:asciiTheme="majorBidi" w:eastAsia="Calibri" w:hAnsiTheme="majorBidi" w:cstheme="majorBidi"/>
          <w:szCs w:val="24"/>
        </w:rPr>
      </w:pPr>
      <w:r w:rsidRPr="00B70ABC">
        <w:rPr>
          <w:rFonts w:asciiTheme="majorBidi" w:eastAsia="Calibri" w:hAnsiTheme="majorBidi" w:cstheme="majorBidi"/>
          <w:szCs w:val="24"/>
        </w:rPr>
        <w:t>Lēmums nav pārsūdzams.</w:t>
      </w:r>
    </w:p>
    <w:p w14:paraId="6DBABFD5" w14:textId="77777777" w:rsidR="00E33F3C" w:rsidRDefault="00E33F3C" w:rsidP="00FC1AAD">
      <w:pPr>
        <w:spacing w:line="259" w:lineRule="auto"/>
      </w:pPr>
    </w:p>
    <w:sectPr w:rsidR="00E33F3C"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CCC0" w14:textId="77777777" w:rsidR="003A6FA4" w:rsidRDefault="003A6FA4" w:rsidP="00741C72">
      <w:pPr>
        <w:spacing w:after="0" w:line="240" w:lineRule="auto"/>
      </w:pPr>
      <w:r>
        <w:separator/>
      </w:r>
    </w:p>
  </w:endnote>
  <w:endnote w:type="continuationSeparator" w:id="0">
    <w:p w14:paraId="51ABDBD6" w14:textId="77777777" w:rsidR="003A6FA4" w:rsidRDefault="003A6FA4" w:rsidP="0074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font229">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870859"/>
      <w:docPartObj>
        <w:docPartGallery w:val="Page Numbers (Bottom of Page)"/>
        <w:docPartUnique/>
      </w:docPartObj>
    </w:sdtPr>
    <w:sdtEndPr/>
    <w:sdtContent>
      <w:sdt>
        <w:sdtPr>
          <w:id w:val="1728636285"/>
          <w:docPartObj>
            <w:docPartGallery w:val="Page Numbers (Top of Page)"/>
            <w:docPartUnique/>
          </w:docPartObj>
        </w:sdtPr>
        <w:sdtEndPr/>
        <w:sdtContent>
          <w:p w14:paraId="0C75A679" w14:textId="4D833B85" w:rsidR="001846DC" w:rsidRDefault="001846DC">
            <w:pPr>
              <w:pStyle w:val="Footer"/>
              <w:jc w:val="center"/>
            </w:pPr>
            <w:r w:rsidRPr="00741C72">
              <w:rPr>
                <w:bCs/>
                <w:szCs w:val="24"/>
              </w:rPr>
              <w:fldChar w:fldCharType="begin"/>
            </w:r>
            <w:r w:rsidRPr="00741C72">
              <w:rPr>
                <w:bCs/>
              </w:rPr>
              <w:instrText xml:space="preserve"> PAGE </w:instrText>
            </w:r>
            <w:r w:rsidRPr="00741C72">
              <w:rPr>
                <w:bCs/>
                <w:szCs w:val="24"/>
              </w:rPr>
              <w:fldChar w:fldCharType="separate"/>
            </w:r>
            <w:r w:rsidR="0059085F">
              <w:rPr>
                <w:bCs/>
                <w:noProof/>
              </w:rPr>
              <w:t>4</w:t>
            </w:r>
            <w:r w:rsidRPr="00741C72">
              <w:rPr>
                <w:bCs/>
                <w:szCs w:val="24"/>
              </w:rPr>
              <w:fldChar w:fldCharType="end"/>
            </w:r>
            <w:r w:rsidRPr="00741C72">
              <w:t xml:space="preserve"> no </w:t>
            </w:r>
            <w:r w:rsidR="00C2116B">
              <w:rPr>
                <w:bCs/>
                <w:szCs w:val="24"/>
              </w:rPr>
              <w:t>5</w:t>
            </w:r>
          </w:p>
        </w:sdtContent>
      </w:sdt>
    </w:sdtContent>
  </w:sdt>
  <w:p w14:paraId="18803A37" w14:textId="77777777" w:rsidR="001846DC" w:rsidRDefault="00184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394E" w14:textId="77777777" w:rsidR="003A6FA4" w:rsidRDefault="003A6FA4" w:rsidP="00741C72">
      <w:pPr>
        <w:spacing w:after="0" w:line="240" w:lineRule="auto"/>
      </w:pPr>
      <w:r>
        <w:separator/>
      </w:r>
    </w:p>
  </w:footnote>
  <w:footnote w:type="continuationSeparator" w:id="0">
    <w:p w14:paraId="23F4A7C9" w14:textId="77777777" w:rsidR="003A6FA4" w:rsidRDefault="003A6FA4" w:rsidP="00741C72">
      <w:pPr>
        <w:spacing w:after="0" w:line="240" w:lineRule="auto"/>
      </w:pPr>
      <w:r>
        <w:continuationSeparator/>
      </w:r>
    </w:p>
  </w:footnote>
  <w:footnote w:id="1">
    <w:p w14:paraId="78B97533" w14:textId="77777777" w:rsidR="00ED57A6" w:rsidRPr="00ED57A6" w:rsidRDefault="00ED57A6" w:rsidP="00ED57A6">
      <w:pPr>
        <w:pStyle w:val="FootnoteText"/>
        <w:rPr>
          <w:sz w:val="20"/>
          <w:szCs w:val="20"/>
        </w:rPr>
      </w:pPr>
      <w:r w:rsidRPr="00ED57A6">
        <w:rPr>
          <w:rStyle w:val="FootnoteReference"/>
          <w:sz w:val="20"/>
          <w:szCs w:val="20"/>
        </w:rPr>
        <w:footnoteRef/>
      </w:r>
      <w:r w:rsidRPr="00ED57A6">
        <w:rPr>
          <w:sz w:val="20"/>
          <w:szCs w:val="20"/>
        </w:rPr>
        <w:t xml:space="preserve"> </w:t>
      </w:r>
      <w:bookmarkStart w:id="1" w:name="_Hlk67044535"/>
      <w:r w:rsidRPr="00ED57A6">
        <w:rPr>
          <w:sz w:val="20"/>
          <w:szCs w:val="20"/>
        </w:rPr>
        <w:t>Slēgtas lietas statuss. Publicēti izvilkumi no nolēmuma.</w:t>
      </w:r>
      <w:bookmarkEnd w:id="1"/>
    </w:p>
    <w:p w14:paraId="11BD4716" w14:textId="7DD22F18" w:rsidR="00ED57A6" w:rsidRDefault="00ED57A6">
      <w:pPr>
        <w:pStyle w:val="FootnoteText"/>
      </w:pPr>
    </w:p>
  </w:footnote>
  <w:footnote w:id="2">
    <w:p w14:paraId="51AA0EBC" w14:textId="6E1C0232" w:rsidR="000B756B" w:rsidRPr="000B756B" w:rsidRDefault="000B756B">
      <w:pPr>
        <w:pStyle w:val="FootnoteText"/>
        <w:rPr>
          <w:sz w:val="20"/>
          <w:szCs w:val="20"/>
        </w:rPr>
      </w:pPr>
      <w:r w:rsidRPr="000B756B">
        <w:rPr>
          <w:rStyle w:val="FootnoteReference"/>
          <w:sz w:val="20"/>
          <w:szCs w:val="20"/>
        </w:rPr>
        <w:footnoteRef/>
      </w:r>
      <w:r w:rsidRPr="000B756B">
        <w:rPr>
          <w:sz w:val="20"/>
          <w:szCs w:val="20"/>
        </w:rPr>
        <w:t xml:space="preserve"> Lēmums publicēts Augstākās tiesas Judikatūras nolēmumu arhīvā kā lēmums lietā Nr. </w:t>
      </w:r>
      <w:hyperlink r:id="rId1" w:history="1">
        <w:r w:rsidRPr="00723E4B">
          <w:rPr>
            <w:rStyle w:val="Hyperlink"/>
            <w:sz w:val="20"/>
            <w:szCs w:val="20"/>
          </w:rPr>
          <w:t>SKK-[I]/2021</w:t>
        </w:r>
      </w:hyperlink>
      <w:r w:rsidRPr="000B756B">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410A9"/>
    <w:multiLevelType w:val="hybridMultilevel"/>
    <w:tmpl w:val="1FB007D2"/>
    <w:lvl w:ilvl="0" w:tplc="4F3AB62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11070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0C"/>
    <w:rsid w:val="00005444"/>
    <w:rsid w:val="00013877"/>
    <w:rsid w:val="00017544"/>
    <w:rsid w:val="00057A46"/>
    <w:rsid w:val="00071AA3"/>
    <w:rsid w:val="00083751"/>
    <w:rsid w:val="00091DF8"/>
    <w:rsid w:val="000933FF"/>
    <w:rsid w:val="000A0084"/>
    <w:rsid w:val="000B521F"/>
    <w:rsid w:val="000B756B"/>
    <w:rsid w:val="000D3B5B"/>
    <w:rsid w:val="000D48A6"/>
    <w:rsid w:val="000D50AD"/>
    <w:rsid w:val="000D7527"/>
    <w:rsid w:val="000E573C"/>
    <w:rsid w:val="000F6A23"/>
    <w:rsid w:val="001004F0"/>
    <w:rsid w:val="0010413E"/>
    <w:rsid w:val="001044FE"/>
    <w:rsid w:val="00123CEE"/>
    <w:rsid w:val="00141B93"/>
    <w:rsid w:val="00144A40"/>
    <w:rsid w:val="001540AE"/>
    <w:rsid w:val="00166FC6"/>
    <w:rsid w:val="001752CB"/>
    <w:rsid w:val="001846DC"/>
    <w:rsid w:val="00186F9A"/>
    <w:rsid w:val="001924EE"/>
    <w:rsid w:val="00194308"/>
    <w:rsid w:val="001A78E1"/>
    <w:rsid w:val="001B5601"/>
    <w:rsid w:val="001E2327"/>
    <w:rsid w:val="001F25AB"/>
    <w:rsid w:val="00201A21"/>
    <w:rsid w:val="0020486E"/>
    <w:rsid w:val="00207BA9"/>
    <w:rsid w:val="00220E24"/>
    <w:rsid w:val="002217D8"/>
    <w:rsid w:val="00232C3A"/>
    <w:rsid w:val="002379B9"/>
    <w:rsid w:val="00287A1C"/>
    <w:rsid w:val="00291E49"/>
    <w:rsid w:val="002A3B15"/>
    <w:rsid w:val="002C0756"/>
    <w:rsid w:val="002D1086"/>
    <w:rsid w:val="002D3278"/>
    <w:rsid w:val="002E198F"/>
    <w:rsid w:val="002E6B10"/>
    <w:rsid w:val="002E6F10"/>
    <w:rsid w:val="002F1B4F"/>
    <w:rsid w:val="002F63EE"/>
    <w:rsid w:val="002F7BCD"/>
    <w:rsid w:val="00312CCA"/>
    <w:rsid w:val="00316205"/>
    <w:rsid w:val="00331B27"/>
    <w:rsid w:val="00331BDC"/>
    <w:rsid w:val="00332154"/>
    <w:rsid w:val="003355CD"/>
    <w:rsid w:val="00343AE5"/>
    <w:rsid w:val="003547C2"/>
    <w:rsid w:val="00366327"/>
    <w:rsid w:val="0037106A"/>
    <w:rsid w:val="003803C6"/>
    <w:rsid w:val="00385F8D"/>
    <w:rsid w:val="003960BF"/>
    <w:rsid w:val="00397BDF"/>
    <w:rsid w:val="003A6FA4"/>
    <w:rsid w:val="003A7DDB"/>
    <w:rsid w:val="003B0240"/>
    <w:rsid w:val="003B1E91"/>
    <w:rsid w:val="003F08B1"/>
    <w:rsid w:val="00401A4E"/>
    <w:rsid w:val="00415444"/>
    <w:rsid w:val="0043785A"/>
    <w:rsid w:val="00441CE1"/>
    <w:rsid w:val="004466CC"/>
    <w:rsid w:val="004516F5"/>
    <w:rsid w:val="00473C9A"/>
    <w:rsid w:val="00480CAB"/>
    <w:rsid w:val="00495E84"/>
    <w:rsid w:val="004A7F4C"/>
    <w:rsid w:val="004B18EB"/>
    <w:rsid w:val="004D03B6"/>
    <w:rsid w:val="004F5D6C"/>
    <w:rsid w:val="00502ADE"/>
    <w:rsid w:val="00503E13"/>
    <w:rsid w:val="0051384D"/>
    <w:rsid w:val="00525C56"/>
    <w:rsid w:val="00552C4D"/>
    <w:rsid w:val="0055797D"/>
    <w:rsid w:val="0057600D"/>
    <w:rsid w:val="005879A3"/>
    <w:rsid w:val="0059085F"/>
    <w:rsid w:val="00590B15"/>
    <w:rsid w:val="00591995"/>
    <w:rsid w:val="005A726D"/>
    <w:rsid w:val="005B04E8"/>
    <w:rsid w:val="005B4629"/>
    <w:rsid w:val="005B509E"/>
    <w:rsid w:val="005B6911"/>
    <w:rsid w:val="005C63E3"/>
    <w:rsid w:val="005C6584"/>
    <w:rsid w:val="005D7BBC"/>
    <w:rsid w:val="00611042"/>
    <w:rsid w:val="006114F1"/>
    <w:rsid w:val="00613020"/>
    <w:rsid w:val="00621EFC"/>
    <w:rsid w:val="0062424E"/>
    <w:rsid w:val="00653C95"/>
    <w:rsid w:val="0065716C"/>
    <w:rsid w:val="00664299"/>
    <w:rsid w:val="00672FAA"/>
    <w:rsid w:val="006963F8"/>
    <w:rsid w:val="006970AE"/>
    <w:rsid w:val="006A1DE6"/>
    <w:rsid w:val="006B3595"/>
    <w:rsid w:val="006C248D"/>
    <w:rsid w:val="006C6BC3"/>
    <w:rsid w:val="006D4DF5"/>
    <w:rsid w:val="006E2A0A"/>
    <w:rsid w:val="006F28B6"/>
    <w:rsid w:val="006F64B0"/>
    <w:rsid w:val="00704C24"/>
    <w:rsid w:val="00713AFE"/>
    <w:rsid w:val="00716079"/>
    <w:rsid w:val="00717AD7"/>
    <w:rsid w:val="00723E4B"/>
    <w:rsid w:val="00727AF3"/>
    <w:rsid w:val="00741C72"/>
    <w:rsid w:val="00744B49"/>
    <w:rsid w:val="00752454"/>
    <w:rsid w:val="00762725"/>
    <w:rsid w:val="00776F36"/>
    <w:rsid w:val="00793B3A"/>
    <w:rsid w:val="007A2B3B"/>
    <w:rsid w:val="007A5FAD"/>
    <w:rsid w:val="007B12C7"/>
    <w:rsid w:val="007B3077"/>
    <w:rsid w:val="007B4AB5"/>
    <w:rsid w:val="007B5CB8"/>
    <w:rsid w:val="007B62A7"/>
    <w:rsid w:val="007C0C31"/>
    <w:rsid w:val="007C4F33"/>
    <w:rsid w:val="007E02A3"/>
    <w:rsid w:val="007E3681"/>
    <w:rsid w:val="00814606"/>
    <w:rsid w:val="00827205"/>
    <w:rsid w:val="00841C56"/>
    <w:rsid w:val="0084637E"/>
    <w:rsid w:val="00847579"/>
    <w:rsid w:val="00866D6F"/>
    <w:rsid w:val="00896322"/>
    <w:rsid w:val="008A0B48"/>
    <w:rsid w:val="008D578D"/>
    <w:rsid w:val="008E2B41"/>
    <w:rsid w:val="008E324D"/>
    <w:rsid w:val="008F060C"/>
    <w:rsid w:val="008F2F43"/>
    <w:rsid w:val="009131E7"/>
    <w:rsid w:val="00917E74"/>
    <w:rsid w:val="00921CB9"/>
    <w:rsid w:val="0094212B"/>
    <w:rsid w:val="0096093C"/>
    <w:rsid w:val="00963FBC"/>
    <w:rsid w:val="0096485F"/>
    <w:rsid w:val="00972B98"/>
    <w:rsid w:val="009766B5"/>
    <w:rsid w:val="009C21B3"/>
    <w:rsid w:val="00A03186"/>
    <w:rsid w:val="00A06802"/>
    <w:rsid w:val="00A11C64"/>
    <w:rsid w:val="00A20FFD"/>
    <w:rsid w:val="00A2655C"/>
    <w:rsid w:val="00A34035"/>
    <w:rsid w:val="00A71105"/>
    <w:rsid w:val="00A74B7F"/>
    <w:rsid w:val="00AA062C"/>
    <w:rsid w:val="00AB4A59"/>
    <w:rsid w:val="00B067BA"/>
    <w:rsid w:val="00B1120C"/>
    <w:rsid w:val="00B12CDA"/>
    <w:rsid w:val="00B1304A"/>
    <w:rsid w:val="00B17617"/>
    <w:rsid w:val="00B213E0"/>
    <w:rsid w:val="00B22A44"/>
    <w:rsid w:val="00B23F88"/>
    <w:rsid w:val="00B2702A"/>
    <w:rsid w:val="00B45640"/>
    <w:rsid w:val="00B45FAC"/>
    <w:rsid w:val="00B5718F"/>
    <w:rsid w:val="00B6768D"/>
    <w:rsid w:val="00B70ABC"/>
    <w:rsid w:val="00B8004C"/>
    <w:rsid w:val="00B84FFB"/>
    <w:rsid w:val="00B8574F"/>
    <w:rsid w:val="00B95AC1"/>
    <w:rsid w:val="00B9746D"/>
    <w:rsid w:val="00BA0C4B"/>
    <w:rsid w:val="00BA240C"/>
    <w:rsid w:val="00BE0DD2"/>
    <w:rsid w:val="00BF0E17"/>
    <w:rsid w:val="00C0245E"/>
    <w:rsid w:val="00C0741D"/>
    <w:rsid w:val="00C12A59"/>
    <w:rsid w:val="00C15B53"/>
    <w:rsid w:val="00C1695D"/>
    <w:rsid w:val="00C2116B"/>
    <w:rsid w:val="00C24770"/>
    <w:rsid w:val="00C3126F"/>
    <w:rsid w:val="00C5063F"/>
    <w:rsid w:val="00C50680"/>
    <w:rsid w:val="00C66738"/>
    <w:rsid w:val="00C701E5"/>
    <w:rsid w:val="00C778C5"/>
    <w:rsid w:val="00C81427"/>
    <w:rsid w:val="00C932BA"/>
    <w:rsid w:val="00CB1515"/>
    <w:rsid w:val="00CC0EB2"/>
    <w:rsid w:val="00CC4FF2"/>
    <w:rsid w:val="00CC5F56"/>
    <w:rsid w:val="00CD5909"/>
    <w:rsid w:val="00CF1506"/>
    <w:rsid w:val="00CF27BF"/>
    <w:rsid w:val="00CF67BA"/>
    <w:rsid w:val="00D01446"/>
    <w:rsid w:val="00D13BA4"/>
    <w:rsid w:val="00D305CF"/>
    <w:rsid w:val="00D33E6D"/>
    <w:rsid w:val="00D33F2C"/>
    <w:rsid w:val="00D453F5"/>
    <w:rsid w:val="00D53E5B"/>
    <w:rsid w:val="00D65469"/>
    <w:rsid w:val="00D664E3"/>
    <w:rsid w:val="00D67916"/>
    <w:rsid w:val="00D67FCA"/>
    <w:rsid w:val="00D70D23"/>
    <w:rsid w:val="00D738B7"/>
    <w:rsid w:val="00D9115A"/>
    <w:rsid w:val="00D92D84"/>
    <w:rsid w:val="00DA6C58"/>
    <w:rsid w:val="00DB4ECF"/>
    <w:rsid w:val="00DF4643"/>
    <w:rsid w:val="00E079B4"/>
    <w:rsid w:val="00E10DAC"/>
    <w:rsid w:val="00E17C80"/>
    <w:rsid w:val="00E33F3C"/>
    <w:rsid w:val="00E41E3B"/>
    <w:rsid w:val="00E44FCA"/>
    <w:rsid w:val="00E45848"/>
    <w:rsid w:val="00E51BC4"/>
    <w:rsid w:val="00E523DB"/>
    <w:rsid w:val="00E60F52"/>
    <w:rsid w:val="00E72D52"/>
    <w:rsid w:val="00E74447"/>
    <w:rsid w:val="00E817AF"/>
    <w:rsid w:val="00E91B75"/>
    <w:rsid w:val="00E95E15"/>
    <w:rsid w:val="00EA271E"/>
    <w:rsid w:val="00EB213B"/>
    <w:rsid w:val="00EB7186"/>
    <w:rsid w:val="00ED57A6"/>
    <w:rsid w:val="00ED7327"/>
    <w:rsid w:val="00ED73EC"/>
    <w:rsid w:val="00EE6CE2"/>
    <w:rsid w:val="00F02520"/>
    <w:rsid w:val="00F03FE3"/>
    <w:rsid w:val="00F065BB"/>
    <w:rsid w:val="00F11E5F"/>
    <w:rsid w:val="00F142CD"/>
    <w:rsid w:val="00F22421"/>
    <w:rsid w:val="00F26B63"/>
    <w:rsid w:val="00F429B4"/>
    <w:rsid w:val="00F5760A"/>
    <w:rsid w:val="00F57734"/>
    <w:rsid w:val="00F6524C"/>
    <w:rsid w:val="00F703A9"/>
    <w:rsid w:val="00F740B2"/>
    <w:rsid w:val="00F80013"/>
    <w:rsid w:val="00F83931"/>
    <w:rsid w:val="00F92DF6"/>
    <w:rsid w:val="00F94434"/>
    <w:rsid w:val="00FA3B5F"/>
    <w:rsid w:val="00FB0684"/>
    <w:rsid w:val="00FB2EA2"/>
    <w:rsid w:val="00FC14C6"/>
    <w:rsid w:val="00FC1AAD"/>
    <w:rsid w:val="00FC6D24"/>
    <w:rsid w:val="00FE3926"/>
    <w:rsid w:val="00FE44AA"/>
    <w:rsid w:val="00FE66AD"/>
    <w:rsid w:val="00FF0E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2A5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0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60C"/>
    <w:rPr>
      <w:color w:val="0563C1" w:themeColor="hyperlink"/>
      <w:u w:val="single"/>
    </w:rPr>
  </w:style>
  <w:style w:type="paragraph" w:styleId="ListParagraph">
    <w:name w:val="List Paragraph"/>
    <w:basedOn w:val="Normal"/>
    <w:uiPriority w:val="34"/>
    <w:qFormat/>
    <w:rsid w:val="00AA062C"/>
    <w:pPr>
      <w:ind w:left="720"/>
      <w:contextualSpacing/>
    </w:pPr>
  </w:style>
  <w:style w:type="paragraph" w:styleId="Header">
    <w:name w:val="header"/>
    <w:basedOn w:val="Normal"/>
    <w:link w:val="HeaderChar"/>
    <w:uiPriority w:val="99"/>
    <w:unhideWhenUsed/>
    <w:rsid w:val="00741C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1C72"/>
  </w:style>
  <w:style w:type="paragraph" w:styleId="Footer">
    <w:name w:val="footer"/>
    <w:basedOn w:val="Normal"/>
    <w:link w:val="FooterChar"/>
    <w:uiPriority w:val="99"/>
    <w:unhideWhenUsed/>
    <w:rsid w:val="00741C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1C72"/>
  </w:style>
  <w:style w:type="paragraph" w:styleId="BalloonText">
    <w:name w:val="Balloon Text"/>
    <w:basedOn w:val="Normal"/>
    <w:link w:val="BalloonTextChar"/>
    <w:uiPriority w:val="99"/>
    <w:semiHidden/>
    <w:unhideWhenUsed/>
    <w:rsid w:val="00ED7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EC"/>
    <w:rPr>
      <w:rFonts w:ascii="Segoe UI" w:hAnsi="Segoe UI" w:cs="Segoe UI"/>
      <w:sz w:val="18"/>
      <w:szCs w:val="18"/>
    </w:rPr>
  </w:style>
  <w:style w:type="character" w:customStyle="1" w:styleId="FootnoteReference1">
    <w:name w:val="Footnote Reference1"/>
    <w:basedOn w:val="DefaultParagraphFont"/>
    <w:rsid w:val="000D50AD"/>
    <w:rPr>
      <w:vertAlign w:val="superscript"/>
    </w:rPr>
  </w:style>
  <w:style w:type="character" w:customStyle="1" w:styleId="FootnoteCharacters">
    <w:name w:val="Footnote Characters"/>
    <w:rsid w:val="000D50AD"/>
  </w:style>
  <w:style w:type="character" w:styleId="FootnoteReference">
    <w:name w:val="footnote reference"/>
    <w:rsid w:val="000D50AD"/>
    <w:rPr>
      <w:vertAlign w:val="superscript"/>
    </w:rPr>
  </w:style>
  <w:style w:type="paragraph" w:styleId="FootnoteText">
    <w:name w:val="footnote text"/>
    <w:basedOn w:val="Normal"/>
    <w:link w:val="FootnoteTextChar"/>
    <w:uiPriority w:val="99"/>
    <w:rsid w:val="000D50AD"/>
    <w:pPr>
      <w:suppressAutoHyphens/>
      <w:spacing w:after="40" w:line="360" w:lineRule="auto"/>
      <w:jc w:val="both"/>
    </w:pPr>
    <w:rPr>
      <w:rFonts w:eastAsia="Calibri" w:cs="font229"/>
      <w:kern w:val="1"/>
    </w:rPr>
  </w:style>
  <w:style w:type="character" w:customStyle="1" w:styleId="FootnoteTextChar">
    <w:name w:val="Footnote Text Char"/>
    <w:basedOn w:val="DefaultParagraphFont"/>
    <w:link w:val="FootnoteText"/>
    <w:uiPriority w:val="99"/>
    <w:rsid w:val="000D50AD"/>
    <w:rPr>
      <w:rFonts w:eastAsia="Calibri" w:cs="font229"/>
      <w:kern w:val="1"/>
    </w:rPr>
  </w:style>
  <w:style w:type="character" w:styleId="CommentReference">
    <w:name w:val="annotation reference"/>
    <w:basedOn w:val="DefaultParagraphFont"/>
    <w:uiPriority w:val="99"/>
    <w:semiHidden/>
    <w:unhideWhenUsed/>
    <w:rsid w:val="00B70ABC"/>
    <w:rPr>
      <w:sz w:val="16"/>
      <w:szCs w:val="16"/>
    </w:rPr>
  </w:style>
  <w:style w:type="paragraph" w:styleId="CommentText">
    <w:name w:val="annotation text"/>
    <w:basedOn w:val="Normal"/>
    <w:link w:val="CommentTextChar"/>
    <w:uiPriority w:val="99"/>
    <w:semiHidden/>
    <w:unhideWhenUsed/>
    <w:rsid w:val="00B70ABC"/>
    <w:pPr>
      <w:spacing w:line="240" w:lineRule="auto"/>
    </w:pPr>
    <w:rPr>
      <w:sz w:val="20"/>
      <w:szCs w:val="20"/>
    </w:rPr>
  </w:style>
  <w:style w:type="character" w:customStyle="1" w:styleId="CommentTextChar">
    <w:name w:val="Comment Text Char"/>
    <w:basedOn w:val="DefaultParagraphFont"/>
    <w:link w:val="CommentText"/>
    <w:uiPriority w:val="99"/>
    <w:semiHidden/>
    <w:rsid w:val="00B70ABC"/>
    <w:rPr>
      <w:sz w:val="20"/>
      <w:szCs w:val="20"/>
    </w:rPr>
  </w:style>
  <w:style w:type="paragraph" w:customStyle="1" w:styleId="tv213">
    <w:name w:val="tv213"/>
    <w:basedOn w:val="Normal"/>
    <w:rsid w:val="00495E84"/>
    <w:pPr>
      <w:spacing w:before="100" w:beforeAutospacing="1" w:after="100" w:afterAutospacing="1" w:line="240" w:lineRule="auto"/>
    </w:pPr>
    <w:rPr>
      <w:rFonts w:eastAsia="Times New Roman" w:cs="Times New Roman"/>
      <w:szCs w:val="24"/>
      <w:lang w:eastAsia="lv-LV"/>
    </w:rPr>
  </w:style>
  <w:style w:type="paragraph" w:styleId="CommentSubject">
    <w:name w:val="annotation subject"/>
    <w:basedOn w:val="CommentText"/>
    <w:next w:val="CommentText"/>
    <w:link w:val="CommentSubjectChar"/>
    <w:uiPriority w:val="99"/>
    <w:semiHidden/>
    <w:unhideWhenUsed/>
    <w:rsid w:val="00FC14C6"/>
    <w:rPr>
      <w:b/>
      <w:bCs/>
    </w:rPr>
  </w:style>
  <w:style w:type="character" w:customStyle="1" w:styleId="CommentSubjectChar">
    <w:name w:val="Comment Subject Char"/>
    <w:basedOn w:val="CommentTextChar"/>
    <w:link w:val="CommentSubject"/>
    <w:uiPriority w:val="99"/>
    <w:semiHidden/>
    <w:rsid w:val="00FC14C6"/>
    <w:rPr>
      <w:b/>
      <w:bCs/>
      <w:sz w:val="20"/>
      <w:szCs w:val="20"/>
    </w:rPr>
  </w:style>
  <w:style w:type="paragraph" w:styleId="Revision">
    <w:name w:val="Revision"/>
    <w:hidden/>
    <w:uiPriority w:val="99"/>
    <w:semiHidden/>
    <w:rsid w:val="00F6524C"/>
    <w:pPr>
      <w:spacing w:after="0" w:line="240" w:lineRule="auto"/>
    </w:pPr>
  </w:style>
  <w:style w:type="character" w:styleId="UnresolvedMention">
    <w:name w:val="Unresolved Mention"/>
    <w:basedOn w:val="DefaultParagraphFont"/>
    <w:uiPriority w:val="99"/>
    <w:semiHidden/>
    <w:unhideWhenUsed/>
    <w:rsid w:val="00186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6738">
      <w:bodyDiv w:val="1"/>
      <w:marLeft w:val="0"/>
      <w:marRight w:val="0"/>
      <w:marTop w:val="0"/>
      <w:marBottom w:val="0"/>
      <w:divBdr>
        <w:top w:val="none" w:sz="0" w:space="0" w:color="auto"/>
        <w:left w:val="none" w:sz="0" w:space="0" w:color="auto"/>
        <w:bottom w:val="none" w:sz="0" w:space="0" w:color="auto"/>
        <w:right w:val="none" w:sz="0" w:space="0" w:color="auto"/>
      </w:divBdr>
    </w:div>
    <w:div w:id="810485132">
      <w:bodyDiv w:val="1"/>
      <w:marLeft w:val="0"/>
      <w:marRight w:val="0"/>
      <w:marTop w:val="0"/>
      <w:marBottom w:val="0"/>
      <w:divBdr>
        <w:top w:val="none" w:sz="0" w:space="0" w:color="auto"/>
        <w:left w:val="none" w:sz="0" w:space="0" w:color="auto"/>
        <w:bottom w:val="none" w:sz="0" w:space="0" w:color="auto"/>
        <w:right w:val="none" w:sz="0" w:space="0" w:color="auto"/>
      </w:divBdr>
    </w:div>
    <w:div w:id="1581216416">
      <w:bodyDiv w:val="1"/>
      <w:marLeft w:val="0"/>
      <w:marRight w:val="0"/>
      <w:marTop w:val="0"/>
      <w:marBottom w:val="0"/>
      <w:divBdr>
        <w:top w:val="none" w:sz="0" w:space="0" w:color="auto"/>
        <w:left w:val="none" w:sz="0" w:space="0" w:color="auto"/>
        <w:bottom w:val="none" w:sz="0" w:space="0" w:color="auto"/>
        <w:right w:val="none" w:sz="0" w:space="0" w:color="auto"/>
      </w:divBdr>
    </w:div>
    <w:div w:id="1739396630">
      <w:bodyDiv w:val="1"/>
      <w:marLeft w:val="0"/>
      <w:marRight w:val="0"/>
      <w:marTop w:val="0"/>
      <w:marBottom w:val="0"/>
      <w:divBdr>
        <w:top w:val="none" w:sz="0" w:space="0" w:color="auto"/>
        <w:left w:val="none" w:sz="0" w:space="0" w:color="auto"/>
        <w:bottom w:val="none" w:sz="0" w:space="0" w:color="auto"/>
        <w:right w:val="none" w:sz="0" w:space="0" w:color="auto"/>
      </w:divBdr>
    </w:div>
    <w:div w:id="2112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t.gov.lv/downloadlawfile/7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C96E-19F4-463F-9B54-CCD59007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7687</Words>
  <Characters>4382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2022-11-15T09:31:00Z</dcterms:created>
  <dcterms:modified xsi:type="dcterms:W3CDTF">2022-11-16T10:15:00Z</dcterms:modified>
</cp:coreProperties>
</file>