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66791" w14:textId="77777777" w:rsidR="00C52CD8" w:rsidRDefault="00C52CD8" w:rsidP="00C52CD8">
      <w:pPr>
        <w:autoSpaceDE w:val="0"/>
        <w:autoSpaceDN w:val="0"/>
        <w:contextualSpacing/>
        <w:rPr>
          <w:rFonts w:ascii="TimesNewRomanPSMT" w:hAnsi="TimesNewRomanPSMT"/>
          <w:b/>
          <w:bCs/>
          <w:szCs w:val="24"/>
        </w:rPr>
      </w:pPr>
      <w:r>
        <w:rPr>
          <w:rFonts w:ascii="TimesNewRomanPSMT" w:hAnsi="TimesNewRomanPSMT"/>
          <w:b/>
          <w:bCs/>
          <w:szCs w:val="24"/>
        </w:rPr>
        <w:t>Pierādījumu izprasīšanas neattiecināšana uz komerciāli sensitīvu informāciju</w:t>
      </w:r>
    </w:p>
    <w:p w14:paraId="0CC3B8A1" w14:textId="572FEB82" w:rsidR="00C52CD8" w:rsidRPr="00C52CD8" w:rsidRDefault="00C52CD8" w:rsidP="00C52CD8">
      <w:pPr>
        <w:autoSpaceDE w:val="0"/>
        <w:autoSpaceDN w:val="0"/>
        <w:contextualSpacing/>
        <w:rPr>
          <w:rFonts w:ascii="TimesNewRomanPSMT" w:hAnsi="TimesNewRomanPSMT"/>
          <w:b/>
          <w:bCs/>
          <w:szCs w:val="24"/>
        </w:rPr>
      </w:pPr>
      <w:r>
        <w:rPr>
          <w:rFonts w:ascii="TimesNewRomanPSMT" w:hAnsi="TimesNewRomanPSMT"/>
          <w:szCs w:val="24"/>
        </w:rPr>
        <w:t>Uzņēmumus sadarboties ar konkurences iestādēm saskaņā ar iecietības programmām un izlīguma procedūrām šajā kontekstā varētu atturēt tas, ja tiktu atklātas pašapsūdz</w:t>
      </w:r>
      <w:r w:rsidRPr="00C52CD8">
        <w:rPr>
          <w:rFonts w:ascii="TimesNewRomanPSMT" w:hAnsi="TimesNewRomanPSMT"/>
          <w:szCs w:val="24"/>
        </w:rPr>
        <w:t>oša</w:t>
      </w:r>
      <w:r>
        <w:rPr>
          <w:rFonts w:ascii="TimesNewRomanPSMT" w:hAnsi="TimesNewRomanPSMT"/>
          <w:szCs w:val="24"/>
        </w:rPr>
        <w:t>s liecības. Šāda liecību  atklāšana radītu risku, ka uzņēmumi vai to vadības pārstāvji, kas sadarbojas, var tikt pakļauti civiltiesiskai vai krimināltiesiskai atbildībai sliktākos apstākļos nekā līdzpārkāpēji, kuri nesadarbojas ar konkurences iestādēm.  Tātad tieši iecietības programmas ietvaros notikušajai saziņai un izlīgumu piedāvājumiem ir noteikta vislielākā tiesiskā aizsardzība no likumdevēja puses.</w:t>
      </w:r>
    </w:p>
    <w:p w14:paraId="1495787E" w14:textId="646ABF27" w:rsidR="00C52CD8" w:rsidRDefault="00C52CD8" w:rsidP="00C52CD8">
      <w:pPr>
        <w:autoSpaceDE w:val="0"/>
        <w:autoSpaceDN w:val="0"/>
        <w:contextualSpacing/>
        <w:rPr>
          <w:rFonts w:ascii="TimesNewRomanPSMT" w:hAnsi="TimesNewRomanPSMT"/>
          <w:szCs w:val="24"/>
        </w:rPr>
      </w:pPr>
      <w:r>
        <w:rPr>
          <w:rFonts w:ascii="TimesNewRomanPSMT" w:hAnsi="TimesNewRomanPSMT"/>
          <w:szCs w:val="24"/>
        </w:rPr>
        <w:t xml:space="preserve">Civilprocesa likuma normas paredz tiesas iespēju vērtēt, vai to pierādījumu, kas iesniegti konkurences iestādei vai atrodas tās lietas materiālos, iesniegšana tiesai neradīs šķēršļus konkurences tiesību efektīvai īstenošanai, kā arī paredz, ka par tiem pierādījumiem, kas iesniegti konkurences iestādei, tiesa pieprasa konkurences iestādei atzinumu un lemj par to, vai pierādījumu iesniegšanai tiesai neradīs šķēršļus konkurences tiesību efektīvai piemērošanai. Savukārt pret pašapsūdzošo liecību nonākšanu citu personu rīcībā likumdevējs vērsies jo īpaši stingri, </w:t>
      </w:r>
      <w:r w:rsidRPr="00C52CD8">
        <w:rPr>
          <w:rFonts w:ascii="TimesNewRomanPSMT" w:hAnsi="TimesNewRomanPSMT"/>
          <w:szCs w:val="24"/>
        </w:rPr>
        <w:t>izslēdzot iespēju tos pieprasīt un izmantot civilprocesā. Striktās Civilprocesa likuma normas norāda, kādu nozīmi likumdevējs ir piešķīris šīs informācijas aizsardzībai, un tieši tas arī apstiprina tiesisko interesi, kuras aizsardzības nolūkā administratīvajā lietā, kurā šāda informācija tiek pieprasīta no iestādes, būtu pieaicināma persona, kura pati šo informāciju ir sniegusi Konkurences padomei.</w:t>
      </w:r>
    </w:p>
    <w:p w14:paraId="4592A1F2" w14:textId="77777777" w:rsidR="00C52CD8" w:rsidRPr="00C52CD8" w:rsidRDefault="00C52CD8" w:rsidP="00C52CD8">
      <w:pPr>
        <w:autoSpaceDE w:val="0"/>
        <w:autoSpaceDN w:val="0"/>
        <w:rPr>
          <w:rFonts w:ascii="TimesNewRomanPSMT" w:hAnsi="TimesNewRomanPSMT"/>
          <w:szCs w:val="24"/>
        </w:rPr>
      </w:pPr>
    </w:p>
    <w:p w14:paraId="453C2AED" w14:textId="77777777" w:rsidR="00C52CD8" w:rsidRDefault="00C52CD8" w:rsidP="00C52CD8">
      <w:pPr>
        <w:autoSpaceDE w:val="0"/>
        <w:autoSpaceDN w:val="0"/>
        <w:contextualSpacing/>
        <w:rPr>
          <w:rFonts w:ascii="TimesNewRomanPSMT" w:hAnsi="TimesNewRomanPSMT"/>
          <w:b/>
          <w:bCs/>
          <w:szCs w:val="24"/>
        </w:rPr>
      </w:pPr>
      <w:r>
        <w:rPr>
          <w:rFonts w:ascii="TimesNewRomanPSMT" w:hAnsi="TimesNewRomanPSMT"/>
          <w:b/>
          <w:bCs/>
          <w:szCs w:val="24"/>
        </w:rPr>
        <w:t xml:space="preserve">Konkurences padomes atbrīvošana no tiesas izdevumiem </w:t>
      </w:r>
    </w:p>
    <w:p w14:paraId="37E9DD3D" w14:textId="77F25C77" w:rsidR="007772DE" w:rsidRDefault="00C52CD8" w:rsidP="00C52CD8">
      <w:pPr>
        <w:autoSpaceDE w:val="0"/>
        <w:autoSpaceDN w:val="0"/>
        <w:contextualSpacing/>
        <w:rPr>
          <w:rFonts w:ascii="TimesNewRomanPSMT" w:hAnsi="TimesNewRomanPSMT"/>
          <w:szCs w:val="24"/>
        </w:rPr>
      </w:pPr>
      <w:r w:rsidRPr="00C52CD8">
        <w:rPr>
          <w:rFonts w:ascii="TimesNewRomanPSMT" w:hAnsi="TimesNewRomanPSMT"/>
          <w:szCs w:val="24"/>
        </w:rPr>
        <w:t>Konkurences likuma 8.panta piektā daļa par Konkurences padomes atbrīvošanu no tiesas izdevumiem ir formulēta plaši un norāda uz likumdevēja vēlmi neradīt Konkurences padomei finansiālu slogu gadījumos, ja ir jātiesājas lietās, kas radušās sakarā ar personu izdarītiem pārkāpumiem. Norma formulēta tā, lai aptvertu iespējami plašāku tiesvedību loku, kas varētu rasties sakarā ar pārkāpumiem jomās, kuru uzraudzība ir Konkurences padomes kompetencē. Līdz ar to tiesai būtu pēc būtības, nevis formāli jāvērtē, vai Konkurences padome, iesniedzot sūdzību, rīkojas sakarā ar pārkāpuma lietu vai sakarā ar vispārīgiem savas kompetences jautājumiem.</w:t>
      </w:r>
      <w:r>
        <w:rPr>
          <w:rFonts w:ascii="TimesNewRomanPSMT" w:hAnsi="TimesNewRomanPSMT"/>
          <w:szCs w:val="24"/>
        </w:rPr>
        <w:t xml:space="preserve"> </w:t>
      </w:r>
    </w:p>
    <w:p w14:paraId="27D23A8B" w14:textId="77777777" w:rsidR="00C52CD8" w:rsidRPr="00C52CD8" w:rsidRDefault="00C52CD8" w:rsidP="00C52CD8">
      <w:pPr>
        <w:autoSpaceDE w:val="0"/>
        <w:autoSpaceDN w:val="0"/>
        <w:contextualSpacing/>
        <w:rPr>
          <w:rFonts w:ascii="TimesNewRomanPSMT" w:hAnsi="TimesNewRomanPSMT"/>
          <w:szCs w:val="24"/>
        </w:rPr>
      </w:pPr>
    </w:p>
    <w:p w14:paraId="287431F1" w14:textId="22219FFD" w:rsidR="007772DE" w:rsidRPr="00C52CD8" w:rsidRDefault="00C52CD8" w:rsidP="00C52CD8">
      <w:pPr>
        <w:spacing w:after="0"/>
        <w:jc w:val="center"/>
        <w:rPr>
          <w:b/>
          <w:szCs w:val="24"/>
        </w:rPr>
      </w:pPr>
      <w:r w:rsidRPr="00C52CD8">
        <w:rPr>
          <w:b/>
          <w:szCs w:val="24"/>
        </w:rPr>
        <w:t>Latvijas Republikas Senāta</w:t>
      </w:r>
    </w:p>
    <w:p w14:paraId="2F6DCB6B" w14:textId="7780BB30" w:rsidR="00C52CD8" w:rsidRPr="00C52CD8" w:rsidRDefault="00C52CD8" w:rsidP="00C52CD8">
      <w:pPr>
        <w:spacing w:after="0"/>
        <w:jc w:val="center"/>
        <w:rPr>
          <w:b/>
          <w:szCs w:val="24"/>
        </w:rPr>
      </w:pPr>
      <w:r w:rsidRPr="00C52CD8">
        <w:rPr>
          <w:b/>
          <w:szCs w:val="24"/>
        </w:rPr>
        <w:t>Administratīvo lietu departamenta</w:t>
      </w:r>
    </w:p>
    <w:p w14:paraId="209A11F5" w14:textId="59670EF0" w:rsidR="00C52CD8" w:rsidRPr="00C52CD8" w:rsidRDefault="00C52CD8" w:rsidP="00C52CD8">
      <w:pPr>
        <w:spacing w:after="0"/>
        <w:jc w:val="center"/>
        <w:rPr>
          <w:b/>
          <w:szCs w:val="24"/>
        </w:rPr>
      </w:pPr>
      <w:r w:rsidRPr="00C52CD8">
        <w:rPr>
          <w:b/>
          <w:szCs w:val="24"/>
        </w:rPr>
        <w:t>2022.gada 7.jūnija</w:t>
      </w:r>
    </w:p>
    <w:p w14:paraId="0CACA0CD" w14:textId="77777777" w:rsidR="007772DE" w:rsidRPr="00C52CD8" w:rsidRDefault="007772DE" w:rsidP="00C52CD8">
      <w:pPr>
        <w:spacing w:after="0"/>
        <w:jc w:val="center"/>
        <w:rPr>
          <w:b/>
          <w:szCs w:val="24"/>
        </w:rPr>
      </w:pPr>
      <w:r w:rsidRPr="00C52CD8">
        <w:rPr>
          <w:b/>
          <w:szCs w:val="24"/>
        </w:rPr>
        <w:t>LĒMUMS</w:t>
      </w:r>
    </w:p>
    <w:p w14:paraId="2FBEB1F5" w14:textId="77777777" w:rsidR="00C52CD8" w:rsidRPr="00C52CD8" w:rsidRDefault="00C52CD8" w:rsidP="00C52CD8">
      <w:pPr>
        <w:spacing w:after="0"/>
        <w:jc w:val="center"/>
        <w:rPr>
          <w:b/>
          <w:szCs w:val="24"/>
        </w:rPr>
      </w:pPr>
      <w:r w:rsidRPr="00C52CD8">
        <w:rPr>
          <w:b/>
          <w:szCs w:val="24"/>
        </w:rPr>
        <w:t>Lieta Nr. A420246321, SKA-793/2022</w:t>
      </w:r>
    </w:p>
    <w:p w14:paraId="471C9CF8" w14:textId="78B3D8C0" w:rsidR="00C52CD8" w:rsidRPr="00C52CD8" w:rsidRDefault="00C52CD8" w:rsidP="00C52CD8">
      <w:pPr>
        <w:spacing w:after="0"/>
        <w:jc w:val="center"/>
        <w:rPr>
          <w:szCs w:val="24"/>
        </w:rPr>
      </w:pPr>
      <w:hyperlink r:id="rId8" w:history="1">
        <w:r w:rsidRPr="00C52CD8">
          <w:rPr>
            <w:rStyle w:val="Hyperlink"/>
            <w:szCs w:val="24"/>
          </w:rPr>
          <w:t>ECLI:LV:AT:2022:0607.A420246321.5.L</w:t>
        </w:r>
      </w:hyperlink>
      <w:r w:rsidRPr="00C52CD8">
        <w:rPr>
          <w:szCs w:val="24"/>
        </w:rPr>
        <w:t xml:space="preserve"> </w:t>
      </w:r>
    </w:p>
    <w:p w14:paraId="346E1953" w14:textId="77777777" w:rsidR="007772DE" w:rsidRPr="002A18AC" w:rsidRDefault="007772DE" w:rsidP="00C52CD8">
      <w:pPr>
        <w:spacing w:after="0"/>
        <w:jc w:val="center"/>
      </w:pPr>
    </w:p>
    <w:p w14:paraId="7ECE613C" w14:textId="17C96EB8" w:rsidR="007772DE" w:rsidRPr="002A18AC" w:rsidRDefault="007772DE" w:rsidP="00C52CD8">
      <w:pPr>
        <w:spacing w:after="0"/>
        <w:ind w:firstLine="567"/>
      </w:pPr>
      <w:r w:rsidRPr="002A18AC">
        <w:t>Tiesa šādā sastāvā: senator</w:t>
      </w:r>
      <w:r w:rsidR="008314BC" w:rsidRPr="002A18AC">
        <w:t>i</w:t>
      </w:r>
      <w:r w:rsidRPr="002A18AC">
        <w:t xml:space="preserve"> Rudīte Vīduša, Andris Guļāns, Vēsma Kakste</w:t>
      </w:r>
    </w:p>
    <w:p w14:paraId="0CD27967" w14:textId="77777777" w:rsidR="007772DE" w:rsidRPr="002A18AC" w:rsidRDefault="007772DE" w:rsidP="00C52CD8">
      <w:pPr>
        <w:spacing w:after="0"/>
        <w:ind w:firstLine="567"/>
        <w:rPr>
          <w:szCs w:val="24"/>
        </w:rPr>
      </w:pPr>
    </w:p>
    <w:p w14:paraId="18765AFF" w14:textId="0496C618" w:rsidR="009600FB" w:rsidRPr="002A18AC" w:rsidRDefault="00210C14" w:rsidP="00C52CD8">
      <w:pPr>
        <w:tabs>
          <w:tab w:val="left" w:pos="1276"/>
        </w:tabs>
        <w:spacing w:after="0"/>
        <w:ind w:firstLine="567"/>
        <w:contextualSpacing/>
        <w:rPr>
          <w:rFonts w:cs="Times New Roman"/>
          <w:szCs w:val="24"/>
        </w:rPr>
      </w:pPr>
      <w:r w:rsidRPr="002A18AC">
        <w:rPr>
          <w:rFonts w:cs="Times New Roman"/>
          <w:szCs w:val="24"/>
        </w:rPr>
        <w:t xml:space="preserve">rakstveida procesā izskatīja </w:t>
      </w:r>
      <w:r w:rsidR="00E83C8E">
        <w:rPr>
          <w:szCs w:val="24"/>
        </w:rPr>
        <w:t>Konkurences padomes</w:t>
      </w:r>
      <w:r w:rsidR="003F6C52" w:rsidRPr="002A18AC">
        <w:rPr>
          <w:szCs w:val="24"/>
        </w:rPr>
        <w:t xml:space="preserve"> blakus sūdzību par Administratīvās rajona tiesas 2022.gada </w:t>
      </w:r>
      <w:r w:rsidR="00440710">
        <w:rPr>
          <w:szCs w:val="24"/>
        </w:rPr>
        <w:t>23.marta</w:t>
      </w:r>
      <w:r w:rsidR="003F6C52" w:rsidRPr="002A18AC">
        <w:rPr>
          <w:szCs w:val="24"/>
        </w:rPr>
        <w:t xml:space="preserve"> lēmumu, ar kuru </w:t>
      </w:r>
      <w:r w:rsidR="00440710">
        <w:rPr>
          <w:szCs w:val="24"/>
        </w:rPr>
        <w:t>noraidīts Konkurences padomes lūgums pieaicināt lietā trešo personu</w:t>
      </w:r>
      <w:r w:rsidRPr="002A18AC">
        <w:rPr>
          <w:rFonts w:cs="Times New Roman"/>
          <w:szCs w:val="24"/>
        </w:rPr>
        <w:t>.</w:t>
      </w:r>
    </w:p>
    <w:p w14:paraId="0F8DA2DC" w14:textId="77777777" w:rsidR="009600FB" w:rsidRPr="002A18AC" w:rsidRDefault="009600FB" w:rsidP="00C52CD8">
      <w:pPr>
        <w:tabs>
          <w:tab w:val="left" w:pos="1276"/>
        </w:tabs>
        <w:spacing w:after="0"/>
        <w:ind w:firstLine="567"/>
        <w:contextualSpacing/>
        <w:rPr>
          <w:rFonts w:cs="Times New Roman"/>
          <w:szCs w:val="24"/>
        </w:rPr>
      </w:pPr>
    </w:p>
    <w:p w14:paraId="47AD8A91" w14:textId="77777777" w:rsidR="009600FB" w:rsidRPr="002A18AC" w:rsidRDefault="00210C14" w:rsidP="00C52CD8">
      <w:pPr>
        <w:tabs>
          <w:tab w:val="left" w:pos="1276"/>
        </w:tabs>
        <w:spacing w:after="0"/>
        <w:contextualSpacing/>
        <w:jc w:val="center"/>
        <w:rPr>
          <w:rFonts w:cs="Times New Roman"/>
          <w:b/>
          <w:szCs w:val="24"/>
        </w:rPr>
      </w:pPr>
      <w:r w:rsidRPr="002A18AC">
        <w:rPr>
          <w:rFonts w:cs="Times New Roman"/>
          <w:b/>
          <w:szCs w:val="24"/>
        </w:rPr>
        <w:t>Aprakstošā daļa</w:t>
      </w:r>
    </w:p>
    <w:p w14:paraId="67A9C2CD" w14:textId="77777777" w:rsidR="009600FB" w:rsidRPr="002A18AC" w:rsidRDefault="009600FB" w:rsidP="00C52CD8">
      <w:pPr>
        <w:tabs>
          <w:tab w:val="left" w:pos="1276"/>
        </w:tabs>
        <w:spacing w:after="0"/>
        <w:ind w:firstLine="567"/>
        <w:contextualSpacing/>
        <w:rPr>
          <w:rFonts w:cs="Times New Roman"/>
          <w:bCs/>
          <w:szCs w:val="24"/>
        </w:rPr>
      </w:pPr>
    </w:p>
    <w:p w14:paraId="79F50824" w14:textId="48FB7A9A" w:rsidR="00440710" w:rsidRDefault="00210C14" w:rsidP="00C52CD8">
      <w:pPr>
        <w:tabs>
          <w:tab w:val="left" w:pos="1276"/>
        </w:tabs>
        <w:spacing w:after="0"/>
        <w:ind w:firstLine="567"/>
        <w:contextualSpacing/>
        <w:rPr>
          <w:rFonts w:cs="Times New Roman"/>
        </w:rPr>
      </w:pPr>
      <w:r w:rsidRPr="002A18AC">
        <w:rPr>
          <w:rFonts w:cs="Times New Roman"/>
        </w:rPr>
        <w:lastRenderedPageBreak/>
        <w:t>[1]</w:t>
      </w:r>
      <w:r w:rsidR="00F57E11" w:rsidRPr="002A18AC">
        <w:rPr>
          <w:rFonts w:cs="Times New Roman"/>
        </w:rPr>
        <w:t> </w:t>
      </w:r>
      <w:r w:rsidR="00440710">
        <w:rPr>
          <w:rFonts w:cs="Times New Roman"/>
        </w:rPr>
        <w:t xml:space="preserve">Konkurences padome 2021.gada 30.jūlijā pieņēma lēmumu Nr. 22 (prot. </w:t>
      </w:r>
      <w:r w:rsidR="002D03B1">
        <w:rPr>
          <w:rFonts w:cs="Times New Roman"/>
        </w:rPr>
        <w:t>Nr. </w:t>
      </w:r>
      <w:r w:rsidR="00440710">
        <w:rPr>
          <w:rFonts w:cs="Times New Roman"/>
        </w:rPr>
        <w:t>50, 3.§) par Konkurences likuma 11.panta pirmajā daļā un Līguma par Eiropas Savienības darbību 101.panta 1.punktā noteiktā aizlieguma pārkāpuma konstatēšanu vairāku būvniecības komercsabiedrību darbībās.</w:t>
      </w:r>
    </w:p>
    <w:p w14:paraId="569E54B9" w14:textId="09CCA6C0" w:rsidR="002D03B1" w:rsidRDefault="00440710" w:rsidP="00C52CD8">
      <w:pPr>
        <w:tabs>
          <w:tab w:val="left" w:pos="1276"/>
        </w:tabs>
        <w:spacing w:after="0"/>
        <w:ind w:firstLine="567"/>
        <w:contextualSpacing/>
        <w:rPr>
          <w:rFonts w:cs="Times New Roman"/>
        </w:rPr>
      </w:pPr>
      <w:r>
        <w:rPr>
          <w:rFonts w:cs="Times New Roman"/>
        </w:rPr>
        <w:t xml:space="preserve">Pieteicēja AS „LNK Industries”, </w:t>
      </w:r>
      <w:r w:rsidR="002D03B1">
        <w:rPr>
          <w:rFonts w:cs="Times New Roman"/>
        </w:rPr>
        <w:t>kura ir viena no personām, kuras pārkāpums konstatēts ar minēto Konkurences padomes lēmumu,</w:t>
      </w:r>
      <w:r>
        <w:rPr>
          <w:rFonts w:cs="Times New Roman"/>
        </w:rPr>
        <w:t xml:space="preserve"> vērsās Administratīvajā rajona tie</w:t>
      </w:r>
      <w:r w:rsidR="002D03B1">
        <w:rPr>
          <w:rFonts w:cs="Times New Roman"/>
        </w:rPr>
        <w:t>sā ar pieteikumu, lūdzot uzlikt pienākumu Konkurences padomei izsniegt starp Konkurences padomi un SIA „Velve” (arī tās pārkāpums konstatēts ar Konkurences padomes lēmumu) noslēgtā izlīguma kopiju. Administratīvās rajona tiesas tiesnesis ierosināja administratīvo lietu.</w:t>
      </w:r>
    </w:p>
    <w:p w14:paraId="0B25CBBA" w14:textId="440545FC" w:rsidR="002D03B1" w:rsidRDefault="002D03B1" w:rsidP="00C52CD8">
      <w:pPr>
        <w:tabs>
          <w:tab w:val="left" w:pos="1276"/>
        </w:tabs>
        <w:spacing w:after="0"/>
        <w:ind w:firstLine="567"/>
        <w:contextualSpacing/>
        <w:rPr>
          <w:rFonts w:cs="Times New Roman"/>
        </w:rPr>
      </w:pPr>
    </w:p>
    <w:p w14:paraId="195A9CDB" w14:textId="29E12AC3" w:rsidR="002D03B1" w:rsidRDefault="002D03B1" w:rsidP="00C52CD8">
      <w:pPr>
        <w:tabs>
          <w:tab w:val="left" w:pos="1276"/>
        </w:tabs>
        <w:spacing w:after="0"/>
        <w:ind w:firstLine="567"/>
        <w:contextualSpacing/>
        <w:rPr>
          <w:rFonts w:cs="Times New Roman"/>
        </w:rPr>
      </w:pPr>
      <w:r>
        <w:rPr>
          <w:rFonts w:cs="Times New Roman"/>
        </w:rPr>
        <w:t xml:space="preserve">[2] </w:t>
      </w:r>
      <w:r w:rsidR="005878E9">
        <w:rPr>
          <w:rFonts w:cs="Times New Roman"/>
        </w:rPr>
        <w:t>Konkurences padome</w:t>
      </w:r>
      <w:r w:rsidR="005878E9" w:rsidRPr="005878E9">
        <w:rPr>
          <w:rFonts w:cs="Times New Roman"/>
        </w:rPr>
        <w:t xml:space="preserve"> iesniedza lūgumu pieaicināt SIA </w:t>
      </w:r>
      <w:r w:rsidR="005878E9">
        <w:rPr>
          <w:rFonts w:cs="Times New Roman"/>
        </w:rPr>
        <w:t>„</w:t>
      </w:r>
      <w:r w:rsidR="005878E9" w:rsidRPr="005878E9">
        <w:rPr>
          <w:rFonts w:cs="Times New Roman"/>
        </w:rPr>
        <w:t>VELVE” lietā kā trešo personu bez pa</w:t>
      </w:r>
      <w:r w:rsidR="006F76EF">
        <w:rPr>
          <w:rFonts w:cs="Times New Roman"/>
        </w:rPr>
        <w:t>t</w:t>
      </w:r>
      <w:r w:rsidR="005878E9" w:rsidRPr="005878E9">
        <w:rPr>
          <w:rFonts w:cs="Times New Roman"/>
        </w:rPr>
        <w:t xml:space="preserve">stāvīgiem prasījumiem </w:t>
      </w:r>
      <w:r w:rsidR="005878E9">
        <w:rPr>
          <w:rFonts w:cs="Times New Roman"/>
        </w:rPr>
        <w:t>atbildētāj</w:t>
      </w:r>
      <w:r w:rsidR="006F76EF">
        <w:rPr>
          <w:rFonts w:cs="Times New Roman"/>
        </w:rPr>
        <w:t>a</w:t>
      </w:r>
      <w:r w:rsidR="005878E9" w:rsidRPr="005878E9">
        <w:rPr>
          <w:rFonts w:cs="Times New Roman"/>
        </w:rPr>
        <w:t xml:space="preserve"> pusē</w:t>
      </w:r>
      <w:r w:rsidR="005878E9">
        <w:rPr>
          <w:rFonts w:cs="Times New Roman"/>
        </w:rPr>
        <w:t>.</w:t>
      </w:r>
    </w:p>
    <w:p w14:paraId="799674AF" w14:textId="1C07455A" w:rsidR="005878E9" w:rsidRDefault="005878E9" w:rsidP="00C52CD8">
      <w:pPr>
        <w:tabs>
          <w:tab w:val="left" w:pos="1276"/>
        </w:tabs>
        <w:spacing w:after="0"/>
        <w:ind w:firstLine="567"/>
        <w:contextualSpacing/>
        <w:rPr>
          <w:rFonts w:cs="Times New Roman"/>
        </w:rPr>
      </w:pPr>
    </w:p>
    <w:p w14:paraId="5DFC5733" w14:textId="199D1550" w:rsidR="005878E9" w:rsidRDefault="005878E9" w:rsidP="00C52CD8">
      <w:pPr>
        <w:tabs>
          <w:tab w:val="left" w:pos="1276"/>
        </w:tabs>
        <w:spacing w:after="0"/>
        <w:ind w:firstLine="567"/>
        <w:contextualSpacing/>
        <w:rPr>
          <w:rFonts w:cs="Times New Roman"/>
        </w:rPr>
      </w:pPr>
      <w:r>
        <w:rPr>
          <w:rFonts w:cs="Times New Roman"/>
        </w:rPr>
        <w:t xml:space="preserve">[3] Administratīvā rajona tiesa </w:t>
      </w:r>
      <w:r w:rsidR="005B6E95">
        <w:rPr>
          <w:rFonts w:cs="Times New Roman"/>
        </w:rPr>
        <w:t xml:space="preserve">ar 2022.gada 23.marta lēmumu </w:t>
      </w:r>
      <w:r>
        <w:rPr>
          <w:rFonts w:cs="Times New Roman"/>
        </w:rPr>
        <w:t>lūgumu noraidīja, pamatojot to ar turpmāk minētajiem argumentiem.</w:t>
      </w:r>
    </w:p>
    <w:p w14:paraId="6D4E9763" w14:textId="70E206EC" w:rsidR="00062E4D" w:rsidRPr="00062E4D" w:rsidRDefault="005878E9" w:rsidP="00C52CD8">
      <w:pPr>
        <w:tabs>
          <w:tab w:val="left" w:pos="1276"/>
        </w:tabs>
        <w:spacing w:after="0"/>
        <w:ind w:firstLine="567"/>
        <w:contextualSpacing/>
        <w:rPr>
          <w:rFonts w:cs="Times New Roman"/>
        </w:rPr>
      </w:pPr>
      <w:r>
        <w:rPr>
          <w:rFonts w:cs="Times New Roman"/>
        </w:rPr>
        <w:t xml:space="preserve">[3.1] </w:t>
      </w:r>
      <w:r w:rsidR="00062E4D">
        <w:rPr>
          <w:rFonts w:cs="Times New Roman"/>
        </w:rPr>
        <w:t xml:space="preserve">Ievērojot </w:t>
      </w:r>
      <w:r w:rsidR="00062E4D" w:rsidRPr="00062E4D">
        <w:rPr>
          <w:rFonts w:cs="Times New Roman"/>
        </w:rPr>
        <w:t>Administratīvā procesa likuma 28.panta pirmo daļu</w:t>
      </w:r>
      <w:r w:rsidR="00062E4D">
        <w:rPr>
          <w:rFonts w:cs="Times New Roman"/>
        </w:rPr>
        <w:t>, trešās personas p</w:t>
      </w:r>
      <w:r w:rsidR="00062E4D" w:rsidRPr="00062E4D">
        <w:rPr>
          <w:rFonts w:cs="Times New Roman"/>
        </w:rPr>
        <w:t>ieaicināšanas priekšnoteikums ir tas, vai administratīvā procesa rezultātā iestādē vai</w:t>
      </w:r>
      <w:r w:rsidR="00062E4D">
        <w:rPr>
          <w:rFonts w:cs="Times New Roman"/>
        </w:rPr>
        <w:t xml:space="preserve"> </w:t>
      </w:r>
      <w:r w:rsidR="00062E4D" w:rsidRPr="00062E4D">
        <w:rPr>
          <w:rFonts w:cs="Times New Roman"/>
        </w:rPr>
        <w:t xml:space="preserve">tiesā var tikt aizskartas </w:t>
      </w:r>
      <w:r w:rsidR="00062E4D">
        <w:rPr>
          <w:rFonts w:cs="Times New Roman"/>
        </w:rPr>
        <w:t xml:space="preserve">šīs </w:t>
      </w:r>
      <w:r w:rsidR="00062E4D" w:rsidRPr="00062E4D">
        <w:rPr>
          <w:rFonts w:cs="Times New Roman"/>
        </w:rPr>
        <w:t>personas subjektīvās tiesības vai tiesiskās intereses</w:t>
      </w:r>
      <w:r w:rsidR="00062E4D">
        <w:rPr>
          <w:rFonts w:cs="Times New Roman"/>
        </w:rPr>
        <w:t>.</w:t>
      </w:r>
    </w:p>
    <w:p w14:paraId="53D576A8" w14:textId="17A7803E" w:rsidR="00062E4D" w:rsidRPr="00062E4D" w:rsidRDefault="00062E4D" w:rsidP="00C52CD8">
      <w:pPr>
        <w:tabs>
          <w:tab w:val="left" w:pos="1276"/>
        </w:tabs>
        <w:spacing w:after="0"/>
        <w:ind w:firstLine="567"/>
        <w:contextualSpacing/>
        <w:rPr>
          <w:rFonts w:cs="Times New Roman"/>
        </w:rPr>
      </w:pPr>
      <w:r w:rsidRPr="00062E4D">
        <w:rPr>
          <w:rFonts w:cs="Times New Roman"/>
        </w:rPr>
        <w:t>[</w:t>
      </w:r>
      <w:r>
        <w:rPr>
          <w:rFonts w:cs="Times New Roman"/>
        </w:rPr>
        <w:t>3.2</w:t>
      </w:r>
      <w:r w:rsidRPr="00062E4D">
        <w:rPr>
          <w:rFonts w:cs="Times New Roman"/>
        </w:rPr>
        <w:t xml:space="preserve">] </w:t>
      </w:r>
      <w:r>
        <w:rPr>
          <w:rFonts w:cs="Times New Roman"/>
        </w:rPr>
        <w:t>L</w:t>
      </w:r>
      <w:r w:rsidRPr="00062E4D">
        <w:rPr>
          <w:rFonts w:cs="Times New Roman"/>
        </w:rPr>
        <w:t>ietā ir noskaidrojamas pieteicējas tiesības saskaņā ar Informācijas</w:t>
      </w:r>
      <w:r>
        <w:rPr>
          <w:rFonts w:cs="Times New Roman"/>
        </w:rPr>
        <w:t xml:space="preserve"> </w:t>
      </w:r>
      <w:r w:rsidRPr="00062E4D">
        <w:rPr>
          <w:rFonts w:cs="Times New Roman"/>
        </w:rPr>
        <w:t>atklātības likumu saņemt no iestādes lietas materiālus no tās administratīvās lietas daļas, kurā</w:t>
      </w:r>
      <w:r>
        <w:rPr>
          <w:rFonts w:cs="Times New Roman"/>
        </w:rPr>
        <w:t xml:space="preserve"> </w:t>
      </w:r>
      <w:r w:rsidRPr="00062E4D">
        <w:rPr>
          <w:rFonts w:cs="Times New Roman"/>
        </w:rPr>
        <w:t>administratīvais process ir noslēdzies</w:t>
      </w:r>
      <w:r w:rsidR="006F76EF">
        <w:rPr>
          <w:rFonts w:cs="Times New Roman"/>
        </w:rPr>
        <w:t>. N</w:t>
      </w:r>
      <w:r w:rsidRPr="00062E4D">
        <w:rPr>
          <w:rFonts w:cs="Times New Roman"/>
        </w:rPr>
        <w:t>oslēdzot izlīgumu ar Konkuren</w:t>
      </w:r>
      <w:r w:rsidRPr="00062E4D">
        <w:rPr>
          <w:rFonts w:cs="Times New Roman"/>
        </w:rPr>
        <w:lastRenderedPageBreak/>
        <w:t>ces padomi, SIA</w:t>
      </w:r>
      <w:r>
        <w:rPr>
          <w:rFonts w:cs="Times New Roman"/>
        </w:rPr>
        <w:t> „</w:t>
      </w:r>
      <w:r w:rsidRPr="00062E4D">
        <w:rPr>
          <w:rFonts w:cs="Times New Roman"/>
        </w:rPr>
        <w:t>Velve”</w:t>
      </w:r>
      <w:r>
        <w:rPr>
          <w:rFonts w:cs="Times New Roman"/>
        </w:rPr>
        <w:t xml:space="preserve"> </w:t>
      </w:r>
      <w:r w:rsidRPr="00062E4D">
        <w:rPr>
          <w:rFonts w:cs="Times New Roman"/>
        </w:rPr>
        <w:t>atzina pārkāpumu</w:t>
      </w:r>
      <w:r w:rsidR="006F76EF">
        <w:rPr>
          <w:rFonts w:cs="Times New Roman"/>
        </w:rPr>
        <w:t>,</w:t>
      </w:r>
      <w:r w:rsidRPr="00062E4D">
        <w:rPr>
          <w:rFonts w:cs="Times New Roman"/>
        </w:rPr>
        <w:t xml:space="preserve"> un attiecībā uz to administratīvais process netiek turpināts.</w:t>
      </w:r>
      <w:r>
        <w:rPr>
          <w:rFonts w:cs="Times New Roman"/>
        </w:rPr>
        <w:t xml:space="preserve"> </w:t>
      </w:r>
      <w:r w:rsidRPr="00062E4D">
        <w:rPr>
          <w:rFonts w:cs="Times New Roman"/>
        </w:rPr>
        <w:t xml:space="preserve">Tādējādi </w:t>
      </w:r>
      <w:r>
        <w:rPr>
          <w:rFonts w:cs="Times New Roman"/>
        </w:rPr>
        <w:t xml:space="preserve">nav </w:t>
      </w:r>
      <w:r w:rsidRPr="00062E4D">
        <w:rPr>
          <w:rFonts w:cs="Times New Roman"/>
        </w:rPr>
        <w:t>saskat</w:t>
      </w:r>
      <w:r>
        <w:rPr>
          <w:rFonts w:cs="Times New Roman"/>
        </w:rPr>
        <w:t>āms</w:t>
      </w:r>
      <w:r w:rsidRPr="00062E4D">
        <w:rPr>
          <w:rFonts w:cs="Times New Roman"/>
        </w:rPr>
        <w:t xml:space="preserve"> SIA </w:t>
      </w:r>
      <w:r>
        <w:rPr>
          <w:rFonts w:cs="Times New Roman"/>
        </w:rPr>
        <w:t>„</w:t>
      </w:r>
      <w:r w:rsidRPr="00062E4D">
        <w:rPr>
          <w:rFonts w:cs="Times New Roman"/>
        </w:rPr>
        <w:t>Velve” publisko tiesību aizskārum</w:t>
      </w:r>
      <w:r>
        <w:rPr>
          <w:rFonts w:cs="Times New Roman"/>
        </w:rPr>
        <w:t>s – pieteicējai labvēlīga sprieduma gadījumā</w:t>
      </w:r>
      <w:r w:rsidRPr="00062E4D">
        <w:rPr>
          <w:rFonts w:cs="Times New Roman"/>
        </w:rPr>
        <w:t xml:space="preserve"> SIA </w:t>
      </w:r>
      <w:r>
        <w:rPr>
          <w:rFonts w:cs="Times New Roman"/>
        </w:rPr>
        <w:t>„</w:t>
      </w:r>
      <w:r w:rsidRPr="00062E4D">
        <w:rPr>
          <w:rFonts w:cs="Times New Roman"/>
        </w:rPr>
        <w:t>Velve” publiskās tiesības vai tiesiskā situācija netiks</w:t>
      </w:r>
      <w:r>
        <w:rPr>
          <w:rFonts w:cs="Times New Roman"/>
        </w:rPr>
        <w:t xml:space="preserve"> </w:t>
      </w:r>
      <w:r w:rsidRPr="00062E4D">
        <w:rPr>
          <w:rFonts w:cs="Times New Roman"/>
        </w:rPr>
        <w:t>ietekmēta.</w:t>
      </w:r>
    </w:p>
    <w:p w14:paraId="1BE3B94A" w14:textId="1644CEB5" w:rsidR="005878E9" w:rsidRDefault="00062E4D" w:rsidP="00C52CD8">
      <w:pPr>
        <w:tabs>
          <w:tab w:val="left" w:pos="1276"/>
        </w:tabs>
        <w:spacing w:after="0"/>
        <w:ind w:firstLine="567"/>
        <w:contextualSpacing/>
        <w:rPr>
          <w:rFonts w:cs="Times New Roman"/>
        </w:rPr>
      </w:pPr>
      <w:r w:rsidRPr="00062E4D">
        <w:rPr>
          <w:rFonts w:cs="Times New Roman"/>
        </w:rPr>
        <w:t>[</w:t>
      </w:r>
      <w:r>
        <w:rPr>
          <w:rFonts w:cs="Times New Roman"/>
        </w:rPr>
        <w:t>3.3</w:t>
      </w:r>
      <w:r w:rsidRPr="00062E4D">
        <w:rPr>
          <w:rFonts w:cs="Times New Roman"/>
        </w:rPr>
        <w:t>] Civilprocesa likuma 250.</w:t>
      </w:r>
      <w:r w:rsidRPr="00062E4D">
        <w:rPr>
          <w:rFonts w:cs="Times New Roman"/>
          <w:vertAlign w:val="superscript"/>
        </w:rPr>
        <w:t>67</w:t>
      </w:r>
      <w:r w:rsidRPr="00062E4D">
        <w:rPr>
          <w:rFonts w:cs="Times New Roman"/>
        </w:rPr>
        <w:t>panta pirmās daļas 2.punktā ietvertais vispārējās</w:t>
      </w:r>
      <w:r>
        <w:rPr>
          <w:rFonts w:cs="Times New Roman"/>
        </w:rPr>
        <w:t xml:space="preserve"> </w:t>
      </w:r>
      <w:r w:rsidRPr="00062E4D">
        <w:rPr>
          <w:rFonts w:cs="Times New Roman"/>
        </w:rPr>
        <w:t>jurisdikcijas tiesas ierobežojums izprasīt atsevišķus lietas materiālus, tostarp izlīguma piedāvājumu,</w:t>
      </w:r>
      <w:r>
        <w:rPr>
          <w:rFonts w:cs="Times New Roman"/>
        </w:rPr>
        <w:t xml:space="preserve"> </w:t>
      </w:r>
      <w:r w:rsidRPr="00062E4D">
        <w:rPr>
          <w:rFonts w:cs="Times New Roman"/>
        </w:rPr>
        <w:t>apstiprina to, ka nolēmums lietā neskars SIA</w:t>
      </w:r>
      <w:r>
        <w:rPr>
          <w:rFonts w:cs="Times New Roman"/>
        </w:rPr>
        <w:t> „</w:t>
      </w:r>
      <w:r w:rsidRPr="00062E4D">
        <w:rPr>
          <w:rFonts w:cs="Times New Roman"/>
        </w:rPr>
        <w:t>Velve” tiesības vai tiesiskās intereses. Saskaņā ar</w:t>
      </w:r>
      <w:r>
        <w:rPr>
          <w:rFonts w:cs="Times New Roman"/>
        </w:rPr>
        <w:t xml:space="preserve"> </w:t>
      </w:r>
      <w:r w:rsidRPr="00062E4D">
        <w:rPr>
          <w:rFonts w:cs="Times New Roman"/>
        </w:rPr>
        <w:t>Civilprocesa likuma 250.</w:t>
      </w:r>
      <w:r w:rsidRPr="00653405">
        <w:rPr>
          <w:rFonts w:cs="Times New Roman"/>
          <w:vertAlign w:val="superscript"/>
        </w:rPr>
        <w:t>68</w:t>
      </w:r>
      <w:r w:rsidRPr="00062E4D">
        <w:rPr>
          <w:rFonts w:cs="Times New Roman"/>
        </w:rPr>
        <w:t>panta pirmo daļu nav pieļaujami šā likuma 250.</w:t>
      </w:r>
      <w:r w:rsidRPr="00653405">
        <w:rPr>
          <w:rFonts w:cs="Times New Roman"/>
          <w:vertAlign w:val="superscript"/>
        </w:rPr>
        <w:t>67</w:t>
      </w:r>
      <w:r w:rsidRPr="00062E4D">
        <w:rPr>
          <w:rFonts w:cs="Times New Roman"/>
        </w:rPr>
        <w:t>panta pirmajā daļā</w:t>
      </w:r>
      <w:r w:rsidR="00653405">
        <w:rPr>
          <w:rFonts w:cs="Times New Roman"/>
        </w:rPr>
        <w:t xml:space="preserve"> </w:t>
      </w:r>
      <w:r w:rsidRPr="00062E4D">
        <w:rPr>
          <w:rFonts w:cs="Times New Roman"/>
        </w:rPr>
        <w:t>minētie pierādījumi, ja persona tos ieguvusi, izmantojot piekļuvi konkurences iestādes lietas</w:t>
      </w:r>
      <w:r w:rsidR="00653405">
        <w:rPr>
          <w:rFonts w:cs="Times New Roman"/>
        </w:rPr>
        <w:t xml:space="preserve"> </w:t>
      </w:r>
      <w:r w:rsidRPr="00062E4D">
        <w:rPr>
          <w:rFonts w:cs="Times New Roman"/>
        </w:rPr>
        <w:t xml:space="preserve">materiāliem. </w:t>
      </w:r>
      <w:r w:rsidR="00653405">
        <w:rPr>
          <w:rFonts w:cs="Times New Roman"/>
        </w:rPr>
        <w:t>A</w:t>
      </w:r>
      <w:r w:rsidRPr="00062E4D">
        <w:rPr>
          <w:rFonts w:cs="Times New Roman"/>
        </w:rPr>
        <w:t>rī šajā aspektā</w:t>
      </w:r>
      <w:r w:rsidR="00653405">
        <w:rPr>
          <w:rFonts w:cs="Times New Roman"/>
        </w:rPr>
        <w:t xml:space="preserve"> nav </w:t>
      </w:r>
      <w:r w:rsidRPr="00062E4D">
        <w:rPr>
          <w:rFonts w:cs="Times New Roman"/>
        </w:rPr>
        <w:t>konstatē</w:t>
      </w:r>
      <w:r w:rsidR="00653405">
        <w:rPr>
          <w:rFonts w:cs="Times New Roman"/>
        </w:rPr>
        <w:t>jams</w:t>
      </w:r>
      <w:r w:rsidRPr="00062E4D">
        <w:rPr>
          <w:rFonts w:cs="Times New Roman"/>
        </w:rPr>
        <w:t xml:space="preserve"> SIA </w:t>
      </w:r>
      <w:r w:rsidR="00653405">
        <w:rPr>
          <w:rFonts w:cs="Times New Roman"/>
        </w:rPr>
        <w:t>„</w:t>
      </w:r>
      <w:r w:rsidRPr="00062E4D">
        <w:rPr>
          <w:rFonts w:cs="Times New Roman"/>
        </w:rPr>
        <w:t>Velve” tiesību vai tiesisko interešu aizskārum</w:t>
      </w:r>
      <w:r w:rsidR="00653405">
        <w:rPr>
          <w:rFonts w:cs="Times New Roman"/>
        </w:rPr>
        <w:t>s</w:t>
      </w:r>
      <w:r w:rsidRPr="00062E4D">
        <w:rPr>
          <w:rFonts w:cs="Times New Roman"/>
        </w:rPr>
        <w:t>, jo izlīgumu nebūs iespējams</w:t>
      </w:r>
      <w:r w:rsidR="00653405">
        <w:rPr>
          <w:rFonts w:cs="Times New Roman"/>
        </w:rPr>
        <w:t xml:space="preserve"> </w:t>
      </w:r>
      <w:r w:rsidRPr="00062E4D">
        <w:rPr>
          <w:rFonts w:cs="Times New Roman"/>
        </w:rPr>
        <w:t>izmantot kā pierādījumu lietā par zaudējumu piedziņu, ja tiesisko strīdu būs ierosinājusi persona,</w:t>
      </w:r>
      <w:r w:rsidR="00653405">
        <w:rPr>
          <w:rFonts w:cs="Times New Roman"/>
        </w:rPr>
        <w:t xml:space="preserve"> </w:t>
      </w:r>
      <w:r w:rsidRPr="00062E4D">
        <w:rPr>
          <w:rFonts w:cs="Times New Roman"/>
        </w:rPr>
        <w:t xml:space="preserve">kas cietusi no SIA </w:t>
      </w:r>
      <w:r w:rsidR="00653405">
        <w:rPr>
          <w:rFonts w:cs="Times New Roman"/>
        </w:rPr>
        <w:t>„</w:t>
      </w:r>
      <w:r w:rsidRPr="00062E4D">
        <w:rPr>
          <w:rFonts w:cs="Times New Roman"/>
        </w:rPr>
        <w:t>Velve” pieļauta konkurences tiesību pārkāpuma. Turklāt iepriekš citētās</w:t>
      </w:r>
      <w:r w:rsidR="00653405">
        <w:rPr>
          <w:rFonts w:cs="Times New Roman"/>
        </w:rPr>
        <w:t xml:space="preserve"> </w:t>
      </w:r>
      <w:r w:rsidRPr="00062E4D">
        <w:rPr>
          <w:rFonts w:cs="Times New Roman"/>
        </w:rPr>
        <w:t>Civilprocesa likuma normas pašas par sevi neliedz personai tiesības iepazīties ar konkurences</w:t>
      </w:r>
      <w:r w:rsidR="00653405">
        <w:rPr>
          <w:rFonts w:cs="Times New Roman"/>
        </w:rPr>
        <w:t xml:space="preserve"> </w:t>
      </w:r>
      <w:r w:rsidRPr="00062E4D">
        <w:rPr>
          <w:rFonts w:cs="Times New Roman"/>
        </w:rPr>
        <w:t>uzraudzības iestādes lietas materiāliem</w:t>
      </w:r>
      <w:r w:rsidR="00653405">
        <w:rPr>
          <w:rFonts w:cs="Times New Roman"/>
        </w:rPr>
        <w:t xml:space="preserve">, </w:t>
      </w:r>
      <w:r w:rsidRPr="00062E4D">
        <w:rPr>
          <w:rFonts w:cs="Times New Roman"/>
        </w:rPr>
        <w:t xml:space="preserve">tās </w:t>
      </w:r>
      <w:r w:rsidR="00653405">
        <w:rPr>
          <w:rFonts w:cs="Times New Roman"/>
        </w:rPr>
        <w:t xml:space="preserve">tieši </w:t>
      </w:r>
      <w:r w:rsidRPr="00062E4D">
        <w:rPr>
          <w:rFonts w:cs="Times New Roman"/>
        </w:rPr>
        <w:t>pieļauj iespējamību, ka persona ar</w:t>
      </w:r>
      <w:r w:rsidR="00653405">
        <w:rPr>
          <w:rFonts w:cs="Times New Roman"/>
        </w:rPr>
        <w:t xml:space="preserve"> </w:t>
      </w:r>
      <w:r w:rsidRPr="00062E4D">
        <w:rPr>
          <w:rFonts w:cs="Times New Roman"/>
        </w:rPr>
        <w:t>izlīguma piedāvājumu ir iepazinusies, piekļūstot administratīvās lietas materiāliem konkurences</w:t>
      </w:r>
      <w:r w:rsidR="00653405">
        <w:rPr>
          <w:rFonts w:cs="Times New Roman"/>
        </w:rPr>
        <w:t xml:space="preserve"> </w:t>
      </w:r>
      <w:r w:rsidRPr="00062E4D">
        <w:rPr>
          <w:rFonts w:cs="Times New Roman"/>
        </w:rPr>
        <w:t xml:space="preserve">iestādē. </w:t>
      </w:r>
      <w:r w:rsidR="00653405">
        <w:rPr>
          <w:rFonts w:cs="Times New Roman"/>
        </w:rPr>
        <w:t>Tātad pieteicējas iepazīšanās ar izlīgum</w:t>
      </w:r>
      <w:r w:rsidR="00753BCE">
        <w:rPr>
          <w:rFonts w:cs="Times New Roman"/>
        </w:rPr>
        <w:t>a piedāvājumu</w:t>
      </w:r>
      <w:r w:rsidR="00653405">
        <w:rPr>
          <w:rFonts w:cs="Times New Roman"/>
        </w:rPr>
        <w:t xml:space="preserve"> </w:t>
      </w:r>
      <w:r w:rsidRPr="00062E4D">
        <w:rPr>
          <w:rFonts w:cs="Times New Roman"/>
        </w:rPr>
        <w:t>neietekm</w:t>
      </w:r>
      <w:r w:rsidR="00753BCE">
        <w:rPr>
          <w:rFonts w:cs="Times New Roman"/>
        </w:rPr>
        <w:t>ēs</w:t>
      </w:r>
      <w:r w:rsidRPr="00062E4D">
        <w:rPr>
          <w:rFonts w:cs="Times New Roman"/>
        </w:rPr>
        <w:t xml:space="preserve"> </w:t>
      </w:r>
      <w:r w:rsidR="00753BCE">
        <w:rPr>
          <w:rFonts w:cs="Times New Roman"/>
        </w:rPr>
        <w:t>SIA „Velve”</w:t>
      </w:r>
      <w:r w:rsidRPr="00062E4D">
        <w:rPr>
          <w:rFonts w:cs="Times New Roman"/>
        </w:rPr>
        <w:t xml:space="preserve"> tiesības vai tiesiskās intereses</w:t>
      </w:r>
      <w:r w:rsidR="00653405">
        <w:rPr>
          <w:rFonts w:cs="Times New Roman"/>
        </w:rPr>
        <w:t>. P</w:t>
      </w:r>
      <w:r w:rsidRPr="00062E4D">
        <w:rPr>
          <w:rFonts w:cs="Times New Roman"/>
        </w:rPr>
        <w:t>ieteicēja</w:t>
      </w:r>
      <w:r w:rsidR="00653405">
        <w:rPr>
          <w:rFonts w:cs="Times New Roman"/>
        </w:rPr>
        <w:t xml:space="preserve"> </w:t>
      </w:r>
      <w:r w:rsidRPr="00062E4D">
        <w:rPr>
          <w:rFonts w:cs="Times New Roman"/>
        </w:rPr>
        <w:t xml:space="preserve">nav ierosinājusi tiesvedību par zaudējumu piedziņu no SIA </w:t>
      </w:r>
      <w:r w:rsidR="00653405">
        <w:rPr>
          <w:rFonts w:cs="Times New Roman"/>
        </w:rPr>
        <w:t>„</w:t>
      </w:r>
      <w:r w:rsidRPr="00062E4D">
        <w:rPr>
          <w:rFonts w:cs="Times New Roman"/>
        </w:rPr>
        <w:t>Velve”, ko tā būtu nodarījusi ar</w:t>
      </w:r>
      <w:r w:rsidR="00653405">
        <w:rPr>
          <w:rFonts w:cs="Times New Roman"/>
        </w:rPr>
        <w:t xml:space="preserve"> </w:t>
      </w:r>
      <w:r w:rsidRPr="00062E4D">
        <w:rPr>
          <w:rFonts w:cs="Times New Roman"/>
        </w:rPr>
        <w:t>konkurences tiesību pārkāpumu</w:t>
      </w:r>
      <w:r w:rsidR="00753BCE">
        <w:rPr>
          <w:rFonts w:cs="Times New Roman"/>
        </w:rPr>
        <w:t>, un i</w:t>
      </w:r>
      <w:r w:rsidRPr="00062E4D">
        <w:rPr>
          <w:rFonts w:cs="Times New Roman"/>
        </w:rPr>
        <w:t>zlīguma piedāvājums nevar tikt izmantots kā pierādījums,</w:t>
      </w:r>
      <w:r w:rsidR="00653405">
        <w:rPr>
          <w:rFonts w:cs="Times New Roman"/>
        </w:rPr>
        <w:t xml:space="preserve"> </w:t>
      </w:r>
      <w:r w:rsidRPr="00062E4D">
        <w:rPr>
          <w:rFonts w:cs="Times New Roman"/>
        </w:rPr>
        <w:t>ja šāda tiesvedība eventuāli nākotnē rastos.</w:t>
      </w:r>
    </w:p>
    <w:p w14:paraId="7D482F6C" w14:textId="0F7F5116" w:rsidR="00440710" w:rsidRDefault="00440710" w:rsidP="00C52CD8">
      <w:pPr>
        <w:tabs>
          <w:tab w:val="left" w:pos="1276"/>
        </w:tabs>
        <w:spacing w:after="0"/>
        <w:ind w:firstLine="567"/>
        <w:contextualSpacing/>
        <w:rPr>
          <w:rFonts w:cs="Times New Roman"/>
        </w:rPr>
      </w:pPr>
    </w:p>
    <w:p w14:paraId="22567C0E" w14:textId="0FEF7C34" w:rsidR="005B6E95" w:rsidRDefault="005B6E95" w:rsidP="00C52CD8">
      <w:pPr>
        <w:tabs>
          <w:tab w:val="left" w:pos="1276"/>
        </w:tabs>
        <w:spacing w:after="0"/>
        <w:ind w:firstLine="567"/>
        <w:contextualSpacing/>
        <w:rPr>
          <w:rFonts w:cs="Times New Roman"/>
        </w:rPr>
      </w:pPr>
      <w:r>
        <w:rPr>
          <w:rFonts w:cs="Times New Roman"/>
        </w:rPr>
        <w:t>[4] Konkurences padome par Administratīvās rajona tiesas lēmumu iesniedza blakus sūdzību.</w:t>
      </w:r>
    </w:p>
    <w:p w14:paraId="53676F63" w14:textId="2455D6AA" w:rsidR="00B65000" w:rsidRDefault="005B6E95" w:rsidP="00C52CD8">
      <w:pPr>
        <w:tabs>
          <w:tab w:val="left" w:pos="1276"/>
        </w:tabs>
        <w:spacing w:after="0"/>
        <w:ind w:firstLine="567"/>
        <w:contextualSpacing/>
        <w:rPr>
          <w:rFonts w:cs="Times New Roman"/>
        </w:rPr>
      </w:pPr>
      <w:r>
        <w:rPr>
          <w:rFonts w:cs="Times New Roman"/>
        </w:rPr>
        <w:t xml:space="preserve">Pirmkārt, </w:t>
      </w:r>
      <w:r w:rsidR="007A5CF8">
        <w:rPr>
          <w:rFonts w:cs="Times New Roman"/>
        </w:rPr>
        <w:t xml:space="preserve">Konkurences padome uzskata, ka, pirms izlemt jautājumu par trešās personas pieaicināšanu, tiesai bija jāizlemj jautājums par tiesvedības izbeigšanu, izvērtējot Konkurences padomes </w:t>
      </w:r>
      <w:r w:rsidR="00B65000">
        <w:rPr>
          <w:rFonts w:cs="Times New Roman"/>
        </w:rPr>
        <w:t>lūgumu</w:t>
      </w:r>
      <w:r w:rsidR="006F76EF">
        <w:rPr>
          <w:rFonts w:cs="Times New Roman"/>
        </w:rPr>
        <w:t xml:space="preserve"> un argumentus par tiesvedības izbeigšanu</w:t>
      </w:r>
      <w:r w:rsidR="007A5CF8">
        <w:rPr>
          <w:rFonts w:cs="Times New Roman"/>
        </w:rPr>
        <w:t>.</w:t>
      </w:r>
    </w:p>
    <w:p w14:paraId="71BAAD85" w14:textId="6861CA68" w:rsidR="00B65000" w:rsidRDefault="00B65000" w:rsidP="00C52CD8">
      <w:pPr>
        <w:tabs>
          <w:tab w:val="left" w:pos="1276"/>
        </w:tabs>
        <w:spacing w:after="0"/>
        <w:ind w:firstLine="567"/>
        <w:contextualSpacing/>
        <w:rPr>
          <w:rFonts w:cs="Times New Roman"/>
        </w:rPr>
      </w:pPr>
      <w:r>
        <w:rPr>
          <w:rFonts w:cs="Times New Roman"/>
        </w:rPr>
        <w:lastRenderedPageBreak/>
        <w:t xml:space="preserve">Otrkārt, padome norāda uz nepareizu trešās personas jēdziena piemērošanu Administratīvā procesa likuma 28.panta pirmās daļas izpratnē. Rajona tiesa esot to nepamatoti sašaurinājusi, par būtisku apstākli uzskatot to, ka administratīvais process attiecībā uz SIA „VELVE” ir noslēdzies. Tāpat kā </w:t>
      </w:r>
      <w:r w:rsidR="00166498">
        <w:rPr>
          <w:rFonts w:cs="Times New Roman"/>
        </w:rPr>
        <w:t>gadījumā ar komercnoslēpuma izpaušanu, arī ar izlīguma piedāvājuma izsniegšanu var tikt skartas SIA „VELVE” intereses.</w:t>
      </w:r>
    </w:p>
    <w:p w14:paraId="0A9EE435" w14:textId="5AB0DEC0" w:rsidR="00166498" w:rsidRDefault="00D625A1" w:rsidP="00C52CD8">
      <w:pPr>
        <w:tabs>
          <w:tab w:val="left" w:pos="1276"/>
        </w:tabs>
        <w:spacing w:after="0"/>
        <w:ind w:firstLine="567"/>
        <w:contextualSpacing/>
        <w:rPr>
          <w:rFonts w:cs="Times New Roman"/>
        </w:rPr>
      </w:pPr>
      <w:r>
        <w:rPr>
          <w:rFonts w:cs="Times New Roman"/>
        </w:rPr>
        <w:t>Treškārt, Konkurences padome atkārto jau tās lūgumā par trešās personas pieaicināšanu norādīto pamatojumu trešās personas pieaicināšanai, proti, ka i</w:t>
      </w:r>
      <w:r w:rsidRPr="00D625A1">
        <w:rPr>
          <w:rFonts w:cs="Times New Roman"/>
        </w:rPr>
        <w:t xml:space="preserve">zlīguma piedāvājuma atklāšana radītu risku, ka </w:t>
      </w:r>
      <w:r w:rsidR="00B17FD7">
        <w:rPr>
          <w:rFonts w:cs="Times New Roman"/>
        </w:rPr>
        <w:t>SIA „VELVE”</w:t>
      </w:r>
      <w:r w:rsidRPr="00D625A1">
        <w:rPr>
          <w:rFonts w:cs="Times New Roman"/>
        </w:rPr>
        <w:t xml:space="preserve">, kas ir sadarbojusies ar </w:t>
      </w:r>
      <w:r>
        <w:rPr>
          <w:rFonts w:cs="Times New Roman"/>
        </w:rPr>
        <w:t>Konkurences padomi</w:t>
      </w:r>
      <w:r w:rsidRPr="00D625A1">
        <w:rPr>
          <w:rFonts w:cs="Times New Roman"/>
        </w:rPr>
        <w:t xml:space="preserve">, var tikt nostādīta sliktākos apstākļos </w:t>
      </w:r>
      <w:r w:rsidR="00B17FD7">
        <w:rPr>
          <w:rFonts w:cs="Times New Roman"/>
        </w:rPr>
        <w:t xml:space="preserve">(līdz ar pašapsūdzošu liecību atklāšanu) </w:t>
      </w:r>
      <w:r w:rsidRPr="00D625A1">
        <w:rPr>
          <w:rFonts w:cs="Times New Roman"/>
        </w:rPr>
        <w:t xml:space="preserve">nekā līdzpārkāpēji, kuri nesadarbojās ar </w:t>
      </w:r>
      <w:r>
        <w:rPr>
          <w:rFonts w:cs="Times New Roman"/>
        </w:rPr>
        <w:t>padomi</w:t>
      </w:r>
      <w:r w:rsidR="00B17FD7">
        <w:rPr>
          <w:rFonts w:cs="Times New Roman"/>
        </w:rPr>
        <w:t xml:space="preserve">. </w:t>
      </w:r>
      <w:r w:rsidR="00B17FD7" w:rsidRPr="00B17FD7">
        <w:rPr>
          <w:rFonts w:cs="Times New Roman"/>
        </w:rPr>
        <w:t xml:space="preserve">Iespējamais tiesisko interešu aizskārums izriet un ir pamatots ar Eiropas Parlamenta un Padomes </w:t>
      </w:r>
      <w:r w:rsidR="00B17FD7">
        <w:rPr>
          <w:rFonts w:cs="Times New Roman"/>
        </w:rPr>
        <w:t xml:space="preserve">2014.gada 26.novembra </w:t>
      </w:r>
      <w:r w:rsidR="00B17FD7" w:rsidRPr="00B17FD7">
        <w:rPr>
          <w:rFonts w:cs="Times New Roman"/>
        </w:rPr>
        <w:t xml:space="preserve">direktīvu 2014/104/ES par atsevišķiem noteikumiem, kuri valstu tiesībās reglamentē zaudējumu atlīdzināšanas prasības par dalībvalstu un Eiropas Savienības konkurences tiesību pārkāpumiem (turpmāk – Zaudējumu atlīdzināšanas direktīva), kuras nosacījumi par nepieciešamību īpaši aizsargāt tirgus dalībnieku iesniegtos izlīguma piedāvājumus ir ieviesti </w:t>
      </w:r>
      <w:r w:rsidR="00456158">
        <w:rPr>
          <w:rFonts w:cs="Times New Roman"/>
        </w:rPr>
        <w:t>Civilprocesa likuma</w:t>
      </w:r>
      <w:r w:rsidR="00B17FD7" w:rsidRPr="00B17FD7">
        <w:rPr>
          <w:rFonts w:cs="Times New Roman"/>
        </w:rPr>
        <w:t xml:space="preserve"> 250.</w:t>
      </w:r>
      <w:r w:rsidR="00B17FD7" w:rsidRPr="00B17FD7">
        <w:rPr>
          <w:rFonts w:cs="Times New Roman"/>
          <w:vertAlign w:val="superscript"/>
        </w:rPr>
        <w:t>67</w:t>
      </w:r>
      <w:r w:rsidR="00B17FD7" w:rsidRPr="00B17FD7">
        <w:rPr>
          <w:rFonts w:cs="Times New Roman"/>
        </w:rPr>
        <w:t>panta pirmās daļas 2.punktā.</w:t>
      </w:r>
      <w:r w:rsidR="000A100C">
        <w:rPr>
          <w:rFonts w:cs="Times New Roman"/>
        </w:rPr>
        <w:t xml:space="preserve"> Tātad likumdevējs, liedzot pat tiesai un cietušajiem </w:t>
      </w:r>
      <w:r w:rsidR="00A7095D">
        <w:rPr>
          <w:rFonts w:cs="Times New Roman"/>
        </w:rPr>
        <w:t xml:space="preserve">(vēl jo vairāk – citām personām) </w:t>
      </w:r>
      <w:r w:rsidR="000A100C">
        <w:rPr>
          <w:rFonts w:cs="Times New Roman"/>
        </w:rPr>
        <w:t xml:space="preserve">iepazīties ar </w:t>
      </w:r>
      <w:r w:rsidR="000A100C" w:rsidRPr="000A100C">
        <w:rPr>
          <w:rFonts w:cs="Times New Roman"/>
        </w:rPr>
        <w:t>izlīguma piedāvājum</w:t>
      </w:r>
      <w:r w:rsidR="000A100C">
        <w:rPr>
          <w:rFonts w:cs="Times New Roman"/>
        </w:rPr>
        <w:t>u, jau ir novērtējis, ka tā</w:t>
      </w:r>
      <w:r w:rsidR="000A100C" w:rsidRPr="000A100C">
        <w:rPr>
          <w:rFonts w:cs="Times New Roman"/>
        </w:rPr>
        <w:t xml:space="preserve"> nonākšana jebkuras trešās personas rīcībā var aizskart tirgus dalībnieka, kas konkurences iestādē iesniedzis izlīguma piedāvājumu, tiesiskās intereses</w:t>
      </w:r>
      <w:r w:rsidR="000A100C">
        <w:rPr>
          <w:rFonts w:cs="Times New Roman"/>
        </w:rPr>
        <w:t>.</w:t>
      </w:r>
    </w:p>
    <w:p w14:paraId="55D1C87D" w14:textId="7C0D7F7F" w:rsidR="00D625A1" w:rsidRDefault="00A7095D" w:rsidP="00C52CD8">
      <w:pPr>
        <w:tabs>
          <w:tab w:val="left" w:pos="1276"/>
        </w:tabs>
        <w:spacing w:after="0"/>
        <w:ind w:firstLine="567"/>
        <w:contextualSpacing/>
        <w:rPr>
          <w:rFonts w:cs="Times New Roman"/>
        </w:rPr>
      </w:pPr>
      <w:r>
        <w:rPr>
          <w:rFonts w:cs="Times New Roman"/>
        </w:rPr>
        <w:t>Argumentējot šo iebildumu, Konkurences padome norāda arī uz to, ka rajona t</w:t>
      </w:r>
      <w:r w:rsidRPr="00A7095D">
        <w:rPr>
          <w:rFonts w:cs="Times New Roman"/>
        </w:rPr>
        <w:t xml:space="preserve">iesa </w:t>
      </w:r>
      <w:r>
        <w:rPr>
          <w:rFonts w:cs="Times New Roman"/>
        </w:rPr>
        <w:t xml:space="preserve">Civilprocesa likuma </w:t>
      </w:r>
      <w:r w:rsidRPr="00A7095D">
        <w:rPr>
          <w:rFonts w:cs="Times New Roman"/>
        </w:rPr>
        <w:t>250.</w:t>
      </w:r>
      <w:r w:rsidRPr="00A7095D">
        <w:rPr>
          <w:rFonts w:cs="Times New Roman"/>
          <w:vertAlign w:val="superscript"/>
        </w:rPr>
        <w:t>67</w:t>
      </w:r>
      <w:r w:rsidRPr="00A7095D">
        <w:rPr>
          <w:rFonts w:cs="Times New Roman"/>
        </w:rPr>
        <w:t>panta pirm</w:t>
      </w:r>
      <w:r>
        <w:rPr>
          <w:rFonts w:cs="Times New Roman"/>
        </w:rPr>
        <w:t>ās</w:t>
      </w:r>
      <w:r w:rsidRPr="00A7095D">
        <w:rPr>
          <w:rFonts w:cs="Times New Roman"/>
        </w:rPr>
        <w:t xml:space="preserve"> daļ</w:t>
      </w:r>
      <w:r>
        <w:rPr>
          <w:rFonts w:cs="Times New Roman"/>
        </w:rPr>
        <w:t>as</w:t>
      </w:r>
      <w:r w:rsidRPr="00A7095D">
        <w:rPr>
          <w:rFonts w:cs="Times New Roman"/>
        </w:rPr>
        <w:t xml:space="preserve"> 2.punktu ir tulkojusi gramatiski, neņemot vērā tās jēgu un mērķi, kas ar šo tiesību normu ir jāsasniedz</w:t>
      </w:r>
      <w:r>
        <w:rPr>
          <w:rFonts w:cs="Times New Roman"/>
        </w:rPr>
        <w:t xml:space="preserve">. Ar šo normu </w:t>
      </w:r>
      <w:r w:rsidRPr="00A7095D">
        <w:rPr>
          <w:rFonts w:cs="Times New Roman"/>
        </w:rPr>
        <w:t>ir noteikta īpaša aizsardzība izlīguma piedāvājumiem</w:t>
      </w:r>
      <w:r>
        <w:rPr>
          <w:rFonts w:cs="Times New Roman"/>
        </w:rPr>
        <w:t xml:space="preserve">, kas ir skaidrots arī likumprojekta, ar kuru normas iekļautas Civilprocesa likumā, anotācijā. Savukārt </w:t>
      </w:r>
      <w:r w:rsidR="005D7A33">
        <w:rPr>
          <w:rFonts w:cs="Times New Roman"/>
        </w:rPr>
        <w:t xml:space="preserve">no </w:t>
      </w:r>
      <w:r>
        <w:rPr>
          <w:rFonts w:cs="Times New Roman"/>
        </w:rPr>
        <w:t xml:space="preserve">Zaudējumu atlīdzināšanas direktīvas preambulas 26.punkta izriet, ka izlīguma piedāvājuma izpaušana var ietekmēt personas ne tikai civilprocesā, bet arī krimināltiesiski, tātad nav pamata aprobežoties </w:t>
      </w:r>
      <w:r>
        <w:rPr>
          <w:rFonts w:cs="Times New Roman"/>
        </w:rPr>
        <w:lastRenderedPageBreak/>
        <w:t>tikai ar iespējamo aizskārumu civilprocesā.</w:t>
      </w:r>
      <w:r w:rsidR="00075A79" w:rsidRPr="00075A79">
        <w:t xml:space="preserve"> </w:t>
      </w:r>
      <w:r w:rsidR="00075A79">
        <w:rPr>
          <w:rFonts w:cs="Times New Roman"/>
        </w:rPr>
        <w:t>Ja</w:t>
      </w:r>
      <w:r w:rsidR="00075A79" w:rsidRPr="00075A79">
        <w:rPr>
          <w:rFonts w:cs="Times New Roman"/>
        </w:rPr>
        <w:t xml:space="preserve"> izlīguma piedāvājumu </w:t>
      </w:r>
      <w:r w:rsidR="00075A79">
        <w:rPr>
          <w:rFonts w:cs="Times New Roman"/>
        </w:rPr>
        <w:t>būtu</w:t>
      </w:r>
      <w:r w:rsidR="00075A79" w:rsidRPr="00075A79">
        <w:rPr>
          <w:rFonts w:cs="Times New Roman"/>
        </w:rPr>
        <w:t xml:space="preserve"> iespējams izsniegt jebkurai trešajai personai, konkrētā tirgus dalībnieka, kas ir sadarbojies ar konkurences iestādi, </w:t>
      </w:r>
      <w:r w:rsidR="00075A79" w:rsidRPr="005D7A33">
        <w:rPr>
          <w:rFonts w:cs="Times New Roman"/>
        </w:rPr>
        <w:t xml:space="preserve">tiesiskās intereses varētu tikt aizskartas, to pakļaujot atbildībai sliktākos apstākļos nekā līdzpārkāpēji, </w:t>
      </w:r>
      <w:r w:rsidR="005D7A33" w:rsidRPr="005D7A33">
        <w:rPr>
          <w:rFonts w:cs="Times New Roman"/>
        </w:rPr>
        <w:t>un t</w:t>
      </w:r>
      <w:r w:rsidR="00075A79" w:rsidRPr="005D7A33">
        <w:rPr>
          <w:rFonts w:cs="Times New Roman"/>
        </w:rPr>
        <w:t>as atturētu tirgus dalībniekus no sadarbošanās, jo rastos risks, ka pret izlīguma slēdzēju</w:t>
      </w:r>
      <w:r w:rsidR="00075A79" w:rsidRPr="00075A79">
        <w:rPr>
          <w:rFonts w:cs="Times New Roman"/>
        </w:rPr>
        <w:t xml:space="preserve"> ārpus konkurences lietas tiek atklātas un izmantotas pašapsūdzošas liecības, kas ir iesniegtas tikai ar mērķi sadarboties ar konkurences iestādi konkrētā konkurences lietā.</w:t>
      </w:r>
    </w:p>
    <w:p w14:paraId="4A88EE1D" w14:textId="2C66BFF5" w:rsidR="00203E6C" w:rsidRDefault="00203E6C" w:rsidP="00C52CD8">
      <w:pPr>
        <w:tabs>
          <w:tab w:val="left" w:pos="1276"/>
        </w:tabs>
        <w:spacing w:after="0"/>
        <w:ind w:firstLine="567"/>
        <w:contextualSpacing/>
        <w:rPr>
          <w:rFonts w:cs="Times New Roman"/>
        </w:rPr>
      </w:pPr>
      <w:r>
        <w:rPr>
          <w:rFonts w:cs="Times New Roman"/>
        </w:rPr>
        <w:t>Ceturtkārt, Ko</w:t>
      </w:r>
      <w:r w:rsidR="008B3829">
        <w:rPr>
          <w:rFonts w:cs="Times New Roman"/>
        </w:rPr>
        <w:t>n</w:t>
      </w:r>
      <w:r>
        <w:rPr>
          <w:rFonts w:cs="Times New Roman"/>
        </w:rPr>
        <w:t xml:space="preserve">kurences padome norāda uz privātpersonas tiesību ievērošanas principa pārkāpumu, kas esot izpaudies </w:t>
      </w:r>
      <w:r w:rsidR="008B3829">
        <w:rPr>
          <w:rFonts w:cs="Times New Roman"/>
        </w:rPr>
        <w:t xml:space="preserve">tādējādi, ka tiesa, izlemjot procesuālo jautājumu par trešās personas pieaicināšanu, neesot apsvērusi, ka </w:t>
      </w:r>
      <w:r w:rsidR="008B3829" w:rsidRPr="008B3829">
        <w:rPr>
          <w:rFonts w:cs="Times New Roman"/>
        </w:rPr>
        <w:t>trešās personas pieaicināšana kalpo preventīvai individuālai aizsardzībai</w:t>
      </w:r>
      <w:r w:rsidR="008B3829">
        <w:rPr>
          <w:rFonts w:cs="Times New Roman"/>
        </w:rPr>
        <w:t>.</w:t>
      </w:r>
    </w:p>
    <w:p w14:paraId="7CDEDEEF" w14:textId="0D1B7B3A" w:rsidR="008B3829" w:rsidRDefault="008B3829" w:rsidP="00C52CD8">
      <w:pPr>
        <w:tabs>
          <w:tab w:val="left" w:pos="1276"/>
        </w:tabs>
        <w:spacing w:after="0"/>
        <w:ind w:firstLine="567"/>
        <w:contextualSpacing/>
        <w:rPr>
          <w:rFonts w:cs="Times New Roman"/>
        </w:rPr>
      </w:pPr>
    </w:p>
    <w:p w14:paraId="7253120B" w14:textId="2C413F7C" w:rsidR="008B3829" w:rsidRDefault="008B3829" w:rsidP="00C52CD8">
      <w:pPr>
        <w:tabs>
          <w:tab w:val="left" w:pos="1276"/>
        </w:tabs>
        <w:spacing w:after="0"/>
        <w:ind w:firstLine="567"/>
        <w:contextualSpacing/>
        <w:rPr>
          <w:rFonts w:cs="Times New Roman"/>
        </w:rPr>
      </w:pPr>
      <w:r>
        <w:rPr>
          <w:rFonts w:cs="Times New Roman"/>
        </w:rPr>
        <w:t>[</w:t>
      </w:r>
      <w:r w:rsidR="00693325">
        <w:rPr>
          <w:rFonts w:cs="Times New Roman"/>
        </w:rPr>
        <w:t>5</w:t>
      </w:r>
      <w:r>
        <w:rPr>
          <w:rFonts w:cs="Times New Roman"/>
        </w:rPr>
        <w:t>] Pieteicēja par Konkurences padomes blakus sūdzību iesniegusi paskaidrojumus, kuros argumentē, ka Administratīvā rajona tiesa ir pareizi novērtējis SIA „VELVE” iespējamā tiesību un tiesisko interešu aizskāruma neesību.</w:t>
      </w:r>
      <w:r w:rsidR="00DB278A">
        <w:rPr>
          <w:rFonts w:cs="Times New Roman"/>
        </w:rPr>
        <w:t xml:space="preserve"> </w:t>
      </w:r>
      <w:r w:rsidR="003D61EB" w:rsidRPr="003D61EB">
        <w:rPr>
          <w:rFonts w:cs="Times New Roman"/>
        </w:rPr>
        <w:t>Izlīguma izsniegšana nekādā veidā nevar</w:t>
      </w:r>
      <w:r w:rsidR="003D61EB">
        <w:rPr>
          <w:rFonts w:cs="Times New Roman"/>
        </w:rPr>
        <w:t>ot</w:t>
      </w:r>
      <w:r w:rsidR="003D61EB" w:rsidRPr="003D61EB">
        <w:rPr>
          <w:rFonts w:cs="Times New Roman"/>
        </w:rPr>
        <w:t xml:space="preserve"> aizskart SIA </w:t>
      </w:r>
      <w:r w:rsidR="003D61EB">
        <w:rPr>
          <w:rFonts w:cs="Times New Roman"/>
        </w:rPr>
        <w:t>„</w:t>
      </w:r>
      <w:r w:rsidR="003D61EB" w:rsidRPr="003D61EB">
        <w:rPr>
          <w:rFonts w:cs="Times New Roman"/>
        </w:rPr>
        <w:t xml:space="preserve">VELVE” tiesības un tiesiskās intereses, jo tās tiesības un intereses </w:t>
      </w:r>
      <w:r w:rsidR="003D61EB">
        <w:rPr>
          <w:rFonts w:cs="Times New Roman"/>
        </w:rPr>
        <w:t>p</w:t>
      </w:r>
      <w:r w:rsidR="003D61EB" w:rsidRPr="003D61EB">
        <w:rPr>
          <w:rFonts w:cs="Times New Roman"/>
        </w:rPr>
        <w:t>amatlietā</w:t>
      </w:r>
      <w:r w:rsidR="003E2CA7">
        <w:rPr>
          <w:rFonts w:cs="Times New Roman"/>
        </w:rPr>
        <w:t>, kurā Konkurences padome piemēroja sodus par konkurences tiesību pārkāpumu,</w:t>
      </w:r>
      <w:r w:rsidR="003D61EB" w:rsidRPr="003D61EB">
        <w:rPr>
          <w:rFonts w:cs="Times New Roman"/>
        </w:rPr>
        <w:t xml:space="preserve"> jau ir noregulētas ar </w:t>
      </w:r>
      <w:r w:rsidR="003E2CA7">
        <w:rPr>
          <w:rFonts w:cs="Times New Roman"/>
        </w:rPr>
        <w:t>i</w:t>
      </w:r>
      <w:r w:rsidR="003D61EB" w:rsidRPr="003D61EB">
        <w:rPr>
          <w:rFonts w:cs="Times New Roman"/>
        </w:rPr>
        <w:t xml:space="preserve">zlīgumu un attiecībā uz to administratīvais process ir noslēdzies. Attiecīgi spriedums šajā lietā nemainīs SIA </w:t>
      </w:r>
      <w:r w:rsidR="003E2CA7">
        <w:rPr>
          <w:rFonts w:cs="Times New Roman"/>
        </w:rPr>
        <w:t>„</w:t>
      </w:r>
      <w:r w:rsidR="003D61EB" w:rsidRPr="003D61EB">
        <w:rPr>
          <w:rFonts w:cs="Times New Roman"/>
        </w:rPr>
        <w:t xml:space="preserve">VELVE” </w:t>
      </w:r>
      <w:r w:rsidR="003E2CA7">
        <w:rPr>
          <w:rFonts w:cs="Times New Roman"/>
        </w:rPr>
        <w:t>t</w:t>
      </w:r>
      <w:r w:rsidR="003D61EB" w:rsidRPr="003D61EB">
        <w:rPr>
          <w:rFonts w:cs="Times New Roman"/>
        </w:rPr>
        <w:t>iesisko</w:t>
      </w:r>
      <w:r w:rsidR="003E2CA7">
        <w:rPr>
          <w:rFonts w:cs="Times New Roman"/>
        </w:rPr>
        <w:t xml:space="preserve"> un</w:t>
      </w:r>
      <w:r w:rsidR="003D61EB" w:rsidRPr="003D61EB">
        <w:rPr>
          <w:rFonts w:cs="Times New Roman"/>
        </w:rPr>
        <w:t xml:space="preserve"> faktisko stāvokli un neliegs vai neapgrūtinās tās tiesību īstenošanu</w:t>
      </w:r>
      <w:r w:rsidR="003E2CA7">
        <w:rPr>
          <w:rFonts w:cs="Times New Roman"/>
        </w:rPr>
        <w:t xml:space="preserve">. </w:t>
      </w:r>
      <w:r w:rsidR="00DB278A">
        <w:rPr>
          <w:rFonts w:cs="Times New Roman"/>
        </w:rPr>
        <w:t xml:space="preserve">Pieteicēja uzsver, ka </w:t>
      </w:r>
      <w:r w:rsidR="00DB278A" w:rsidRPr="00DB278A">
        <w:rPr>
          <w:rFonts w:cs="Times New Roman"/>
        </w:rPr>
        <w:t xml:space="preserve">lietā izvērtējamas </w:t>
      </w:r>
      <w:r w:rsidR="00DB278A">
        <w:rPr>
          <w:rFonts w:cs="Times New Roman"/>
        </w:rPr>
        <w:t>p</w:t>
      </w:r>
      <w:r w:rsidR="00DB278A" w:rsidRPr="00DB278A">
        <w:rPr>
          <w:rFonts w:cs="Times New Roman"/>
        </w:rPr>
        <w:t xml:space="preserve">ieteicējas tiesības uz informāciju </w:t>
      </w:r>
      <w:r w:rsidR="00DB278A">
        <w:rPr>
          <w:rFonts w:cs="Times New Roman"/>
        </w:rPr>
        <w:t>Informācijas atklātības likuma</w:t>
      </w:r>
      <w:r w:rsidR="00DB278A" w:rsidRPr="00DB278A">
        <w:rPr>
          <w:rFonts w:cs="Times New Roman"/>
        </w:rPr>
        <w:t xml:space="preserve"> tvērumā</w:t>
      </w:r>
      <w:r w:rsidR="00DB278A">
        <w:rPr>
          <w:rFonts w:cs="Times New Roman"/>
        </w:rPr>
        <w:t xml:space="preserve">, uz ko norāda gan tiesas </w:t>
      </w:r>
      <w:r w:rsidR="00DB278A" w:rsidRPr="00DB278A">
        <w:rPr>
          <w:rFonts w:cs="Times New Roman"/>
        </w:rPr>
        <w:t xml:space="preserve">uzliktais pienākums </w:t>
      </w:r>
      <w:r w:rsidR="00DB278A">
        <w:rPr>
          <w:rFonts w:cs="Times New Roman"/>
        </w:rPr>
        <w:t xml:space="preserve">Konkurences padomei </w:t>
      </w:r>
      <w:r w:rsidR="00DB278A" w:rsidRPr="00DB278A">
        <w:rPr>
          <w:rFonts w:cs="Times New Roman"/>
        </w:rPr>
        <w:t xml:space="preserve">iesniegt lietā </w:t>
      </w:r>
      <w:r w:rsidR="00DB278A">
        <w:rPr>
          <w:rFonts w:cs="Times New Roman"/>
        </w:rPr>
        <w:t>i</w:t>
      </w:r>
      <w:r w:rsidR="00DB278A" w:rsidRPr="00DB278A">
        <w:rPr>
          <w:rFonts w:cs="Times New Roman"/>
        </w:rPr>
        <w:t xml:space="preserve">zlīguma piedāvājumu, </w:t>
      </w:r>
      <w:r w:rsidR="00DB278A">
        <w:rPr>
          <w:rFonts w:cs="Times New Roman"/>
        </w:rPr>
        <w:t xml:space="preserve">gan tas, ka runa ir par lietas </w:t>
      </w:r>
      <w:r w:rsidR="00DB278A" w:rsidRPr="00DB278A">
        <w:rPr>
          <w:rFonts w:cs="Times New Roman"/>
        </w:rPr>
        <w:t>materiāl</w:t>
      </w:r>
      <w:r w:rsidR="00DB278A">
        <w:rPr>
          <w:rFonts w:cs="Times New Roman"/>
        </w:rPr>
        <w:t>iem</w:t>
      </w:r>
      <w:r w:rsidR="00DB278A" w:rsidRPr="00DB278A">
        <w:rPr>
          <w:rFonts w:cs="Times New Roman"/>
        </w:rPr>
        <w:t xml:space="preserve"> no tās administratīvās lietas daļas, kurā administratīvais </w:t>
      </w:r>
      <w:r w:rsidR="00DB278A" w:rsidRPr="00DB278A">
        <w:rPr>
          <w:rFonts w:cs="Times New Roman"/>
        </w:rPr>
        <w:lastRenderedPageBreak/>
        <w:t>process ir noslēdzies.</w:t>
      </w:r>
      <w:r w:rsidR="009A6055">
        <w:rPr>
          <w:rFonts w:cs="Times New Roman"/>
        </w:rPr>
        <w:t xml:space="preserve"> Attiecībā uz lietas pieteikuma priekšmetu pieteicēja vērš  uzmanību, ka šajā gadījumā, kad nav atsevišķi noformēts izlīgums kā abu pušu gribas izteikums, izlīgumu veido arī pieteicējas gribas izteikums, proti Konkurences padomes pieņemtais izlīguma piedāvājums.</w:t>
      </w:r>
    </w:p>
    <w:p w14:paraId="7D22EE8F" w14:textId="00CF5B92" w:rsidR="009600FB" w:rsidRPr="002A18AC" w:rsidRDefault="009600FB" w:rsidP="00C52CD8">
      <w:pPr>
        <w:tabs>
          <w:tab w:val="left" w:pos="1276"/>
        </w:tabs>
        <w:spacing w:after="0"/>
        <w:ind w:firstLine="567"/>
        <w:contextualSpacing/>
        <w:rPr>
          <w:rFonts w:cs="Times New Roman"/>
          <w:color w:val="000000"/>
        </w:rPr>
      </w:pPr>
    </w:p>
    <w:p w14:paraId="4AA04077" w14:textId="509D148A" w:rsidR="009600FB" w:rsidRPr="002A18AC" w:rsidRDefault="00210C14" w:rsidP="00C52CD8">
      <w:pPr>
        <w:pStyle w:val="NormalWeb"/>
        <w:shd w:val="clear" w:color="auto" w:fill="FFFFFF"/>
        <w:spacing w:line="276" w:lineRule="auto"/>
        <w:contextualSpacing/>
        <w:jc w:val="center"/>
        <w:rPr>
          <w:b/>
        </w:rPr>
      </w:pPr>
      <w:r w:rsidRPr="002A18AC">
        <w:rPr>
          <w:b/>
        </w:rPr>
        <w:t>Motīvu daļa</w:t>
      </w:r>
    </w:p>
    <w:p w14:paraId="3529CD2C" w14:textId="77777777" w:rsidR="00437DCC" w:rsidRPr="002A18AC" w:rsidRDefault="00437DCC" w:rsidP="00C52CD8">
      <w:pPr>
        <w:pStyle w:val="NormalWeb"/>
        <w:shd w:val="clear" w:color="auto" w:fill="FFFFFF"/>
        <w:spacing w:line="276" w:lineRule="auto"/>
        <w:ind w:firstLine="567"/>
        <w:jc w:val="center"/>
        <w:rPr>
          <w:b/>
        </w:rPr>
      </w:pPr>
    </w:p>
    <w:p w14:paraId="1A44AD5B" w14:textId="5E2D5123" w:rsidR="007A5CF8" w:rsidRDefault="007A5CF8" w:rsidP="00C52CD8">
      <w:pPr>
        <w:pStyle w:val="NormalWeb"/>
        <w:shd w:val="clear" w:color="auto" w:fill="FFFFFF"/>
        <w:spacing w:line="276" w:lineRule="auto"/>
        <w:ind w:firstLine="567"/>
        <w:jc w:val="both"/>
        <w:rPr>
          <w:bCs/>
        </w:rPr>
      </w:pPr>
      <w:r>
        <w:rPr>
          <w:bCs/>
        </w:rPr>
        <w:t>[</w:t>
      </w:r>
      <w:r w:rsidR="00693325">
        <w:rPr>
          <w:bCs/>
        </w:rPr>
        <w:t>6</w:t>
      </w:r>
      <w:r>
        <w:rPr>
          <w:bCs/>
        </w:rPr>
        <w:t>] Tā kā Administratīvā rajona tiesa ir izlēmusi jautājumu par trešās personas pieaicināšanu, nepievēršoties jautājumam par nepieciešamību izbeigt tiesvedību</w:t>
      </w:r>
      <w:r w:rsidR="000D786A">
        <w:rPr>
          <w:bCs/>
        </w:rPr>
        <w:t xml:space="preserve"> atbilstoši Administratīvā procesa likuma 282.pantam</w:t>
      </w:r>
      <w:r>
        <w:rPr>
          <w:bCs/>
        </w:rPr>
        <w:t>, secināms, ka tiesa nesaskat</w:t>
      </w:r>
      <w:r w:rsidR="000D786A">
        <w:rPr>
          <w:bCs/>
        </w:rPr>
        <w:t>īj</w:t>
      </w:r>
      <w:r>
        <w:rPr>
          <w:bCs/>
        </w:rPr>
        <w:t>a pamatu tiesvedības izbeigšanai. Tiesai nav pienākuma noteikti izlemt jautājumu par tiesvedības izbeigšanu uzreiz pēc attiecīgu argumentu uzklausīšanas vai lūguma saņemšanas no kāda procesa dalībnieka – tā ir tiesas prerogatīva, izvērtēt šo jautājumu lietas izskatīšanas gaitā, iepazīstoties ar lietas būtību.</w:t>
      </w:r>
      <w:r w:rsidR="00460F74">
        <w:rPr>
          <w:bCs/>
        </w:rPr>
        <w:t xml:space="preserve"> Līdz jautājuma izlemšanai</w:t>
      </w:r>
      <w:r>
        <w:rPr>
          <w:bCs/>
        </w:rPr>
        <w:t xml:space="preserve"> ierosinātā tiesvedība turpinās</w:t>
      </w:r>
      <w:r w:rsidR="00460F74">
        <w:rPr>
          <w:bCs/>
        </w:rPr>
        <w:t>, un tā var noslēgties arī ar spriedumu</w:t>
      </w:r>
      <w:r w:rsidR="000D786A">
        <w:rPr>
          <w:bCs/>
        </w:rPr>
        <w:t>, ja tiesa nesaskatīs pamatu tiesvedības izbeigšanai</w:t>
      </w:r>
      <w:r w:rsidR="00460F74">
        <w:rPr>
          <w:bCs/>
        </w:rPr>
        <w:t>. Lūguma iesniegšana par tiesvedības izbeigšanu tomēr liek tiesai pēc būtības izvērtēt attiecīgus argumentus</w:t>
      </w:r>
      <w:r w:rsidR="000D786A">
        <w:rPr>
          <w:bCs/>
        </w:rPr>
        <w:t xml:space="preserve"> –</w:t>
      </w:r>
      <w:r w:rsidR="00460F74">
        <w:rPr>
          <w:bCs/>
        </w:rPr>
        <w:t xml:space="preserve"> vai nu atsevišķā motivētā lēmumā</w:t>
      </w:r>
      <w:r w:rsidR="000D786A">
        <w:rPr>
          <w:bCs/>
        </w:rPr>
        <w:t>,</w:t>
      </w:r>
      <w:r w:rsidR="00460F74">
        <w:rPr>
          <w:bCs/>
        </w:rPr>
        <w:t xml:space="preserve"> vai spriedumā.</w:t>
      </w:r>
    </w:p>
    <w:p w14:paraId="10EC0BFB" w14:textId="08EB8FEA" w:rsidR="005D7A33" w:rsidRDefault="005D7A33" w:rsidP="00C52CD8">
      <w:pPr>
        <w:pStyle w:val="NormalWeb"/>
        <w:shd w:val="clear" w:color="auto" w:fill="FFFFFF"/>
        <w:spacing w:line="276" w:lineRule="auto"/>
        <w:ind w:firstLine="567"/>
        <w:jc w:val="both"/>
        <w:rPr>
          <w:bCs/>
        </w:rPr>
      </w:pPr>
      <w:r w:rsidRPr="005D7A33">
        <w:rPr>
          <w:bCs/>
        </w:rPr>
        <w:t>Tā kā Senātā ir pārsūdzēts rajona tiesas lēmums, ar kuru noraidīts lūgums par trešās personas pieaicināšanu lietā, tieši tas ir blakus sūdzības tiesvedības priekšmets. Līdz ar to Senāts nepārbauda, vai lietā būtu izbeidzama tiesvedība.</w:t>
      </w:r>
    </w:p>
    <w:p w14:paraId="44DEB823" w14:textId="77777777" w:rsidR="007A5CF8" w:rsidRDefault="007A5CF8" w:rsidP="00C52CD8">
      <w:pPr>
        <w:pStyle w:val="NormalWeb"/>
        <w:shd w:val="clear" w:color="auto" w:fill="FFFFFF"/>
        <w:spacing w:line="276" w:lineRule="auto"/>
        <w:ind w:firstLine="567"/>
        <w:jc w:val="both"/>
        <w:rPr>
          <w:bCs/>
        </w:rPr>
      </w:pPr>
    </w:p>
    <w:p w14:paraId="2FC7C92D" w14:textId="0B8E846F" w:rsidR="00A575EA" w:rsidRDefault="00A575EA" w:rsidP="00C52CD8">
      <w:pPr>
        <w:pStyle w:val="NormalWeb"/>
        <w:shd w:val="clear" w:color="auto" w:fill="FFFFFF"/>
        <w:spacing w:line="276" w:lineRule="auto"/>
        <w:ind w:firstLine="567"/>
        <w:jc w:val="both"/>
        <w:rPr>
          <w:bCs/>
        </w:rPr>
      </w:pPr>
      <w:r>
        <w:rPr>
          <w:bCs/>
        </w:rPr>
        <w:t>[</w:t>
      </w:r>
      <w:r w:rsidR="00693325">
        <w:rPr>
          <w:bCs/>
        </w:rPr>
        <w:t>7</w:t>
      </w:r>
      <w:r>
        <w:rPr>
          <w:bCs/>
        </w:rPr>
        <w:t xml:space="preserve">] Administratīvā rajona tiesa nav </w:t>
      </w:r>
      <w:r w:rsidR="00317E8D">
        <w:rPr>
          <w:bCs/>
        </w:rPr>
        <w:t>identificējusi</w:t>
      </w:r>
      <w:r>
        <w:rPr>
          <w:bCs/>
        </w:rPr>
        <w:t xml:space="preserve"> tiesiski aizsargājamu interesi, kuras dēļ būtu nepieciešams lietā pieaicināt SIA „VELVE” kā tirgus dalībnieku, kurš bija iesniedzis izlīguma piedāvājumu un kurš bija izlīguma dalībnieks.</w:t>
      </w:r>
    </w:p>
    <w:p w14:paraId="6EFEA1C5" w14:textId="65BB762A" w:rsidR="00A575EA" w:rsidRDefault="00A575EA" w:rsidP="00C52CD8">
      <w:pPr>
        <w:pStyle w:val="NormalWeb"/>
        <w:shd w:val="clear" w:color="auto" w:fill="FFFFFF"/>
        <w:spacing w:line="276" w:lineRule="auto"/>
        <w:ind w:firstLine="567"/>
        <w:jc w:val="both"/>
        <w:rPr>
          <w:bCs/>
        </w:rPr>
      </w:pPr>
      <w:r>
        <w:rPr>
          <w:bCs/>
        </w:rPr>
        <w:t xml:space="preserve">Senāts </w:t>
      </w:r>
      <w:r w:rsidR="00353705">
        <w:rPr>
          <w:bCs/>
        </w:rPr>
        <w:t xml:space="preserve">šajā lēmumā tālāk norādīto apsvērumu dēļ rajona </w:t>
      </w:r>
      <w:r>
        <w:rPr>
          <w:bCs/>
        </w:rPr>
        <w:t>tiesas apsvērumus atzīst par kļūdainiem.</w:t>
      </w:r>
    </w:p>
    <w:p w14:paraId="22E820C6" w14:textId="0B20E2C5" w:rsidR="002A11C8" w:rsidRDefault="00294D7A" w:rsidP="00C52CD8">
      <w:pPr>
        <w:pStyle w:val="NormalWeb"/>
        <w:shd w:val="clear" w:color="auto" w:fill="FFFFFF"/>
        <w:spacing w:line="276" w:lineRule="auto"/>
        <w:ind w:firstLine="567"/>
        <w:jc w:val="both"/>
        <w:rPr>
          <w:bCs/>
        </w:rPr>
      </w:pPr>
      <w:r>
        <w:rPr>
          <w:bCs/>
        </w:rPr>
        <w:lastRenderedPageBreak/>
        <w:t>Tā kā papildus pieteicējas pieteikuma priekšmetam – izlīguma izsniegšanai – tiesa lietā ir lūgusi iesniegt arī izlīguma piedāvājumu, Senāts</w:t>
      </w:r>
      <w:r w:rsidR="002A11C8">
        <w:rPr>
          <w:bCs/>
        </w:rPr>
        <w:t xml:space="preserve"> secina, ka rajona tiesa, kā arī norāda pieteicēja paskaidrojumos par blakus sūdzību, acīmredzot uzskatījusi, ka izlīgumu veido SIA</w:t>
      </w:r>
      <w:r w:rsidR="005D7A33">
        <w:rPr>
          <w:bCs/>
        </w:rPr>
        <w:t> </w:t>
      </w:r>
      <w:r w:rsidR="002A11C8">
        <w:rPr>
          <w:bCs/>
        </w:rPr>
        <w:t xml:space="preserve">„VELVE” iesniegtais izlīguma piedāvājums kopā ar Konkurences padomes akceptu. Šādu izlīguma formu konstatējis arī Senāts citā lietā, norādot, ka </w:t>
      </w:r>
      <w:r w:rsidR="002A11C8" w:rsidRPr="002A11C8">
        <w:rPr>
          <w:bCs/>
        </w:rPr>
        <w:t xml:space="preserve">izlīgums </w:t>
      </w:r>
      <w:r w:rsidR="002A11C8">
        <w:rPr>
          <w:bCs/>
        </w:rPr>
        <w:t>bija</w:t>
      </w:r>
      <w:r w:rsidR="002A11C8" w:rsidRPr="002A11C8">
        <w:rPr>
          <w:bCs/>
        </w:rPr>
        <w:t xml:space="preserve"> ietverts </w:t>
      </w:r>
      <w:r w:rsidR="002A11C8">
        <w:rPr>
          <w:bCs/>
        </w:rPr>
        <w:t>pārkāpēja</w:t>
      </w:r>
      <w:r w:rsidR="002A11C8" w:rsidRPr="002A11C8">
        <w:rPr>
          <w:bCs/>
        </w:rPr>
        <w:t xml:space="preserve"> izlīguma piedāvājumā un lēmumā, ar kuru Konkurences padome akceptē </w:t>
      </w:r>
      <w:r w:rsidR="002A11C8">
        <w:rPr>
          <w:bCs/>
        </w:rPr>
        <w:t xml:space="preserve">šo </w:t>
      </w:r>
      <w:r w:rsidR="002A11C8" w:rsidRPr="002A11C8">
        <w:rPr>
          <w:bCs/>
        </w:rPr>
        <w:t>piedāvājumu</w:t>
      </w:r>
      <w:r w:rsidR="002A11C8">
        <w:rPr>
          <w:bCs/>
        </w:rPr>
        <w:t xml:space="preserve"> (</w:t>
      </w:r>
      <w:r w:rsidR="002A11C8" w:rsidRPr="005127DB">
        <w:rPr>
          <w:bCs/>
          <w:i/>
          <w:iCs/>
        </w:rPr>
        <w:t xml:space="preserve">Senāta 2021.gada 26.februāra </w:t>
      </w:r>
      <w:r w:rsidR="005127DB" w:rsidRPr="005127DB">
        <w:rPr>
          <w:bCs/>
          <w:i/>
          <w:iCs/>
        </w:rPr>
        <w:t>sprieduma lietā Nr. SKA-6/2021 (ECLI:LV:AT:2021:0226.A43007417.3.S) 6.punkts</w:t>
      </w:r>
      <w:r w:rsidR="005127DB">
        <w:rPr>
          <w:bCs/>
        </w:rPr>
        <w:t xml:space="preserve">). </w:t>
      </w:r>
    </w:p>
    <w:p w14:paraId="0C43C4AF" w14:textId="1844BBF4" w:rsidR="00294D7A" w:rsidRDefault="005127DB" w:rsidP="00C52CD8">
      <w:pPr>
        <w:pStyle w:val="NormalWeb"/>
        <w:shd w:val="clear" w:color="auto" w:fill="FFFFFF"/>
        <w:spacing w:line="276" w:lineRule="auto"/>
        <w:ind w:firstLine="567"/>
        <w:jc w:val="both"/>
        <w:rPr>
          <w:bCs/>
        </w:rPr>
      </w:pPr>
      <w:r>
        <w:rPr>
          <w:bCs/>
        </w:rPr>
        <w:t>Līdz ar to</w:t>
      </w:r>
      <w:r w:rsidR="00294D7A">
        <w:rPr>
          <w:bCs/>
        </w:rPr>
        <w:t xml:space="preserve">, vērtējot iespējamo SIA „VELVE” tiesību un tiesisko interešu aizskārumu, </w:t>
      </w:r>
      <w:r>
        <w:rPr>
          <w:bCs/>
        </w:rPr>
        <w:t xml:space="preserve">Senāts </w:t>
      </w:r>
      <w:r w:rsidR="00294D7A">
        <w:rPr>
          <w:bCs/>
        </w:rPr>
        <w:t xml:space="preserve">ņems vērā arī </w:t>
      </w:r>
      <w:r>
        <w:rPr>
          <w:bCs/>
        </w:rPr>
        <w:t>izlīguma piedāvājuma</w:t>
      </w:r>
      <w:r w:rsidR="00294D7A">
        <w:rPr>
          <w:bCs/>
        </w:rPr>
        <w:t xml:space="preserve"> iespējamo nonākšanu pieteicējas rīcībā.</w:t>
      </w:r>
    </w:p>
    <w:p w14:paraId="4CA5FD03" w14:textId="16E83EB3" w:rsidR="00294D7A" w:rsidRDefault="00294D7A" w:rsidP="00C52CD8">
      <w:pPr>
        <w:pStyle w:val="NormalWeb"/>
        <w:shd w:val="clear" w:color="auto" w:fill="FFFFFF"/>
        <w:spacing w:line="276" w:lineRule="auto"/>
        <w:ind w:firstLine="567"/>
        <w:jc w:val="both"/>
        <w:rPr>
          <w:bCs/>
        </w:rPr>
      </w:pPr>
    </w:p>
    <w:p w14:paraId="2AA6A1B0" w14:textId="3F4C701B" w:rsidR="00A575EA" w:rsidRDefault="00A575EA" w:rsidP="00C52CD8">
      <w:pPr>
        <w:pStyle w:val="NormalWeb"/>
        <w:shd w:val="clear" w:color="auto" w:fill="FFFFFF"/>
        <w:spacing w:line="276" w:lineRule="auto"/>
        <w:ind w:firstLine="567"/>
        <w:jc w:val="both"/>
        <w:rPr>
          <w:bCs/>
        </w:rPr>
      </w:pPr>
      <w:r>
        <w:rPr>
          <w:bCs/>
        </w:rPr>
        <w:t>[</w:t>
      </w:r>
      <w:r w:rsidR="00693325">
        <w:rPr>
          <w:bCs/>
        </w:rPr>
        <w:t>8</w:t>
      </w:r>
      <w:r>
        <w:rPr>
          <w:bCs/>
        </w:rPr>
        <w:t>]</w:t>
      </w:r>
      <w:r w:rsidR="005C5973">
        <w:rPr>
          <w:bCs/>
        </w:rPr>
        <w:t xml:space="preserve"> </w:t>
      </w:r>
      <w:r>
        <w:rPr>
          <w:bCs/>
        </w:rPr>
        <w:t xml:space="preserve">Administratīvā rajona tiesa </w:t>
      </w:r>
      <w:r w:rsidR="00353705">
        <w:rPr>
          <w:bCs/>
        </w:rPr>
        <w:t>no</w:t>
      </w:r>
      <w:r>
        <w:rPr>
          <w:bCs/>
        </w:rPr>
        <w:t xml:space="preserve"> Civilprocesa likuma 250.</w:t>
      </w:r>
      <w:r w:rsidRPr="004C4546">
        <w:rPr>
          <w:bCs/>
          <w:vertAlign w:val="superscript"/>
        </w:rPr>
        <w:t>67</w:t>
      </w:r>
      <w:r w:rsidR="00B30819">
        <w:rPr>
          <w:bCs/>
          <w:vertAlign w:val="superscript"/>
        </w:rPr>
        <w:t xml:space="preserve"> </w:t>
      </w:r>
      <w:r w:rsidR="00B30819" w:rsidRPr="00B30819">
        <w:rPr>
          <w:bCs/>
        </w:rPr>
        <w:t>un 250.</w:t>
      </w:r>
      <w:r w:rsidR="00B30819">
        <w:rPr>
          <w:bCs/>
          <w:vertAlign w:val="superscript"/>
        </w:rPr>
        <w:t>68</w:t>
      </w:r>
      <w:r>
        <w:rPr>
          <w:bCs/>
        </w:rPr>
        <w:t>pant</w:t>
      </w:r>
      <w:r w:rsidR="00353705">
        <w:rPr>
          <w:bCs/>
        </w:rPr>
        <w:t>a</w:t>
      </w:r>
      <w:r>
        <w:rPr>
          <w:bCs/>
        </w:rPr>
        <w:t xml:space="preserve"> </w:t>
      </w:r>
      <w:r w:rsidR="00353705">
        <w:rPr>
          <w:bCs/>
        </w:rPr>
        <w:t>ir</w:t>
      </w:r>
      <w:r>
        <w:rPr>
          <w:bCs/>
        </w:rPr>
        <w:t xml:space="preserve"> secinājusi, ka informācija, </w:t>
      </w:r>
      <w:r w:rsidR="00317E8D">
        <w:rPr>
          <w:bCs/>
        </w:rPr>
        <w:t>kura tiek pieprasīta no Konkurences padomes šajā</w:t>
      </w:r>
      <w:r>
        <w:rPr>
          <w:bCs/>
        </w:rPr>
        <w:t xml:space="preserve"> lietā, pēc būtības ietilpst </w:t>
      </w:r>
      <w:r w:rsidR="005C5973">
        <w:rPr>
          <w:bCs/>
        </w:rPr>
        <w:t>to pierādījumu un ziņu</w:t>
      </w:r>
      <w:r>
        <w:rPr>
          <w:bCs/>
        </w:rPr>
        <w:t xml:space="preserve"> lokā, ko tiesa, izskatot lietas par zaudējumu </w:t>
      </w:r>
      <w:r w:rsidR="005C5973">
        <w:rPr>
          <w:bCs/>
        </w:rPr>
        <w:t xml:space="preserve">atlīdzināšanu par konkurences tiesību pārkāpumiem, </w:t>
      </w:r>
      <w:r w:rsidR="00B30819">
        <w:rPr>
          <w:bCs/>
        </w:rPr>
        <w:t xml:space="preserve">nedrīkst ņemt vērā. No tā tiesa </w:t>
      </w:r>
      <w:r w:rsidR="00353705">
        <w:rPr>
          <w:bCs/>
        </w:rPr>
        <w:t xml:space="preserve">tālāk </w:t>
      </w:r>
      <w:r w:rsidR="00B30819">
        <w:rPr>
          <w:bCs/>
        </w:rPr>
        <w:t xml:space="preserve">secinājusi, ka gadījumā, ja pieteicēja tādu informāciju iegūtu, </w:t>
      </w:r>
      <w:r>
        <w:rPr>
          <w:bCs/>
        </w:rPr>
        <w:t>tā nevarētu tikt izmantota civillietas izskatīšanā atbilstoši Civilprocesa likuma 250.</w:t>
      </w:r>
      <w:r w:rsidRPr="004C4546">
        <w:rPr>
          <w:bCs/>
          <w:vertAlign w:val="superscript"/>
        </w:rPr>
        <w:t>68</w:t>
      </w:r>
      <w:r>
        <w:rPr>
          <w:bCs/>
        </w:rPr>
        <w:t>pantam.</w:t>
      </w:r>
      <w:r w:rsidR="007D46AA">
        <w:rPr>
          <w:bCs/>
        </w:rPr>
        <w:t xml:space="preserve"> Respektīvi, tiesa secinājusi, ka šī norma pasargā attiecīgās informācijas subjektu (izlīguma piedāvātāju un dalībnieku) no negatīvām sekām un ka tādējādi nevar veidoties tiesisko interešu aizskārums.</w:t>
      </w:r>
    </w:p>
    <w:p w14:paraId="0925452F" w14:textId="20E33B8A" w:rsidR="00A575EA" w:rsidRDefault="00A575EA" w:rsidP="00C52CD8">
      <w:pPr>
        <w:pStyle w:val="NormalWeb"/>
        <w:shd w:val="clear" w:color="auto" w:fill="FFFFFF"/>
        <w:spacing w:line="276" w:lineRule="auto"/>
        <w:ind w:firstLine="567"/>
        <w:jc w:val="both"/>
        <w:rPr>
          <w:bCs/>
        </w:rPr>
      </w:pPr>
      <w:r>
        <w:rPr>
          <w:bCs/>
        </w:rPr>
        <w:t>Senāts secina, ka tiesa, koncentrējoties tikai uz 250.</w:t>
      </w:r>
      <w:r w:rsidRPr="004C4546">
        <w:rPr>
          <w:bCs/>
          <w:vertAlign w:val="superscript"/>
        </w:rPr>
        <w:t>68</w:t>
      </w:r>
      <w:r>
        <w:rPr>
          <w:bCs/>
        </w:rPr>
        <w:t xml:space="preserve">pantā paredzēto </w:t>
      </w:r>
      <w:r w:rsidR="004C4546">
        <w:rPr>
          <w:bCs/>
        </w:rPr>
        <w:t xml:space="preserve">tiesas </w:t>
      </w:r>
      <w:r>
        <w:rPr>
          <w:bCs/>
        </w:rPr>
        <w:t>pienākumu neņemt vērā</w:t>
      </w:r>
      <w:r w:rsidR="004C4546">
        <w:rPr>
          <w:bCs/>
        </w:rPr>
        <w:t xml:space="preserve"> konkrēta veida</w:t>
      </w:r>
      <w:r>
        <w:rPr>
          <w:bCs/>
        </w:rPr>
        <w:t xml:space="preserve"> informāciju civilprocesā, kļūdaini nav identificējusi </w:t>
      </w:r>
      <w:r w:rsidR="007D46AA">
        <w:rPr>
          <w:bCs/>
        </w:rPr>
        <w:t xml:space="preserve">un pēc būtības apsvērusi </w:t>
      </w:r>
      <w:r>
        <w:rPr>
          <w:bCs/>
        </w:rPr>
        <w:t>intereses, kur</w:t>
      </w:r>
      <w:r w:rsidR="007D46AA">
        <w:rPr>
          <w:bCs/>
        </w:rPr>
        <w:t>as tiek ar šo Civilprocesa likuma 250.</w:t>
      </w:r>
      <w:r w:rsidR="007D46AA" w:rsidRPr="004C4546">
        <w:rPr>
          <w:bCs/>
          <w:vertAlign w:val="superscript"/>
        </w:rPr>
        <w:t>68</w:t>
      </w:r>
      <w:r w:rsidR="007D46AA">
        <w:rPr>
          <w:bCs/>
        </w:rPr>
        <w:t>pantu aizsargātas, kā arī iemeslus, kādēļ šīs intereses tiek aizsargātas. Tas novedis pie nepareiza secinājuma, ka tādu tiesisko interešu nemaz nav un ka attiecīgi nav pamata domāt par to aizsardzību administratīvā procesa kārtībā izskatāmā lietā.</w:t>
      </w:r>
    </w:p>
    <w:p w14:paraId="7C12B1AC" w14:textId="743702E6" w:rsidR="007D46AA" w:rsidRDefault="007D46AA" w:rsidP="00C52CD8">
      <w:pPr>
        <w:pStyle w:val="NormalWeb"/>
        <w:shd w:val="clear" w:color="auto" w:fill="FFFFFF"/>
        <w:spacing w:line="276" w:lineRule="auto"/>
        <w:ind w:firstLine="567"/>
        <w:jc w:val="both"/>
        <w:rPr>
          <w:bCs/>
        </w:rPr>
      </w:pPr>
    </w:p>
    <w:p w14:paraId="28D6A7DF" w14:textId="72DE147B" w:rsidR="00FE784F" w:rsidRDefault="00437DCC" w:rsidP="00C52CD8">
      <w:pPr>
        <w:pStyle w:val="NormalWeb"/>
        <w:shd w:val="clear" w:color="auto" w:fill="FFFFFF"/>
        <w:spacing w:line="276" w:lineRule="auto"/>
        <w:ind w:firstLine="567"/>
        <w:jc w:val="both"/>
        <w:rPr>
          <w:bCs/>
        </w:rPr>
      </w:pPr>
      <w:r w:rsidRPr="002A18AC">
        <w:rPr>
          <w:bCs/>
        </w:rPr>
        <w:t>[</w:t>
      </w:r>
      <w:r w:rsidR="00693325">
        <w:rPr>
          <w:bCs/>
        </w:rPr>
        <w:t>9</w:t>
      </w:r>
      <w:r w:rsidRPr="002A18AC">
        <w:rPr>
          <w:bCs/>
        </w:rPr>
        <w:t>]</w:t>
      </w:r>
      <w:r w:rsidR="00D32468" w:rsidRPr="002A18AC">
        <w:rPr>
          <w:bCs/>
        </w:rPr>
        <w:t> </w:t>
      </w:r>
      <w:r w:rsidR="00FE784F">
        <w:rPr>
          <w:bCs/>
        </w:rPr>
        <w:t xml:space="preserve">Konkurences padomes izskatītās pārkāpumu lietas pēc sava rakstura ir tādas, kurās parasti tiek vērtēta komerciāli sensitīva informācija – gan komercnoslēpums, gan konfidenciāla saziņa </w:t>
      </w:r>
      <w:r w:rsidR="00A03295">
        <w:rPr>
          <w:bCs/>
        </w:rPr>
        <w:t xml:space="preserve">ar konkurences iestādi, pēdējai ietverot </w:t>
      </w:r>
      <w:r w:rsidR="00FE784F">
        <w:rPr>
          <w:bCs/>
        </w:rPr>
        <w:t xml:space="preserve">gan </w:t>
      </w:r>
      <w:r w:rsidR="00A03295">
        <w:rPr>
          <w:bCs/>
        </w:rPr>
        <w:t xml:space="preserve">saziņu </w:t>
      </w:r>
      <w:r w:rsidR="00FE784F">
        <w:rPr>
          <w:bCs/>
        </w:rPr>
        <w:t xml:space="preserve">iecietības programmas ietvaros, gan </w:t>
      </w:r>
      <w:r w:rsidR="00A03295">
        <w:rPr>
          <w:bCs/>
        </w:rPr>
        <w:t xml:space="preserve">saziņu </w:t>
      </w:r>
      <w:r w:rsidR="00FE784F">
        <w:rPr>
          <w:bCs/>
        </w:rPr>
        <w:t>par iespējamiem izlīgumiem</w:t>
      </w:r>
      <w:r w:rsidR="00317E8D">
        <w:rPr>
          <w:bCs/>
        </w:rPr>
        <w:t>, kas parasti arī ietver labprātīgu faktu atzīšanu un pārkāpuma atzīšanu no pārkāpēja puses jeb būtībā</w:t>
      </w:r>
      <w:r w:rsidR="005D7A33">
        <w:rPr>
          <w:bCs/>
        </w:rPr>
        <w:t xml:space="preserve">, kā to formulējusi Konkurences padome, </w:t>
      </w:r>
      <w:r w:rsidR="00317E8D">
        <w:rPr>
          <w:bCs/>
        </w:rPr>
        <w:t>pašapsūdzošas liecības.</w:t>
      </w:r>
      <w:r w:rsidR="00FE784F">
        <w:rPr>
          <w:bCs/>
        </w:rPr>
        <w:t xml:space="preserve"> </w:t>
      </w:r>
    </w:p>
    <w:p w14:paraId="09EEAE23" w14:textId="26657761" w:rsidR="002C54FA" w:rsidRDefault="00D358B3" w:rsidP="00C52CD8">
      <w:pPr>
        <w:pStyle w:val="NormalWeb"/>
        <w:shd w:val="clear" w:color="auto" w:fill="FFFFFF"/>
        <w:spacing w:line="276" w:lineRule="auto"/>
        <w:ind w:firstLine="567"/>
        <w:jc w:val="both"/>
        <w:rPr>
          <w:bCs/>
        </w:rPr>
      </w:pPr>
      <w:r>
        <w:rPr>
          <w:bCs/>
        </w:rPr>
        <w:t xml:space="preserve">Kā skaidrots </w:t>
      </w:r>
      <w:r w:rsidR="0003493A">
        <w:rPr>
          <w:bCs/>
        </w:rPr>
        <w:t xml:space="preserve">Zaudējumu atlīdzināšanas </w:t>
      </w:r>
      <w:r>
        <w:rPr>
          <w:bCs/>
        </w:rPr>
        <w:t>direktīvas preambulas 21.apsvērumā, l</w:t>
      </w:r>
      <w:r w:rsidRPr="006C4342">
        <w:rPr>
          <w:bCs/>
        </w:rPr>
        <w:t xml:space="preserve">ai Komisija un valstu konkurences iestādes varētu efektīvi un konsekventi piemērot </w:t>
      </w:r>
      <w:r>
        <w:rPr>
          <w:bCs/>
        </w:rPr>
        <w:t>Līguma par Eiropas Savienības darbību</w:t>
      </w:r>
      <w:r w:rsidRPr="006C4342">
        <w:rPr>
          <w:bCs/>
        </w:rPr>
        <w:t xml:space="preserve"> 101. un 102.pantu, visā Savienībā ir jābūt kopējai pieejai attiecībā uz to pierādījumu atklāšanu, kuri ir iekļauti konkurences iestādes lietas materiālos. Pierādījumu atklāšana nedrīkstētu nepamatoti mazināt konkurences iestādes veiktās konkurences tiesību aktu izpildes efektivitāti.</w:t>
      </w:r>
      <w:r>
        <w:rPr>
          <w:bCs/>
        </w:rPr>
        <w:t xml:space="preserve"> No direktīvas preambulas kā aizsargājamas intereses var secināt </w:t>
      </w:r>
      <w:r w:rsidRPr="006C4342">
        <w:rPr>
          <w:bCs/>
        </w:rPr>
        <w:t>konkurences iestādes izmeklēšanas stratēģij</w:t>
      </w:r>
      <w:r>
        <w:rPr>
          <w:bCs/>
        </w:rPr>
        <w:t>u</w:t>
      </w:r>
      <w:r w:rsidRPr="006C4342">
        <w:rPr>
          <w:bCs/>
        </w:rPr>
        <w:t xml:space="preserve"> </w:t>
      </w:r>
      <w:r>
        <w:rPr>
          <w:bCs/>
        </w:rPr>
        <w:t>un</w:t>
      </w:r>
      <w:r w:rsidRPr="006C4342">
        <w:rPr>
          <w:bCs/>
        </w:rPr>
        <w:t xml:space="preserve"> uzņēmumu sadarbīb</w:t>
      </w:r>
      <w:r>
        <w:rPr>
          <w:bCs/>
        </w:rPr>
        <w:t>u</w:t>
      </w:r>
      <w:r w:rsidRPr="006C4342">
        <w:rPr>
          <w:bCs/>
        </w:rPr>
        <w:t xml:space="preserve"> ar konkurences iestādēm</w:t>
      </w:r>
      <w:r>
        <w:rPr>
          <w:bCs/>
        </w:rPr>
        <w:t xml:space="preserve"> (preambulas 23.apsvērums), </w:t>
      </w:r>
      <w:r w:rsidRPr="006C4342">
        <w:rPr>
          <w:bCs/>
        </w:rPr>
        <w:t>izmeklēšan</w:t>
      </w:r>
      <w:r>
        <w:rPr>
          <w:bCs/>
        </w:rPr>
        <w:t>u</w:t>
      </w:r>
      <w:r w:rsidRPr="006C4342">
        <w:rPr>
          <w:bCs/>
        </w:rPr>
        <w:t>, kuru konkurences iestāde turpina veikt saistībā ar Savienības vai valsts konkurences tiesību aktu pārkāpumu</w:t>
      </w:r>
      <w:r>
        <w:rPr>
          <w:bCs/>
        </w:rPr>
        <w:t xml:space="preserve"> (25.apsvērums)</w:t>
      </w:r>
      <w:r w:rsidR="00456158">
        <w:rPr>
          <w:bCs/>
        </w:rPr>
        <w:t>. S</w:t>
      </w:r>
      <w:r>
        <w:rPr>
          <w:bCs/>
        </w:rPr>
        <w:t xml:space="preserve">avukārt iecietības programmas un izlīguma procedūras kontekstā kā to veicinātais mērķis norādīta </w:t>
      </w:r>
      <w:r w:rsidRPr="00D358B3">
        <w:rPr>
          <w:bCs/>
        </w:rPr>
        <w:t>konkurences tiesību aktu nopietnāko pārkāpumu atklāšan</w:t>
      </w:r>
      <w:r w:rsidR="00456158">
        <w:rPr>
          <w:bCs/>
        </w:rPr>
        <w:t>a</w:t>
      </w:r>
      <w:r w:rsidRPr="00D358B3">
        <w:rPr>
          <w:bCs/>
        </w:rPr>
        <w:t>, efektīv</w:t>
      </w:r>
      <w:r w:rsidR="00456158">
        <w:rPr>
          <w:bCs/>
        </w:rPr>
        <w:t>a</w:t>
      </w:r>
      <w:r w:rsidRPr="00D358B3">
        <w:rPr>
          <w:bCs/>
        </w:rPr>
        <w:t xml:space="preserve"> saukšan</w:t>
      </w:r>
      <w:r w:rsidR="00456158">
        <w:rPr>
          <w:bCs/>
        </w:rPr>
        <w:t>a</w:t>
      </w:r>
      <w:r w:rsidRPr="00D358B3">
        <w:rPr>
          <w:bCs/>
        </w:rPr>
        <w:t xml:space="preserve"> pie atbildības un sodu piemērošan</w:t>
      </w:r>
      <w:r w:rsidR="00456158">
        <w:rPr>
          <w:bCs/>
        </w:rPr>
        <w:t>a</w:t>
      </w:r>
      <w:r>
        <w:rPr>
          <w:bCs/>
        </w:rPr>
        <w:t xml:space="preserve"> (preambulas 26.apsvērums).</w:t>
      </w:r>
      <w:r w:rsidRPr="00D358B3">
        <w:t xml:space="preserve"> </w:t>
      </w:r>
      <w:r>
        <w:t>Kā skaidrots preambulas 26.apsvērumā, u</w:t>
      </w:r>
      <w:r w:rsidRPr="00D358B3">
        <w:rPr>
          <w:bCs/>
        </w:rPr>
        <w:t>zņēmumus sadarboties ar konkurences iestādēm saskaņā ar iecietības programmām un izlīguma procedūrām šajā kontekstā varētu atturēt tas, ja tiktu atklātas pašapsūdzības liecības, piemēram, saskaņā ar iecietības programmu sniegtas liecības un izlīguma iesniegumi, kuras iesniedz tikai nolūkā sadarboties ar konkurences iestādēm</w:t>
      </w:r>
      <w:r>
        <w:rPr>
          <w:bCs/>
        </w:rPr>
        <w:t xml:space="preserve">. </w:t>
      </w:r>
      <w:r w:rsidRPr="00D358B3">
        <w:rPr>
          <w:bCs/>
        </w:rPr>
        <w:t>Šāda atklāšana radītu risku, ka uzņēmumi vai to vadības pārstāvji, kas sadarbojas, var tikt pakļauti civiltiesiskai vai krimināltiesiskai atbildībai sliktākos apstākļos nekā līdzpārkāpēji, kuri nesadarbojas ar konkurences iestādēm. Lai nodrošinātu uzņēmumu gatavību arī turpmāk brīvprātīgi vērsties pie konkurences iestādēm ar liecībām, ko sniedz saskaņā ar iecietības programmām vai izlīguma iesniegumiem, uz šādiem dokumentiem nebūtu jāattiecina pierādījumu izprasīšana.</w:t>
      </w:r>
      <w:r>
        <w:rPr>
          <w:bCs/>
        </w:rPr>
        <w:t xml:space="preserve"> </w:t>
      </w:r>
      <w:r w:rsidR="002C54FA">
        <w:rPr>
          <w:bCs/>
        </w:rPr>
        <w:t>Tātad tieši iecietības programmas ietvaros notikušajai saziņai un izlīgumu piedāvājumiem ir noteikta vislielākā tiesiskā aizsardzība. Līguma par Eiropas Savienības darbību 101. un 102.panta un dalībvalstu konkurences tiesību (</w:t>
      </w:r>
      <w:r w:rsidR="002C54FA" w:rsidRPr="00034127">
        <w:rPr>
          <w:bCs/>
        </w:rPr>
        <w:t>ja t</w:t>
      </w:r>
      <w:r w:rsidR="002C54FA">
        <w:rPr>
          <w:bCs/>
        </w:rPr>
        <w:t>ā</w:t>
      </w:r>
      <w:r w:rsidR="002C54FA" w:rsidRPr="00034127">
        <w:rPr>
          <w:bCs/>
        </w:rPr>
        <w:t>s piemēro paralēli Savienības konkurences tiesību aktiem</w:t>
      </w:r>
      <w:r w:rsidR="002C54FA">
        <w:rPr>
          <w:bCs/>
        </w:rPr>
        <w:t xml:space="preserve">) piemērošanā Eiropas Savienības likumdevējs apzināti to ir izslēdzis vēlāk </w:t>
      </w:r>
      <w:r w:rsidR="002C54FA" w:rsidRPr="002C54FA">
        <w:rPr>
          <w:bCs/>
        </w:rPr>
        <w:t>pieņemtajā Zaudējumu atlīdzināšanas direktīvā no tās informācijas loka, ko drīkstētu padarīt pieejamu citām personām</w:t>
      </w:r>
      <w:r w:rsidR="00B375AC">
        <w:rPr>
          <w:bCs/>
        </w:rPr>
        <w:t xml:space="preserve"> (direktīvas 6.panta 6.punkts)</w:t>
      </w:r>
      <w:r w:rsidR="002C54FA" w:rsidRPr="002C54FA">
        <w:rPr>
          <w:bCs/>
        </w:rPr>
        <w:t>.</w:t>
      </w:r>
      <w:r w:rsidR="002C54FA">
        <w:rPr>
          <w:bCs/>
        </w:rPr>
        <w:t xml:space="preserve"> </w:t>
      </w:r>
    </w:p>
    <w:p w14:paraId="6948B3DB" w14:textId="249B24F8" w:rsidR="00D358B3" w:rsidRDefault="009E7735" w:rsidP="00C52CD8">
      <w:pPr>
        <w:pStyle w:val="NormalWeb"/>
        <w:shd w:val="clear" w:color="auto" w:fill="FFFFFF"/>
        <w:spacing w:line="276" w:lineRule="auto"/>
        <w:ind w:firstLine="567"/>
        <w:jc w:val="both"/>
        <w:rPr>
          <w:bCs/>
        </w:rPr>
      </w:pPr>
      <w:r>
        <w:rPr>
          <w:bCs/>
        </w:rPr>
        <w:t>Šādi</w:t>
      </w:r>
      <w:r w:rsidR="00D358B3">
        <w:rPr>
          <w:bCs/>
        </w:rPr>
        <w:t xml:space="preserve"> apsvērumi bijuši pamatā arī attiecīgiem grozījumiem Civilprocesa likumā (</w:t>
      </w:r>
      <w:r w:rsidR="00C75F68" w:rsidRPr="00C75F68">
        <w:rPr>
          <w:bCs/>
          <w:i/>
          <w:iCs/>
        </w:rPr>
        <w:t>12.Saeimas likumprojekta Nr. 913/Lp12 „Grozījumi Civilprocesa likumā” anotācija. https://www.saeima.lv/lv/par-saeimu/ieprieksejo-sasaukumu-arhivs</w:t>
      </w:r>
      <w:r w:rsidR="00C75F68">
        <w:rPr>
          <w:bCs/>
        </w:rPr>
        <w:t>).</w:t>
      </w:r>
    </w:p>
    <w:p w14:paraId="4A8CBA97" w14:textId="5D807214" w:rsidR="00843551" w:rsidRDefault="00F17ADF" w:rsidP="00C52CD8">
      <w:pPr>
        <w:pStyle w:val="NormalWeb"/>
        <w:shd w:val="clear" w:color="auto" w:fill="FFFFFF"/>
        <w:spacing w:line="276" w:lineRule="auto"/>
        <w:ind w:firstLine="567"/>
        <w:jc w:val="both"/>
        <w:rPr>
          <w:bCs/>
        </w:rPr>
      </w:pPr>
      <w:r>
        <w:rPr>
          <w:bCs/>
        </w:rPr>
        <w:t>Civilprocesa likuma 250.</w:t>
      </w:r>
      <w:r w:rsidRPr="00920356">
        <w:rPr>
          <w:bCs/>
          <w:vertAlign w:val="superscript"/>
        </w:rPr>
        <w:t>66</w:t>
      </w:r>
      <w:r>
        <w:rPr>
          <w:bCs/>
        </w:rPr>
        <w:t xml:space="preserve">pants paredz tiesas iespēju vērtēt, vai </w:t>
      </w:r>
      <w:r w:rsidR="00553EB2">
        <w:rPr>
          <w:bCs/>
        </w:rPr>
        <w:t xml:space="preserve">to </w:t>
      </w:r>
      <w:r w:rsidRPr="00F17ADF">
        <w:rPr>
          <w:bCs/>
        </w:rPr>
        <w:t>pierādījumu, kas iesniegti konkurences iestādei vai atrodas konkurences iestādes lietas materiālos</w:t>
      </w:r>
      <w:r w:rsidR="00553EB2">
        <w:rPr>
          <w:bCs/>
        </w:rPr>
        <w:t xml:space="preserve">, iesniegšana tiesai neradīs šķēršļus konkurences tiesību efektīvai īstenošanai, kā arī </w:t>
      </w:r>
      <w:r>
        <w:rPr>
          <w:bCs/>
        </w:rPr>
        <w:t xml:space="preserve">paredz, ka par tiem pierādījumiem, kas iesniegti konkurences iestādei, tiesa pieprasa konkurences iestādei atzinumu un lemj par to, vai pierādījumu iesniegšanai tiesai neradīs </w:t>
      </w:r>
      <w:r w:rsidRPr="00920356">
        <w:rPr>
          <w:bCs/>
        </w:rPr>
        <w:t>šķēršļus konkurences tiesību efektīvai piemērošanai</w:t>
      </w:r>
      <w:r>
        <w:rPr>
          <w:bCs/>
        </w:rPr>
        <w:t xml:space="preserve"> (panta ceturtā, piektā, sestā daļa). Savukārt pret pašapsūdzošo </w:t>
      </w:r>
      <w:r w:rsidR="00B375AC">
        <w:rPr>
          <w:bCs/>
        </w:rPr>
        <w:t>liecību</w:t>
      </w:r>
      <w:r>
        <w:rPr>
          <w:bCs/>
        </w:rPr>
        <w:t xml:space="preserve"> nonākšanu citu personu rīcībā likumdevējs vērsies jo īpaši stingri, </w:t>
      </w:r>
      <w:r w:rsidR="00553EB2">
        <w:rPr>
          <w:bCs/>
        </w:rPr>
        <w:t>ar Civilprocesa likuma 250.</w:t>
      </w:r>
      <w:r w:rsidR="00553EB2" w:rsidRPr="00553EB2">
        <w:rPr>
          <w:bCs/>
          <w:vertAlign w:val="superscript"/>
        </w:rPr>
        <w:t>67</w:t>
      </w:r>
      <w:r w:rsidR="00553EB2">
        <w:rPr>
          <w:bCs/>
        </w:rPr>
        <w:t xml:space="preserve">panta pirmo daļu </w:t>
      </w:r>
      <w:r>
        <w:rPr>
          <w:bCs/>
        </w:rPr>
        <w:t xml:space="preserve">izslēdzot </w:t>
      </w:r>
      <w:r w:rsidRPr="00B375AC">
        <w:rPr>
          <w:bCs/>
        </w:rPr>
        <w:t>iespēju t</w:t>
      </w:r>
      <w:r w:rsidR="00553EB2" w:rsidRPr="00B375AC">
        <w:rPr>
          <w:bCs/>
        </w:rPr>
        <w:t>o</w:t>
      </w:r>
      <w:r w:rsidRPr="00B375AC">
        <w:rPr>
          <w:bCs/>
        </w:rPr>
        <w:t>s pieprasīt un izmantot civilprocesā</w:t>
      </w:r>
      <w:r w:rsidR="00553EB2" w:rsidRPr="00B375AC">
        <w:rPr>
          <w:bCs/>
        </w:rPr>
        <w:t>, kā arī ar 250.</w:t>
      </w:r>
      <w:r w:rsidR="00553EB2" w:rsidRPr="00B375AC">
        <w:rPr>
          <w:bCs/>
          <w:vertAlign w:val="superscript"/>
        </w:rPr>
        <w:t>68</w:t>
      </w:r>
      <w:r w:rsidR="00553EB2" w:rsidRPr="00B375AC">
        <w:rPr>
          <w:bCs/>
        </w:rPr>
        <w:t>pantu liedzot tos izmantot civilprocesā</w:t>
      </w:r>
      <w:r w:rsidRPr="00B375AC">
        <w:rPr>
          <w:bCs/>
        </w:rPr>
        <w:t>.</w:t>
      </w:r>
      <w:r w:rsidR="00F700D6" w:rsidRPr="00B375AC">
        <w:rPr>
          <w:bCs/>
        </w:rPr>
        <w:t xml:space="preserve"> Striktas Civilprocesa likuma normas līdz ar to rāda, kādu nozīmi likumdevējs ir piešķīris šīs informācijas aizsardzībai, un tieši tas arī apstiprina tiesisko interesi, kuras aizsardzības nolūkā lietā būtu pieaicināma persona, kura šo informāciju sniegusi Konkurences padomei.</w:t>
      </w:r>
    </w:p>
    <w:p w14:paraId="1DB8026D" w14:textId="1C77DE74" w:rsidR="002C54FA" w:rsidRDefault="003A7F47" w:rsidP="00C52CD8">
      <w:pPr>
        <w:pStyle w:val="NormalWeb"/>
        <w:shd w:val="clear" w:color="auto" w:fill="FFFFFF"/>
        <w:spacing w:line="276" w:lineRule="auto"/>
        <w:ind w:firstLine="567"/>
        <w:jc w:val="both"/>
        <w:rPr>
          <w:bCs/>
        </w:rPr>
      </w:pPr>
      <w:r>
        <w:rPr>
          <w:bCs/>
        </w:rPr>
        <w:t>Jāpatur prātā, ka i</w:t>
      </w:r>
      <w:r w:rsidR="00FE784F">
        <w:rPr>
          <w:bCs/>
        </w:rPr>
        <w:t>nformācijas izpaušana</w:t>
      </w:r>
      <w:r w:rsidR="00843551">
        <w:rPr>
          <w:bCs/>
        </w:rPr>
        <w:t xml:space="preserve"> pati par sevi</w:t>
      </w:r>
      <w:r w:rsidR="00FE784F">
        <w:rPr>
          <w:bCs/>
        </w:rPr>
        <w:t xml:space="preserve"> ir neatgriezeniska – ja </w:t>
      </w:r>
      <w:r>
        <w:rPr>
          <w:bCs/>
        </w:rPr>
        <w:t>informācija</w:t>
      </w:r>
      <w:r w:rsidR="00FE784F">
        <w:rPr>
          <w:bCs/>
        </w:rPr>
        <w:t xml:space="preserve"> ir uzzināta, to nevar izdzēst</w:t>
      </w:r>
      <w:r w:rsidR="00843551">
        <w:rPr>
          <w:bCs/>
        </w:rPr>
        <w:t xml:space="preserve"> no atmiņas tā, it kā tā nekad nebūtu bijusi zināma. </w:t>
      </w:r>
      <w:r w:rsidR="00F700D6">
        <w:rPr>
          <w:bCs/>
        </w:rPr>
        <w:t>Civilprocesa likuma normas ir vērstas uz to, lai nepieļaujamā veidā iegūtas informācijas kaitējums tiktu novērsts vismaz civilprocesā, tomēr tas nevarētu padarīt par nebijušu informācijas uzzināšanu un pilnībā izslēgt tās tālāk</w:t>
      </w:r>
      <w:r w:rsidR="009409C9">
        <w:rPr>
          <w:bCs/>
        </w:rPr>
        <w:t>as</w:t>
      </w:r>
      <w:r w:rsidR="00F700D6">
        <w:rPr>
          <w:bCs/>
        </w:rPr>
        <w:t xml:space="preserve"> izplatīšan</w:t>
      </w:r>
      <w:r w:rsidR="009409C9">
        <w:rPr>
          <w:bCs/>
        </w:rPr>
        <w:t>ā</w:t>
      </w:r>
      <w:r w:rsidR="00F700D6">
        <w:rPr>
          <w:bCs/>
        </w:rPr>
        <w:t>s</w:t>
      </w:r>
      <w:r w:rsidR="009409C9">
        <w:rPr>
          <w:bCs/>
        </w:rPr>
        <w:t xml:space="preserve"> risku</w:t>
      </w:r>
      <w:r w:rsidR="00F700D6">
        <w:rPr>
          <w:bCs/>
        </w:rPr>
        <w:t>. P</w:t>
      </w:r>
      <w:r w:rsidR="00553EB2">
        <w:rPr>
          <w:bCs/>
        </w:rPr>
        <w:t xml:space="preserve">ersona, kura sniegusi pašapsūdzošas liecības, jau ar šo liecību nonākšanu citu personu rīcībā nonāk sliktākā pozīcijā, jo tai jāsāk aizsargāties pret šādas informācijas izmantošanu. </w:t>
      </w:r>
      <w:r w:rsidR="002C54FA">
        <w:rPr>
          <w:bCs/>
        </w:rPr>
        <w:t xml:space="preserve">Tas var negatīvi ietekmēt šīs personas pozīcijas iespējamā zaudējumu atlīdzības prasībā arī iepretim citiem </w:t>
      </w:r>
      <w:r w:rsidR="00B375AC">
        <w:rPr>
          <w:bCs/>
        </w:rPr>
        <w:t xml:space="preserve">līdzpārkāpējiem </w:t>
      </w:r>
      <w:r w:rsidR="002C54FA">
        <w:rPr>
          <w:bCs/>
        </w:rPr>
        <w:t>(</w:t>
      </w:r>
      <w:r w:rsidR="00CC397C">
        <w:rPr>
          <w:bCs/>
        </w:rPr>
        <w:t xml:space="preserve">atbilstoši Konkurences likuma 21.panta ceturtajai un septītajai daļai – </w:t>
      </w:r>
      <w:r w:rsidR="002C54FA">
        <w:rPr>
          <w:bCs/>
        </w:rPr>
        <w:t>solidāri atbildīgajiem), kuriem kļuvusi zināma šīs personas sniegtā informācija konkurences iestādei.</w:t>
      </w:r>
    </w:p>
    <w:p w14:paraId="36A11EB5" w14:textId="77777777" w:rsidR="002A510C" w:rsidRDefault="00553EB2" w:rsidP="00C52CD8">
      <w:pPr>
        <w:pStyle w:val="NormalWeb"/>
        <w:shd w:val="clear" w:color="auto" w:fill="FFFFFF"/>
        <w:spacing w:line="276" w:lineRule="auto"/>
        <w:ind w:firstLine="567"/>
        <w:jc w:val="both"/>
        <w:rPr>
          <w:bCs/>
        </w:rPr>
      </w:pPr>
      <w:r>
        <w:rPr>
          <w:bCs/>
        </w:rPr>
        <w:t>Pat ja Civilprocesa likums paredz noteikumu, ka šāda informācija nav izmantojama, tas var prasīt</w:t>
      </w:r>
      <w:r w:rsidR="00F700D6">
        <w:rPr>
          <w:bCs/>
        </w:rPr>
        <w:t xml:space="preserve"> zināmas pūles, lai šādu aizsardzību reāli nodrošinātu, kā arī nav izslēdzam</w:t>
      </w:r>
      <w:r w:rsidR="00B375AC">
        <w:rPr>
          <w:bCs/>
        </w:rPr>
        <w:t>s risks, ka šād</w:t>
      </w:r>
      <w:r w:rsidR="002A510C">
        <w:rPr>
          <w:bCs/>
        </w:rPr>
        <w:t xml:space="preserve">u ziņu nonākšana līdzpārkāpēju vai </w:t>
      </w:r>
      <w:r w:rsidR="00B375AC">
        <w:rPr>
          <w:bCs/>
        </w:rPr>
        <w:t xml:space="preserve">plašākas </w:t>
      </w:r>
      <w:r w:rsidR="00F700D6">
        <w:rPr>
          <w:bCs/>
        </w:rPr>
        <w:t>sabiedrības rīcībā ietekm</w:t>
      </w:r>
      <w:r w:rsidR="00B375AC">
        <w:rPr>
          <w:bCs/>
        </w:rPr>
        <w:t>ēs</w:t>
      </w:r>
      <w:r w:rsidR="00F700D6">
        <w:rPr>
          <w:bCs/>
        </w:rPr>
        <w:t xml:space="preserve"> p</w:t>
      </w:r>
      <w:r w:rsidR="0009349C">
        <w:rPr>
          <w:bCs/>
        </w:rPr>
        <w:t>ārkāpēja stāvokli tirgū</w:t>
      </w:r>
      <w:r w:rsidR="00F700D6">
        <w:rPr>
          <w:bCs/>
        </w:rPr>
        <w:t>. Savukārt tālāk, pat ja tas vairs neattiecas tieši uz trešās personas pieaicināšanu administratīvajā lietā, tas ietekmētu Konkurences padomes īstenoto konkurences tiesību efektīvu piemērošanu</w:t>
      </w:r>
      <w:r w:rsidR="00544158" w:rsidRPr="00544158">
        <w:t xml:space="preserve"> </w:t>
      </w:r>
      <w:r w:rsidR="00544158">
        <w:t xml:space="preserve">– padomes </w:t>
      </w:r>
      <w:r w:rsidR="00544158" w:rsidRPr="00544158">
        <w:rPr>
          <w:bCs/>
        </w:rPr>
        <w:t>spēju efektīvi īstenot iecietības programmu, atklāt un izmeklēt konkurences tiesību pārkāpumus</w:t>
      </w:r>
      <w:r w:rsidR="00F700D6">
        <w:rPr>
          <w:bCs/>
        </w:rPr>
        <w:t xml:space="preserve">. </w:t>
      </w:r>
    </w:p>
    <w:p w14:paraId="1224448A" w14:textId="100CDD56" w:rsidR="003A7F47" w:rsidRDefault="002A510C" w:rsidP="00C52CD8">
      <w:pPr>
        <w:pStyle w:val="NormalWeb"/>
        <w:shd w:val="clear" w:color="auto" w:fill="FFFFFF"/>
        <w:spacing w:line="276" w:lineRule="auto"/>
        <w:ind w:firstLine="567"/>
        <w:jc w:val="both"/>
        <w:rPr>
          <w:bCs/>
        </w:rPr>
      </w:pPr>
      <w:r>
        <w:rPr>
          <w:bCs/>
        </w:rPr>
        <w:t>Ja reiz rajona tiesa ir par informācijas izsniegšanu ierosinājusi lietu, t</w:t>
      </w:r>
      <w:r w:rsidR="00F700D6">
        <w:rPr>
          <w:bCs/>
        </w:rPr>
        <w:t xml:space="preserve">rešās personas dalība procesā un tās viedokļa uzklausīšana </w:t>
      </w:r>
      <w:r>
        <w:rPr>
          <w:bCs/>
        </w:rPr>
        <w:t>dotu iespēju</w:t>
      </w:r>
      <w:r w:rsidR="00CC397C">
        <w:rPr>
          <w:bCs/>
        </w:rPr>
        <w:t xml:space="preserve"> </w:t>
      </w:r>
      <w:r w:rsidR="00F700D6">
        <w:rPr>
          <w:bCs/>
        </w:rPr>
        <w:t xml:space="preserve">vispusīgi apsvērt </w:t>
      </w:r>
      <w:r>
        <w:rPr>
          <w:bCs/>
        </w:rPr>
        <w:t>visus šos aspektus, tostarp konkurences tiesību efektīvas piemērošanas aspektu</w:t>
      </w:r>
      <w:r w:rsidR="00F700D6">
        <w:rPr>
          <w:bCs/>
        </w:rPr>
        <w:t>, kurš acīmredzot rosinājis Konkurences padomi arī šajā lietā lūgt pieaicināt trešo personu.</w:t>
      </w:r>
    </w:p>
    <w:p w14:paraId="27B4C8FF" w14:textId="3245FD35" w:rsidR="00F17ADF" w:rsidRDefault="00F17ADF" w:rsidP="00C52CD8">
      <w:pPr>
        <w:pStyle w:val="NormalWeb"/>
        <w:shd w:val="clear" w:color="auto" w:fill="FFFFFF"/>
        <w:spacing w:line="276" w:lineRule="auto"/>
        <w:ind w:firstLine="567"/>
        <w:jc w:val="both"/>
        <w:rPr>
          <w:bCs/>
        </w:rPr>
      </w:pPr>
    </w:p>
    <w:p w14:paraId="112B8A55" w14:textId="2D74C9CD" w:rsidR="00852172" w:rsidRDefault="005850A5" w:rsidP="00C52CD8">
      <w:pPr>
        <w:pStyle w:val="NormalWeb"/>
        <w:shd w:val="clear" w:color="auto" w:fill="FFFFFF"/>
        <w:spacing w:line="276" w:lineRule="auto"/>
        <w:ind w:firstLine="567"/>
        <w:jc w:val="both"/>
        <w:rPr>
          <w:bCs/>
        </w:rPr>
      </w:pPr>
      <w:r>
        <w:rPr>
          <w:bCs/>
        </w:rPr>
        <w:t>[</w:t>
      </w:r>
      <w:r w:rsidR="00693325">
        <w:rPr>
          <w:bCs/>
        </w:rPr>
        <w:t>10</w:t>
      </w:r>
      <w:r>
        <w:rPr>
          <w:bCs/>
        </w:rPr>
        <w:t>] Senāts nepiekrīt pieteicējas argumentam, ka SIA „VELVE” tiesiskās intereses tās iesniegtā izlīguma piedāvājuma slepenības saglabāšanā beidzas līdz ar administratīvā procesa noslēgšanos pret SIA „VELVE”</w:t>
      </w:r>
      <w:r w:rsidR="00852172">
        <w:rPr>
          <w:bCs/>
        </w:rPr>
        <w:t xml:space="preserve">. </w:t>
      </w:r>
    </w:p>
    <w:p w14:paraId="420FB3CB" w14:textId="7DF7F364" w:rsidR="005850A5" w:rsidRDefault="007D12C6" w:rsidP="00C52CD8">
      <w:pPr>
        <w:pStyle w:val="NormalWeb"/>
        <w:shd w:val="clear" w:color="auto" w:fill="FFFFFF"/>
        <w:spacing w:line="276" w:lineRule="auto"/>
        <w:ind w:firstLine="567"/>
        <w:jc w:val="both"/>
        <w:rPr>
          <w:bCs/>
        </w:rPr>
      </w:pPr>
      <w:r>
        <w:rPr>
          <w:bCs/>
        </w:rPr>
        <w:t xml:space="preserve">Kā jau minēts iepriekš, </w:t>
      </w:r>
      <w:r w:rsidR="005850A5">
        <w:rPr>
          <w:bCs/>
        </w:rPr>
        <w:t xml:space="preserve">pašapsūdzošas liecības var ietekmēt to sniedzēju arī zaudējumu atlīdzināšanas procesā, kā arī </w:t>
      </w:r>
      <w:r>
        <w:rPr>
          <w:bCs/>
        </w:rPr>
        <w:t xml:space="preserve">atstāt </w:t>
      </w:r>
      <w:r w:rsidR="005850A5">
        <w:rPr>
          <w:bCs/>
        </w:rPr>
        <w:t>tālāk</w:t>
      </w:r>
      <w:r>
        <w:rPr>
          <w:bCs/>
        </w:rPr>
        <w:t>u</w:t>
      </w:r>
      <w:r w:rsidR="005850A5">
        <w:rPr>
          <w:bCs/>
        </w:rPr>
        <w:t xml:space="preserve"> ietekm</w:t>
      </w:r>
      <w:r>
        <w:rPr>
          <w:bCs/>
        </w:rPr>
        <w:t>i</w:t>
      </w:r>
      <w:r w:rsidR="005850A5">
        <w:rPr>
          <w:bCs/>
        </w:rPr>
        <w:t xml:space="preserve"> uz tirgus dalībnieka situāciju tirgū</w:t>
      </w:r>
      <w:r>
        <w:rPr>
          <w:bCs/>
        </w:rPr>
        <w:t>, savukārt tālāk netieši – arī konkurences tiesību efektīvu īstenošanu</w:t>
      </w:r>
      <w:r w:rsidR="005850A5">
        <w:rPr>
          <w:bCs/>
        </w:rPr>
        <w:t xml:space="preserve">. Vērtējot, vai pastāv aizsargājamas tiesības un tiesiskās intereses, tiesa nedrīkst aprobežoties tikai ar </w:t>
      </w:r>
      <w:r w:rsidR="006F636A">
        <w:rPr>
          <w:bCs/>
        </w:rPr>
        <w:t>tādām tiesībām un tiesiskajām interesēm, kuras īstenojamas tikai administratīvajā procesā</w:t>
      </w:r>
      <w:r w:rsidR="00693325">
        <w:rPr>
          <w:bCs/>
        </w:rPr>
        <w:t xml:space="preserve"> pamatlietā (pārkāpuma lietā)</w:t>
      </w:r>
      <w:r w:rsidR="006F636A">
        <w:rPr>
          <w:bCs/>
        </w:rPr>
        <w:t>.</w:t>
      </w:r>
      <w:r w:rsidR="00852172" w:rsidRPr="00852172">
        <w:t xml:space="preserve"> </w:t>
      </w:r>
    </w:p>
    <w:p w14:paraId="7B500A6C" w14:textId="48ACB99C" w:rsidR="004958FF" w:rsidRDefault="004958FF" w:rsidP="00C52CD8">
      <w:pPr>
        <w:pStyle w:val="NormalWeb"/>
        <w:shd w:val="clear" w:color="auto" w:fill="FFFFFF"/>
        <w:spacing w:line="276" w:lineRule="auto"/>
        <w:ind w:firstLine="567"/>
        <w:jc w:val="both"/>
        <w:rPr>
          <w:bCs/>
        </w:rPr>
      </w:pPr>
    </w:p>
    <w:p w14:paraId="5BA09705" w14:textId="50BB54BA" w:rsidR="004958FF" w:rsidRDefault="004958FF" w:rsidP="00C52CD8">
      <w:pPr>
        <w:pStyle w:val="NormalWeb"/>
        <w:shd w:val="clear" w:color="auto" w:fill="FFFFFF"/>
        <w:spacing w:line="276" w:lineRule="auto"/>
        <w:ind w:firstLine="567"/>
        <w:jc w:val="both"/>
        <w:rPr>
          <w:bCs/>
        </w:rPr>
      </w:pPr>
      <w:r>
        <w:rPr>
          <w:bCs/>
        </w:rPr>
        <w:t>[</w:t>
      </w:r>
      <w:r w:rsidR="00693325">
        <w:rPr>
          <w:bCs/>
        </w:rPr>
        <w:t>11</w:t>
      </w:r>
      <w:r>
        <w:rPr>
          <w:bCs/>
        </w:rPr>
        <w:t xml:space="preserve">] Ievērojot minētos apsvērumus, Administratīvās rajona tiesas lēmums ir atceļams, jo tiesa ir kļūdaini piemērojusi Administratīvā procesa likuma 28.panta pirmo daļu. </w:t>
      </w:r>
    </w:p>
    <w:p w14:paraId="0908D0FC" w14:textId="77777777" w:rsidR="005850A5" w:rsidRDefault="005850A5" w:rsidP="00C52CD8">
      <w:pPr>
        <w:pStyle w:val="NormalWeb"/>
        <w:shd w:val="clear" w:color="auto" w:fill="FFFFFF"/>
        <w:spacing w:line="276" w:lineRule="auto"/>
        <w:ind w:firstLine="567"/>
        <w:jc w:val="both"/>
        <w:rPr>
          <w:bCs/>
        </w:rPr>
      </w:pPr>
    </w:p>
    <w:p w14:paraId="6EEB0284" w14:textId="7A5DEE88" w:rsidR="004958FF" w:rsidRDefault="003A7F47" w:rsidP="00C52CD8">
      <w:pPr>
        <w:pStyle w:val="NormalWeb"/>
        <w:shd w:val="clear" w:color="auto" w:fill="FFFFFF"/>
        <w:spacing w:line="276" w:lineRule="auto"/>
        <w:ind w:firstLine="567"/>
        <w:jc w:val="both"/>
        <w:rPr>
          <w:bCs/>
        </w:rPr>
      </w:pPr>
      <w:r>
        <w:rPr>
          <w:bCs/>
        </w:rPr>
        <w:t>[</w:t>
      </w:r>
      <w:r w:rsidR="00693325">
        <w:rPr>
          <w:bCs/>
        </w:rPr>
        <w:t>12</w:t>
      </w:r>
      <w:r>
        <w:rPr>
          <w:bCs/>
        </w:rPr>
        <w:t xml:space="preserve">] </w:t>
      </w:r>
      <w:r w:rsidR="004958FF">
        <w:rPr>
          <w:bCs/>
        </w:rPr>
        <w:t xml:space="preserve">Tā kā SIA „Velve” tiesiskās intereses un konkurences tiesību efektīvas īstenošanas intereses var ietekmēt arī citi rajona tiesas secinājumi par šīs lietas izskatīšanas priekšmetu, Senāts uzskata par nepieciešamu </w:t>
      </w:r>
      <w:r w:rsidR="004958FF" w:rsidRPr="004958FF">
        <w:rPr>
          <w:bCs/>
          <w:i/>
          <w:iCs/>
        </w:rPr>
        <w:t>obiter dictum</w:t>
      </w:r>
      <w:r w:rsidR="004958FF">
        <w:rPr>
          <w:bCs/>
        </w:rPr>
        <w:t xml:space="preserve"> vērst uzmanību arī uz turpmāk minēto.</w:t>
      </w:r>
    </w:p>
    <w:p w14:paraId="301D547C" w14:textId="77777777" w:rsidR="00E014A1" w:rsidRDefault="00DD36CB" w:rsidP="00C52CD8">
      <w:pPr>
        <w:pStyle w:val="NormalWeb"/>
        <w:shd w:val="clear" w:color="auto" w:fill="FFFFFF"/>
        <w:spacing w:line="276" w:lineRule="auto"/>
        <w:ind w:firstLine="567"/>
        <w:jc w:val="both"/>
        <w:rPr>
          <w:bCs/>
        </w:rPr>
      </w:pPr>
      <w:r>
        <w:rPr>
          <w:bCs/>
        </w:rPr>
        <w:t xml:space="preserve">Kā var secināt no procesa dalībnieku argumentiem un kā to var loģiski secināt no Konkurences padomes lēmuma pamatlietā (pārkāpuma lietā), izlīguma piedāvājums ietilpst Konkurences padomes izmeklētās un izlemtās pārkāpuma lietas materiālos, bet neatrodas Administratīvās apgabaltiesas lietā, kura ierosināta par minēto Konkurences padomes lēmumu. Taču šis dokuments ir tieši par pārkāpuma lietā izlemjamiem jautājumiem, tātad jebkurā gadījumā tas pēc būtības ir radīts un izskatīts tieši pārkāpuma lietas ietvaros. </w:t>
      </w:r>
      <w:r w:rsidR="009B6E7D">
        <w:rPr>
          <w:bCs/>
        </w:rPr>
        <w:t>Turklāt pieteicēja ir pārkāpuma lietas dalībniece un norāda uz savām kā minētās lietas dalībnieces tiesiskajām interesēm šādas informācijas iegūšanā.</w:t>
      </w:r>
    </w:p>
    <w:p w14:paraId="47110D38" w14:textId="703ED968" w:rsidR="008B075E" w:rsidRDefault="00DD36CB" w:rsidP="00C52CD8">
      <w:pPr>
        <w:pStyle w:val="NormalWeb"/>
        <w:shd w:val="clear" w:color="auto" w:fill="FFFFFF"/>
        <w:spacing w:line="276" w:lineRule="auto"/>
        <w:ind w:firstLine="567"/>
        <w:jc w:val="both"/>
        <w:rPr>
          <w:bCs/>
        </w:rPr>
      </w:pPr>
      <w:r>
        <w:rPr>
          <w:bCs/>
        </w:rPr>
        <w:t xml:space="preserve">Tas ir pamats atgriezties pie Senāta 2017.gada </w:t>
      </w:r>
      <w:r w:rsidR="009409C9">
        <w:rPr>
          <w:bCs/>
        </w:rPr>
        <w:t xml:space="preserve">20.janvāra </w:t>
      </w:r>
      <w:r>
        <w:rPr>
          <w:bCs/>
        </w:rPr>
        <w:t xml:space="preserve">lēmumā </w:t>
      </w:r>
      <w:r w:rsidR="009409C9">
        <w:rPr>
          <w:bCs/>
        </w:rPr>
        <w:t>lietā Nr. </w:t>
      </w:r>
      <w:r w:rsidR="009409C9" w:rsidRPr="009409C9">
        <w:rPr>
          <w:bCs/>
        </w:rPr>
        <w:t>SKA-172/2017</w:t>
      </w:r>
      <w:r w:rsidR="009409C9">
        <w:rPr>
          <w:bCs/>
        </w:rPr>
        <w:t xml:space="preserve"> </w:t>
      </w:r>
      <w:r>
        <w:rPr>
          <w:bCs/>
        </w:rPr>
        <w:t>norādītās atšķirības starp divām lietu kategorijām – informācijas pieprasījumiem Informācijas atklātības likuma ietvaros un lūgumiem iepazīties ar lietas materiāliem</w:t>
      </w:r>
      <w:r w:rsidR="00320DBE">
        <w:rPr>
          <w:bCs/>
        </w:rPr>
        <w:t xml:space="preserve"> atbilstoši Administratīvā procesa likuma 61.pantam</w:t>
      </w:r>
      <w:r w:rsidR="00415110">
        <w:rPr>
          <w:bCs/>
        </w:rPr>
        <w:t xml:space="preserve"> (</w:t>
      </w:r>
      <w:r w:rsidR="00415110" w:rsidRPr="00415110">
        <w:rPr>
          <w:bCs/>
          <w:i/>
          <w:iCs/>
        </w:rPr>
        <w:t>minētā lēmuma 7.–8.punkts</w:t>
      </w:r>
      <w:r w:rsidR="00415110">
        <w:rPr>
          <w:bCs/>
        </w:rPr>
        <w:t>)</w:t>
      </w:r>
      <w:r>
        <w:rPr>
          <w:bCs/>
        </w:rPr>
        <w:t xml:space="preserve">. </w:t>
      </w:r>
      <w:r w:rsidR="00320DBE">
        <w:rPr>
          <w:bCs/>
        </w:rPr>
        <w:t>L</w:t>
      </w:r>
      <w:r w:rsidR="00320DBE" w:rsidRPr="00320DBE">
        <w:rPr>
          <w:bCs/>
        </w:rPr>
        <w:t xml:space="preserve">ai arī SIA „VELVE” formāli nav </w:t>
      </w:r>
      <w:r w:rsidR="00192221">
        <w:rPr>
          <w:bCs/>
        </w:rPr>
        <w:t xml:space="preserve">Administratīvajā apgabaltiesā ierosinātās </w:t>
      </w:r>
      <w:r w:rsidR="00320DBE" w:rsidRPr="00320DBE">
        <w:rPr>
          <w:bCs/>
        </w:rPr>
        <w:t>lietas dalībnie</w:t>
      </w:r>
      <w:r w:rsidR="00192221">
        <w:rPr>
          <w:bCs/>
        </w:rPr>
        <w:t>ce</w:t>
      </w:r>
      <w:r w:rsidR="00320DBE" w:rsidRPr="00320DBE">
        <w:rPr>
          <w:bCs/>
        </w:rPr>
        <w:t>, tas nemaina to, ka noteikti dokumenti un tajos esošā informācija ir tapuši un kalpojuši tieši pamatlietas lēmuma pieņemšanai</w:t>
      </w:r>
      <w:r w:rsidR="00192221">
        <w:rPr>
          <w:bCs/>
        </w:rPr>
        <w:t xml:space="preserve"> un bijuši minētās lietas sastāvdaļa administratīvajā procesā iestādē</w:t>
      </w:r>
      <w:r w:rsidR="00320DBE" w:rsidRPr="00320DBE">
        <w:rPr>
          <w:bCs/>
        </w:rPr>
        <w:t>, un kā tāda tā var tikt apskatīta, izskatot pamatlietu un noskaidrojot personu tiesības un pienākumus pamatlietā par Konkurences padomes lēmuma tiesiskumu.</w:t>
      </w:r>
      <w:r w:rsidR="008B075E">
        <w:rPr>
          <w:bCs/>
        </w:rPr>
        <w:t xml:space="preserve"> </w:t>
      </w:r>
      <w:r w:rsidR="008B075E" w:rsidRPr="008B075E">
        <w:rPr>
          <w:bCs/>
        </w:rPr>
        <w:t>Senāts no procesuāl</w:t>
      </w:r>
      <w:r w:rsidR="00415110">
        <w:rPr>
          <w:bCs/>
        </w:rPr>
        <w:t>o</w:t>
      </w:r>
      <w:r w:rsidR="008B075E" w:rsidRPr="008B075E">
        <w:rPr>
          <w:bCs/>
        </w:rPr>
        <w:t xml:space="preserve"> tiesību normām ne</w:t>
      </w:r>
      <w:r w:rsidR="00415110">
        <w:rPr>
          <w:bCs/>
        </w:rPr>
        <w:t>redz</w:t>
      </w:r>
      <w:r w:rsidR="008B075E" w:rsidRPr="008B075E">
        <w:rPr>
          <w:bCs/>
        </w:rPr>
        <w:t xml:space="preserve"> pamatu uzskatam, ka kāda informācija zaudētu lietā esošās informācijas statusu tikai atkarībā no tā, vai kāda persona ir vai nav pārsūdzējusi Konkurences padomes lēmumu kādā daļā. T</w:t>
      </w:r>
      <w:r w:rsidR="00415110">
        <w:rPr>
          <w:bCs/>
        </w:rPr>
        <w:t>āpat arī t</w:t>
      </w:r>
      <w:r w:rsidR="008B075E" w:rsidRPr="008B075E">
        <w:rPr>
          <w:bCs/>
        </w:rPr>
        <w:t>as, vai Konkurences padome ir vai nav nodevusi tiesai, kas izskata pamatlietu, arī attiecīgus lietas materiālus (vai tiesa tos ir iekļāvusi tiesas lietas materiālos), nemaina šo materiālu kā iestādē izskatītās pārkāpuma lietas sastāvdaļas statusu.</w:t>
      </w:r>
    </w:p>
    <w:p w14:paraId="36276C1C" w14:textId="77777777" w:rsidR="00E014A1" w:rsidRPr="008B075E" w:rsidRDefault="00E014A1" w:rsidP="00C52CD8">
      <w:pPr>
        <w:pStyle w:val="NormalWeb"/>
        <w:shd w:val="clear" w:color="auto" w:fill="FFFFFF"/>
        <w:spacing w:line="276" w:lineRule="auto"/>
        <w:ind w:firstLine="567"/>
        <w:jc w:val="both"/>
        <w:rPr>
          <w:bCs/>
        </w:rPr>
      </w:pPr>
    </w:p>
    <w:p w14:paraId="24790556" w14:textId="6ADDD972" w:rsidR="00C5788D" w:rsidRDefault="002F4C91" w:rsidP="00C52CD8">
      <w:pPr>
        <w:pStyle w:val="NormalWeb"/>
        <w:shd w:val="clear" w:color="auto" w:fill="FFFFFF"/>
        <w:spacing w:line="276" w:lineRule="auto"/>
        <w:ind w:firstLine="567"/>
        <w:jc w:val="both"/>
        <w:rPr>
          <w:bCs/>
        </w:rPr>
      </w:pPr>
      <w:r>
        <w:rPr>
          <w:bCs/>
        </w:rPr>
        <w:t>[</w:t>
      </w:r>
      <w:r w:rsidR="00693325">
        <w:rPr>
          <w:bCs/>
        </w:rPr>
        <w:t>13</w:t>
      </w:r>
      <w:r>
        <w:rPr>
          <w:bCs/>
        </w:rPr>
        <w:t xml:space="preserve">] Lai arī, Konkurences padomes blakus sūdzību apmierinot, Konkurences padomei tiek atmaksāta drošības nauda, Senāts vēlas vērst rajona tiesas uzmanību uz to, ka drošības nauda tika iekasēta nepamatoti. </w:t>
      </w:r>
    </w:p>
    <w:p w14:paraId="7BAC331E" w14:textId="77777777" w:rsidR="00C5788D" w:rsidRPr="007D12C6" w:rsidRDefault="002F4C91" w:rsidP="00C52CD8">
      <w:pPr>
        <w:pStyle w:val="NormalWeb"/>
        <w:shd w:val="clear" w:color="auto" w:fill="FFFFFF"/>
        <w:spacing w:line="276" w:lineRule="auto"/>
        <w:ind w:firstLine="567"/>
        <w:jc w:val="both"/>
        <w:rPr>
          <w:bCs/>
        </w:rPr>
      </w:pPr>
      <w:r>
        <w:rPr>
          <w:bCs/>
        </w:rPr>
        <w:t xml:space="preserve">Konkurences padome, iesniedzot blakus sūdzību, norādīja uz Konkurences likuma 8.panta piekto daļu, kas paredz, ka </w:t>
      </w:r>
      <w:r w:rsidRPr="002F4C91">
        <w:rPr>
          <w:bCs/>
        </w:rPr>
        <w:t xml:space="preserve">Konkurences </w:t>
      </w:r>
      <w:r w:rsidRPr="007D12C6">
        <w:rPr>
          <w:bCs/>
        </w:rPr>
        <w:t xml:space="preserve">padome ir atbrīvota no tiesas izdevumiem, ja tā iesniedz tiesā pieteikumu, iesniegumu vai sūdzību sakarā ar šā likuma un citu šajā jomā pieņemto normatīvo aktu pārkāpumiem. Rajona tiesas tiesnesis šo normu ir iztulkojis tā, ka tā neaptver </w:t>
      </w:r>
      <w:r w:rsidR="00C42DEE" w:rsidRPr="007D12C6">
        <w:rPr>
          <w:bCs/>
        </w:rPr>
        <w:t xml:space="preserve">šīs lietas gadījumu, jo lieta ir par pienākuma uzlikšanu Konkurences padomei izsniegt informāciju, nevis par konkurences tiesību pārkāpumu. </w:t>
      </w:r>
    </w:p>
    <w:p w14:paraId="511B50E3" w14:textId="0D847A3A" w:rsidR="00C5788D" w:rsidRDefault="00C42DEE" w:rsidP="00C52CD8">
      <w:pPr>
        <w:pStyle w:val="NormalWeb"/>
        <w:shd w:val="clear" w:color="auto" w:fill="FFFFFF"/>
        <w:spacing w:line="276" w:lineRule="auto"/>
        <w:ind w:firstLine="567"/>
        <w:jc w:val="both"/>
        <w:rPr>
          <w:bCs/>
        </w:rPr>
      </w:pPr>
      <w:r w:rsidRPr="007D12C6">
        <w:rPr>
          <w:bCs/>
        </w:rPr>
        <w:t xml:space="preserve">Šāds iztulkojums ir gramatisks un neatbilst normas mērķim, turklāt būtībā arī neatbilst šīs lietas gadījumam. </w:t>
      </w:r>
      <w:r w:rsidR="00C5788D" w:rsidRPr="007D12C6">
        <w:rPr>
          <w:bCs/>
        </w:rPr>
        <w:t xml:space="preserve">Kā redzams, norma ir formulēta plaši – pieteikumi, iesniegumi vai sūdzības (tātad jebkura veida procesuālie dokumenti) sakarā ar Konkurences likuma un citu šajā jomā pieņemto normatīvo aktu pārkāpumiem. Tas </w:t>
      </w:r>
      <w:r w:rsidR="0010106F" w:rsidRPr="007D12C6">
        <w:rPr>
          <w:bCs/>
        </w:rPr>
        <w:t>no</w:t>
      </w:r>
      <w:r w:rsidR="00C5788D" w:rsidRPr="007D12C6">
        <w:rPr>
          <w:bCs/>
        </w:rPr>
        <w:t>rāda uz likumdevēja vēlmi neradīt Konkurences padomei finansiālu slogu</w:t>
      </w:r>
      <w:r w:rsidR="0010106F" w:rsidRPr="007D12C6">
        <w:rPr>
          <w:bCs/>
        </w:rPr>
        <w:t xml:space="preserve"> gadījumos, ja ir jātiesājas</w:t>
      </w:r>
      <w:r w:rsidR="0010106F">
        <w:rPr>
          <w:bCs/>
        </w:rPr>
        <w:t xml:space="preserve"> lietās, kas </w:t>
      </w:r>
      <w:r w:rsidR="00363693">
        <w:rPr>
          <w:bCs/>
        </w:rPr>
        <w:t>radušās sakarā ar personu izdarītiem pārkāpumiem</w:t>
      </w:r>
      <w:r w:rsidR="0010106F">
        <w:rPr>
          <w:bCs/>
        </w:rPr>
        <w:t xml:space="preserve">. Normas vispārīgais formulējums nerada iespaidu, ka likumdevēja mērķis būtu dalīt tiesas izdevumus atkarībā no precīzi nosaukta lietas priekšmeta, bet ir formulēts, lai aptvertu iespējami plašāku tiesvedību loku, kas varētu rasties sakarā ar pārkāpumiem jomās, kuru uzraudzība ir Konkurences padomes kompetencē. Šāda izšķiršanās ir </w:t>
      </w:r>
      <w:r w:rsidR="00363693">
        <w:rPr>
          <w:bCs/>
        </w:rPr>
        <w:t>izskaidrojama</w:t>
      </w:r>
      <w:r w:rsidR="0010106F">
        <w:rPr>
          <w:bCs/>
        </w:rPr>
        <w:t xml:space="preserve"> ar to, ka Konkurences padomei ir jānodrošina pēc iespējas lielāka finansiāla neatkarība tās pamatfunkciju veikšanā</w:t>
      </w:r>
      <w:r w:rsidR="00363693">
        <w:rPr>
          <w:bCs/>
        </w:rPr>
        <w:t xml:space="preserve">. Līdz ar to arī šajā sakarā, līdzīgi kā pieteicēju pieprasītas informācijas nodalīšanā </w:t>
      </w:r>
      <w:r w:rsidR="00B467FA">
        <w:rPr>
          <w:bCs/>
        </w:rPr>
        <w:t>(informācija no lietas vai vispārīga, ar lietu nesaistīta informācija)</w:t>
      </w:r>
      <w:r w:rsidR="00363693">
        <w:rPr>
          <w:bCs/>
        </w:rPr>
        <w:t>, tiesai būtu pēc būtības, nevis formāli jāvērtē, vai Konkurences padome, iesniedzot sūdzību, rīkojas sakarā ar pārkāpuma lietu vai sakarā ar vispārīgiem savas kompetences jautājumiem (kas atbilstu vispārīgas informācijas pieprasījumiem atbilstoši Informācijas atklātības likumam).</w:t>
      </w:r>
    </w:p>
    <w:p w14:paraId="1F139DD3" w14:textId="54377386" w:rsidR="002F4C91" w:rsidRDefault="00C42DEE" w:rsidP="00C52CD8">
      <w:pPr>
        <w:pStyle w:val="NormalWeb"/>
        <w:shd w:val="clear" w:color="auto" w:fill="FFFFFF"/>
        <w:spacing w:line="276" w:lineRule="auto"/>
        <w:ind w:firstLine="567"/>
        <w:jc w:val="both"/>
        <w:rPr>
          <w:bCs/>
        </w:rPr>
      </w:pPr>
      <w:r>
        <w:rPr>
          <w:bCs/>
        </w:rPr>
        <w:t xml:space="preserve">Pieteicēja vēlas izprasīt informāciju, kas nepārprotami saistīta ar pārkāpuma lietu </w:t>
      </w:r>
      <w:r w:rsidR="00693325">
        <w:rPr>
          <w:bCs/>
        </w:rPr>
        <w:t xml:space="preserve">un ir iestādes izmeklētās pārkāpuma lietas sastāvdaļa </w:t>
      </w:r>
      <w:r>
        <w:rPr>
          <w:bCs/>
        </w:rPr>
        <w:t xml:space="preserve">– attiecas uz viena lietas dalībnieka atbildības samazināšanu sakarā ar izlīgumu. Konkurences padome argumentē, ka šī informācija ir aizsargājama no citiem pārkāpuma lietas dalībniekiem. Līdz ar to šī tiesvedība ir tikai par vienu blakus jautājumu pārkāpuma lietā, proti, par noteiktas informācijas pieejamību lietas dalībniekam par cita lietas dalībnieka un Konkurences padomes </w:t>
      </w:r>
      <w:r w:rsidR="004F7BC1">
        <w:rPr>
          <w:bCs/>
        </w:rPr>
        <w:t xml:space="preserve">izlīgumu </w:t>
      </w:r>
      <w:r w:rsidR="000B0A0C">
        <w:rPr>
          <w:bCs/>
        </w:rPr>
        <w:t>pārkāpuma lietā</w:t>
      </w:r>
      <w:r w:rsidR="00C5788D">
        <w:rPr>
          <w:bCs/>
        </w:rPr>
        <w:t xml:space="preserve">. </w:t>
      </w:r>
      <w:r w:rsidR="00663D9D">
        <w:rPr>
          <w:bCs/>
        </w:rPr>
        <w:t>Tādēļ drošības naudas pieprasīšana par blakus sūdzības iesniegšanu nebija pamatota, jo blakus sūdzība iesniegta lietā, kas saistīta ar normatīvo aktu pārkāpumu konkurences jomā (no tās atvasināta</w:t>
      </w:r>
      <w:r w:rsidR="004F7BC1">
        <w:rPr>
          <w:bCs/>
        </w:rPr>
        <w:t xml:space="preserve"> līdz ar lietas ierosināšanu Administratīvajā rajona tiesā</w:t>
      </w:r>
      <w:r w:rsidR="00663D9D">
        <w:rPr>
          <w:bCs/>
        </w:rPr>
        <w:t>).</w:t>
      </w:r>
    </w:p>
    <w:p w14:paraId="34220A4D" w14:textId="20286C98" w:rsidR="00F12997" w:rsidRDefault="00F12997" w:rsidP="00C52CD8">
      <w:pPr>
        <w:pStyle w:val="NormalWeb"/>
        <w:shd w:val="clear" w:color="auto" w:fill="FFFFFF"/>
        <w:spacing w:line="276" w:lineRule="auto"/>
        <w:ind w:firstLine="567"/>
        <w:jc w:val="both"/>
      </w:pPr>
      <w:bookmarkStart w:id="0" w:name="_Hlk105407981"/>
    </w:p>
    <w:bookmarkEnd w:id="0"/>
    <w:p w14:paraId="1E41C857" w14:textId="77777777" w:rsidR="005575AF" w:rsidRPr="002A18AC" w:rsidRDefault="00F04A13" w:rsidP="00C52CD8">
      <w:pPr>
        <w:pStyle w:val="NormalWeb"/>
        <w:shd w:val="clear" w:color="auto" w:fill="FFFFFF"/>
        <w:tabs>
          <w:tab w:val="left" w:pos="567"/>
        </w:tabs>
        <w:spacing w:line="276" w:lineRule="auto"/>
        <w:contextualSpacing/>
        <w:jc w:val="center"/>
        <w:rPr>
          <w:b/>
        </w:rPr>
      </w:pPr>
      <w:r w:rsidRPr="002A18AC">
        <w:rPr>
          <w:b/>
        </w:rPr>
        <w:t>Rezolutīvā daļa</w:t>
      </w:r>
    </w:p>
    <w:p w14:paraId="5066A10F" w14:textId="77777777" w:rsidR="005575AF" w:rsidRPr="002A18AC" w:rsidRDefault="005575AF" w:rsidP="00C52CD8">
      <w:pPr>
        <w:pStyle w:val="NormalWeb"/>
        <w:shd w:val="clear" w:color="auto" w:fill="FFFFFF"/>
        <w:tabs>
          <w:tab w:val="left" w:pos="567"/>
        </w:tabs>
        <w:spacing w:line="276" w:lineRule="auto"/>
        <w:ind w:firstLine="567"/>
        <w:contextualSpacing/>
        <w:jc w:val="center"/>
        <w:rPr>
          <w:b/>
        </w:rPr>
      </w:pPr>
    </w:p>
    <w:p w14:paraId="15CF2718" w14:textId="3F9164AB" w:rsidR="005575AF" w:rsidRPr="002A18AC" w:rsidRDefault="00F04A13" w:rsidP="00C52CD8">
      <w:pPr>
        <w:pStyle w:val="NormalWeb"/>
        <w:shd w:val="clear" w:color="auto" w:fill="FFFFFF"/>
        <w:tabs>
          <w:tab w:val="left" w:pos="567"/>
        </w:tabs>
        <w:spacing w:line="276" w:lineRule="auto"/>
        <w:ind w:firstLine="567"/>
        <w:contextualSpacing/>
        <w:jc w:val="both"/>
      </w:pPr>
      <w:r w:rsidRPr="002A18AC">
        <w:t xml:space="preserve">Pamatojoties uz Administratīvā procesa likuma </w:t>
      </w:r>
      <w:r w:rsidR="00160162" w:rsidRPr="002A18AC">
        <w:t>129.</w:t>
      </w:r>
      <w:r w:rsidR="00160162" w:rsidRPr="002A18AC">
        <w:rPr>
          <w:vertAlign w:val="superscript"/>
        </w:rPr>
        <w:t>1</w:t>
      </w:r>
      <w:r w:rsidR="00160162" w:rsidRPr="002A18AC">
        <w:t xml:space="preserve">panta pirmās daļas 1.punktu </w:t>
      </w:r>
      <w:r w:rsidRPr="002A18AC">
        <w:t xml:space="preserve">323.panta pirmās daļas </w:t>
      </w:r>
      <w:r w:rsidR="00160162" w:rsidRPr="002A18AC">
        <w:t>2</w:t>
      </w:r>
      <w:r w:rsidRPr="002A18AC">
        <w:t xml:space="preserve">.punktu un 324.panta pirmo daļu, Senāts </w:t>
      </w:r>
    </w:p>
    <w:p w14:paraId="2B2F46AF" w14:textId="2FD4DE07" w:rsidR="005575AF" w:rsidRPr="002A18AC" w:rsidRDefault="005575AF" w:rsidP="00C52CD8">
      <w:pPr>
        <w:pStyle w:val="NormalWeb"/>
        <w:shd w:val="clear" w:color="auto" w:fill="FFFFFF"/>
        <w:tabs>
          <w:tab w:val="left" w:pos="567"/>
        </w:tabs>
        <w:spacing w:line="276" w:lineRule="auto"/>
        <w:ind w:firstLine="567"/>
        <w:contextualSpacing/>
        <w:jc w:val="both"/>
      </w:pPr>
    </w:p>
    <w:p w14:paraId="611F74F6" w14:textId="51773CA9" w:rsidR="00F04A13" w:rsidRPr="002A18AC" w:rsidRDefault="008F33BD" w:rsidP="00C52CD8">
      <w:pPr>
        <w:pStyle w:val="NormalWeb"/>
        <w:shd w:val="clear" w:color="auto" w:fill="FFFFFF"/>
        <w:tabs>
          <w:tab w:val="left" w:pos="567"/>
        </w:tabs>
        <w:spacing w:line="276" w:lineRule="auto"/>
        <w:contextualSpacing/>
        <w:jc w:val="center"/>
        <w:rPr>
          <w:b/>
        </w:rPr>
      </w:pPr>
      <w:r w:rsidRPr="002A18AC">
        <w:rPr>
          <w:b/>
        </w:rPr>
        <w:t>n</w:t>
      </w:r>
      <w:r w:rsidR="00F04A13" w:rsidRPr="002A18AC">
        <w:rPr>
          <w:b/>
        </w:rPr>
        <w:t>olēma</w:t>
      </w:r>
    </w:p>
    <w:p w14:paraId="31FADF0B" w14:textId="77777777" w:rsidR="008F33BD" w:rsidRPr="002A18AC" w:rsidRDefault="008F33BD" w:rsidP="00C52CD8">
      <w:pPr>
        <w:pStyle w:val="NormalWeb"/>
        <w:shd w:val="clear" w:color="auto" w:fill="FFFFFF"/>
        <w:tabs>
          <w:tab w:val="left" w:pos="567"/>
        </w:tabs>
        <w:spacing w:line="276" w:lineRule="auto"/>
        <w:ind w:firstLine="567"/>
        <w:jc w:val="center"/>
      </w:pPr>
    </w:p>
    <w:p w14:paraId="52CA5EDC" w14:textId="1211BB4A" w:rsidR="008F33BD" w:rsidRPr="002A18AC" w:rsidRDefault="008F33BD" w:rsidP="00C52CD8">
      <w:pPr>
        <w:spacing w:after="0"/>
        <w:ind w:firstLine="567"/>
      </w:pPr>
      <w:r w:rsidRPr="002A18AC">
        <w:t xml:space="preserve">atcelt Administratīvās rajona tiesas 2022.gada </w:t>
      </w:r>
      <w:r w:rsidR="004F7BC1">
        <w:t xml:space="preserve">23.marta </w:t>
      </w:r>
      <w:r w:rsidRPr="002A18AC">
        <w:t xml:space="preserve">lēmumu un nosūtīt </w:t>
      </w:r>
      <w:r w:rsidR="004F7BC1">
        <w:t xml:space="preserve">jautājumu par SIA „VELVE” </w:t>
      </w:r>
      <w:r w:rsidR="006F76EF">
        <w:t xml:space="preserve">kā trešās personas </w:t>
      </w:r>
      <w:r w:rsidR="004F7BC1">
        <w:t xml:space="preserve">pieaicināšanu </w:t>
      </w:r>
      <w:r w:rsidRPr="002A18AC">
        <w:t>jaunai izskatīšanai Administratīvajai rajona tiesai</w:t>
      </w:r>
      <w:r w:rsidR="005A7083">
        <w:t>;</w:t>
      </w:r>
    </w:p>
    <w:p w14:paraId="38A609AB" w14:textId="305AB76C" w:rsidR="008F33BD" w:rsidRPr="002A18AC" w:rsidRDefault="005A7083" w:rsidP="00C52CD8">
      <w:pPr>
        <w:spacing w:after="0"/>
        <w:ind w:firstLine="567"/>
      </w:pPr>
      <w:r>
        <w:t>a</w:t>
      </w:r>
      <w:r w:rsidR="008F33BD" w:rsidRPr="002A18AC">
        <w:t xml:space="preserve">tmaksāt </w:t>
      </w:r>
      <w:r w:rsidR="004F7BC1">
        <w:rPr>
          <w:szCs w:val="24"/>
        </w:rPr>
        <w:t>Konkurences padomei</w:t>
      </w:r>
      <w:r w:rsidR="008F33BD" w:rsidRPr="002A18AC">
        <w:rPr>
          <w:szCs w:val="24"/>
        </w:rPr>
        <w:t xml:space="preserve"> </w:t>
      </w:r>
      <w:r w:rsidR="008F33BD" w:rsidRPr="002A18AC">
        <w:t>drošības naudu 15</w:t>
      </w:r>
      <w:r w:rsidR="00EB225B">
        <w:t> </w:t>
      </w:r>
      <w:r w:rsidR="008F33BD" w:rsidRPr="002A18AC">
        <w:rPr>
          <w:i/>
          <w:iCs/>
        </w:rPr>
        <w:t>euro</w:t>
      </w:r>
      <w:r w:rsidR="008F33BD" w:rsidRPr="002A18AC">
        <w:t>.</w:t>
      </w:r>
    </w:p>
    <w:p w14:paraId="54CDC69A" w14:textId="77777777" w:rsidR="008F33BD" w:rsidRPr="002A18AC" w:rsidRDefault="008F33BD" w:rsidP="00C52CD8">
      <w:pPr>
        <w:spacing w:after="0"/>
        <w:ind w:firstLine="567"/>
      </w:pPr>
      <w:r w:rsidRPr="002A18AC">
        <w:t>Lēmums nav pārsūdzams.</w:t>
      </w:r>
    </w:p>
    <w:p w14:paraId="33D7F147" w14:textId="2B57283C" w:rsidR="00D94E0F" w:rsidRDefault="00D94E0F" w:rsidP="00AB74F0">
      <w:pPr>
        <w:tabs>
          <w:tab w:val="left" w:pos="3402"/>
          <w:tab w:val="left" w:pos="7200"/>
          <w:tab w:val="left" w:pos="7560"/>
        </w:tabs>
        <w:spacing w:after="0"/>
        <w:ind w:firstLine="567"/>
      </w:pPr>
    </w:p>
    <w:p w14:paraId="49AF5CA3" w14:textId="77777777" w:rsidR="00092A0C" w:rsidRDefault="00092A0C" w:rsidP="00AB74F0">
      <w:pPr>
        <w:tabs>
          <w:tab w:val="left" w:pos="3402"/>
          <w:tab w:val="left" w:pos="7200"/>
          <w:tab w:val="left" w:pos="7560"/>
        </w:tabs>
        <w:spacing w:after="0"/>
        <w:ind w:firstLine="567"/>
      </w:pPr>
    </w:p>
    <w:p w14:paraId="27E66F96" w14:textId="77777777" w:rsidR="00163BD2" w:rsidRPr="002A18AC" w:rsidRDefault="00163BD2" w:rsidP="00AB74F0">
      <w:pPr>
        <w:tabs>
          <w:tab w:val="left" w:pos="3402"/>
          <w:tab w:val="left" w:pos="7200"/>
          <w:tab w:val="left" w:pos="7560"/>
        </w:tabs>
        <w:spacing w:after="0"/>
        <w:ind w:firstLine="567"/>
      </w:pPr>
    </w:p>
    <w:p w14:paraId="008B9FA9" w14:textId="77777777" w:rsidR="008F33BD" w:rsidRPr="002A18AC" w:rsidRDefault="008F33BD" w:rsidP="00AB74F0">
      <w:pPr>
        <w:tabs>
          <w:tab w:val="left" w:pos="3402"/>
          <w:tab w:val="left" w:pos="7200"/>
          <w:tab w:val="left" w:pos="7560"/>
        </w:tabs>
        <w:spacing w:after="0"/>
        <w:ind w:firstLine="567"/>
      </w:pPr>
    </w:p>
    <w:p w14:paraId="7868318A" w14:textId="77777777" w:rsidR="00EC140F" w:rsidRPr="002A18AC" w:rsidRDefault="00EC140F" w:rsidP="00B656A9">
      <w:pPr>
        <w:spacing w:after="0"/>
        <w:contextualSpacing/>
      </w:pPr>
      <w:bookmarkStart w:id="1" w:name="_GoBack"/>
      <w:bookmarkEnd w:id="1"/>
    </w:p>
    <w:sectPr w:rsidR="00EC140F" w:rsidRPr="002A18AC" w:rsidSect="00437DCC">
      <w:footerReference w:type="default" r:id="rId9"/>
      <w:pgSz w:w="11906" w:h="16838"/>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04275" w14:textId="77777777" w:rsidR="007C2150" w:rsidRDefault="007C2150" w:rsidP="00AA550B">
      <w:pPr>
        <w:spacing w:after="0" w:line="240" w:lineRule="auto"/>
      </w:pPr>
      <w:r>
        <w:separator/>
      </w:r>
    </w:p>
  </w:endnote>
  <w:endnote w:type="continuationSeparator" w:id="0">
    <w:p w14:paraId="5375B63B" w14:textId="77777777" w:rsidR="007C2150" w:rsidRDefault="007C2150" w:rsidP="00A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55771"/>
      <w:docPartObj>
        <w:docPartGallery w:val="Page Numbers (Bottom of Page)"/>
        <w:docPartUnique/>
      </w:docPartObj>
    </w:sdtPr>
    <w:sdtEndPr/>
    <w:sdtContent>
      <w:sdt>
        <w:sdtPr>
          <w:id w:val="-1669238322"/>
          <w:docPartObj>
            <w:docPartGallery w:val="Page Numbers (Top of Page)"/>
            <w:docPartUnique/>
          </w:docPartObj>
        </w:sdtPr>
        <w:sdtEndPr/>
        <w:sdtContent>
          <w:p w14:paraId="24A80C9D" w14:textId="47D711BD" w:rsidR="006B0593" w:rsidRDefault="006B0593" w:rsidP="00D94E0F">
            <w:pPr>
              <w:pStyle w:val="Footer"/>
              <w:jc w:val="center"/>
            </w:pPr>
            <w:r w:rsidRPr="00AA550B">
              <w:rPr>
                <w:bCs/>
                <w:szCs w:val="24"/>
              </w:rPr>
              <w:fldChar w:fldCharType="begin"/>
            </w:r>
            <w:r w:rsidRPr="00AA550B">
              <w:rPr>
                <w:bCs/>
              </w:rPr>
              <w:instrText xml:space="preserve"> PAGE </w:instrText>
            </w:r>
            <w:r w:rsidRPr="00AA550B">
              <w:rPr>
                <w:bCs/>
                <w:szCs w:val="24"/>
              </w:rPr>
              <w:fldChar w:fldCharType="separate"/>
            </w:r>
            <w:r w:rsidR="00470884">
              <w:rPr>
                <w:bCs/>
                <w:noProof/>
              </w:rPr>
              <w:t>2</w:t>
            </w:r>
            <w:r w:rsidRPr="00AA550B">
              <w:rPr>
                <w:bCs/>
                <w:szCs w:val="24"/>
              </w:rPr>
              <w:fldChar w:fldCharType="end"/>
            </w:r>
            <w:r w:rsidR="00F73C4F">
              <w:rPr>
                <w:bCs/>
                <w:szCs w:val="24"/>
              </w:rPr>
              <w:t xml:space="preserve"> </w:t>
            </w:r>
            <w:r w:rsidRPr="00AA550B">
              <w:rPr>
                <w:bCs/>
                <w:szCs w:val="24"/>
              </w:rPr>
              <w:t xml:space="preserve">no </w:t>
            </w:r>
            <w:r w:rsidRPr="00AA550B">
              <w:rPr>
                <w:bCs/>
                <w:szCs w:val="24"/>
              </w:rPr>
              <w:fldChar w:fldCharType="begin"/>
            </w:r>
            <w:r w:rsidRPr="00AA550B">
              <w:rPr>
                <w:bCs/>
              </w:rPr>
              <w:instrText xml:space="preserve"> NUMPAGES  </w:instrText>
            </w:r>
            <w:r w:rsidRPr="00AA550B">
              <w:rPr>
                <w:bCs/>
                <w:szCs w:val="24"/>
              </w:rPr>
              <w:fldChar w:fldCharType="separate"/>
            </w:r>
            <w:r w:rsidR="00470884">
              <w:rPr>
                <w:bCs/>
                <w:noProof/>
              </w:rPr>
              <w:t>8</w:t>
            </w:r>
            <w:r w:rsidRPr="00AA550B">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EBFD" w14:textId="77777777" w:rsidR="007C2150" w:rsidRDefault="007C2150" w:rsidP="00AA550B">
      <w:pPr>
        <w:spacing w:after="0" w:line="240" w:lineRule="auto"/>
      </w:pPr>
      <w:r>
        <w:separator/>
      </w:r>
    </w:p>
  </w:footnote>
  <w:footnote w:type="continuationSeparator" w:id="0">
    <w:p w14:paraId="034735D3" w14:textId="77777777" w:rsidR="007C2150" w:rsidRDefault="007C2150" w:rsidP="00AA5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22C9062"/>
    <w:lvl w:ilvl="0">
      <w:start w:val="1"/>
      <w:numFmt w:val="decimal"/>
      <w:pStyle w:val="Style1"/>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pStyle w:val="Style2"/>
      <w:lvlText w:val="[%1.%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7A"/>
    <w:rsid w:val="000002F9"/>
    <w:rsid w:val="000049EB"/>
    <w:rsid w:val="00016F54"/>
    <w:rsid w:val="00021EAA"/>
    <w:rsid w:val="00026575"/>
    <w:rsid w:val="00030B60"/>
    <w:rsid w:val="00034127"/>
    <w:rsid w:val="0003493A"/>
    <w:rsid w:val="00037748"/>
    <w:rsid w:val="0004384C"/>
    <w:rsid w:val="00062E4D"/>
    <w:rsid w:val="00064952"/>
    <w:rsid w:val="00065417"/>
    <w:rsid w:val="00065FA7"/>
    <w:rsid w:val="00075A79"/>
    <w:rsid w:val="000840C9"/>
    <w:rsid w:val="00086438"/>
    <w:rsid w:val="00091881"/>
    <w:rsid w:val="00092A0C"/>
    <w:rsid w:val="0009349C"/>
    <w:rsid w:val="000A0791"/>
    <w:rsid w:val="000A100C"/>
    <w:rsid w:val="000B0A0C"/>
    <w:rsid w:val="000B170D"/>
    <w:rsid w:val="000B74BF"/>
    <w:rsid w:val="000C0924"/>
    <w:rsid w:val="000C33B2"/>
    <w:rsid w:val="000D4F9B"/>
    <w:rsid w:val="000D6615"/>
    <w:rsid w:val="000D786A"/>
    <w:rsid w:val="000E1E65"/>
    <w:rsid w:val="000E4413"/>
    <w:rsid w:val="000F7884"/>
    <w:rsid w:val="0010106F"/>
    <w:rsid w:val="00106730"/>
    <w:rsid w:val="00106D9C"/>
    <w:rsid w:val="001176FF"/>
    <w:rsid w:val="00121408"/>
    <w:rsid w:val="00126ED2"/>
    <w:rsid w:val="001271B4"/>
    <w:rsid w:val="0014719F"/>
    <w:rsid w:val="0015734C"/>
    <w:rsid w:val="00160162"/>
    <w:rsid w:val="00163663"/>
    <w:rsid w:val="00163BD2"/>
    <w:rsid w:val="00163CA2"/>
    <w:rsid w:val="00165BDF"/>
    <w:rsid w:val="00166498"/>
    <w:rsid w:val="0016682B"/>
    <w:rsid w:val="00180193"/>
    <w:rsid w:val="0018268F"/>
    <w:rsid w:val="00192170"/>
    <w:rsid w:val="00192221"/>
    <w:rsid w:val="001B20E2"/>
    <w:rsid w:val="001B6E41"/>
    <w:rsid w:val="001C6D16"/>
    <w:rsid w:val="001D003E"/>
    <w:rsid w:val="001D27C3"/>
    <w:rsid w:val="001D3477"/>
    <w:rsid w:val="001D6C7D"/>
    <w:rsid w:val="001E5DAB"/>
    <w:rsid w:val="001E5F8D"/>
    <w:rsid w:val="001E65E0"/>
    <w:rsid w:val="001E71C3"/>
    <w:rsid w:val="00203E6C"/>
    <w:rsid w:val="00206BCC"/>
    <w:rsid w:val="00210AF0"/>
    <w:rsid w:val="00210C14"/>
    <w:rsid w:val="00213D51"/>
    <w:rsid w:val="00226925"/>
    <w:rsid w:val="00227C1A"/>
    <w:rsid w:val="0023196C"/>
    <w:rsid w:val="002375CD"/>
    <w:rsid w:val="00245B3B"/>
    <w:rsid w:val="00250EF8"/>
    <w:rsid w:val="002514B2"/>
    <w:rsid w:val="00255800"/>
    <w:rsid w:val="0027029B"/>
    <w:rsid w:val="002708BC"/>
    <w:rsid w:val="00271391"/>
    <w:rsid w:val="00272C91"/>
    <w:rsid w:val="002879BA"/>
    <w:rsid w:val="00294D7A"/>
    <w:rsid w:val="002A00B6"/>
    <w:rsid w:val="002A11C8"/>
    <w:rsid w:val="002A18AC"/>
    <w:rsid w:val="002A510C"/>
    <w:rsid w:val="002A6AE0"/>
    <w:rsid w:val="002B1C01"/>
    <w:rsid w:val="002B5BC0"/>
    <w:rsid w:val="002C1C9D"/>
    <w:rsid w:val="002C53D4"/>
    <w:rsid w:val="002C54FA"/>
    <w:rsid w:val="002D03B1"/>
    <w:rsid w:val="002D4EC1"/>
    <w:rsid w:val="002E22D8"/>
    <w:rsid w:val="002F0BFA"/>
    <w:rsid w:val="002F44D7"/>
    <w:rsid w:val="002F4C91"/>
    <w:rsid w:val="002F4D89"/>
    <w:rsid w:val="00300594"/>
    <w:rsid w:val="00313FEB"/>
    <w:rsid w:val="00317E8D"/>
    <w:rsid w:val="00320DBE"/>
    <w:rsid w:val="00323258"/>
    <w:rsid w:val="0032457A"/>
    <w:rsid w:val="00326BF4"/>
    <w:rsid w:val="00335C2C"/>
    <w:rsid w:val="00336DE5"/>
    <w:rsid w:val="00353705"/>
    <w:rsid w:val="00354C80"/>
    <w:rsid w:val="00363693"/>
    <w:rsid w:val="003761D5"/>
    <w:rsid w:val="003879BF"/>
    <w:rsid w:val="00390E1A"/>
    <w:rsid w:val="00391DF0"/>
    <w:rsid w:val="00394644"/>
    <w:rsid w:val="003A1D6F"/>
    <w:rsid w:val="003A5E60"/>
    <w:rsid w:val="003A707D"/>
    <w:rsid w:val="003A7F47"/>
    <w:rsid w:val="003B0490"/>
    <w:rsid w:val="003B0F02"/>
    <w:rsid w:val="003C0900"/>
    <w:rsid w:val="003C1DDE"/>
    <w:rsid w:val="003C73ED"/>
    <w:rsid w:val="003D0884"/>
    <w:rsid w:val="003D1654"/>
    <w:rsid w:val="003D61EB"/>
    <w:rsid w:val="003E2CA7"/>
    <w:rsid w:val="003E3300"/>
    <w:rsid w:val="003F3BFB"/>
    <w:rsid w:val="003F6C52"/>
    <w:rsid w:val="004111E4"/>
    <w:rsid w:val="00415110"/>
    <w:rsid w:val="004302D4"/>
    <w:rsid w:val="00434782"/>
    <w:rsid w:val="00437DCC"/>
    <w:rsid w:val="00440710"/>
    <w:rsid w:val="00453828"/>
    <w:rsid w:val="00456158"/>
    <w:rsid w:val="00460F74"/>
    <w:rsid w:val="00467781"/>
    <w:rsid w:val="00470884"/>
    <w:rsid w:val="0047257D"/>
    <w:rsid w:val="004762D9"/>
    <w:rsid w:val="00484E53"/>
    <w:rsid w:val="004919A8"/>
    <w:rsid w:val="004958FF"/>
    <w:rsid w:val="004A34F3"/>
    <w:rsid w:val="004A58DF"/>
    <w:rsid w:val="004B2EA7"/>
    <w:rsid w:val="004C0B1E"/>
    <w:rsid w:val="004C4546"/>
    <w:rsid w:val="004C4863"/>
    <w:rsid w:val="004C68E9"/>
    <w:rsid w:val="004D08BA"/>
    <w:rsid w:val="004F52F6"/>
    <w:rsid w:val="004F7BC1"/>
    <w:rsid w:val="005127DB"/>
    <w:rsid w:val="00543DF3"/>
    <w:rsid w:val="00544158"/>
    <w:rsid w:val="00553EB2"/>
    <w:rsid w:val="00556C7C"/>
    <w:rsid w:val="005575AF"/>
    <w:rsid w:val="00560C88"/>
    <w:rsid w:val="00562376"/>
    <w:rsid w:val="00570F42"/>
    <w:rsid w:val="005850A5"/>
    <w:rsid w:val="00586E6A"/>
    <w:rsid w:val="005878E9"/>
    <w:rsid w:val="00594490"/>
    <w:rsid w:val="00597DD9"/>
    <w:rsid w:val="005A5BEE"/>
    <w:rsid w:val="005A7083"/>
    <w:rsid w:val="005B4F54"/>
    <w:rsid w:val="005B690E"/>
    <w:rsid w:val="005B6E95"/>
    <w:rsid w:val="005C4FE7"/>
    <w:rsid w:val="005C589C"/>
    <w:rsid w:val="005C5973"/>
    <w:rsid w:val="005C7BDF"/>
    <w:rsid w:val="005D7A33"/>
    <w:rsid w:val="005E30FB"/>
    <w:rsid w:val="005F2561"/>
    <w:rsid w:val="005F4E16"/>
    <w:rsid w:val="00601A24"/>
    <w:rsid w:val="00602172"/>
    <w:rsid w:val="006122C7"/>
    <w:rsid w:val="0061469F"/>
    <w:rsid w:val="00625BC5"/>
    <w:rsid w:val="006275CE"/>
    <w:rsid w:val="00634FF2"/>
    <w:rsid w:val="00642133"/>
    <w:rsid w:val="00653405"/>
    <w:rsid w:val="006621F5"/>
    <w:rsid w:val="00663D9D"/>
    <w:rsid w:val="00686AED"/>
    <w:rsid w:val="00693325"/>
    <w:rsid w:val="006A4E51"/>
    <w:rsid w:val="006B0593"/>
    <w:rsid w:val="006B1FC9"/>
    <w:rsid w:val="006B3EA2"/>
    <w:rsid w:val="006B636F"/>
    <w:rsid w:val="006C4342"/>
    <w:rsid w:val="006C5F4D"/>
    <w:rsid w:val="006D5966"/>
    <w:rsid w:val="006E24C1"/>
    <w:rsid w:val="006E2F6F"/>
    <w:rsid w:val="006E4147"/>
    <w:rsid w:val="006F636A"/>
    <w:rsid w:val="006F76EF"/>
    <w:rsid w:val="00722A1F"/>
    <w:rsid w:val="00740141"/>
    <w:rsid w:val="00741279"/>
    <w:rsid w:val="00750FF5"/>
    <w:rsid w:val="00753BCE"/>
    <w:rsid w:val="007575BD"/>
    <w:rsid w:val="007672D4"/>
    <w:rsid w:val="007730BD"/>
    <w:rsid w:val="007753A5"/>
    <w:rsid w:val="007772DE"/>
    <w:rsid w:val="00783D8D"/>
    <w:rsid w:val="007936CF"/>
    <w:rsid w:val="00795D1C"/>
    <w:rsid w:val="007A448D"/>
    <w:rsid w:val="007A5CF8"/>
    <w:rsid w:val="007B0927"/>
    <w:rsid w:val="007B2FBB"/>
    <w:rsid w:val="007B3982"/>
    <w:rsid w:val="007B55AB"/>
    <w:rsid w:val="007B693D"/>
    <w:rsid w:val="007B7E56"/>
    <w:rsid w:val="007C2150"/>
    <w:rsid w:val="007C7AA3"/>
    <w:rsid w:val="007D12C6"/>
    <w:rsid w:val="007D46AA"/>
    <w:rsid w:val="007F1457"/>
    <w:rsid w:val="00812130"/>
    <w:rsid w:val="008145F7"/>
    <w:rsid w:val="00823405"/>
    <w:rsid w:val="00826B50"/>
    <w:rsid w:val="00827E39"/>
    <w:rsid w:val="008314BC"/>
    <w:rsid w:val="00834586"/>
    <w:rsid w:val="00843551"/>
    <w:rsid w:val="00852172"/>
    <w:rsid w:val="00860377"/>
    <w:rsid w:val="00861306"/>
    <w:rsid w:val="008614BA"/>
    <w:rsid w:val="008733C7"/>
    <w:rsid w:val="00874F8F"/>
    <w:rsid w:val="00883A33"/>
    <w:rsid w:val="00894A6E"/>
    <w:rsid w:val="008951F1"/>
    <w:rsid w:val="008965B8"/>
    <w:rsid w:val="008B075E"/>
    <w:rsid w:val="008B3829"/>
    <w:rsid w:val="008C49F1"/>
    <w:rsid w:val="008C5C1D"/>
    <w:rsid w:val="008C69A3"/>
    <w:rsid w:val="008D30EF"/>
    <w:rsid w:val="008D608F"/>
    <w:rsid w:val="008F011F"/>
    <w:rsid w:val="008F33BD"/>
    <w:rsid w:val="008F46CF"/>
    <w:rsid w:val="00911A3B"/>
    <w:rsid w:val="00912A61"/>
    <w:rsid w:val="00920356"/>
    <w:rsid w:val="009321FD"/>
    <w:rsid w:val="009409C9"/>
    <w:rsid w:val="00943657"/>
    <w:rsid w:val="009528E0"/>
    <w:rsid w:val="009573EB"/>
    <w:rsid w:val="009600FB"/>
    <w:rsid w:val="00960998"/>
    <w:rsid w:val="00970CEC"/>
    <w:rsid w:val="00974AFE"/>
    <w:rsid w:val="00983FD7"/>
    <w:rsid w:val="00986036"/>
    <w:rsid w:val="009879E9"/>
    <w:rsid w:val="0099380C"/>
    <w:rsid w:val="009A5CE3"/>
    <w:rsid w:val="009A6055"/>
    <w:rsid w:val="009B6E7D"/>
    <w:rsid w:val="009B7572"/>
    <w:rsid w:val="009C0AB8"/>
    <w:rsid w:val="009C5B92"/>
    <w:rsid w:val="009D2C3C"/>
    <w:rsid w:val="009D3BEF"/>
    <w:rsid w:val="009E1BF7"/>
    <w:rsid w:val="009E52D0"/>
    <w:rsid w:val="009E7735"/>
    <w:rsid w:val="009F0864"/>
    <w:rsid w:val="00A03295"/>
    <w:rsid w:val="00A04925"/>
    <w:rsid w:val="00A05B94"/>
    <w:rsid w:val="00A1142F"/>
    <w:rsid w:val="00A1417E"/>
    <w:rsid w:val="00A33CB0"/>
    <w:rsid w:val="00A35B22"/>
    <w:rsid w:val="00A438E8"/>
    <w:rsid w:val="00A5282A"/>
    <w:rsid w:val="00A575EA"/>
    <w:rsid w:val="00A64615"/>
    <w:rsid w:val="00A7095D"/>
    <w:rsid w:val="00A72442"/>
    <w:rsid w:val="00A725E5"/>
    <w:rsid w:val="00A75A7D"/>
    <w:rsid w:val="00A8216D"/>
    <w:rsid w:val="00AA1C39"/>
    <w:rsid w:val="00AA2B6D"/>
    <w:rsid w:val="00AA550B"/>
    <w:rsid w:val="00AB02D9"/>
    <w:rsid w:val="00AB5EEA"/>
    <w:rsid w:val="00AB74F0"/>
    <w:rsid w:val="00AC0F68"/>
    <w:rsid w:val="00AC5D5F"/>
    <w:rsid w:val="00AD37DA"/>
    <w:rsid w:val="00AE07BA"/>
    <w:rsid w:val="00AE254B"/>
    <w:rsid w:val="00B17FD7"/>
    <w:rsid w:val="00B30819"/>
    <w:rsid w:val="00B3185B"/>
    <w:rsid w:val="00B3290A"/>
    <w:rsid w:val="00B375AC"/>
    <w:rsid w:val="00B42B8A"/>
    <w:rsid w:val="00B467FA"/>
    <w:rsid w:val="00B47A0B"/>
    <w:rsid w:val="00B52B50"/>
    <w:rsid w:val="00B546FE"/>
    <w:rsid w:val="00B5772D"/>
    <w:rsid w:val="00B61C2F"/>
    <w:rsid w:val="00B64662"/>
    <w:rsid w:val="00B65000"/>
    <w:rsid w:val="00B656A9"/>
    <w:rsid w:val="00B71D93"/>
    <w:rsid w:val="00B80653"/>
    <w:rsid w:val="00B90A71"/>
    <w:rsid w:val="00B9408F"/>
    <w:rsid w:val="00BA4242"/>
    <w:rsid w:val="00BB680A"/>
    <w:rsid w:val="00BB6CED"/>
    <w:rsid w:val="00BC0C80"/>
    <w:rsid w:val="00BC43B1"/>
    <w:rsid w:val="00BD426F"/>
    <w:rsid w:val="00BE3E7D"/>
    <w:rsid w:val="00BF49BE"/>
    <w:rsid w:val="00C057A1"/>
    <w:rsid w:val="00C13418"/>
    <w:rsid w:val="00C15598"/>
    <w:rsid w:val="00C36639"/>
    <w:rsid w:val="00C37E6E"/>
    <w:rsid w:val="00C42DEE"/>
    <w:rsid w:val="00C472A1"/>
    <w:rsid w:val="00C4780B"/>
    <w:rsid w:val="00C50825"/>
    <w:rsid w:val="00C5111D"/>
    <w:rsid w:val="00C52CD8"/>
    <w:rsid w:val="00C5610A"/>
    <w:rsid w:val="00C5788D"/>
    <w:rsid w:val="00C65C4F"/>
    <w:rsid w:val="00C66D30"/>
    <w:rsid w:val="00C675C5"/>
    <w:rsid w:val="00C75F68"/>
    <w:rsid w:val="00C8323D"/>
    <w:rsid w:val="00C85EA8"/>
    <w:rsid w:val="00C90408"/>
    <w:rsid w:val="00C975CD"/>
    <w:rsid w:val="00CA6D36"/>
    <w:rsid w:val="00CC397C"/>
    <w:rsid w:val="00CC769C"/>
    <w:rsid w:val="00CC78C2"/>
    <w:rsid w:val="00CD1E89"/>
    <w:rsid w:val="00CD6076"/>
    <w:rsid w:val="00CE4643"/>
    <w:rsid w:val="00CE4E6D"/>
    <w:rsid w:val="00CE64F2"/>
    <w:rsid w:val="00CE6F80"/>
    <w:rsid w:val="00D033E1"/>
    <w:rsid w:val="00D10313"/>
    <w:rsid w:val="00D255DB"/>
    <w:rsid w:val="00D25EF1"/>
    <w:rsid w:val="00D32468"/>
    <w:rsid w:val="00D358B3"/>
    <w:rsid w:val="00D37594"/>
    <w:rsid w:val="00D44CB6"/>
    <w:rsid w:val="00D53707"/>
    <w:rsid w:val="00D6021D"/>
    <w:rsid w:val="00D625A1"/>
    <w:rsid w:val="00D63787"/>
    <w:rsid w:val="00D6456E"/>
    <w:rsid w:val="00D7373D"/>
    <w:rsid w:val="00D859C6"/>
    <w:rsid w:val="00D9495C"/>
    <w:rsid w:val="00D94E0F"/>
    <w:rsid w:val="00D975A7"/>
    <w:rsid w:val="00DA49D7"/>
    <w:rsid w:val="00DB278A"/>
    <w:rsid w:val="00DB40F6"/>
    <w:rsid w:val="00DB7C62"/>
    <w:rsid w:val="00DD36CB"/>
    <w:rsid w:val="00DE103F"/>
    <w:rsid w:val="00DE5DC5"/>
    <w:rsid w:val="00DE6B31"/>
    <w:rsid w:val="00DF11CE"/>
    <w:rsid w:val="00DF5ADE"/>
    <w:rsid w:val="00E014A1"/>
    <w:rsid w:val="00E0246F"/>
    <w:rsid w:val="00E038A5"/>
    <w:rsid w:val="00E04A07"/>
    <w:rsid w:val="00E052C3"/>
    <w:rsid w:val="00E06EED"/>
    <w:rsid w:val="00E2039E"/>
    <w:rsid w:val="00E21C50"/>
    <w:rsid w:val="00E23CD6"/>
    <w:rsid w:val="00E244C5"/>
    <w:rsid w:val="00E2472B"/>
    <w:rsid w:val="00E31C16"/>
    <w:rsid w:val="00E3257B"/>
    <w:rsid w:val="00E35AA3"/>
    <w:rsid w:val="00E47C82"/>
    <w:rsid w:val="00E50B54"/>
    <w:rsid w:val="00E56860"/>
    <w:rsid w:val="00E56F68"/>
    <w:rsid w:val="00E62CC1"/>
    <w:rsid w:val="00E63375"/>
    <w:rsid w:val="00E636A6"/>
    <w:rsid w:val="00E83C8E"/>
    <w:rsid w:val="00EA40FF"/>
    <w:rsid w:val="00EA7128"/>
    <w:rsid w:val="00EB047B"/>
    <w:rsid w:val="00EB20B5"/>
    <w:rsid w:val="00EB225B"/>
    <w:rsid w:val="00EB311B"/>
    <w:rsid w:val="00EB4199"/>
    <w:rsid w:val="00EB490C"/>
    <w:rsid w:val="00EB7E5F"/>
    <w:rsid w:val="00EC0441"/>
    <w:rsid w:val="00EC140F"/>
    <w:rsid w:val="00EC17AD"/>
    <w:rsid w:val="00ED072D"/>
    <w:rsid w:val="00EE4354"/>
    <w:rsid w:val="00EE4F4F"/>
    <w:rsid w:val="00EE50E6"/>
    <w:rsid w:val="00EF6469"/>
    <w:rsid w:val="00F01CFD"/>
    <w:rsid w:val="00F04A13"/>
    <w:rsid w:val="00F1069F"/>
    <w:rsid w:val="00F10D71"/>
    <w:rsid w:val="00F12997"/>
    <w:rsid w:val="00F17ADF"/>
    <w:rsid w:val="00F23631"/>
    <w:rsid w:val="00F31570"/>
    <w:rsid w:val="00F33793"/>
    <w:rsid w:val="00F406C2"/>
    <w:rsid w:val="00F4393D"/>
    <w:rsid w:val="00F43B5F"/>
    <w:rsid w:val="00F45AC8"/>
    <w:rsid w:val="00F53209"/>
    <w:rsid w:val="00F54D21"/>
    <w:rsid w:val="00F5766C"/>
    <w:rsid w:val="00F57E11"/>
    <w:rsid w:val="00F62143"/>
    <w:rsid w:val="00F667E8"/>
    <w:rsid w:val="00F700D6"/>
    <w:rsid w:val="00F701B6"/>
    <w:rsid w:val="00F73C4F"/>
    <w:rsid w:val="00F8049B"/>
    <w:rsid w:val="00F82EE1"/>
    <w:rsid w:val="00F872B7"/>
    <w:rsid w:val="00FC0137"/>
    <w:rsid w:val="00FC5D57"/>
    <w:rsid w:val="00FC73F1"/>
    <w:rsid w:val="00FD430C"/>
    <w:rsid w:val="00FD7A0B"/>
    <w:rsid w:val="00FE3EE4"/>
    <w:rsid w:val="00FE5C29"/>
    <w:rsid w:val="00FE784F"/>
    <w:rsid w:val="00FF1BA7"/>
    <w:rsid w:val="00FF2E05"/>
    <w:rsid w:val="00FF6A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57A"/>
    <w:pPr>
      <w:spacing w:after="0" w:line="240" w:lineRule="auto"/>
      <w:jc w:val="left"/>
    </w:pPr>
    <w:rPr>
      <w:rFonts w:eastAsia="Times New Roman" w:cs="Times New Roman"/>
      <w:szCs w:val="24"/>
      <w:lang w:eastAsia="lv-LV"/>
    </w:rPr>
  </w:style>
  <w:style w:type="character" w:styleId="Emphasis">
    <w:name w:val="Emphasis"/>
    <w:basedOn w:val="DefaultParagraphFont"/>
    <w:uiPriority w:val="20"/>
    <w:qFormat/>
    <w:rsid w:val="0032457A"/>
    <w:rPr>
      <w:i/>
      <w:iCs/>
    </w:rPr>
  </w:style>
  <w:style w:type="character" w:styleId="Hyperlink">
    <w:name w:val="Hyperlink"/>
    <w:basedOn w:val="DefaultParagraphFont"/>
    <w:uiPriority w:val="99"/>
    <w:unhideWhenUsed/>
    <w:rsid w:val="0032457A"/>
    <w:rPr>
      <w:color w:val="0000FF"/>
      <w:u w:val="single"/>
    </w:rPr>
  </w:style>
  <w:style w:type="paragraph" w:customStyle="1" w:styleId="Style1">
    <w:name w:val="Style1"/>
    <w:basedOn w:val="Normal"/>
    <w:next w:val="Normal"/>
    <w:link w:val="Style1Char"/>
    <w:qFormat/>
    <w:rsid w:val="00AA550B"/>
    <w:pPr>
      <w:widowControl w:val="0"/>
      <w:numPr>
        <w:numId w:val="1"/>
      </w:numPr>
      <w:tabs>
        <w:tab w:val="left" w:pos="1134"/>
      </w:tabs>
      <w:spacing w:after="0" w:line="300" w:lineRule="auto"/>
      <w:ind w:firstLine="720"/>
    </w:pPr>
    <w:rPr>
      <w:rFonts w:eastAsia="Times New Roman" w:cs="Times New Roman"/>
      <w:color w:val="000000"/>
      <w:szCs w:val="20"/>
      <w:lang w:val="ru-RU" w:eastAsia="lv-LV"/>
    </w:rPr>
  </w:style>
  <w:style w:type="character" w:customStyle="1" w:styleId="Style1Char">
    <w:name w:val="Style1 Char"/>
    <w:basedOn w:val="DefaultParagraphFont"/>
    <w:link w:val="Style1"/>
    <w:rsid w:val="00AA550B"/>
    <w:rPr>
      <w:rFonts w:ascii="Times New Roman" w:eastAsia="Times New Roman" w:hAnsi="Times New Roman" w:cs="Times New Roman"/>
      <w:color w:val="000000"/>
      <w:sz w:val="24"/>
      <w:szCs w:val="20"/>
      <w:lang w:val="ru-RU" w:eastAsia="lv-LV"/>
    </w:rPr>
  </w:style>
  <w:style w:type="paragraph" w:customStyle="1" w:styleId="Style2">
    <w:name w:val="Style2"/>
    <w:basedOn w:val="Style1"/>
    <w:next w:val="Normal"/>
    <w:qFormat/>
    <w:rsid w:val="00AA550B"/>
    <w:pPr>
      <w:numPr>
        <w:ilvl w:val="1"/>
      </w:numPr>
      <w:tabs>
        <w:tab w:val="num" w:pos="360"/>
      </w:tabs>
    </w:pPr>
  </w:style>
  <w:style w:type="paragraph" w:styleId="BalloonText">
    <w:name w:val="Balloon Text"/>
    <w:basedOn w:val="Normal"/>
    <w:link w:val="BalloonTextChar"/>
    <w:uiPriority w:val="99"/>
    <w:semiHidden/>
    <w:unhideWhenUsed/>
    <w:rsid w:val="00A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0B"/>
    <w:rPr>
      <w:rFonts w:ascii="Tahoma" w:hAnsi="Tahoma" w:cs="Tahoma"/>
      <w:sz w:val="16"/>
      <w:szCs w:val="16"/>
    </w:rPr>
  </w:style>
  <w:style w:type="paragraph" w:styleId="Header">
    <w:name w:val="header"/>
    <w:basedOn w:val="Normal"/>
    <w:link w:val="HeaderChar"/>
    <w:uiPriority w:val="99"/>
    <w:unhideWhenUsed/>
    <w:rsid w:val="00AA55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550B"/>
    <w:rPr>
      <w:rFonts w:ascii="Times New Roman" w:hAnsi="Times New Roman"/>
      <w:sz w:val="24"/>
    </w:rPr>
  </w:style>
  <w:style w:type="paragraph" w:styleId="Footer">
    <w:name w:val="footer"/>
    <w:basedOn w:val="Normal"/>
    <w:link w:val="FooterChar"/>
    <w:uiPriority w:val="99"/>
    <w:unhideWhenUsed/>
    <w:rsid w:val="00AA550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A550B"/>
    <w:rPr>
      <w:rFonts w:ascii="Times New Roman" w:hAnsi="Times New Roman"/>
      <w:sz w:val="24"/>
    </w:rPr>
  </w:style>
  <w:style w:type="paragraph" w:styleId="BodyText2">
    <w:name w:val="Body Text 2"/>
    <w:basedOn w:val="Normal"/>
    <w:link w:val="BodyText2Char"/>
    <w:rsid w:val="007772DE"/>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7772DE"/>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021EAA"/>
    <w:rPr>
      <w:sz w:val="16"/>
      <w:szCs w:val="16"/>
    </w:rPr>
  </w:style>
  <w:style w:type="paragraph" w:styleId="CommentText">
    <w:name w:val="annotation text"/>
    <w:basedOn w:val="Normal"/>
    <w:link w:val="CommentTextChar"/>
    <w:uiPriority w:val="99"/>
    <w:semiHidden/>
    <w:unhideWhenUsed/>
    <w:rsid w:val="00021EAA"/>
    <w:pPr>
      <w:spacing w:line="240" w:lineRule="auto"/>
    </w:pPr>
    <w:rPr>
      <w:sz w:val="20"/>
      <w:szCs w:val="20"/>
    </w:rPr>
  </w:style>
  <w:style w:type="character" w:customStyle="1" w:styleId="CommentTextChar">
    <w:name w:val="Comment Text Char"/>
    <w:basedOn w:val="DefaultParagraphFont"/>
    <w:link w:val="CommentText"/>
    <w:uiPriority w:val="99"/>
    <w:semiHidden/>
    <w:rsid w:val="00021E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EAA"/>
    <w:rPr>
      <w:b/>
      <w:bCs/>
    </w:rPr>
  </w:style>
  <w:style w:type="character" w:customStyle="1" w:styleId="CommentSubjectChar">
    <w:name w:val="Comment Subject Char"/>
    <w:basedOn w:val="CommentTextChar"/>
    <w:link w:val="CommentSubject"/>
    <w:uiPriority w:val="99"/>
    <w:semiHidden/>
    <w:rsid w:val="00021EAA"/>
    <w:rPr>
      <w:rFonts w:ascii="Times New Roman" w:hAnsi="Times New Roman"/>
      <w:b/>
      <w:bCs/>
      <w:sz w:val="20"/>
      <w:szCs w:val="20"/>
    </w:rPr>
  </w:style>
  <w:style w:type="paragraph" w:customStyle="1" w:styleId="tv213">
    <w:name w:val="tv213"/>
    <w:basedOn w:val="Normal"/>
    <w:rsid w:val="00B80653"/>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796">
      <w:bodyDiv w:val="1"/>
      <w:marLeft w:val="0"/>
      <w:marRight w:val="0"/>
      <w:marTop w:val="0"/>
      <w:marBottom w:val="0"/>
      <w:divBdr>
        <w:top w:val="none" w:sz="0" w:space="0" w:color="auto"/>
        <w:left w:val="none" w:sz="0" w:space="0" w:color="auto"/>
        <w:bottom w:val="none" w:sz="0" w:space="0" w:color="auto"/>
        <w:right w:val="none" w:sz="0" w:space="0" w:color="auto"/>
      </w:divBdr>
    </w:div>
    <w:div w:id="282813478">
      <w:bodyDiv w:val="1"/>
      <w:marLeft w:val="0"/>
      <w:marRight w:val="0"/>
      <w:marTop w:val="0"/>
      <w:marBottom w:val="0"/>
      <w:divBdr>
        <w:top w:val="none" w:sz="0" w:space="0" w:color="auto"/>
        <w:left w:val="none" w:sz="0" w:space="0" w:color="auto"/>
        <w:bottom w:val="none" w:sz="0" w:space="0" w:color="auto"/>
        <w:right w:val="none" w:sz="0" w:space="0" w:color="auto"/>
      </w:divBdr>
    </w:div>
    <w:div w:id="349989284">
      <w:bodyDiv w:val="1"/>
      <w:marLeft w:val="0"/>
      <w:marRight w:val="0"/>
      <w:marTop w:val="0"/>
      <w:marBottom w:val="0"/>
      <w:divBdr>
        <w:top w:val="none" w:sz="0" w:space="0" w:color="auto"/>
        <w:left w:val="none" w:sz="0" w:space="0" w:color="auto"/>
        <w:bottom w:val="none" w:sz="0" w:space="0" w:color="auto"/>
        <w:right w:val="none" w:sz="0" w:space="0" w:color="auto"/>
      </w:divBdr>
    </w:div>
    <w:div w:id="352925375">
      <w:bodyDiv w:val="1"/>
      <w:marLeft w:val="0"/>
      <w:marRight w:val="0"/>
      <w:marTop w:val="0"/>
      <w:marBottom w:val="0"/>
      <w:divBdr>
        <w:top w:val="none" w:sz="0" w:space="0" w:color="auto"/>
        <w:left w:val="none" w:sz="0" w:space="0" w:color="auto"/>
        <w:bottom w:val="none" w:sz="0" w:space="0" w:color="auto"/>
        <w:right w:val="none" w:sz="0" w:space="0" w:color="auto"/>
      </w:divBdr>
    </w:div>
    <w:div w:id="575361366">
      <w:bodyDiv w:val="1"/>
      <w:marLeft w:val="0"/>
      <w:marRight w:val="0"/>
      <w:marTop w:val="0"/>
      <w:marBottom w:val="0"/>
      <w:divBdr>
        <w:top w:val="none" w:sz="0" w:space="0" w:color="auto"/>
        <w:left w:val="none" w:sz="0" w:space="0" w:color="auto"/>
        <w:bottom w:val="none" w:sz="0" w:space="0" w:color="auto"/>
        <w:right w:val="none" w:sz="0" w:space="0" w:color="auto"/>
      </w:divBdr>
    </w:div>
    <w:div w:id="617494252">
      <w:bodyDiv w:val="1"/>
      <w:marLeft w:val="0"/>
      <w:marRight w:val="0"/>
      <w:marTop w:val="0"/>
      <w:marBottom w:val="0"/>
      <w:divBdr>
        <w:top w:val="none" w:sz="0" w:space="0" w:color="auto"/>
        <w:left w:val="none" w:sz="0" w:space="0" w:color="auto"/>
        <w:bottom w:val="none" w:sz="0" w:space="0" w:color="auto"/>
        <w:right w:val="none" w:sz="0" w:space="0" w:color="auto"/>
      </w:divBdr>
    </w:div>
    <w:div w:id="667444331">
      <w:bodyDiv w:val="1"/>
      <w:marLeft w:val="0"/>
      <w:marRight w:val="0"/>
      <w:marTop w:val="0"/>
      <w:marBottom w:val="0"/>
      <w:divBdr>
        <w:top w:val="none" w:sz="0" w:space="0" w:color="auto"/>
        <w:left w:val="none" w:sz="0" w:space="0" w:color="auto"/>
        <w:bottom w:val="none" w:sz="0" w:space="0" w:color="auto"/>
        <w:right w:val="none" w:sz="0" w:space="0" w:color="auto"/>
      </w:divBdr>
    </w:div>
    <w:div w:id="1504314715">
      <w:bodyDiv w:val="1"/>
      <w:marLeft w:val="0"/>
      <w:marRight w:val="0"/>
      <w:marTop w:val="0"/>
      <w:marBottom w:val="0"/>
      <w:divBdr>
        <w:top w:val="none" w:sz="0" w:space="0" w:color="auto"/>
        <w:left w:val="none" w:sz="0" w:space="0" w:color="auto"/>
        <w:bottom w:val="none" w:sz="0" w:space="0" w:color="auto"/>
        <w:right w:val="none" w:sz="0" w:space="0" w:color="auto"/>
      </w:divBdr>
    </w:div>
    <w:div w:id="1514875895">
      <w:bodyDiv w:val="1"/>
      <w:marLeft w:val="0"/>
      <w:marRight w:val="0"/>
      <w:marTop w:val="0"/>
      <w:marBottom w:val="0"/>
      <w:divBdr>
        <w:top w:val="none" w:sz="0" w:space="0" w:color="auto"/>
        <w:left w:val="none" w:sz="0" w:space="0" w:color="auto"/>
        <w:bottom w:val="none" w:sz="0" w:space="0" w:color="auto"/>
        <w:right w:val="none" w:sz="0" w:space="0" w:color="auto"/>
      </w:divBdr>
    </w:div>
    <w:div w:id="18501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07.A420246321.5.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6530-43AF-4C77-81F4-D7548AF8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3958</Words>
  <Characters>22566</Characters>
  <Application>Microsoft Office Word</Application>
  <DocSecurity>0</DocSecurity>
  <Lines>188</Lines>
  <Paragraphs>52</Paragraphs>
  <ScaleCrop>false</ScaleCrop>
  <Company/>
  <LinksUpToDate>false</LinksUpToDate>
  <CharactersWithSpaces>26472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2022-11-15T06:46:00Z</dcterms:created>
  <dcterms:modified xsi:type="dcterms:W3CDTF">2022-11-15T06:46:00Z</dcterms:modified>
</cp:coreProperties>
</file>