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E370B" w14:textId="77777777" w:rsidR="00ED5EBF" w:rsidRPr="00ED5EBF" w:rsidRDefault="00ED5EBF" w:rsidP="00ED5EBF">
      <w:pPr>
        <w:autoSpaceDE w:val="0"/>
        <w:autoSpaceDN w:val="0"/>
        <w:spacing w:line="276" w:lineRule="auto"/>
        <w:jc w:val="both"/>
        <w:rPr>
          <w:rFonts w:ascii="TimesNewRomanPSMT" w:hAnsi="TimesNewRomanPSMT"/>
          <w:b/>
          <w:bCs/>
        </w:rPr>
      </w:pPr>
      <w:r w:rsidRPr="00ED5EBF">
        <w:rPr>
          <w:rFonts w:ascii="TimesNewRomanPSMT" w:hAnsi="TimesNewRomanPSMT"/>
          <w:b/>
          <w:bCs/>
        </w:rPr>
        <w:t xml:space="preserve">Vecāka spēju saskarsmē ar bērnu noskaidrošana </w:t>
      </w:r>
    </w:p>
    <w:p w14:paraId="7F928805" w14:textId="77777777" w:rsidR="00ED5EBF" w:rsidRPr="00ED5EBF" w:rsidRDefault="00ED5EBF" w:rsidP="00ED5EBF">
      <w:pPr>
        <w:autoSpaceDE w:val="0"/>
        <w:autoSpaceDN w:val="0"/>
        <w:spacing w:line="276" w:lineRule="auto"/>
        <w:jc w:val="both"/>
        <w:rPr>
          <w:rFonts w:ascii="TimesNewRomanPSMT" w:hAnsi="TimesNewRomanPSMT"/>
        </w:rPr>
      </w:pPr>
      <w:r w:rsidRPr="00ED5EBF">
        <w:rPr>
          <w:rFonts w:ascii="TimesNewRomanPSMT" w:hAnsi="TimesNewRomanPSMT"/>
        </w:rPr>
        <w:t>Ja lietā ir jānoskaidro vecāka spējas saskarsmē ar bērnu (lai secinātu, vai b</w:t>
      </w:r>
      <w:r w:rsidRPr="00ED5EBF">
        <w:rPr>
          <w:rFonts w:ascii="TimesNewRomanPSMT" w:hAnsi="TimesNewRomanPSMT" w:hint="eastAsia"/>
        </w:rPr>
        <w:t>ē</w:t>
      </w:r>
      <w:r w:rsidRPr="00ED5EBF">
        <w:rPr>
          <w:rFonts w:ascii="TimesNewRomanPSMT" w:hAnsi="TimesNewRomanPSMT"/>
        </w:rPr>
        <w:t>rns var nakš</w:t>
      </w:r>
      <w:r w:rsidRPr="00ED5EBF">
        <w:rPr>
          <w:rFonts w:ascii="TimesNewRomanPSMT" w:hAnsi="TimesNewRomanPSMT" w:hint="eastAsia"/>
        </w:rPr>
        <w:t>ņ</w:t>
      </w:r>
      <w:r w:rsidRPr="00ED5EBF">
        <w:rPr>
          <w:rFonts w:ascii="TimesNewRomanPSMT" w:hAnsi="TimesNewRomanPSMT"/>
        </w:rPr>
        <w:t>ot pie sava vec</w:t>
      </w:r>
      <w:r w:rsidRPr="00ED5EBF">
        <w:rPr>
          <w:rFonts w:ascii="TimesNewRomanPSMT" w:hAnsi="TimesNewRomanPSMT" w:hint="eastAsia"/>
        </w:rPr>
        <w:t>ā</w:t>
      </w:r>
      <w:r w:rsidRPr="00ED5EBF">
        <w:rPr>
          <w:rFonts w:ascii="TimesNewRomanPSMT" w:hAnsi="TimesNewRomanPSMT"/>
        </w:rPr>
        <w:t>ka), k</w:t>
      </w:r>
      <w:r w:rsidRPr="00ED5EBF">
        <w:rPr>
          <w:rFonts w:ascii="TimesNewRomanPSMT" w:hAnsi="TimesNewRomanPSMT" w:hint="eastAsia"/>
        </w:rPr>
        <w:t>ā</w:t>
      </w:r>
      <w:r w:rsidRPr="00ED5EBF">
        <w:rPr>
          <w:rFonts w:ascii="TimesNewRomanPSMT" w:hAnsi="TimesNewRomanPSMT"/>
        </w:rPr>
        <w:t xml:space="preserve"> liecinieki var tikt pieaicin</w:t>
      </w:r>
      <w:r w:rsidRPr="00ED5EBF">
        <w:rPr>
          <w:rFonts w:ascii="TimesNewRomanPSMT" w:hAnsi="TimesNewRomanPSMT" w:hint="eastAsia"/>
        </w:rPr>
        <w:t>ā</w:t>
      </w:r>
      <w:r w:rsidRPr="00ED5EBF">
        <w:rPr>
          <w:rFonts w:ascii="TimesNewRomanPSMT" w:hAnsi="TimesNewRomanPSMT"/>
        </w:rPr>
        <w:t>tas personas, kas var liecin</w:t>
      </w:r>
      <w:r w:rsidRPr="00ED5EBF">
        <w:rPr>
          <w:rFonts w:ascii="TimesNewRomanPSMT" w:hAnsi="TimesNewRomanPSMT" w:hint="eastAsia"/>
        </w:rPr>
        <w:t>ā</w:t>
      </w:r>
      <w:r w:rsidRPr="00ED5EBF">
        <w:rPr>
          <w:rFonts w:ascii="TimesNewRomanPSMT" w:hAnsi="TimesNewRomanPSMT"/>
        </w:rPr>
        <w:t>t par vec</w:t>
      </w:r>
      <w:r w:rsidRPr="00ED5EBF">
        <w:rPr>
          <w:rFonts w:ascii="TimesNewRomanPSMT" w:hAnsi="TimesNewRomanPSMT" w:hint="eastAsia"/>
        </w:rPr>
        <w:t>ā</w:t>
      </w:r>
      <w:r w:rsidRPr="00ED5EBF">
        <w:rPr>
          <w:rFonts w:ascii="TimesNewRomanPSMT" w:hAnsi="TimesNewRomanPSMT"/>
        </w:rPr>
        <w:t>ka sp</w:t>
      </w:r>
      <w:r w:rsidRPr="00ED5EBF">
        <w:rPr>
          <w:rFonts w:ascii="TimesNewRomanPSMT" w:hAnsi="TimesNewRomanPSMT" w:hint="eastAsia"/>
        </w:rPr>
        <w:t>ē</w:t>
      </w:r>
      <w:r w:rsidRPr="00ED5EBF">
        <w:rPr>
          <w:rFonts w:ascii="TimesNewRomanPSMT" w:hAnsi="TimesNewRomanPSMT"/>
        </w:rPr>
        <w:t>j</w:t>
      </w:r>
      <w:r w:rsidRPr="00ED5EBF">
        <w:rPr>
          <w:rFonts w:ascii="TimesNewRomanPSMT" w:hAnsi="TimesNewRomanPSMT" w:hint="eastAsia"/>
        </w:rPr>
        <w:t>ā</w:t>
      </w:r>
      <w:r w:rsidRPr="00ED5EBF">
        <w:rPr>
          <w:rFonts w:ascii="TimesNewRomanPSMT" w:hAnsi="TimesNewRomanPSMT"/>
        </w:rPr>
        <w:t>m saskarsm</w:t>
      </w:r>
      <w:r w:rsidRPr="00ED5EBF">
        <w:rPr>
          <w:rFonts w:ascii="TimesNewRomanPSMT" w:hAnsi="TimesNewRomanPSMT" w:hint="eastAsia"/>
        </w:rPr>
        <w:t>ē</w:t>
      </w:r>
      <w:r w:rsidRPr="00ED5EBF">
        <w:rPr>
          <w:rFonts w:ascii="TimesNewRomanPSMT" w:hAnsi="TimesNewRomanPSMT"/>
        </w:rPr>
        <w:t xml:space="preserve"> ar b</w:t>
      </w:r>
      <w:r w:rsidRPr="00ED5EBF">
        <w:rPr>
          <w:rFonts w:ascii="TimesNewRomanPSMT" w:hAnsi="TimesNewRomanPSMT" w:hint="eastAsia"/>
        </w:rPr>
        <w:t>ē</w:t>
      </w:r>
      <w:r w:rsidRPr="00ED5EBF">
        <w:rPr>
          <w:rFonts w:ascii="TimesNewRomanPSMT" w:hAnsi="TimesNewRomanPSMT"/>
        </w:rPr>
        <w:t>rnu. Ja b</w:t>
      </w:r>
      <w:r w:rsidRPr="00ED5EBF">
        <w:rPr>
          <w:rFonts w:ascii="TimesNewRomanPSMT" w:hAnsi="TimesNewRomanPSMT" w:hint="eastAsia"/>
        </w:rPr>
        <w:t>ē</w:t>
      </w:r>
      <w:r w:rsidRPr="00ED5EBF">
        <w:rPr>
          <w:rFonts w:ascii="TimesNewRomanPSMT" w:hAnsi="TimesNewRomanPSMT"/>
        </w:rPr>
        <w:t>rna vec</w:t>
      </w:r>
      <w:r w:rsidRPr="00ED5EBF">
        <w:rPr>
          <w:rFonts w:ascii="TimesNewRomanPSMT" w:hAnsi="TimesNewRomanPSMT" w:hint="eastAsia"/>
        </w:rPr>
        <w:t>ā</w:t>
      </w:r>
      <w:r w:rsidRPr="00ED5EBF">
        <w:rPr>
          <w:rFonts w:ascii="TimesNewRomanPSMT" w:hAnsi="TimesNewRomanPSMT"/>
        </w:rPr>
        <w:t xml:space="preserve">ks ir persona ar </w:t>
      </w:r>
      <w:r w:rsidRPr="00ED5EBF">
        <w:rPr>
          <w:rFonts w:ascii="TimesNewRomanPSMT" w:hAnsi="TimesNewRomanPSMT" w:hint="eastAsia"/>
        </w:rPr>
        <w:t>ī</w:t>
      </w:r>
      <w:r w:rsidRPr="00ED5EBF">
        <w:rPr>
          <w:rFonts w:ascii="TimesNewRomanPSMT" w:hAnsi="TimesNewRomanPSMT"/>
        </w:rPr>
        <w:t>paš</w:t>
      </w:r>
      <w:r w:rsidRPr="00ED5EBF">
        <w:rPr>
          <w:rFonts w:ascii="TimesNewRomanPSMT" w:hAnsi="TimesNewRomanPSMT" w:hint="eastAsia"/>
        </w:rPr>
        <w:t>ā</w:t>
      </w:r>
      <w:r w:rsidRPr="00ED5EBF">
        <w:rPr>
          <w:rFonts w:ascii="TimesNewRomanPSMT" w:hAnsi="TimesNewRomanPSMT"/>
        </w:rPr>
        <w:t>m vajadz</w:t>
      </w:r>
      <w:r w:rsidRPr="00ED5EBF">
        <w:rPr>
          <w:rFonts w:ascii="TimesNewRomanPSMT" w:hAnsi="TimesNewRomanPSMT" w:hint="eastAsia"/>
        </w:rPr>
        <w:t>ī</w:t>
      </w:r>
      <w:r w:rsidRPr="00ED5EBF">
        <w:rPr>
          <w:rFonts w:ascii="TimesNewRomanPSMT" w:hAnsi="TimesNewRomanPSMT"/>
        </w:rPr>
        <w:t>b</w:t>
      </w:r>
      <w:r w:rsidRPr="00ED5EBF">
        <w:rPr>
          <w:rFonts w:ascii="TimesNewRomanPSMT" w:hAnsi="TimesNewRomanPSMT" w:hint="eastAsia"/>
        </w:rPr>
        <w:t>ā</w:t>
      </w:r>
      <w:r w:rsidRPr="00ED5EBF">
        <w:rPr>
          <w:rFonts w:ascii="TimesNewRomanPSMT" w:hAnsi="TimesNewRomanPSMT"/>
        </w:rPr>
        <w:t xml:space="preserve">m un </w:t>
      </w:r>
      <w:r w:rsidRPr="00ED5EBF">
        <w:rPr>
          <w:rFonts w:ascii="TimesNewRomanPSMT" w:hAnsi="TimesNewRomanPSMT" w:hint="eastAsia"/>
        </w:rPr>
        <w:t>ģ</w:t>
      </w:r>
      <w:r w:rsidRPr="00ED5EBF">
        <w:rPr>
          <w:rFonts w:ascii="TimesNewRomanPSMT" w:hAnsi="TimesNewRomanPSMT"/>
        </w:rPr>
        <w:t>imenes ikdienas jaut</w:t>
      </w:r>
      <w:r w:rsidRPr="00ED5EBF">
        <w:rPr>
          <w:rFonts w:ascii="TimesNewRomanPSMT" w:hAnsi="TimesNewRomanPSMT" w:hint="eastAsia"/>
        </w:rPr>
        <w:t>ā</w:t>
      </w:r>
      <w:r w:rsidRPr="00ED5EBF">
        <w:rPr>
          <w:rFonts w:ascii="TimesNewRomanPSMT" w:hAnsi="TimesNewRomanPSMT"/>
        </w:rPr>
        <w:t>jumu k</w:t>
      </w:r>
      <w:r w:rsidRPr="00ED5EBF">
        <w:rPr>
          <w:rFonts w:ascii="TimesNewRomanPSMT" w:hAnsi="TimesNewRomanPSMT" w:hint="eastAsia"/>
        </w:rPr>
        <w:t>ā</w:t>
      </w:r>
      <w:r w:rsidRPr="00ED5EBF">
        <w:rPr>
          <w:rFonts w:ascii="TimesNewRomanPSMT" w:hAnsi="TimesNewRomanPSMT"/>
        </w:rPr>
        <w:t>rtošanai vi</w:t>
      </w:r>
      <w:r w:rsidRPr="00ED5EBF">
        <w:rPr>
          <w:rFonts w:ascii="TimesNewRomanPSMT" w:hAnsi="TimesNewRomanPSMT" w:hint="eastAsia"/>
        </w:rPr>
        <w:t>ņ</w:t>
      </w:r>
      <w:r w:rsidRPr="00ED5EBF">
        <w:rPr>
          <w:rFonts w:ascii="TimesNewRomanPSMT" w:hAnsi="TimesNewRomanPSMT"/>
        </w:rPr>
        <w:t>am ir piesaist</w:t>
      </w:r>
      <w:r w:rsidRPr="00ED5EBF">
        <w:rPr>
          <w:rFonts w:ascii="TimesNewRomanPSMT" w:hAnsi="TimesNewRomanPSMT" w:hint="eastAsia"/>
        </w:rPr>
        <w:t>ī</w:t>
      </w:r>
      <w:r w:rsidRPr="00ED5EBF">
        <w:rPr>
          <w:rFonts w:ascii="TimesNewRomanPSMT" w:hAnsi="TimesNewRomanPSMT"/>
        </w:rPr>
        <w:t>ts asistents, tad š</w:t>
      </w:r>
      <w:r w:rsidRPr="00ED5EBF">
        <w:rPr>
          <w:rFonts w:ascii="TimesNewRomanPSMT" w:hAnsi="TimesNewRomanPSMT" w:hint="eastAsia"/>
        </w:rPr>
        <w:t>ā</w:t>
      </w:r>
      <w:r w:rsidRPr="00ED5EBF">
        <w:rPr>
          <w:rFonts w:ascii="TimesNewRomanPSMT" w:hAnsi="TimesNewRomanPSMT"/>
        </w:rPr>
        <w:t>ds asistents ar</w:t>
      </w:r>
      <w:r w:rsidRPr="00ED5EBF">
        <w:rPr>
          <w:rFonts w:ascii="TimesNewRomanPSMT" w:hAnsi="TimesNewRomanPSMT" w:hint="eastAsia"/>
        </w:rPr>
        <w:t>ī</w:t>
      </w:r>
      <w:r w:rsidRPr="00ED5EBF">
        <w:rPr>
          <w:rFonts w:ascii="TimesNewRomanPSMT" w:hAnsi="TimesNewRomanPSMT"/>
        </w:rPr>
        <w:t xml:space="preserve"> var tikt aicin</w:t>
      </w:r>
      <w:r w:rsidRPr="00ED5EBF">
        <w:rPr>
          <w:rFonts w:ascii="TimesNewRomanPSMT" w:hAnsi="TimesNewRomanPSMT" w:hint="eastAsia"/>
        </w:rPr>
        <w:t>ā</w:t>
      </w:r>
      <w:r w:rsidRPr="00ED5EBF">
        <w:rPr>
          <w:rFonts w:ascii="TimesNewRomanPSMT" w:hAnsi="TimesNewRomanPSMT"/>
        </w:rPr>
        <w:t>ts uz tiesu k</w:t>
      </w:r>
      <w:r w:rsidRPr="00ED5EBF">
        <w:rPr>
          <w:rFonts w:ascii="TimesNewRomanPSMT" w:hAnsi="TimesNewRomanPSMT" w:hint="eastAsia"/>
        </w:rPr>
        <w:t>ā</w:t>
      </w:r>
      <w:r w:rsidRPr="00ED5EBF">
        <w:rPr>
          <w:rFonts w:ascii="TimesNewRomanPSMT" w:hAnsi="TimesNewRomanPSMT"/>
        </w:rPr>
        <w:t xml:space="preserve"> liecinieks. </w:t>
      </w:r>
    </w:p>
    <w:p w14:paraId="4899C9CE" w14:textId="206AE851" w:rsidR="00ED5EBF" w:rsidRPr="00ED5EBF" w:rsidRDefault="00ED5EBF" w:rsidP="00ED5EBF">
      <w:pPr>
        <w:autoSpaceDE w:val="0"/>
        <w:autoSpaceDN w:val="0"/>
        <w:spacing w:line="276" w:lineRule="auto"/>
        <w:jc w:val="both"/>
        <w:rPr>
          <w:rFonts w:ascii="TimesNewRomanPSMT" w:hAnsi="TimesNewRomanPSMT"/>
        </w:rPr>
      </w:pPr>
      <w:r w:rsidRPr="00ED5EBF">
        <w:rPr>
          <w:rFonts w:ascii="TimesNewRomanPSMT" w:hAnsi="TimesNewRomanPSMT"/>
        </w:rPr>
        <w:t>Proti, ja vec</w:t>
      </w:r>
      <w:r w:rsidRPr="00ED5EBF">
        <w:rPr>
          <w:rFonts w:ascii="TimesNewRomanPSMT" w:hAnsi="TimesNewRomanPSMT" w:hint="eastAsia"/>
        </w:rPr>
        <w:t>ā</w:t>
      </w:r>
      <w:r w:rsidRPr="00ED5EBF">
        <w:rPr>
          <w:rFonts w:ascii="TimesNewRomanPSMT" w:hAnsi="TimesNewRomanPSMT"/>
        </w:rPr>
        <w:t xml:space="preserve">kam </w:t>
      </w:r>
      <w:r w:rsidRPr="00ED5EBF">
        <w:rPr>
          <w:rFonts w:ascii="TimesNewRomanPSMT" w:hAnsi="TimesNewRomanPSMT" w:hint="eastAsia"/>
        </w:rPr>
        <w:t>–</w:t>
      </w:r>
      <w:r w:rsidRPr="00ED5EBF">
        <w:rPr>
          <w:rFonts w:ascii="TimesNewRomanPSMT" w:hAnsi="TimesNewRomanPSMT"/>
        </w:rPr>
        <w:t xml:space="preserve"> personai ar </w:t>
      </w:r>
      <w:r w:rsidRPr="00ED5EBF">
        <w:rPr>
          <w:rFonts w:ascii="TimesNewRomanPSMT" w:hAnsi="TimesNewRomanPSMT" w:hint="eastAsia"/>
        </w:rPr>
        <w:t>ī</w:t>
      </w:r>
      <w:r w:rsidRPr="00ED5EBF">
        <w:rPr>
          <w:rFonts w:ascii="TimesNewRomanPSMT" w:hAnsi="TimesNewRomanPSMT"/>
        </w:rPr>
        <w:t>paš</w:t>
      </w:r>
      <w:r w:rsidRPr="00ED5EBF">
        <w:rPr>
          <w:rFonts w:ascii="TimesNewRomanPSMT" w:hAnsi="TimesNewRomanPSMT" w:hint="eastAsia"/>
        </w:rPr>
        <w:t>ā</w:t>
      </w:r>
      <w:r w:rsidRPr="00ED5EBF">
        <w:rPr>
          <w:rFonts w:ascii="TimesNewRomanPSMT" w:hAnsi="TimesNewRomanPSMT"/>
        </w:rPr>
        <w:t>m vajadz</w:t>
      </w:r>
      <w:r w:rsidRPr="00ED5EBF">
        <w:rPr>
          <w:rFonts w:ascii="TimesNewRomanPSMT" w:hAnsi="TimesNewRomanPSMT" w:hint="eastAsia"/>
        </w:rPr>
        <w:t>ī</w:t>
      </w:r>
      <w:r w:rsidRPr="00ED5EBF">
        <w:rPr>
          <w:rFonts w:ascii="TimesNewRomanPSMT" w:hAnsi="TimesNewRomanPSMT"/>
        </w:rPr>
        <w:t>b</w:t>
      </w:r>
      <w:r w:rsidRPr="00ED5EBF">
        <w:rPr>
          <w:rFonts w:ascii="TimesNewRomanPSMT" w:hAnsi="TimesNewRomanPSMT" w:hint="eastAsia"/>
        </w:rPr>
        <w:t>ā</w:t>
      </w:r>
      <w:r w:rsidRPr="00ED5EBF">
        <w:rPr>
          <w:rFonts w:ascii="TimesNewRomanPSMT" w:hAnsi="TimesNewRomanPSMT"/>
        </w:rPr>
        <w:t xml:space="preserve">m </w:t>
      </w:r>
      <w:r w:rsidRPr="00ED5EBF">
        <w:rPr>
          <w:rFonts w:ascii="TimesNewRomanPSMT" w:hAnsi="TimesNewRomanPSMT" w:hint="eastAsia"/>
        </w:rPr>
        <w:t>–</w:t>
      </w:r>
      <w:r w:rsidRPr="00ED5EBF">
        <w:rPr>
          <w:rFonts w:ascii="TimesNewRomanPSMT" w:hAnsi="TimesNewRomanPSMT"/>
        </w:rPr>
        <w:t xml:space="preserve"> ir asistents vai cits </w:t>
      </w:r>
      <w:r w:rsidRPr="00ED5EBF">
        <w:rPr>
          <w:rFonts w:ascii="TimesNewRomanPSMT" w:hAnsi="TimesNewRomanPSMT" w:hint="eastAsia"/>
        </w:rPr>
        <w:t>ģ</w:t>
      </w:r>
      <w:r w:rsidRPr="00ED5EBF">
        <w:rPr>
          <w:rFonts w:ascii="TimesNewRomanPSMT" w:hAnsi="TimesNewRomanPSMT"/>
        </w:rPr>
        <w:t>imenes loceklis, kas var piedal</w:t>
      </w:r>
      <w:r w:rsidRPr="00ED5EBF">
        <w:rPr>
          <w:rFonts w:ascii="TimesNewRomanPSMT" w:hAnsi="TimesNewRomanPSMT" w:hint="eastAsia"/>
        </w:rPr>
        <w:t>ī</w:t>
      </w:r>
      <w:r w:rsidRPr="00ED5EBF">
        <w:rPr>
          <w:rFonts w:ascii="TimesNewRomanPSMT" w:hAnsi="TimesNewRomanPSMT"/>
        </w:rPr>
        <w:t>ties b</w:t>
      </w:r>
      <w:r w:rsidRPr="00ED5EBF">
        <w:rPr>
          <w:rFonts w:ascii="TimesNewRomanPSMT" w:hAnsi="TimesNewRomanPSMT" w:hint="eastAsia"/>
        </w:rPr>
        <w:t>ē</w:t>
      </w:r>
      <w:r w:rsidRPr="00ED5EBF">
        <w:rPr>
          <w:rFonts w:ascii="TimesNewRomanPSMT" w:hAnsi="TimesNewRomanPSMT"/>
        </w:rPr>
        <w:t>rna apr</w:t>
      </w:r>
      <w:r w:rsidRPr="00ED5EBF">
        <w:rPr>
          <w:rFonts w:ascii="TimesNewRomanPSMT" w:hAnsi="TimesNewRomanPSMT" w:hint="eastAsia"/>
        </w:rPr>
        <w:t>ū</w:t>
      </w:r>
      <w:r w:rsidRPr="00ED5EBF">
        <w:rPr>
          <w:rFonts w:ascii="TimesNewRomanPSMT" w:hAnsi="TimesNewRomanPSMT"/>
        </w:rPr>
        <w:t>p</w:t>
      </w:r>
      <w:r w:rsidRPr="00ED5EBF">
        <w:rPr>
          <w:rFonts w:ascii="TimesNewRomanPSMT" w:hAnsi="TimesNewRomanPSMT" w:hint="eastAsia"/>
        </w:rPr>
        <w:t>ē</w:t>
      </w:r>
      <w:r w:rsidRPr="00ED5EBF">
        <w:rPr>
          <w:rFonts w:ascii="TimesNewRomanPSMT" w:hAnsi="TimesNewRomanPSMT"/>
        </w:rPr>
        <w:t xml:space="preserve"> un saskarsm</w:t>
      </w:r>
      <w:r w:rsidRPr="00ED5EBF">
        <w:rPr>
          <w:rFonts w:ascii="TimesNewRomanPSMT" w:hAnsi="TimesNewRomanPSMT" w:hint="eastAsia"/>
        </w:rPr>
        <w:t>ē</w:t>
      </w:r>
      <w:r w:rsidRPr="00ED5EBF">
        <w:rPr>
          <w:rFonts w:ascii="TimesNewRomanPSMT" w:hAnsi="TimesNewRomanPSMT"/>
        </w:rPr>
        <w:t>, tad tiesai tas j</w:t>
      </w:r>
      <w:r w:rsidRPr="00ED5EBF">
        <w:rPr>
          <w:rFonts w:ascii="TimesNewRomanPSMT" w:hAnsi="TimesNewRomanPSMT" w:hint="eastAsia"/>
        </w:rPr>
        <w:t>āņ</w:t>
      </w:r>
      <w:r w:rsidRPr="00ED5EBF">
        <w:rPr>
          <w:rFonts w:ascii="TimesNewRomanPSMT" w:hAnsi="TimesNewRomanPSMT"/>
        </w:rPr>
        <w:t>em v</w:t>
      </w:r>
      <w:r w:rsidRPr="00ED5EBF">
        <w:rPr>
          <w:rFonts w:ascii="TimesNewRomanPSMT" w:hAnsi="TimesNewRomanPSMT" w:hint="eastAsia"/>
        </w:rPr>
        <w:t>ē</w:t>
      </w:r>
      <w:r w:rsidRPr="00ED5EBF">
        <w:rPr>
          <w:rFonts w:ascii="TimesNewRomanPSMT" w:hAnsi="TimesNewRomanPSMT"/>
        </w:rPr>
        <w:t>r</w:t>
      </w:r>
      <w:r w:rsidRPr="00ED5EBF">
        <w:rPr>
          <w:rFonts w:ascii="TimesNewRomanPSMT" w:hAnsi="TimesNewRomanPSMT" w:hint="eastAsia"/>
        </w:rPr>
        <w:t>ā</w:t>
      </w:r>
      <w:r w:rsidRPr="00ED5EBF">
        <w:rPr>
          <w:rFonts w:ascii="TimesNewRomanPSMT" w:hAnsi="TimesNewRomanPSMT"/>
        </w:rPr>
        <w:t xml:space="preserve">, lemjot par saskarsmes </w:t>
      </w:r>
      <w:r w:rsidRPr="00ED5EBF">
        <w:rPr>
          <w:rFonts w:ascii="TimesNewRomanPSMT" w:hAnsi="TimesNewRomanPSMT" w:hint="eastAsia"/>
        </w:rPr>
        <w:t>ī</w:t>
      </w:r>
      <w:r w:rsidRPr="00ED5EBF">
        <w:rPr>
          <w:rFonts w:ascii="TimesNewRomanPSMT" w:hAnsi="TimesNewRomanPSMT"/>
        </w:rPr>
        <w:t>stenošanas k</w:t>
      </w:r>
      <w:r w:rsidRPr="00ED5EBF">
        <w:rPr>
          <w:rFonts w:ascii="TimesNewRomanPSMT" w:hAnsi="TimesNewRomanPSMT" w:hint="eastAsia"/>
        </w:rPr>
        <w:t>ā</w:t>
      </w:r>
      <w:r w:rsidRPr="00ED5EBF">
        <w:rPr>
          <w:rFonts w:ascii="TimesNewRomanPSMT" w:hAnsi="TimesNewRomanPSMT"/>
        </w:rPr>
        <w:t>rt</w:t>
      </w:r>
      <w:r w:rsidRPr="00ED5EBF">
        <w:rPr>
          <w:rFonts w:ascii="TimesNewRomanPSMT" w:hAnsi="TimesNewRomanPSMT" w:hint="eastAsia"/>
        </w:rPr>
        <w:t>ī</w:t>
      </w:r>
      <w:r w:rsidRPr="00ED5EBF">
        <w:rPr>
          <w:rFonts w:ascii="TimesNewRomanPSMT" w:hAnsi="TimesNewRomanPSMT"/>
        </w:rPr>
        <w:t>bu.</w:t>
      </w:r>
    </w:p>
    <w:p w14:paraId="4EDFB535" w14:textId="77777777" w:rsidR="00ED5EBF" w:rsidRPr="00ED5EBF" w:rsidRDefault="00ED5EBF" w:rsidP="00ED5EBF">
      <w:pPr>
        <w:autoSpaceDE w:val="0"/>
        <w:autoSpaceDN w:val="0"/>
        <w:spacing w:line="276" w:lineRule="auto"/>
        <w:jc w:val="both"/>
        <w:rPr>
          <w:rFonts w:ascii="TimesNewRomanPSMT" w:hAnsi="TimesNewRomanPSMT"/>
          <w:b/>
          <w:bCs/>
        </w:rPr>
      </w:pPr>
    </w:p>
    <w:p w14:paraId="77379621" w14:textId="77777777" w:rsidR="00ED5EBF" w:rsidRPr="00ED5EBF" w:rsidRDefault="00ED5EBF" w:rsidP="00ED5EBF">
      <w:pPr>
        <w:autoSpaceDE w:val="0"/>
        <w:autoSpaceDN w:val="0"/>
        <w:spacing w:line="276" w:lineRule="auto"/>
        <w:jc w:val="both"/>
        <w:rPr>
          <w:rFonts w:ascii="TimesNewRomanPSMT" w:hAnsi="TimesNewRomanPSMT"/>
          <w:bCs/>
        </w:rPr>
      </w:pPr>
      <w:r w:rsidRPr="00ED5EBF">
        <w:rPr>
          <w:rFonts w:ascii="TimesNewRomanPSMT" w:hAnsi="TimesNewRomanPSMT"/>
          <w:b/>
          <w:bCs/>
        </w:rPr>
        <w:t>Saskarsmes ties</w:t>
      </w:r>
      <w:r w:rsidRPr="00ED5EBF">
        <w:rPr>
          <w:rFonts w:ascii="TimesNewRomanPSMT" w:hAnsi="TimesNewRomanPSMT" w:hint="eastAsia"/>
          <w:b/>
          <w:bCs/>
        </w:rPr>
        <w:t>ī</w:t>
      </w:r>
      <w:r w:rsidRPr="00ED5EBF">
        <w:rPr>
          <w:rFonts w:ascii="TimesNewRomanPSMT" w:hAnsi="TimesNewRomanPSMT"/>
          <w:b/>
          <w:bCs/>
        </w:rPr>
        <w:t xml:space="preserve">bu </w:t>
      </w:r>
      <w:r w:rsidRPr="00ED5EBF">
        <w:rPr>
          <w:rFonts w:ascii="TimesNewRomanPSMT" w:hAnsi="TimesNewRomanPSMT" w:hint="eastAsia"/>
          <w:b/>
          <w:bCs/>
        </w:rPr>
        <w:t>ī</w:t>
      </w:r>
      <w:r w:rsidRPr="00ED5EBF">
        <w:rPr>
          <w:rFonts w:ascii="TimesNewRomanPSMT" w:hAnsi="TimesNewRomanPSMT"/>
          <w:b/>
          <w:bCs/>
        </w:rPr>
        <w:t>stenošanai ir j</w:t>
      </w:r>
      <w:r w:rsidRPr="00ED5EBF">
        <w:rPr>
          <w:rFonts w:ascii="TimesNewRomanPSMT" w:hAnsi="TimesNewRomanPSMT" w:hint="eastAsia"/>
          <w:b/>
          <w:bCs/>
        </w:rPr>
        <w:t>ā</w:t>
      </w:r>
      <w:r w:rsidRPr="00ED5EBF">
        <w:rPr>
          <w:rFonts w:ascii="TimesNewRomanPSMT" w:hAnsi="TimesNewRomanPSMT"/>
          <w:b/>
          <w:bCs/>
        </w:rPr>
        <w:t>b</w:t>
      </w:r>
      <w:r w:rsidRPr="00ED5EBF">
        <w:rPr>
          <w:rFonts w:ascii="TimesNewRomanPSMT" w:hAnsi="TimesNewRomanPSMT" w:hint="eastAsia"/>
          <w:b/>
          <w:bCs/>
        </w:rPr>
        <w:t>ū</w:t>
      </w:r>
      <w:r w:rsidRPr="00ED5EBF">
        <w:rPr>
          <w:rFonts w:ascii="TimesNewRomanPSMT" w:hAnsi="TimesNewRomanPSMT"/>
          <w:b/>
          <w:bCs/>
        </w:rPr>
        <w:t>t v</w:t>
      </w:r>
      <w:r w:rsidRPr="00ED5EBF">
        <w:rPr>
          <w:rFonts w:ascii="TimesNewRomanPSMT" w:hAnsi="TimesNewRomanPSMT" w:hint="eastAsia"/>
          <w:b/>
          <w:bCs/>
        </w:rPr>
        <w:t>ē</w:t>
      </w:r>
      <w:r w:rsidRPr="00ED5EBF">
        <w:rPr>
          <w:rFonts w:ascii="TimesNewRomanPSMT" w:hAnsi="TimesNewRomanPSMT"/>
          <w:b/>
          <w:bCs/>
        </w:rPr>
        <w:t>rstai uz b</w:t>
      </w:r>
      <w:r w:rsidRPr="00ED5EBF">
        <w:rPr>
          <w:rFonts w:ascii="TimesNewRomanPSMT" w:hAnsi="TimesNewRomanPSMT" w:hint="eastAsia"/>
          <w:b/>
          <w:bCs/>
        </w:rPr>
        <w:t>ē</w:t>
      </w:r>
      <w:r w:rsidRPr="00ED5EBF">
        <w:rPr>
          <w:rFonts w:ascii="TimesNewRomanPSMT" w:hAnsi="TimesNewRomanPSMT"/>
          <w:b/>
          <w:bCs/>
        </w:rPr>
        <w:t>rna situ</w:t>
      </w:r>
      <w:r w:rsidRPr="00ED5EBF">
        <w:rPr>
          <w:rFonts w:ascii="TimesNewRomanPSMT" w:hAnsi="TimesNewRomanPSMT" w:hint="eastAsia"/>
          <w:b/>
          <w:bCs/>
        </w:rPr>
        <w:t>ā</w:t>
      </w:r>
      <w:r w:rsidRPr="00ED5EBF">
        <w:rPr>
          <w:rFonts w:ascii="TimesNewRomanPSMT" w:hAnsi="TimesNewRomanPSMT"/>
          <w:b/>
          <w:bCs/>
        </w:rPr>
        <w:t>cijas ilgtsp</w:t>
      </w:r>
      <w:r w:rsidRPr="00ED5EBF">
        <w:rPr>
          <w:rFonts w:ascii="TimesNewRomanPSMT" w:hAnsi="TimesNewRomanPSMT" w:hint="eastAsia"/>
          <w:b/>
          <w:bCs/>
        </w:rPr>
        <w:t>ē</w:t>
      </w:r>
      <w:r w:rsidRPr="00ED5EBF">
        <w:rPr>
          <w:rFonts w:ascii="TimesNewRomanPSMT" w:hAnsi="TimesNewRomanPSMT"/>
          <w:b/>
          <w:bCs/>
        </w:rPr>
        <w:t>j</w:t>
      </w:r>
      <w:r w:rsidRPr="00ED5EBF">
        <w:rPr>
          <w:rFonts w:ascii="TimesNewRomanPSMT" w:hAnsi="TimesNewRomanPSMT" w:hint="eastAsia"/>
          <w:b/>
          <w:bCs/>
        </w:rPr>
        <w:t>ī</w:t>
      </w:r>
      <w:r w:rsidRPr="00ED5EBF">
        <w:rPr>
          <w:rFonts w:ascii="TimesNewRomanPSMT" w:hAnsi="TimesNewRomanPSMT"/>
          <w:b/>
          <w:bCs/>
        </w:rPr>
        <w:t>gu risin</w:t>
      </w:r>
      <w:r w:rsidRPr="00ED5EBF">
        <w:rPr>
          <w:rFonts w:ascii="TimesNewRomanPSMT" w:hAnsi="TimesNewRomanPSMT" w:hint="eastAsia"/>
          <w:b/>
          <w:bCs/>
        </w:rPr>
        <w:t>ā</w:t>
      </w:r>
      <w:r w:rsidRPr="00ED5EBF">
        <w:rPr>
          <w:rFonts w:ascii="TimesNewRomanPSMT" w:hAnsi="TimesNewRomanPSMT"/>
          <w:b/>
          <w:bCs/>
        </w:rPr>
        <w:t>jumu</w:t>
      </w:r>
    </w:p>
    <w:p w14:paraId="2A877510" w14:textId="77777777" w:rsidR="00ED5EBF" w:rsidRPr="00ED5EBF" w:rsidRDefault="00ED5EBF" w:rsidP="00ED5EBF">
      <w:pPr>
        <w:pStyle w:val="ListParagraph"/>
        <w:numPr>
          <w:ilvl w:val="0"/>
          <w:numId w:val="1"/>
        </w:numPr>
        <w:autoSpaceDE w:val="0"/>
        <w:autoSpaceDN w:val="0"/>
        <w:spacing w:after="0" w:line="276" w:lineRule="auto"/>
        <w:jc w:val="both"/>
        <w:rPr>
          <w:rFonts w:ascii="TimesNewRomanPSMT" w:eastAsia="Times New Roman" w:hAnsi="TimesNewRomanPSMT"/>
          <w:sz w:val="24"/>
          <w:szCs w:val="24"/>
          <w:lang w:val="lv-LV"/>
        </w:rPr>
      </w:pPr>
      <w:r w:rsidRPr="00ED5EBF">
        <w:rPr>
          <w:rFonts w:ascii="TimesNewRomanPSMT" w:eastAsia="Times New Roman" w:hAnsi="TimesNewRomanPSMT"/>
          <w:sz w:val="24"/>
          <w:szCs w:val="24"/>
          <w:lang w:val="lv-LV"/>
        </w:rPr>
        <w:t>Saskarsmes tiesību īstenošanai jābūt vērstai uz bērna situācijas ilgtspējīgu risinājumu, proti, cik lielā mērā veicamie pasākumi nodrošina bērnam emocionāli tuvas, pastāvīgas, ģimeniskas attiecības ar viņa vecākiem. Vienlaikus jāņem arī vērā, cik lielā mērā veicamie pasākumi nodrošina drošu vidi, kurā bērnam augt un attīstīties, būt pasargātam no apdraudējuma. Līdz ar to, lemjot par to, vai bērnam ir atļaujams noteiktā laikā nakšņot pie sava vecāka, ir jāatrod līdzsvars starp bērna un vecāka ģimenes saišu uzturēšanu un bērna drošības aizsardzību. Bērna interesēs ir gan uzturēt saikni ar savu ģimeni, gan vienlaikus tikt pasargātam no tādas rīcības, kas kaitē bērna interesēm.</w:t>
      </w:r>
    </w:p>
    <w:p w14:paraId="153C11BD" w14:textId="20582ADE" w:rsidR="00ED5EBF" w:rsidRPr="00ED5EBF" w:rsidRDefault="00ED5EBF" w:rsidP="00ED5EBF">
      <w:pPr>
        <w:pStyle w:val="ListParagraph"/>
        <w:numPr>
          <w:ilvl w:val="0"/>
          <w:numId w:val="1"/>
        </w:numPr>
        <w:autoSpaceDE w:val="0"/>
        <w:autoSpaceDN w:val="0"/>
        <w:spacing w:after="0" w:line="276" w:lineRule="auto"/>
        <w:jc w:val="both"/>
        <w:rPr>
          <w:rFonts w:ascii="TimesNewRomanPSMT" w:eastAsia="Times New Roman" w:hAnsi="TimesNewRomanPSMT"/>
          <w:sz w:val="24"/>
          <w:szCs w:val="24"/>
          <w:lang w:val="lv-LV"/>
        </w:rPr>
      </w:pPr>
      <w:r w:rsidRPr="00ED5EBF">
        <w:rPr>
          <w:rFonts w:ascii="TimesNewRomanPSMT" w:eastAsia="Times New Roman" w:hAnsi="TimesNewRomanPSMT"/>
          <w:sz w:val="24"/>
          <w:szCs w:val="24"/>
          <w:lang w:val="lv-LV"/>
        </w:rPr>
        <w:t xml:space="preserve">Bāriņtiesai ar iesaistītajiem speciālistiem jāmeklē risinājumi, kā saskarsmi saprātīgi nodrošināt, lai pakāpeniski veicinātu bērna piesaisti vecākam, nevis pretēji – to mazinātu. </w:t>
      </w:r>
    </w:p>
    <w:p w14:paraId="3C814CB0" w14:textId="77777777" w:rsidR="00ED5EBF" w:rsidRPr="00ED5EBF" w:rsidRDefault="00ED5EBF" w:rsidP="00ED5EBF">
      <w:pPr>
        <w:pStyle w:val="ListParagraph"/>
        <w:autoSpaceDE w:val="0"/>
        <w:autoSpaceDN w:val="0"/>
        <w:spacing w:after="0" w:line="276" w:lineRule="auto"/>
        <w:ind w:left="360"/>
        <w:jc w:val="both"/>
        <w:rPr>
          <w:rFonts w:ascii="TimesNewRomanPSMT" w:hAnsi="TimesNewRomanPSMT"/>
          <w:sz w:val="24"/>
          <w:szCs w:val="24"/>
          <w:lang w:val="lv-LV"/>
        </w:rPr>
      </w:pPr>
    </w:p>
    <w:p w14:paraId="4767CB49" w14:textId="77777777" w:rsidR="00ED5EBF" w:rsidRPr="00ED5EBF" w:rsidRDefault="00ED5EBF" w:rsidP="00ED5EBF">
      <w:pPr>
        <w:autoSpaceDE w:val="0"/>
        <w:autoSpaceDN w:val="0"/>
        <w:spacing w:line="276" w:lineRule="auto"/>
        <w:jc w:val="both"/>
        <w:rPr>
          <w:rFonts w:ascii="TimesNewRomanPSMT" w:hAnsi="TimesNewRomanPSMT"/>
          <w:b/>
          <w:bCs/>
        </w:rPr>
      </w:pPr>
      <w:r w:rsidRPr="00ED5EBF">
        <w:rPr>
          <w:rFonts w:ascii="TimesNewRomanPSMT" w:hAnsi="TimesNewRomanPSMT"/>
          <w:b/>
          <w:bCs/>
        </w:rPr>
        <w:t>Iestādes viedoklis nav pierādījums</w:t>
      </w:r>
    </w:p>
    <w:p w14:paraId="1381042D" w14:textId="558BB4F9" w:rsidR="00ED5EBF" w:rsidRPr="00ED5EBF" w:rsidRDefault="00ED5EBF" w:rsidP="00ED5EBF">
      <w:pPr>
        <w:autoSpaceDE w:val="0"/>
        <w:autoSpaceDN w:val="0"/>
        <w:spacing w:line="276" w:lineRule="auto"/>
        <w:jc w:val="both"/>
        <w:rPr>
          <w:rFonts w:ascii="TimesNewRomanPSMT" w:hAnsi="TimesNewRomanPSMT"/>
        </w:rPr>
      </w:pPr>
      <w:r w:rsidRPr="00ED5EBF">
        <w:rPr>
          <w:rFonts w:ascii="TimesNewRomanPSMT" w:hAnsi="TimesNewRomanPSMT"/>
        </w:rPr>
        <w:t>Citas iestādes viedokli tiesa var apsvērt, taču tam nav pierādījuma nozīmes. Tiesai pierādījumi ir jāpārbauda pašai. Lietā par saskarsmes tiesību īstenošanu, lietas apstākļu pierādīšanai nav pietiekami atsaukties uz citas institūcijas izdarītu secinājumu, bet tiesai pašai no konkrētiem pierādījumiem ir jākonstatē lietas izšķiršanai būtiskie apstākļi un tie patstāvīgi jāvērtē.</w:t>
      </w:r>
    </w:p>
    <w:p w14:paraId="5789FF5F" w14:textId="77777777" w:rsidR="00ED5EBF" w:rsidRPr="00ED5EBF" w:rsidRDefault="00ED5EBF" w:rsidP="00ED5EBF">
      <w:pPr>
        <w:pStyle w:val="ListParagraph"/>
        <w:autoSpaceDE w:val="0"/>
        <w:autoSpaceDN w:val="0"/>
        <w:spacing w:after="0" w:line="276" w:lineRule="auto"/>
        <w:ind w:left="360"/>
        <w:jc w:val="both"/>
        <w:rPr>
          <w:rFonts w:ascii="TimesNewRomanPSMT" w:hAnsi="TimesNewRomanPSMT"/>
          <w:sz w:val="24"/>
          <w:szCs w:val="24"/>
          <w:lang w:val="lv-LV"/>
        </w:rPr>
      </w:pPr>
    </w:p>
    <w:p w14:paraId="6416D539" w14:textId="77777777" w:rsidR="00ED5EBF" w:rsidRPr="00ED5EBF" w:rsidRDefault="00ED5EBF" w:rsidP="00ED5EBF">
      <w:pPr>
        <w:autoSpaceDE w:val="0"/>
        <w:autoSpaceDN w:val="0"/>
        <w:spacing w:line="276" w:lineRule="auto"/>
        <w:jc w:val="both"/>
        <w:rPr>
          <w:rFonts w:ascii="TimesNewRomanPSMT" w:hAnsi="TimesNewRomanPSMT"/>
          <w:b/>
          <w:bCs/>
        </w:rPr>
      </w:pPr>
      <w:r w:rsidRPr="00ED5EBF">
        <w:rPr>
          <w:rFonts w:ascii="TimesNewRomanPSMT" w:hAnsi="TimesNewRomanPSMT"/>
          <w:b/>
          <w:bCs/>
        </w:rPr>
        <w:t>Bāriņtiesas pienākumi saskarsmes kvalitatīvā atjaunošanā</w:t>
      </w:r>
    </w:p>
    <w:p w14:paraId="537FB5C9" w14:textId="1DD61CEF" w:rsidR="00ED5EBF" w:rsidRPr="00ED5EBF" w:rsidRDefault="00ED5EBF" w:rsidP="00ED5EBF">
      <w:pPr>
        <w:autoSpaceDE w:val="0"/>
        <w:autoSpaceDN w:val="0"/>
        <w:spacing w:line="276" w:lineRule="auto"/>
        <w:jc w:val="both"/>
        <w:rPr>
          <w:rFonts w:ascii="TimesNewRomanPSMT" w:hAnsi="TimesNewRomanPSMT"/>
        </w:rPr>
      </w:pPr>
      <w:r w:rsidRPr="00ED5EBF">
        <w:rPr>
          <w:rFonts w:ascii="TimesNewRomanPSMT" w:hAnsi="TimesNewRomanPSMT"/>
        </w:rPr>
        <w:t>Bāriņtiesai ir jāveicina bērna un vecāka saskarsmes kvalitatīva atjaunošana. Bāriņtiesa nevar palikt pasīvs situācijas novērotājs, īpaši apstākļos, ja bērna vecāks ir norādījis bāriņtiesai uz bērna audžuvecāka veicinātām problēmām. Negatīva komunikācija aud</w:t>
      </w:r>
      <w:r w:rsidRPr="00ED5EBF">
        <w:rPr>
          <w:rFonts w:ascii="TimesNewRomanPSMT" w:hAnsi="TimesNewRomanPSMT" w:hint="eastAsia"/>
        </w:rPr>
        <w:t>ž</w:t>
      </w:r>
      <w:r w:rsidRPr="00ED5EBF">
        <w:rPr>
          <w:rFonts w:ascii="TimesNewRomanPSMT" w:hAnsi="TimesNewRomanPSMT"/>
        </w:rPr>
        <w:t>uvecāka, bērna vecāka starpā nenoliedzami atstāj iespaidu uz to, kā notiek bērna un vecāka saskarsme, kā tā attīstās ilgtermiņā. Tāpēc, ja bāriņtiesas rīcībā nonāk šādas ziņas un tā jautājumu nerisina, bāriņtiesa nenodrošina bērna tiesību efektīvu aizsardzību.</w:t>
      </w:r>
    </w:p>
    <w:p w14:paraId="656DCC70" w14:textId="77777777" w:rsidR="00ED5EBF" w:rsidRPr="00ED5EBF" w:rsidRDefault="00ED5EBF" w:rsidP="00ED5EBF">
      <w:pPr>
        <w:autoSpaceDE w:val="0"/>
        <w:autoSpaceDN w:val="0"/>
        <w:spacing w:line="276" w:lineRule="auto"/>
        <w:jc w:val="both"/>
        <w:rPr>
          <w:rFonts w:ascii="TimesNewRomanPSMT" w:hAnsi="TimesNewRomanPSMT" w:cs="Calibri"/>
        </w:rPr>
      </w:pPr>
    </w:p>
    <w:p w14:paraId="4048DE85" w14:textId="77777777" w:rsidR="00ED5EBF" w:rsidRPr="00ED5EBF" w:rsidRDefault="00ED5EBF" w:rsidP="00ED5EBF">
      <w:pPr>
        <w:autoSpaceDE w:val="0"/>
        <w:autoSpaceDN w:val="0"/>
        <w:spacing w:line="276" w:lineRule="auto"/>
        <w:jc w:val="both"/>
        <w:rPr>
          <w:rFonts w:ascii="TimesNewRomanPSMT" w:hAnsi="TimesNewRomanPSMT"/>
          <w:b/>
          <w:bCs/>
        </w:rPr>
      </w:pPr>
      <w:r w:rsidRPr="00ED5EBF">
        <w:rPr>
          <w:rFonts w:ascii="TimesNewRomanPSMT" w:hAnsi="TimesNewRomanPSMT"/>
          <w:b/>
          <w:bCs/>
        </w:rPr>
        <w:t>Bērna viedoklis</w:t>
      </w:r>
    </w:p>
    <w:p w14:paraId="468D7B7E" w14:textId="77777777" w:rsidR="00ED5EBF" w:rsidRPr="00ED5EBF" w:rsidRDefault="00ED5EBF" w:rsidP="00ED5EBF">
      <w:pPr>
        <w:autoSpaceDE w:val="0"/>
        <w:autoSpaceDN w:val="0"/>
        <w:spacing w:line="276" w:lineRule="auto"/>
        <w:jc w:val="both"/>
        <w:rPr>
          <w:rFonts w:ascii="TimesNewRomanPSMT" w:hAnsi="TimesNewRomanPSMT"/>
        </w:rPr>
      </w:pPr>
      <w:r w:rsidRPr="00ED5EBF">
        <w:rPr>
          <w:rFonts w:ascii="TimesNewRomanPSMT" w:hAnsi="TimesNewRomanPSMT"/>
        </w:rPr>
        <w:t>Lietās, kurās skartas bērna tiesības un intereses, bērna viedoklis ņemams vērā atbilstoši bērna vecumam, briedumam un spējai viedokli formulēt. Lai varētu objektīvi secināt, vai bērna viedoklis lietā ir ņemams vērā, ir jāvērtē, vai bērna viedoklis nav ietekm</w:t>
      </w:r>
      <w:r w:rsidRPr="00ED5EBF">
        <w:rPr>
          <w:rFonts w:ascii="TimesNewRomanPSMT" w:hAnsi="TimesNewRomanPSMT" w:hint="eastAsia"/>
        </w:rPr>
        <w:t>ē</w:t>
      </w:r>
      <w:r w:rsidRPr="00ED5EBF">
        <w:rPr>
          <w:rFonts w:ascii="TimesNewRomanPSMT" w:hAnsi="TimesNewRomanPSMT"/>
        </w:rPr>
        <w:t xml:space="preserve">ts. Maza bērna viedokli pamatā formē tās ģimenes uzskati, kurā bērns dzīvo. Ja starp ģimeni, kurā bērns dzīvo, un viņa bioloģisko vecāku pastāv nesaskaņas, tiesai šādā situācijā ir jāvērtē, cik objektīvs ir bērna viedoklis. </w:t>
      </w:r>
    </w:p>
    <w:p w14:paraId="551A3958" w14:textId="405F2618" w:rsidR="002A2082" w:rsidRPr="005A6ED4" w:rsidRDefault="002A2082" w:rsidP="00ED5EBF">
      <w:pPr>
        <w:pStyle w:val="BodyText2"/>
        <w:spacing w:after="0" w:line="276" w:lineRule="auto"/>
        <w:ind w:right="-141"/>
      </w:pPr>
    </w:p>
    <w:p w14:paraId="6A16D13D" w14:textId="061510C1" w:rsidR="002A2082" w:rsidRPr="00ED5EBF" w:rsidRDefault="00ED5EBF" w:rsidP="000F659C">
      <w:pPr>
        <w:spacing w:line="276" w:lineRule="auto"/>
        <w:ind w:right="-141"/>
        <w:jc w:val="center"/>
        <w:rPr>
          <w:b/>
        </w:rPr>
      </w:pPr>
      <w:r w:rsidRPr="00ED5EBF">
        <w:rPr>
          <w:b/>
        </w:rPr>
        <w:lastRenderedPageBreak/>
        <w:t>Latvijas Republikas Senāta</w:t>
      </w:r>
    </w:p>
    <w:p w14:paraId="54BAE53D" w14:textId="12E4F6C3" w:rsidR="00ED5EBF" w:rsidRPr="00ED5EBF" w:rsidRDefault="00ED5EBF" w:rsidP="000F659C">
      <w:pPr>
        <w:spacing w:line="276" w:lineRule="auto"/>
        <w:ind w:right="-141"/>
        <w:jc w:val="center"/>
        <w:rPr>
          <w:b/>
        </w:rPr>
      </w:pPr>
      <w:r w:rsidRPr="00ED5EBF">
        <w:rPr>
          <w:b/>
        </w:rPr>
        <w:t xml:space="preserve">Administratīvo lietu departamenta </w:t>
      </w:r>
    </w:p>
    <w:p w14:paraId="74DB5900" w14:textId="7137C630" w:rsidR="00ED5EBF" w:rsidRPr="00ED5EBF" w:rsidRDefault="00ED5EBF" w:rsidP="000F659C">
      <w:pPr>
        <w:spacing w:line="276" w:lineRule="auto"/>
        <w:ind w:right="-141"/>
        <w:jc w:val="center"/>
        <w:rPr>
          <w:b/>
        </w:rPr>
      </w:pPr>
      <w:proofErr w:type="gramStart"/>
      <w:r w:rsidRPr="00ED5EBF">
        <w:rPr>
          <w:b/>
        </w:rPr>
        <w:t>2022.gada</w:t>
      </w:r>
      <w:proofErr w:type="gramEnd"/>
      <w:r w:rsidRPr="00ED5EBF">
        <w:rPr>
          <w:b/>
        </w:rPr>
        <w:t xml:space="preserve"> [..]</w:t>
      </w:r>
    </w:p>
    <w:p w14:paraId="0865FD10" w14:textId="2A13A2F1" w:rsidR="002A2082" w:rsidRPr="00ED5EBF" w:rsidRDefault="002A2082" w:rsidP="000F659C">
      <w:pPr>
        <w:spacing w:line="276" w:lineRule="auto"/>
        <w:ind w:right="-141"/>
        <w:jc w:val="center"/>
        <w:rPr>
          <w:b/>
        </w:rPr>
      </w:pPr>
      <w:r w:rsidRPr="00ED5EBF">
        <w:rPr>
          <w:b/>
        </w:rPr>
        <w:t>SPRIEDUMS</w:t>
      </w:r>
      <w:r w:rsidR="00ED5EBF" w:rsidRPr="00ED5EBF">
        <w:rPr>
          <w:rStyle w:val="FootnoteReference"/>
          <w:b/>
        </w:rPr>
        <w:footnoteReference w:id="1"/>
      </w:r>
    </w:p>
    <w:p w14:paraId="0F65BAF4" w14:textId="6401F5D4" w:rsidR="00ED5EBF" w:rsidRPr="00ED5EBF" w:rsidRDefault="00B557B1" w:rsidP="000F659C">
      <w:pPr>
        <w:spacing w:line="276" w:lineRule="auto"/>
        <w:ind w:firstLine="567"/>
        <w:jc w:val="center"/>
        <w:rPr>
          <w:b/>
        </w:rPr>
      </w:pPr>
      <w:r>
        <w:rPr>
          <w:b/>
        </w:rPr>
        <w:t>Lieta Nr. [..], SKA- [B</w:t>
      </w:r>
      <w:r w:rsidR="00ED5EBF" w:rsidRPr="00ED5EBF">
        <w:rPr>
          <w:b/>
        </w:rPr>
        <w:t>]/2022</w:t>
      </w:r>
    </w:p>
    <w:p w14:paraId="4CC1D032" w14:textId="5ED7B90A" w:rsidR="00ED5EBF" w:rsidRPr="00ED5EBF" w:rsidRDefault="00ED5EBF" w:rsidP="000F659C">
      <w:pPr>
        <w:spacing w:line="276" w:lineRule="auto"/>
        <w:ind w:firstLine="567"/>
        <w:jc w:val="center"/>
      </w:pPr>
      <w:r w:rsidRPr="00ED5EBF">
        <w:t>ECLI:AT:2022:[..]</w:t>
      </w:r>
    </w:p>
    <w:p w14:paraId="51A2BF86" w14:textId="77777777" w:rsidR="002A2082" w:rsidRPr="005A6ED4" w:rsidRDefault="002A2082" w:rsidP="000F659C">
      <w:pPr>
        <w:spacing w:line="276" w:lineRule="auto"/>
        <w:ind w:right="-141"/>
        <w:jc w:val="center"/>
      </w:pPr>
    </w:p>
    <w:p w14:paraId="2B23F0C3" w14:textId="60320A13" w:rsidR="00B51807" w:rsidRPr="005A6ED4" w:rsidRDefault="002A2082" w:rsidP="000F659C">
      <w:pPr>
        <w:spacing w:line="276" w:lineRule="auto"/>
        <w:ind w:right="-141" w:firstLine="567"/>
        <w:jc w:val="both"/>
      </w:pPr>
      <w:r w:rsidRPr="005A6ED4">
        <w:t>Tiesa šādā sastāvā: senator</w:t>
      </w:r>
      <w:r>
        <w:t>i</w:t>
      </w:r>
      <w:r w:rsidRPr="005A6ED4">
        <w:t xml:space="preserve"> Veronika Krūmiņa, </w:t>
      </w:r>
      <w:r>
        <w:t>Jautrīte Briede</w:t>
      </w:r>
      <w:r w:rsidRPr="005A6ED4">
        <w:t xml:space="preserve">, </w:t>
      </w:r>
      <w:r w:rsidR="00B51807">
        <w:t xml:space="preserve">Lauma </w:t>
      </w:r>
      <w:proofErr w:type="spellStart"/>
      <w:r w:rsidR="00B51807">
        <w:t>Paegļkalna</w:t>
      </w:r>
      <w:proofErr w:type="spellEnd"/>
    </w:p>
    <w:p w14:paraId="1A80E9A1" w14:textId="77777777" w:rsidR="002A2082" w:rsidRPr="005A6ED4" w:rsidRDefault="002A2082" w:rsidP="000F659C">
      <w:pPr>
        <w:spacing w:line="276" w:lineRule="auto"/>
        <w:ind w:right="-141" w:firstLine="567"/>
        <w:jc w:val="both"/>
      </w:pPr>
    </w:p>
    <w:p w14:paraId="5E8F8075" w14:textId="06C2198C" w:rsidR="002A2082" w:rsidRPr="005A6ED4" w:rsidRDefault="002A2082" w:rsidP="000F659C">
      <w:pPr>
        <w:spacing w:line="276" w:lineRule="auto"/>
        <w:ind w:right="-141" w:firstLine="567"/>
        <w:jc w:val="both"/>
      </w:pPr>
      <w:r w:rsidRPr="005A6ED4">
        <w:t xml:space="preserve">rakstveida procesā izskatīja </w:t>
      </w:r>
      <w:r>
        <w:t xml:space="preserve">administratīvo lietu, kas ierosināta, </w:t>
      </w:r>
      <w:r w:rsidRPr="005A6ED4">
        <w:t xml:space="preserve">pamatojoties uz </w:t>
      </w:r>
      <w:r w:rsidR="00ED5EBF">
        <w:t xml:space="preserve">[pers. A] </w:t>
      </w:r>
      <w:r w:rsidRPr="005A6ED4">
        <w:t xml:space="preserve">pieteikumu par </w:t>
      </w:r>
      <w:r w:rsidR="00B831A0">
        <w:t xml:space="preserve">administratīvā akta izdošanu, ar kuru </w:t>
      </w:r>
      <w:r w:rsidR="00ED5EBF">
        <w:t>[Pilsētas nosaukums]</w:t>
      </w:r>
      <w:r w:rsidR="00ED5EBF" w:rsidRPr="00305DE7">
        <w:t xml:space="preserve"> </w:t>
      </w:r>
      <w:r w:rsidR="00B831A0">
        <w:t>bāriņtiesa atļautu</w:t>
      </w:r>
      <w:r>
        <w:t xml:space="preserve"> </w:t>
      </w:r>
      <w:r w:rsidR="00ED5EBF">
        <w:t xml:space="preserve">[pers. B] </w:t>
      </w:r>
      <w:r w:rsidR="00B831A0">
        <w:t xml:space="preserve">uzturēties </w:t>
      </w:r>
      <w:r w:rsidR="00ED5EBF">
        <w:t xml:space="preserve">[pers. A] </w:t>
      </w:r>
      <w:r w:rsidR="00B831A0">
        <w:t>ģimenē ar nakšņošanu</w:t>
      </w:r>
      <w:r>
        <w:t xml:space="preserve">, sakarā ar </w:t>
      </w:r>
      <w:r w:rsidR="00ED5EBF">
        <w:t xml:space="preserve">[pers. A] </w:t>
      </w:r>
      <w:r w:rsidRPr="005A6ED4">
        <w:t>kasācijas sūdzīb</w:t>
      </w:r>
      <w:r>
        <w:t>u</w:t>
      </w:r>
      <w:r w:rsidRPr="005A6ED4">
        <w:t xml:space="preserve"> par Administratīvās apgabaltiesas </w:t>
      </w:r>
      <w:proofErr w:type="gramStart"/>
      <w:r w:rsidRPr="005A6ED4">
        <w:t>20</w:t>
      </w:r>
      <w:r>
        <w:t>2</w:t>
      </w:r>
      <w:r w:rsidR="00C13586">
        <w:t>2</w:t>
      </w:r>
      <w:r w:rsidRPr="005A6ED4">
        <w:t>.gada</w:t>
      </w:r>
      <w:proofErr w:type="gramEnd"/>
      <w:r w:rsidRPr="005A6ED4">
        <w:t xml:space="preserve"> </w:t>
      </w:r>
      <w:r w:rsidR="00ED5EBF">
        <w:t xml:space="preserve">[..] </w:t>
      </w:r>
      <w:r w:rsidRPr="005A6ED4">
        <w:t>spriedumu.</w:t>
      </w:r>
    </w:p>
    <w:p w14:paraId="423FE078" w14:textId="77777777" w:rsidR="002A2082" w:rsidRPr="005A6ED4" w:rsidRDefault="002A2082" w:rsidP="000F659C">
      <w:pPr>
        <w:spacing w:line="276" w:lineRule="auto"/>
        <w:ind w:right="-141" w:firstLine="567"/>
        <w:jc w:val="both"/>
      </w:pPr>
    </w:p>
    <w:p w14:paraId="27933EE0" w14:textId="77777777" w:rsidR="002A2082" w:rsidRPr="005A6ED4" w:rsidRDefault="002A2082" w:rsidP="000F659C">
      <w:pPr>
        <w:spacing w:line="276" w:lineRule="auto"/>
        <w:ind w:right="-141"/>
        <w:jc w:val="center"/>
        <w:rPr>
          <w:b/>
        </w:rPr>
      </w:pPr>
      <w:r w:rsidRPr="005A6ED4">
        <w:rPr>
          <w:b/>
        </w:rPr>
        <w:t>Aprakstošā daļa</w:t>
      </w:r>
    </w:p>
    <w:p w14:paraId="56DFE4B3" w14:textId="77777777" w:rsidR="002A2082" w:rsidRPr="005A6ED4" w:rsidRDefault="002A2082" w:rsidP="000F659C">
      <w:pPr>
        <w:spacing w:line="276" w:lineRule="auto"/>
        <w:ind w:right="-141" w:firstLine="567"/>
        <w:jc w:val="both"/>
      </w:pPr>
    </w:p>
    <w:p w14:paraId="1D398796" w14:textId="60B41296" w:rsidR="00C103AF" w:rsidRPr="00305DE7" w:rsidRDefault="002A2082" w:rsidP="000F659C">
      <w:pPr>
        <w:spacing w:line="276" w:lineRule="auto"/>
        <w:ind w:firstLine="567"/>
        <w:jc w:val="both"/>
      </w:pPr>
      <w:r w:rsidRPr="00305DE7">
        <w:t>[1] </w:t>
      </w:r>
      <w:r w:rsidR="00ED5EBF">
        <w:t>[Pilsētas nosaukums]</w:t>
      </w:r>
      <w:r w:rsidR="00B14FD6" w:rsidRPr="00305DE7">
        <w:t xml:space="preserve"> bāriņtiesa </w:t>
      </w:r>
      <w:proofErr w:type="gramStart"/>
      <w:r w:rsidR="00B14FD6" w:rsidRPr="00305DE7">
        <w:t>2016.gada</w:t>
      </w:r>
      <w:proofErr w:type="gramEnd"/>
      <w:r w:rsidR="00B14FD6" w:rsidRPr="00305DE7">
        <w:t xml:space="preserve"> novembrī </w:t>
      </w:r>
      <w:r w:rsidR="00ED5EBF">
        <w:t xml:space="preserve">[pers. A] </w:t>
      </w:r>
      <w:r w:rsidR="00B14FD6" w:rsidRPr="00305DE7">
        <w:t xml:space="preserve"> pārtrauca bērna </w:t>
      </w:r>
      <w:r w:rsidR="00ED5EBF">
        <w:t>[pers. B]</w:t>
      </w:r>
      <w:r w:rsidR="00B14FD6" w:rsidRPr="00305DE7">
        <w:t xml:space="preserve"> aizgādības tiesības</w:t>
      </w:r>
      <w:r w:rsidR="00C103AF" w:rsidRPr="00305DE7">
        <w:t xml:space="preserve"> un bērns </w:t>
      </w:r>
      <w:r w:rsidR="00FF67AD">
        <w:t xml:space="preserve">tika </w:t>
      </w:r>
      <w:r w:rsidR="00C103AF" w:rsidRPr="00305DE7">
        <w:t>nogādāts audžuģimenē.</w:t>
      </w:r>
    </w:p>
    <w:p w14:paraId="7BD87850" w14:textId="77777777" w:rsidR="002A2082" w:rsidRPr="00305DE7" w:rsidRDefault="002A2082" w:rsidP="000F659C">
      <w:pPr>
        <w:spacing w:line="276" w:lineRule="auto"/>
        <w:ind w:firstLine="567"/>
        <w:jc w:val="both"/>
      </w:pPr>
    </w:p>
    <w:p w14:paraId="3A8C97D0" w14:textId="4A4FF2A9" w:rsidR="002A2082" w:rsidRPr="00305DE7" w:rsidRDefault="002A2082" w:rsidP="000F659C">
      <w:pPr>
        <w:spacing w:line="276" w:lineRule="auto"/>
        <w:ind w:firstLine="567"/>
        <w:jc w:val="both"/>
      </w:pPr>
      <w:r w:rsidRPr="00305DE7">
        <w:t>[2] </w:t>
      </w:r>
      <w:r w:rsidR="00305DE7" w:rsidRPr="00305DE7">
        <w:t xml:space="preserve">Pieteicēja </w:t>
      </w:r>
      <w:r w:rsidR="00ED5EBF">
        <w:t xml:space="preserve">[pers. A] </w:t>
      </w:r>
      <w:r w:rsidR="00305DE7" w:rsidRPr="00305DE7">
        <w:t xml:space="preserve">vērsās </w:t>
      </w:r>
      <w:r w:rsidR="00ED5EBF">
        <w:t>[Pilsētas nosaukums]</w:t>
      </w:r>
      <w:r w:rsidR="00ED5EBF" w:rsidRPr="00305DE7">
        <w:t xml:space="preserve"> </w:t>
      </w:r>
      <w:r w:rsidR="00305DE7" w:rsidRPr="00305DE7">
        <w:t xml:space="preserve">bāriņtiesā un lūdza atļauju bērnam uzturēties pieteicējas ģimenē ar nakšņošanu. </w:t>
      </w:r>
      <w:r w:rsidR="00ED5EBF">
        <w:t>[Pilsētas nosaukums]</w:t>
      </w:r>
      <w:r w:rsidR="00ED5EBF" w:rsidRPr="00305DE7">
        <w:t xml:space="preserve"> </w:t>
      </w:r>
      <w:r w:rsidR="00305DE7" w:rsidRPr="00305DE7">
        <w:t xml:space="preserve">bāriņtiesa ar </w:t>
      </w:r>
      <w:proofErr w:type="gramStart"/>
      <w:r w:rsidR="00305DE7" w:rsidRPr="00305DE7">
        <w:t>2021.gada</w:t>
      </w:r>
      <w:proofErr w:type="gramEnd"/>
      <w:r w:rsidR="00305DE7" w:rsidRPr="00305DE7">
        <w:t xml:space="preserve"> </w:t>
      </w:r>
      <w:r w:rsidR="00ED5EBF">
        <w:t xml:space="preserve">[..] </w:t>
      </w:r>
      <w:r w:rsidR="00305DE7" w:rsidRPr="00305DE7">
        <w:t>lēmumu Nr. </w:t>
      </w:r>
      <w:r w:rsidR="00ED5EBF">
        <w:t>[..]</w:t>
      </w:r>
      <w:r w:rsidR="00305DE7" w:rsidRPr="00305DE7">
        <w:t xml:space="preserve"> atteica bērnam uzturēties pieteicējas ģimenē ar nakšņošanu</w:t>
      </w:r>
      <w:r w:rsidR="00BA782A">
        <w:t>,</w:t>
      </w:r>
      <w:r w:rsidR="00A46CA6">
        <w:t xml:space="preserve"> </w:t>
      </w:r>
      <w:r w:rsidR="00BA782A">
        <w:t>jo</w:t>
      </w:r>
      <w:r w:rsidR="00CD18D2">
        <w:t xml:space="preserve"> </w:t>
      </w:r>
      <w:r w:rsidR="00BA782A">
        <w:t xml:space="preserve">tas </w:t>
      </w:r>
      <w:r w:rsidR="00CD18D2">
        <w:t xml:space="preserve">nav </w:t>
      </w:r>
      <w:r w:rsidR="00535563">
        <w:t xml:space="preserve">bērna interesēs, </w:t>
      </w:r>
      <w:r w:rsidR="00BA782A">
        <w:t xml:space="preserve">tā kā </w:t>
      </w:r>
      <w:r w:rsidR="00535563">
        <w:t>var tikt apdraudēts bērna psihoemocionālais stāvoklis, veselība un drošība.</w:t>
      </w:r>
    </w:p>
    <w:p w14:paraId="3EA8DF0E" w14:textId="77777777" w:rsidR="002A2082" w:rsidRPr="00EB0136" w:rsidRDefault="002A2082" w:rsidP="000F659C">
      <w:pPr>
        <w:spacing w:line="276" w:lineRule="auto"/>
        <w:ind w:firstLine="567"/>
        <w:jc w:val="both"/>
        <w:rPr>
          <w:highlight w:val="yellow"/>
        </w:rPr>
      </w:pPr>
    </w:p>
    <w:p w14:paraId="6F81E36A" w14:textId="11614FD5" w:rsidR="002A2082" w:rsidRPr="00971EE9" w:rsidRDefault="002A2082" w:rsidP="000F659C">
      <w:pPr>
        <w:spacing w:line="276" w:lineRule="auto"/>
        <w:ind w:firstLine="567"/>
        <w:jc w:val="both"/>
      </w:pPr>
      <w:r w:rsidRPr="00971EE9">
        <w:t>[3] </w:t>
      </w:r>
      <w:r w:rsidR="00F83863" w:rsidRPr="00971EE9">
        <w:t xml:space="preserve">Pieteicēja vērsās tiesā ar pieteikumu par administratīvā akta izdošanu, ar kuru </w:t>
      </w:r>
      <w:r w:rsidR="00ED5EBF">
        <w:t>[Pilsētas nosaukums]</w:t>
      </w:r>
      <w:r w:rsidR="00ED5EBF" w:rsidRPr="00305DE7">
        <w:t xml:space="preserve"> </w:t>
      </w:r>
      <w:r w:rsidR="00F83863" w:rsidRPr="00971EE9">
        <w:t>bāriņtiesa atļautu bērnam uzturēties pieteicējas ģimenē ar nakšņošanu.</w:t>
      </w:r>
    </w:p>
    <w:p w14:paraId="64FE56B6" w14:textId="77777777" w:rsidR="002A2082" w:rsidRPr="00EB0136" w:rsidRDefault="002A2082" w:rsidP="000F659C">
      <w:pPr>
        <w:spacing w:line="276" w:lineRule="auto"/>
        <w:ind w:firstLine="567"/>
        <w:jc w:val="both"/>
        <w:rPr>
          <w:highlight w:val="yellow"/>
        </w:rPr>
      </w:pPr>
    </w:p>
    <w:p w14:paraId="0C51720A" w14:textId="3CF41473" w:rsidR="002A2082" w:rsidRPr="00175387" w:rsidRDefault="002A2082" w:rsidP="000F659C">
      <w:pPr>
        <w:spacing w:line="276" w:lineRule="auto"/>
        <w:ind w:firstLine="567"/>
        <w:jc w:val="both"/>
      </w:pPr>
      <w:r w:rsidRPr="00175387">
        <w:t>[4] </w:t>
      </w:r>
      <w:r w:rsidR="002177DB">
        <w:t xml:space="preserve">Izskatījusi lietu apelācijas kārtībā, </w:t>
      </w:r>
      <w:r w:rsidRPr="00175387">
        <w:t xml:space="preserve">Administratīvā apgabaltiesa ar </w:t>
      </w:r>
      <w:proofErr w:type="gramStart"/>
      <w:r w:rsidRPr="00175387">
        <w:t>202</w:t>
      </w:r>
      <w:r w:rsidR="0032267E" w:rsidRPr="00175387">
        <w:t>2</w:t>
      </w:r>
      <w:r w:rsidRPr="00175387">
        <w:t>.gada</w:t>
      </w:r>
      <w:proofErr w:type="gramEnd"/>
      <w:r w:rsidRPr="00175387">
        <w:t xml:space="preserve"> </w:t>
      </w:r>
      <w:r w:rsidR="00ED5EBF">
        <w:t xml:space="preserve">[..] </w:t>
      </w:r>
      <w:r w:rsidRPr="00175387">
        <w:t>spriedumu pieteikumu noraidīja. Spriedums pamatots ar turpmāk minētajiem argumentiem.</w:t>
      </w:r>
    </w:p>
    <w:p w14:paraId="466B08EA" w14:textId="380983E7" w:rsidR="0032267E" w:rsidRDefault="0032267E" w:rsidP="000F659C">
      <w:pPr>
        <w:spacing w:line="276" w:lineRule="auto"/>
        <w:ind w:firstLine="567"/>
        <w:jc w:val="both"/>
      </w:pPr>
      <w:r w:rsidRPr="00175387">
        <w:t>[4.1]</w:t>
      </w:r>
      <w:r w:rsidR="005454FD">
        <w:t> </w:t>
      </w:r>
      <w:r w:rsidR="00B63294">
        <w:t>N</w:t>
      </w:r>
      <w:r w:rsidR="00AE003D">
        <w:t xml:space="preserve">oraidāms </w:t>
      </w:r>
      <w:r w:rsidR="00186532">
        <w:t>pieteicēja</w:t>
      </w:r>
      <w:r w:rsidR="00AE003D">
        <w:t>s</w:t>
      </w:r>
      <w:r w:rsidR="00186532">
        <w:t xml:space="preserve"> lūgum</w:t>
      </w:r>
      <w:r w:rsidR="00AE003D">
        <w:t>s</w:t>
      </w:r>
      <w:r w:rsidR="00186532">
        <w:t xml:space="preserve"> </w:t>
      </w:r>
      <w:r w:rsidR="00A95687">
        <w:t>izskatīt lietu mutvārdu procesā un nopratināt tiesas sēdē pieteicējas asistenti un pieteicējas vecomāti</w:t>
      </w:r>
      <w:r w:rsidR="00CB033E">
        <w:t>, jo nav norādīts, kādus lietā nozīmīgus apstākļus liecinieki varētu apstiprināt. Liecinieku institūts nav domāts, lai liecinieki sniegtu paskaidrojumus un viedokli par lietu vai apstiprinātu lietas dalībnieku pozīciju.</w:t>
      </w:r>
    </w:p>
    <w:p w14:paraId="14CD5A2A" w14:textId="2E3895C5" w:rsidR="00386C77" w:rsidRDefault="007528C7" w:rsidP="000F659C">
      <w:pPr>
        <w:spacing w:line="276" w:lineRule="auto"/>
        <w:ind w:firstLine="567"/>
        <w:jc w:val="both"/>
      </w:pPr>
      <w:r>
        <w:t>Lietā ir b</w:t>
      </w:r>
      <w:r w:rsidR="00291824">
        <w:t>āriņtiesa</w:t>
      </w:r>
      <w:r>
        <w:t>s</w:t>
      </w:r>
      <w:r w:rsidR="00291824">
        <w:t xml:space="preserve"> noskaidro</w:t>
      </w:r>
      <w:r>
        <w:t>tais</w:t>
      </w:r>
      <w:r w:rsidR="00291824">
        <w:t xml:space="preserve"> pieteicējas asistentes viedokli</w:t>
      </w:r>
      <w:r>
        <w:t>s</w:t>
      </w:r>
      <w:r w:rsidR="00291824">
        <w:t>,</w:t>
      </w:r>
      <w:r>
        <w:t xml:space="preserve"> kā arī</w:t>
      </w:r>
      <w:r w:rsidR="00291824">
        <w:t xml:space="preserve"> asistent</w:t>
      </w:r>
      <w:r w:rsidR="004D6494">
        <w:t>es</w:t>
      </w:r>
      <w:r w:rsidR="00291824">
        <w:t xml:space="preserve"> atskaite par sadarbību ar pieteicējas ģimeni.</w:t>
      </w:r>
      <w:r w:rsidR="007E7622">
        <w:t xml:space="preserve"> Tāpēc nav pamata aicināt asistent</w:t>
      </w:r>
      <w:r w:rsidR="007C6DBD">
        <w:t>i</w:t>
      </w:r>
      <w:r w:rsidR="007E7622">
        <w:t xml:space="preserve"> uz tiesas sēdi.</w:t>
      </w:r>
    </w:p>
    <w:p w14:paraId="3EAB1DD3" w14:textId="4ACDF741" w:rsidR="00FC2F8D" w:rsidRDefault="007E7622" w:rsidP="000F659C">
      <w:pPr>
        <w:spacing w:line="276" w:lineRule="auto"/>
        <w:ind w:firstLine="567"/>
        <w:jc w:val="both"/>
      </w:pPr>
      <w:r>
        <w:t xml:space="preserve">Savukārt par </w:t>
      </w:r>
      <w:r w:rsidR="004355D8">
        <w:t>vecomāti lietā nav strīd</w:t>
      </w:r>
      <w:r w:rsidR="0047529D">
        <w:t>a</w:t>
      </w:r>
      <w:r w:rsidR="004355D8">
        <w:t xml:space="preserve">, ka viņa sniedz atbalstu pieteicējai. </w:t>
      </w:r>
      <w:r w:rsidR="0047529D">
        <w:t>T</w:t>
      </w:r>
      <w:r w:rsidR="004355D8">
        <w:t>iesas uzdevums šajā lietā nav novērtēt pieteicējas spējas saskarsmē ar bērnu, bet gan izvērtēt bāriņtiesas lēmuma tiesiskumu un pamat</w:t>
      </w:r>
      <w:r w:rsidR="0047529D">
        <w:t>u</w:t>
      </w:r>
      <w:r w:rsidR="004355D8">
        <w:t xml:space="preserve"> izdot pieteicējai labvēlīgu administratīvo aktu.</w:t>
      </w:r>
    </w:p>
    <w:p w14:paraId="2838F5D8" w14:textId="6EE386E4" w:rsidR="00DD63D8" w:rsidRDefault="005F1525" w:rsidP="000F659C">
      <w:pPr>
        <w:spacing w:line="276" w:lineRule="auto"/>
        <w:ind w:firstLine="567"/>
        <w:jc w:val="both"/>
      </w:pPr>
      <w:r>
        <w:t xml:space="preserve">Lietas materiāli ir pietiekami lietas izskatīšanai </w:t>
      </w:r>
      <w:r w:rsidR="007131A6">
        <w:t>rakstveida procesā.</w:t>
      </w:r>
    </w:p>
    <w:p w14:paraId="1BDDD3CB" w14:textId="202BAD25" w:rsidR="00954A7C" w:rsidRDefault="00E75362" w:rsidP="000F659C">
      <w:pPr>
        <w:spacing w:line="276" w:lineRule="auto"/>
        <w:ind w:firstLine="567"/>
        <w:jc w:val="both"/>
      </w:pPr>
      <w:r>
        <w:lastRenderedPageBreak/>
        <w:t>[4.</w:t>
      </w:r>
      <w:r w:rsidR="00954A7C">
        <w:t>2</w:t>
      </w:r>
      <w:r>
        <w:t>]</w:t>
      </w:r>
      <w:r w:rsidR="005454FD">
        <w:t> </w:t>
      </w:r>
      <w:r w:rsidR="006F3849">
        <w:t xml:space="preserve">Pretēji pieteicējas uzskatam lietā ir izvērtētas ģimenes intereses, ko aizsargā </w:t>
      </w:r>
      <w:r w:rsidR="00E77CEC">
        <w:t xml:space="preserve">Latvijas Republikas </w:t>
      </w:r>
      <w:r w:rsidR="006F3849">
        <w:t xml:space="preserve">Satversmes </w:t>
      </w:r>
      <w:proofErr w:type="gramStart"/>
      <w:r w:rsidR="006F3849">
        <w:t>110.pants</w:t>
      </w:r>
      <w:proofErr w:type="gramEnd"/>
      <w:r w:rsidR="006F3849">
        <w:t>.</w:t>
      </w:r>
      <w:r w:rsidR="001257A6">
        <w:t xml:space="preserve"> Ir izvērtētas arī bērna intereses</w:t>
      </w:r>
      <w:r w:rsidR="00455596">
        <w:t>, uzklausīts bērna viedoklis</w:t>
      </w:r>
      <w:r w:rsidR="001257A6">
        <w:t xml:space="preserve">. </w:t>
      </w:r>
      <w:r w:rsidR="00455596">
        <w:t>No pierādījumiem lietā izriet, ka š</w:t>
      </w:r>
      <w:r w:rsidR="001257A6">
        <w:t>obrīd atļaut bērnam palikt pie pieteicējas ar nakšņošanu</w:t>
      </w:r>
      <w:r w:rsidR="00455596">
        <w:t xml:space="preserve"> ir pāragri. </w:t>
      </w:r>
      <w:r w:rsidR="004917C6">
        <w:t>Bērna viedoklis, ņemot vērā vecumposmu (pieci gadi)</w:t>
      </w:r>
      <w:r w:rsidR="0047529D">
        <w:t>,</w:t>
      </w:r>
      <w:r w:rsidR="004917C6">
        <w:t xml:space="preserve"> ir mainīgs. </w:t>
      </w:r>
      <w:r w:rsidR="008A0FF9">
        <w:t>L</w:t>
      </w:r>
      <w:r w:rsidR="004917C6">
        <w:t xml:space="preserve">ai arī bērna viedoklis nav patstāvīgs, </w:t>
      </w:r>
      <w:r w:rsidR="00843BDE">
        <w:t xml:space="preserve">tas </w:t>
      </w:r>
      <w:r w:rsidR="004917C6">
        <w:t>pieteicējai ir jārespektē. B</w:t>
      </w:r>
      <w:r w:rsidR="00455596">
        <w:t>ērns ir norādījis, ka neiebilst satikties ar pieteicēju, taču nevēlas ciemoties pie pieteicējas, bērnam nav interesanti ar pieteicēju sarunāties.</w:t>
      </w:r>
    </w:p>
    <w:p w14:paraId="191EA1BD" w14:textId="0618B009" w:rsidR="001B0976" w:rsidRDefault="002D0091" w:rsidP="000F659C">
      <w:pPr>
        <w:spacing w:line="276" w:lineRule="auto"/>
        <w:ind w:firstLine="567"/>
        <w:jc w:val="both"/>
        <w:rPr>
          <w:szCs w:val="22"/>
          <w:lang w:eastAsia="en-US"/>
        </w:rPr>
      </w:pPr>
      <w:r>
        <w:t>[4.3]</w:t>
      </w:r>
      <w:r w:rsidR="005454FD">
        <w:t> </w:t>
      </w:r>
      <w:r>
        <w:t>Pieteicēja</w:t>
      </w:r>
      <w:r w:rsidR="009462C0">
        <w:t xml:space="preserve"> nevar pilnībā parūpēties par visiem trim bērniem, arī </w:t>
      </w:r>
      <w:r w:rsidR="009E704B">
        <w:t xml:space="preserve">vecāko bērnu </w:t>
      </w:r>
      <w:r w:rsidR="009462C0">
        <w:t>tā, lai</w:t>
      </w:r>
      <w:r w:rsidR="00432407">
        <w:t>,</w:t>
      </w:r>
      <w:r w:rsidR="009462C0">
        <w:t xml:space="preserve"> </w:t>
      </w:r>
      <w:r w:rsidR="00432407">
        <w:t xml:space="preserve">ciemojoties pie pieteicējas, </w:t>
      </w:r>
      <w:r w:rsidR="009462C0">
        <w:t>tiktu nodrošināta viņa drošība.</w:t>
      </w:r>
      <w:r w:rsidR="00432407">
        <w:t xml:space="preserve"> Tāpat pieteicēja</w:t>
      </w:r>
      <w:r w:rsidR="009E704B">
        <w:t xml:space="preserve"> pati ir atzinusi, ka viņai ar vecāko bērnu nav tik ciešas emocionālas saiknes kā ar jaunākajiem bērniem, pieteicēja ir līdzatkarīga no partneriem, draugiem, kas mēdz uzturēties viņas dzīvesvietā. </w:t>
      </w:r>
      <w:bookmarkStart w:id="1" w:name="_Hlk107825760"/>
      <w:r w:rsidR="001B0976">
        <w:t xml:space="preserve">Bērna drošībai ir augsti riski, ja tikšanās notiek bez patstāvīgas atbalsta personas, ģimenes asistenta, klātbūtnes un tās laikā netiek nodrošināti atbilstoši psihosociāli, psihoemocionāli pakalpojumi dzīvesvietā vai sabiedrībā balstīti pakalpojumi. </w:t>
      </w:r>
    </w:p>
    <w:bookmarkEnd w:id="1"/>
    <w:p w14:paraId="0D329F56" w14:textId="5390B733" w:rsidR="007E7622" w:rsidRDefault="00DD47F1" w:rsidP="000F659C">
      <w:pPr>
        <w:spacing w:line="276" w:lineRule="auto"/>
        <w:ind w:firstLine="567"/>
        <w:jc w:val="both"/>
      </w:pPr>
      <w:r>
        <w:t>[4.4]</w:t>
      </w:r>
      <w:r w:rsidR="005454FD">
        <w:t> </w:t>
      </w:r>
      <w:r>
        <w:t xml:space="preserve">Bērna emocionālā piesaiste pieteicējai vēl nav tik stabila, lai ilgākā aprūpē pie pieteicējas bērns justos drošībā. Turklāt pretēji pieteicējas norādītajam lietā nav pierādījumu, ka audžumāte liktu apzinātus šķēršļus bērna un pieteicējas saskarsmei. Tiesībsarga </w:t>
      </w:r>
      <w:proofErr w:type="gramStart"/>
      <w:r>
        <w:t>2021.gada</w:t>
      </w:r>
      <w:proofErr w:type="gramEnd"/>
      <w:r>
        <w:t xml:space="preserve"> 26.</w:t>
      </w:r>
      <w:r w:rsidR="00AF17DC">
        <w:t xml:space="preserve">janvāra </w:t>
      </w:r>
      <w:r>
        <w:t>vēstulē norādīts, ka pieteicējas un bērna saskarsme nav notikusi pietiek</w:t>
      </w:r>
      <w:r w:rsidR="0047529D">
        <w:t>am</w:t>
      </w:r>
      <w:r>
        <w:t xml:space="preserve">as audžumātes, pieteicējas </w:t>
      </w:r>
      <w:r w:rsidR="0047529D">
        <w:t>u</w:t>
      </w:r>
      <w:r>
        <w:t>n atbalsta centra attieksmes dēļ.</w:t>
      </w:r>
    </w:p>
    <w:p w14:paraId="21699E6A" w14:textId="77777777" w:rsidR="00DD47F1" w:rsidRDefault="00DD47F1" w:rsidP="000F659C">
      <w:pPr>
        <w:spacing w:line="276" w:lineRule="auto"/>
        <w:ind w:firstLine="567"/>
        <w:jc w:val="both"/>
      </w:pPr>
    </w:p>
    <w:p w14:paraId="1F4AF04C" w14:textId="3F6C5E6E" w:rsidR="002A2082" w:rsidRDefault="002A2082" w:rsidP="000F659C">
      <w:pPr>
        <w:spacing w:line="276" w:lineRule="auto"/>
        <w:ind w:firstLine="567"/>
        <w:jc w:val="both"/>
      </w:pPr>
      <w:r w:rsidRPr="00312EAE">
        <w:t>[</w:t>
      </w:r>
      <w:r>
        <w:t>5</w:t>
      </w:r>
      <w:r w:rsidRPr="00312EAE">
        <w:t>]</w:t>
      </w:r>
      <w:r>
        <w:t> </w:t>
      </w:r>
      <w:r w:rsidRPr="00312EAE">
        <w:t>Par apgabaltiesas spriedumu pieteicēj</w:t>
      </w:r>
      <w:r>
        <w:t>a</w:t>
      </w:r>
      <w:r w:rsidRPr="00312EAE">
        <w:t xml:space="preserve"> ir iesnie</w:t>
      </w:r>
      <w:r>
        <w:t>gusi</w:t>
      </w:r>
      <w:r w:rsidRPr="00312EAE">
        <w:t xml:space="preserve"> kasācijas sūdzību, kas pamatota ar turpmāk minētajiem argumentiem.</w:t>
      </w:r>
    </w:p>
    <w:p w14:paraId="3B6F8922" w14:textId="10CD489B" w:rsidR="00EE0279" w:rsidRDefault="00EE0279" w:rsidP="000F659C">
      <w:pPr>
        <w:spacing w:line="276" w:lineRule="auto"/>
        <w:ind w:firstLine="567"/>
        <w:jc w:val="both"/>
      </w:pPr>
      <w:r>
        <w:t>[5.1]</w:t>
      </w:r>
      <w:r w:rsidR="005454FD">
        <w:t> </w:t>
      </w:r>
      <w:r w:rsidR="00251E26">
        <w:t xml:space="preserve">Ne bāriņtiesas lēmumā, ne tiesas spriedumā </w:t>
      </w:r>
      <w:r w:rsidR="005C6C56">
        <w:t>nav pēc būtības pārbaudī</w:t>
      </w:r>
      <w:r w:rsidR="00F61E08">
        <w:t>ts</w:t>
      </w:r>
      <w:r w:rsidR="005C6C56">
        <w:t xml:space="preserve">, kas ir konkrētā bērna vislabākajās interesēs. Tāpēc nav ievērots Bērnu tiesību aizsardzības likuma </w:t>
      </w:r>
      <w:proofErr w:type="gramStart"/>
      <w:r w:rsidR="005C6C56">
        <w:t>6.pants</w:t>
      </w:r>
      <w:proofErr w:type="gramEnd"/>
      <w:r w:rsidR="005C6C56">
        <w:t>.</w:t>
      </w:r>
    </w:p>
    <w:p w14:paraId="24511927" w14:textId="4D102719" w:rsidR="0078609E" w:rsidRDefault="00E800AB" w:rsidP="000F659C">
      <w:pPr>
        <w:spacing w:line="276" w:lineRule="auto"/>
        <w:ind w:firstLine="567"/>
        <w:jc w:val="both"/>
      </w:pPr>
      <w:r>
        <w:t>[5.2]</w:t>
      </w:r>
      <w:r w:rsidR="005454FD">
        <w:t> </w:t>
      </w:r>
      <w:r w:rsidR="00FC7146">
        <w:t>Noraidot lietas izskatīšanu mutvārdu procesā un pieteicējas lūgto liecinieku</w:t>
      </w:r>
      <w:r w:rsidR="001442A1">
        <w:t xml:space="preserve"> uzklausīšanu</w:t>
      </w:r>
      <w:r w:rsidR="00FC7146">
        <w:t xml:space="preserve">, tiesa </w:t>
      </w:r>
      <w:r w:rsidR="000D39DD">
        <w:t>ir nostādījusi pieteicēju situācijā, kurā netiek pieļauti pieteicējai vienīgie pieejamie pierādījumi, kas ir pieteicējai par labu. Bāriņtiesas iespējas iegūt rakstveida un cita veida pierādījumus ir</w:t>
      </w:r>
      <w:r w:rsidR="001442A1">
        <w:t xml:space="preserve"> </w:t>
      </w:r>
      <w:r w:rsidR="000D39DD">
        <w:t>ierobežotas. Tiesa ir balstījusies uz bāriņtiesas iesniegtajiem pierādījumiem.</w:t>
      </w:r>
      <w:r w:rsidR="00F42EAA">
        <w:t xml:space="preserve"> Padarot procesu atkarīgu tikai no rakstveida pierādījumiem, tiesa nostāda pieteicēju acīmredzami neizdevīgākos apstākļos iepretim bāriņtiesai.</w:t>
      </w:r>
    </w:p>
    <w:p w14:paraId="3F039029" w14:textId="71719D59" w:rsidR="007E2B92" w:rsidRDefault="004E5802" w:rsidP="000F659C">
      <w:pPr>
        <w:spacing w:line="276" w:lineRule="auto"/>
        <w:ind w:firstLine="567"/>
        <w:jc w:val="both"/>
      </w:pPr>
      <w:r>
        <w:t xml:space="preserve">Mutvārdu process nepieciešams ne tikai pieteicējas aicināto liecinieku nopratināšanai, bet arī </w:t>
      </w:r>
      <w:r w:rsidR="001442A1">
        <w:t xml:space="preserve">izšķirošu </w:t>
      </w:r>
      <w:r>
        <w:t>jautājumu</w:t>
      </w:r>
      <w:r w:rsidR="00315BB1">
        <w:t xml:space="preserve"> noskaidrošanai</w:t>
      </w:r>
      <w:r>
        <w:t xml:space="preserve">. Piemēram, </w:t>
      </w:r>
      <w:r w:rsidR="001442A1">
        <w:t xml:space="preserve">faktu, </w:t>
      </w:r>
      <w:r>
        <w:t xml:space="preserve">ka audžuģimene liek šķēršļus </w:t>
      </w:r>
      <w:r w:rsidR="007A489B">
        <w:t>pieteicējas saskarsmei ar bērnu</w:t>
      </w:r>
      <w:r w:rsidR="00AB5001">
        <w:t>, nevis to sekmē</w:t>
      </w:r>
      <w:r w:rsidR="001442A1">
        <w:t>,</w:t>
      </w:r>
      <w:r w:rsidR="00A81FCD">
        <w:t xml:space="preserve"> pierādīšana rakstveidā ir gandrīz neiespējama.</w:t>
      </w:r>
    </w:p>
    <w:p w14:paraId="03FF0A9B" w14:textId="52534B77" w:rsidR="00DE0414" w:rsidRDefault="007E2B92" w:rsidP="000F659C">
      <w:pPr>
        <w:spacing w:line="276" w:lineRule="auto"/>
        <w:ind w:firstLine="567"/>
        <w:jc w:val="both"/>
      </w:pPr>
      <w:r>
        <w:t xml:space="preserve">Turklāt arī tikai mutvārdu procesā </w:t>
      </w:r>
      <w:r w:rsidR="00DE0414">
        <w:t>pieteicēja var mēģināt pierādīt, ka bāriņtiesas darbiniece, kas ir bērna sevišķā aizbildne civillietā</w:t>
      </w:r>
      <w:r w:rsidR="003A2324">
        <w:t xml:space="preserve"> par aizgādības tiesību atņemšanu pieteicējai, ir ietekmējusi bērna audžuģimenes izvēli. Tā rezultātā bāriņtiesa ir</w:t>
      </w:r>
      <w:proofErr w:type="gramStart"/>
      <w:r w:rsidR="003A2324">
        <w:t xml:space="preserve"> izvēlējusies audžumāti</w:t>
      </w:r>
      <w:proofErr w:type="gramEnd"/>
      <w:r w:rsidR="003A2324">
        <w:t xml:space="preserve">, kurai ir draudzīgas attiecības ar minēto bāriņtiesas darbinieci. </w:t>
      </w:r>
      <w:r w:rsidR="001442A1">
        <w:t>Šīs</w:t>
      </w:r>
      <w:r w:rsidR="003A2324">
        <w:t xml:space="preserve"> attiecības ir izšķirošais faktors, kāpēc </w:t>
      </w:r>
      <w:r w:rsidR="001677B3">
        <w:t>pieteicējas sūdzības bāriņtiesai par audžumātes naidīgumu un šķēršļu radīšanu pieteicējas saskarsmei ar bērnu paliek bez ievērības.</w:t>
      </w:r>
    </w:p>
    <w:p w14:paraId="58D67A04" w14:textId="7FCE278A" w:rsidR="004E5802" w:rsidRDefault="0004239D" w:rsidP="000F659C">
      <w:pPr>
        <w:spacing w:line="276" w:lineRule="auto"/>
        <w:ind w:firstLine="567"/>
        <w:jc w:val="both"/>
      </w:pPr>
      <w:r>
        <w:t xml:space="preserve">Ievērojot minēto, </w:t>
      </w:r>
      <w:r w:rsidR="002E59A8">
        <w:t>lietā ir pārkāpts pušu līdztiesības princips, k</w:t>
      </w:r>
      <w:r w:rsidR="00F376F3">
        <w:t>o</w:t>
      </w:r>
      <w:r w:rsidR="002E59A8">
        <w:t xml:space="preserve"> </w:t>
      </w:r>
      <w:r w:rsidR="00F376F3">
        <w:t xml:space="preserve">aizsargā </w:t>
      </w:r>
      <w:r w:rsidR="002E59A8">
        <w:t xml:space="preserve">Eiropas Cilvēktiesību konvencijas </w:t>
      </w:r>
      <w:proofErr w:type="gramStart"/>
      <w:r w:rsidR="002E59A8">
        <w:t>6.pants</w:t>
      </w:r>
      <w:proofErr w:type="gramEnd"/>
      <w:r w:rsidR="002E59A8">
        <w:t>.</w:t>
      </w:r>
    </w:p>
    <w:p w14:paraId="7B8099E7" w14:textId="77777777" w:rsidR="00E800AB" w:rsidRDefault="00E800AB" w:rsidP="000F659C">
      <w:pPr>
        <w:spacing w:line="276" w:lineRule="auto"/>
        <w:ind w:firstLine="567"/>
        <w:jc w:val="both"/>
      </w:pPr>
    </w:p>
    <w:p w14:paraId="16CF26FD" w14:textId="4F1BBF7D" w:rsidR="0078609E" w:rsidRPr="001C7E84" w:rsidRDefault="0078609E" w:rsidP="000F659C">
      <w:pPr>
        <w:pStyle w:val="NoSpacing"/>
        <w:spacing w:line="276" w:lineRule="auto"/>
        <w:ind w:firstLine="567"/>
        <w:rPr>
          <w:lang w:eastAsia="lv-LV"/>
        </w:rPr>
      </w:pPr>
      <w:r w:rsidRPr="001C7E84">
        <w:rPr>
          <w:lang w:eastAsia="lv-LV"/>
        </w:rPr>
        <w:lastRenderedPageBreak/>
        <w:t>[</w:t>
      </w:r>
      <w:r w:rsidR="008649E4">
        <w:rPr>
          <w:lang w:eastAsia="lv-LV"/>
        </w:rPr>
        <w:t>6</w:t>
      </w:r>
      <w:r w:rsidRPr="001C7E84">
        <w:rPr>
          <w:lang w:eastAsia="lv-LV"/>
        </w:rPr>
        <w:t>]</w:t>
      </w:r>
      <w:r w:rsidR="005454FD">
        <w:rPr>
          <w:lang w:eastAsia="lv-LV"/>
        </w:rPr>
        <w:t> </w:t>
      </w:r>
      <w:r w:rsidRPr="001C7E84">
        <w:rPr>
          <w:lang w:eastAsia="lv-LV"/>
        </w:rPr>
        <w:t>Paskaidrojumos par kasācijas sūdzīb</w:t>
      </w:r>
      <w:r w:rsidR="00ED5EBF">
        <w:rPr>
          <w:lang w:eastAsia="lv-LV"/>
        </w:rPr>
        <w:t xml:space="preserve">u bērna sevišķā aizbildne un </w:t>
      </w:r>
      <w:r w:rsidR="00ED5EBF">
        <w:t>[Pilsētas nosaukums]</w:t>
      </w:r>
      <w:r w:rsidR="00ED5EBF" w:rsidRPr="00305DE7">
        <w:t xml:space="preserve"> </w:t>
      </w:r>
      <w:r>
        <w:rPr>
          <w:lang w:eastAsia="lv-LV"/>
        </w:rPr>
        <w:t>bāriņtiesa kasācijas sūdzībai nepiekrīt</w:t>
      </w:r>
      <w:r w:rsidRPr="001C7E84">
        <w:rPr>
          <w:lang w:eastAsia="lv-LV"/>
        </w:rPr>
        <w:t>.</w:t>
      </w:r>
    </w:p>
    <w:p w14:paraId="241787A3" w14:textId="77777777" w:rsidR="0078609E" w:rsidRPr="001C7E84" w:rsidRDefault="0078609E" w:rsidP="000F659C">
      <w:pPr>
        <w:pStyle w:val="NoSpacing"/>
        <w:spacing w:line="276" w:lineRule="auto"/>
        <w:ind w:firstLine="567"/>
        <w:rPr>
          <w:lang w:eastAsia="lv-LV"/>
        </w:rPr>
      </w:pPr>
    </w:p>
    <w:p w14:paraId="35BB35E2" w14:textId="77777777" w:rsidR="0078609E" w:rsidRPr="001C7E84" w:rsidRDefault="0078609E" w:rsidP="000F659C">
      <w:pPr>
        <w:pStyle w:val="NoSpacing"/>
        <w:spacing w:line="276" w:lineRule="auto"/>
        <w:jc w:val="center"/>
        <w:rPr>
          <w:b/>
          <w:bCs/>
          <w:lang w:eastAsia="lv-LV"/>
        </w:rPr>
      </w:pPr>
      <w:r w:rsidRPr="001C7E84">
        <w:rPr>
          <w:b/>
          <w:bCs/>
          <w:lang w:eastAsia="lv-LV"/>
        </w:rPr>
        <w:t>Motīvu daļa</w:t>
      </w:r>
    </w:p>
    <w:p w14:paraId="3BB12B19" w14:textId="4F4FB512" w:rsidR="0078609E" w:rsidRDefault="0078609E" w:rsidP="000F659C">
      <w:pPr>
        <w:spacing w:line="276" w:lineRule="auto"/>
        <w:ind w:firstLine="567"/>
        <w:jc w:val="both"/>
      </w:pPr>
    </w:p>
    <w:p w14:paraId="1D115FE0" w14:textId="05E9A9E1" w:rsidR="002739BF" w:rsidRDefault="009D1323" w:rsidP="000F659C">
      <w:pPr>
        <w:pStyle w:val="tv213"/>
        <w:shd w:val="clear" w:color="auto" w:fill="FFFFFF"/>
        <w:spacing w:before="0" w:beforeAutospacing="0" w:after="0" w:afterAutospacing="0" w:line="276" w:lineRule="auto"/>
        <w:ind w:firstLine="567"/>
        <w:jc w:val="both"/>
        <w:rPr>
          <w:lang w:val="lv-LV"/>
        </w:rPr>
      </w:pPr>
      <w:r w:rsidRPr="00145203">
        <w:rPr>
          <w:rFonts w:asciiTheme="majorBidi" w:hAnsiTheme="majorBidi" w:cstheme="majorBidi"/>
          <w:lang w:val="lv-LV"/>
        </w:rPr>
        <w:t>[7]</w:t>
      </w:r>
      <w:r w:rsidR="005454FD">
        <w:rPr>
          <w:rFonts w:asciiTheme="majorBidi" w:hAnsiTheme="majorBidi" w:cstheme="majorBidi"/>
          <w:lang w:val="lv-LV"/>
        </w:rPr>
        <w:t> </w:t>
      </w:r>
      <w:r w:rsidR="000058FF">
        <w:rPr>
          <w:rFonts w:asciiTheme="majorBidi" w:hAnsiTheme="majorBidi" w:cstheme="majorBidi"/>
          <w:lang w:val="lv-LV"/>
        </w:rPr>
        <w:t>A</w:t>
      </w:r>
      <w:r w:rsidR="00E9512C" w:rsidRPr="000058FF">
        <w:rPr>
          <w:lang w:val="lv-LV"/>
        </w:rPr>
        <w:t>pgabaltiesa ir atzinusi, ka tiesas uzdevums šajā lietā nav novērtēt pieteicējas spējas saskarsmē ar bērnu, bet gan izvērtēt bāriņtiesas lēmuma tiesiskumu un pamat</w:t>
      </w:r>
      <w:r w:rsidR="00E754F3">
        <w:rPr>
          <w:lang w:val="lv-LV"/>
        </w:rPr>
        <w:t>u</w:t>
      </w:r>
      <w:r w:rsidR="00E9512C" w:rsidRPr="000058FF">
        <w:rPr>
          <w:lang w:val="lv-LV"/>
        </w:rPr>
        <w:t xml:space="preserve"> izdot pieteicējai labvēlīgu administratīvo aktu. </w:t>
      </w:r>
      <w:r w:rsidR="00ED2EF8">
        <w:rPr>
          <w:lang w:val="lv-LV"/>
        </w:rPr>
        <w:t xml:space="preserve">Tāpēc tiesa </w:t>
      </w:r>
      <w:r w:rsidR="00ED2EF8" w:rsidRPr="000058FF">
        <w:rPr>
          <w:lang w:val="lv-LV"/>
        </w:rPr>
        <w:t>noraid</w:t>
      </w:r>
      <w:r w:rsidR="00ED2EF8">
        <w:rPr>
          <w:lang w:val="lv-LV"/>
        </w:rPr>
        <w:t>īja</w:t>
      </w:r>
      <w:r w:rsidR="00ED2EF8" w:rsidRPr="000058FF">
        <w:rPr>
          <w:lang w:val="lv-LV"/>
        </w:rPr>
        <w:t xml:space="preserve"> lūgumu skatīt lietu mutvārdu procesā </w:t>
      </w:r>
      <w:r w:rsidR="00ED2EF8">
        <w:rPr>
          <w:lang w:val="lv-LV"/>
        </w:rPr>
        <w:t>un nopratināt</w:t>
      </w:r>
      <w:r w:rsidR="00ED2EF8" w:rsidRPr="000058FF">
        <w:rPr>
          <w:lang w:val="lv-LV"/>
        </w:rPr>
        <w:t xml:space="preserve"> pieteicējas lūgto</w:t>
      </w:r>
      <w:r w:rsidR="00ED2EF8">
        <w:rPr>
          <w:lang w:val="lv-LV"/>
        </w:rPr>
        <w:t>s</w:t>
      </w:r>
      <w:r w:rsidR="00ED2EF8" w:rsidRPr="000058FF">
        <w:rPr>
          <w:lang w:val="lv-LV"/>
        </w:rPr>
        <w:t xml:space="preserve"> liecinieku</w:t>
      </w:r>
      <w:r w:rsidR="00ED2EF8">
        <w:rPr>
          <w:lang w:val="lv-LV"/>
        </w:rPr>
        <w:t>s</w:t>
      </w:r>
      <w:r w:rsidR="00155430">
        <w:rPr>
          <w:lang w:val="lv-LV"/>
        </w:rPr>
        <w:t>.</w:t>
      </w:r>
    </w:p>
    <w:p w14:paraId="59C0BDA5" w14:textId="35B12B54" w:rsidR="00F764CA" w:rsidRDefault="009D67F5" w:rsidP="000F659C">
      <w:pPr>
        <w:pStyle w:val="CommentText"/>
        <w:spacing w:line="276" w:lineRule="auto"/>
        <w:ind w:firstLine="567"/>
        <w:jc w:val="both"/>
        <w:rPr>
          <w:sz w:val="24"/>
          <w:szCs w:val="24"/>
        </w:rPr>
      </w:pPr>
      <w:r>
        <w:rPr>
          <w:sz w:val="24"/>
          <w:szCs w:val="24"/>
        </w:rPr>
        <w:t xml:space="preserve">Ievērojot Administratīvā procesa likuma </w:t>
      </w:r>
      <w:proofErr w:type="gramStart"/>
      <w:r>
        <w:rPr>
          <w:sz w:val="24"/>
          <w:szCs w:val="24"/>
        </w:rPr>
        <w:t>103.pantā</w:t>
      </w:r>
      <w:proofErr w:type="gramEnd"/>
      <w:r>
        <w:rPr>
          <w:sz w:val="24"/>
          <w:szCs w:val="24"/>
        </w:rPr>
        <w:t xml:space="preserve"> noteikto tiesas kontroles saturu, t</w:t>
      </w:r>
      <w:r w:rsidR="00E334C4">
        <w:rPr>
          <w:sz w:val="24"/>
          <w:szCs w:val="24"/>
        </w:rPr>
        <w:t xml:space="preserve">iesa ir pamatoti norādījusi, ka </w:t>
      </w:r>
      <w:r>
        <w:rPr>
          <w:sz w:val="24"/>
          <w:szCs w:val="24"/>
        </w:rPr>
        <w:t>tai jāvērtē, vai iestādes secinājumi ir tiesiski un pamatoti</w:t>
      </w:r>
      <w:r w:rsidR="003A02FE">
        <w:rPr>
          <w:sz w:val="24"/>
          <w:szCs w:val="24"/>
        </w:rPr>
        <w:t xml:space="preserve"> un vai pamats izdot pieteicējai labvēlīgu administratīvo aktu</w:t>
      </w:r>
      <w:r>
        <w:rPr>
          <w:sz w:val="24"/>
          <w:szCs w:val="24"/>
        </w:rPr>
        <w:t>.</w:t>
      </w:r>
    </w:p>
    <w:p w14:paraId="00F62C4A" w14:textId="2FCAE07E" w:rsidR="00E9512C" w:rsidRPr="00E9512C" w:rsidRDefault="009D67F5" w:rsidP="000F659C">
      <w:pPr>
        <w:pStyle w:val="CommentText"/>
        <w:spacing w:line="276" w:lineRule="auto"/>
        <w:ind w:firstLine="567"/>
        <w:jc w:val="both"/>
        <w:rPr>
          <w:sz w:val="24"/>
          <w:szCs w:val="24"/>
        </w:rPr>
      </w:pPr>
      <w:r>
        <w:rPr>
          <w:sz w:val="24"/>
          <w:szCs w:val="24"/>
        </w:rPr>
        <w:t>Ta</w:t>
      </w:r>
      <w:r w:rsidR="00CB34BF">
        <w:rPr>
          <w:sz w:val="24"/>
          <w:szCs w:val="24"/>
        </w:rPr>
        <w:t>jā</w:t>
      </w:r>
      <w:r>
        <w:rPr>
          <w:sz w:val="24"/>
          <w:szCs w:val="24"/>
        </w:rPr>
        <w:t xml:space="preserve"> pa</w:t>
      </w:r>
      <w:r w:rsidR="00CB34BF">
        <w:rPr>
          <w:sz w:val="24"/>
          <w:szCs w:val="24"/>
        </w:rPr>
        <w:t>šā</w:t>
      </w:r>
      <w:r>
        <w:rPr>
          <w:sz w:val="24"/>
          <w:szCs w:val="24"/>
        </w:rPr>
        <w:t xml:space="preserve"> laikā konkrētajā gadījumā</w:t>
      </w:r>
      <w:r w:rsidR="00E9512C" w:rsidRPr="00E9512C">
        <w:rPr>
          <w:sz w:val="24"/>
          <w:szCs w:val="24"/>
        </w:rPr>
        <w:t xml:space="preserve"> bāriņtiesa, lemjot par atļauju bērnam nakšņot pie mātes, ir vērtējusi mātes spējas saskarsmē ar bērnu</w:t>
      </w:r>
      <w:r>
        <w:rPr>
          <w:sz w:val="24"/>
          <w:szCs w:val="24"/>
        </w:rPr>
        <w:t>.</w:t>
      </w:r>
      <w:r w:rsidR="00E9512C" w:rsidRPr="00E9512C">
        <w:rPr>
          <w:sz w:val="24"/>
          <w:szCs w:val="24"/>
        </w:rPr>
        <w:t xml:space="preserve"> </w:t>
      </w:r>
      <w:r>
        <w:rPr>
          <w:sz w:val="24"/>
          <w:szCs w:val="24"/>
        </w:rPr>
        <w:t xml:space="preserve">Tas nozīmē, ka </w:t>
      </w:r>
      <w:r w:rsidR="00E9512C" w:rsidRPr="00E9512C">
        <w:rPr>
          <w:sz w:val="24"/>
          <w:szCs w:val="24"/>
        </w:rPr>
        <w:t>arī tiesa</w:t>
      </w:r>
      <w:r w:rsidR="008F42E9">
        <w:rPr>
          <w:sz w:val="24"/>
          <w:szCs w:val="24"/>
        </w:rPr>
        <w:t xml:space="preserve">i ir jānoskaidro </w:t>
      </w:r>
      <w:r w:rsidR="00E9512C" w:rsidRPr="00E9512C">
        <w:rPr>
          <w:sz w:val="24"/>
          <w:szCs w:val="24"/>
        </w:rPr>
        <w:t xml:space="preserve">tieši </w:t>
      </w:r>
      <w:r w:rsidR="008F42E9">
        <w:rPr>
          <w:sz w:val="24"/>
          <w:szCs w:val="24"/>
        </w:rPr>
        <w:t>tas,</w:t>
      </w:r>
      <w:r w:rsidR="00BA3775">
        <w:rPr>
          <w:sz w:val="24"/>
          <w:szCs w:val="24"/>
        </w:rPr>
        <w:t xml:space="preserve"> </w:t>
      </w:r>
      <w:r w:rsidR="00C13620">
        <w:rPr>
          <w:sz w:val="24"/>
          <w:szCs w:val="24"/>
        </w:rPr>
        <w:t xml:space="preserve">kādas ir </w:t>
      </w:r>
      <w:r w:rsidR="009753BF" w:rsidRPr="00E9512C">
        <w:rPr>
          <w:sz w:val="24"/>
          <w:szCs w:val="24"/>
        </w:rPr>
        <w:t>pieteicējas spēj</w:t>
      </w:r>
      <w:r w:rsidR="00C13620">
        <w:rPr>
          <w:sz w:val="24"/>
          <w:szCs w:val="24"/>
        </w:rPr>
        <w:t>as</w:t>
      </w:r>
      <w:r w:rsidR="009753BF" w:rsidRPr="00E9512C">
        <w:rPr>
          <w:sz w:val="24"/>
          <w:szCs w:val="24"/>
        </w:rPr>
        <w:t xml:space="preserve"> saskarsmē ar bērnu</w:t>
      </w:r>
      <w:r w:rsidR="00C13620">
        <w:rPr>
          <w:sz w:val="24"/>
          <w:szCs w:val="24"/>
        </w:rPr>
        <w:t>, vai bērns pie pieteicējas netiek apdraudēts</w:t>
      </w:r>
      <w:r w:rsidR="009753BF" w:rsidRPr="00E9512C">
        <w:rPr>
          <w:sz w:val="24"/>
          <w:szCs w:val="24"/>
        </w:rPr>
        <w:t>.</w:t>
      </w:r>
      <w:r w:rsidR="00E9512C" w:rsidRPr="00E9512C">
        <w:rPr>
          <w:sz w:val="24"/>
          <w:szCs w:val="24"/>
        </w:rPr>
        <w:t xml:space="preserve"> </w:t>
      </w:r>
      <w:r w:rsidR="009753BF">
        <w:rPr>
          <w:sz w:val="24"/>
          <w:szCs w:val="24"/>
        </w:rPr>
        <w:t>Līdz ar to, l</w:t>
      </w:r>
      <w:r w:rsidR="00E9512C" w:rsidRPr="00E9512C">
        <w:rPr>
          <w:sz w:val="24"/>
          <w:szCs w:val="24"/>
        </w:rPr>
        <w:t>emjot prasījumu par labvēlīga administratīvā akta izdošanu, tiesai jāvērtē bērna uzturēšanās apstākļi mātes ģimenē un mātes saskarsme ar bērnu.</w:t>
      </w:r>
      <w:r w:rsidR="00BA3775">
        <w:rPr>
          <w:sz w:val="24"/>
          <w:szCs w:val="24"/>
        </w:rPr>
        <w:t xml:space="preserve"> </w:t>
      </w:r>
    </w:p>
    <w:p w14:paraId="72E80E84" w14:textId="77777777" w:rsidR="00E334C4" w:rsidRDefault="00E334C4" w:rsidP="000F659C">
      <w:pPr>
        <w:pStyle w:val="CommentText"/>
        <w:spacing w:line="276" w:lineRule="auto"/>
        <w:ind w:firstLine="567"/>
        <w:jc w:val="both"/>
        <w:rPr>
          <w:sz w:val="24"/>
          <w:szCs w:val="24"/>
        </w:rPr>
      </w:pPr>
    </w:p>
    <w:p w14:paraId="525ECCDA" w14:textId="7AC5EEFA" w:rsidR="00074E42" w:rsidRDefault="009D20ED" w:rsidP="000F659C">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sidRPr="00046CC0">
        <w:rPr>
          <w:lang w:val="lv-LV"/>
        </w:rPr>
        <w:t>[8]</w:t>
      </w:r>
      <w:r w:rsidR="005454FD">
        <w:rPr>
          <w:lang w:val="lv-LV"/>
        </w:rPr>
        <w:t> </w:t>
      </w:r>
      <w:r w:rsidR="00046CC0" w:rsidRPr="00145203">
        <w:rPr>
          <w:rFonts w:asciiTheme="majorBidi" w:hAnsiTheme="majorBidi" w:cstheme="majorBidi"/>
          <w:lang w:val="lv-LV"/>
        </w:rPr>
        <w:t xml:space="preserve">Saskaņā ar Bērnu tiesību aizsardzības likuma </w:t>
      </w:r>
      <w:proofErr w:type="gramStart"/>
      <w:r w:rsidR="00046CC0" w:rsidRPr="00145203">
        <w:rPr>
          <w:rFonts w:asciiTheme="majorBidi" w:hAnsiTheme="majorBidi" w:cstheme="majorBidi"/>
          <w:lang w:val="lv-LV"/>
        </w:rPr>
        <w:t>6.panta</w:t>
      </w:r>
      <w:proofErr w:type="gramEnd"/>
      <w:r w:rsidR="00046CC0" w:rsidRPr="00145203">
        <w:rPr>
          <w:rFonts w:asciiTheme="majorBidi" w:hAnsiTheme="majorBidi" w:cstheme="majorBidi"/>
          <w:lang w:val="lv-LV"/>
        </w:rPr>
        <w:t xml:space="preserve"> 2.</w:t>
      </w:r>
      <w:r w:rsidR="00046CC0" w:rsidRPr="00145203">
        <w:rPr>
          <w:rFonts w:asciiTheme="majorBidi" w:hAnsiTheme="majorBidi" w:cstheme="majorBidi"/>
          <w:vertAlign w:val="superscript"/>
          <w:lang w:val="lv-LV"/>
        </w:rPr>
        <w:t>1</w:t>
      </w:r>
      <w:r w:rsidR="00046CC0" w:rsidRPr="00145203">
        <w:rPr>
          <w:rFonts w:asciiTheme="majorBidi" w:hAnsiTheme="majorBidi" w:cstheme="majorBidi"/>
          <w:lang w:val="lv-LV"/>
        </w:rPr>
        <w:t xml:space="preserve">daļas 1.punktu, nosakot bērna labākās intereses, </w:t>
      </w:r>
      <w:r w:rsidR="008F42E9">
        <w:rPr>
          <w:rFonts w:asciiTheme="majorBidi" w:hAnsiTheme="majorBidi" w:cstheme="majorBidi"/>
          <w:lang w:val="lv-LV"/>
        </w:rPr>
        <w:t>jā</w:t>
      </w:r>
      <w:r w:rsidR="00046CC0" w:rsidRPr="00145203">
        <w:rPr>
          <w:rFonts w:asciiTheme="majorBidi" w:hAnsiTheme="majorBidi" w:cstheme="majorBidi"/>
          <w:lang w:val="lv-LV"/>
        </w:rPr>
        <w:t>tie</w:t>
      </w:r>
      <w:r w:rsidR="008F42E9">
        <w:rPr>
          <w:rFonts w:asciiTheme="majorBidi" w:hAnsiTheme="majorBidi" w:cstheme="majorBidi"/>
          <w:lang w:val="lv-LV"/>
        </w:rPr>
        <w:t>cas</w:t>
      </w:r>
      <w:r w:rsidR="00046CC0" w:rsidRPr="00145203">
        <w:rPr>
          <w:rFonts w:asciiTheme="majorBidi" w:hAnsiTheme="majorBidi" w:cstheme="majorBidi"/>
          <w:lang w:val="lv-LV"/>
        </w:rPr>
        <w:t xml:space="preserve"> uz bērna situācijas ilgtspējīgu risinājumu, atbilstoši situācijai ņemot vērā, cik lielā mērā veicamie pasākumi nodrošina bērnam emocionāli tuvas, pastāvīgas, ģimeniskas attiecības. </w:t>
      </w:r>
      <w:r w:rsidR="008F42E9">
        <w:rPr>
          <w:rFonts w:asciiTheme="majorBidi" w:hAnsiTheme="majorBidi" w:cstheme="majorBidi"/>
          <w:lang w:val="lv-LV"/>
        </w:rPr>
        <w:t>N</w:t>
      </w:r>
      <w:r w:rsidR="00046CC0" w:rsidRPr="00145203">
        <w:rPr>
          <w:rFonts w:asciiTheme="majorBidi" w:hAnsiTheme="majorBidi" w:cstheme="majorBidi"/>
          <w:lang w:val="lv-LV"/>
        </w:rPr>
        <w:t xml:space="preserve">osakot bērna labākās intereses, jāņem vērā, </w:t>
      </w:r>
      <w:r w:rsidR="00046CC0" w:rsidRPr="00145203">
        <w:rPr>
          <w:rFonts w:asciiTheme="majorBidi" w:hAnsiTheme="majorBidi" w:cstheme="majorBidi"/>
          <w:shd w:val="clear" w:color="auto" w:fill="FFFFFF"/>
          <w:lang w:val="lv-LV"/>
        </w:rPr>
        <w:t>cik lielā mērā veicamie pasākumi nodrošina drošu vidi, kurā bērnam augt un attīstīties, aizsardzību no vardarbības, apdraudējuma (</w:t>
      </w:r>
      <w:proofErr w:type="gramStart"/>
      <w:r w:rsidR="00046CC0" w:rsidRPr="00145203">
        <w:rPr>
          <w:rFonts w:asciiTheme="majorBidi" w:hAnsiTheme="majorBidi" w:cstheme="majorBidi"/>
          <w:lang w:val="lv-LV"/>
        </w:rPr>
        <w:t>6.panta</w:t>
      </w:r>
      <w:proofErr w:type="gramEnd"/>
      <w:r w:rsidR="00046CC0" w:rsidRPr="00145203">
        <w:rPr>
          <w:rFonts w:asciiTheme="majorBidi" w:hAnsiTheme="majorBidi" w:cstheme="majorBidi"/>
          <w:lang w:val="lv-LV"/>
        </w:rPr>
        <w:t xml:space="preserve"> 2.</w:t>
      </w:r>
      <w:r w:rsidR="00046CC0" w:rsidRPr="00145203">
        <w:rPr>
          <w:rFonts w:asciiTheme="majorBidi" w:hAnsiTheme="majorBidi" w:cstheme="majorBidi"/>
          <w:vertAlign w:val="superscript"/>
          <w:lang w:val="lv-LV"/>
        </w:rPr>
        <w:t>1</w:t>
      </w:r>
      <w:r w:rsidR="00046CC0" w:rsidRPr="00145203">
        <w:rPr>
          <w:rFonts w:asciiTheme="majorBidi" w:hAnsiTheme="majorBidi" w:cstheme="majorBidi"/>
          <w:lang w:val="lv-LV"/>
        </w:rPr>
        <w:t>daļas 10.punkts).</w:t>
      </w:r>
    </w:p>
    <w:p w14:paraId="34BA67F5" w14:textId="5801E527" w:rsidR="00046CC0" w:rsidRPr="00145203" w:rsidRDefault="006969C6" w:rsidP="000F659C">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Pr>
          <w:rFonts w:asciiTheme="majorBidi" w:hAnsiTheme="majorBidi" w:cstheme="majorBidi"/>
          <w:lang w:val="lv-LV"/>
        </w:rPr>
        <w:t xml:space="preserve">Līdz ar to, lemjot par to, vai bērnam ir atļaujams noteiktā laikā nakšņot pie pieteicējas, ir jāatrod līdzsvars </w:t>
      </w:r>
      <w:r w:rsidR="0015308F">
        <w:rPr>
          <w:rFonts w:asciiTheme="majorBidi" w:hAnsiTheme="majorBidi" w:cstheme="majorBidi"/>
          <w:lang w:val="lv-LV"/>
        </w:rPr>
        <w:t xml:space="preserve">starp </w:t>
      </w:r>
      <w:r>
        <w:rPr>
          <w:rFonts w:asciiTheme="majorBidi" w:hAnsiTheme="majorBidi" w:cstheme="majorBidi"/>
          <w:lang w:val="lv-LV"/>
        </w:rPr>
        <w:t>bērna un pieteicējas ģimenes saišu uzturēšan</w:t>
      </w:r>
      <w:r w:rsidR="0015308F">
        <w:rPr>
          <w:rFonts w:asciiTheme="majorBidi" w:hAnsiTheme="majorBidi" w:cstheme="majorBidi"/>
          <w:lang w:val="lv-LV"/>
        </w:rPr>
        <w:t>u</w:t>
      </w:r>
      <w:r>
        <w:rPr>
          <w:rFonts w:asciiTheme="majorBidi" w:hAnsiTheme="majorBidi" w:cstheme="majorBidi"/>
          <w:lang w:val="lv-LV"/>
        </w:rPr>
        <w:t xml:space="preserve"> un bērna drošības aizsardzīb</w:t>
      </w:r>
      <w:r w:rsidR="0015308F">
        <w:rPr>
          <w:rFonts w:asciiTheme="majorBidi" w:hAnsiTheme="majorBidi" w:cstheme="majorBidi"/>
          <w:lang w:val="lv-LV"/>
        </w:rPr>
        <w:t>u</w:t>
      </w:r>
      <w:r>
        <w:rPr>
          <w:rFonts w:asciiTheme="majorBidi" w:hAnsiTheme="majorBidi" w:cstheme="majorBidi"/>
          <w:lang w:val="lv-LV"/>
        </w:rPr>
        <w:t>. Šim izsvērumam jābūt vērstam uz bērna situācijas ilgtspējīgu risinājumu.</w:t>
      </w:r>
    </w:p>
    <w:p w14:paraId="6E32F745" w14:textId="44649A2C" w:rsidR="00046CC0" w:rsidRDefault="00F764CA" w:rsidP="000F659C">
      <w:pPr>
        <w:pStyle w:val="CommentText"/>
        <w:spacing w:line="276" w:lineRule="auto"/>
        <w:ind w:firstLine="567"/>
        <w:jc w:val="both"/>
        <w:rPr>
          <w:rFonts w:asciiTheme="majorBidi" w:hAnsiTheme="majorBidi" w:cstheme="majorBidi"/>
          <w:sz w:val="24"/>
          <w:szCs w:val="24"/>
        </w:rPr>
      </w:pPr>
      <w:r>
        <w:rPr>
          <w:rFonts w:asciiTheme="majorBidi" w:hAnsiTheme="majorBidi" w:cstheme="majorBidi"/>
          <w:sz w:val="24"/>
          <w:szCs w:val="24"/>
        </w:rPr>
        <w:t>Tāpēc a</w:t>
      </w:r>
      <w:r w:rsidR="00046CC0">
        <w:rPr>
          <w:rFonts w:asciiTheme="majorBidi" w:hAnsiTheme="majorBidi" w:cstheme="majorBidi"/>
          <w:sz w:val="24"/>
          <w:szCs w:val="24"/>
        </w:rPr>
        <w:t>pgabaltiesa ir pamatoti norādījusi, ka bērna interesēs ir gan uzturēt saikni ar savu ģimeni, gan vienlaikus tikt pasargātam no tādas rīcības, kas kaitē bērna interesēm.</w:t>
      </w:r>
      <w:r w:rsidR="00074E42">
        <w:rPr>
          <w:rFonts w:asciiTheme="majorBidi" w:hAnsiTheme="majorBidi" w:cstheme="majorBidi"/>
          <w:sz w:val="24"/>
          <w:szCs w:val="24"/>
        </w:rPr>
        <w:t xml:space="preserve"> Tiesa no pierādījumiem lietā uzskatīja, ka bērna nakšņošana pie pieteicējas ir pāragra, jo pieteicēja nevar nodrošināt bērnam drošu vidi. Līdz ar to tiesa, izvērtējot bērna intereses uzturēt saikni ar pieteicēju un bērna drošības aizsardzību, no pierādījumiem lietā ir uzskatījusi, ka </w:t>
      </w:r>
      <w:r w:rsidR="00A074A4">
        <w:rPr>
          <w:rFonts w:asciiTheme="majorBidi" w:hAnsiTheme="majorBidi" w:cstheme="majorBidi"/>
          <w:sz w:val="24"/>
          <w:szCs w:val="24"/>
        </w:rPr>
        <w:t xml:space="preserve">bērna drošība netiek pilnībā nodrošināta, </w:t>
      </w:r>
      <w:r w:rsidR="0090465A">
        <w:rPr>
          <w:rFonts w:asciiTheme="majorBidi" w:hAnsiTheme="majorBidi" w:cstheme="majorBidi"/>
          <w:sz w:val="24"/>
          <w:szCs w:val="24"/>
        </w:rPr>
        <w:t>tāpēc arī var ierobežot bērna saskarsmi ar pieteicēju.</w:t>
      </w:r>
      <w:r w:rsidR="00074E42">
        <w:rPr>
          <w:rFonts w:asciiTheme="majorBidi" w:hAnsiTheme="majorBidi" w:cstheme="majorBidi"/>
          <w:sz w:val="24"/>
          <w:szCs w:val="24"/>
        </w:rPr>
        <w:t xml:space="preserve"> </w:t>
      </w:r>
    </w:p>
    <w:p w14:paraId="09808CBA" w14:textId="21CE6DF9" w:rsidR="00046CC0" w:rsidRDefault="0090465A" w:rsidP="000F659C">
      <w:pPr>
        <w:pStyle w:val="CommentText"/>
        <w:spacing w:line="276" w:lineRule="auto"/>
        <w:ind w:firstLine="567"/>
        <w:jc w:val="both"/>
        <w:rPr>
          <w:rFonts w:asciiTheme="majorBidi" w:hAnsiTheme="majorBidi" w:cstheme="majorBidi"/>
          <w:sz w:val="24"/>
          <w:szCs w:val="24"/>
        </w:rPr>
      </w:pPr>
      <w:r>
        <w:rPr>
          <w:rFonts w:asciiTheme="majorBidi" w:hAnsiTheme="majorBidi" w:cstheme="majorBidi"/>
          <w:sz w:val="24"/>
          <w:szCs w:val="24"/>
        </w:rPr>
        <w:t xml:space="preserve">Senāts uzskata, ka, apgabaltiesa, izdarot secinājumu par bērna interešu apdraudējumu, nav izvērtējusi visus apstākļus lietā, kā arī </w:t>
      </w:r>
      <w:r w:rsidR="00902545">
        <w:rPr>
          <w:rFonts w:asciiTheme="majorBidi" w:hAnsiTheme="majorBidi" w:cstheme="majorBidi"/>
          <w:sz w:val="24"/>
          <w:szCs w:val="24"/>
        </w:rPr>
        <w:t xml:space="preserve">lietā nav meklēts konkrētā </w:t>
      </w:r>
      <w:r w:rsidR="00902545" w:rsidRPr="00145203">
        <w:rPr>
          <w:rFonts w:asciiTheme="majorBidi" w:hAnsiTheme="majorBidi" w:cstheme="majorBidi"/>
          <w:sz w:val="24"/>
          <w:szCs w:val="24"/>
        </w:rPr>
        <w:t>bērna situācijas ilgtspējīg</w:t>
      </w:r>
      <w:r w:rsidR="00902545">
        <w:rPr>
          <w:rFonts w:asciiTheme="majorBidi" w:hAnsiTheme="majorBidi" w:cstheme="majorBidi"/>
          <w:sz w:val="24"/>
          <w:szCs w:val="24"/>
        </w:rPr>
        <w:t>s</w:t>
      </w:r>
      <w:r w:rsidR="00902545" w:rsidRPr="00145203">
        <w:rPr>
          <w:rFonts w:asciiTheme="majorBidi" w:hAnsiTheme="majorBidi" w:cstheme="majorBidi"/>
          <w:sz w:val="24"/>
          <w:szCs w:val="24"/>
        </w:rPr>
        <w:t xml:space="preserve"> risinājum</w:t>
      </w:r>
      <w:r w:rsidR="00902545">
        <w:rPr>
          <w:rFonts w:asciiTheme="majorBidi" w:hAnsiTheme="majorBidi" w:cstheme="majorBidi"/>
          <w:sz w:val="24"/>
          <w:szCs w:val="24"/>
        </w:rPr>
        <w:t>s saskarsmē ar bērna māti.</w:t>
      </w:r>
    </w:p>
    <w:p w14:paraId="5D80EF22" w14:textId="77777777" w:rsidR="00097F71" w:rsidRDefault="00097F71" w:rsidP="000F659C">
      <w:pPr>
        <w:pStyle w:val="CommentText"/>
        <w:spacing w:line="276" w:lineRule="auto"/>
        <w:ind w:firstLine="567"/>
        <w:jc w:val="both"/>
        <w:rPr>
          <w:sz w:val="24"/>
          <w:szCs w:val="24"/>
        </w:rPr>
      </w:pPr>
    </w:p>
    <w:p w14:paraId="013E0B80" w14:textId="243E70CF" w:rsidR="005C7AF0" w:rsidRDefault="00046CC0" w:rsidP="000F659C">
      <w:pPr>
        <w:pStyle w:val="CommentText"/>
        <w:spacing w:line="276" w:lineRule="auto"/>
        <w:ind w:firstLine="567"/>
        <w:jc w:val="both"/>
        <w:rPr>
          <w:sz w:val="24"/>
          <w:szCs w:val="24"/>
        </w:rPr>
      </w:pPr>
      <w:r>
        <w:rPr>
          <w:sz w:val="24"/>
          <w:szCs w:val="24"/>
        </w:rPr>
        <w:t>[9]</w:t>
      </w:r>
      <w:r w:rsidR="005454FD">
        <w:rPr>
          <w:sz w:val="24"/>
          <w:szCs w:val="24"/>
        </w:rPr>
        <w:t> </w:t>
      </w:r>
      <w:r w:rsidR="005C7AF0">
        <w:rPr>
          <w:sz w:val="24"/>
          <w:szCs w:val="24"/>
        </w:rPr>
        <w:t>Izvērtējot lietas apstākļus, apgabaltiesa noraidīja pieteicējas lūgumu skatīt lietu mutvārdu procesā ar liecinieku nopratināšanu. Kasācijas sūdzībā norādīts, ka</w:t>
      </w:r>
      <w:r w:rsidR="0036365B">
        <w:rPr>
          <w:sz w:val="24"/>
          <w:szCs w:val="24"/>
        </w:rPr>
        <w:t xml:space="preserve">, formāli noraidot pieteicējas lūgumu uzklausīt lieciniekus, tiesa ir nostādījusi pieteicēju situācijā, kurā netiek pieļauti pieteicējai vienīgie pieejamie pierādījumi. Senāts </w:t>
      </w:r>
      <w:r w:rsidR="00FB2243">
        <w:rPr>
          <w:sz w:val="24"/>
          <w:szCs w:val="24"/>
        </w:rPr>
        <w:t xml:space="preserve">uzskata, ka </w:t>
      </w:r>
      <w:r w:rsidR="00BB3DED">
        <w:rPr>
          <w:sz w:val="24"/>
          <w:szCs w:val="24"/>
        </w:rPr>
        <w:t>pieteicējas iebildumi ir pamatoti.</w:t>
      </w:r>
    </w:p>
    <w:p w14:paraId="3C40D3CE" w14:textId="77777777" w:rsidR="00E72E6E" w:rsidRDefault="009D20ED" w:rsidP="000F659C">
      <w:pPr>
        <w:pStyle w:val="CommentText"/>
        <w:spacing w:line="276" w:lineRule="auto"/>
        <w:ind w:firstLine="567"/>
        <w:jc w:val="both"/>
        <w:rPr>
          <w:sz w:val="24"/>
          <w:szCs w:val="24"/>
          <w:shd w:val="clear" w:color="auto" w:fill="FFFFFF"/>
        </w:rPr>
      </w:pPr>
      <w:r>
        <w:rPr>
          <w:sz w:val="24"/>
          <w:szCs w:val="24"/>
        </w:rPr>
        <w:lastRenderedPageBreak/>
        <w:t xml:space="preserve">Atbilstoši Administratīvā procesa likuma </w:t>
      </w:r>
      <w:proofErr w:type="gramStart"/>
      <w:r w:rsidR="007F0316">
        <w:rPr>
          <w:sz w:val="24"/>
          <w:szCs w:val="24"/>
        </w:rPr>
        <w:t>162.panta</w:t>
      </w:r>
      <w:proofErr w:type="gramEnd"/>
      <w:r w:rsidR="007F0316">
        <w:rPr>
          <w:sz w:val="24"/>
          <w:szCs w:val="24"/>
        </w:rPr>
        <w:t xml:space="preserve"> pirmajai </w:t>
      </w:r>
      <w:r w:rsidR="007F0316" w:rsidRPr="007F0316">
        <w:rPr>
          <w:sz w:val="24"/>
          <w:szCs w:val="24"/>
        </w:rPr>
        <w:t>daļai l</w:t>
      </w:r>
      <w:r w:rsidR="007F0316" w:rsidRPr="007F0316">
        <w:rPr>
          <w:sz w:val="24"/>
          <w:szCs w:val="24"/>
          <w:shd w:val="clear" w:color="auto" w:fill="FFFFFF"/>
        </w:rPr>
        <w:t>iecinieks ir persona, kuru tiesa izsaukusi uz tiesas sēdi, lai tā liecinātu par faktiem, kas attiecas uz lietu.</w:t>
      </w:r>
    </w:p>
    <w:p w14:paraId="7E42B8C6" w14:textId="77777777" w:rsidR="001843CD" w:rsidRDefault="00FC0239" w:rsidP="000F659C">
      <w:pPr>
        <w:pStyle w:val="CommentText"/>
        <w:spacing w:line="276" w:lineRule="auto"/>
        <w:ind w:firstLine="567"/>
        <w:jc w:val="both"/>
        <w:rPr>
          <w:sz w:val="24"/>
          <w:szCs w:val="24"/>
        </w:rPr>
      </w:pPr>
      <w:r>
        <w:rPr>
          <w:sz w:val="24"/>
          <w:szCs w:val="24"/>
        </w:rPr>
        <w:t>Tiesa ir norādījusi, ka pieteicējas norādītās personas (</w:t>
      </w:r>
      <w:r w:rsidR="00E72E6E">
        <w:rPr>
          <w:sz w:val="24"/>
          <w:szCs w:val="24"/>
        </w:rPr>
        <w:t xml:space="preserve">pieteicējas </w:t>
      </w:r>
      <w:r>
        <w:rPr>
          <w:sz w:val="24"/>
          <w:szCs w:val="24"/>
        </w:rPr>
        <w:t>asistente un vecāmāte) ir personas, kas var izteikt viedokli par lietu, bet ne liecināt par faktiem. Senāts minētajam atzinumam nepiekrīt.</w:t>
      </w:r>
    </w:p>
    <w:p w14:paraId="45038FC3" w14:textId="005AFAB4" w:rsidR="000B228F" w:rsidRDefault="00FC0239" w:rsidP="000F659C">
      <w:pPr>
        <w:pStyle w:val="CommentText"/>
        <w:spacing w:line="276" w:lineRule="auto"/>
        <w:ind w:firstLine="567"/>
        <w:jc w:val="both"/>
        <w:rPr>
          <w:sz w:val="24"/>
          <w:szCs w:val="24"/>
        </w:rPr>
      </w:pPr>
      <w:r>
        <w:rPr>
          <w:sz w:val="24"/>
          <w:szCs w:val="24"/>
        </w:rPr>
        <w:t>Ja lietā ir jānoskaidro pieteicējas spējas saskarsmē ar bērnu (lai varētu izdarīt secinājumu par iespējām bērnam nakšņot pie pieteicējas), tad ir jānoskaidro pieteicējas spējas saskarsmē ar bērnu</w:t>
      </w:r>
      <w:r w:rsidR="00254C10">
        <w:rPr>
          <w:sz w:val="24"/>
          <w:szCs w:val="24"/>
        </w:rPr>
        <w:t xml:space="preserve"> (kā pieteicēja rūpējas par bērnu, </w:t>
      </w:r>
      <w:proofErr w:type="gramStart"/>
      <w:r w:rsidR="00254C10">
        <w:rPr>
          <w:sz w:val="24"/>
          <w:szCs w:val="24"/>
        </w:rPr>
        <w:t>vai bērns ir</w:t>
      </w:r>
      <w:proofErr w:type="gramEnd"/>
      <w:r w:rsidR="00254C10">
        <w:rPr>
          <w:sz w:val="24"/>
          <w:szCs w:val="24"/>
        </w:rPr>
        <w:t xml:space="preserve"> apdraudēts)</w:t>
      </w:r>
      <w:r>
        <w:rPr>
          <w:sz w:val="24"/>
          <w:szCs w:val="24"/>
        </w:rPr>
        <w:t xml:space="preserve">. </w:t>
      </w:r>
      <w:r w:rsidR="004A3C18">
        <w:rPr>
          <w:sz w:val="24"/>
          <w:szCs w:val="24"/>
        </w:rPr>
        <w:t>Tātad</w:t>
      </w:r>
      <w:r w:rsidR="001B2044">
        <w:rPr>
          <w:sz w:val="24"/>
          <w:szCs w:val="24"/>
        </w:rPr>
        <w:t>:</w:t>
      </w:r>
      <w:r>
        <w:rPr>
          <w:sz w:val="24"/>
          <w:szCs w:val="24"/>
        </w:rPr>
        <w:t xml:space="preserve"> j</w:t>
      </w:r>
      <w:r w:rsidR="009D20ED">
        <w:rPr>
          <w:sz w:val="24"/>
          <w:szCs w:val="24"/>
        </w:rPr>
        <w:t xml:space="preserve">a liecinieki lietā var liecināt par šādiem </w:t>
      </w:r>
      <w:r w:rsidR="007F4A3A">
        <w:rPr>
          <w:sz w:val="24"/>
          <w:szCs w:val="24"/>
        </w:rPr>
        <w:t>faktiem</w:t>
      </w:r>
      <w:r w:rsidR="009D20ED">
        <w:rPr>
          <w:sz w:val="24"/>
          <w:szCs w:val="24"/>
        </w:rPr>
        <w:t>, tad tiesai nav pamata noraidīt šo personu aicināšanu uz tiesu kā nepieļaujamu.</w:t>
      </w:r>
    </w:p>
    <w:p w14:paraId="7F0DBDAA" w14:textId="585B25DC" w:rsidR="00E9512C" w:rsidRPr="00E9512C" w:rsidRDefault="006004D4" w:rsidP="000F659C">
      <w:pPr>
        <w:pStyle w:val="CommentText"/>
        <w:spacing w:line="276" w:lineRule="auto"/>
        <w:ind w:firstLine="567"/>
        <w:jc w:val="both"/>
        <w:rPr>
          <w:sz w:val="24"/>
          <w:szCs w:val="24"/>
        </w:rPr>
      </w:pPr>
      <w:bookmarkStart w:id="2" w:name="_Hlk107567469"/>
      <w:r>
        <w:rPr>
          <w:sz w:val="24"/>
          <w:szCs w:val="24"/>
        </w:rPr>
        <w:t>Pieteicēja ir persona ar īpašām vajadzībām. Tāpēc pieteicējai ģimenes ikdienas jautājumu kārtošanai ir piesaistīts asistents</w:t>
      </w:r>
      <w:r w:rsidRPr="006625F7">
        <w:rPr>
          <w:sz w:val="24"/>
          <w:szCs w:val="24"/>
        </w:rPr>
        <w:t xml:space="preserve">. </w:t>
      </w:r>
      <w:r w:rsidR="00E9512C" w:rsidRPr="006625F7">
        <w:rPr>
          <w:sz w:val="24"/>
          <w:szCs w:val="24"/>
        </w:rPr>
        <w:t xml:space="preserve">Ja reiz </w:t>
      </w:r>
      <w:r w:rsidR="00A77B07" w:rsidRPr="006625F7">
        <w:rPr>
          <w:sz w:val="24"/>
          <w:szCs w:val="24"/>
        </w:rPr>
        <w:t>pieteicējas</w:t>
      </w:r>
      <w:r w:rsidR="00E9512C" w:rsidRPr="006625F7">
        <w:rPr>
          <w:sz w:val="24"/>
          <w:szCs w:val="24"/>
        </w:rPr>
        <w:t xml:space="preserve"> asistents, kurš ik nedēļu ar bērna </w:t>
      </w:r>
      <w:proofErr w:type="gramStart"/>
      <w:r w:rsidR="00E9512C" w:rsidRPr="006625F7">
        <w:rPr>
          <w:sz w:val="24"/>
          <w:szCs w:val="24"/>
        </w:rPr>
        <w:t>māti līdzās</w:t>
      </w:r>
      <w:proofErr w:type="gramEnd"/>
      <w:r w:rsidR="00E9512C" w:rsidRPr="006625F7">
        <w:rPr>
          <w:sz w:val="24"/>
          <w:szCs w:val="24"/>
        </w:rPr>
        <w:t xml:space="preserve"> pavada vairākus desmitus stundu, tad asistents, kurš turklāt ir sociālais darbinieks (tas ir, persona ar speciālām zināšanām personu aprūpē</w:t>
      </w:r>
      <w:r w:rsidR="00DB4640" w:rsidRPr="006625F7">
        <w:rPr>
          <w:sz w:val="24"/>
          <w:szCs w:val="24"/>
        </w:rPr>
        <w:t xml:space="preserve"> un </w:t>
      </w:r>
      <w:r w:rsidR="001843CD" w:rsidRPr="006625F7">
        <w:rPr>
          <w:sz w:val="24"/>
          <w:szCs w:val="24"/>
        </w:rPr>
        <w:t xml:space="preserve">ar </w:t>
      </w:r>
      <w:r w:rsidR="00DB4640" w:rsidRPr="006625F7">
        <w:rPr>
          <w:sz w:val="24"/>
          <w:szCs w:val="24"/>
        </w:rPr>
        <w:t>pieredzi darbā ar mazaizsargātām personām</w:t>
      </w:r>
      <w:r w:rsidR="00E9512C" w:rsidRPr="006625F7">
        <w:rPr>
          <w:sz w:val="24"/>
          <w:szCs w:val="24"/>
        </w:rPr>
        <w:t>), ir viena no personām, k</w:t>
      </w:r>
      <w:r w:rsidR="00576E5C" w:rsidRPr="000F0399">
        <w:rPr>
          <w:sz w:val="24"/>
          <w:szCs w:val="24"/>
        </w:rPr>
        <w:t>ura</w:t>
      </w:r>
      <w:r w:rsidR="00E9512C" w:rsidRPr="006625F7">
        <w:rPr>
          <w:sz w:val="24"/>
          <w:szCs w:val="24"/>
        </w:rPr>
        <w:t xml:space="preserve"> var objektīvi izvērtēt mātes spējas saskarsmē ar bērnu un ikdienas dzīves apstākļ</w:t>
      </w:r>
      <w:r w:rsidR="008A1660" w:rsidRPr="006625F7">
        <w:rPr>
          <w:sz w:val="24"/>
          <w:szCs w:val="24"/>
        </w:rPr>
        <w:t>us</w:t>
      </w:r>
      <w:r w:rsidR="00E9512C" w:rsidRPr="006625F7">
        <w:rPr>
          <w:sz w:val="24"/>
          <w:szCs w:val="24"/>
        </w:rPr>
        <w:t xml:space="preserve"> mātes ģimenē un par t</w:t>
      </w:r>
      <w:r w:rsidR="008A1660" w:rsidRPr="006625F7">
        <w:rPr>
          <w:sz w:val="24"/>
          <w:szCs w:val="24"/>
        </w:rPr>
        <w:t>ie</w:t>
      </w:r>
      <w:r w:rsidR="00E9512C" w:rsidRPr="006625F7">
        <w:rPr>
          <w:sz w:val="24"/>
          <w:szCs w:val="24"/>
        </w:rPr>
        <w:t>m liecināt.</w:t>
      </w:r>
      <w:r w:rsidR="00AB5AAE">
        <w:rPr>
          <w:sz w:val="24"/>
          <w:szCs w:val="24"/>
        </w:rPr>
        <w:t xml:space="preserve"> </w:t>
      </w:r>
    </w:p>
    <w:bookmarkEnd w:id="2"/>
    <w:p w14:paraId="3E268A3E" w14:textId="77777777" w:rsidR="006004D4" w:rsidRDefault="006004D4" w:rsidP="000F659C">
      <w:pPr>
        <w:pStyle w:val="CommentText"/>
        <w:spacing w:line="276" w:lineRule="auto"/>
        <w:ind w:firstLine="567"/>
        <w:jc w:val="both"/>
        <w:rPr>
          <w:sz w:val="24"/>
          <w:szCs w:val="24"/>
        </w:rPr>
      </w:pPr>
    </w:p>
    <w:p w14:paraId="4D321819" w14:textId="2091F9A5" w:rsidR="00E9512C" w:rsidRPr="00E9512C" w:rsidRDefault="009B0045" w:rsidP="000F659C">
      <w:pPr>
        <w:pStyle w:val="CommentText"/>
        <w:spacing w:line="276" w:lineRule="auto"/>
        <w:ind w:firstLine="567"/>
        <w:jc w:val="both"/>
        <w:rPr>
          <w:sz w:val="24"/>
          <w:szCs w:val="24"/>
        </w:rPr>
      </w:pPr>
      <w:r>
        <w:rPr>
          <w:sz w:val="24"/>
          <w:szCs w:val="24"/>
        </w:rPr>
        <w:t>[10]</w:t>
      </w:r>
      <w:r w:rsidR="005454FD">
        <w:rPr>
          <w:sz w:val="24"/>
          <w:szCs w:val="24"/>
        </w:rPr>
        <w:t> </w:t>
      </w:r>
      <w:r w:rsidR="00E9512C" w:rsidRPr="00E9512C">
        <w:rPr>
          <w:sz w:val="24"/>
          <w:szCs w:val="24"/>
        </w:rPr>
        <w:t>Apgabaltiesa norāda, ka bāriņtiesa, pieņemot lēmumu, ir noskaidrojusi asistentes viedokli, lietā ir asistentes atskaite, kā arī bāriņtiesa ir noskaidrojusi visus būtiskos apstākļus un savākusi pietiekamus pierādījumus.</w:t>
      </w:r>
    </w:p>
    <w:p w14:paraId="65644FF5" w14:textId="1562092A" w:rsidR="00E9512C" w:rsidRDefault="00E9512C" w:rsidP="000F659C">
      <w:pPr>
        <w:pStyle w:val="CommentText"/>
        <w:spacing w:line="276" w:lineRule="auto"/>
        <w:ind w:firstLine="567"/>
        <w:jc w:val="both"/>
        <w:rPr>
          <w:sz w:val="24"/>
          <w:szCs w:val="24"/>
        </w:rPr>
      </w:pPr>
      <w:r w:rsidRPr="00E9512C">
        <w:rPr>
          <w:sz w:val="24"/>
          <w:szCs w:val="24"/>
        </w:rPr>
        <w:t xml:space="preserve">Tomēr, pieteicēja norāda, ka asistente nepiekrīt bāriņtiesas sagatavotajiem dokumentiem, kuros </w:t>
      </w:r>
      <w:r w:rsidR="001B2044" w:rsidRPr="00746AC8">
        <w:rPr>
          <w:sz w:val="24"/>
          <w:szCs w:val="24"/>
        </w:rPr>
        <w:t>minēts</w:t>
      </w:r>
      <w:r w:rsidR="001B2044" w:rsidRPr="00E9512C">
        <w:rPr>
          <w:sz w:val="24"/>
          <w:szCs w:val="24"/>
        </w:rPr>
        <w:t xml:space="preserve"> </w:t>
      </w:r>
      <w:r w:rsidRPr="00E9512C">
        <w:rPr>
          <w:sz w:val="24"/>
          <w:szCs w:val="24"/>
        </w:rPr>
        <w:t>viņas viedoklis. Apgabaltiesa</w:t>
      </w:r>
      <w:r w:rsidR="00CB33A6">
        <w:rPr>
          <w:sz w:val="24"/>
          <w:szCs w:val="24"/>
        </w:rPr>
        <w:t>, lai arī</w:t>
      </w:r>
      <w:r w:rsidRPr="00E9512C">
        <w:rPr>
          <w:sz w:val="24"/>
          <w:szCs w:val="24"/>
        </w:rPr>
        <w:t xml:space="preserve"> spriedumā </w:t>
      </w:r>
      <w:r w:rsidR="00CB33A6">
        <w:rPr>
          <w:sz w:val="24"/>
          <w:szCs w:val="24"/>
        </w:rPr>
        <w:t xml:space="preserve">šo apstākli ir atspoguļojusi, to </w:t>
      </w:r>
      <w:r w:rsidRPr="00E9512C">
        <w:rPr>
          <w:sz w:val="24"/>
          <w:szCs w:val="24"/>
        </w:rPr>
        <w:t xml:space="preserve">nav pārbaudījusi. </w:t>
      </w:r>
      <w:r w:rsidR="008A1660">
        <w:rPr>
          <w:sz w:val="24"/>
          <w:szCs w:val="24"/>
        </w:rPr>
        <w:t>P</w:t>
      </w:r>
      <w:r w:rsidR="006004D4">
        <w:rPr>
          <w:sz w:val="24"/>
          <w:szCs w:val="24"/>
        </w:rPr>
        <w:t xml:space="preserve">ieteicējas </w:t>
      </w:r>
      <w:r w:rsidRPr="00E9512C">
        <w:rPr>
          <w:sz w:val="24"/>
          <w:szCs w:val="24"/>
        </w:rPr>
        <w:t xml:space="preserve">asistente nepiekrīt tam, kā bāriņtiesa dokumentos ir </w:t>
      </w:r>
      <w:r w:rsidR="001B2044">
        <w:rPr>
          <w:sz w:val="24"/>
          <w:szCs w:val="24"/>
        </w:rPr>
        <w:t>norādījusi</w:t>
      </w:r>
      <w:r w:rsidR="001B2044" w:rsidRPr="00E9512C">
        <w:rPr>
          <w:sz w:val="24"/>
          <w:szCs w:val="24"/>
        </w:rPr>
        <w:t xml:space="preserve"> </w:t>
      </w:r>
      <w:r w:rsidRPr="00E9512C">
        <w:rPr>
          <w:sz w:val="24"/>
          <w:szCs w:val="24"/>
        </w:rPr>
        <w:t>asistentes viedokli par lietas apstākļiem</w:t>
      </w:r>
      <w:r w:rsidR="00EC30A8">
        <w:rPr>
          <w:sz w:val="24"/>
          <w:szCs w:val="24"/>
        </w:rPr>
        <w:t>, kā arī asistentei par bērna uzturēšanos pieteicējas ģimenē ir bāriņtiesas uzskatam pretējs viedoklis</w:t>
      </w:r>
      <w:r w:rsidR="008A1660">
        <w:rPr>
          <w:sz w:val="24"/>
          <w:szCs w:val="24"/>
        </w:rPr>
        <w:t xml:space="preserve">. </w:t>
      </w:r>
      <w:r w:rsidR="001B2044">
        <w:rPr>
          <w:sz w:val="24"/>
          <w:szCs w:val="24"/>
        </w:rPr>
        <w:t>Par bērna drošību ģimenē pieteicējas asistente ir norādījusi, ka riskus bērna aprūpē pieteicējas ģimenē nesaskata (</w:t>
      </w:r>
      <w:r w:rsidR="001B2044" w:rsidRPr="00AB5AAE">
        <w:rPr>
          <w:i/>
          <w:iCs/>
          <w:sz w:val="24"/>
          <w:szCs w:val="24"/>
        </w:rPr>
        <w:t xml:space="preserve">lietas </w:t>
      </w:r>
      <w:proofErr w:type="gramStart"/>
      <w:r w:rsidR="001B2044" w:rsidRPr="00AB5AAE">
        <w:rPr>
          <w:i/>
          <w:iCs/>
          <w:sz w:val="24"/>
          <w:szCs w:val="24"/>
        </w:rPr>
        <w:t>59.lapas</w:t>
      </w:r>
      <w:proofErr w:type="gramEnd"/>
      <w:r w:rsidR="001B2044" w:rsidRPr="00AB5AAE">
        <w:rPr>
          <w:i/>
          <w:iCs/>
          <w:sz w:val="24"/>
          <w:szCs w:val="24"/>
        </w:rPr>
        <w:t xml:space="preserve"> otra puse</w:t>
      </w:r>
      <w:r w:rsidR="001B2044">
        <w:rPr>
          <w:sz w:val="24"/>
          <w:szCs w:val="24"/>
        </w:rPr>
        <w:t xml:space="preserve">). </w:t>
      </w:r>
      <w:r w:rsidR="008A1660">
        <w:rPr>
          <w:sz w:val="24"/>
          <w:szCs w:val="24"/>
        </w:rPr>
        <w:t>Tomēr</w:t>
      </w:r>
      <w:r w:rsidRPr="00E9512C">
        <w:rPr>
          <w:sz w:val="24"/>
          <w:szCs w:val="24"/>
        </w:rPr>
        <w:t xml:space="preserve"> tiesa bez asistent</w:t>
      </w:r>
      <w:r w:rsidR="0041202D">
        <w:rPr>
          <w:sz w:val="24"/>
          <w:szCs w:val="24"/>
        </w:rPr>
        <w:t>es</w:t>
      </w:r>
      <w:r w:rsidRPr="00E9512C">
        <w:rPr>
          <w:sz w:val="24"/>
          <w:szCs w:val="24"/>
        </w:rPr>
        <w:t xml:space="preserve"> iebildumu </w:t>
      </w:r>
      <w:r w:rsidR="008A1660">
        <w:rPr>
          <w:sz w:val="24"/>
          <w:szCs w:val="24"/>
        </w:rPr>
        <w:t>uzklausīšanas</w:t>
      </w:r>
      <w:r w:rsidR="008A1660" w:rsidRPr="00E9512C">
        <w:rPr>
          <w:sz w:val="24"/>
          <w:szCs w:val="24"/>
        </w:rPr>
        <w:t xml:space="preserve"> </w:t>
      </w:r>
      <w:r w:rsidR="008A1660">
        <w:rPr>
          <w:sz w:val="24"/>
          <w:szCs w:val="24"/>
        </w:rPr>
        <w:t xml:space="preserve">un </w:t>
      </w:r>
      <w:r w:rsidRPr="00E9512C">
        <w:rPr>
          <w:sz w:val="24"/>
          <w:szCs w:val="24"/>
        </w:rPr>
        <w:t>izvērtēšanas</w:t>
      </w:r>
      <w:r w:rsidR="008A1660" w:rsidRPr="008A1660">
        <w:rPr>
          <w:sz w:val="24"/>
          <w:szCs w:val="24"/>
        </w:rPr>
        <w:t xml:space="preserve"> </w:t>
      </w:r>
      <w:r w:rsidR="008A1660" w:rsidRPr="00E9512C">
        <w:rPr>
          <w:sz w:val="24"/>
          <w:szCs w:val="24"/>
        </w:rPr>
        <w:t>pēc būtības</w:t>
      </w:r>
      <w:r w:rsidR="007C4597">
        <w:rPr>
          <w:sz w:val="24"/>
          <w:szCs w:val="24"/>
        </w:rPr>
        <w:t xml:space="preserve"> </w:t>
      </w:r>
      <w:r w:rsidRPr="00E9512C">
        <w:rPr>
          <w:sz w:val="24"/>
          <w:szCs w:val="24"/>
        </w:rPr>
        <w:t>atzinusi, ka bāriņtiesa ir noskaidrojusi visus būtiskos apstākļus un savāktie pierādījumi ir pietiekami</w:t>
      </w:r>
      <w:r w:rsidR="008A1660">
        <w:rPr>
          <w:sz w:val="24"/>
          <w:szCs w:val="24"/>
        </w:rPr>
        <w:t>.</w:t>
      </w:r>
      <w:r w:rsidRPr="00E9512C">
        <w:rPr>
          <w:sz w:val="24"/>
          <w:szCs w:val="24"/>
        </w:rPr>
        <w:t xml:space="preserve"> </w:t>
      </w:r>
      <w:r w:rsidR="008A1660">
        <w:rPr>
          <w:sz w:val="24"/>
          <w:szCs w:val="24"/>
        </w:rPr>
        <w:t>T</w:t>
      </w:r>
      <w:r w:rsidRPr="00E9512C">
        <w:rPr>
          <w:sz w:val="24"/>
          <w:szCs w:val="24"/>
        </w:rPr>
        <w:t>iesa</w:t>
      </w:r>
      <w:r w:rsidR="00921D82">
        <w:rPr>
          <w:sz w:val="24"/>
          <w:szCs w:val="24"/>
        </w:rPr>
        <w:t xml:space="preserve"> pretēji Administratīvā procesa likuma </w:t>
      </w:r>
      <w:proofErr w:type="gramStart"/>
      <w:r w:rsidR="00921D82">
        <w:rPr>
          <w:sz w:val="24"/>
          <w:szCs w:val="24"/>
        </w:rPr>
        <w:t>154.panta</w:t>
      </w:r>
      <w:proofErr w:type="gramEnd"/>
      <w:r w:rsidR="00921D82">
        <w:rPr>
          <w:sz w:val="24"/>
          <w:szCs w:val="24"/>
        </w:rPr>
        <w:t xml:space="preserve"> pirmajai daļai</w:t>
      </w:r>
      <w:r w:rsidRPr="00E9512C">
        <w:rPr>
          <w:sz w:val="24"/>
          <w:szCs w:val="24"/>
        </w:rPr>
        <w:t xml:space="preserve"> spriedumu balst</w:t>
      </w:r>
      <w:r w:rsidR="008A1660">
        <w:rPr>
          <w:sz w:val="24"/>
          <w:szCs w:val="24"/>
        </w:rPr>
        <w:t>ījusi</w:t>
      </w:r>
      <w:r w:rsidRPr="00E9512C">
        <w:rPr>
          <w:sz w:val="24"/>
          <w:szCs w:val="24"/>
        </w:rPr>
        <w:t xml:space="preserve"> uz pierādījumiem, kuru saturs nav pārbaudīts pēc būtības.</w:t>
      </w:r>
    </w:p>
    <w:p w14:paraId="5DB5E71F" w14:textId="77777777" w:rsidR="009967E6" w:rsidRPr="00E9512C" w:rsidRDefault="009967E6" w:rsidP="000F659C">
      <w:pPr>
        <w:pStyle w:val="CommentText"/>
        <w:spacing w:line="276" w:lineRule="auto"/>
        <w:ind w:firstLine="567"/>
        <w:jc w:val="both"/>
        <w:rPr>
          <w:sz w:val="24"/>
          <w:szCs w:val="24"/>
        </w:rPr>
      </w:pPr>
    </w:p>
    <w:p w14:paraId="444A739D" w14:textId="57D6FE22" w:rsidR="00B708BF" w:rsidRDefault="009967E6" w:rsidP="000F659C">
      <w:pPr>
        <w:pStyle w:val="CommentText"/>
        <w:spacing w:line="276" w:lineRule="auto"/>
        <w:ind w:firstLine="567"/>
        <w:jc w:val="both"/>
        <w:rPr>
          <w:sz w:val="24"/>
          <w:szCs w:val="24"/>
        </w:rPr>
      </w:pPr>
      <w:r>
        <w:rPr>
          <w:sz w:val="24"/>
          <w:szCs w:val="24"/>
        </w:rPr>
        <w:t>[</w:t>
      </w:r>
      <w:r w:rsidR="008B6446">
        <w:rPr>
          <w:sz w:val="24"/>
          <w:szCs w:val="24"/>
        </w:rPr>
        <w:t>1</w:t>
      </w:r>
      <w:r w:rsidR="009B0045">
        <w:rPr>
          <w:sz w:val="24"/>
          <w:szCs w:val="24"/>
        </w:rPr>
        <w:t>1</w:t>
      </w:r>
      <w:r>
        <w:rPr>
          <w:sz w:val="24"/>
          <w:szCs w:val="24"/>
        </w:rPr>
        <w:t>]</w:t>
      </w:r>
      <w:r w:rsidR="005454FD">
        <w:rPr>
          <w:sz w:val="24"/>
          <w:szCs w:val="24"/>
        </w:rPr>
        <w:t> </w:t>
      </w:r>
      <w:r w:rsidR="00E9512C" w:rsidRPr="00E9512C">
        <w:rPr>
          <w:sz w:val="24"/>
          <w:szCs w:val="24"/>
        </w:rPr>
        <w:t xml:space="preserve">Savukārt par bērna vecomāti, kuras uzklausīšanu </w:t>
      </w:r>
      <w:r w:rsidR="00E26F71">
        <w:rPr>
          <w:sz w:val="24"/>
          <w:szCs w:val="24"/>
        </w:rPr>
        <w:t>tiesa</w:t>
      </w:r>
      <w:r w:rsidR="00E9512C" w:rsidRPr="00E9512C">
        <w:rPr>
          <w:sz w:val="24"/>
          <w:szCs w:val="24"/>
        </w:rPr>
        <w:t xml:space="preserve"> noraidīja, pieteicēja norāda, ka vecāmāte ir atbalstījusi un arī tagad atbalsta pieteicēju. Tas nozīmē, ka vecāmāte ir vēl viens </w:t>
      </w:r>
      <w:r w:rsidR="00B028AA" w:rsidRPr="00E9512C">
        <w:rPr>
          <w:sz w:val="24"/>
          <w:szCs w:val="24"/>
        </w:rPr>
        <w:t xml:space="preserve">pieteicējai </w:t>
      </w:r>
      <w:r w:rsidR="00B028AA">
        <w:rPr>
          <w:sz w:val="24"/>
          <w:szCs w:val="24"/>
        </w:rPr>
        <w:t xml:space="preserve">pieejams </w:t>
      </w:r>
      <w:r w:rsidR="00E9512C" w:rsidRPr="00E9512C">
        <w:rPr>
          <w:sz w:val="24"/>
          <w:szCs w:val="24"/>
        </w:rPr>
        <w:t>resurss, kas atvieglo pieteicējas ikdienu, arī</w:t>
      </w:r>
      <w:r w:rsidR="008A1660">
        <w:rPr>
          <w:sz w:val="24"/>
          <w:szCs w:val="24"/>
        </w:rPr>
        <w:t>,</w:t>
      </w:r>
      <w:r w:rsidR="00E9512C" w:rsidRPr="00E9512C">
        <w:rPr>
          <w:sz w:val="24"/>
          <w:szCs w:val="24"/>
        </w:rPr>
        <w:t xml:space="preserve"> iespējams</w:t>
      </w:r>
      <w:r w:rsidR="008A1660">
        <w:rPr>
          <w:sz w:val="24"/>
          <w:szCs w:val="24"/>
        </w:rPr>
        <w:t>,</w:t>
      </w:r>
      <w:r w:rsidR="00E9512C" w:rsidRPr="00E9512C">
        <w:rPr>
          <w:sz w:val="24"/>
          <w:szCs w:val="24"/>
        </w:rPr>
        <w:t xml:space="preserve"> saskarsmē ar bērnu un bērna pieskatīšanā. </w:t>
      </w:r>
      <w:r w:rsidR="00B028AA">
        <w:rPr>
          <w:sz w:val="24"/>
          <w:szCs w:val="24"/>
        </w:rPr>
        <w:t>V</w:t>
      </w:r>
      <w:r w:rsidR="00E9512C" w:rsidRPr="00E9512C">
        <w:rPr>
          <w:sz w:val="24"/>
          <w:szCs w:val="24"/>
        </w:rPr>
        <w:t xml:space="preserve">ērtējot pieteicējas resursus saskarsmē ar bērnu un viņa aprūpē un meklējot konkrētajam gadījumam samērīgāko risinājumu, vecāsmātes iespējas palīdzēt pieteicējai nevar tikt atstātas neizvērtētas. </w:t>
      </w:r>
      <w:r>
        <w:rPr>
          <w:sz w:val="24"/>
          <w:szCs w:val="24"/>
        </w:rPr>
        <w:t>Tāpat, ja vecāmāte pavada noteiktu laiku pieteicējas ģimenē, tad arī vecāmāte var liecināt par lietā noskaidrojamiem faktiem: kāda ir pieteicējas saskarsme ar bērnu</w:t>
      </w:r>
      <w:r w:rsidR="00186831">
        <w:rPr>
          <w:sz w:val="24"/>
          <w:szCs w:val="24"/>
        </w:rPr>
        <w:t>, bērna drošību</w:t>
      </w:r>
      <w:r w:rsidRPr="00692ADA">
        <w:rPr>
          <w:sz w:val="24"/>
          <w:szCs w:val="24"/>
        </w:rPr>
        <w:t>.</w:t>
      </w:r>
    </w:p>
    <w:p w14:paraId="162C6B6A" w14:textId="4DDB01A9" w:rsidR="00816449" w:rsidRDefault="00773B69" w:rsidP="000F659C">
      <w:pPr>
        <w:pStyle w:val="CommentText"/>
        <w:spacing w:line="276" w:lineRule="auto"/>
        <w:ind w:firstLine="567"/>
        <w:jc w:val="both"/>
        <w:rPr>
          <w:sz w:val="24"/>
          <w:szCs w:val="24"/>
        </w:rPr>
      </w:pPr>
      <w:r w:rsidRPr="00692ADA">
        <w:rPr>
          <w:sz w:val="24"/>
          <w:szCs w:val="24"/>
        </w:rPr>
        <w:t xml:space="preserve">Citiem vārdiem, ja tiesa noraida vecāsmātes uzklausīšanu, tad faktiski tiesa </w:t>
      </w:r>
      <w:r w:rsidR="00B028AA">
        <w:rPr>
          <w:sz w:val="24"/>
          <w:szCs w:val="24"/>
        </w:rPr>
        <w:t>ignorē</w:t>
      </w:r>
      <w:r w:rsidR="00B028AA" w:rsidRPr="00692ADA">
        <w:rPr>
          <w:sz w:val="24"/>
          <w:szCs w:val="24"/>
        </w:rPr>
        <w:t xml:space="preserve"> </w:t>
      </w:r>
      <w:r w:rsidRPr="00692ADA">
        <w:rPr>
          <w:sz w:val="24"/>
          <w:szCs w:val="24"/>
        </w:rPr>
        <w:t>to apstākli, ka bez sociālā darbinieka pieteicējai ir vēl citi resursi, kas var sniegt palīdzību bērna uzraudzībā un saskarsmē</w:t>
      </w:r>
      <w:r w:rsidRPr="00990CFA">
        <w:rPr>
          <w:sz w:val="24"/>
          <w:szCs w:val="24"/>
        </w:rPr>
        <w:t xml:space="preserve">. </w:t>
      </w:r>
      <w:r w:rsidR="004F0077" w:rsidRPr="00990CFA">
        <w:rPr>
          <w:sz w:val="24"/>
          <w:szCs w:val="24"/>
        </w:rPr>
        <w:t>Līdz ar to tiesa nav noskaidrojusi lietas izspriešanai būtisku apstākli</w:t>
      </w:r>
      <w:r w:rsidRPr="00990CFA">
        <w:rPr>
          <w:sz w:val="24"/>
          <w:szCs w:val="24"/>
        </w:rPr>
        <w:t>, tas ir, vai ir iespējams atrast pieteicējas un viņas bērna saskarsmei piemērotus risinājumus.</w:t>
      </w:r>
    </w:p>
    <w:p w14:paraId="2BE957AB" w14:textId="157AD01C" w:rsidR="00DA7797" w:rsidRDefault="00E9512C" w:rsidP="000F659C">
      <w:pPr>
        <w:pStyle w:val="CommentText"/>
        <w:spacing w:line="276" w:lineRule="auto"/>
        <w:ind w:firstLine="567"/>
        <w:jc w:val="both"/>
        <w:rPr>
          <w:sz w:val="24"/>
          <w:szCs w:val="24"/>
        </w:rPr>
      </w:pPr>
      <w:r w:rsidRPr="00E9512C">
        <w:rPr>
          <w:sz w:val="24"/>
          <w:szCs w:val="24"/>
        </w:rPr>
        <w:lastRenderedPageBreak/>
        <w:t xml:space="preserve">Ja pieteicējai ir gan ģimenes asistents, gan vecāmāte, kas var piedalīties bērna aprūpē un saskarsmē, tad, lemjot par to, vai pastāv mazāk ierobežojoši līdzekļi mātes un bērna saskarsmē </w:t>
      </w:r>
      <w:r w:rsidR="00B028AA">
        <w:rPr>
          <w:sz w:val="24"/>
          <w:szCs w:val="24"/>
        </w:rPr>
        <w:t>salīdzinājumā ar</w:t>
      </w:r>
      <w:r w:rsidR="00B028AA" w:rsidRPr="00E9512C">
        <w:rPr>
          <w:sz w:val="24"/>
          <w:szCs w:val="24"/>
        </w:rPr>
        <w:t xml:space="preserve"> </w:t>
      </w:r>
      <w:r w:rsidRPr="00E9512C">
        <w:rPr>
          <w:sz w:val="24"/>
          <w:szCs w:val="24"/>
        </w:rPr>
        <w:t>pilnīg</w:t>
      </w:r>
      <w:r w:rsidR="00B028AA">
        <w:rPr>
          <w:sz w:val="24"/>
          <w:szCs w:val="24"/>
        </w:rPr>
        <w:t>u</w:t>
      </w:r>
      <w:r w:rsidRPr="00E9512C">
        <w:rPr>
          <w:sz w:val="24"/>
          <w:szCs w:val="24"/>
        </w:rPr>
        <w:t xml:space="preserve"> aizliegum</w:t>
      </w:r>
      <w:r w:rsidR="00B028AA">
        <w:rPr>
          <w:sz w:val="24"/>
          <w:szCs w:val="24"/>
        </w:rPr>
        <w:t>u</w:t>
      </w:r>
      <w:r w:rsidRPr="00E9512C">
        <w:rPr>
          <w:sz w:val="24"/>
          <w:szCs w:val="24"/>
        </w:rPr>
        <w:t xml:space="preserve"> bērnam nakšņot pie mātes, šie resursi var būt līdzeklis, kā panākt līdzsvaru bērna un pieteicējas saskarsmes īstenošanai, </w:t>
      </w:r>
      <w:r w:rsidR="0041529D">
        <w:rPr>
          <w:sz w:val="24"/>
          <w:szCs w:val="24"/>
        </w:rPr>
        <w:t>arī</w:t>
      </w:r>
      <w:r w:rsidRPr="00E9512C">
        <w:rPr>
          <w:sz w:val="24"/>
          <w:szCs w:val="24"/>
        </w:rPr>
        <w:t xml:space="preserve"> ar nakšņošanu vienu reizi mēnesī pie pieteicējas. Pieteicēja lūdz nakšņošanu tikai vienu reizi mēnesī, kas faktiski ir tik minimāls saskarsmes veids, ka būtu sagaidāms, ka bāriņtiesa ar iesaistītajiem speciālistiem meklētu risinājumus, kā šo saskarsmi </w:t>
      </w:r>
      <w:r w:rsidR="00024A8E">
        <w:rPr>
          <w:sz w:val="24"/>
          <w:szCs w:val="24"/>
        </w:rPr>
        <w:t xml:space="preserve">saprātīgi </w:t>
      </w:r>
      <w:r w:rsidRPr="00E9512C">
        <w:rPr>
          <w:sz w:val="24"/>
          <w:szCs w:val="24"/>
        </w:rPr>
        <w:t>nodrošināt</w:t>
      </w:r>
      <w:r w:rsidR="00B028AA">
        <w:rPr>
          <w:sz w:val="24"/>
          <w:szCs w:val="24"/>
        </w:rPr>
        <w:t xml:space="preserve">, lai </w:t>
      </w:r>
      <w:r w:rsidR="00BD6769">
        <w:rPr>
          <w:sz w:val="24"/>
          <w:szCs w:val="24"/>
        </w:rPr>
        <w:t xml:space="preserve">pakāpeniski </w:t>
      </w:r>
      <w:r w:rsidR="00B028AA">
        <w:rPr>
          <w:sz w:val="24"/>
          <w:szCs w:val="24"/>
        </w:rPr>
        <w:t>veicinātu bērna piesaisti mātei, nevis pretēji – to mazinātu</w:t>
      </w:r>
      <w:r w:rsidRPr="00E9512C">
        <w:rPr>
          <w:sz w:val="24"/>
          <w:szCs w:val="24"/>
        </w:rPr>
        <w:t>.</w:t>
      </w:r>
    </w:p>
    <w:p w14:paraId="541C6F5C" w14:textId="77777777" w:rsidR="00DA7797" w:rsidRDefault="00DA7797" w:rsidP="000F659C">
      <w:pPr>
        <w:pStyle w:val="CommentText"/>
        <w:spacing w:line="276" w:lineRule="auto"/>
        <w:ind w:firstLine="567"/>
        <w:jc w:val="both"/>
        <w:rPr>
          <w:sz w:val="24"/>
          <w:szCs w:val="24"/>
        </w:rPr>
      </w:pPr>
    </w:p>
    <w:p w14:paraId="3B86D4F4" w14:textId="4BD47A64" w:rsidR="00F2745E" w:rsidRPr="00BF7A92" w:rsidRDefault="009967E6" w:rsidP="000F659C">
      <w:pPr>
        <w:pStyle w:val="CommentText"/>
        <w:spacing w:line="276" w:lineRule="auto"/>
        <w:ind w:firstLine="567"/>
        <w:jc w:val="both"/>
        <w:rPr>
          <w:sz w:val="24"/>
          <w:szCs w:val="24"/>
        </w:rPr>
      </w:pPr>
      <w:r w:rsidRPr="0007108B">
        <w:rPr>
          <w:sz w:val="24"/>
          <w:szCs w:val="24"/>
        </w:rPr>
        <w:t>[1</w:t>
      </w:r>
      <w:r w:rsidR="009B0045">
        <w:rPr>
          <w:sz w:val="24"/>
          <w:szCs w:val="24"/>
        </w:rPr>
        <w:t>2</w:t>
      </w:r>
      <w:r w:rsidRPr="0007108B">
        <w:rPr>
          <w:sz w:val="24"/>
          <w:szCs w:val="24"/>
        </w:rPr>
        <w:t>]</w:t>
      </w:r>
      <w:r w:rsidR="005454FD">
        <w:rPr>
          <w:sz w:val="24"/>
          <w:szCs w:val="24"/>
        </w:rPr>
        <w:t> </w:t>
      </w:r>
      <w:r w:rsidR="0028044C" w:rsidRPr="0007108B">
        <w:rPr>
          <w:sz w:val="24"/>
          <w:szCs w:val="24"/>
        </w:rPr>
        <w:t>Tā kā bērns ikdienā dzīvo pie audžumātes, tad tiesa ir atzinusi, ka lietā nav pierādījumu, ka audžumāte liktu apzinātus šķēršļus bērna un pieteicējas saskarsmei.</w:t>
      </w:r>
      <w:r w:rsidR="0019412D">
        <w:rPr>
          <w:sz w:val="24"/>
          <w:szCs w:val="24"/>
        </w:rPr>
        <w:t xml:space="preserve"> Tiesa norāda, ka tiesībsargs ir atzinis, </w:t>
      </w:r>
      <w:r w:rsidR="0019412D" w:rsidRPr="00BF7A92">
        <w:rPr>
          <w:sz w:val="24"/>
          <w:szCs w:val="24"/>
        </w:rPr>
        <w:t xml:space="preserve">ka </w:t>
      </w:r>
      <w:r w:rsidR="00BF7A92" w:rsidRPr="00BF7A92">
        <w:rPr>
          <w:sz w:val="24"/>
          <w:szCs w:val="24"/>
        </w:rPr>
        <w:t>pieteicējas un bērna saskarsme nav notikusi audžumātes, pieteicējas</w:t>
      </w:r>
      <w:r w:rsidR="00B028AA">
        <w:rPr>
          <w:sz w:val="24"/>
          <w:szCs w:val="24"/>
        </w:rPr>
        <w:t xml:space="preserve"> u</w:t>
      </w:r>
      <w:r w:rsidR="00BF7A92" w:rsidRPr="00BF7A92">
        <w:rPr>
          <w:sz w:val="24"/>
          <w:szCs w:val="24"/>
        </w:rPr>
        <w:t xml:space="preserve">n atbalsta centra </w:t>
      </w:r>
      <w:r w:rsidR="00B028AA" w:rsidRPr="00BF7A92">
        <w:rPr>
          <w:sz w:val="24"/>
          <w:szCs w:val="24"/>
        </w:rPr>
        <w:t>pietiek</w:t>
      </w:r>
      <w:r w:rsidR="00B028AA">
        <w:rPr>
          <w:sz w:val="24"/>
          <w:szCs w:val="24"/>
        </w:rPr>
        <w:t>am</w:t>
      </w:r>
      <w:r w:rsidR="00B028AA" w:rsidRPr="00BF7A92">
        <w:rPr>
          <w:sz w:val="24"/>
          <w:szCs w:val="24"/>
        </w:rPr>
        <w:t xml:space="preserve">as </w:t>
      </w:r>
      <w:r w:rsidR="00BF7A92" w:rsidRPr="00BF7A92">
        <w:rPr>
          <w:sz w:val="24"/>
          <w:szCs w:val="24"/>
        </w:rPr>
        <w:t>attieksmes dēļ</w:t>
      </w:r>
      <w:r w:rsidR="00BF7A92">
        <w:rPr>
          <w:sz w:val="24"/>
          <w:szCs w:val="24"/>
        </w:rPr>
        <w:t>.</w:t>
      </w:r>
    </w:p>
    <w:p w14:paraId="093214E5" w14:textId="386ADB5D" w:rsidR="0007108B" w:rsidRDefault="00F2745E" w:rsidP="000F659C">
      <w:pPr>
        <w:pStyle w:val="CommentText"/>
        <w:spacing w:line="276" w:lineRule="auto"/>
        <w:ind w:firstLine="567"/>
        <w:jc w:val="both"/>
        <w:rPr>
          <w:sz w:val="24"/>
          <w:szCs w:val="24"/>
        </w:rPr>
      </w:pPr>
      <w:r>
        <w:rPr>
          <w:sz w:val="24"/>
          <w:szCs w:val="24"/>
        </w:rPr>
        <w:t>K</w:t>
      </w:r>
      <w:r w:rsidR="0028044C" w:rsidRPr="0007108B">
        <w:rPr>
          <w:sz w:val="24"/>
          <w:szCs w:val="24"/>
        </w:rPr>
        <w:t xml:space="preserve">asācijas sūdzībā norādīts, ka </w:t>
      </w:r>
      <w:r w:rsidR="00F00FF6" w:rsidRPr="0007108B">
        <w:rPr>
          <w:sz w:val="24"/>
          <w:szCs w:val="24"/>
        </w:rPr>
        <w:t>pieteicēja vairākkārt bāriņtiesai ir norādījusi, ka bāriņtiesas izraudzītā audžuģimene liek šķēršļus pieteicējas saskarsmei ar dēlu</w:t>
      </w:r>
      <w:r w:rsidR="00031448">
        <w:rPr>
          <w:sz w:val="24"/>
          <w:szCs w:val="24"/>
        </w:rPr>
        <w:t>, par to ir informēta bāriņtiesa, bet bāriņtiesa nereaģē.</w:t>
      </w:r>
    </w:p>
    <w:p w14:paraId="5AC7881D" w14:textId="49C0CF1F" w:rsidR="003A634C" w:rsidRPr="00EA4D3B" w:rsidRDefault="003A634C" w:rsidP="000F659C">
      <w:pPr>
        <w:pStyle w:val="CommentText"/>
        <w:spacing w:line="276" w:lineRule="auto"/>
        <w:ind w:firstLine="567"/>
        <w:jc w:val="both"/>
        <w:rPr>
          <w:sz w:val="24"/>
          <w:szCs w:val="24"/>
        </w:rPr>
      </w:pPr>
      <w:r w:rsidRPr="00EA4D3B">
        <w:rPr>
          <w:sz w:val="24"/>
          <w:szCs w:val="24"/>
        </w:rPr>
        <w:t xml:space="preserve">Atbilstoši </w:t>
      </w:r>
      <w:r w:rsidR="00E80C10" w:rsidRPr="00EA4D3B">
        <w:rPr>
          <w:sz w:val="24"/>
          <w:szCs w:val="24"/>
        </w:rPr>
        <w:t>Administratīvā procesa likuma</w:t>
      </w:r>
      <w:r w:rsidR="00841AAC" w:rsidRPr="00EA4D3B">
        <w:rPr>
          <w:sz w:val="24"/>
          <w:szCs w:val="24"/>
        </w:rPr>
        <w:t xml:space="preserve"> </w:t>
      </w:r>
      <w:proofErr w:type="gramStart"/>
      <w:r w:rsidR="00841AAC" w:rsidRPr="00EA4D3B">
        <w:rPr>
          <w:sz w:val="24"/>
          <w:szCs w:val="24"/>
        </w:rPr>
        <w:t>154.panta</w:t>
      </w:r>
      <w:proofErr w:type="gramEnd"/>
      <w:r w:rsidR="00841AAC" w:rsidRPr="00EA4D3B">
        <w:rPr>
          <w:sz w:val="24"/>
          <w:szCs w:val="24"/>
        </w:rPr>
        <w:t xml:space="preserve"> pirmajai daļai</w:t>
      </w:r>
      <w:r w:rsidR="00E80C10" w:rsidRPr="00EA4D3B">
        <w:rPr>
          <w:sz w:val="24"/>
          <w:szCs w:val="24"/>
        </w:rPr>
        <w:t xml:space="preserve"> </w:t>
      </w:r>
      <w:r w:rsidR="00841AAC" w:rsidRPr="00EA4D3B">
        <w:rPr>
          <w:sz w:val="24"/>
          <w:szCs w:val="24"/>
        </w:rPr>
        <w:t>t</w:t>
      </w:r>
      <w:r w:rsidR="00841AAC" w:rsidRPr="00EA4D3B">
        <w:rPr>
          <w:sz w:val="24"/>
          <w:szCs w:val="24"/>
          <w:shd w:val="clear" w:color="auto" w:fill="FFFFFF"/>
        </w:rPr>
        <w:t>iesa novērtē pierādījumus pēc savas iekšējās pārliecības, kas pamatojas uz vispusīgi, pilnīgi un objektīvi pārbaudītiem pierādījumiem, kā arī atbilstoši šā panta trešajai daļai spriedumā norāda, kādēļ tā vienam pierādījumam devusi priekšroku salīdzinājumā ar citu pierādījumu un atzinusi vienu faktu par pierādītu, bet citu — par nepierādītu.</w:t>
      </w:r>
    </w:p>
    <w:p w14:paraId="7929C823" w14:textId="32ECB62D" w:rsidR="0028044C" w:rsidRPr="001D0ED3" w:rsidRDefault="00F00FF6" w:rsidP="000F659C">
      <w:pPr>
        <w:pStyle w:val="CommentText"/>
        <w:spacing w:line="276" w:lineRule="auto"/>
        <w:ind w:firstLine="567"/>
        <w:jc w:val="both"/>
        <w:rPr>
          <w:sz w:val="24"/>
          <w:szCs w:val="24"/>
        </w:rPr>
      </w:pPr>
      <w:r w:rsidRPr="0007108B">
        <w:rPr>
          <w:sz w:val="24"/>
          <w:szCs w:val="24"/>
        </w:rPr>
        <w:t>Senāts konstatē, ka</w:t>
      </w:r>
      <w:r w:rsidR="00CA7E8A" w:rsidRPr="0007108B">
        <w:rPr>
          <w:sz w:val="24"/>
          <w:szCs w:val="24"/>
        </w:rPr>
        <w:t xml:space="preserve"> lietas materiālos ir ziņas par to, ka pieteicēja un pieteicējas asistente ir norādījušas uz audžumātes kritiskiem, līdz pat apvainojošiem izteikumiem par pieteicēju,</w:t>
      </w:r>
      <w:r w:rsidR="00A6124C">
        <w:rPr>
          <w:sz w:val="24"/>
          <w:szCs w:val="24"/>
        </w:rPr>
        <w:t xml:space="preserve"> ka audžumāte nav ieinteresēta sadarbībai, ir agresīvi noskaņota pret pieteicēju un pieteicējas asistenti,</w:t>
      </w:r>
      <w:r w:rsidR="00CA7E8A" w:rsidRPr="0007108B">
        <w:rPr>
          <w:sz w:val="24"/>
          <w:szCs w:val="24"/>
        </w:rPr>
        <w:t xml:space="preserve"> </w:t>
      </w:r>
      <w:r w:rsidR="00A46E7E">
        <w:rPr>
          <w:sz w:val="24"/>
          <w:szCs w:val="24"/>
        </w:rPr>
        <w:t>ka audžumāte konkrētos gadījumos ir atteikusies nogādāt bērnu saskarsmei ar pieteicēju</w:t>
      </w:r>
      <w:r w:rsidR="009E26DB">
        <w:rPr>
          <w:sz w:val="24"/>
          <w:szCs w:val="24"/>
        </w:rPr>
        <w:t xml:space="preserve"> </w:t>
      </w:r>
      <w:proofErr w:type="gramStart"/>
      <w:r w:rsidR="00CA7E8A" w:rsidRPr="0007108B">
        <w:rPr>
          <w:sz w:val="24"/>
          <w:szCs w:val="24"/>
        </w:rPr>
        <w:t>(</w:t>
      </w:r>
      <w:proofErr w:type="gramEnd"/>
      <w:r w:rsidR="00CA7E8A" w:rsidRPr="00E974BB">
        <w:rPr>
          <w:i/>
          <w:iCs/>
          <w:sz w:val="24"/>
          <w:szCs w:val="24"/>
        </w:rPr>
        <w:t xml:space="preserve">lietas </w:t>
      </w:r>
      <w:r w:rsidR="00E974BB" w:rsidRPr="00E974BB">
        <w:rPr>
          <w:i/>
          <w:iCs/>
          <w:sz w:val="24"/>
          <w:szCs w:val="24"/>
        </w:rPr>
        <w:t>54.lapa, arī otra puse, 57.lapa, 59.lapa</w:t>
      </w:r>
      <w:r w:rsidR="00B028AA">
        <w:rPr>
          <w:i/>
          <w:iCs/>
          <w:sz w:val="24"/>
          <w:szCs w:val="24"/>
        </w:rPr>
        <w:t>s</w:t>
      </w:r>
      <w:r w:rsidR="00E974BB" w:rsidRPr="00E974BB">
        <w:rPr>
          <w:i/>
          <w:iCs/>
          <w:sz w:val="24"/>
          <w:szCs w:val="24"/>
        </w:rPr>
        <w:t xml:space="preserve"> otra puse</w:t>
      </w:r>
      <w:r w:rsidR="00E974BB" w:rsidRPr="00E974BB">
        <w:rPr>
          <w:sz w:val="24"/>
          <w:szCs w:val="24"/>
        </w:rPr>
        <w:t>)</w:t>
      </w:r>
      <w:r w:rsidR="0041529D">
        <w:rPr>
          <w:sz w:val="24"/>
          <w:szCs w:val="24"/>
        </w:rPr>
        <w:t>. Tāpat</w:t>
      </w:r>
      <w:r w:rsidR="009E26DB" w:rsidRPr="0007108B">
        <w:rPr>
          <w:sz w:val="24"/>
          <w:szCs w:val="24"/>
        </w:rPr>
        <w:t xml:space="preserve"> ir ziņas, ka</w:t>
      </w:r>
      <w:r w:rsidR="009E26DB">
        <w:t xml:space="preserve"> </w:t>
      </w:r>
      <w:r w:rsidR="009E26DB" w:rsidRPr="0007108B">
        <w:rPr>
          <w:sz w:val="24"/>
          <w:szCs w:val="24"/>
        </w:rPr>
        <w:t xml:space="preserve">pieteicējas </w:t>
      </w:r>
      <w:r w:rsidR="009E26DB" w:rsidRPr="001D0ED3">
        <w:rPr>
          <w:sz w:val="24"/>
          <w:szCs w:val="24"/>
        </w:rPr>
        <w:t>asistente ir informēj</w:t>
      </w:r>
      <w:r w:rsidR="00BD6769">
        <w:rPr>
          <w:sz w:val="24"/>
          <w:szCs w:val="24"/>
        </w:rPr>
        <w:t>us</w:t>
      </w:r>
      <w:r w:rsidR="009E26DB" w:rsidRPr="001D0ED3">
        <w:rPr>
          <w:sz w:val="24"/>
          <w:szCs w:val="24"/>
        </w:rPr>
        <w:t>i bāriņtiesu par audžumātes apvainojumiem, lūgusi palīdzību situācijas risināšanā, tomēr bāriņtiesa nav reaģējusi (</w:t>
      </w:r>
      <w:r w:rsidR="009E26DB" w:rsidRPr="001D0ED3">
        <w:rPr>
          <w:i/>
          <w:iCs/>
          <w:sz w:val="24"/>
          <w:szCs w:val="24"/>
        </w:rPr>
        <w:t>lietas 54.lapas otra puse</w:t>
      </w:r>
      <w:r w:rsidR="009E26DB" w:rsidRPr="001D0ED3">
        <w:rPr>
          <w:sz w:val="24"/>
          <w:szCs w:val="24"/>
        </w:rPr>
        <w:t>).</w:t>
      </w:r>
    </w:p>
    <w:p w14:paraId="105034FE" w14:textId="4957A6D4" w:rsidR="00406A74" w:rsidRPr="00990CFA" w:rsidRDefault="0007108B" w:rsidP="000F659C">
      <w:pPr>
        <w:pStyle w:val="CommentText"/>
        <w:spacing w:line="276" w:lineRule="auto"/>
        <w:ind w:firstLine="567"/>
        <w:jc w:val="both"/>
        <w:rPr>
          <w:sz w:val="24"/>
          <w:szCs w:val="24"/>
        </w:rPr>
      </w:pPr>
      <w:r w:rsidRPr="00990CFA">
        <w:rPr>
          <w:sz w:val="24"/>
          <w:szCs w:val="24"/>
        </w:rPr>
        <w:t xml:space="preserve">Tas nozīmē, ka </w:t>
      </w:r>
      <w:r w:rsidR="00EA4D3B" w:rsidRPr="00990CFA">
        <w:rPr>
          <w:sz w:val="24"/>
          <w:szCs w:val="24"/>
        </w:rPr>
        <w:t xml:space="preserve">lietā </w:t>
      </w:r>
      <w:r w:rsidR="008D3DFE" w:rsidRPr="00990CFA">
        <w:rPr>
          <w:sz w:val="24"/>
          <w:szCs w:val="24"/>
        </w:rPr>
        <w:t xml:space="preserve">pieteicēja ir izteikusi apgalvojumus par faktiem un norādījusi uz pierādījumiem, kas var pierādīt to patiesumu. </w:t>
      </w:r>
      <w:r w:rsidR="003C6962" w:rsidRPr="00990CFA">
        <w:rPr>
          <w:sz w:val="24"/>
          <w:szCs w:val="24"/>
        </w:rPr>
        <w:t>Š</w:t>
      </w:r>
      <w:r w:rsidR="00F15C64" w:rsidRPr="00990CFA">
        <w:rPr>
          <w:sz w:val="24"/>
          <w:szCs w:val="24"/>
        </w:rPr>
        <w:t xml:space="preserve">ie apstākļi </w:t>
      </w:r>
      <w:r w:rsidR="00EA4D3B" w:rsidRPr="00990CFA">
        <w:rPr>
          <w:sz w:val="24"/>
          <w:szCs w:val="24"/>
        </w:rPr>
        <w:t>tiesai bija jāpārbauda.</w:t>
      </w:r>
    </w:p>
    <w:p w14:paraId="337CECD4" w14:textId="276DBDF2" w:rsidR="0007108B" w:rsidRDefault="00EA4D3B" w:rsidP="000F659C">
      <w:pPr>
        <w:pStyle w:val="CommentText"/>
        <w:spacing w:line="276" w:lineRule="auto"/>
        <w:ind w:firstLine="567"/>
        <w:jc w:val="both"/>
        <w:rPr>
          <w:sz w:val="24"/>
          <w:szCs w:val="24"/>
        </w:rPr>
      </w:pPr>
      <w:r w:rsidRPr="00990CFA">
        <w:rPr>
          <w:sz w:val="24"/>
          <w:szCs w:val="24"/>
        </w:rPr>
        <w:t xml:space="preserve">Turklāt tiesai pierādījumi ir jāpārbauda pašai. </w:t>
      </w:r>
      <w:r w:rsidR="001434ED" w:rsidRPr="00990CFA">
        <w:rPr>
          <w:sz w:val="24"/>
          <w:szCs w:val="24"/>
        </w:rPr>
        <w:t>Citas iestādes viedokli tiesa var apsvērt, taču tam nav pierādījuma nozīmes (</w:t>
      </w:r>
      <w:r w:rsidR="001434ED" w:rsidRPr="00990CFA">
        <w:rPr>
          <w:i/>
          <w:sz w:val="24"/>
          <w:szCs w:val="24"/>
        </w:rPr>
        <w:t xml:space="preserve">Senāta </w:t>
      </w:r>
      <w:proofErr w:type="gramStart"/>
      <w:r w:rsidR="001434ED" w:rsidRPr="00990CFA">
        <w:rPr>
          <w:i/>
          <w:sz w:val="24"/>
          <w:szCs w:val="24"/>
        </w:rPr>
        <w:t>2014.gada</w:t>
      </w:r>
      <w:proofErr w:type="gramEnd"/>
      <w:r w:rsidR="001434ED" w:rsidRPr="00990CFA">
        <w:rPr>
          <w:i/>
          <w:sz w:val="24"/>
          <w:szCs w:val="24"/>
        </w:rPr>
        <w:t xml:space="preserve"> 4.aprīļa sprieduma lietā Nr. SKA-164/20014 (A42973709)</w:t>
      </w:r>
      <w:r w:rsidR="001434ED" w:rsidRPr="00990CFA">
        <w:rPr>
          <w:sz w:val="24"/>
          <w:szCs w:val="24"/>
        </w:rPr>
        <w:t xml:space="preserve"> </w:t>
      </w:r>
      <w:r w:rsidR="001434ED" w:rsidRPr="00990CFA">
        <w:rPr>
          <w:i/>
          <w:sz w:val="24"/>
          <w:szCs w:val="24"/>
        </w:rPr>
        <w:t>18.punkts</w:t>
      </w:r>
      <w:r w:rsidR="001434ED" w:rsidRPr="00990CFA">
        <w:rPr>
          <w:sz w:val="24"/>
          <w:szCs w:val="24"/>
        </w:rPr>
        <w:t xml:space="preserve">). </w:t>
      </w:r>
      <w:r w:rsidR="003F7066" w:rsidRPr="00990CFA">
        <w:rPr>
          <w:sz w:val="24"/>
          <w:szCs w:val="24"/>
        </w:rPr>
        <w:t>Šādā lietā l</w:t>
      </w:r>
      <w:r w:rsidR="00F15C64" w:rsidRPr="00990CFA">
        <w:rPr>
          <w:sz w:val="24"/>
          <w:szCs w:val="24"/>
        </w:rPr>
        <w:t>ietas apstākļu pierādīšanai nav pietiekami atsaukties uz citas</w:t>
      </w:r>
      <w:r w:rsidR="00F15C64">
        <w:rPr>
          <w:sz w:val="24"/>
          <w:szCs w:val="24"/>
        </w:rPr>
        <w:t xml:space="preserve"> institūcijas, konkrētajā gadījumā</w:t>
      </w:r>
      <w:r w:rsidR="003F7066">
        <w:rPr>
          <w:sz w:val="24"/>
          <w:szCs w:val="24"/>
        </w:rPr>
        <w:t xml:space="preserve"> –</w:t>
      </w:r>
      <w:r w:rsidR="008D3DFE">
        <w:rPr>
          <w:sz w:val="24"/>
          <w:szCs w:val="24"/>
        </w:rPr>
        <w:t xml:space="preserve"> </w:t>
      </w:r>
      <w:r w:rsidR="00F15C64">
        <w:rPr>
          <w:sz w:val="24"/>
          <w:szCs w:val="24"/>
        </w:rPr>
        <w:t>tiesībsarga vēstulē izdarītu secinājumu</w:t>
      </w:r>
      <w:r w:rsidR="003F7066">
        <w:rPr>
          <w:sz w:val="24"/>
          <w:szCs w:val="24"/>
        </w:rPr>
        <w:t xml:space="preserve"> –</w:t>
      </w:r>
      <w:r w:rsidR="00F15C64">
        <w:rPr>
          <w:sz w:val="24"/>
          <w:szCs w:val="24"/>
        </w:rPr>
        <w:t xml:space="preserve">, bet tiesai pašai no konkrētiem pierādījumiem ir jākonstatē </w:t>
      </w:r>
      <w:r w:rsidR="00BD6769">
        <w:rPr>
          <w:sz w:val="24"/>
          <w:szCs w:val="24"/>
        </w:rPr>
        <w:t xml:space="preserve">lietas izšķiršanai būtiskie </w:t>
      </w:r>
      <w:r w:rsidR="00F15C64">
        <w:rPr>
          <w:sz w:val="24"/>
          <w:szCs w:val="24"/>
        </w:rPr>
        <w:t>apstākļi</w:t>
      </w:r>
      <w:r w:rsidR="00BD6769">
        <w:rPr>
          <w:sz w:val="24"/>
          <w:szCs w:val="24"/>
        </w:rPr>
        <w:t xml:space="preserve"> un</w:t>
      </w:r>
      <w:r w:rsidR="008D3DFE">
        <w:rPr>
          <w:sz w:val="24"/>
          <w:szCs w:val="24"/>
        </w:rPr>
        <w:t xml:space="preserve"> </w:t>
      </w:r>
      <w:r w:rsidR="00BD6769">
        <w:rPr>
          <w:sz w:val="24"/>
          <w:szCs w:val="24"/>
        </w:rPr>
        <w:t>tie patstāvīgi jāvērtē</w:t>
      </w:r>
      <w:r w:rsidR="00F15C64">
        <w:rPr>
          <w:sz w:val="24"/>
          <w:szCs w:val="24"/>
        </w:rPr>
        <w:t>.</w:t>
      </w:r>
    </w:p>
    <w:p w14:paraId="15AE99DA" w14:textId="77777777" w:rsidR="0007108B" w:rsidRDefault="0007108B" w:rsidP="000F659C">
      <w:pPr>
        <w:pStyle w:val="CommentText"/>
        <w:spacing w:line="276" w:lineRule="auto"/>
        <w:ind w:firstLine="567"/>
        <w:jc w:val="both"/>
        <w:rPr>
          <w:sz w:val="24"/>
          <w:szCs w:val="24"/>
        </w:rPr>
      </w:pPr>
    </w:p>
    <w:p w14:paraId="57745935" w14:textId="6AB0593A" w:rsidR="00DA7797" w:rsidRPr="00DA7797" w:rsidRDefault="0028044C" w:rsidP="000F659C">
      <w:pPr>
        <w:pStyle w:val="CommentText"/>
        <w:spacing w:line="276" w:lineRule="auto"/>
        <w:ind w:firstLine="567"/>
        <w:jc w:val="both"/>
        <w:rPr>
          <w:sz w:val="24"/>
          <w:szCs w:val="24"/>
        </w:rPr>
      </w:pPr>
      <w:r>
        <w:rPr>
          <w:sz w:val="24"/>
          <w:szCs w:val="24"/>
        </w:rPr>
        <w:t>[</w:t>
      </w:r>
      <w:r w:rsidR="008B6446">
        <w:rPr>
          <w:sz w:val="24"/>
          <w:szCs w:val="24"/>
        </w:rPr>
        <w:t>1</w:t>
      </w:r>
      <w:r w:rsidR="009B0045">
        <w:rPr>
          <w:sz w:val="24"/>
          <w:szCs w:val="24"/>
        </w:rPr>
        <w:t>3</w:t>
      </w:r>
      <w:r>
        <w:rPr>
          <w:sz w:val="24"/>
          <w:szCs w:val="24"/>
        </w:rPr>
        <w:t>]</w:t>
      </w:r>
      <w:r w:rsidR="005454FD">
        <w:rPr>
          <w:sz w:val="24"/>
          <w:szCs w:val="24"/>
        </w:rPr>
        <w:t> </w:t>
      </w:r>
      <w:r w:rsidR="001A0CDC" w:rsidRPr="00DA7797">
        <w:rPr>
          <w:sz w:val="24"/>
          <w:szCs w:val="24"/>
        </w:rPr>
        <w:t>Apgabaltiesa</w:t>
      </w:r>
      <w:r w:rsidR="002454EE">
        <w:rPr>
          <w:sz w:val="24"/>
          <w:szCs w:val="24"/>
        </w:rPr>
        <w:t>, noraidot pieteikumu,</w:t>
      </w:r>
      <w:r w:rsidR="001A0CDC" w:rsidRPr="00DA7797">
        <w:rPr>
          <w:sz w:val="24"/>
          <w:szCs w:val="24"/>
        </w:rPr>
        <w:t xml:space="preserve"> ir atzinusi, ka </w:t>
      </w:r>
      <w:r w:rsidR="00145BC3">
        <w:rPr>
          <w:sz w:val="24"/>
          <w:szCs w:val="24"/>
        </w:rPr>
        <w:t>b</w:t>
      </w:r>
      <w:r w:rsidR="00DA7797" w:rsidRPr="00DA7797">
        <w:rPr>
          <w:sz w:val="24"/>
          <w:szCs w:val="24"/>
        </w:rPr>
        <w:t xml:space="preserve">ērna emocionālā piesaiste pieteicējai vēl nav tik stabila, lai ilgākā aprūpē pie pieteicējas bērns justos drošībā. Senāts uzskata, ka, izdarot šo secinājumu, tiesa nav ņēmusi vērā situāciju kopumā un </w:t>
      </w:r>
      <w:r w:rsidR="003F7066">
        <w:rPr>
          <w:sz w:val="24"/>
          <w:szCs w:val="24"/>
        </w:rPr>
        <w:t xml:space="preserve">nav noskaidrojusi, </w:t>
      </w:r>
      <w:r w:rsidR="000749C6">
        <w:rPr>
          <w:sz w:val="24"/>
          <w:szCs w:val="24"/>
        </w:rPr>
        <w:t xml:space="preserve">vai </w:t>
      </w:r>
      <w:r w:rsidR="00DA7797" w:rsidRPr="00DA7797">
        <w:rPr>
          <w:sz w:val="24"/>
          <w:szCs w:val="24"/>
        </w:rPr>
        <w:t xml:space="preserve">šāds secinājums </w:t>
      </w:r>
      <w:r w:rsidR="000749C6">
        <w:rPr>
          <w:sz w:val="24"/>
          <w:szCs w:val="24"/>
        </w:rPr>
        <w:t>ir</w:t>
      </w:r>
      <w:r w:rsidR="00DA7797" w:rsidRPr="00DA7797">
        <w:rPr>
          <w:sz w:val="24"/>
          <w:szCs w:val="24"/>
        </w:rPr>
        <w:t xml:space="preserve"> vērsts uz bērna situācijas ilgtspējīgu risinājumu.</w:t>
      </w:r>
    </w:p>
    <w:p w14:paraId="714CE454" w14:textId="699E4C81" w:rsidR="0061464D" w:rsidRDefault="001A0CDC" w:rsidP="000F659C">
      <w:pPr>
        <w:pStyle w:val="CommentText"/>
        <w:spacing w:line="276" w:lineRule="auto"/>
        <w:ind w:firstLine="567"/>
        <w:jc w:val="both"/>
        <w:rPr>
          <w:sz w:val="24"/>
          <w:szCs w:val="24"/>
        </w:rPr>
      </w:pPr>
      <w:r w:rsidRPr="00DA7797">
        <w:rPr>
          <w:sz w:val="24"/>
          <w:szCs w:val="24"/>
        </w:rPr>
        <w:t>Ja bērns jau ilgu laiku dzīvo pie audžumātes</w:t>
      </w:r>
      <w:r w:rsidR="00C10B9B">
        <w:rPr>
          <w:sz w:val="24"/>
          <w:szCs w:val="24"/>
        </w:rPr>
        <w:t>,</w:t>
      </w:r>
      <w:r w:rsidRPr="00DA7797">
        <w:rPr>
          <w:sz w:val="24"/>
          <w:szCs w:val="24"/>
        </w:rPr>
        <w:t xml:space="preserve"> pieteicēju satiek tikai noteiktos laikos</w:t>
      </w:r>
      <w:r w:rsidR="00C10B9B" w:rsidRPr="00C10B9B">
        <w:rPr>
          <w:sz w:val="24"/>
          <w:szCs w:val="24"/>
        </w:rPr>
        <w:t xml:space="preserve"> </w:t>
      </w:r>
      <w:r w:rsidR="00C10B9B">
        <w:rPr>
          <w:sz w:val="24"/>
          <w:szCs w:val="24"/>
        </w:rPr>
        <w:t xml:space="preserve">un ar </w:t>
      </w:r>
      <w:r w:rsidR="00C10B9B" w:rsidRPr="00DA7797">
        <w:rPr>
          <w:sz w:val="24"/>
          <w:szCs w:val="24"/>
        </w:rPr>
        <w:t>pieteicēju pavada maz laika</w:t>
      </w:r>
      <w:r w:rsidRPr="00DA7797">
        <w:rPr>
          <w:sz w:val="24"/>
          <w:szCs w:val="24"/>
        </w:rPr>
        <w:t xml:space="preserve">, tad bērnam dabiski nevar izveidoties noturīgas </w:t>
      </w:r>
      <w:r w:rsidR="003F7066">
        <w:rPr>
          <w:sz w:val="24"/>
          <w:szCs w:val="24"/>
        </w:rPr>
        <w:t xml:space="preserve">psiholoģiskās </w:t>
      </w:r>
      <w:r w:rsidRPr="00DA7797">
        <w:rPr>
          <w:sz w:val="24"/>
          <w:szCs w:val="24"/>
        </w:rPr>
        <w:t xml:space="preserve">saites ar </w:t>
      </w:r>
      <w:r w:rsidRPr="00DA7797">
        <w:rPr>
          <w:sz w:val="24"/>
          <w:szCs w:val="24"/>
        </w:rPr>
        <w:lastRenderedPageBreak/>
        <w:t>pieteicēju</w:t>
      </w:r>
      <w:r w:rsidR="00C10B9B">
        <w:rPr>
          <w:sz w:val="24"/>
          <w:szCs w:val="24"/>
        </w:rPr>
        <w:t>.</w:t>
      </w:r>
      <w:r w:rsidRPr="00DA7797">
        <w:rPr>
          <w:sz w:val="24"/>
          <w:szCs w:val="24"/>
        </w:rPr>
        <w:t xml:space="preserve"> Ja šīs attiecības turpinā</w:t>
      </w:r>
      <w:r w:rsidR="001D79CB">
        <w:rPr>
          <w:sz w:val="24"/>
          <w:szCs w:val="24"/>
        </w:rPr>
        <w:t>s</w:t>
      </w:r>
      <w:r w:rsidRPr="00DA7797">
        <w:rPr>
          <w:sz w:val="24"/>
          <w:szCs w:val="24"/>
        </w:rPr>
        <w:t xml:space="preserve"> tādā pašā dinamikā, tad nav sagaidāms, ka bērns tuvinās </w:t>
      </w:r>
      <w:r w:rsidR="00102FD0">
        <w:rPr>
          <w:sz w:val="24"/>
          <w:szCs w:val="24"/>
        </w:rPr>
        <w:t>p</w:t>
      </w:r>
      <w:r w:rsidRPr="00DA7797">
        <w:rPr>
          <w:sz w:val="24"/>
          <w:szCs w:val="24"/>
        </w:rPr>
        <w:t>i</w:t>
      </w:r>
      <w:r w:rsidR="00102FD0">
        <w:rPr>
          <w:sz w:val="24"/>
          <w:szCs w:val="24"/>
        </w:rPr>
        <w:t>eteicējai</w:t>
      </w:r>
      <w:r w:rsidRPr="00DA7797">
        <w:rPr>
          <w:sz w:val="24"/>
          <w:szCs w:val="24"/>
        </w:rPr>
        <w:t xml:space="preserve"> un ģimenes attiecības atjauno</w:t>
      </w:r>
      <w:r w:rsidR="00AE7CE5">
        <w:rPr>
          <w:sz w:val="24"/>
          <w:szCs w:val="24"/>
        </w:rPr>
        <w:t>ja</w:t>
      </w:r>
      <w:r w:rsidRPr="00DA7797">
        <w:rPr>
          <w:sz w:val="24"/>
          <w:szCs w:val="24"/>
        </w:rPr>
        <w:t xml:space="preserve">s, bet gan </w:t>
      </w:r>
      <w:r w:rsidR="003F7066">
        <w:rPr>
          <w:sz w:val="24"/>
          <w:szCs w:val="24"/>
        </w:rPr>
        <w:t xml:space="preserve">otrādi – </w:t>
      </w:r>
      <w:r w:rsidRPr="00DA7797">
        <w:rPr>
          <w:sz w:val="24"/>
          <w:szCs w:val="24"/>
        </w:rPr>
        <w:t>bērns arvien vairāk atsvešinās</w:t>
      </w:r>
      <w:r w:rsidR="00517E8E">
        <w:rPr>
          <w:sz w:val="24"/>
          <w:szCs w:val="24"/>
        </w:rPr>
        <w:t xml:space="preserve"> </w:t>
      </w:r>
      <w:r w:rsidRPr="00DA7797">
        <w:rPr>
          <w:sz w:val="24"/>
          <w:szCs w:val="24"/>
        </w:rPr>
        <w:t xml:space="preserve">no </w:t>
      </w:r>
      <w:r w:rsidR="00AA1EBE">
        <w:rPr>
          <w:sz w:val="24"/>
          <w:szCs w:val="24"/>
        </w:rPr>
        <w:t>pieteicēja</w:t>
      </w:r>
      <w:r w:rsidRPr="00DA7797">
        <w:rPr>
          <w:sz w:val="24"/>
          <w:szCs w:val="24"/>
        </w:rPr>
        <w:t>s.</w:t>
      </w:r>
    </w:p>
    <w:p w14:paraId="73A89DFD" w14:textId="3224F9AF" w:rsidR="0006185F" w:rsidRPr="0006185F" w:rsidRDefault="001A0CDC" w:rsidP="000F659C">
      <w:pPr>
        <w:pStyle w:val="CommentText"/>
        <w:spacing w:line="276" w:lineRule="auto"/>
        <w:ind w:firstLine="567"/>
        <w:jc w:val="both"/>
        <w:rPr>
          <w:sz w:val="24"/>
          <w:szCs w:val="24"/>
        </w:rPr>
      </w:pPr>
      <w:r w:rsidRPr="00DA7797">
        <w:rPr>
          <w:sz w:val="24"/>
          <w:szCs w:val="24"/>
        </w:rPr>
        <w:t>Bāriņtiesai ir jāveicina bērna un pieteicējas saskarsmes kvalitatīva atjaunošana</w:t>
      </w:r>
      <w:r w:rsidR="005C002A">
        <w:rPr>
          <w:sz w:val="24"/>
          <w:szCs w:val="24"/>
        </w:rPr>
        <w:t>.</w:t>
      </w:r>
      <w:r w:rsidR="0061464D">
        <w:rPr>
          <w:sz w:val="24"/>
          <w:szCs w:val="24"/>
        </w:rPr>
        <w:t xml:space="preserve"> </w:t>
      </w:r>
      <w:r w:rsidR="00B25EC7">
        <w:rPr>
          <w:sz w:val="24"/>
          <w:szCs w:val="24"/>
        </w:rPr>
        <w:t>B</w:t>
      </w:r>
      <w:r w:rsidRPr="00DA7797">
        <w:rPr>
          <w:sz w:val="24"/>
          <w:szCs w:val="24"/>
        </w:rPr>
        <w:t>āriņtiesa nevar palikt pasīvs situācijas novērotājs,</w:t>
      </w:r>
      <w:r w:rsidR="00406A74">
        <w:rPr>
          <w:sz w:val="24"/>
          <w:szCs w:val="24"/>
        </w:rPr>
        <w:t xml:space="preserve"> īpaši apstākļos,</w:t>
      </w:r>
      <w:r w:rsidRPr="00DA7797">
        <w:rPr>
          <w:sz w:val="24"/>
          <w:szCs w:val="24"/>
        </w:rPr>
        <w:t xml:space="preserve"> ja pieteicējas asistente ir norādījusi </w:t>
      </w:r>
      <w:r w:rsidR="00406A74">
        <w:rPr>
          <w:sz w:val="24"/>
          <w:szCs w:val="24"/>
        </w:rPr>
        <w:t xml:space="preserve">bāriņtiesai </w:t>
      </w:r>
      <w:r w:rsidRPr="00DA7797">
        <w:rPr>
          <w:sz w:val="24"/>
          <w:szCs w:val="24"/>
        </w:rPr>
        <w:t xml:space="preserve">uz </w:t>
      </w:r>
      <w:r w:rsidR="00BD6769" w:rsidRPr="00DA7797">
        <w:rPr>
          <w:sz w:val="24"/>
          <w:szCs w:val="24"/>
        </w:rPr>
        <w:t xml:space="preserve">audžumātes </w:t>
      </w:r>
      <w:r w:rsidR="00BD6769">
        <w:rPr>
          <w:sz w:val="24"/>
          <w:szCs w:val="24"/>
        </w:rPr>
        <w:t>ve</w:t>
      </w:r>
      <w:r w:rsidR="003F7066">
        <w:rPr>
          <w:sz w:val="24"/>
          <w:szCs w:val="24"/>
        </w:rPr>
        <w:t>i</w:t>
      </w:r>
      <w:r w:rsidR="00BD6769">
        <w:rPr>
          <w:sz w:val="24"/>
          <w:szCs w:val="24"/>
        </w:rPr>
        <w:t xml:space="preserve">cinātām </w:t>
      </w:r>
      <w:r w:rsidRPr="00DA7797">
        <w:rPr>
          <w:sz w:val="24"/>
          <w:szCs w:val="24"/>
        </w:rPr>
        <w:t>problēmām</w:t>
      </w:r>
      <w:r w:rsidR="00B25EC7">
        <w:rPr>
          <w:sz w:val="24"/>
          <w:szCs w:val="24"/>
        </w:rPr>
        <w:t xml:space="preserve">. </w:t>
      </w:r>
      <w:r w:rsidR="00757D61">
        <w:rPr>
          <w:sz w:val="24"/>
          <w:szCs w:val="24"/>
        </w:rPr>
        <w:t>N</w:t>
      </w:r>
      <w:r w:rsidR="0006185F" w:rsidRPr="0006185F">
        <w:rPr>
          <w:sz w:val="24"/>
          <w:szCs w:val="24"/>
        </w:rPr>
        <w:t>egatīva komunikācija audžumātes</w:t>
      </w:r>
      <w:r w:rsidR="0030619F">
        <w:rPr>
          <w:sz w:val="24"/>
          <w:szCs w:val="24"/>
        </w:rPr>
        <w:t>,</w:t>
      </w:r>
      <w:r w:rsidR="0006185F" w:rsidRPr="0006185F">
        <w:rPr>
          <w:sz w:val="24"/>
          <w:szCs w:val="24"/>
        </w:rPr>
        <w:t xml:space="preserve"> pieteicējas</w:t>
      </w:r>
      <w:r w:rsidR="0030619F">
        <w:rPr>
          <w:sz w:val="24"/>
          <w:szCs w:val="24"/>
        </w:rPr>
        <w:t xml:space="preserve"> un pieteicējas asistentes</w:t>
      </w:r>
      <w:r w:rsidR="0006185F" w:rsidRPr="0006185F">
        <w:rPr>
          <w:sz w:val="24"/>
          <w:szCs w:val="24"/>
        </w:rPr>
        <w:t xml:space="preserve"> starpā nenoliedzami atstāj iespaidu uz to, kā notiek bērna un pieteicējas saskarsme</w:t>
      </w:r>
      <w:r w:rsidR="008760A6">
        <w:rPr>
          <w:sz w:val="24"/>
          <w:szCs w:val="24"/>
        </w:rPr>
        <w:t>, kā tā attīstās ilgtermiņā</w:t>
      </w:r>
      <w:r w:rsidR="0006185F" w:rsidRPr="0006185F">
        <w:rPr>
          <w:sz w:val="24"/>
          <w:szCs w:val="24"/>
        </w:rPr>
        <w:t xml:space="preserve">. Tāpēc, ja </w:t>
      </w:r>
      <w:r w:rsidR="00BD6769" w:rsidRPr="0006185F">
        <w:rPr>
          <w:sz w:val="24"/>
          <w:szCs w:val="24"/>
        </w:rPr>
        <w:t>bāriņtiesa</w:t>
      </w:r>
      <w:r w:rsidR="00BD6769">
        <w:rPr>
          <w:sz w:val="24"/>
          <w:szCs w:val="24"/>
        </w:rPr>
        <w:t>s</w:t>
      </w:r>
      <w:r w:rsidR="00BD6769" w:rsidRPr="0006185F">
        <w:rPr>
          <w:sz w:val="24"/>
          <w:szCs w:val="24"/>
        </w:rPr>
        <w:t xml:space="preserve"> </w:t>
      </w:r>
      <w:r w:rsidR="0006185F" w:rsidRPr="0006185F">
        <w:rPr>
          <w:sz w:val="24"/>
          <w:szCs w:val="24"/>
        </w:rPr>
        <w:t xml:space="preserve">rīcībā nonāk šādas ziņas un </w:t>
      </w:r>
      <w:r w:rsidR="00BD6769">
        <w:rPr>
          <w:sz w:val="24"/>
          <w:szCs w:val="24"/>
        </w:rPr>
        <w:t>tā</w:t>
      </w:r>
      <w:r w:rsidR="00BD6769" w:rsidRPr="0006185F">
        <w:rPr>
          <w:sz w:val="24"/>
          <w:szCs w:val="24"/>
        </w:rPr>
        <w:t xml:space="preserve"> </w:t>
      </w:r>
      <w:r w:rsidR="0006185F" w:rsidRPr="0006185F">
        <w:rPr>
          <w:sz w:val="24"/>
          <w:szCs w:val="24"/>
        </w:rPr>
        <w:t xml:space="preserve">jautājumu </w:t>
      </w:r>
      <w:r w:rsidR="000E5C0D">
        <w:rPr>
          <w:sz w:val="24"/>
          <w:szCs w:val="24"/>
        </w:rPr>
        <w:t>nerisina</w:t>
      </w:r>
      <w:r w:rsidR="0006185F" w:rsidRPr="0006185F">
        <w:rPr>
          <w:sz w:val="24"/>
          <w:szCs w:val="24"/>
        </w:rPr>
        <w:t>, bāriņtiesa nenodrošina bērna tiesību</w:t>
      </w:r>
      <w:r w:rsidR="00605C79">
        <w:rPr>
          <w:sz w:val="24"/>
          <w:szCs w:val="24"/>
        </w:rPr>
        <w:t xml:space="preserve"> efektīvu</w:t>
      </w:r>
      <w:r w:rsidR="0006185F" w:rsidRPr="0006185F">
        <w:rPr>
          <w:sz w:val="24"/>
          <w:szCs w:val="24"/>
        </w:rPr>
        <w:t xml:space="preserve"> aizsardzību</w:t>
      </w:r>
      <w:r w:rsidR="00605C79">
        <w:rPr>
          <w:sz w:val="24"/>
          <w:szCs w:val="24"/>
        </w:rPr>
        <w:t>.</w:t>
      </w:r>
    </w:p>
    <w:p w14:paraId="17B2FFF1" w14:textId="2260F2F7" w:rsidR="00E56E40" w:rsidRPr="00E56E40" w:rsidRDefault="00E56E40" w:rsidP="000F659C">
      <w:pPr>
        <w:pStyle w:val="CommentText"/>
        <w:spacing w:line="276" w:lineRule="auto"/>
        <w:ind w:firstLine="567"/>
        <w:jc w:val="both"/>
        <w:rPr>
          <w:sz w:val="24"/>
          <w:szCs w:val="24"/>
        </w:rPr>
      </w:pPr>
      <w:r w:rsidRPr="00E56E40">
        <w:rPr>
          <w:sz w:val="24"/>
          <w:szCs w:val="24"/>
        </w:rPr>
        <w:t xml:space="preserve">Turklāt, ja no lietas materiāliem ir redzams, </w:t>
      </w:r>
      <w:proofErr w:type="gramStart"/>
      <w:r w:rsidRPr="00E56E40">
        <w:rPr>
          <w:sz w:val="24"/>
          <w:szCs w:val="24"/>
        </w:rPr>
        <w:t xml:space="preserve">ka </w:t>
      </w:r>
      <w:r w:rsidR="00757D61">
        <w:rPr>
          <w:sz w:val="24"/>
          <w:szCs w:val="24"/>
        </w:rPr>
        <w:t>ir</w:t>
      </w:r>
      <w:r w:rsidRPr="00E56E40">
        <w:rPr>
          <w:sz w:val="24"/>
          <w:szCs w:val="24"/>
        </w:rPr>
        <w:t xml:space="preserve"> nesaskaņas pieteicējas</w:t>
      </w:r>
      <w:r w:rsidR="0030186A">
        <w:rPr>
          <w:sz w:val="24"/>
          <w:szCs w:val="24"/>
        </w:rPr>
        <w:t>,</w:t>
      </w:r>
      <w:r w:rsidRPr="00E56E40">
        <w:rPr>
          <w:sz w:val="24"/>
          <w:szCs w:val="24"/>
        </w:rPr>
        <w:t xml:space="preserve"> pieteicējas asistentes un audžumātes starpā, tad tiesai vēl</w:t>
      </w:r>
      <w:proofErr w:type="gramEnd"/>
      <w:r w:rsidR="001E5421">
        <w:rPr>
          <w:sz w:val="24"/>
          <w:szCs w:val="24"/>
        </w:rPr>
        <w:t xml:space="preserve"> </w:t>
      </w:r>
      <w:r w:rsidRPr="00E56E40">
        <w:rPr>
          <w:sz w:val="24"/>
          <w:szCs w:val="24"/>
        </w:rPr>
        <w:t>jo</w:t>
      </w:r>
      <w:r w:rsidR="00C242CB">
        <w:rPr>
          <w:sz w:val="24"/>
          <w:szCs w:val="24"/>
        </w:rPr>
        <w:t xml:space="preserve"> būtiskāk</w:t>
      </w:r>
      <w:r w:rsidRPr="00E56E40">
        <w:rPr>
          <w:sz w:val="24"/>
          <w:szCs w:val="24"/>
        </w:rPr>
        <w:t xml:space="preserve"> </w:t>
      </w:r>
      <w:r w:rsidR="009B476E">
        <w:rPr>
          <w:sz w:val="24"/>
          <w:szCs w:val="24"/>
        </w:rPr>
        <w:t>ir</w:t>
      </w:r>
      <w:r w:rsidRPr="00E56E40">
        <w:rPr>
          <w:sz w:val="24"/>
          <w:szCs w:val="24"/>
        </w:rPr>
        <w:t xml:space="preserve"> </w:t>
      </w:r>
      <w:r w:rsidR="00757D61">
        <w:rPr>
          <w:sz w:val="24"/>
          <w:szCs w:val="24"/>
        </w:rPr>
        <w:t xml:space="preserve">noskaidrot </w:t>
      </w:r>
      <w:r w:rsidRPr="00E56E40">
        <w:rPr>
          <w:sz w:val="24"/>
          <w:szCs w:val="24"/>
        </w:rPr>
        <w:t xml:space="preserve">pieteicējas asistentes </w:t>
      </w:r>
      <w:r w:rsidR="00757D61">
        <w:rPr>
          <w:sz w:val="24"/>
          <w:szCs w:val="24"/>
        </w:rPr>
        <w:t>viedokli</w:t>
      </w:r>
      <w:r w:rsidRPr="00E56E40">
        <w:rPr>
          <w:sz w:val="24"/>
          <w:szCs w:val="24"/>
        </w:rPr>
        <w:t>.</w:t>
      </w:r>
    </w:p>
    <w:p w14:paraId="60E7C83F" w14:textId="3FA8F9A9" w:rsidR="009967E6" w:rsidRDefault="008F53CA" w:rsidP="000F659C">
      <w:pPr>
        <w:spacing w:line="276" w:lineRule="auto"/>
        <w:ind w:firstLine="567"/>
        <w:jc w:val="both"/>
      </w:pPr>
      <w:r>
        <w:t xml:space="preserve">Kasācijas sūdzībā pieteicēja </w:t>
      </w:r>
      <w:r w:rsidR="00BB5FEB">
        <w:t xml:space="preserve">arī norāda uz </w:t>
      </w:r>
      <w:r w:rsidR="00DA07F8">
        <w:t xml:space="preserve">iespējamu </w:t>
      </w:r>
      <w:r w:rsidR="00C47F6D">
        <w:t xml:space="preserve">bāriņtiesas </w:t>
      </w:r>
      <w:r w:rsidR="00DA07F8">
        <w:t>neobjektivitāti lietā</w:t>
      </w:r>
      <w:r w:rsidR="00C47F6D">
        <w:t>. Proti,</w:t>
      </w:r>
      <w:r w:rsidR="00DA07F8">
        <w:t xml:space="preserve"> </w:t>
      </w:r>
      <w:r w:rsidR="000B0C3B">
        <w:t xml:space="preserve">bāriņtiesas darbiniece (kura ir </w:t>
      </w:r>
      <w:r w:rsidR="00C47F6D">
        <w:t xml:space="preserve">arī </w:t>
      </w:r>
      <w:r w:rsidR="000B0C3B">
        <w:t xml:space="preserve">bērna sevišķā aizbildne civillietā) un bērna audžumāte ir draudzīgās attiecībās, kas pieteicējas ieskatā varētu būt viens no izšķirošiem faktoriem, kāpēc pieteicējas iebildumi par audžumātes rīcību bāriņtiesā </w:t>
      </w:r>
      <w:r w:rsidR="00BD13C3">
        <w:t xml:space="preserve">paliek bez ievērības. Senāts </w:t>
      </w:r>
      <w:r w:rsidR="00757D61">
        <w:t>uzskata</w:t>
      </w:r>
      <w:r w:rsidR="00BD13C3">
        <w:t xml:space="preserve">, ka, atkārtoti izskatot lietu, tiesai ir jāpārbauda arī šis apstāklis, tas ir, vai </w:t>
      </w:r>
      <w:r w:rsidR="00C47F6D">
        <w:t xml:space="preserve">bāriņtiesa </w:t>
      </w:r>
      <w:r w:rsidR="001A0164">
        <w:t>nav</w:t>
      </w:r>
      <w:r w:rsidR="00BD13C3">
        <w:t xml:space="preserve"> pieļ</w:t>
      </w:r>
      <w:r w:rsidR="00C47F6D">
        <w:t>āvusi</w:t>
      </w:r>
      <w:r w:rsidR="00BD13C3">
        <w:t xml:space="preserve"> neobjektivitāt</w:t>
      </w:r>
      <w:r w:rsidR="00C47F6D">
        <w:t>i</w:t>
      </w:r>
      <w:r w:rsidR="00BD13C3">
        <w:t>.</w:t>
      </w:r>
    </w:p>
    <w:p w14:paraId="7B631231" w14:textId="77777777" w:rsidR="00664388" w:rsidRDefault="00664388" w:rsidP="000F659C">
      <w:pPr>
        <w:pStyle w:val="CommentText"/>
        <w:spacing w:line="276" w:lineRule="auto"/>
        <w:ind w:firstLine="567"/>
        <w:jc w:val="both"/>
        <w:rPr>
          <w:sz w:val="24"/>
          <w:szCs w:val="24"/>
        </w:rPr>
      </w:pPr>
    </w:p>
    <w:p w14:paraId="2602A42E" w14:textId="23D1F0D7" w:rsidR="006921A4" w:rsidRDefault="009967E6" w:rsidP="000F659C">
      <w:pPr>
        <w:pStyle w:val="CommentText"/>
        <w:spacing w:line="276" w:lineRule="auto"/>
        <w:ind w:firstLine="567"/>
        <w:jc w:val="both"/>
        <w:rPr>
          <w:sz w:val="24"/>
          <w:szCs w:val="24"/>
        </w:rPr>
      </w:pPr>
      <w:r w:rsidRPr="009967E6">
        <w:rPr>
          <w:sz w:val="24"/>
          <w:szCs w:val="24"/>
        </w:rPr>
        <w:t>[</w:t>
      </w:r>
      <w:r w:rsidR="008B6446">
        <w:rPr>
          <w:sz w:val="24"/>
          <w:szCs w:val="24"/>
        </w:rPr>
        <w:t>1</w:t>
      </w:r>
      <w:r w:rsidR="009B0045">
        <w:rPr>
          <w:sz w:val="24"/>
          <w:szCs w:val="24"/>
        </w:rPr>
        <w:t>4</w:t>
      </w:r>
      <w:r w:rsidRPr="009967E6">
        <w:rPr>
          <w:sz w:val="24"/>
          <w:szCs w:val="24"/>
        </w:rPr>
        <w:t>]</w:t>
      </w:r>
      <w:r w:rsidR="005454FD">
        <w:rPr>
          <w:sz w:val="24"/>
          <w:szCs w:val="24"/>
        </w:rPr>
        <w:t> </w:t>
      </w:r>
      <w:r w:rsidRPr="009967E6">
        <w:rPr>
          <w:sz w:val="24"/>
          <w:szCs w:val="24"/>
        </w:rPr>
        <w:t>Tiesa</w:t>
      </w:r>
      <w:r w:rsidR="00F6359D">
        <w:rPr>
          <w:sz w:val="24"/>
          <w:szCs w:val="24"/>
        </w:rPr>
        <w:t>, vērtējot bērna viedokli,</w:t>
      </w:r>
      <w:r w:rsidRPr="009967E6">
        <w:rPr>
          <w:sz w:val="24"/>
          <w:szCs w:val="24"/>
        </w:rPr>
        <w:t xml:space="preserve"> ir norādījusi, ka </w:t>
      </w:r>
      <w:r w:rsidR="002D0970">
        <w:rPr>
          <w:sz w:val="24"/>
          <w:szCs w:val="24"/>
        </w:rPr>
        <w:t>tas</w:t>
      </w:r>
      <w:r w:rsidRPr="009967E6">
        <w:rPr>
          <w:sz w:val="24"/>
          <w:szCs w:val="24"/>
        </w:rPr>
        <w:t xml:space="preserve"> </w:t>
      </w:r>
      <w:r w:rsidR="00C27749">
        <w:rPr>
          <w:sz w:val="24"/>
          <w:szCs w:val="24"/>
        </w:rPr>
        <w:t xml:space="preserve">ir mainīgs. </w:t>
      </w:r>
      <w:r w:rsidR="002D0970">
        <w:rPr>
          <w:sz w:val="24"/>
          <w:szCs w:val="24"/>
        </w:rPr>
        <w:t>B</w:t>
      </w:r>
      <w:r w:rsidR="00C27749">
        <w:rPr>
          <w:sz w:val="24"/>
          <w:szCs w:val="24"/>
        </w:rPr>
        <w:t>ērns ir</w:t>
      </w:r>
      <w:proofErr w:type="gramStart"/>
      <w:r w:rsidR="00C27749">
        <w:rPr>
          <w:sz w:val="24"/>
          <w:szCs w:val="24"/>
        </w:rPr>
        <w:t xml:space="preserve"> paudis </w:t>
      </w:r>
      <w:r w:rsidRPr="009967E6">
        <w:rPr>
          <w:sz w:val="24"/>
          <w:szCs w:val="24"/>
        </w:rPr>
        <w:t xml:space="preserve">nevēlēšanos ciemoties </w:t>
      </w:r>
      <w:r w:rsidR="002D0970">
        <w:rPr>
          <w:sz w:val="24"/>
          <w:szCs w:val="24"/>
        </w:rPr>
        <w:t>pie pieteicējas</w:t>
      </w:r>
      <w:proofErr w:type="gramEnd"/>
      <w:r w:rsidR="002D0970">
        <w:rPr>
          <w:sz w:val="24"/>
          <w:szCs w:val="24"/>
        </w:rPr>
        <w:t>, kā arī to,</w:t>
      </w:r>
      <w:r w:rsidRPr="009967E6">
        <w:rPr>
          <w:sz w:val="24"/>
          <w:szCs w:val="24"/>
        </w:rPr>
        <w:t xml:space="preserve"> ka bērnam nav interesanti</w:t>
      </w:r>
      <w:r w:rsidR="002D0970">
        <w:rPr>
          <w:sz w:val="24"/>
          <w:szCs w:val="24"/>
        </w:rPr>
        <w:t xml:space="preserve"> ar viņu</w:t>
      </w:r>
      <w:r w:rsidRPr="009967E6">
        <w:rPr>
          <w:sz w:val="24"/>
          <w:szCs w:val="24"/>
        </w:rPr>
        <w:t>.</w:t>
      </w:r>
      <w:r w:rsidR="006921A4">
        <w:rPr>
          <w:sz w:val="24"/>
          <w:szCs w:val="24"/>
        </w:rPr>
        <w:t xml:space="preserve"> </w:t>
      </w:r>
      <w:r w:rsidR="0030186A">
        <w:rPr>
          <w:sz w:val="24"/>
          <w:szCs w:val="24"/>
        </w:rPr>
        <w:t>Senāts uzskata, ka</w:t>
      </w:r>
      <w:r w:rsidRPr="009967E6">
        <w:rPr>
          <w:sz w:val="24"/>
          <w:szCs w:val="24"/>
        </w:rPr>
        <w:t>, izdarot šo slēdzienu, tiesa nav vispusīgi izvērtējusi pierādījumus, kuros minēts bērna viedoklis.</w:t>
      </w:r>
    </w:p>
    <w:p w14:paraId="4C256CF9" w14:textId="58E5BB8E" w:rsidR="006921A4" w:rsidRPr="008875DF" w:rsidRDefault="006921A4" w:rsidP="000F659C">
      <w:pPr>
        <w:pStyle w:val="CommentText"/>
        <w:spacing w:line="276" w:lineRule="auto"/>
        <w:ind w:firstLine="567"/>
        <w:jc w:val="both"/>
        <w:rPr>
          <w:sz w:val="24"/>
          <w:szCs w:val="24"/>
        </w:rPr>
      </w:pPr>
      <w:r w:rsidRPr="008875DF">
        <w:rPr>
          <w:sz w:val="24"/>
          <w:szCs w:val="24"/>
        </w:rPr>
        <w:t xml:space="preserve">Lietās, kurās skartas bērna tiesības un intereses, saskaņā ar Bērnu tiesību aizsardzības likuma </w:t>
      </w:r>
      <w:proofErr w:type="gramStart"/>
      <w:r w:rsidRPr="008875DF">
        <w:rPr>
          <w:sz w:val="24"/>
          <w:szCs w:val="24"/>
        </w:rPr>
        <w:t>20.pantu</w:t>
      </w:r>
      <w:proofErr w:type="gramEnd"/>
      <w:r w:rsidRPr="008875DF">
        <w:rPr>
          <w:sz w:val="24"/>
          <w:szCs w:val="24"/>
        </w:rPr>
        <w:t xml:space="preserve"> bērna</w:t>
      </w:r>
      <w:r w:rsidR="00C23673" w:rsidRPr="008875DF">
        <w:rPr>
          <w:sz w:val="24"/>
          <w:szCs w:val="24"/>
        </w:rPr>
        <w:t>m ir tiesības izteikt</w:t>
      </w:r>
      <w:r w:rsidRPr="008875DF">
        <w:rPr>
          <w:sz w:val="24"/>
          <w:szCs w:val="24"/>
        </w:rPr>
        <w:t xml:space="preserve"> viedokli</w:t>
      </w:r>
      <w:r w:rsidR="00C23673" w:rsidRPr="008875DF">
        <w:rPr>
          <w:sz w:val="24"/>
          <w:szCs w:val="24"/>
        </w:rPr>
        <w:t>, kā arī atbilstoši šā likuma 6.panta 2.</w:t>
      </w:r>
      <w:r w:rsidR="00C23673" w:rsidRPr="008875DF">
        <w:rPr>
          <w:sz w:val="24"/>
          <w:szCs w:val="24"/>
          <w:vertAlign w:val="superscript"/>
        </w:rPr>
        <w:t>1</w:t>
      </w:r>
      <w:r w:rsidR="00C23673" w:rsidRPr="008875DF">
        <w:rPr>
          <w:sz w:val="24"/>
          <w:szCs w:val="24"/>
        </w:rPr>
        <w:t>daļas 8.punktam</w:t>
      </w:r>
      <w:r w:rsidRPr="008875DF">
        <w:rPr>
          <w:sz w:val="24"/>
          <w:szCs w:val="24"/>
        </w:rPr>
        <w:t xml:space="preserve"> </w:t>
      </w:r>
      <w:r w:rsidR="00C23673" w:rsidRPr="008875DF">
        <w:rPr>
          <w:sz w:val="24"/>
          <w:szCs w:val="24"/>
          <w:shd w:val="clear" w:color="auto" w:fill="FFFFFF"/>
        </w:rPr>
        <w:t>bērna viedoklis ņemams vērā atbilstoši bērna vecumam, briedumam un spējai viedokli formulēt.</w:t>
      </w:r>
    </w:p>
    <w:p w14:paraId="63811054" w14:textId="46D1C2A9" w:rsidR="009967E6" w:rsidRPr="009967E6" w:rsidRDefault="001F17E2" w:rsidP="000F659C">
      <w:pPr>
        <w:pStyle w:val="CommentText"/>
        <w:spacing w:line="276" w:lineRule="auto"/>
        <w:ind w:firstLine="567"/>
        <w:jc w:val="both"/>
        <w:rPr>
          <w:sz w:val="24"/>
          <w:szCs w:val="24"/>
        </w:rPr>
      </w:pPr>
      <w:r>
        <w:rPr>
          <w:sz w:val="24"/>
          <w:szCs w:val="24"/>
        </w:rPr>
        <w:t>L</w:t>
      </w:r>
      <w:r w:rsidR="00F6359D" w:rsidRPr="009967E6">
        <w:rPr>
          <w:sz w:val="24"/>
          <w:szCs w:val="24"/>
        </w:rPr>
        <w:t>ai varētu objektīvi secināt, vai bērna viedoklis lietā ir ņemams vērā, ir jāvērtē, vai bērna viedoklis nav ietekmēts</w:t>
      </w:r>
      <w:r w:rsidR="00F6359D">
        <w:rPr>
          <w:sz w:val="24"/>
          <w:szCs w:val="24"/>
        </w:rPr>
        <w:t xml:space="preserve">. </w:t>
      </w:r>
      <w:r w:rsidR="00EE7979">
        <w:rPr>
          <w:sz w:val="24"/>
          <w:szCs w:val="24"/>
        </w:rPr>
        <w:t>L</w:t>
      </w:r>
      <w:r w:rsidR="00EE7979" w:rsidRPr="009967E6">
        <w:rPr>
          <w:sz w:val="24"/>
          <w:szCs w:val="24"/>
        </w:rPr>
        <w:t xml:space="preserve">ai arī var piekrist apgabaltiesai </w:t>
      </w:r>
      <w:r w:rsidR="00EE7979">
        <w:rPr>
          <w:sz w:val="24"/>
          <w:szCs w:val="24"/>
        </w:rPr>
        <w:t>tiktāl, ka p</w:t>
      </w:r>
      <w:r w:rsidR="002B6CEA" w:rsidRPr="009967E6">
        <w:rPr>
          <w:sz w:val="24"/>
          <w:szCs w:val="24"/>
        </w:rPr>
        <w:t xml:space="preserve">iecgadīgs bērns pats spēj paust viedokli, tomēr sava vēl salīdzinoši mazā vecuma dēļ </w:t>
      </w:r>
      <w:r w:rsidR="00F1150B">
        <w:rPr>
          <w:sz w:val="24"/>
          <w:szCs w:val="24"/>
        </w:rPr>
        <w:t xml:space="preserve">bērna </w:t>
      </w:r>
      <w:r w:rsidR="002B6CEA" w:rsidRPr="009967E6">
        <w:rPr>
          <w:sz w:val="24"/>
          <w:szCs w:val="24"/>
        </w:rPr>
        <w:t xml:space="preserve">viedokli pamatā formē tās ģimenes uzskati, kurā bērns dzīvo. </w:t>
      </w:r>
      <w:r w:rsidR="00F6359D" w:rsidRPr="009967E6">
        <w:rPr>
          <w:sz w:val="24"/>
          <w:szCs w:val="24"/>
        </w:rPr>
        <w:t xml:space="preserve">No lietas materiāliem izriet, ka bērns pamatā dzīvo pie audžumātes. </w:t>
      </w:r>
      <w:r w:rsidR="002B6CEA">
        <w:rPr>
          <w:sz w:val="24"/>
          <w:szCs w:val="24"/>
        </w:rPr>
        <w:t xml:space="preserve">Līdz ar to bērna uzskati pamatā veidojas šās ģimenes ietvaros. </w:t>
      </w:r>
      <w:r w:rsidR="00F6359D" w:rsidRPr="009967E6">
        <w:rPr>
          <w:sz w:val="24"/>
          <w:szCs w:val="24"/>
        </w:rPr>
        <w:t xml:space="preserve">Kā </w:t>
      </w:r>
      <w:r w:rsidR="00C701ED">
        <w:rPr>
          <w:sz w:val="24"/>
          <w:szCs w:val="24"/>
        </w:rPr>
        <w:t xml:space="preserve">minēts iepriekš, no lietas materiāliem </w:t>
      </w:r>
      <w:r w:rsidR="00F6359D" w:rsidRPr="009967E6">
        <w:rPr>
          <w:sz w:val="24"/>
          <w:szCs w:val="24"/>
        </w:rPr>
        <w:t xml:space="preserve">redzams, </w:t>
      </w:r>
      <w:r w:rsidR="00FC66BD">
        <w:rPr>
          <w:sz w:val="24"/>
          <w:szCs w:val="24"/>
        </w:rPr>
        <w:t>ka</w:t>
      </w:r>
      <w:r w:rsidR="00F6359D" w:rsidRPr="009967E6">
        <w:rPr>
          <w:sz w:val="24"/>
          <w:szCs w:val="24"/>
        </w:rPr>
        <w:t xml:space="preserve"> </w:t>
      </w:r>
      <w:r w:rsidR="00DE1B0B" w:rsidRPr="009967E6">
        <w:rPr>
          <w:sz w:val="24"/>
          <w:szCs w:val="24"/>
        </w:rPr>
        <w:t>pieteicējas</w:t>
      </w:r>
      <w:r w:rsidR="00DE1B0B">
        <w:rPr>
          <w:sz w:val="24"/>
          <w:szCs w:val="24"/>
        </w:rPr>
        <w:t>,</w:t>
      </w:r>
      <w:r w:rsidR="00DE1B0B" w:rsidRPr="009967E6">
        <w:rPr>
          <w:sz w:val="24"/>
          <w:szCs w:val="24"/>
        </w:rPr>
        <w:t xml:space="preserve"> pieteicējas asistent</w:t>
      </w:r>
      <w:r w:rsidR="00DE1B0B">
        <w:rPr>
          <w:sz w:val="24"/>
          <w:szCs w:val="24"/>
        </w:rPr>
        <w:t>es un</w:t>
      </w:r>
      <w:r w:rsidR="00DE1B0B" w:rsidRPr="009967E6">
        <w:rPr>
          <w:sz w:val="24"/>
          <w:szCs w:val="24"/>
        </w:rPr>
        <w:t xml:space="preserve"> </w:t>
      </w:r>
      <w:r w:rsidR="00F6359D" w:rsidRPr="009967E6">
        <w:rPr>
          <w:sz w:val="24"/>
          <w:szCs w:val="24"/>
        </w:rPr>
        <w:t>audžumātes</w:t>
      </w:r>
      <w:r w:rsidR="005D4FF2">
        <w:rPr>
          <w:sz w:val="24"/>
          <w:szCs w:val="24"/>
        </w:rPr>
        <w:t xml:space="preserve"> attiecības ir</w:t>
      </w:r>
      <w:r w:rsidR="00F6359D" w:rsidRPr="009967E6">
        <w:rPr>
          <w:sz w:val="24"/>
          <w:szCs w:val="24"/>
        </w:rPr>
        <w:t xml:space="preserve"> konfliktējošas</w:t>
      </w:r>
      <w:r w:rsidR="004A1816">
        <w:rPr>
          <w:sz w:val="24"/>
          <w:szCs w:val="24"/>
        </w:rPr>
        <w:t>, kas arī atstāj iespaidu (</w:t>
      </w:r>
      <w:r w:rsidR="00F03E2C">
        <w:rPr>
          <w:sz w:val="24"/>
          <w:szCs w:val="24"/>
        </w:rPr>
        <w:t xml:space="preserve">ņemot vērā </w:t>
      </w:r>
      <w:r w:rsidR="004A1816">
        <w:rPr>
          <w:sz w:val="24"/>
          <w:szCs w:val="24"/>
        </w:rPr>
        <w:t xml:space="preserve">audžumātes komunikāciju ar bērnu) uz bērna uzskatu veidošanos. Tiesa nav vērtējusi, </w:t>
      </w:r>
      <w:r w:rsidR="00A85B28">
        <w:rPr>
          <w:sz w:val="24"/>
          <w:szCs w:val="24"/>
        </w:rPr>
        <w:t>cik objektīvs iepriekš minētajos apstākļos ir bērna viedoklis</w:t>
      </w:r>
      <w:r w:rsidR="009967E6" w:rsidRPr="009967E6">
        <w:rPr>
          <w:sz w:val="24"/>
          <w:szCs w:val="24"/>
        </w:rPr>
        <w:t>.</w:t>
      </w:r>
    </w:p>
    <w:p w14:paraId="2A0DA377" w14:textId="6844CCB3" w:rsidR="00246348" w:rsidRDefault="00246348" w:rsidP="000F659C">
      <w:pPr>
        <w:spacing w:line="276" w:lineRule="auto"/>
        <w:ind w:firstLine="567"/>
        <w:jc w:val="both"/>
      </w:pPr>
    </w:p>
    <w:p w14:paraId="3C368663" w14:textId="3A842056" w:rsidR="00246348" w:rsidRPr="001C7E84" w:rsidRDefault="00246348" w:rsidP="000F659C">
      <w:pPr>
        <w:pStyle w:val="NoSpacing"/>
        <w:spacing w:line="276" w:lineRule="auto"/>
        <w:ind w:firstLine="567"/>
        <w:rPr>
          <w:rFonts w:asciiTheme="majorBidi" w:hAnsiTheme="majorBidi" w:cstheme="majorBidi"/>
          <w:szCs w:val="24"/>
          <w:shd w:val="clear" w:color="auto" w:fill="FFFFFF"/>
        </w:rPr>
      </w:pPr>
      <w:r>
        <w:rPr>
          <w:rFonts w:asciiTheme="majorBidi" w:hAnsiTheme="majorBidi" w:cstheme="majorBidi"/>
          <w:szCs w:val="24"/>
          <w:shd w:val="clear" w:color="auto" w:fill="FFFFFF"/>
        </w:rPr>
        <w:t>[</w:t>
      </w:r>
      <w:r w:rsidR="008B6446">
        <w:rPr>
          <w:rFonts w:asciiTheme="majorBidi" w:hAnsiTheme="majorBidi" w:cstheme="majorBidi"/>
          <w:szCs w:val="24"/>
          <w:shd w:val="clear" w:color="auto" w:fill="FFFFFF"/>
        </w:rPr>
        <w:t>1</w:t>
      </w:r>
      <w:r w:rsidR="009B0045">
        <w:rPr>
          <w:rFonts w:asciiTheme="majorBidi" w:hAnsiTheme="majorBidi" w:cstheme="majorBidi"/>
          <w:szCs w:val="24"/>
          <w:shd w:val="clear" w:color="auto" w:fill="FFFFFF"/>
        </w:rPr>
        <w:t>5</w:t>
      </w:r>
      <w:r>
        <w:rPr>
          <w:rFonts w:asciiTheme="majorBidi" w:hAnsiTheme="majorBidi" w:cstheme="majorBidi"/>
          <w:szCs w:val="24"/>
          <w:shd w:val="clear" w:color="auto" w:fill="FFFFFF"/>
        </w:rPr>
        <w:t>]</w:t>
      </w:r>
      <w:r w:rsidR="005454FD">
        <w:rPr>
          <w:rFonts w:asciiTheme="majorBidi" w:hAnsiTheme="majorBidi" w:cstheme="majorBidi"/>
          <w:szCs w:val="24"/>
          <w:shd w:val="clear" w:color="auto" w:fill="FFFFFF"/>
        </w:rPr>
        <w:t> </w:t>
      </w:r>
      <w:r>
        <w:rPr>
          <w:rFonts w:asciiTheme="majorBidi" w:hAnsiTheme="majorBidi" w:cstheme="majorBidi"/>
          <w:szCs w:val="24"/>
          <w:shd w:val="clear" w:color="auto" w:fill="FFFFFF"/>
        </w:rPr>
        <w:t>Ievērojot iepriekš minētos argumentus, apgabaltiesas spriedums ir atceļams</w:t>
      </w:r>
      <w:r w:rsidR="00C2752F">
        <w:rPr>
          <w:rFonts w:asciiTheme="majorBidi" w:hAnsiTheme="majorBidi" w:cstheme="majorBidi"/>
          <w:szCs w:val="24"/>
          <w:shd w:val="clear" w:color="auto" w:fill="FFFFFF"/>
        </w:rPr>
        <w:t xml:space="preserve"> un l</w:t>
      </w:r>
      <w:r>
        <w:rPr>
          <w:rFonts w:asciiTheme="majorBidi" w:hAnsiTheme="majorBidi" w:cstheme="majorBidi"/>
          <w:szCs w:val="24"/>
          <w:shd w:val="clear" w:color="auto" w:fill="FFFFFF"/>
        </w:rPr>
        <w:t>iet</w:t>
      </w:r>
      <w:r w:rsidR="00C2752F">
        <w:rPr>
          <w:rFonts w:asciiTheme="majorBidi" w:hAnsiTheme="majorBidi" w:cstheme="majorBidi"/>
          <w:szCs w:val="24"/>
          <w:shd w:val="clear" w:color="auto" w:fill="FFFFFF"/>
        </w:rPr>
        <w:t>a</w:t>
      </w:r>
      <w:r>
        <w:rPr>
          <w:rFonts w:asciiTheme="majorBidi" w:hAnsiTheme="majorBidi" w:cstheme="majorBidi"/>
          <w:szCs w:val="24"/>
          <w:shd w:val="clear" w:color="auto" w:fill="FFFFFF"/>
        </w:rPr>
        <w:t xml:space="preserve"> nododama jaunai izskatīšanai.</w:t>
      </w:r>
    </w:p>
    <w:p w14:paraId="12CE5484" w14:textId="77777777" w:rsidR="00246348" w:rsidRPr="001C7E84" w:rsidRDefault="00246348" w:rsidP="000F659C">
      <w:pPr>
        <w:pStyle w:val="NoSpacing"/>
        <w:spacing w:line="276" w:lineRule="auto"/>
        <w:rPr>
          <w:shd w:val="clear" w:color="auto" w:fill="FFFFFF"/>
        </w:rPr>
      </w:pPr>
    </w:p>
    <w:p w14:paraId="108D098C" w14:textId="77777777" w:rsidR="00246348" w:rsidRPr="001C7E84" w:rsidRDefault="00246348" w:rsidP="000F659C">
      <w:pPr>
        <w:pStyle w:val="NoSpacing"/>
        <w:spacing w:line="276" w:lineRule="auto"/>
        <w:jc w:val="center"/>
        <w:rPr>
          <w:b/>
        </w:rPr>
      </w:pPr>
      <w:r w:rsidRPr="001C7E84">
        <w:rPr>
          <w:b/>
        </w:rPr>
        <w:t>Rezolutīvā daļa</w:t>
      </w:r>
    </w:p>
    <w:p w14:paraId="0DB3FF2D" w14:textId="77777777" w:rsidR="00246348" w:rsidRPr="001C7E84" w:rsidRDefault="00246348" w:rsidP="000F659C">
      <w:pPr>
        <w:pStyle w:val="NoSpacing"/>
        <w:spacing w:line="276" w:lineRule="auto"/>
      </w:pPr>
    </w:p>
    <w:p w14:paraId="4D51277B" w14:textId="580BF699" w:rsidR="00246348" w:rsidRPr="001C7E84" w:rsidRDefault="00246348" w:rsidP="000F659C">
      <w:pPr>
        <w:pStyle w:val="NoSpacing"/>
        <w:spacing w:line="276" w:lineRule="auto"/>
        <w:ind w:firstLine="567"/>
      </w:pPr>
      <w:r w:rsidRPr="001C7E84">
        <w:t xml:space="preserve">Pamatojoties uz Administratīvā procesa likuma </w:t>
      </w:r>
      <w:proofErr w:type="gramStart"/>
      <w:r w:rsidRPr="001C7E84">
        <w:t>348.panta</w:t>
      </w:r>
      <w:proofErr w:type="gramEnd"/>
      <w:r w:rsidRPr="001C7E84">
        <w:t xml:space="preserve"> pirmās daļas 2.punktu un 351.pantu, Senāts</w:t>
      </w:r>
    </w:p>
    <w:p w14:paraId="3D64741F" w14:textId="77777777" w:rsidR="00246348" w:rsidRPr="001C7E84" w:rsidRDefault="00246348" w:rsidP="000F659C">
      <w:pPr>
        <w:pStyle w:val="NoSpacing"/>
        <w:spacing w:line="276" w:lineRule="auto"/>
      </w:pPr>
    </w:p>
    <w:p w14:paraId="51C7AC51" w14:textId="77777777" w:rsidR="00246348" w:rsidRPr="001C7E84" w:rsidRDefault="00246348" w:rsidP="000F659C">
      <w:pPr>
        <w:pStyle w:val="NoSpacing"/>
        <w:spacing w:line="276" w:lineRule="auto"/>
        <w:jc w:val="center"/>
        <w:rPr>
          <w:b/>
        </w:rPr>
      </w:pPr>
      <w:r w:rsidRPr="001C7E84">
        <w:rPr>
          <w:b/>
        </w:rPr>
        <w:t>nosprieda</w:t>
      </w:r>
    </w:p>
    <w:p w14:paraId="742A7E35" w14:textId="77777777" w:rsidR="00246348" w:rsidRPr="001C7E84" w:rsidRDefault="00246348" w:rsidP="000F659C">
      <w:pPr>
        <w:pStyle w:val="NoSpacing"/>
        <w:spacing w:line="276" w:lineRule="auto"/>
      </w:pPr>
    </w:p>
    <w:p w14:paraId="1D38AED8" w14:textId="426E9B95" w:rsidR="00246348" w:rsidRPr="001C7E84" w:rsidRDefault="00246348" w:rsidP="000F659C">
      <w:pPr>
        <w:pStyle w:val="NoSpacing"/>
        <w:spacing w:line="276" w:lineRule="auto"/>
        <w:ind w:firstLine="567"/>
        <w:rPr>
          <w:rFonts w:eastAsia="Calibri" w:cs="Arial"/>
        </w:rPr>
      </w:pPr>
      <w:r w:rsidRPr="001C7E84">
        <w:t xml:space="preserve">atcelt Administratīvās apgabaltiesas </w:t>
      </w:r>
      <w:proofErr w:type="gramStart"/>
      <w:r w:rsidRPr="001C7E84">
        <w:t>202</w:t>
      </w:r>
      <w:r w:rsidR="00AC6631">
        <w:t>2</w:t>
      </w:r>
      <w:r w:rsidRPr="001C7E84">
        <w:t>.gada</w:t>
      </w:r>
      <w:proofErr w:type="gramEnd"/>
      <w:r w:rsidRPr="001C7E84">
        <w:t xml:space="preserve"> </w:t>
      </w:r>
      <w:r w:rsidR="00ED5EBF">
        <w:t xml:space="preserve">[..] </w:t>
      </w:r>
      <w:r w:rsidRPr="001C7E84">
        <w:t>spriedumu un</w:t>
      </w:r>
      <w:r w:rsidRPr="001C7E84">
        <w:rPr>
          <w:rFonts w:eastAsia="Calibri" w:cs="Arial"/>
        </w:rPr>
        <w:t xml:space="preserve"> nosūtīt lietu jaunai izskatīšanai Administratīvajai apgabaltiesai.</w:t>
      </w:r>
    </w:p>
    <w:p w14:paraId="46776750" w14:textId="77777777" w:rsidR="00246348" w:rsidRPr="001C7E84" w:rsidRDefault="00246348" w:rsidP="000F659C">
      <w:pPr>
        <w:pStyle w:val="NoSpacing"/>
        <w:spacing w:line="276" w:lineRule="auto"/>
        <w:ind w:firstLine="567"/>
        <w:rPr>
          <w:rFonts w:eastAsia="Calibri" w:cs="Arial"/>
        </w:rPr>
      </w:pPr>
      <w:r w:rsidRPr="001C7E84">
        <w:rPr>
          <w:rFonts w:eastAsia="Calibri" w:cs="Arial"/>
        </w:rPr>
        <w:t>Spriedums nav pārsūdzams.</w:t>
      </w:r>
    </w:p>
    <w:p w14:paraId="326DDFFC" w14:textId="77777777" w:rsidR="00246348" w:rsidRDefault="00246348" w:rsidP="00ED5EBF">
      <w:pPr>
        <w:spacing w:line="276" w:lineRule="auto"/>
        <w:jc w:val="both"/>
      </w:pPr>
    </w:p>
    <w:sectPr w:rsidR="00246348" w:rsidSect="00F040AB">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A0544" w14:textId="77777777" w:rsidR="00AE3CAA" w:rsidRDefault="00AE3CAA" w:rsidP="005533ED">
      <w:r>
        <w:separator/>
      </w:r>
    </w:p>
  </w:endnote>
  <w:endnote w:type="continuationSeparator" w:id="0">
    <w:p w14:paraId="658D62BF" w14:textId="77777777" w:rsidR="00AE3CAA" w:rsidRDefault="00AE3CAA" w:rsidP="0055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F139F" w14:textId="3659B1CC" w:rsidR="005533ED" w:rsidRDefault="00650258" w:rsidP="005533ED">
    <w:pPr>
      <w:pStyle w:val="Footer"/>
      <w:jc w:val="center"/>
    </w:pPr>
    <w:sdt>
      <w:sdtPr>
        <w:id w:val="1728636285"/>
        <w:docPartObj>
          <w:docPartGallery w:val="Page Numbers (Top of Page)"/>
          <w:docPartUnique/>
        </w:docPartObj>
      </w:sdtPr>
      <w:sdtEndPr/>
      <w:sdtContent>
        <w:r w:rsidR="005533ED" w:rsidRPr="005F2470">
          <w:rPr>
            <w:bCs/>
          </w:rPr>
          <w:fldChar w:fldCharType="begin"/>
        </w:r>
        <w:r w:rsidR="005533ED" w:rsidRPr="005F2470">
          <w:rPr>
            <w:bCs/>
          </w:rPr>
          <w:instrText xml:space="preserve"> PAGE </w:instrText>
        </w:r>
        <w:r w:rsidR="005533ED" w:rsidRPr="005F2470">
          <w:rPr>
            <w:bCs/>
          </w:rPr>
          <w:fldChar w:fldCharType="separate"/>
        </w:r>
        <w:r>
          <w:rPr>
            <w:bCs/>
            <w:noProof/>
          </w:rPr>
          <w:t>4</w:t>
        </w:r>
        <w:r w:rsidR="005533ED" w:rsidRPr="005F2470">
          <w:rPr>
            <w:bCs/>
          </w:rPr>
          <w:fldChar w:fldCharType="end"/>
        </w:r>
        <w:r w:rsidR="005533ED" w:rsidRPr="005F2470">
          <w:t xml:space="preserve"> no </w:t>
        </w:r>
        <w:r w:rsidR="005533ED" w:rsidRPr="005F2470">
          <w:rPr>
            <w:bCs/>
          </w:rPr>
          <w:fldChar w:fldCharType="begin"/>
        </w:r>
        <w:r w:rsidR="005533ED" w:rsidRPr="005F2470">
          <w:rPr>
            <w:bCs/>
          </w:rPr>
          <w:instrText xml:space="preserve"> NUMPAGES  </w:instrText>
        </w:r>
        <w:r w:rsidR="005533ED" w:rsidRPr="005F2470">
          <w:rPr>
            <w:bCs/>
          </w:rPr>
          <w:fldChar w:fldCharType="separate"/>
        </w:r>
        <w:r>
          <w:rPr>
            <w:bCs/>
            <w:noProof/>
          </w:rPr>
          <w:t>8</w:t>
        </w:r>
        <w:r w:rsidR="005533ED" w:rsidRPr="005F2470">
          <w:rPr>
            <w:bCs/>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7CBC7" w14:textId="77777777" w:rsidR="00AE3CAA" w:rsidRDefault="00AE3CAA" w:rsidP="005533ED">
      <w:r>
        <w:separator/>
      </w:r>
    </w:p>
  </w:footnote>
  <w:footnote w:type="continuationSeparator" w:id="0">
    <w:p w14:paraId="110BB85C" w14:textId="77777777" w:rsidR="00AE3CAA" w:rsidRDefault="00AE3CAA" w:rsidP="005533ED">
      <w:r>
        <w:continuationSeparator/>
      </w:r>
    </w:p>
  </w:footnote>
  <w:footnote w:id="1">
    <w:p w14:paraId="097D47A0" w14:textId="3AC94C9F" w:rsidR="00ED5EBF" w:rsidRDefault="00ED5EBF" w:rsidP="00ED5EBF">
      <w:pPr>
        <w:spacing w:line="276" w:lineRule="auto"/>
        <w:ind w:right="-141"/>
      </w:pPr>
      <w:r>
        <w:rPr>
          <w:rStyle w:val="FootnoteReference"/>
        </w:rPr>
        <w:footnoteRef/>
      </w:r>
      <w:r>
        <w:t xml:space="preserve"> </w:t>
      </w:r>
      <w:r w:rsidRPr="00ED5EBF">
        <w:rPr>
          <w:sz w:val="20"/>
          <w:szCs w:val="20"/>
        </w:rPr>
        <w:t xml:space="preserve">Slēgtas lietas statuss. </w:t>
      </w:r>
      <w:bookmarkStart w:id="0" w:name="_GoBack"/>
      <w:bookmarkEnd w:id="0"/>
    </w:p>
    <w:p w14:paraId="4E5ED343" w14:textId="515A1FA8" w:rsidR="00ED5EBF" w:rsidRDefault="00ED5EB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776C7"/>
    <w:multiLevelType w:val="hybridMultilevel"/>
    <w:tmpl w:val="84C625FA"/>
    <w:lvl w:ilvl="0" w:tplc="004CD8C4">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82"/>
    <w:rsid w:val="000058FF"/>
    <w:rsid w:val="000228B9"/>
    <w:rsid w:val="00024A8E"/>
    <w:rsid w:val="0003110A"/>
    <w:rsid w:val="00031448"/>
    <w:rsid w:val="0004239D"/>
    <w:rsid w:val="00046CC0"/>
    <w:rsid w:val="00050268"/>
    <w:rsid w:val="0006185F"/>
    <w:rsid w:val="0007108B"/>
    <w:rsid w:val="000749C6"/>
    <w:rsid w:val="00074E42"/>
    <w:rsid w:val="000768CF"/>
    <w:rsid w:val="00097F71"/>
    <w:rsid w:val="000A1729"/>
    <w:rsid w:val="000B006A"/>
    <w:rsid w:val="000B0C3B"/>
    <w:rsid w:val="000B228F"/>
    <w:rsid w:val="000C2D2F"/>
    <w:rsid w:val="000C7B15"/>
    <w:rsid w:val="000D39DD"/>
    <w:rsid w:val="000E5C0D"/>
    <w:rsid w:val="000E6092"/>
    <w:rsid w:val="000F0399"/>
    <w:rsid w:val="000F659C"/>
    <w:rsid w:val="00102FD0"/>
    <w:rsid w:val="001257A6"/>
    <w:rsid w:val="001265AC"/>
    <w:rsid w:val="001434ED"/>
    <w:rsid w:val="001442A1"/>
    <w:rsid w:val="00145203"/>
    <w:rsid w:val="00145BC3"/>
    <w:rsid w:val="00151931"/>
    <w:rsid w:val="00151DC7"/>
    <w:rsid w:val="0015308F"/>
    <w:rsid w:val="00153D9B"/>
    <w:rsid w:val="00155430"/>
    <w:rsid w:val="001653D6"/>
    <w:rsid w:val="001677B3"/>
    <w:rsid w:val="00175387"/>
    <w:rsid w:val="001843CD"/>
    <w:rsid w:val="00186532"/>
    <w:rsid w:val="00186831"/>
    <w:rsid w:val="00191B41"/>
    <w:rsid w:val="0019412D"/>
    <w:rsid w:val="001A0164"/>
    <w:rsid w:val="001A0CDC"/>
    <w:rsid w:val="001B0976"/>
    <w:rsid w:val="001B2044"/>
    <w:rsid w:val="001C4FB8"/>
    <w:rsid w:val="001D0ED3"/>
    <w:rsid w:val="001D79CB"/>
    <w:rsid w:val="001E5421"/>
    <w:rsid w:val="001F17E2"/>
    <w:rsid w:val="00200365"/>
    <w:rsid w:val="00213A41"/>
    <w:rsid w:val="002177DB"/>
    <w:rsid w:val="002454EE"/>
    <w:rsid w:val="00246348"/>
    <w:rsid w:val="00251E26"/>
    <w:rsid w:val="0025490A"/>
    <w:rsid w:val="00254C10"/>
    <w:rsid w:val="002671A3"/>
    <w:rsid w:val="00271A17"/>
    <w:rsid w:val="002739BF"/>
    <w:rsid w:val="00276452"/>
    <w:rsid w:val="0028044C"/>
    <w:rsid w:val="00291824"/>
    <w:rsid w:val="002A2082"/>
    <w:rsid w:val="002A7434"/>
    <w:rsid w:val="002B6CEA"/>
    <w:rsid w:val="002D0091"/>
    <w:rsid w:val="002D0970"/>
    <w:rsid w:val="002E59A8"/>
    <w:rsid w:val="002E5C36"/>
    <w:rsid w:val="0030186A"/>
    <w:rsid w:val="00305DE7"/>
    <w:rsid w:val="0030619F"/>
    <w:rsid w:val="00315BB1"/>
    <w:rsid w:val="0032267E"/>
    <w:rsid w:val="00344201"/>
    <w:rsid w:val="0036365B"/>
    <w:rsid w:val="003668D8"/>
    <w:rsid w:val="00370383"/>
    <w:rsid w:val="00382339"/>
    <w:rsid w:val="00386C77"/>
    <w:rsid w:val="003A02FE"/>
    <w:rsid w:val="003A2324"/>
    <w:rsid w:val="003A634C"/>
    <w:rsid w:val="003C04D7"/>
    <w:rsid w:val="003C6962"/>
    <w:rsid w:val="003D0118"/>
    <w:rsid w:val="003D0C76"/>
    <w:rsid w:val="003E3B9A"/>
    <w:rsid w:val="003F6302"/>
    <w:rsid w:val="003F7066"/>
    <w:rsid w:val="00406A74"/>
    <w:rsid w:val="0041202D"/>
    <w:rsid w:val="0041529D"/>
    <w:rsid w:val="0042491A"/>
    <w:rsid w:val="00432407"/>
    <w:rsid w:val="00433759"/>
    <w:rsid w:val="004355D8"/>
    <w:rsid w:val="00455596"/>
    <w:rsid w:val="0047529D"/>
    <w:rsid w:val="004917C6"/>
    <w:rsid w:val="004A14B6"/>
    <w:rsid w:val="004A1816"/>
    <w:rsid w:val="004A3C18"/>
    <w:rsid w:val="004B5828"/>
    <w:rsid w:val="004C15BD"/>
    <w:rsid w:val="004D6494"/>
    <w:rsid w:val="004E5802"/>
    <w:rsid w:val="004F0077"/>
    <w:rsid w:val="00517E8E"/>
    <w:rsid w:val="005269EA"/>
    <w:rsid w:val="00535563"/>
    <w:rsid w:val="005454FD"/>
    <w:rsid w:val="005533ED"/>
    <w:rsid w:val="0057155D"/>
    <w:rsid w:val="00576E5C"/>
    <w:rsid w:val="005C002A"/>
    <w:rsid w:val="005C142A"/>
    <w:rsid w:val="005C6C56"/>
    <w:rsid w:val="005C7AF0"/>
    <w:rsid w:val="005D4FF2"/>
    <w:rsid w:val="005E0DE6"/>
    <w:rsid w:val="005F1525"/>
    <w:rsid w:val="005F2945"/>
    <w:rsid w:val="006004D4"/>
    <w:rsid w:val="00605C79"/>
    <w:rsid w:val="0061464D"/>
    <w:rsid w:val="00650258"/>
    <w:rsid w:val="0065362F"/>
    <w:rsid w:val="00661B37"/>
    <w:rsid w:val="006625F7"/>
    <w:rsid w:val="00664388"/>
    <w:rsid w:val="00682E0C"/>
    <w:rsid w:val="00682FF0"/>
    <w:rsid w:val="006921A4"/>
    <w:rsid w:val="00692ADA"/>
    <w:rsid w:val="006969C6"/>
    <w:rsid w:val="006A2922"/>
    <w:rsid w:val="006E1802"/>
    <w:rsid w:val="006E7EAB"/>
    <w:rsid w:val="006F3849"/>
    <w:rsid w:val="007131A6"/>
    <w:rsid w:val="0072170D"/>
    <w:rsid w:val="00746AC8"/>
    <w:rsid w:val="007477E3"/>
    <w:rsid w:val="007528C7"/>
    <w:rsid w:val="00754B8C"/>
    <w:rsid w:val="00757D61"/>
    <w:rsid w:val="00772279"/>
    <w:rsid w:val="00773B69"/>
    <w:rsid w:val="0078609E"/>
    <w:rsid w:val="00793A64"/>
    <w:rsid w:val="007950A0"/>
    <w:rsid w:val="007A489B"/>
    <w:rsid w:val="007A7D63"/>
    <w:rsid w:val="007B3A17"/>
    <w:rsid w:val="007C4597"/>
    <w:rsid w:val="007C50ED"/>
    <w:rsid w:val="007C5C18"/>
    <w:rsid w:val="007C6DBD"/>
    <w:rsid w:val="007C7E56"/>
    <w:rsid w:val="007D2446"/>
    <w:rsid w:val="007D6C68"/>
    <w:rsid w:val="007E0B54"/>
    <w:rsid w:val="007E2B92"/>
    <w:rsid w:val="007E7622"/>
    <w:rsid w:val="007F0316"/>
    <w:rsid w:val="007F4A3A"/>
    <w:rsid w:val="00816449"/>
    <w:rsid w:val="00841AAC"/>
    <w:rsid w:val="00843BDE"/>
    <w:rsid w:val="008649E4"/>
    <w:rsid w:val="00866827"/>
    <w:rsid w:val="00867CB6"/>
    <w:rsid w:val="008737D8"/>
    <w:rsid w:val="008760A6"/>
    <w:rsid w:val="00886205"/>
    <w:rsid w:val="008875DF"/>
    <w:rsid w:val="00894D01"/>
    <w:rsid w:val="008974EB"/>
    <w:rsid w:val="008A0FF9"/>
    <w:rsid w:val="008A1660"/>
    <w:rsid w:val="008A42C9"/>
    <w:rsid w:val="008B6446"/>
    <w:rsid w:val="008D3DFE"/>
    <w:rsid w:val="008E09C9"/>
    <w:rsid w:val="008E6AD0"/>
    <w:rsid w:val="008F2A9C"/>
    <w:rsid w:val="008F42E9"/>
    <w:rsid w:val="008F53CA"/>
    <w:rsid w:val="008F6A31"/>
    <w:rsid w:val="00902545"/>
    <w:rsid w:val="0090465A"/>
    <w:rsid w:val="00921D82"/>
    <w:rsid w:val="0093470C"/>
    <w:rsid w:val="00935074"/>
    <w:rsid w:val="009462C0"/>
    <w:rsid w:val="00954A7C"/>
    <w:rsid w:val="009611E7"/>
    <w:rsid w:val="0096300A"/>
    <w:rsid w:val="00971EE9"/>
    <w:rsid w:val="009753BF"/>
    <w:rsid w:val="00975C55"/>
    <w:rsid w:val="0097661A"/>
    <w:rsid w:val="00985609"/>
    <w:rsid w:val="009901A7"/>
    <w:rsid w:val="00990CFA"/>
    <w:rsid w:val="00990F2D"/>
    <w:rsid w:val="009967E6"/>
    <w:rsid w:val="00996EE4"/>
    <w:rsid w:val="009A4304"/>
    <w:rsid w:val="009B0045"/>
    <w:rsid w:val="009B0AAF"/>
    <w:rsid w:val="009B2D5A"/>
    <w:rsid w:val="009B476E"/>
    <w:rsid w:val="009D1323"/>
    <w:rsid w:val="009D20ED"/>
    <w:rsid w:val="009D409F"/>
    <w:rsid w:val="009D46BA"/>
    <w:rsid w:val="009D67F5"/>
    <w:rsid w:val="009E26DB"/>
    <w:rsid w:val="009E704B"/>
    <w:rsid w:val="00A074A4"/>
    <w:rsid w:val="00A11883"/>
    <w:rsid w:val="00A35FF0"/>
    <w:rsid w:val="00A46CA6"/>
    <w:rsid w:val="00A46E7E"/>
    <w:rsid w:val="00A56856"/>
    <w:rsid w:val="00A6124C"/>
    <w:rsid w:val="00A6266E"/>
    <w:rsid w:val="00A77B07"/>
    <w:rsid w:val="00A81FCD"/>
    <w:rsid w:val="00A85B28"/>
    <w:rsid w:val="00A922BD"/>
    <w:rsid w:val="00A95687"/>
    <w:rsid w:val="00AA1EBE"/>
    <w:rsid w:val="00AB5001"/>
    <w:rsid w:val="00AB5AAE"/>
    <w:rsid w:val="00AC6631"/>
    <w:rsid w:val="00AD21F2"/>
    <w:rsid w:val="00AE003D"/>
    <w:rsid w:val="00AE3CAA"/>
    <w:rsid w:val="00AE7CE5"/>
    <w:rsid w:val="00AF17DC"/>
    <w:rsid w:val="00B028AA"/>
    <w:rsid w:val="00B11C20"/>
    <w:rsid w:val="00B1218F"/>
    <w:rsid w:val="00B14FD6"/>
    <w:rsid w:val="00B25EC7"/>
    <w:rsid w:val="00B46331"/>
    <w:rsid w:val="00B51807"/>
    <w:rsid w:val="00B51B71"/>
    <w:rsid w:val="00B557B1"/>
    <w:rsid w:val="00B63294"/>
    <w:rsid w:val="00B662EC"/>
    <w:rsid w:val="00B708BF"/>
    <w:rsid w:val="00B831A0"/>
    <w:rsid w:val="00B844A3"/>
    <w:rsid w:val="00BA19B2"/>
    <w:rsid w:val="00BA3775"/>
    <w:rsid w:val="00BA782A"/>
    <w:rsid w:val="00BB3DED"/>
    <w:rsid w:val="00BB5FEB"/>
    <w:rsid w:val="00BD13C3"/>
    <w:rsid w:val="00BD6769"/>
    <w:rsid w:val="00BD79B1"/>
    <w:rsid w:val="00BF7A92"/>
    <w:rsid w:val="00BF7BF4"/>
    <w:rsid w:val="00C07F6C"/>
    <w:rsid w:val="00C103AF"/>
    <w:rsid w:val="00C10B9B"/>
    <w:rsid w:val="00C13586"/>
    <w:rsid w:val="00C13620"/>
    <w:rsid w:val="00C209A0"/>
    <w:rsid w:val="00C23673"/>
    <w:rsid w:val="00C242CB"/>
    <w:rsid w:val="00C2752F"/>
    <w:rsid w:val="00C27749"/>
    <w:rsid w:val="00C43D7D"/>
    <w:rsid w:val="00C47F6D"/>
    <w:rsid w:val="00C701ED"/>
    <w:rsid w:val="00C91E4B"/>
    <w:rsid w:val="00C9523C"/>
    <w:rsid w:val="00CA55EF"/>
    <w:rsid w:val="00CA7E8A"/>
    <w:rsid w:val="00CB033E"/>
    <w:rsid w:val="00CB33A6"/>
    <w:rsid w:val="00CB34BF"/>
    <w:rsid w:val="00CD18D2"/>
    <w:rsid w:val="00D027C2"/>
    <w:rsid w:val="00D45CD2"/>
    <w:rsid w:val="00D60F32"/>
    <w:rsid w:val="00D62FE6"/>
    <w:rsid w:val="00DA07F8"/>
    <w:rsid w:val="00DA0D7D"/>
    <w:rsid w:val="00DA101A"/>
    <w:rsid w:val="00DA4393"/>
    <w:rsid w:val="00DA4ED7"/>
    <w:rsid w:val="00DA7797"/>
    <w:rsid w:val="00DB4640"/>
    <w:rsid w:val="00DC209C"/>
    <w:rsid w:val="00DD47F1"/>
    <w:rsid w:val="00DD60CA"/>
    <w:rsid w:val="00DD63D8"/>
    <w:rsid w:val="00DE0414"/>
    <w:rsid w:val="00DE1B0B"/>
    <w:rsid w:val="00E26F71"/>
    <w:rsid w:val="00E334C4"/>
    <w:rsid w:val="00E56E40"/>
    <w:rsid w:val="00E57890"/>
    <w:rsid w:val="00E72E6E"/>
    <w:rsid w:val="00E75362"/>
    <w:rsid w:val="00E754F3"/>
    <w:rsid w:val="00E77CEC"/>
    <w:rsid w:val="00E800AB"/>
    <w:rsid w:val="00E80C10"/>
    <w:rsid w:val="00E9512C"/>
    <w:rsid w:val="00E974BB"/>
    <w:rsid w:val="00EA4D3B"/>
    <w:rsid w:val="00EB0136"/>
    <w:rsid w:val="00EB3164"/>
    <w:rsid w:val="00EC30A8"/>
    <w:rsid w:val="00ED2EF8"/>
    <w:rsid w:val="00ED5EBF"/>
    <w:rsid w:val="00EE0279"/>
    <w:rsid w:val="00EE5234"/>
    <w:rsid w:val="00EE7979"/>
    <w:rsid w:val="00EF25D5"/>
    <w:rsid w:val="00EF7401"/>
    <w:rsid w:val="00F00FF6"/>
    <w:rsid w:val="00F03E2C"/>
    <w:rsid w:val="00F040AB"/>
    <w:rsid w:val="00F1150B"/>
    <w:rsid w:val="00F15C64"/>
    <w:rsid w:val="00F26B49"/>
    <w:rsid w:val="00F2745E"/>
    <w:rsid w:val="00F274D5"/>
    <w:rsid w:val="00F36ED3"/>
    <w:rsid w:val="00F376F3"/>
    <w:rsid w:val="00F42EAA"/>
    <w:rsid w:val="00F60ED0"/>
    <w:rsid w:val="00F61E08"/>
    <w:rsid w:val="00F6359D"/>
    <w:rsid w:val="00F65E49"/>
    <w:rsid w:val="00F764CA"/>
    <w:rsid w:val="00F81C3E"/>
    <w:rsid w:val="00F83863"/>
    <w:rsid w:val="00FA6558"/>
    <w:rsid w:val="00FB1B39"/>
    <w:rsid w:val="00FB2243"/>
    <w:rsid w:val="00FC0239"/>
    <w:rsid w:val="00FC1D2A"/>
    <w:rsid w:val="00FC2F8D"/>
    <w:rsid w:val="00FC66BD"/>
    <w:rsid w:val="00FC7146"/>
    <w:rsid w:val="00FD69EC"/>
    <w:rsid w:val="00FF67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B485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082"/>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A2082"/>
    <w:pPr>
      <w:spacing w:after="120" w:line="480" w:lineRule="auto"/>
    </w:pPr>
    <w:rPr>
      <w:lang w:val="x-none"/>
    </w:rPr>
  </w:style>
  <w:style w:type="character" w:customStyle="1" w:styleId="BodyText2Char">
    <w:name w:val="Body Text 2 Char"/>
    <w:basedOn w:val="DefaultParagraphFont"/>
    <w:link w:val="BodyText2"/>
    <w:rsid w:val="002A2082"/>
    <w:rPr>
      <w:rFonts w:eastAsia="Times New Roman" w:cs="Times New Roman"/>
      <w:szCs w:val="24"/>
      <w:lang w:val="x-none" w:eastAsia="ru-RU"/>
    </w:rPr>
  </w:style>
  <w:style w:type="paragraph" w:styleId="NoSpacing">
    <w:name w:val="No Spacing"/>
    <w:uiPriority w:val="1"/>
    <w:qFormat/>
    <w:rsid w:val="0078609E"/>
    <w:pPr>
      <w:spacing w:after="0" w:line="240" w:lineRule="auto"/>
      <w:jc w:val="both"/>
    </w:pPr>
    <w:rPr>
      <w:lang w:val="lv-LV"/>
    </w:rPr>
  </w:style>
  <w:style w:type="paragraph" w:styleId="Header">
    <w:name w:val="header"/>
    <w:basedOn w:val="Normal"/>
    <w:link w:val="HeaderChar"/>
    <w:uiPriority w:val="99"/>
    <w:unhideWhenUsed/>
    <w:rsid w:val="005533ED"/>
    <w:pPr>
      <w:tabs>
        <w:tab w:val="center" w:pos="4680"/>
        <w:tab w:val="right" w:pos="9360"/>
      </w:tabs>
    </w:pPr>
  </w:style>
  <w:style w:type="character" w:customStyle="1" w:styleId="HeaderChar">
    <w:name w:val="Header Char"/>
    <w:basedOn w:val="DefaultParagraphFont"/>
    <w:link w:val="Header"/>
    <w:uiPriority w:val="99"/>
    <w:rsid w:val="005533ED"/>
    <w:rPr>
      <w:rFonts w:eastAsia="Times New Roman" w:cs="Times New Roman"/>
      <w:szCs w:val="24"/>
      <w:lang w:val="lv-LV" w:eastAsia="ru-RU"/>
    </w:rPr>
  </w:style>
  <w:style w:type="paragraph" w:styleId="Footer">
    <w:name w:val="footer"/>
    <w:basedOn w:val="Normal"/>
    <w:link w:val="FooterChar"/>
    <w:uiPriority w:val="99"/>
    <w:unhideWhenUsed/>
    <w:rsid w:val="005533ED"/>
    <w:pPr>
      <w:tabs>
        <w:tab w:val="center" w:pos="4680"/>
        <w:tab w:val="right" w:pos="9360"/>
      </w:tabs>
    </w:pPr>
  </w:style>
  <w:style w:type="character" w:customStyle="1" w:styleId="FooterChar">
    <w:name w:val="Footer Char"/>
    <w:basedOn w:val="DefaultParagraphFont"/>
    <w:link w:val="Footer"/>
    <w:uiPriority w:val="99"/>
    <w:rsid w:val="005533ED"/>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754B8C"/>
    <w:rPr>
      <w:sz w:val="16"/>
      <w:szCs w:val="16"/>
    </w:rPr>
  </w:style>
  <w:style w:type="paragraph" w:styleId="CommentText">
    <w:name w:val="annotation text"/>
    <w:basedOn w:val="Normal"/>
    <w:link w:val="CommentTextChar"/>
    <w:uiPriority w:val="99"/>
    <w:unhideWhenUsed/>
    <w:rsid w:val="00754B8C"/>
    <w:rPr>
      <w:sz w:val="20"/>
      <w:szCs w:val="20"/>
    </w:rPr>
  </w:style>
  <w:style w:type="character" w:customStyle="1" w:styleId="CommentTextChar">
    <w:name w:val="Comment Text Char"/>
    <w:basedOn w:val="DefaultParagraphFont"/>
    <w:link w:val="CommentText"/>
    <w:uiPriority w:val="99"/>
    <w:rsid w:val="00754B8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54B8C"/>
    <w:rPr>
      <w:b/>
      <w:bCs/>
    </w:rPr>
  </w:style>
  <w:style w:type="character" w:customStyle="1" w:styleId="CommentSubjectChar">
    <w:name w:val="Comment Subject Char"/>
    <w:basedOn w:val="CommentTextChar"/>
    <w:link w:val="CommentSubject"/>
    <w:uiPriority w:val="99"/>
    <w:semiHidden/>
    <w:rsid w:val="00754B8C"/>
    <w:rPr>
      <w:rFonts w:eastAsia="Times New Roman" w:cs="Times New Roman"/>
      <w:b/>
      <w:bCs/>
      <w:sz w:val="20"/>
      <w:szCs w:val="20"/>
      <w:lang w:val="lv-LV" w:eastAsia="ru-RU"/>
    </w:rPr>
  </w:style>
  <w:style w:type="paragraph" w:customStyle="1" w:styleId="tv213">
    <w:name w:val="tv213"/>
    <w:basedOn w:val="Normal"/>
    <w:rsid w:val="00145203"/>
    <w:pPr>
      <w:spacing w:before="100" w:beforeAutospacing="1" w:after="100" w:afterAutospacing="1"/>
    </w:pPr>
    <w:rPr>
      <w:lang w:val="en-US" w:eastAsia="en-US"/>
    </w:rPr>
  </w:style>
  <w:style w:type="paragraph" w:styleId="Revision">
    <w:name w:val="Revision"/>
    <w:hidden/>
    <w:uiPriority w:val="99"/>
    <w:semiHidden/>
    <w:rsid w:val="0047529D"/>
    <w:pPr>
      <w:spacing w:after="0" w:line="240" w:lineRule="auto"/>
    </w:pPr>
    <w:rPr>
      <w:rFonts w:eastAsia="Times New Roman" w:cs="Times New Roman"/>
      <w:szCs w:val="24"/>
      <w:lang w:val="lv-LV" w:eastAsia="ru-RU"/>
    </w:rPr>
  </w:style>
  <w:style w:type="paragraph" w:styleId="ListParagraph">
    <w:name w:val="List Paragraph"/>
    <w:basedOn w:val="Normal"/>
    <w:uiPriority w:val="34"/>
    <w:qFormat/>
    <w:rsid w:val="00ED5EBF"/>
    <w:pPr>
      <w:spacing w:after="160" w:line="252" w:lineRule="auto"/>
      <w:ind w:left="720"/>
      <w:contextualSpacing/>
    </w:pPr>
    <w:rPr>
      <w:rFonts w:eastAsiaTheme="minorHAnsi"/>
      <w:sz w:val="22"/>
      <w:szCs w:val="22"/>
      <w:lang w:val="en-US" w:eastAsia="en-US"/>
    </w:rPr>
  </w:style>
  <w:style w:type="paragraph" w:styleId="FootnoteText">
    <w:name w:val="footnote text"/>
    <w:basedOn w:val="Normal"/>
    <w:link w:val="FootnoteTextChar"/>
    <w:uiPriority w:val="99"/>
    <w:semiHidden/>
    <w:unhideWhenUsed/>
    <w:rsid w:val="00ED5EBF"/>
    <w:rPr>
      <w:sz w:val="20"/>
      <w:szCs w:val="20"/>
    </w:rPr>
  </w:style>
  <w:style w:type="character" w:customStyle="1" w:styleId="FootnoteTextChar">
    <w:name w:val="Footnote Text Char"/>
    <w:basedOn w:val="DefaultParagraphFont"/>
    <w:link w:val="FootnoteText"/>
    <w:uiPriority w:val="99"/>
    <w:semiHidden/>
    <w:rsid w:val="00ED5EBF"/>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D5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87063">
      <w:bodyDiv w:val="1"/>
      <w:marLeft w:val="0"/>
      <w:marRight w:val="0"/>
      <w:marTop w:val="0"/>
      <w:marBottom w:val="0"/>
      <w:divBdr>
        <w:top w:val="none" w:sz="0" w:space="0" w:color="auto"/>
        <w:left w:val="none" w:sz="0" w:space="0" w:color="auto"/>
        <w:bottom w:val="none" w:sz="0" w:space="0" w:color="auto"/>
        <w:right w:val="none" w:sz="0" w:space="0" w:color="auto"/>
      </w:divBdr>
    </w:div>
    <w:div w:id="19770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2022-11-17T11:59:00Z</dcterms:created>
  <dcterms:modified xsi:type="dcterms:W3CDTF">2022-11-22T08:00:00Z</dcterms:modified>
</cp:coreProperties>
</file>